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5841" w:leftChars="200" w:hanging="5421" w:hangingChars="1500"/>
        <w:jc w:val="center"/>
        <w:textAlignment w:val="auto"/>
        <w:rPr>
          <w:rFonts w:hint="eastAsia"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大丰港区蒸汽管道运维服务</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rPr>
          <w:rFonts w:ascii="宋体" w:hAnsi="宋体" w:cs="宋体"/>
          <w:color w:val="auto"/>
          <w:sz w:val="28"/>
          <w:szCs w:val="28"/>
          <w:highlight w:val="none"/>
        </w:rPr>
      </w:pPr>
      <w:r>
        <w:rPr>
          <w:rFonts w:hint="eastAsia" w:ascii="宋体" w:hAnsi="宋体" w:cs="宋体"/>
          <w:b/>
          <w:color w:val="auto"/>
          <w:sz w:val="84"/>
          <w:szCs w:val="84"/>
          <w:highlight w:val="none"/>
        </w:rPr>
        <w:t xml:space="preserve">招 标 文 件 </w:t>
      </w:r>
    </w:p>
    <w:p>
      <w:pPr>
        <w:spacing w:line="360" w:lineRule="auto"/>
        <w:ind w:firstLine="2570" w:firstLineChars="800"/>
        <w:rPr>
          <w:rFonts w:hint="eastAsia" w:ascii="宋体" w:hAnsi="宋体" w:eastAsia="宋体" w:cs="宋体"/>
          <w:color w:val="auto"/>
          <w:sz w:val="28"/>
          <w:szCs w:val="28"/>
          <w:highlight w:val="none"/>
          <w:lang w:val="en-US" w:eastAsia="zh-CN"/>
        </w:rPr>
      </w:pPr>
      <w:r>
        <w:rPr>
          <w:rFonts w:hint="eastAsia" w:ascii="宋体" w:hAnsi="宋体" w:cs="宋体"/>
          <w:b/>
          <w:color w:val="auto"/>
          <w:sz w:val="32"/>
          <w:szCs w:val="32"/>
          <w:highlight w:val="none"/>
        </w:rPr>
        <w:t>项目编号：DFCG202405007</w:t>
      </w:r>
      <w:r>
        <w:rPr>
          <w:rFonts w:hint="eastAsia" w:ascii="宋体" w:hAnsi="宋体" w:cs="宋体"/>
          <w:b/>
          <w:color w:val="auto"/>
          <w:sz w:val="32"/>
          <w:szCs w:val="32"/>
          <w:highlight w:val="none"/>
          <w:lang w:val="en-US" w:eastAsia="zh-CN"/>
        </w:rPr>
        <w:t xml:space="preserve"> </w:t>
      </w:r>
    </w:p>
    <w:p>
      <w:pPr>
        <w:spacing w:line="360" w:lineRule="auto"/>
        <w:rPr>
          <w:rFonts w:ascii="宋体" w:hAnsi="宋体" w:cs="宋体"/>
          <w:color w:val="auto"/>
          <w:sz w:val="28"/>
          <w:szCs w:val="28"/>
          <w:highlight w:val="none"/>
        </w:rPr>
      </w:pPr>
    </w:p>
    <w:p>
      <w:pPr>
        <w:pStyle w:val="11"/>
        <w:rPr>
          <w:color w:val="auto"/>
          <w:highlight w:val="none"/>
        </w:rPr>
      </w:pPr>
    </w:p>
    <w:p>
      <w:pPr>
        <w:spacing w:line="360" w:lineRule="auto"/>
        <w:rPr>
          <w:rFonts w:ascii="宋体" w:hAnsi="宋体" w:cs="宋体"/>
          <w:color w:val="auto"/>
          <w:sz w:val="28"/>
          <w:szCs w:val="28"/>
          <w:highlight w:val="none"/>
        </w:rPr>
      </w:pPr>
    </w:p>
    <w:p>
      <w:pPr>
        <w:pStyle w:val="36"/>
        <w:ind w:firstLine="0" w:firstLineChars="0"/>
        <w:rPr>
          <w:color w:val="auto"/>
          <w:highlight w:val="none"/>
        </w:rPr>
      </w:pPr>
    </w:p>
    <w:p>
      <w:pPr>
        <w:pStyle w:val="11"/>
        <w:rPr>
          <w:rFonts w:ascii="宋体" w:hAnsi="宋体" w:cs="宋体"/>
          <w:color w:val="auto"/>
          <w:sz w:val="28"/>
          <w:szCs w:val="28"/>
          <w:highlight w:val="none"/>
        </w:rPr>
      </w:pPr>
    </w:p>
    <w:p>
      <w:pPr>
        <w:rPr>
          <w:color w:val="auto"/>
          <w:highlight w:val="none"/>
        </w:rPr>
      </w:pPr>
    </w:p>
    <w:p>
      <w:pPr>
        <w:spacing w:line="720" w:lineRule="auto"/>
        <w:ind w:left="210" w:leftChars="100"/>
        <w:jc w:val="left"/>
        <w:rPr>
          <w:rFonts w:hint="eastAsia" w:ascii="宋体" w:hAnsi="宋体" w:eastAsia="宋体" w:cs="宋体"/>
          <w:b/>
          <w:bCs/>
          <w:color w:val="auto"/>
          <w:sz w:val="32"/>
          <w:szCs w:val="32"/>
          <w:highlight w:val="none"/>
          <w:u w:val="single"/>
          <w:lang w:eastAsia="zh-CN"/>
        </w:rPr>
      </w:pPr>
      <w:r>
        <w:rPr>
          <w:rFonts w:hint="eastAsia" w:ascii="宋体" w:hAnsi="宋体" w:cs="宋体"/>
          <w:color w:val="auto"/>
          <w:sz w:val="32"/>
          <w:szCs w:val="32"/>
          <w:highlight w:val="none"/>
        </w:rPr>
        <w:t xml:space="preserve"> </w:t>
      </w:r>
      <w:r>
        <w:rPr>
          <w:rFonts w:hint="eastAsia" w:ascii="宋体" w:hAnsi="宋体" w:cs="宋体"/>
          <w:b/>
          <w:bCs/>
          <w:color w:val="auto"/>
          <w:sz w:val="32"/>
          <w:szCs w:val="32"/>
          <w:highlight w:val="none"/>
        </w:rPr>
        <w:t xml:space="preserve">     招   标   人：</w:t>
      </w:r>
      <w:r>
        <w:rPr>
          <w:rFonts w:hint="eastAsia" w:ascii="宋体" w:hAnsi="宋体" w:cs="宋体"/>
          <w:b/>
          <w:bCs/>
          <w:color w:val="auto"/>
          <w:sz w:val="32"/>
          <w:szCs w:val="32"/>
          <w:highlight w:val="none"/>
          <w:u w:val="single"/>
          <w:lang w:eastAsia="zh-CN"/>
        </w:rPr>
        <w:t>盐城大丰新创能源有限公司</w:t>
      </w:r>
    </w:p>
    <w:p>
      <w:pPr>
        <w:spacing w:line="720" w:lineRule="auto"/>
        <w:ind w:left="210" w:leftChars="1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招标代理机构：</w:t>
      </w:r>
      <w:r>
        <w:rPr>
          <w:rFonts w:hint="eastAsia" w:ascii="宋体" w:hAnsi="宋体" w:cs="宋体"/>
          <w:b/>
          <w:bCs/>
          <w:color w:val="auto"/>
          <w:sz w:val="32"/>
          <w:szCs w:val="32"/>
          <w:highlight w:val="none"/>
          <w:u w:val="single"/>
        </w:rPr>
        <w:t>江苏富华工程造价咨询有限公司</w:t>
      </w:r>
      <w:r>
        <w:rPr>
          <w:rFonts w:hint="eastAsia" w:ascii="宋体" w:hAnsi="宋体" w:cs="宋体"/>
          <w:b/>
          <w:bCs/>
          <w:color w:val="auto"/>
          <w:sz w:val="32"/>
          <w:szCs w:val="32"/>
          <w:highlight w:val="none"/>
        </w:rPr>
        <w:t xml:space="preserve">    </w:t>
      </w:r>
    </w:p>
    <w:p>
      <w:pPr>
        <w:ind w:left="210" w:leftChars="100"/>
        <w:rPr>
          <w:rFonts w:ascii="宋体" w:hAnsi="宋体" w:cs="宋体"/>
          <w:color w:val="auto"/>
          <w:sz w:val="28"/>
          <w:szCs w:val="28"/>
          <w:highlight w:val="none"/>
        </w:rPr>
        <w:sectPr>
          <w:headerReference r:id="rId3" w:type="default"/>
          <w:pgSz w:w="11905" w:h="16838"/>
          <w:pgMar w:top="1134" w:right="1304" w:bottom="1134" w:left="1304" w:header="850" w:footer="992" w:gutter="0"/>
          <w:pgNumType w:start="1"/>
          <w:cols w:space="720" w:num="1"/>
          <w:docGrid w:type="lines" w:linePitch="317" w:charSpace="0"/>
        </w:sectPr>
      </w:pPr>
      <w:r>
        <w:rPr>
          <w:rFonts w:hint="eastAsia" w:ascii="宋体" w:hAnsi="宋体" w:cs="宋体"/>
          <w:b/>
          <w:bCs/>
          <w:color w:val="auto"/>
          <w:sz w:val="32"/>
          <w:szCs w:val="32"/>
          <w:highlight w:val="none"/>
        </w:rPr>
        <w:t xml:space="preserve">      日        期：202</w:t>
      </w: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05</w:t>
      </w:r>
      <w:r>
        <w:rPr>
          <w:rFonts w:hint="eastAsia" w:ascii="宋体" w:hAnsi="宋体" w:cs="宋体"/>
          <w:b/>
          <w:bCs/>
          <w:color w:val="auto"/>
          <w:sz w:val="32"/>
          <w:szCs w:val="32"/>
          <w:highlight w:val="none"/>
        </w:rPr>
        <w:t>月</w:t>
      </w:r>
    </w:p>
    <w:p>
      <w:pPr>
        <w:pStyle w:val="11"/>
        <w:rPr>
          <w:color w:val="auto"/>
          <w:highlight w:val="none"/>
        </w:rPr>
      </w:pPr>
    </w:p>
    <w:p>
      <w:pPr>
        <w:spacing w:before="317" w:beforeLines="100" w:after="317" w:afterLines="100"/>
        <w:jc w:val="center"/>
        <w:rPr>
          <w:color w:val="auto"/>
          <w:sz w:val="32"/>
          <w:szCs w:val="40"/>
          <w:highlight w:val="none"/>
        </w:rPr>
      </w:pPr>
      <w:r>
        <w:rPr>
          <w:rFonts w:ascii="宋体" w:hAnsi="宋体"/>
          <w:color w:val="auto"/>
          <w:sz w:val="32"/>
          <w:szCs w:val="40"/>
          <w:highlight w:val="none"/>
        </w:rPr>
        <w:t>目录</w:t>
      </w:r>
    </w:p>
    <w:p>
      <w:pPr>
        <w:pStyle w:val="37"/>
        <w:tabs>
          <w:tab w:val="right" w:leader="dot" w:pos="9639"/>
        </w:tabs>
        <w:spacing w:line="600" w:lineRule="auto"/>
        <w:rPr>
          <w:color w:val="auto"/>
          <w:sz w:val="24"/>
          <w:szCs w:val="24"/>
          <w:highlight w:val="none"/>
        </w:rPr>
      </w:pPr>
      <w:r>
        <w:rPr>
          <w:rFonts w:ascii="宋体" w:hAnsi="宋体"/>
          <w:b/>
          <w:bCs/>
          <w:color w:val="auto"/>
          <w:sz w:val="24"/>
          <w:szCs w:val="24"/>
          <w:highlight w:val="none"/>
        </w:rPr>
        <w:fldChar w:fldCharType="begin"/>
      </w:r>
      <w:r>
        <w:rPr>
          <w:rFonts w:ascii="宋体" w:hAnsi="宋体"/>
          <w:b/>
          <w:bCs/>
          <w:color w:val="auto"/>
          <w:sz w:val="24"/>
          <w:szCs w:val="24"/>
          <w:highlight w:val="none"/>
        </w:rPr>
        <w:instrText xml:space="preserve">TOC \o "1-1" \h \u </w:instrText>
      </w:r>
      <w:r>
        <w:rPr>
          <w:rFonts w:ascii="宋体" w:hAnsi="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"_Toc24234" </w:instrText>
      </w:r>
      <w:r>
        <w:rPr>
          <w:color w:val="auto"/>
          <w:highlight w:val="none"/>
        </w:rPr>
        <w:fldChar w:fldCharType="separate"/>
      </w:r>
      <w:r>
        <w:rPr>
          <w:rFonts w:hint="eastAsia" w:ascii="宋体" w:hAnsi="宋体"/>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_Toc24234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pPr>
        <w:pStyle w:val="37"/>
        <w:tabs>
          <w:tab w:val="right" w:leader="dot" w:pos="9639"/>
        </w:tabs>
        <w:spacing w:line="600" w:lineRule="auto"/>
        <w:rPr>
          <w:color w:val="auto"/>
          <w:sz w:val="24"/>
          <w:szCs w:val="24"/>
          <w:highlight w:val="none"/>
        </w:rPr>
      </w:pPr>
      <w:r>
        <w:rPr>
          <w:color w:val="auto"/>
          <w:highlight w:val="none"/>
        </w:rPr>
        <w:fldChar w:fldCharType="begin"/>
      </w:r>
      <w:r>
        <w:rPr>
          <w:color w:val="auto"/>
          <w:highlight w:val="none"/>
        </w:rPr>
        <w:instrText xml:space="preserve"> HYPERLINK \l "_Toc21594" </w:instrText>
      </w:r>
      <w:r>
        <w:rPr>
          <w:color w:val="auto"/>
          <w:highlight w:val="none"/>
        </w:rPr>
        <w:fldChar w:fldCharType="separate"/>
      </w:r>
      <w:r>
        <w:rPr>
          <w:rFonts w:ascii="宋体" w:hAnsi="宋体"/>
          <w:color w:val="auto"/>
          <w:sz w:val="24"/>
          <w:szCs w:val="24"/>
          <w:highlight w:val="none"/>
        </w:rPr>
        <w:t>第二章  投标人须知</w:t>
      </w:r>
      <w:r>
        <w:rPr>
          <w:color w:val="auto"/>
          <w:sz w:val="24"/>
          <w:szCs w:val="24"/>
          <w:highlight w:val="none"/>
        </w:rPr>
        <w:tab/>
      </w:r>
      <w:r>
        <w:rPr>
          <w:rFonts w:hint="eastAsia"/>
          <w:color w:val="auto"/>
          <w:sz w:val="24"/>
          <w:szCs w:val="24"/>
          <w:highlight w:val="none"/>
        </w:rPr>
        <w:t>4</w:t>
      </w:r>
      <w:r>
        <w:rPr>
          <w:rFonts w:hint="eastAsia"/>
          <w:color w:val="auto"/>
          <w:sz w:val="24"/>
          <w:szCs w:val="24"/>
          <w:highlight w:val="none"/>
        </w:rPr>
        <w:fldChar w:fldCharType="end"/>
      </w:r>
    </w:p>
    <w:p>
      <w:pPr>
        <w:pStyle w:val="37"/>
        <w:tabs>
          <w:tab w:val="right" w:leader="dot" w:pos="9781"/>
        </w:tabs>
        <w:spacing w:line="600" w:lineRule="auto"/>
        <w:rPr>
          <w:rFonts w:hint="eastAsia"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"_Toc29139" </w:instrText>
      </w:r>
      <w:r>
        <w:rPr>
          <w:color w:val="auto"/>
          <w:highlight w:val="none"/>
        </w:rPr>
        <w:fldChar w:fldCharType="separate"/>
      </w:r>
      <w:r>
        <w:rPr>
          <w:rFonts w:hint="eastAsia" w:ascii="宋体" w:hAnsi="宋体"/>
          <w:color w:val="auto"/>
          <w:sz w:val="24"/>
          <w:szCs w:val="24"/>
          <w:highlight w:val="none"/>
        </w:rPr>
        <w:t>第三章  评标办法（综合评分法）</w:t>
      </w:r>
      <w:r>
        <w:rPr>
          <w:color w:val="auto"/>
          <w:sz w:val="24"/>
          <w:szCs w:val="24"/>
          <w:highlight w:val="none"/>
        </w:rPr>
        <w:tab/>
      </w:r>
      <w:r>
        <w:rPr>
          <w:rFonts w:hint="eastAsia"/>
          <w:color w:val="auto"/>
          <w:sz w:val="24"/>
          <w:szCs w:val="24"/>
          <w:highlight w:val="none"/>
          <w:lang w:val="en-US" w:eastAsia="zh-CN"/>
        </w:rPr>
        <w:t>2</w:t>
      </w:r>
      <w:r>
        <w:rPr>
          <w:rFonts w:hint="eastAsia"/>
          <w:color w:val="auto"/>
          <w:sz w:val="24"/>
          <w:szCs w:val="24"/>
          <w:highlight w:val="none"/>
        </w:rPr>
        <w:fldChar w:fldCharType="end"/>
      </w:r>
      <w:r>
        <w:rPr>
          <w:rFonts w:hint="eastAsia"/>
          <w:color w:val="auto"/>
          <w:sz w:val="24"/>
          <w:szCs w:val="24"/>
          <w:highlight w:val="none"/>
          <w:lang w:val="en-US" w:eastAsia="zh-CN"/>
        </w:rPr>
        <w:t>0</w:t>
      </w:r>
    </w:p>
    <w:p>
      <w:pPr>
        <w:pStyle w:val="37"/>
        <w:tabs>
          <w:tab w:val="right" w:leader="dot" w:pos="9781"/>
        </w:tabs>
        <w:spacing w:line="600" w:lineRule="auto"/>
        <w:rPr>
          <w:rFonts w:hint="eastAsia"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"_Toc1147" </w:instrText>
      </w:r>
      <w:r>
        <w:rPr>
          <w:color w:val="auto"/>
          <w:highlight w:val="none"/>
        </w:rPr>
        <w:fldChar w:fldCharType="separate"/>
      </w:r>
      <w:r>
        <w:rPr>
          <w:rFonts w:hint="eastAsia" w:ascii="宋体" w:hAnsi="宋体" w:cs="宋体"/>
          <w:color w:val="auto"/>
          <w:sz w:val="24"/>
          <w:szCs w:val="24"/>
          <w:highlight w:val="none"/>
        </w:rPr>
        <w:t>第四章  合同条款及格式</w:t>
      </w:r>
      <w:r>
        <w:rPr>
          <w:color w:val="auto"/>
          <w:sz w:val="24"/>
          <w:szCs w:val="24"/>
          <w:highlight w:val="none"/>
        </w:rPr>
        <w:tab/>
      </w:r>
      <w:r>
        <w:rPr>
          <w:rFonts w:hint="eastAsia"/>
          <w:color w:val="auto"/>
          <w:sz w:val="24"/>
          <w:szCs w:val="24"/>
          <w:highlight w:val="none"/>
          <w:lang w:val="en-US" w:eastAsia="zh-CN"/>
        </w:rPr>
        <w:t>2</w:t>
      </w:r>
      <w:r>
        <w:rPr>
          <w:rFonts w:hint="eastAsia"/>
          <w:color w:val="auto"/>
          <w:sz w:val="24"/>
          <w:szCs w:val="24"/>
          <w:highlight w:val="none"/>
        </w:rPr>
        <w:fldChar w:fldCharType="end"/>
      </w:r>
      <w:r>
        <w:rPr>
          <w:rFonts w:hint="eastAsia"/>
          <w:color w:val="auto"/>
          <w:sz w:val="24"/>
          <w:szCs w:val="24"/>
          <w:highlight w:val="none"/>
          <w:lang w:val="en-US" w:eastAsia="zh-CN"/>
        </w:rPr>
        <w:t>4</w:t>
      </w:r>
    </w:p>
    <w:p>
      <w:pPr>
        <w:pStyle w:val="37"/>
        <w:tabs>
          <w:tab w:val="right" w:leader="dot" w:pos="9781"/>
        </w:tabs>
        <w:spacing w:line="600" w:lineRule="auto"/>
        <w:rPr>
          <w:rFonts w:hint="eastAsia"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"_Toc5948" </w:instrText>
      </w:r>
      <w:r>
        <w:rPr>
          <w:color w:val="auto"/>
          <w:highlight w:val="none"/>
        </w:rPr>
        <w:fldChar w:fldCharType="separate"/>
      </w:r>
      <w:r>
        <w:rPr>
          <w:rFonts w:hint="eastAsia" w:ascii="宋体" w:hAnsi="宋体" w:cs="宋体"/>
          <w:color w:val="auto"/>
          <w:sz w:val="24"/>
          <w:szCs w:val="24"/>
          <w:highlight w:val="none"/>
        </w:rPr>
        <w:t>第五章  采购需求</w:t>
      </w:r>
      <w:r>
        <w:rPr>
          <w:color w:val="auto"/>
          <w:sz w:val="24"/>
          <w:szCs w:val="24"/>
          <w:highlight w:val="none"/>
        </w:rPr>
        <w:tab/>
      </w:r>
      <w:r>
        <w:rPr>
          <w:rFonts w:hint="eastAsia"/>
          <w:color w:val="auto"/>
          <w:sz w:val="24"/>
          <w:szCs w:val="24"/>
          <w:highlight w:val="none"/>
          <w:lang w:val="en-US" w:eastAsia="zh-CN"/>
        </w:rPr>
        <w:t>3</w:t>
      </w:r>
      <w:r>
        <w:rPr>
          <w:rFonts w:hint="eastAsia"/>
          <w:color w:val="auto"/>
          <w:sz w:val="24"/>
          <w:szCs w:val="24"/>
          <w:highlight w:val="none"/>
        </w:rPr>
        <w:fldChar w:fldCharType="end"/>
      </w:r>
      <w:r>
        <w:rPr>
          <w:rFonts w:hint="eastAsia"/>
          <w:color w:val="auto"/>
          <w:sz w:val="24"/>
          <w:szCs w:val="24"/>
          <w:highlight w:val="none"/>
          <w:lang w:val="en-US" w:eastAsia="zh-CN"/>
        </w:rPr>
        <w:t>3</w:t>
      </w:r>
    </w:p>
    <w:p>
      <w:pPr>
        <w:pStyle w:val="37"/>
        <w:tabs>
          <w:tab w:val="right" w:leader="dot" w:pos="9781"/>
        </w:tabs>
        <w:spacing w:line="600" w:lineRule="auto"/>
        <w:rPr>
          <w:color w:val="auto"/>
          <w:sz w:val="24"/>
          <w:szCs w:val="24"/>
          <w:highlight w:val="none"/>
        </w:rPr>
      </w:pPr>
      <w:r>
        <w:rPr>
          <w:color w:val="auto"/>
          <w:highlight w:val="none"/>
        </w:rPr>
        <w:fldChar w:fldCharType="begin"/>
      </w:r>
      <w:r>
        <w:rPr>
          <w:color w:val="auto"/>
          <w:highlight w:val="none"/>
        </w:rPr>
        <w:instrText xml:space="preserve"> HYPERLINK \l "_Toc6908" </w:instrText>
      </w:r>
      <w:r>
        <w:rPr>
          <w:color w:val="auto"/>
          <w:highlight w:val="none"/>
        </w:rPr>
        <w:fldChar w:fldCharType="separate"/>
      </w:r>
      <w:r>
        <w:rPr>
          <w:rFonts w:hint="eastAsia" w:ascii="宋体" w:hAnsi="宋体"/>
          <w:color w:val="auto"/>
          <w:sz w:val="24"/>
          <w:szCs w:val="24"/>
          <w:highlight w:val="none"/>
        </w:rPr>
        <w:t>第六章  投标文件格式</w:t>
      </w:r>
      <w:r>
        <w:rPr>
          <w:color w:val="auto"/>
          <w:sz w:val="24"/>
          <w:szCs w:val="24"/>
          <w:highlight w:val="none"/>
        </w:rPr>
        <w:tab/>
      </w:r>
      <w:r>
        <w:rPr>
          <w:rFonts w:hint="eastAsia"/>
          <w:color w:val="auto"/>
          <w:sz w:val="24"/>
          <w:szCs w:val="24"/>
          <w:highlight w:val="none"/>
        </w:rPr>
        <w:t>3</w:t>
      </w:r>
      <w:r>
        <w:rPr>
          <w:rFonts w:hint="eastAsia"/>
          <w:color w:val="auto"/>
          <w:sz w:val="24"/>
          <w:szCs w:val="24"/>
          <w:highlight w:val="none"/>
          <w:lang w:val="en-US" w:eastAsia="zh-CN"/>
        </w:rPr>
        <w:t>4</w:t>
      </w:r>
      <w:r>
        <w:rPr>
          <w:rFonts w:hint="eastAsia"/>
          <w:color w:val="auto"/>
          <w:sz w:val="24"/>
          <w:szCs w:val="24"/>
          <w:highlight w:val="none"/>
        </w:rPr>
        <w:fldChar w:fldCharType="end"/>
      </w:r>
    </w:p>
    <w:p>
      <w:pPr>
        <w:spacing w:line="600" w:lineRule="auto"/>
        <w:rPr>
          <w:rFonts w:ascii="宋体" w:hAnsi="宋体"/>
          <w:b/>
          <w:bCs/>
          <w:color w:val="auto"/>
          <w:sz w:val="32"/>
          <w:szCs w:val="32"/>
          <w:highlight w:val="none"/>
        </w:rPr>
      </w:pPr>
      <w:r>
        <w:rPr>
          <w:rFonts w:ascii="宋体" w:hAnsi="宋体"/>
          <w:bCs/>
          <w:color w:val="auto"/>
          <w:sz w:val="24"/>
          <w:highlight w:val="none"/>
        </w:rPr>
        <w:fldChar w:fldCharType="end"/>
      </w:r>
    </w:p>
    <w:p>
      <w:pPr>
        <w:pStyle w:val="11"/>
        <w:rPr>
          <w:rFonts w:ascii="宋体" w:hAnsi="宋体"/>
          <w:b/>
          <w:bCs/>
          <w:color w:val="auto"/>
          <w:sz w:val="32"/>
          <w:szCs w:val="32"/>
          <w:highlight w:val="none"/>
        </w:rPr>
      </w:pPr>
    </w:p>
    <w:p>
      <w:pPr>
        <w:rPr>
          <w:rFonts w:ascii="宋体" w:hAnsi="宋体"/>
          <w:b/>
          <w:bCs/>
          <w:color w:val="auto"/>
          <w:sz w:val="32"/>
          <w:szCs w:val="32"/>
          <w:highlight w:val="none"/>
        </w:rPr>
      </w:pPr>
    </w:p>
    <w:p>
      <w:pPr>
        <w:pStyle w:val="11"/>
        <w:rPr>
          <w:rFonts w:ascii="宋体" w:hAnsi="宋体"/>
          <w:b/>
          <w:bCs/>
          <w:color w:val="auto"/>
          <w:sz w:val="32"/>
          <w:szCs w:val="32"/>
          <w:highlight w:val="none"/>
        </w:rPr>
      </w:pPr>
    </w:p>
    <w:p>
      <w:pPr>
        <w:rPr>
          <w:rFonts w:ascii="宋体" w:hAnsi="宋体"/>
          <w:b/>
          <w:bCs/>
          <w:color w:val="auto"/>
          <w:sz w:val="32"/>
          <w:szCs w:val="32"/>
          <w:highlight w:val="none"/>
        </w:rPr>
      </w:pPr>
    </w:p>
    <w:p>
      <w:pPr>
        <w:pStyle w:val="11"/>
        <w:rPr>
          <w:color w:val="auto"/>
          <w:highlight w:val="none"/>
        </w:rPr>
      </w:pPr>
    </w:p>
    <w:p>
      <w:pPr>
        <w:spacing w:line="800" w:lineRule="exact"/>
        <w:jc w:val="center"/>
        <w:rPr>
          <w:rFonts w:ascii="宋体" w:hAnsi="宋体"/>
          <w:b/>
          <w:bCs/>
          <w:color w:val="auto"/>
          <w:sz w:val="32"/>
          <w:szCs w:val="32"/>
          <w:highlight w:val="none"/>
        </w:rPr>
      </w:pPr>
    </w:p>
    <w:p>
      <w:pPr>
        <w:spacing w:line="800" w:lineRule="exact"/>
        <w:jc w:val="center"/>
        <w:rPr>
          <w:rFonts w:ascii="宋体" w:hAnsi="宋体"/>
          <w:b/>
          <w:bCs/>
          <w:color w:val="auto"/>
          <w:sz w:val="32"/>
          <w:szCs w:val="32"/>
          <w:highlight w:val="none"/>
        </w:rPr>
      </w:pPr>
    </w:p>
    <w:p>
      <w:pPr>
        <w:pStyle w:val="6"/>
        <w:spacing w:before="0" w:after="0" w:line="360" w:lineRule="auto"/>
        <w:rPr>
          <w:rFonts w:ascii="宋体" w:hAnsi="宋体"/>
          <w:color w:val="auto"/>
          <w:sz w:val="40"/>
          <w:szCs w:val="40"/>
          <w:highlight w:val="none"/>
        </w:rPr>
        <w:sectPr>
          <w:footerReference r:id="rId4" w:type="default"/>
          <w:pgSz w:w="11905" w:h="16838"/>
          <w:pgMar w:top="1134" w:right="1304" w:bottom="1134" w:left="1304" w:header="850" w:footer="992" w:gutter="0"/>
          <w:cols w:space="720" w:num="1"/>
          <w:docGrid w:type="lines" w:linePitch="317" w:charSpace="0"/>
        </w:sectPr>
      </w:pPr>
      <w:bookmarkStart w:id="0" w:name="_Toc24234"/>
      <w:bookmarkStart w:id="1" w:name="_Toc508216877"/>
      <w:bookmarkStart w:id="2" w:name="_Toc369077550"/>
      <w:bookmarkStart w:id="3" w:name="OLE_LINK4"/>
      <w:bookmarkStart w:id="4" w:name="_Toc368759511"/>
      <w:bookmarkStart w:id="5" w:name="OLE_LINK1"/>
      <w:bookmarkStart w:id="6" w:name="OLE_LINK3"/>
      <w:bookmarkStart w:id="7" w:name="OLE_LINK2"/>
      <w:bookmarkStart w:id="8" w:name="OLE_LINK5"/>
      <w:bookmarkStart w:id="9" w:name="OLE_LINK6"/>
    </w:p>
    <w:p>
      <w:pPr>
        <w:pStyle w:val="6"/>
        <w:spacing w:before="0" w:after="0" w:line="360" w:lineRule="auto"/>
        <w:rPr>
          <w:rFonts w:ascii="宋体" w:hAnsi="宋体"/>
          <w:color w:val="auto"/>
          <w:highlight w:val="none"/>
        </w:rPr>
      </w:pPr>
      <w:r>
        <w:rPr>
          <w:rFonts w:hint="eastAsia" w:ascii="宋体" w:hAnsi="宋体"/>
          <w:color w:val="auto"/>
          <w:sz w:val="40"/>
          <w:szCs w:val="40"/>
          <w:highlight w:val="none"/>
        </w:rPr>
        <w:t>第一章  招标公告</w:t>
      </w:r>
      <w:bookmarkEnd w:id="0"/>
      <w:bookmarkEnd w:id="1"/>
    </w:p>
    <w:p>
      <w:pPr>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项目概况：</w:t>
      </w:r>
      <w:r>
        <w:rPr>
          <w:rFonts w:hint="eastAsia"/>
          <w:color w:val="auto"/>
          <w:sz w:val="21"/>
          <w:szCs w:val="21"/>
          <w:highlight w:val="none"/>
          <w:u w:val="single"/>
          <w:lang w:eastAsia="zh-CN"/>
        </w:rPr>
        <w:t>大丰港区蒸汽管道运维服务</w:t>
      </w:r>
      <w:r>
        <w:rPr>
          <w:rFonts w:hint="eastAsia"/>
          <w:color w:val="auto"/>
          <w:sz w:val="21"/>
          <w:szCs w:val="21"/>
          <w:highlight w:val="none"/>
        </w:rPr>
        <w:t>的潜在投标人应在“新点电子交易平台-大丰政府采购系统”（网址：</w:t>
      </w:r>
      <w:r>
        <w:rPr>
          <w:color w:val="auto"/>
          <w:sz w:val="21"/>
          <w:szCs w:val="21"/>
          <w:highlight w:val="none"/>
        </w:rPr>
        <w:fldChar w:fldCharType="begin"/>
      </w:r>
      <w:r>
        <w:rPr>
          <w:color w:val="auto"/>
          <w:sz w:val="21"/>
          <w:szCs w:val="21"/>
          <w:highlight w:val="none"/>
        </w:rPr>
        <w:instrText xml:space="preserve"> HYPERLINK "https://www.etrading.cn/BREpointSSO/login/oauth2login）获取招标文件，并于2022年" </w:instrText>
      </w:r>
      <w:r>
        <w:rPr>
          <w:color w:val="auto"/>
          <w:sz w:val="21"/>
          <w:szCs w:val="21"/>
          <w:highlight w:val="none"/>
        </w:rPr>
        <w:fldChar w:fldCharType="separate"/>
      </w:r>
      <w:r>
        <w:rPr>
          <w:rFonts w:hint="eastAsia"/>
          <w:color w:val="auto"/>
          <w:sz w:val="21"/>
          <w:szCs w:val="21"/>
          <w:highlight w:val="none"/>
        </w:rPr>
        <w:t>https://www.etrading.cn/BREpointSSO/login/oauth2login）获取招标文件，并于</w:t>
      </w:r>
      <w:r>
        <w:rPr>
          <w:rFonts w:hint="eastAsia"/>
          <w:color w:val="auto"/>
          <w:sz w:val="21"/>
          <w:szCs w:val="21"/>
          <w:highlight w:val="none"/>
          <w:u w:val="single"/>
        </w:rPr>
        <w:t>202</w:t>
      </w:r>
      <w:r>
        <w:rPr>
          <w:rFonts w:hint="eastAsia"/>
          <w:color w:val="auto"/>
          <w:sz w:val="21"/>
          <w:szCs w:val="21"/>
          <w:highlight w:val="none"/>
          <w:u w:val="single"/>
          <w:lang w:val="en-US" w:eastAsia="zh-CN"/>
        </w:rPr>
        <w:t>4</w:t>
      </w:r>
      <w:r>
        <w:rPr>
          <w:rFonts w:hint="eastAsia"/>
          <w:color w:val="auto"/>
          <w:sz w:val="21"/>
          <w:szCs w:val="21"/>
          <w:highlight w:val="none"/>
        </w:rPr>
        <w:t>年</w:t>
      </w:r>
      <w:r>
        <w:rPr>
          <w:rFonts w:hint="eastAsia"/>
          <w:color w:val="auto"/>
          <w:sz w:val="21"/>
          <w:szCs w:val="21"/>
          <w:highlight w:val="none"/>
        </w:rPr>
        <w:fldChar w:fldCharType="end"/>
      </w:r>
      <w:r>
        <w:rPr>
          <w:rFonts w:hint="eastAsia"/>
          <w:color w:val="auto"/>
          <w:sz w:val="21"/>
          <w:szCs w:val="21"/>
          <w:highlight w:val="none"/>
          <w:u w:val="single"/>
          <w:lang w:val="en-US" w:eastAsia="zh-CN"/>
        </w:rPr>
        <w:t xml:space="preserve"> 06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19</w:t>
      </w:r>
      <w:r>
        <w:rPr>
          <w:rFonts w:hint="eastAsia"/>
          <w:color w:val="auto"/>
          <w:sz w:val="21"/>
          <w:szCs w:val="21"/>
          <w:highlight w:val="none"/>
        </w:rPr>
        <w:t>日</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09 </w:t>
      </w:r>
      <w:r>
        <w:rPr>
          <w:rFonts w:hint="eastAsia"/>
          <w:color w:val="auto"/>
          <w:sz w:val="21"/>
          <w:szCs w:val="21"/>
          <w:highlight w:val="none"/>
          <w:u w:val="none"/>
        </w:rPr>
        <w:t>时</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00</w:t>
      </w:r>
      <w:r>
        <w:rPr>
          <w:rFonts w:hint="eastAsia"/>
          <w:color w:val="auto"/>
          <w:sz w:val="21"/>
          <w:szCs w:val="21"/>
          <w:highlight w:val="none"/>
        </w:rPr>
        <w:t>分</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00 </w:t>
      </w:r>
      <w:r>
        <w:rPr>
          <w:rFonts w:hint="eastAsia"/>
          <w:color w:val="auto"/>
          <w:sz w:val="21"/>
          <w:szCs w:val="21"/>
          <w:highlight w:val="none"/>
        </w:rPr>
        <w:t>秒（北京时间）前递交投标文件。</w:t>
      </w:r>
    </w:p>
    <w:p>
      <w:pPr>
        <w:spacing w:line="46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一、项目基本概况</w:t>
      </w:r>
    </w:p>
    <w:p>
      <w:pPr>
        <w:spacing w:line="46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（1）项目编号：DFCG202405007</w:t>
      </w:r>
      <w:r>
        <w:rPr>
          <w:rFonts w:hint="eastAsia" w:ascii="宋体" w:hAnsi="宋体" w:cs="宋体"/>
          <w:color w:val="auto"/>
          <w:sz w:val="21"/>
          <w:szCs w:val="21"/>
          <w:highlight w:val="none"/>
          <w:lang w:val="en-US" w:eastAsia="zh-CN"/>
        </w:rPr>
        <w:t xml:space="preserve"> </w:t>
      </w:r>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（2）项目名称：</w:t>
      </w:r>
      <w:r>
        <w:rPr>
          <w:rFonts w:hint="eastAsia" w:ascii="宋体" w:hAnsi="宋体" w:cs="宋体"/>
          <w:color w:val="auto"/>
          <w:sz w:val="21"/>
          <w:szCs w:val="21"/>
          <w:highlight w:val="none"/>
          <w:lang w:eastAsia="zh-CN"/>
        </w:rPr>
        <w:t>大丰港区蒸汽管道运维服务</w:t>
      </w:r>
      <w:r>
        <w:rPr>
          <w:rFonts w:hint="eastAsia" w:ascii="宋体" w:hAnsi="宋体" w:cs="宋体"/>
          <w:color w:val="auto"/>
          <w:sz w:val="21"/>
          <w:szCs w:val="21"/>
          <w:highlight w:val="none"/>
        </w:rPr>
        <w:t xml:space="preserve"> </w:t>
      </w:r>
    </w:p>
    <w:p>
      <w:pPr>
        <w:spacing w:line="460" w:lineRule="exact"/>
        <w:ind w:firstLine="420" w:firstLineChars="200"/>
        <w:rPr>
          <w:color w:val="auto"/>
          <w:sz w:val="21"/>
          <w:szCs w:val="21"/>
          <w:highlight w:val="none"/>
        </w:rPr>
      </w:pPr>
      <w:r>
        <w:rPr>
          <w:rFonts w:hint="eastAsia" w:ascii="宋体" w:hAnsi="宋体" w:cs="宋体"/>
          <w:color w:val="auto"/>
          <w:sz w:val="21"/>
          <w:szCs w:val="21"/>
          <w:highlight w:val="none"/>
        </w:rPr>
        <w:t>（3）预算金额：</w:t>
      </w:r>
      <w:r>
        <w:rPr>
          <w:rFonts w:hint="eastAsia" w:ascii="宋体" w:hAnsi="宋体" w:cs="宋体"/>
          <w:color w:val="auto"/>
          <w:sz w:val="21"/>
          <w:szCs w:val="21"/>
          <w:highlight w:val="none"/>
          <w:lang w:val="en-US" w:eastAsia="zh-CN"/>
        </w:rPr>
        <w:t>57.45</w:t>
      </w:r>
      <w:r>
        <w:rPr>
          <w:rFonts w:hint="eastAsia" w:ascii="宋体" w:hAnsi="宋体" w:cs="宋体"/>
          <w:color w:val="auto"/>
          <w:sz w:val="21"/>
          <w:szCs w:val="21"/>
          <w:highlight w:val="none"/>
        </w:rPr>
        <w:t>万元</w:t>
      </w:r>
    </w:p>
    <w:p>
      <w:pPr>
        <w:spacing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（4）最高限价：</w:t>
      </w:r>
      <w:r>
        <w:rPr>
          <w:rFonts w:hint="eastAsia" w:ascii="宋体" w:hAnsi="宋体" w:cs="宋体"/>
          <w:color w:val="auto"/>
          <w:sz w:val="21"/>
          <w:szCs w:val="21"/>
          <w:highlight w:val="none"/>
          <w:lang w:val="en-US" w:eastAsia="zh-CN"/>
        </w:rPr>
        <w:t>57.45</w:t>
      </w:r>
      <w:r>
        <w:rPr>
          <w:rFonts w:hint="eastAsia" w:ascii="宋体" w:hAnsi="宋体" w:cs="宋体"/>
          <w:color w:val="auto"/>
          <w:sz w:val="21"/>
          <w:szCs w:val="21"/>
          <w:highlight w:val="none"/>
        </w:rPr>
        <w:t>万元</w:t>
      </w:r>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（5）采购需求：</w:t>
      </w:r>
      <w:r>
        <w:rPr>
          <w:rFonts w:hint="eastAsia" w:ascii="宋体" w:hAnsi="宋体" w:cs="宋体"/>
          <w:color w:val="auto"/>
          <w:sz w:val="21"/>
          <w:szCs w:val="21"/>
          <w:highlight w:val="none"/>
          <w:lang w:eastAsia="zh-CN"/>
        </w:rPr>
        <w:t>大丰港区蒸汽管道</w:t>
      </w:r>
      <w:r>
        <w:rPr>
          <w:rFonts w:hint="eastAsia" w:ascii="宋体" w:hAnsi="宋体" w:cs="宋体"/>
          <w:color w:val="auto"/>
          <w:sz w:val="21"/>
          <w:szCs w:val="21"/>
          <w:highlight w:val="none"/>
        </w:rPr>
        <w:t>运行、维护、服务。具体内容详见本项目招标文件采购需求。</w:t>
      </w:r>
    </w:p>
    <w:p>
      <w:pPr>
        <w:spacing w:line="46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（6）合同履行期限：自合同签订之日起1年。</w:t>
      </w:r>
    </w:p>
    <w:p>
      <w:pPr>
        <w:spacing w:line="46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二、申请人的资格要求：</w:t>
      </w:r>
    </w:p>
    <w:p>
      <w:pPr>
        <w:spacing w:line="460" w:lineRule="exact"/>
        <w:ind w:firstLine="630" w:firstLineChars="300"/>
        <w:rPr>
          <w:rFonts w:hint="eastAsia" w:ascii="宋体" w:hAnsi="宋体" w:cs="宋体"/>
          <w:b/>
          <w:bCs/>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投标申请人必须是中华人民共和国境内注册的独立法人或其他组织，具有独立订立合同的能力；</w:t>
      </w:r>
    </w:p>
    <w:p>
      <w:pPr>
        <w:widowControl/>
        <w:shd w:val="clear" w:color="auto" w:fill="FFFFFF"/>
        <w:spacing w:line="460" w:lineRule="exact"/>
        <w:ind w:firstLine="688" w:firstLineChars="328"/>
        <w:jc w:val="left"/>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2、未被“信用中国”、“信用江苏”、“信用中国（江苏盐城）”等网站列入失信被执行人；</w:t>
      </w:r>
    </w:p>
    <w:p>
      <w:pPr>
        <w:widowControl/>
        <w:shd w:val="clear" w:color="auto" w:fill="FFFFFF"/>
        <w:spacing w:line="460" w:lineRule="exact"/>
        <w:ind w:firstLine="688" w:firstLineChars="328"/>
        <w:jc w:val="left"/>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lang w:val="en-US" w:eastAsia="zh-CN"/>
        </w:rPr>
        <w:t>3</w:t>
      </w:r>
      <w:r>
        <w:rPr>
          <w:rFonts w:hint="eastAsia" w:ascii="宋体" w:hAnsi="宋体" w:cs="宋体"/>
          <w:color w:val="auto"/>
          <w:kern w:val="0"/>
          <w:sz w:val="21"/>
          <w:szCs w:val="21"/>
          <w:highlight w:val="none"/>
          <w:shd w:val="clear" w:color="auto" w:fill="FFFFFF"/>
        </w:rPr>
        <w:t>、单位负责人为同一人或者存在直接控股、管理关系的不同供应商，不得同时参加本项目采购活动；</w:t>
      </w:r>
    </w:p>
    <w:p>
      <w:pPr>
        <w:spacing w:line="460" w:lineRule="exact"/>
        <w:ind w:firstLine="630" w:firstLineChars="3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4、满足《中华人民共和国政府采购法》第二十二条规定（投标时提供书面声明，格式见附件）</w:t>
      </w:r>
    </w:p>
    <w:p>
      <w:pPr>
        <w:spacing w:line="460" w:lineRule="exact"/>
        <w:ind w:firstLine="630" w:firstLineChars="3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5、本次招标</w:t>
      </w:r>
      <w:r>
        <w:rPr>
          <w:rFonts w:hint="eastAsia" w:ascii="宋体" w:hAnsi="宋体" w:cs="宋体"/>
          <w:b w:val="0"/>
          <w:bCs w:val="0"/>
          <w:color w:val="auto"/>
          <w:sz w:val="21"/>
          <w:szCs w:val="21"/>
          <w:highlight w:val="none"/>
          <w:u w:val="single"/>
          <w:lang w:val="en-US" w:eastAsia="zh-CN"/>
        </w:rPr>
        <w:t>不接受</w:t>
      </w:r>
      <w:r>
        <w:rPr>
          <w:rFonts w:hint="eastAsia" w:ascii="宋体" w:hAnsi="宋体" w:cs="宋体"/>
          <w:b w:val="0"/>
          <w:bCs w:val="0"/>
          <w:color w:val="auto"/>
          <w:sz w:val="21"/>
          <w:szCs w:val="21"/>
          <w:highlight w:val="none"/>
          <w:lang w:val="en-US" w:eastAsia="zh-CN"/>
        </w:rPr>
        <w:t>联合体投标；</w:t>
      </w:r>
    </w:p>
    <w:p>
      <w:pPr>
        <w:spacing w:line="460" w:lineRule="exact"/>
        <w:ind w:firstLine="630" w:firstLineChars="3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6、符合相关法律、法规规定的其他要求。</w:t>
      </w:r>
    </w:p>
    <w:p>
      <w:pPr>
        <w:widowControl/>
        <w:spacing w:line="460" w:lineRule="exact"/>
        <w:ind w:firstLine="422" w:firstLineChars="200"/>
        <w:jc w:val="left"/>
        <w:rPr>
          <w:rFonts w:ascii="宋体" w:hAnsi="宋体" w:cs="宋体"/>
          <w:color w:val="auto"/>
          <w:sz w:val="21"/>
          <w:szCs w:val="21"/>
          <w:highlight w:val="none"/>
        </w:rPr>
      </w:pPr>
      <w:r>
        <w:rPr>
          <w:rFonts w:hint="eastAsia" w:ascii="宋体" w:hAnsi="宋体" w:cs="宋体"/>
          <w:b/>
          <w:bCs/>
          <w:color w:val="auto"/>
          <w:sz w:val="21"/>
          <w:szCs w:val="21"/>
          <w:highlight w:val="none"/>
        </w:rPr>
        <w:t>三、获取招标文件</w:t>
      </w:r>
    </w:p>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1、请各投标申请人于</w:t>
      </w:r>
      <w:r>
        <w:rPr>
          <w:rFonts w:hint="eastAsia" w:ascii="宋体" w:hAnsi="宋体" w:cs="宋体"/>
          <w:b/>
          <w:color w:val="auto"/>
          <w:sz w:val="21"/>
          <w:szCs w:val="21"/>
          <w:highlight w:val="none"/>
          <w:u w:val="single"/>
        </w:rPr>
        <w:t>202</w:t>
      </w:r>
      <w:r>
        <w:rPr>
          <w:rFonts w:hint="eastAsia" w:ascii="宋体" w:hAnsi="宋体" w:cs="宋体"/>
          <w:b/>
          <w:color w:val="auto"/>
          <w:sz w:val="21"/>
          <w:szCs w:val="21"/>
          <w:highlight w:val="none"/>
          <w:u w:val="single"/>
          <w:lang w:val="en-US" w:eastAsia="zh-CN"/>
        </w:rPr>
        <w:t>4</w:t>
      </w:r>
      <w:r>
        <w:rPr>
          <w:rFonts w:hint="eastAsia" w:ascii="宋体" w:hAnsi="宋体" w:cs="宋体"/>
          <w:b/>
          <w:color w:val="auto"/>
          <w:sz w:val="21"/>
          <w:szCs w:val="21"/>
          <w:highlight w:val="none"/>
        </w:rPr>
        <w:t>年</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05</w:t>
      </w:r>
      <w:r>
        <w:rPr>
          <w:rFonts w:hint="eastAsia" w:ascii="宋体" w:hAnsi="宋体" w:cs="宋体"/>
          <w:b/>
          <w:color w:val="auto"/>
          <w:sz w:val="21"/>
          <w:szCs w:val="21"/>
          <w:highlight w:val="none"/>
        </w:rPr>
        <w:t>月</w:t>
      </w:r>
      <w:r>
        <w:rPr>
          <w:rFonts w:hint="eastAsia" w:ascii="宋体" w:hAnsi="宋体" w:cs="宋体"/>
          <w:b/>
          <w:color w:val="auto"/>
          <w:sz w:val="21"/>
          <w:szCs w:val="21"/>
          <w:highlight w:val="none"/>
          <w:u w:val="single"/>
          <w:lang w:val="en-US" w:eastAsia="zh-CN"/>
        </w:rPr>
        <w:t xml:space="preserve"> 28 </w:t>
      </w:r>
      <w:r>
        <w:rPr>
          <w:rFonts w:hint="eastAsia" w:ascii="宋体" w:hAnsi="宋体" w:cs="宋体"/>
          <w:b/>
          <w:color w:val="auto"/>
          <w:sz w:val="21"/>
          <w:szCs w:val="21"/>
          <w:highlight w:val="none"/>
        </w:rPr>
        <w:t>日至</w:t>
      </w:r>
      <w:r>
        <w:rPr>
          <w:rFonts w:hint="eastAsia" w:ascii="宋体" w:hAnsi="宋体" w:cs="宋体"/>
          <w:b/>
          <w:color w:val="auto"/>
          <w:sz w:val="21"/>
          <w:szCs w:val="21"/>
          <w:highlight w:val="none"/>
          <w:u w:val="single"/>
        </w:rPr>
        <w:t>202</w:t>
      </w:r>
      <w:r>
        <w:rPr>
          <w:rFonts w:hint="eastAsia" w:ascii="宋体" w:hAnsi="宋体" w:cs="宋体"/>
          <w:b/>
          <w:color w:val="auto"/>
          <w:sz w:val="21"/>
          <w:szCs w:val="21"/>
          <w:highlight w:val="none"/>
          <w:u w:val="single"/>
          <w:lang w:val="en-US" w:eastAsia="zh-CN"/>
        </w:rPr>
        <w:t>4</w:t>
      </w:r>
      <w:r>
        <w:rPr>
          <w:rFonts w:hint="eastAsia" w:ascii="宋体" w:hAnsi="宋体" w:cs="宋体"/>
          <w:b/>
          <w:color w:val="auto"/>
          <w:sz w:val="21"/>
          <w:szCs w:val="21"/>
          <w:highlight w:val="none"/>
        </w:rPr>
        <w:t>年</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06 </w:t>
      </w:r>
      <w:r>
        <w:rPr>
          <w:rFonts w:hint="eastAsia" w:ascii="宋体" w:hAnsi="宋体" w:cs="宋体"/>
          <w:b/>
          <w:color w:val="auto"/>
          <w:sz w:val="21"/>
          <w:szCs w:val="21"/>
          <w:highlight w:val="none"/>
        </w:rPr>
        <w:t>月</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04  </w:t>
      </w:r>
      <w:r>
        <w:rPr>
          <w:rFonts w:hint="eastAsia" w:ascii="宋体" w:hAnsi="宋体" w:cs="宋体"/>
          <w:color w:val="auto"/>
          <w:sz w:val="21"/>
          <w:szCs w:val="21"/>
          <w:highlight w:val="none"/>
        </w:rPr>
        <w:t>日登入“新点电子交易平台-大丰政府采购系统”（网址：https://www.etrading.cn/BREpointSSO/login/oauth2login）下载招标文件，如在规定时间内未下载招标文件，由此引起的无法投标等情形的，责任自负。</w:t>
      </w:r>
    </w:p>
    <w:p>
      <w:pPr>
        <w:widowControl/>
        <w:spacing w:line="460" w:lineRule="exact"/>
        <w:ind w:firstLine="404" w:firstLineChars="200"/>
        <w:jc w:val="left"/>
        <w:rPr>
          <w:rFonts w:ascii="宋体" w:hAnsi="宋体" w:cs="宋体"/>
          <w:color w:val="auto"/>
          <w:sz w:val="21"/>
          <w:szCs w:val="21"/>
          <w:highlight w:val="none"/>
        </w:rPr>
      </w:pPr>
      <w:r>
        <w:rPr>
          <w:rFonts w:hint="eastAsia" w:ascii="宋体" w:hAnsi="宋体" w:cs="宋体"/>
          <w:color w:val="auto"/>
          <w:spacing w:val="-4"/>
          <w:sz w:val="21"/>
          <w:szCs w:val="21"/>
          <w:highlight w:val="none"/>
        </w:rPr>
        <w:t>2、招标文件获取方式：各潜在投标人（供应商）使用“CA数字证书（CA锁）”或“账号密码”登录“新点电子交易平台-大丰政府采购系统（网址：</w:t>
      </w:r>
      <w:r>
        <w:rPr>
          <w:rFonts w:hint="eastAsia" w:ascii="宋体" w:hAnsi="宋体" w:cs="宋体"/>
          <w:color w:val="auto"/>
          <w:sz w:val="21"/>
          <w:szCs w:val="21"/>
          <w:highlight w:val="none"/>
        </w:rPr>
        <w:t>https://www.etrading.cn/BREpointSSO/login/oauth2login）”获取。办理CA数字证书（CA锁）以及电子签章相关事宜见（http://dfggzy.com/dfweb/infodetail/?infoid=9c34520d-979a-4630-a939-9b3fbd2253db&amp;categoryNum=029）”。</w:t>
      </w:r>
    </w:p>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3、招标文件售价：</w:t>
      </w:r>
      <w:r>
        <w:rPr>
          <w:rFonts w:hint="eastAsia" w:ascii="宋体" w:hAnsi="宋体" w:cs="宋体"/>
          <w:color w:val="auto"/>
          <w:sz w:val="21"/>
          <w:szCs w:val="21"/>
          <w:highlight w:val="none"/>
          <w:lang w:val="en-US" w:eastAsia="zh-CN"/>
        </w:rPr>
        <w:t>免费</w:t>
      </w:r>
      <w:r>
        <w:rPr>
          <w:rFonts w:hint="eastAsia" w:ascii="宋体" w:hAnsi="宋体" w:cs="宋体"/>
          <w:color w:val="auto"/>
          <w:sz w:val="21"/>
          <w:szCs w:val="21"/>
          <w:highlight w:val="none"/>
        </w:rPr>
        <w:t>。</w:t>
      </w:r>
    </w:p>
    <w:p>
      <w:pPr>
        <w:spacing w:line="460" w:lineRule="exact"/>
        <w:ind w:firstLine="420" w:firstLineChars="200"/>
        <w:jc w:val="left"/>
        <w:rPr>
          <w:rFonts w:ascii="宋体" w:hAnsi="宋体" w:cs="宋体"/>
          <w:color w:val="auto"/>
          <w:sz w:val="21"/>
          <w:szCs w:val="21"/>
          <w:highlight w:val="none"/>
          <w:u w:val="single"/>
        </w:rPr>
      </w:pPr>
      <w:r>
        <w:rPr>
          <w:rFonts w:hint="eastAsia" w:ascii="宋体" w:hAnsi="宋体" w:cs="宋体"/>
          <w:color w:val="auto"/>
          <w:sz w:val="21"/>
          <w:szCs w:val="21"/>
          <w:highlight w:val="none"/>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Fonts w:hint="eastAsia" w:ascii="宋体" w:hAnsi="宋体" w:cs="宋体"/>
          <w:color w:val="auto"/>
          <w:sz w:val="21"/>
          <w:szCs w:val="21"/>
          <w:highlight w:val="none"/>
          <w:u w:val="single"/>
        </w:rPr>
        <w:t>0515-83515088、15962071301</w:t>
      </w:r>
      <w:r>
        <w:rPr>
          <w:rFonts w:hint="eastAsia" w:ascii="宋体" w:hAnsi="宋体" w:cs="宋体"/>
          <w:color w:val="auto"/>
          <w:sz w:val="21"/>
          <w:szCs w:val="21"/>
          <w:highlight w:val="none"/>
        </w:rPr>
        <w:t>。</w:t>
      </w:r>
    </w:p>
    <w:p>
      <w:pPr>
        <w:widowControl/>
        <w:spacing w:line="460" w:lineRule="exact"/>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四、提交投标文件截止时间、开标时间、地点</w:t>
      </w:r>
    </w:p>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1、提交投标文件截止时间：</w:t>
      </w:r>
      <w:r>
        <w:rPr>
          <w:rFonts w:hint="eastAsia" w:ascii="宋体" w:hAnsi="宋体" w:cs="宋体"/>
          <w:b/>
          <w:color w:val="auto"/>
          <w:sz w:val="21"/>
          <w:szCs w:val="21"/>
          <w:highlight w:val="none"/>
          <w:u w:val="single"/>
        </w:rPr>
        <w:t>202</w:t>
      </w:r>
      <w:r>
        <w:rPr>
          <w:rFonts w:hint="eastAsia" w:ascii="宋体" w:hAnsi="宋体" w:cs="宋体"/>
          <w:b/>
          <w:color w:val="auto"/>
          <w:sz w:val="21"/>
          <w:szCs w:val="21"/>
          <w:highlight w:val="none"/>
          <w:u w:val="single"/>
          <w:lang w:val="en-US" w:eastAsia="zh-CN"/>
        </w:rPr>
        <w:t>4</w:t>
      </w:r>
      <w:r>
        <w:rPr>
          <w:rFonts w:hint="eastAsia" w:ascii="宋体" w:hAnsi="宋体" w:cs="宋体"/>
          <w:b/>
          <w:color w:val="auto"/>
          <w:sz w:val="21"/>
          <w:szCs w:val="21"/>
          <w:highlight w:val="none"/>
        </w:rPr>
        <w:t>年</w:t>
      </w:r>
      <w:r>
        <w:rPr>
          <w:rFonts w:hint="eastAsia" w:ascii="宋体" w:hAnsi="宋体" w:cs="宋体"/>
          <w:b/>
          <w:color w:val="auto"/>
          <w:sz w:val="21"/>
          <w:szCs w:val="21"/>
          <w:highlight w:val="none"/>
          <w:u w:val="single"/>
          <w:lang w:val="en-US" w:eastAsia="zh-CN"/>
        </w:rPr>
        <w:t xml:space="preserve"> 06 </w:t>
      </w:r>
      <w:r>
        <w:rPr>
          <w:rFonts w:hint="eastAsia" w:ascii="宋体" w:hAnsi="宋体" w:cs="宋体"/>
          <w:b/>
          <w:color w:val="auto"/>
          <w:sz w:val="21"/>
          <w:szCs w:val="21"/>
          <w:highlight w:val="none"/>
        </w:rPr>
        <w:t>月</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19 </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rPr>
        <w:t>日</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09 </w:t>
      </w:r>
      <w:r>
        <w:rPr>
          <w:rFonts w:hint="eastAsia" w:ascii="宋体" w:hAnsi="宋体" w:cs="宋体"/>
          <w:b/>
          <w:color w:val="auto"/>
          <w:sz w:val="21"/>
          <w:szCs w:val="21"/>
          <w:highlight w:val="none"/>
        </w:rPr>
        <w:t>时</w:t>
      </w:r>
      <w:r>
        <w:rPr>
          <w:rFonts w:hint="eastAsia" w:ascii="宋体" w:hAnsi="宋体" w:cs="宋体"/>
          <w:b/>
          <w:color w:val="auto"/>
          <w:sz w:val="21"/>
          <w:szCs w:val="21"/>
          <w:highlight w:val="none"/>
          <w:u w:val="single"/>
          <w:lang w:val="en-US" w:eastAsia="zh-CN"/>
        </w:rPr>
        <w:t xml:space="preserve"> 00 </w:t>
      </w:r>
      <w:r>
        <w:rPr>
          <w:rFonts w:hint="eastAsia" w:ascii="宋体" w:hAnsi="宋体" w:cs="宋体"/>
          <w:b/>
          <w:color w:val="auto"/>
          <w:sz w:val="21"/>
          <w:szCs w:val="21"/>
          <w:highlight w:val="none"/>
        </w:rPr>
        <w:t>分</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00 </w:t>
      </w:r>
      <w:r>
        <w:rPr>
          <w:rFonts w:hint="eastAsia" w:ascii="宋体" w:hAnsi="宋体" w:cs="宋体"/>
          <w:b/>
          <w:color w:val="auto"/>
          <w:sz w:val="21"/>
          <w:szCs w:val="21"/>
          <w:highlight w:val="none"/>
        </w:rPr>
        <w:t>秒</w:t>
      </w:r>
      <w:r>
        <w:rPr>
          <w:rFonts w:hint="eastAsia" w:ascii="宋体" w:hAnsi="宋体" w:cs="宋体"/>
          <w:color w:val="auto"/>
          <w:sz w:val="21"/>
          <w:szCs w:val="21"/>
          <w:highlight w:val="none"/>
        </w:rPr>
        <w:t>。</w:t>
      </w:r>
    </w:p>
    <w:p>
      <w:pPr>
        <w:widowControl/>
        <w:spacing w:line="460" w:lineRule="exact"/>
        <w:ind w:firstLine="420" w:firstLineChars="200"/>
        <w:jc w:val="left"/>
        <w:rPr>
          <w:rFonts w:ascii="宋体" w:hAnsi="宋体" w:cs="宋体"/>
          <w:color w:val="auto"/>
          <w:sz w:val="21"/>
          <w:szCs w:val="21"/>
          <w:highlight w:val="none"/>
          <w:u w:val="single"/>
        </w:rPr>
      </w:pPr>
      <w:r>
        <w:rPr>
          <w:rFonts w:hint="eastAsia" w:ascii="宋体" w:hAnsi="宋体" w:cs="宋体"/>
          <w:color w:val="auto"/>
          <w:sz w:val="21"/>
          <w:szCs w:val="21"/>
          <w:highlight w:val="none"/>
        </w:rPr>
        <w:t>2、提交投标文件的地点：“投标文件制作工具”生成的xetf格式的电子档上传至新点电子交易平台-大丰政府采购系统（网址：https://www.etrading.cn/BREpointSSO/login/oauth2login）。</w:t>
      </w:r>
    </w:p>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3、逾期提交的投标文件将被拒收并退回。</w:t>
      </w:r>
    </w:p>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4、开标时间：投标文件提交截止时间。</w:t>
      </w:r>
    </w:p>
    <w:p>
      <w:pPr>
        <w:spacing w:line="460" w:lineRule="exact"/>
        <w:ind w:firstLine="420" w:firstLineChars="200"/>
        <w:jc w:val="left"/>
        <w:rPr>
          <w:rFonts w:ascii="宋体" w:hAnsi="宋体" w:cs="宋体"/>
          <w:b/>
          <w:bCs/>
          <w:color w:val="auto"/>
          <w:sz w:val="21"/>
          <w:szCs w:val="21"/>
          <w:highlight w:val="none"/>
        </w:rPr>
      </w:pPr>
      <w:r>
        <w:rPr>
          <w:rFonts w:hint="eastAsia" w:ascii="宋体" w:hAnsi="宋体" w:cs="宋体"/>
          <w:color w:val="auto"/>
          <w:sz w:val="21"/>
          <w:szCs w:val="21"/>
          <w:highlight w:val="none"/>
        </w:rPr>
        <w:t>5、开标地点：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pPr>
        <w:spacing w:line="46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五、公告期限</w:t>
      </w:r>
    </w:p>
    <w:p>
      <w:pPr>
        <w:spacing w:line="460" w:lineRule="exact"/>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自本公告发布之日起5个工作日。</w:t>
      </w:r>
    </w:p>
    <w:bookmarkEnd w:id="2"/>
    <w:bookmarkEnd w:id="3"/>
    <w:bookmarkEnd w:id="4"/>
    <w:bookmarkEnd w:id="5"/>
    <w:bookmarkEnd w:id="6"/>
    <w:p>
      <w:pPr>
        <w:widowControl/>
        <w:spacing w:line="460" w:lineRule="exact"/>
        <w:ind w:firstLine="422" w:firstLineChars="200"/>
        <w:jc w:val="left"/>
        <w:rPr>
          <w:rFonts w:ascii="宋体" w:hAnsi="宋体" w:cs="宋体"/>
          <w:b/>
          <w:bCs/>
          <w:color w:val="auto"/>
          <w:sz w:val="21"/>
          <w:szCs w:val="21"/>
          <w:highlight w:val="none"/>
        </w:rPr>
      </w:pPr>
      <w:bookmarkStart w:id="10" w:name="_Toc363326679"/>
      <w:bookmarkStart w:id="11" w:name="_Toc387526281"/>
      <w:bookmarkStart w:id="12" w:name="_Toc184635069"/>
      <w:bookmarkStart w:id="13" w:name="_Toc397928547"/>
      <w:bookmarkStart w:id="14" w:name="_Toc387526373"/>
      <w:bookmarkStart w:id="15" w:name="_Toc368759512"/>
      <w:bookmarkStart w:id="16" w:name="_Toc6770"/>
      <w:bookmarkStart w:id="17" w:name="_Toc387526177"/>
      <w:bookmarkStart w:id="18" w:name="_Toc369077558"/>
      <w:r>
        <w:rPr>
          <w:rFonts w:hint="eastAsia" w:ascii="宋体" w:hAnsi="宋体" w:cs="宋体"/>
          <w:b/>
          <w:bCs/>
          <w:color w:val="auto"/>
          <w:sz w:val="21"/>
          <w:szCs w:val="21"/>
          <w:highlight w:val="none"/>
        </w:rPr>
        <w:t>六、其他补充事宜</w:t>
      </w:r>
    </w:p>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1、本项目对投标申请人的资格审查采用资格后审方式，由评标委员会根据招标文件进行评定；报名时不进行报名资料的任何审查，由意向投标人自行判断是否符合投标资格。</w:t>
      </w:r>
    </w:p>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2、本招标项目采用的评标方法：</w:t>
      </w:r>
      <w:r>
        <w:rPr>
          <w:rFonts w:hint="eastAsia" w:ascii="宋体" w:hAnsi="宋体" w:cs="宋体"/>
          <w:b/>
          <w:bCs/>
          <w:color w:val="auto"/>
          <w:sz w:val="21"/>
          <w:szCs w:val="21"/>
          <w:highlight w:val="none"/>
        </w:rPr>
        <w:t>综合评分法</w:t>
      </w:r>
      <w:r>
        <w:rPr>
          <w:rFonts w:hint="eastAsia" w:ascii="宋体" w:hAnsi="宋体" w:cs="宋体"/>
          <w:color w:val="auto"/>
          <w:sz w:val="21"/>
          <w:szCs w:val="21"/>
          <w:highlight w:val="none"/>
        </w:rPr>
        <w:t>。</w:t>
      </w:r>
    </w:p>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3、本招标项目招标公告发布媒介：大丰公共资源电子交易平台（http://ggzy.dafeng.gov.cn/dfweb/）。</w:t>
      </w:r>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4、投标前请关注“大丰公共资源电子交易平台”的“政府采购”—“答疑补充”栏目。及时了解到项目的“答疑补充”等情况。</w:t>
      </w:r>
    </w:p>
    <w:p>
      <w:pPr>
        <w:spacing w:line="440" w:lineRule="exact"/>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5、本项目采用全程电子化及不见面开标模式。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6、开标大厅系统网址为：http://js.etrading.cn/EpointBidOpening/bidopeninghallaction/hall/login。</w:t>
      </w:r>
    </w:p>
    <w:p>
      <w:pPr>
        <w:spacing w:line="44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七、投标保证金</w:t>
      </w:r>
    </w:p>
    <w:p>
      <w:pPr>
        <w:spacing w:line="440" w:lineRule="exact"/>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参照执行苏财购[2020]52号文《关于做好政府采购支持企业发展有关事项的通知》，本项目不需要缴纳投标保证金。</w:t>
      </w:r>
    </w:p>
    <w:p>
      <w:pPr>
        <w:spacing w:line="44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八、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pPr>
        <w:widowControl/>
        <w:spacing w:line="460" w:lineRule="exact"/>
        <w:ind w:firstLine="422" w:firstLineChars="200"/>
        <w:jc w:val="left"/>
        <w:rPr>
          <w:rFonts w:ascii="宋体" w:hAnsi="宋体" w:cs="宋体"/>
          <w:color w:val="auto"/>
          <w:sz w:val="21"/>
          <w:szCs w:val="21"/>
          <w:highlight w:val="none"/>
        </w:rPr>
      </w:pPr>
      <w:r>
        <w:rPr>
          <w:rFonts w:hint="eastAsia" w:ascii="宋体" w:hAnsi="宋体" w:cs="宋体"/>
          <w:b/>
          <w:bCs/>
          <w:color w:val="auto"/>
          <w:sz w:val="21"/>
          <w:szCs w:val="21"/>
          <w:highlight w:val="none"/>
        </w:rPr>
        <w:t>九、对本次招标提出询问，请按以下方式联系。</w:t>
      </w:r>
    </w:p>
    <w:bookmarkEnd w:id="7"/>
    <w:bookmarkEnd w:id="8"/>
    <w:bookmarkEnd w:id="9"/>
    <w:p>
      <w:pPr>
        <w:autoSpaceDE w:val="0"/>
        <w:autoSpaceDN w:val="0"/>
        <w:spacing w:line="460" w:lineRule="exact"/>
        <w:ind w:firstLine="420" w:firstLineChars="200"/>
        <w:jc w:val="left"/>
        <w:rPr>
          <w:rFonts w:ascii="宋体" w:hAnsi="宋体" w:cs="宋体"/>
          <w:color w:val="auto"/>
          <w:kern w:val="0"/>
          <w:sz w:val="21"/>
          <w:szCs w:val="21"/>
          <w:highlight w:val="none"/>
          <w:lang w:val="zh-CN"/>
        </w:rPr>
      </w:pPr>
      <w:bookmarkStart w:id="19" w:name="_Toc508216878"/>
      <w:r>
        <w:rPr>
          <w:rFonts w:hint="eastAsia" w:ascii="宋体" w:hAnsi="宋体" w:cs="宋体"/>
          <w:color w:val="auto"/>
          <w:kern w:val="0"/>
          <w:sz w:val="21"/>
          <w:szCs w:val="21"/>
          <w:highlight w:val="none"/>
          <w:lang w:val="zh-CN"/>
        </w:rPr>
        <w:t>1.采购人信息</w:t>
      </w:r>
    </w:p>
    <w:p>
      <w:pPr>
        <w:autoSpaceDE w:val="0"/>
        <w:autoSpaceDN w:val="0"/>
        <w:spacing w:line="460" w:lineRule="exact"/>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名</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称：</w:t>
      </w:r>
      <w:r>
        <w:rPr>
          <w:rFonts w:hint="eastAsia" w:ascii="宋体" w:hAnsi="宋体" w:cs="宋体"/>
          <w:color w:val="auto"/>
          <w:kern w:val="0"/>
          <w:sz w:val="21"/>
          <w:szCs w:val="21"/>
          <w:highlight w:val="none"/>
          <w:shd w:val="clear" w:color="auto" w:fill="FFFFFF"/>
          <w:lang w:eastAsia="zh-CN"/>
        </w:rPr>
        <w:t>盐城大丰新创能源有限公司</w:t>
      </w:r>
      <w:r>
        <w:rPr>
          <w:rFonts w:hint="eastAsia" w:ascii="宋体" w:hAnsi="宋体" w:cs="宋体"/>
          <w:color w:val="auto"/>
          <w:kern w:val="0"/>
          <w:sz w:val="21"/>
          <w:szCs w:val="21"/>
          <w:highlight w:val="none"/>
          <w:shd w:val="clear" w:color="auto" w:fill="FFFFFF"/>
        </w:rPr>
        <w:t xml:space="preserve"> </w:t>
      </w:r>
      <w:r>
        <w:rPr>
          <w:rFonts w:hint="eastAsia" w:ascii="宋体" w:hAnsi="宋体" w:cs="宋体"/>
          <w:color w:val="auto"/>
          <w:kern w:val="0"/>
          <w:sz w:val="21"/>
          <w:szCs w:val="21"/>
          <w:highlight w:val="none"/>
          <w:shd w:val="clear" w:color="auto" w:fill="FFFFFF"/>
          <w:lang w:val="zh-CN"/>
        </w:rPr>
        <w:t xml:space="preserve"> </w:t>
      </w:r>
    </w:p>
    <w:p>
      <w:pPr>
        <w:autoSpaceDE w:val="0"/>
        <w:autoSpaceDN w:val="0"/>
        <w:spacing w:line="460" w:lineRule="exact"/>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联系地址：江苏省盐城市大丰区大丰港海港新城启动区城东路东侧海韵家园5#A幢202室</w:t>
      </w:r>
    </w:p>
    <w:p>
      <w:pPr>
        <w:autoSpaceDE w:val="0"/>
        <w:autoSpaceDN w:val="0"/>
        <w:spacing w:line="460" w:lineRule="exact"/>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zh-CN"/>
        </w:rPr>
        <w:t>联 系 人：</w:t>
      </w:r>
      <w:r>
        <w:rPr>
          <w:rFonts w:hint="eastAsia" w:ascii="宋体" w:hAnsi="宋体" w:cs="宋体"/>
          <w:color w:val="auto"/>
          <w:kern w:val="0"/>
          <w:sz w:val="21"/>
          <w:szCs w:val="21"/>
          <w:highlight w:val="none"/>
          <w:lang w:val="en-US" w:eastAsia="zh-CN"/>
        </w:rPr>
        <w:t>李欣</w:t>
      </w:r>
    </w:p>
    <w:p>
      <w:pPr>
        <w:autoSpaceDE w:val="0"/>
        <w:autoSpaceDN w:val="0"/>
        <w:spacing w:line="460" w:lineRule="exact"/>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zh-CN"/>
        </w:rPr>
        <w:t>联系方式：</w:t>
      </w:r>
      <w:r>
        <w:rPr>
          <w:rFonts w:hint="eastAsia" w:ascii="宋体" w:hAnsi="宋体" w:cs="宋体"/>
          <w:color w:val="auto"/>
          <w:kern w:val="0"/>
          <w:sz w:val="21"/>
          <w:szCs w:val="21"/>
          <w:highlight w:val="none"/>
          <w:lang w:val="en-US" w:eastAsia="zh-CN"/>
        </w:rPr>
        <w:t>13337981097</w:t>
      </w:r>
    </w:p>
    <w:p>
      <w:pPr>
        <w:autoSpaceDE w:val="0"/>
        <w:autoSpaceDN w:val="0"/>
        <w:spacing w:line="460" w:lineRule="exact"/>
        <w:ind w:firstLine="420" w:firstLineChars="200"/>
        <w:jc w:val="left"/>
        <w:rPr>
          <w:color w:val="auto"/>
          <w:kern w:val="0"/>
          <w:sz w:val="21"/>
          <w:szCs w:val="21"/>
          <w:highlight w:val="none"/>
          <w:lang w:val="zh-CN"/>
        </w:rPr>
      </w:pPr>
    </w:p>
    <w:p>
      <w:pPr>
        <w:autoSpaceDE w:val="0"/>
        <w:autoSpaceDN w:val="0"/>
        <w:spacing w:line="460" w:lineRule="exact"/>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2.采购代理机构信息</w:t>
      </w:r>
    </w:p>
    <w:p>
      <w:pPr>
        <w:autoSpaceDE w:val="0"/>
        <w:autoSpaceDN w:val="0"/>
        <w:spacing w:line="460" w:lineRule="exact"/>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名称：江苏富华工程造价咨询有限公司 </w:t>
      </w:r>
    </w:p>
    <w:p>
      <w:pPr>
        <w:autoSpaceDE w:val="0"/>
        <w:autoSpaceDN w:val="0"/>
        <w:spacing w:line="460" w:lineRule="exact"/>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地址：盐城市大丰区凰家御庭一期北侧12-11号三楼 </w:t>
      </w:r>
    </w:p>
    <w:p>
      <w:pPr>
        <w:autoSpaceDE w:val="0"/>
        <w:autoSpaceDN w:val="0"/>
        <w:spacing w:line="460" w:lineRule="exact"/>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联系人：陈燕峰</w:t>
      </w:r>
    </w:p>
    <w:p>
      <w:pPr>
        <w:autoSpaceDE w:val="0"/>
        <w:autoSpaceDN w:val="0"/>
        <w:spacing w:line="460" w:lineRule="exact"/>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联系方式：0515-83515088、15962071301　　</w:t>
      </w:r>
    </w:p>
    <w:p>
      <w:pPr>
        <w:autoSpaceDE w:val="0"/>
        <w:autoSpaceDN w:val="0"/>
        <w:spacing w:line="460" w:lineRule="exact"/>
        <w:ind w:firstLine="420" w:firstLineChars="200"/>
        <w:jc w:val="left"/>
        <w:rPr>
          <w:rFonts w:hint="eastAsia"/>
          <w:color w:val="auto"/>
          <w:kern w:val="0"/>
          <w:sz w:val="21"/>
          <w:szCs w:val="21"/>
          <w:highlight w:val="none"/>
          <w:lang w:val="zh-CN"/>
        </w:rPr>
      </w:pPr>
    </w:p>
    <w:p>
      <w:pPr>
        <w:autoSpaceDE w:val="0"/>
        <w:autoSpaceDN w:val="0"/>
        <w:spacing w:line="460" w:lineRule="exact"/>
        <w:ind w:firstLine="420" w:firstLineChars="200"/>
        <w:jc w:val="left"/>
        <w:rPr>
          <w:rFonts w:hint="eastAsia"/>
          <w:color w:val="auto"/>
          <w:kern w:val="0"/>
          <w:szCs w:val="21"/>
          <w:highlight w:val="none"/>
          <w:lang w:val="zh-CN"/>
        </w:rPr>
      </w:pPr>
    </w:p>
    <w:p>
      <w:pPr>
        <w:autoSpaceDE w:val="0"/>
        <w:autoSpaceDN w:val="0"/>
        <w:spacing w:line="460" w:lineRule="exact"/>
        <w:ind w:firstLine="420" w:firstLineChars="200"/>
        <w:jc w:val="left"/>
        <w:rPr>
          <w:rFonts w:hint="eastAsia"/>
          <w:color w:val="auto"/>
          <w:kern w:val="0"/>
          <w:szCs w:val="21"/>
          <w:highlight w:val="none"/>
          <w:lang w:val="zh-CN"/>
        </w:rPr>
      </w:pPr>
    </w:p>
    <w:p>
      <w:pPr>
        <w:autoSpaceDE w:val="0"/>
        <w:autoSpaceDN w:val="0"/>
        <w:spacing w:line="460" w:lineRule="exact"/>
        <w:ind w:firstLine="420" w:firstLineChars="200"/>
        <w:jc w:val="left"/>
        <w:rPr>
          <w:rFonts w:hint="eastAsia"/>
          <w:color w:val="auto"/>
          <w:kern w:val="0"/>
          <w:szCs w:val="21"/>
          <w:highlight w:val="none"/>
          <w:lang w:val="zh-CN"/>
        </w:rPr>
      </w:pPr>
    </w:p>
    <w:p>
      <w:pPr>
        <w:pStyle w:val="2"/>
        <w:rPr>
          <w:rFonts w:hint="eastAsia"/>
          <w:color w:val="auto"/>
          <w:kern w:val="0"/>
          <w:szCs w:val="21"/>
          <w:highlight w:val="none"/>
          <w:lang w:val="zh-CN"/>
        </w:rPr>
      </w:pPr>
    </w:p>
    <w:p>
      <w:pPr>
        <w:pStyle w:val="5"/>
        <w:rPr>
          <w:rFonts w:hint="eastAsia"/>
          <w:color w:val="auto"/>
          <w:kern w:val="0"/>
          <w:szCs w:val="21"/>
          <w:highlight w:val="none"/>
          <w:lang w:val="zh-CN"/>
        </w:rPr>
      </w:pPr>
    </w:p>
    <w:p>
      <w:pPr>
        <w:pStyle w:val="5"/>
        <w:rPr>
          <w:rFonts w:hint="eastAsia"/>
          <w:color w:val="auto"/>
          <w:kern w:val="0"/>
          <w:szCs w:val="21"/>
          <w:highlight w:val="none"/>
          <w:lang w:val="zh-CN"/>
        </w:rPr>
      </w:pPr>
    </w:p>
    <w:p>
      <w:pPr>
        <w:pStyle w:val="5"/>
        <w:rPr>
          <w:rFonts w:hint="eastAsia"/>
          <w:color w:val="auto"/>
          <w:kern w:val="0"/>
          <w:szCs w:val="21"/>
          <w:highlight w:val="none"/>
          <w:lang w:val="zh-CN"/>
        </w:rPr>
      </w:pPr>
    </w:p>
    <w:p>
      <w:pPr>
        <w:autoSpaceDE w:val="0"/>
        <w:autoSpaceDN w:val="0"/>
        <w:spacing w:line="460" w:lineRule="exact"/>
        <w:ind w:firstLine="420" w:firstLineChars="200"/>
        <w:jc w:val="left"/>
        <w:rPr>
          <w:rFonts w:hint="eastAsia"/>
          <w:color w:val="auto"/>
          <w:kern w:val="0"/>
          <w:szCs w:val="21"/>
          <w:highlight w:val="none"/>
          <w:lang w:val="zh-CN"/>
        </w:rPr>
      </w:pPr>
    </w:p>
    <w:p>
      <w:pPr>
        <w:autoSpaceDE w:val="0"/>
        <w:autoSpaceDN w:val="0"/>
        <w:spacing w:line="460" w:lineRule="exact"/>
        <w:ind w:firstLine="420" w:firstLineChars="200"/>
        <w:jc w:val="left"/>
        <w:rPr>
          <w:rFonts w:hint="eastAsia"/>
          <w:color w:val="auto"/>
          <w:kern w:val="0"/>
          <w:szCs w:val="21"/>
          <w:highlight w:val="none"/>
          <w:lang w:val="zh-CN"/>
        </w:rPr>
      </w:pPr>
    </w:p>
    <w:p>
      <w:pPr>
        <w:pStyle w:val="6"/>
        <w:spacing w:before="0" w:after="0" w:line="360" w:lineRule="auto"/>
        <w:rPr>
          <w:rFonts w:ascii="宋体" w:hAnsi="宋体"/>
          <w:color w:val="auto"/>
          <w:highlight w:val="none"/>
        </w:rPr>
      </w:pPr>
      <w:bookmarkStart w:id="20" w:name="_Toc21594"/>
      <w:r>
        <w:rPr>
          <w:rFonts w:ascii="宋体" w:hAnsi="宋体"/>
          <w:color w:val="auto"/>
          <w:highlight w:val="none"/>
        </w:rPr>
        <w:t>第二章  投标人须知</w:t>
      </w:r>
      <w:bookmarkEnd w:id="10"/>
      <w:bookmarkEnd w:id="11"/>
      <w:bookmarkEnd w:id="12"/>
      <w:bookmarkEnd w:id="13"/>
      <w:bookmarkEnd w:id="14"/>
      <w:bookmarkEnd w:id="15"/>
      <w:bookmarkEnd w:id="16"/>
      <w:bookmarkEnd w:id="17"/>
      <w:bookmarkEnd w:id="18"/>
      <w:bookmarkEnd w:id="19"/>
      <w:bookmarkEnd w:id="20"/>
    </w:p>
    <w:p>
      <w:pPr>
        <w:pStyle w:val="38"/>
        <w:spacing w:before="0" w:after="0"/>
        <w:jc w:val="center"/>
        <w:rPr>
          <w:rFonts w:ascii="宋体" w:hAnsi="宋体"/>
          <w:color w:val="auto"/>
          <w:highlight w:val="none"/>
        </w:rPr>
      </w:pPr>
      <w:bookmarkStart w:id="21" w:name="_Toc16205"/>
      <w:bookmarkStart w:id="22" w:name="_Toc369077559"/>
      <w:bookmarkStart w:id="23" w:name="_Toc397928548"/>
      <w:bookmarkStart w:id="24" w:name="_Toc387526374"/>
      <w:bookmarkStart w:id="25" w:name="_Toc387526178"/>
      <w:bookmarkStart w:id="26" w:name="_Toc508216879"/>
      <w:bookmarkStart w:id="27" w:name="_Toc387526282"/>
      <w:r>
        <w:rPr>
          <w:rFonts w:ascii="宋体" w:hAnsi="宋体"/>
          <w:color w:val="auto"/>
          <w:highlight w:val="none"/>
        </w:rPr>
        <w:t>投标人须知前附表</w:t>
      </w:r>
      <w:bookmarkEnd w:id="21"/>
      <w:bookmarkEnd w:id="22"/>
      <w:bookmarkEnd w:id="23"/>
      <w:bookmarkEnd w:id="24"/>
      <w:bookmarkEnd w:id="25"/>
      <w:bookmarkEnd w:id="26"/>
      <w:bookmarkEnd w:id="27"/>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186"/>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186" w:type="dxa"/>
            <w:vAlign w:val="center"/>
          </w:tcPr>
          <w:p>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6594" w:type="dxa"/>
            <w:vAlign w:val="center"/>
          </w:tcPr>
          <w:p>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6594" w:type="dxa"/>
            <w:vAlign w:val="center"/>
          </w:tcPr>
          <w:p>
            <w:pPr>
              <w:spacing w:line="4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盐城大丰新创能源有限公司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594" w:type="dxa"/>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rPr>
              <w:t>江苏富华工程造价咨询有限公司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594" w:type="dxa"/>
            <w:vAlign w:val="center"/>
          </w:tcPr>
          <w:p>
            <w:pPr>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大丰港区蒸汽管道运维服务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594" w:type="dxa"/>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6594" w:type="dxa"/>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594" w:type="dxa"/>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采购需求</w:t>
            </w:r>
          </w:p>
        </w:tc>
        <w:tc>
          <w:tcPr>
            <w:tcW w:w="65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大丰港区蒸汽管道运行、维护、服务。具体内容详见本项目招标文件采购需求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tc>
        <w:tc>
          <w:tcPr>
            <w:tcW w:w="6594" w:type="dxa"/>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186" w:type="dxa"/>
            <w:vAlign w:val="center"/>
          </w:tcPr>
          <w:p>
            <w:pPr>
              <w:spacing w:line="480" w:lineRule="exact"/>
              <w:jc w:val="center"/>
              <w:rPr>
                <w:rFonts w:ascii="宋体" w:hAnsi="宋体" w:cs="宋体"/>
                <w:bCs/>
                <w:color w:val="auto"/>
                <w:szCs w:val="21"/>
                <w:highlight w:val="none"/>
              </w:rPr>
            </w:pPr>
            <w:r>
              <w:rPr>
                <w:rFonts w:hint="eastAsia" w:ascii="宋体" w:hAnsi="宋体" w:cs="宋体"/>
                <w:bCs/>
                <w:color w:val="auto"/>
                <w:szCs w:val="21"/>
                <w:highlight w:val="none"/>
              </w:rPr>
              <w:t>服务地点</w:t>
            </w:r>
          </w:p>
        </w:tc>
        <w:tc>
          <w:tcPr>
            <w:tcW w:w="6594" w:type="dxa"/>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lang w:val="en-US" w:eastAsia="zh-CN"/>
              </w:rPr>
              <w:t>盐城市大丰区大丰港</w:t>
            </w:r>
            <w:r>
              <w:rPr>
                <w:rFonts w:hint="eastAsia" w:ascii="宋体" w:hAnsi="宋体" w:cs="宋体"/>
                <w:color w:val="auto"/>
                <w:szCs w:val="21"/>
                <w:highlight w:val="none"/>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1.3.4</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质量要求及验收标准</w:t>
            </w:r>
          </w:p>
        </w:tc>
        <w:tc>
          <w:tcPr>
            <w:tcW w:w="6594" w:type="dxa"/>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lang w:val="en-US" w:eastAsia="zh-CN"/>
              </w:rPr>
              <w:t>相关质量验收规范合格标准，确保大丰港区蒸汽管道设施设备正常运行。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投标人资格要求</w:t>
            </w:r>
          </w:p>
        </w:tc>
        <w:tc>
          <w:tcPr>
            <w:tcW w:w="6594" w:type="dxa"/>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594" w:type="dxa"/>
            <w:vAlign w:val="center"/>
          </w:tcPr>
          <w:p>
            <w:pPr>
              <w:spacing w:line="480" w:lineRule="exact"/>
              <w:rPr>
                <w:rFonts w:ascii="宋体" w:hAnsi="宋体" w:cs="宋体"/>
                <w:color w:val="auto"/>
                <w:kern w:val="0"/>
                <w:szCs w:val="21"/>
                <w:highlight w:val="none"/>
              </w:rPr>
            </w:pPr>
            <w:r>
              <w:rPr>
                <w:rFonts w:hint="eastAsia" w:ascii="宋体" w:hAnsi="宋体" w:cs="宋体"/>
                <w:color w:val="auto"/>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1.9.1</w:t>
            </w:r>
          </w:p>
        </w:tc>
        <w:tc>
          <w:tcPr>
            <w:tcW w:w="2186" w:type="dxa"/>
            <w:vAlign w:val="center"/>
          </w:tcPr>
          <w:p>
            <w:pPr>
              <w:spacing w:line="480" w:lineRule="exact"/>
              <w:jc w:val="center"/>
              <w:rPr>
                <w:rFonts w:ascii="宋体" w:hAnsi="宋体" w:cs="宋体"/>
                <w:b/>
                <w:color w:val="auto"/>
                <w:szCs w:val="21"/>
                <w:highlight w:val="none"/>
              </w:rPr>
            </w:pPr>
            <w:r>
              <w:rPr>
                <w:rFonts w:hint="eastAsia" w:ascii="宋体" w:hAnsi="宋体" w:cs="宋体"/>
                <w:color w:val="auto"/>
                <w:kern w:val="0"/>
                <w:szCs w:val="21"/>
                <w:highlight w:val="none"/>
              </w:rPr>
              <w:t>踏勘现场</w:t>
            </w:r>
          </w:p>
        </w:tc>
        <w:tc>
          <w:tcPr>
            <w:tcW w:w="6594" w:type="dxa"/>
            <w:vAlign w:val="center"/>
          </w:tcPr>
          <w:p>
            <w:pPr>
              <w:spacing w:line="480" w:lineRule="exact"/>
              <w:rPr>
                <w:rFonts w:ascii="宋体" w:hAnsi="宋体" w:cs="宋体"/>
                <w:b/>
                <w:color w:val="auto"/>
                <w:szCs w:val="21"/>
                <w:highlight w:val="none"/>
                <w:u w:val="single"/>
              </w:rPr>
            </w:pPr>
            <w:r>
              <w:rPr>
                <w:rFonts w:hint="eastAsia" w:ascii="宋体" w:hAnsi="宋体" w:cs="宋体"/>
                <w:color w:val="auto"/>
                <w:szCs w:val="21"/>
                <w:highlight w:val="none"/>
              </w:rPr>
              <w:t>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1.10</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594" w:type="dxa"/>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6594" w:type="dxa"/>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2.1.1（7）</w:t>
            </w:r>
          </w:p>
        </w:tc>
        <w:tc>
          <w:tcPr>
            <w:tcW w:w="2186"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构成招标文件的其它材料</w:t>
            </w:r>
          </w:p>
        </w:tc>
        <w:tc>
          <w:tcPr>
            <w:tcW w:w="6594" w:type="dxa"/>
            <w:vAlign w:val="center"/>
          </w:tcPr>
          <w:p>
            <w:pPr>
              <w:spacing w:line="480" w:lineRule="exact"/>
              <w:rPr>
                <w:rFonts w:ascii="宋体" w:hAnsi="宋体" w:cs="宋体"/>
                <w:color w:val="auto"/>
                <w:kern w:val="0"/>
                <w:szCs w:val="21"/>
                <w:highlight w:val="none"/>
              </w:rPr>
            </w:pPr>
            <w:r>
              <w:rPr>
                <w:rFonts w:hint="eastAsia" w:ascii="宋体" w:hAnsi="宋体" w:cs="宋体"/>
                <w:color w:val="auto"/>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18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要求招标人澄清招标</w:t>
            </w:r>
          </w:p>
          <w:p>
            <w:pPr>
              <w:jc w:val="center"/>
              <w:rPr>
                <w:rFonts w:ascii="宋体" w:hAnsi="宋体" w:cs="宋体"/>
                <w:color w:val="auto"/>
                <w:szCs w:val="21"/>
                <w:highlight w:val="none"/>
              </w:rPr>
            </w:pPr>
            <w:r>
              <w:rPr>
                <w:rFonts w:hint="eastAsia" w:ascii="宋体" w:hAnsi="宋体" w:cs="宋体"/>
                <w:color w:val="auto"/>
                <w:szCs w:val="21"/>
                <w:highlight w:val="none"/>
              </w:rPr>
              <w:t>文件截至时间</w:t>
            </w:r>
          </w:p>
        </w:tc>
        <w:tc>
          <w:tcPr>
            <w:tcW w:w="6594" w:type="dxa"/>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05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18：00</w:t>
            </w:r>
            <w:r>
              <w:rPr>
                <w:rFonts w:hint="eastAsia" w:ascii="宋体" w:hAnsi="宋体" w:cs="宋体"/>
                <w:color w:val="auto"/>
                <w:szCs w:val="21"/>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18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投标人确认收到招标</w:t>
            </w:r>
          </w:p>
          <w:p>
            <w:pPr>
              <w:jc w:val="center"/>
              <w:rPr>
                <w:rFonts w:ascii="宋体" w:hAnsi="宋体" w:cs="宋体"/>
                <w:color w:val="auto"/>
                <w:szCs w:val="21"/>
                <w:highlight w:val="none"/>
              </w:rPr>
            </w:pPr>
            <w:r>
              <w:rPr>
                <w:rFonts w:hint="eastAsia" w:ascii="宋体" w:hAnsi="宋体" w:cs="宋体"/>
                <w:color w:val="auto"/>
                <w:szCs w:val="21"/>
                <w:highlight w:val="none"/>
              </w:rPr>
              <w:t>文件修改时间</w:t>
            </w:r>
          </w:p>
        </w:tc>
        <w:tc>
          <w:tcPr>
            <w:tcW w:w="6594" w:type="dxa"/>
            <w:vAlign w:val="center"/>
          </w:tcPr>
          <w:p>
            <w:pPr>
              <w:rPr>
                <w:rFonts w:ascii="宋体" w:hAnsi="宋体" w:cs="宋体"/>
                <w:color w:val="auto"/>
                <w:szCs w:val="21"/>
                <w:highlight w:val="none"/>
              </w:rPr>
            </w:pPr>
            <w:r>
              <w:rPr>
                <w:rFonts w:hint="eastAsia" w:ascii="宋体" w:hAnsi="宋体" w:cs="宋体"/>
                <w:color w:val="auto"/>
                <w:szCs w:val="21"/>
                <w:highlight w:val="none"/>
              </w:rPr>
              <w:t>投标人自行网上查寻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186" w:type="dxa"/>
            <w:vAlign w:val="center"/>
          </w:tcPr>
          <w:p>
            <w:pPr>
              <w:rPr>
                <w:rFonts w:ascii="宋体" w:hAnsi="宋体" w:cs="宋体"/>
                <w:color w:val="auto"/>
                <w:szCs w:val="21"/>
                <w:highlight w:val="none"/>
              </w:rPr>
            </w:pPr>
            <w:r>
              <w:rPr>
                <w:rFonts w:hint="eastAsia" w:ascii="宋体" w:hAnsi="宋体" w:cs="宋体"/>
                <w:color w:val="auto"/>
                <w:szCs w:val="21"/>
                <w:highlight w:val="none"/>
              </w:rPr>
              <w:t>投标文件的组成</w:t>
            </w:r>
          </w:p>
        </w:tc>
        <w:tc>
          <w:tcPr>
            <w:tcW w:w="6594" w:type="dxa"/>
            <w:vAlign w:val="center"/>
          </w:tcPr>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1、本项目投标文件包括资信文件、商务文件、技术文件、开标一览表。</w:t>
            </w:r>
          </w:p>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⑴资信文件应包括如下内容：</w:t>
            </w:r>
          </w:p>
          <w:p>
            <w:pPr>
              <w:spacing w:line="400" w:lineRule="exact"/>
              <w:rPr>
                <w:rFonts w:hint="eastAsia" w:ascii="宋体" w:hAnsi="宋体" w:eastAsia="宋体" w:cs="宋体"/>
                <w:color w:val="auto"/>
                <w:szCs w:val="21"/>
                <w:highlight w:val="none"/>
                <w:lang w:eastAsia="zh-CN"/>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投标企业营业执照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或事业单位法人证书</w:t>
            </w:r>
            <w:r>
              <w:rPr>
                <w:rFonts w:hint="eastAsia" w:ascii="宋体" w:hAnsi="宋体" w:cs="宋体"/>
                <w:color w:val="auto"/>
                <w:szCs w:val="21"/>
                <w:highlight w:val="none"/>
                <w:lang w:eastAsia="zh-CN"/>
              </w:rPr>
              <w:t>）；</w:t>
            </w:r>
          </w:p>
          <w:p>
            <w:pPr>
              <w:spacing w:line="400" w:lineRule="exact"/>
              <w:rPr>
                <w:rFonts w:hint="eastAsia" w:ascii="宋体" w:hAnsi="宋体" w:eastAsia="宋体" w:cs="宋体"/>
                <w:color w:val="auto"/>
                <w:szCs w:val="21"/>
                <w:highlight w:val="none"/>
                <w:lang w:eastAsia="zh-CN"/>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kern w:val="0"/>
                <w:szCs w:val="21"/>
                <w:highlight w:val="none"/>
                <w:shd w:val="clear" w:color="auto" w:fill="FFFFFF"/>
              </w:rPr>
              <w:t>满足《中华人民共和国政府采购法》第二十二条规定</w:t>
            </w:r>
            <w:r>
              <w:rPr>
                <w:rFonts w:hint="eastAsia" w:ascii="宋体" w:hAnsi="宋体" w:cs="宋体"/>
                <w:color w:val="auto"/>
                <w:kern w:val="0"/>
                <w:szCs w:val="21"/>
                <w:highlight w:val="none"/>
                <w:shd w:val="clear" w:color="auto" w:fill="FFFFFF"/>
                <w:lang w:val="en-US" w:eastAsia="zh-CN"/>
              </w:rPr>
              <w:t>的</w:t>
            </w:r>
            <w:r>
              <w:rPr>
                <w:rFonts w:hint="eastAsia" w:ascii="宋体" w:hAnsi="宋体" w:cs="宋体"/>
                <w:color w:val="auto"/>
                <w:kern w:val="0"/>
                <w:szCs w:val="21"/>
                <w:highlight w:val="none"/>
                <w:shd w:val="clear" w:color="auto" w:fill="FFFFFF"/>
              </w:rPr>
              <w:t>书面声明</w:t>
            </w:r>
            <w:r>
              <w:rPr>
                <w:rFonts w:hint="eastAsia" w:ascii="宋体" w:hAnsi="宋体" w:cs="宋体"/>
                <w:color w:val="auto"/>
                <w:kern w:val="0"/>
                <w:szCs w:val="21"/>
                <w:highlight w:val="none"/>
                <w:shd w:val="clear" w:color="auto" w:fill="FFFFFF"/>
                <w:lang w:eastAsia="zh-CN"/>
              </w:rPr>
              <w:t>；</w:t>
            </w:r>
          </w:p>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⑵商务文件应包括如下内容：</w:t>
            </w:r>
          </w:p>
          <w:p>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法定代表人授权委托书（如有授权）（格式见投标文件格式）；</w:t>
            </w:r>
          </w:p>
          <w:p>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法定代表人身份证明书（格式见投标文件格式）；</w:t>
            </w:r>
          </w:p>
          <w:p>
            <w:pPr>
              <w:widowControl/>
              <w:topLinePunct/>
              <w:autoSpaceDE w:val="0"/>
              <w:autoSpaceDN w:val="0"/>
              <w:spacing w:line="400" w:lineRule="exact"/>
              <w:rPr>
                <w:rFonts w:hint="eastAsia"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投标函（格式见投标文件格式）</w:t>
            </w:r>
          </w:p>
          <w:p>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明细表</w:t>
            </w:r>
            <w:r>
              <w:rPr>
                <w:rFonts w:hint="eastAsia" w:ascii="宋体" w:hAnsi="宋体" w:cs="宋体"/>
                <w:color w:val="auto"/>
                <w:szCs w:val="21"/>
                <w:highlight w:val="none"/>
              </w:rPr>
              <w:t>（格式见投标文件格式）；</w:t>
            </w:r>
          </w:p>
          <w:p>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项目组主要成员一览表</w:t>
            </w:r>
          </w:p>
          <w:p>
            <w:pPr>
              <w:widowControl/>
              <w:topLinePunct/>
              <w:autoSpaceDE w:val="0"/>
              <w:autoSpaceDN w:val="0"/>
              <w:spacing w:line="400" w:lineRule="exact"/>
              <w:rPr>
                <w:rFonts w:hint="eastAsia"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商务条款偏离表</w:t>
            </w:r>
          </w:p>
          <w:p>
            <w:pPr>
              <w:widowControl/>
              <w:topLinePunct/>
              <w:autoSpaceDE w:val="0"/>
              <w:autoSpaceDN w:val="0"/>
              <w:spacing w:line="400" w:lineRule="exact"/>
              <w:rPr>
                <w:color w:val="auto"/>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lang w:val="en-US" w:eastAsia="zh-CN"/>
              </w:rPr>
              <w:t>服务内容响应表</w:t>
            </w:r>
          </w:p>
          <w:p>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盐城市大丰区政府招标采购供应商承诺书。（仅作为评审因素，不作为无效投标条款）（格式见投标文件格式）；</w:t>
            </w:r>
          </w:p>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⑶技术文件应包括如下内容：</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☑按招标文件要求以及评标办法评分需要提供。</w:t>
            </w:r>
          </w:p>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⑷开标一览表</w:t>
            </w:r>
          </w:p>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2、必须从诚信库中获取的材料：</w:t>
            </w:r>
          </w:p>
          <w:p>
            <w:pPr>
              <w:pStyle w:val="11"/>
              <w:spacing w:after="0"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企业营业执照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或事业单位法人证书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numPr>
                <w:ilvl w:val="0"/>
                <w:numId w:val="1"/>
              </w:num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无需从诚信库勾选，可直接提供扫描件的材料：</w:t>
            </w:r>
          </w:p>
          <w:p>
            <w:pPr>
              <w:widowControl/>
              <w:topLinePunct/>
              <w:autoSpaceDE w:val="0"/>
              <w:autoSpaceDN w:val="0"/>
              <w:spacing w:line="400" w:lineRule="exact"/>
              <w:textAlignment w:val="baseline"/>
              <w:rPr>
                <w:color w:val="auto"/>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kern w:val="0"/>
                <w:szCs w:val="21"/>
                <w:highlight w:val="none"/>
                <w:shd w:val="clear" w:color="auto" w:fill="FFFFFF"/>
              </w:rPr>
              <w:t>满足《中华人民共和国政府采购法》第二十二条规定的书面声明；</w:t>
            </w:r>
          </w:p>
          <w:p>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法定代表人授权委托书（如有授权）（格式见投标文件格式）；</w:t>
            </w:r>
          </w:p>
          <w:p>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法定代表人身份证明书（格式见投标文件格式）；</w:t>
            </w:r>
          </w:p>
          <w:p>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投标函及投标报价</w:t>
            </w:r>
            <w:r>
              <w:rPr>
                <w:rFonts w:hint="eastAsia" w:ascii="宋体" w:hAnsi="宋体" w:cs="宋体"/>
                <w:color w:val="auto"/>
                <w:szCs w:val="21"/>
                <w:highlight w:val="none"/>
                <w:lang w:val="en-US" w:eastAsia="zh-CN"/>
              </w:rPr>
              <w:t>明细</w:t>
            </w:r>
            <w:r>
              <w:rPr>
                <w:rFonts w:hint="eastAsia" w:ascii="宋体" w:hAnsi="宋体" w:cs="宋体"/>
                <w:color w:val="auto"/>
                <w:szCs w:val="21"/>
                <w:highlight w:val="none"/>
              </w:rPr>
              <w:t>表（格式见投标文件格式）；</w:t>
            </w:r>
          </w:p>
          <w:p>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项目组主要成员一览表；</w:t>
            </w:r>
          </w:p>
          <w:p>
            <w:pPr>
              <w:widowControl/>
              <w:topLinePunct/>
              <w:autoSpaceDE w:val="0"/>
              <w:autoSpaceDN w:val="0"/>
              <w:spacing w:line="400" w:lineRule="exact"/>
              <w:rPr>
                <w:rFonts w:hint="eastAsia"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商务条款偏离表</w:t>
            </w:r>
          </w:p>
          <w:p>
            <w:pPr>
              <w:widowControl/>
              <w:topLinePunct/>
              <w:autoSpaceDE w:val="0"/>
              <w:autoSpaceDN w:val="0"/>
              <w:spacing w:line="400" w:lineRule="exact"/>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lang w:val="en-US" w:eastAsia="zh-CN"/>
              </w:rPr>
              <w:t>服务内容响应表</w:t>
            </w:r>
          </w:p>
          <w:p>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盐城市大丰区政府招标采购供应商承诺书。（仅作为评审因素，不作为无效投标条款）（格式见投标文件格式）；</w:t>
            </w:r>
          </w:p>
          <w:p>
            <w:pPr>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招标文件及评标办法需要提供的其他材料；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3.2.2</w:t>
            </w:r>
          </w:p>
        </w:tc>
        <w:tc>
          <w:tcPr>
            <w:tcW w:w="2186"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投标报价要求</w:t>
            </w:r>
          </w:p>
        </w:tc>
        <w:tc>
          <w:tcPr>
            <w:tcW w:w="65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rPr>
              <w:t>本次运</w:t>
            </w:r>
            <w:r>
              <w:rPr>
                <w:rFonts w:hint="eastAsia" w:ascii="宋体" w:hAnsi="宋体" w:cs="宋体"/>
                <w:color w:val="auto"/>
                <w:szCs w:val="21"/>
                <w:lang w:val="en-US" w:eastAsia="zh-CN"/>
              </w:rPr>
              <w:t>维</w:t>
            </w:r>
            <w:r>
              <w:rPr>
                <w:rFonts w:hint="eastAsia" w:ascii="宋体" w:hAnsi="宋体" w:cs="宋体"/>
                <w:color w:val="auto"/>
                <w:szCs w:val="21"/>
              </w:rPr>
              <w:t>服务费报价包括配套设施的养护（包含疏水阀、保温层、计量表、阀门、标示牌等）、管道及仪表的定期检测、计量系统的检查与统计、管道运行环境维护（清除杂草，监护第三方施工等）</w:t>
            </w:r>
            <w:r>
              <w:rPr>
                <w:rFonts w:hint="eastAsia" w:ascii="宋体" w:hAnsi="宋体" w:cs="宋体"/>
                <w:color w:val="auto"/>
                <w:szCs w:val="21"/>
                <w:lang w:eastAsia="zh-CN"/>
              </w:rPr>
              <w:t>、</w:t>
            </w:r>
            <w:r>
              <w:rPr>
                <w:rFonts w:hint="eastAsia" w:ascii="宋体" w:hAnsi="宋体" w:cs="宋体"/>
                <w:color w:val="auto"/>
                <w:szCs w:val="21"/>
                <w:lang w:val="en-US" w:eastAsia="zh-CN"/>
              </w:rPr>
              <w:t>人工费、保险费、设备维修保养费、办公管理费、住宿费、餐费、</w:t>
            </w:r>
            <w:r>
              <w:rPr>
                <w:rFonts w:hint="eastAsia" w:ascii="宋体" w:hAnsi="宋体" w:cs="宋体"/>
                <w:color w:val="auto"/>
                <w:szCs w:val="21"/>
                <w:lang w:eastAsia="zh-CN"/>
              </w:rPr>
              <w:t>交通费 (配备</w:t>
            </w:r>
            <w:r>
              <w:rPr>
                <w:rFonts w:hint="eastAsia" w:ascii="宋体" w:hAnsi="宋体" w:cs="宋体"/>
                <w:color w:val="auto"/>
                <w:szCs w:val="21"/>
                <w:lang w:val="en-US" w:eastAsia="zh-CN"/>
              </w:rPr>
              <w:t>1</w:t>
            </w:r>
            <w:r>
              <w:rPr>
                <w:rFonts w:hint="eastAsia" w:ascii="宋体" w:hAnsi="宋体" w:cs="宋体"/>
                <w:color w:val="auto"/>
                <w:szCs w:val="21"/>
                <w:lang w:eastAsia="zh-CN"/>
              </w:rPr>
              <w:t>辆车) 、技术服务费、</w:t>
            </w:r>
            <w:r>
              <w:rPr>
                <w:rFonts w:hint="eastAsia" w:ascii="宋体" w:hAnsi="宋体" w:cs="宋体"/>
                <w:color w:val="auto"/>
                <w:szCs w:val="21"/>
                <w:lang w:val="en-US" w:eastAsia="zh-CN"/>
              </w:rPr>
              <w:t>水电费、燃气费、利润、税金等以及其他不可预见的一切费用。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18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594" w:type="dxa"/>
            <w:vAlign w:val="center"/>
          </w:tcPr>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57.45万元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18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594"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18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594" w:type="dxa"/>
            <w:vAlign w:val="center"/>
          </w:tcPr>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参照执行苏财购[2020]52号文《关于做好政府采购支持企业发展有关事项的通知》，本项目不需要缴纳投标保证金。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218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是否允许递交备选</w:t>
            </w:r>
          </w:p>
          <w:p>
            <w:pPr>
              <w:jc w:val="center"/>
              <w:rPr>
                <w:rFonts w:ascii="宋体" w:hAnsi="宋体" w:cs="宋体"/>
                <w:color w:val="auto"/>
                <w:szCs w:val="21"/>
                <w:highlight w:val="none"/>
              </w:rPr>
            </w:pPr>
            <w:r>
              <w:rPr>
                <w:rFonts w:hint="eastAsia" w:ascii="宋体" w:hAnsi="宋体" w:cs="宋体"/>
                <w:color w:val="auto"/>
                <w:szCs w:val="21"/>
                <w:highlight w:val="none"/>
              </w:rPr>
              <w:t>投标方案</w:t>
            </w:r>
          </w:p>
        </w:tc>
        <w:tc>
          <w:tcPr>
            <w:tcW w:w="6594"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4.2.1</w:t>
            </w:r>
          </w:p>
        </w:tc>
        <w:tc>
          <w:tcPr>
            <w:tcW w:w="218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投标文件递交截止</w:t>
            </w:r>
          </w:p>
          <w:p>
            <w:pPr>
              <w:jc w:val="center"/>
              <w:rPr>
                <w:rFonts w:ascii="宋体" w:hAnsi="宋体" w:cs="宋体"/>
                <w:color w:val="auto"/>
                <w:szCs w:val="21"/>
                <w:highlight w:val="none"/>
              </w:rPr>
            </w:pPr>
            <w:r>
              <w:rPr>
                <w:rFonts w:hint="eastAsia" w:ascii="宋体" w:hAnsi="宋体" w:cs="宋体"/>
                <w:color w:val="auto"/>
                <w:szCs w:val="21"/>
                <w:highlight w:val="none"/>
              </w:rPr>
              <w:t>时间和地点</w:t>
            </w:r>
          </w:p>
        </w:tc>
        <w:tc>
          <w:tcPr>
            <w:tcW w:w="6594" w:type="dxa"/>
            <w:vAlign w:val="center"/>
          </w:tcPr>
          <w:p>
            <w:pPr>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1、投标文件提交截止时间：</w:t>
            </w:r>
          </w:p>
          <w:p>
            <w:pPr>
              <w:spacing w:line="400" w:lineRule="exact"/>
              <w:jc w:val="left"/>
              <w:rPr>
                <w:rFonts w:ascii="宋体" w:hAnsi="宋体" w:cs="宋体"/>
                <w:color w:val="auto"/>
                <w:szCs w:val="21"/>
                <w:highlight w:val="none"/>
                <w:u w:val="single"/>
              </w:rPr>
            </w:pPr>
            <w:r>
              <w:rPr>
                <w:rFonts w:hint="eastAsia" w:ascii="宋体" w:hAnsi="宋体" w:cs="宋体"/>
                <w:b/>
                <w:color w:val="auto"/>
                <w:szCs w:val="21"/>
                <w:highlight w:val="none"/>
                <w:u w:val="single"/>
              </w:rPr>
              <w:t>202</w:t>
            </w:r>
            <w:r>
              <w:rPr>
                <w:rFonts w:hint="eastAsia" w:ascii="宋体" w:hAnsi="宋体" w:cs="宋体"/>
                <w:b/>
                <w:color w:val="auto"/>
                <w:szCs w:val="21"/>
                <w:highlight w:val="none"/>
                <w:u w:val="single"/>
                <w:lang w:val="en-US" w:eastAsia="zh-CN"/>
              </w:rPr>
              <w:t>4</w:t>
            </w:r>
            <w:r>
              <w:rPr>
                <w:rFonts w:hint="eastAsia" w:ascii="宋体" w:hAnsi="宋体" w:cs="宋体"/>
                <w:b/>
                <w:color w:val="auto"/>
                <w:szCs w:val="21"/>
                <w:highlight w:val="none"/>
              </w:rPr>
              <w:t>年</w:t>
            </w:r>
            <w:r>
              <w:rPr>
                <w:rFonts w:hint="eastAsia" w:ascii="宋体" w:hAnsi="宋体" w:cs="宋体"/>
                <w:b/>
                <w:color w:val="auto"/>
                <w:szCs w:val="21"/>
                <w:highlight w:val="none"/>
                <w:u w:val="single"/>
                <w:lang w:val="en-US" w:eastAsia="zh-CN"/>
              </w:rPr>
              <w:t>06</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19 </w:t>
            </w:r>
            <w:r>
              <w:rPr>
                <w:rFonts w:hint="eastAsia" w:ascii="宋体" w:hAnsi="宋体" w:cs="宋体"/>
                <w:b/>
                <w:color w:val="auto"/>
                <w:szCs w:val="21"/>
                <w:highlight w:val="none"/>
              </w:rPr>
              <w:t>日</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09 </w:t>
            </w:r>
            <w:r>
              <w:rPr>
                <w:rFonts w:hint="eastAsia" w:ascii="宋体" w:hAnsi="宋体" w:cs="宋体"/>
                <w:b/>
                <w:color w:val="auto"/>
                <w:szCs w:val="21"/>
                <w:highlight w:val="none"/>
              </w:rPr>
              <w:t>时</w:t>
            </w:r>
            <w:r>
              <w:rPr>
                <w:rFonts w:hint="eastAsia" w:ascii="宋体" w:hAnsi="宋体" w:cs="宋体"/>
                <w:b/>
                <w:color w:val="auto"/>
                <w:szCs w:val="21"/>
                <w:highlight w:val="none"/>
                <w:u w:val="single"/>
                <w:lang w:val="en-US" w:eastAsia="zh-CN"/>
              </w:rPr>
              <w:t xml:space="preserve"> 00 </w:t>
            </w:r>
            <w:r>
              <w:rPr>
                <w:rFonts w:hint="eastAsia" w:ascii="宋体" w:hAnsi="宋体" w:cs="宋体"/>
                <w:b/>
                <w:color w:val="auto"/>
                <w:szCs w:val="21"/>
                <w:highlight w:val="none"/>
              </w:rPr>
              <w:t>分</w:t>
            </w:r>
            <w:r>
              <w:rPr>
                <w:rFonts w:hint="eastAsia" w:ascii="宋体" w:hAnsi="宋体" w:cs="宋体"/>
                <w:b/>
                <w:color w:val="auto"/>
                <w:szCs w:val="21"/>
                <w:highlight w:val="none"/>
                <w:u w:val="single"/>
                <w:lang w:val="en-US" w:eastAsia="zh-CN"/>
              </w:rPr>
              <w:t xml:space="preserve"> 00 </w:t>
            </w:r>
            <w:r>
              <w:rPr>
                <w:rFonts w:hint="eastAsia" w:ascii="宋体" w:hAnsi="宋体" w:cs="宋体"/>
                <w:b/>
                <w:color w:val="auto"/>
                <w:szCs w:val="21"/>
                <w:highlight w:val="none"/>
              </w:rPr>
              <w:t>秒</w:t>
            </w:r>
            <w:r>
              <w:rPr>
                <w:rFonts w:hint="eastAsia" w:ascii="宋体" w:hAnsi="宋体" w:cs="宋体"/>
                <w:color w:val="auto"/>
                <w:szCs w:val="21"/>
                <w:highlight w:val="none"/>
              </w:rPr>
              <w:t>；</w:t>
            </w: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2、投标文件提交地点：</w:t>
            </w:r>
          </w:p>
          <w:p>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（1）电子档上传地址：“投标文件制作工具”生成的xetf格式的电子档上传至新点电子交易平台-大丰政府采购系统（网址：https://www.etrading.cn/BREpointSSO/login/oauth2login）。   </w:t>
            </w:r>
          </w:p>
          <w:p>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（2）投标人未在投标文件递交截止时间前将加密的投标文件上传至新点电子交易平台-大丰政府采购系统，视为放弃其投标。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18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6594" w:type="dxa"/>
            <w:vAlign w:val="center"/>
          </w:tcPr>
          <w:p>
            <w:pPr>
              <w:rPr>
                <w:rFonts w:ascii="宋体" w:hAnsi="宋体" w:cs="宋体"/>
                <w:color w:val="auto"/>
                <w:szCs w:val="21"/>
                <w:highlight w:val="none"/>
              </w:rPr>
            </w:pPr>
            <w:r>
              <w:rPr>
                <w:rFonts w:hint="eastAsia" w:ascii="宋体" w:hAnsi="宋体" w:cs="宋体"/>
                <w:color w:val="auto"/>
                <w:szCs w:val="21"/>
                <w:highlight w:val="none"/>
              </w:rPr>
              <w:t>否（相关原件资料除外）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18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594"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b/>
                <w:color w:val="auto"/>
                <w:szCs w:val="21"/>
                <w:highlight w:val="none"/>
                <w:u w:val="single"/>
              </w:rPr>
              <w:t>202</w:t>
            </w:r>
            <w:r>
              <w:rPr>
                <w:rFonts w:hint="eastAsia" w:ascii="宋体" w:hAnsi="宋体" w:cs="宋体"/>
                <w:b/>
                <w:color w:val="auto"/>
                <w:szCs w:val="21"/>
                <w:highlight w:val="none"/>
                <w:u w:val="single"/>
                <w:lang w:val="en-US" w:eastAsia="zh-CN"/>
              </w:rPr>
              <w:t>4</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06</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19  </w:t>
            </w:r>
            <w:r>
              <w:rPr>
                <w:rFonts w:hint="eastAsia" w:ascii="宋体" w:hAnsi="宋体" w:cs="宋体"/>
                <w:b/>
                <w:color w:val="auto"/>
                <w:szCs w:val="21"/>
                <w:highlight w:val="none"/>
              </w:rPr>
              <w:t>日</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09 </w:t>
            </w:r>
            <w:r>
              <w:rPr>
                <w:rFonts w:hint="eastAsia" w:ascii="宋体" w:hAnsi="宋体" w:cs="宋体"/>
                <w:b/>
                <w:color w:val="auto"/>
                <w:szCs w:val="21"/>
                <w:highlight w:val="none"/>
              </w:rPr>
              <w:t>时</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00</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分</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开标地点：开标大厅系统http://js.etrading.cn/EpointBidOpening/bidopeninghallaction/hall/login。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9" w:hRule="atLeast"/>
          <w:jc w:val="center"/>
        </w:trPr>
        <w:tc>
          <w:tcPr>
            <w:tcW w:w="1130" w:type="dxa"/>
            <w:vAlign w:val="center"/>
          </w:tcPr>
          <w:p>
            <w:pPr>
              <w:adjustRightInd w:val="0"/>
              <w:snapToGrid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5.1.1</w:t>
            </w:r>
          </w:p>
        </w:tc>
        <w:tc>
          <w:tcPr>
            <w:tcW w:w="2186" w:type="dxa"/>
            <w:vAlign w:val="center"/>
          </w:tcPr>
          <w:p>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参加开标会的</w:t>
            </w:r>
          </w:p>
          <w:p>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投标人代表</w:t>
            </w:r>
          </w:p>
        </w:tc>
        <w:tc>
          <w:tcPr>
            <w:tcW w:w="6594"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30" w:type="dxa"/>
            <w:vAlign w:val="center"/>
          </w:tcPr>
          <w:p>
            <w:pPr>
              <w:adjustRightInd w:val="0"/>
              <w:snapToGrid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186" w:type="dxa"/>
            <w:vAlign w:val="center"/>
          </w:tcPr>
          <w:p>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594"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详见投标须知5.2条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1130" w:type="dxa"/>
            <w:vAlign w:val="center"/>
          </w:tcPr>
          <w:p>
            <w:pPr>
              <w:adjustRightInd w:val="0"/>
              <w:snapToGrid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5.2.1</w:t>
            </w:r>
          </w:p>
        </w:tc>
        <w:tc>
          <w:tcPr>
            <w:tcW w:w="2186" w:type="dxa"/>
            <w:vAlign w:val="center"/>
          </w:tcPr>
          <w:p>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投标文件解密时间</w:t>
            </w:r>
          </w:p>
        </w:tc>
        <w:tc>
          <w:tcPr>
            <w:tcW w:w="6594"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rFonts w:hint="eastAsia" w:ascii="宋体" w:hAnsi="宋体" w:cs="宋体"/>
                <w:b/>
                <w:bCs/>
                <w:color w:val="auto"/>
                <w:szCs w:val="21"/>
                <w:highlight w:val="none"/>
              </w:rPr>
              <w:t>（友情提示：进行解密的时候，应使用生成投标文件的CA锁进行操作，否则无法完成解密。）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2186" w:type="dxa"/>
            <w:vAlign w:val="center"/>
          </w:tcPr>
          <w:p>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594"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评标委员会构成：</w:t>
            </w:r>
            <w:r>
              <w:rPr>
                <w:rFonts w:hint="eastAsia" w:ascii="宋体" w:hAnsi="宋体" w:cs="宋体"/>
                <w:b/>
                <w:bCs/>
                <w:color w:val="auto"/>
                <w:szCs w:val="21"/>
                <w:highlight w:val="none"/>
                <w:u w:val="single"/>
              </w:rPr>
              <w:t>5人或5人以上单数</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评标专家确定方式：电脑随机抽取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6.3</w:t>
            </w:r>
          </w:p>
        </w:tc>
        <w:tc>
          <w:tcPr>
            <w:tcW w:w="2186" w:type="dxa"/>
            <w:vAlign w:val="center"/>
          </w:tcPr>
          <w:p>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6594" w:type="dxa"/>
            <w:vAlign w:val="center"/>
          </w:tcPr>
          <w:p>
            <w:pPr>
              <w:spacing w:line="22" w:lineRule="atLeast"/>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2186" w:type="dxa"/>
            <w:vAlign w:val="center"/>
          </w:tcPr>
          <w:p>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是否授权评标</w:t>
            </w:r>
          </w:p>
          <w:p>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委员会确定中标人</w:t>
            </w:r>
          </w:p>
        </w:tc>
        <w:tc>
          <w:tcPr>
            <w:tcW w:w="6594" w:type="dxa"/>
            <w:vAlign w:val="center"/>
          </w:tcPr>
          <w:p>
            <w:pPr>
              <w:spacing w:line="22" w:lineRule="atLeast"/>
              <w:rPr>
                <w:rFonts w:ascii="宋体" w:hAnsi="宋体" w:cs="宋体"/>
                <w:color w:val="auto"/>
                <w:szCs w:val="21"/>
                <w:highlight w:val="none"/>
              </w:rPr>
            </w:pPr>
            <w:r>
              <w:rPr>
                <w:rFonts w:hint="eastAsia" w:ascii="宋体" w:hAnsi="宋体" w:cs="宋体"/>
                <w:color w:val="auto"/>
                <w:szCs w:val="21"/>
                <w:highlight w:val="none"/>
              </w:rPr>
              <w:t>□是</w:t>
            </w:r>
          </w:p>
          <w:p>
            <w:pPr>
              <w:spacing w:line="22" w:lineRule="atLeast"/>
              <w:rPr>
                <w:rFonts w:ascii="宋体" w:hAnsi="宋体" w:cs="宋体"/>
                <w:color w:val="auto"/>
                <w:szCs w:val="21"/>
                <w:highlight w:val="none"/>
                <w:u w:val="singl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否，依据评标办法评审后按得分高低排序推荐中标候选人。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8.3</w:t>
            </w:r>
          </w:p>
        </w:tc>
        <w:tc>
          <w:tcPr>
            <w:tcW w:w="2186" w:type="dxa"/>
            <w:vAlign w:val="center"/>
          </w:tcPr>
          <w:p>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594" w:type="dxa"/>
            <w:vAlign w:val="center"/>
          </w:tcPr>
          <w:p>
            <w:pPr>
              <w:spacing w:line="400" w:lineRule="exact"/>
              <w:rPr>
                <w:rFonts w:ascii="宋体" w:hAnsi="宋体" w:cs="宋体"/>
                <w:color w:val="auto"/>
                <w:kern w:val="1"/>
                <w:szCs w:val="21"/>
                <w:highlight w:val="none"/>
              </w:rPr>
            </w:pPr>
            <w:r>
              <w:rPr>
                <w:rFonts w:hint="eastAsia" w:ascii="宋体" w:hAnsi="宋体" w:cs="宋体"/>
                <w:color w:val="auto"/>
                <w:kern w:val="1"/>
                <w:szCs w:val="21"/>
                <w:highlight w:val="none"/>
              </w:rPr>
              <w:t>履约保证金的形式：转账、履约担保或者投标人基本账户开户行出具的银行保函、保险公司保险单。</w:t>
            </w:r>
          </w:p>
          <w:p>
            <w:pPr>
              <w:spacing w:line="400" w:lineRule="exact"/>
              <w:rPr>
                <w:rFonts w:ascii="宋体" w:hAnsi="宋体" w:cs="宋体"/>
                <w:color w:val="auto"/>
                <w:kern w:val="1"/>
                <w:szCs w:val="21"/>
                <w:highlight w:val="none"/>
              </w:rPr>
            </w:pPr>
            <w:r>
              <w:rPr>
                <w:rFonts w:hint="eastAsia" w:ascii="宋体" w:hAnsi="宋体" w:cs="宋体"/>
                <w:color w:val="auto"/>
                <w:kern w:val="1"/>
                <w:szCs w:val="21"/>
                <w:highlight w:val="none"/>
              </w:rPr>
              <w:t>履约保证金的金额：</w:t>
            </w:r>
            <w:r>
              <w:rPr>
                <w:rFonts w:hint="eastAsia" w:ascii="宋体" w:hAnsi="宋体" w:cs="宋体"/>
                <w:bCs/>
                <w:color w:val="auto"/>
                <w:kern w:val="1"/>
                <w:szCs w:val="21"/>
                <w:highlight w:val="none"/>
                <w:lang w:val="en-US" w:eastAsia="zh-CN"/>
              </w:rPr>
              <w:t>中标价的10%</w:t>
            </w:r>
            <w:r>
              <w:rPr>
                <w:rFonts w:hint="eastAsia" w:ascii="宋体" w:hAnsi="宋体" w:cs="宋体"/>
                <w:color w:val="auto"/>
                <w:kern w:val="1"/>
                <w:szCs w:val="21"/>
                <w:highlight w:val="none"/>
              </w:rPr>
              <w:t>。</w:t>
            </w:r>
          </w:p>
          <w:p>
            <w:pPr>
              <w:spacing w:line="400" w:lineRule="exact"/>
              <w:rPr>
                <w:rFonts w:hint="eastAsia" w:ascii="宋体" w:hAnsi="宋体" w:eastAsia="宋体" w:cs="宋体"/>
                <w:color w:val="auto"/>
                <w:kern w:val="1"/>
                <w:szCs w:val="21"/>
                <w:highlight w:val="none"/>
                <w:lang w:eastAsia="zh-CN"/>
              </w:rPr>
            </w:pPr>
            <w:r>
              <w:rPr>
                <w:rFonts w:hint="eastAsia" w:ascii="宋体" w:hAnsi="宋体" w:cs="宋体"/>
                <w:color w:val="auto"/>
                <w:kern w:val="1"/>
                <w:szCs w:val="21"/>
                <w:highlight w:val="none"/>
              </w:rPr>
              <w:t>注：对提供＂信用中国(江苏盐城)＂备案的第三方信用报告AA评级及以上采购供应商，免收履约保证金或履约保证金缴纳比例降低，合同订立前需提供相关证明材料</w:t>
            </w:r>
            <w:r>
              <w:rPr>
                <w:rFonts w:hint="eastAsia" w:ascii="宋体" w:hAnsi="宋体" w:cs="宋体"/>
                <w:color w:val="auto"/>
                <w:kern w:val="1"/>
                <w:szCs w:val="21"/>
                <w:highlight w:val="none"/>
                <w:lang w:eastAsia="zh-CN"/>
              </w:rPr>
              <w:t>。</w:t>
            </w:r>
          </w:p>
          <w:p>
            <w:pPr>
              <w:spacing w:line="400" w:lineRule="exact"/>
              <w:rPr>
                <w:rFonts w:ascii="宋体" w:hAnsi="宋体" w:cs="宋体"/>
                <w:color w:val="auto"/>
                <w:kern w:val="1"/>
                <w:szCs w:val="21"/>
                <w:highlight w:val="none"/>
              </w:rPr>
            </w:pPr>
            <w:r>
              <w:rPr>
                <w:rFonts w:hint="eastAsia" w:ascii="宋体" w:hAnsi="宋体" w:cs="宋体"/>
                <w:color w:val="auto"/>
                <w:kern w:val="1"/>
                <w:szCs w:val="21"/>
                <w:highlight w:val="none"/>
              </w:rPr>
              <w:t>履约保证金退还：待本合同期满后，中标方向招标人提交退还履约保证金申请函，在中标人无违约及按合同条款约定移交原已接收的设备情况下，招标人在 30 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2186" w:type="dxa"/>
            <w:vAlign w:val="center"/>
          </w:tcPr>
          <w:p>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5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1、本项目按半年度进行支付，实际支付金额=中标金额÷2×季度平均考核得分支付比例。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2、本项目无预付款，结算周期为6个月一次，在结算时，向招标人提交各项维保记录的运营报告和相关部门运营考核表，申请核拨运行费；招标人于15 个工作日内完成审核，并根据考核结果发放相应服务费。</w:t>
            </w:r>
            <w:r>
              <w:rPr>
                <w:rFonts w:hint="eastAsia" w:ascii="宋体" w:hAnsi="宋体" w:eastAsia="宋体" w:cs="宋体"/>
                <w:color w:val="auto"/>
                <w:kern w:val="2"/>
                <w:sz w:val="21"/>
                <w:szCs w:val="21"/>
                <w:highlight w:val="none"/>
                <w:lang w:val="en-US" w:eastAsia="zh-CN" w:bidi="ar-SA"/>
              </w:rPr>
              <w:t>季度考核平均分≥90分的支付应付金额的100%；考核平均分为80-89分的支付应付金额的95%；考核平均分为70-79分的支付应付金额的90%；考核平均分低于70分（不含70分）的支付应付金额的80%并终止运维合同。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highlight w:val="none"/>
              </w:rPr>
            </w:pPr>
            <w:r>
              <w:rPr>
                <w:rFonts w:hint="eastAsia" w:ascii="宋体" w:hAnsi="宋体" w:cs="宋体"/>
                <w:color w:val="auto"/>
                <w:szCs w:val="21"/>
                <w:highlight w:val="none"/>
                <w:lang w:val="en-US" w:eastAsia="zh-CN"/>
              </w:rPr>
              <w:t>注：按以上付款进度，无任何利息补偿。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113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780" w:type="dxa"/>
            <w:gridSpan w:val="2"/>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400" w:lineRule="exact"/>
              <w:ind w:right="100"/>
              <w:rPr>
                <w:rFonts w:ascii="宋体" w:hAnsi="宋体" w:cs="宋体"/>
                <w:color w:val="auto"/>
                <w:szCs w:val="21"/>
                <w:highlight w:val="none"/>
              </w:rPr>
            </w:pPr>
            <w:r>
              <w:rPr>
                <w:rFonts w:hint="eastAsia" w:ascii="宋体" w:hAnsi="宋体" w:cs="宋体"/>
                <w:color w:val="auto"/>
                <w:szCs w:val="21"/>
                <w:highlight w:val="none"/>
              </w:rPr>
              <w:t>⑴凡是构成合同文件组成内容的不明确或不一致，以合同文件约定内容为准，且以专用合同条款约定的合同文件优先顺序解释；</w:t>
            </w:r>
          </w:p>
          <w:p>
            <w:pPr>
              <w:tabs>
                <w:tab w:val="left" w:pos="920"/>
              </w:tabs>
              <w:spacing w:line="400" w:lineRule="exact"/>
              <w:ind w:right="100"/>
              <w:rPr>
                <w:rFonts w:ascii="宋体" w:hAnsi="宋体" w:cs="宋体"/>
                <w:color w:val="auto"/>
                <w:szCs w:val="21"/>
                <w:highlight w:val="none"/>
              </w:rPr>
            </w:pPr>
            <w:r>
              <w:rPr>
                <w:rFonts w:hint="eastAsia" w:ascii="宋体" w:hAnsi="宋体" w:cs="宋体"/>
                <w:color w:val="auto"/>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⑶按本款前述规定仍不能形成结论的，由招标人负责解释。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780" w:type="dxa"/>
            <w:gridSpan w:val="2"/>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1、本招标文件时间均以中华人民共和国北京时间为准，所涉及金额的币种均为人民币。</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2、凡参与本项目投标的投标人，视同已踏勘过项目现场和研究了本招标文件的所有内容，并无保留地接受招标文件的所有条款（含招标答疑、补充通知等）。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3、为防止因开标前集中上传投标文件造成的网络拥堵，导致投标人无法在投标截止时间前成功上传投标文件，建议投标人在开标前尽早将投标文件上传到</w:t>
            </w:r>
            <w:r>
              <w:rPr>
                <w:rFonts w:hint="eastAsia" w:ascii="宋体" w:hAnsi="宋体" w:cs="宋体"/>
                <w:b/>
                <w:bCs/>
                <w:color w:val="auto"/>
                <w:szCs w:val="21"/>
                <w:highlight w:val="none"/>
              </w:rPr>
              <w:t>新点电子交易平台-大丰政府采购系统</w:t>
            </w:r>
            <w:r>
              <w:rPr>
                <w:rFonts w:hint="eastAsia" w:ascii="宋体" w:hAnsi="宋体" w:cs="宋体"/>
                <w:color w:val="auto"/>
                <w:szCs w:val="21"/>
                <w:highlight w:val="none"/>
              </w:rPr>
              <w:t>（网址：https://www.etrading.cn/BREpointSSO/login/oauth2login）</w:t>
            </w:r>
            <w:r>
              <w:rPr>
                <w:rFonts w:hint="eastAsia" w:ascii="宋体" w:hAnsi="宋体" w:cs="宋体"/>
                <w:b/>
                <w:bCs/>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r>
              <w:rPr>
                <w:rFonts w:hint="eastAsia" w:ascii="宋体" w:hAnsi="宋体" w:cs="宋体"/>
                <w:b/>
                <w:bCs/>
                <w:color w:val="auto"/>
                <w:szCs w:val="21"/>
                <w:highlight w:val="none"/>
              </w:rPr>
              <w:t>目前投标人使用投标文件制作工具制作投标文件时，无需电子签章。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5、因本项目采用全程电子化及不见面开标模式，故招标人特别说明如下：</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①、不见面开标项目的时间均以国家授时中心发布的时间为准。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本项目招标代理，联系电话：</w:t>
            </w:r>
            <w:r>
              <w:rPr>
                <w:rFonts w:hint="eastAsia"/>
                <w:color w:val="auto"/>
                <w:kern w:val="1"/>
                <w:szCs w:val="21"/>
                <w:highlight w:val="none"/>
              </w:rPr>
              <w:t>0515-83515088</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6、本招标文件未尽事宜，按国家和省法律法规、规章要求处理。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7、本招标文件的解释权归招标人所有。</w:t>
            </w:r>
          </w:p>
        </w:tc>
      </w:tr>
    </w:tbl>
    <w:p>
      <w:pPr>
        <w:spacing w:line="480" w:lineRule="exact"/>
        <w:ind w:firstLine="422" w:firstLineChars="200"/>
        <w:rPr>
          <w:color w:val="auto"/>
          <w:highlight w:val="none"/>
        </w:rPr>
      </w:pPr>
      <w:bookmarkStart w:id="28" w:name="_Toc368759375"/>
      <w:bookmarkStart w:id="29" w:name="_Toc363329370"/>
      <w:bookmarkStart w:id="30" w:name="_Toc368760427"/>
      <w:bookmarkStart w:id="31" w:name="_Toc184635071"/>
      <w:bookmarkStart w:id="32" w:name="_Toc369077561"/>
      <w:bookmarkStart w:id="33" w:name="_Toc367894798"/>
      <w:r>
        <w:rPr>
          <w:rFonts w:hint="eastAsia" w:ascii="宋体" w:hAnsi="宋体" w:cs="宋体"/>
          <w:b/>
          <w:color w:val="auto"/>
          <w:szCs w:val="21"/>
          <w:highlight w:val="none"/>
        </w:rPr>
        <w:t>特别提醒：</w:t>
      </w:r>
      <w:bookmarkStart w:id="34" w:name="_Toc18948"/>
      <w:bookmarkStart w:id="35" w:name="_Toc387526375"/>
      <w:bookmarkStart w:id="36" w:name="_Toc397928549"/>
      <w:bookmarkStart w:id="37" w:name="_Toc387526179"/>
      <w:bookmarkStart w:id="38" w:name="_Toc387526283"/>
      <w:r>
        <w:rPr>
          <w:rFonts w:hint="eastAsia" w:ascii="宋体" w:hAnsi="宋体" w:cs="宋体"/>
          <w:b/>
          <w:color w:val="auto"/>
          <w:szCs w:val="21"/>
          <w:highlight w:val="none"/>
        </w:rPr>
        <w:t>招标人会根据招标需要，可能会不定期在大丰公共资源电子交易平台发布该项目补充答疑等澄清修改文件，请各投标人自行网上查寻，未能及时查阅响应而影响投标的，结果由投标人负责。</w:t>
      </w:r>
    </w:p>
    <w:p>
      <w:pPr>
        <w:spacing w:line="46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1.总则</w:t>
      </w:r>
      <w:bookmarkEnd w:id="28"/>
      <w:bookmarkEnd w:id="29"/>
      <w:bookmarkEnd w:id="30"/>
      <w:bookmarkEnd w:id="31"/>
      <w:bookmarkEnd w:id="32"/>
      <w:bookmarkEnd w:id="33"/>
      <w:bookmarkEnd w:id="34"/>
      <w:bookmarkEnd w:id="35"/>
      <w:bookmarkEnd w:id="36"/>
      <w:bookmarkEnd w:id="37"/>
      <w:bookmarkEnd w:id="38"/>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39" w:name="_Toc397928550"/>
      <w:bookmarkStart w:id="40" w:name="_Toc387526376"/>
      <w:bookmarkStart w:id="41" w:name="_Toc5365"/>
      <w:bookmarkStart w:id="42" w:name="_Toc387526180"/>
      <w:bookmarkStart w:id="43" w:name="_Toc387526284"/>
      <w:bookmarkStart w:id="44" w:name="_Toc508216880"/>
      <w:r>
        <w:rPr>
          <w:rFonts w:hint="eastAsia" w:ascii="宋体" w:hAnsi="宋体" w:eastAsia="宋体" w:cs="宋体"/>
          <w:color w:val="auto"/>
          <w:sz w:val="21"/>
          <w:szCs w:val="21"/>
          <w:highlight w:val="none"/>
        </w:rPr>
        <w:t>1.1 项目概况</w:t>
      </w:r>
      <w:bookmarkEnd w:id="39"/>
      <w:bookmarkEnd w:id="40"/>
      <w:bookmarkEnd w:id="41"/>
      <w:bookmarkEnd w:id="42"/>
      <w:bookmarkEnd w:id="43"/>
      <w:bookmarkEnd w:id="44"/>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1.1.1根据有关法律、法规和规章的规定，本招标项目已具备招标条件，现对本项目运维服务进行招标。</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1.1.2本招标项目招标人：见投标人须知前附表。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1.1.3本招标项目招标代理机构：见投标人须知前附表。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1.1.4本招标项目名称：见投标人须知前附表。</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45" w:name="_Toc387526181"/>
      <w:bookmarkStart w:id="46" w:name="_Toc387526377"/>
      <w:bookmarkStart w:id="47" w:name="_Toc397928551"/>
      <w:bookmarkStart w:id="48" w:name="_Toc11796"/>
      <w:bookmarkStart w:id="49" w:name="_Toc508216881"/>
      <w:bookmarkStart w:id="50" w:name="_Toc387526285"/>
      <w:r>
        <w:rPr>
          <w:rFonts w:hint="eastAsia" w:ascii="宋体" w:hAnsi="宋体" w:eastAsia="宋体" w:cs="宋体"/>
          <w:color w:val="auto"/>
          <w:sz w:val="21"/>
          <w:szCs w:val="21"/>
          <w:highlight w:val="none"/>
        </w:rPr>
        <w:t>1.2 资金来源和落实情况</w:t>
      </w:r>
      <w:bookmarkEnd w:id="45"/>
      <w:bookmarkEnd w:id="46"/>
      <w:bookmarkEnd w:id="47"/>
      <w:bookmarkEnd w:id="48"/>
      <w:bookmarkEnd w:id="49"/>
      <w:bookmarkEnd w:id="50"/>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1.2.1本招标项目的资金来源：见投标人须知前附表。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1.2.2本招标项目的出资比例：见投标人须知前附表。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1.2.3本招标项目的资金落实情况：见投标人须知前附表。</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51" w:name="_Toc387526378"/>
      <w:bookmarkStart w:id="52" w:name="_Toc387526286"/>
      <w:bookmarkStart w:id="53" w:name="_Toc853"/>
      <w:bookmarkStart w:id="54" w:name="_Toc387526182"/>
      <w:bookmarkStart w:id="55" w:name="_Toc397928552"/>
      <w:bookmarkStart w:id="56" w:name="_Toc508216882"/>
      <w:r>
        <w:rPr>
          <w:rFonts w:hint="eastAsia" w:ascii="宋体" w:hAnsi="宋体" w:eastAsia="宋体" w:cs="宋体"/>
          <w:color w:val="auto"/>
          <w:sz w:val="21"/>
          <w:szCs w:val="21"/>
          <w:highlight w:val="none"/>
        </w:rPr>
        <w:t>1.3 招标范围、合同履行期限和质量要求</w:t>
      </w:r>
      <w:bookmarkEnd w:id="51"/>
      <w:bookmarkEnd w:id="52"/>
      <w:bookmarkEnd w:id="53"/>
      <w:bookmarkEnd w:id="54"/>
      <w:bookmarkEnd w:id="55"/>
      <w:bookmarkEnd w:id="56"/>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1.3.1本次招标范围：见投标人须知前附表。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1.3.2本招标项目的合同履行期限：见投标人须知前附表。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1.3.3本招标项目的服务地点：见投标人须知前附表。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1.3.4本招标项目的质量要求及验收标准：见投标人须知前附表。</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57" w:name="_Toc13930"/>
      <w:bookmarkStart w:id="58" w:name="_Toc387526379"/>
      <w:bookmarkStart w:id="59" w:name="_Toc508216883"/>
      <w:bookmarkStart w:id="60" w:name="_Toc387526183"/>
      <w:bookmarkStart w:id="61" w:name="_Toc387526287"/>
      <w:bookmarkStart w:id="62" w:name="_Toc397928553"/>
      <w:r>
        <w:rPr>
          <w:rFonts w:hint="eastAsia" w:ascii="宋体" w:hAnsi="宋体" w:eastAsia="宋体" w:cs="宋体"/>
          <w:color w:val="auto"/>
          <w:sz w:val="21"/>
          <w:szCs w:val="21"/>
          <w:highlight w:val="none"/>
        </w:rPr>
        <w:t>1.4 投标人资格要求</w:t>
      </w:r>
      <w:bookmarkEnd w:id="57"/>
      <w:bookmarkEnd w:id="58"/>
      <w:bookmarkEnd w:id="59"/>
      <w:bookmarkEnd w:id="60"/>
      <w:bookmarkEnd w:id="61"/>
      <w:bookmarkEnd w:id="62"/>
    </w:p>
    <w:p>
      <w:pPr>
        <w:autoSpaceDE w:val="0"/>
        <w:autoSpaceDN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投标人应具备的资格要求见投标人须知前附表。</w:t>
      </w:r>
    </w:p>
    <w:p>
      <w:pPr>
        <w:autoSpaceDE w:val="0"/>
        <w:autoSpaceDN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投标人须知前附表规定不接受联合体投标。</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1.4.3 投标人不得存在下列情形之一： </w:t>
      </w:r>
    </w:p>
    <w:p>
      <w:pPr>
        <w:spacing w:line="460" w:lineRule="exact"/>
        <w:ind w:firstLine="420" w:firstLineChars="200"/>
        <w:jc w:val="left"/>
        <w:rPr>
          <w:rFonts w:ascii="宋体" w:hAnsi="宋体" w:cs="宋体"/>
          <w:color w:val="auto"/>
          <w:szCs w:val="21"/>
          <w:highlight w:val="none"/>
        </w:rPr>
      </w:pPr>
      <w:bookmarkStart w:id="63" w:name="_Toc508216884"/>
      <w:bookmarkStart w:id="64" w:name="_Toc387526184"/>
      <w:bookmarkStart w:id="65" w:name="_Toc387526380"/>
      <w:bookmarkStart w:id="66" w:name="_Toc387526288"/>
      <w:bookmarkStart w:id="67" w:name="_Toc397928554"/>
      <w:bookmarkStart w:id="68" w:name="_Toc1684"/>
      <w:r>
        <w:rPr>
          <w:rFonts w:hint="eastAsia" w:ascii="宋体" w:hAnsi="宋体" w:cs="宋体"/>
          <w:color w:val="auto"/>
          <w:szCs w:val="21"/>
          <w:highlight w:val="none"/>
        </w:rPr>
        <w:t xml:space="preserve">（1）为招标人的附属机构（单位）； </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（2）为本标段的代建人；</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（3）为本标段提供招标代理服务的；</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（4）招标代理机构的单位负责人为同一个人的； </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（5）招标代理机构相互控股或参股的；</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（6）与本标段的其他申请人的单位负责人为同一个人的；</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（7）与本标段的其他申请人之间存在控股、管理关系或母公司、全资子公司关系的；</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（8）法律法规规定的其他情形。</w:t>
      </w:r>
    </w:p>
    <w:p>
      <w:pPr>
        <w:pStyle w:val="8"/>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费用承担</w:t>
      </w:r>
      <w:bookmarkEnd w:id="63"/>
      <w:bookmarkEnd w:id="64"/>
      <w:bookmarkEnd w:id="65"/>
      <w:bookmarkEnd w:id="66"/>
      <w:bookmarkEnd w:id="67"/>
      <w:bookmarkEnd w:id="68"/>
    </w:p>
    <w:p>
      <w:pPr>
        <w:autoSpaceDE w:val="0"/>
        <w:autoSpaceDN w:val="0"/>
        <w:spacing w:line="460" w:lineRule="exact"/>
        <w:ind w:firstLine="420" w:firstLineChars="200"/>
        <w:jc w:val="left"/>
        <w:rPr>
          <w:rFonts w:ascii="宋体" w:hAnsi="宋体" w:cs="宋体"/>
          <w:b/>
          <w:color w:val="auto"/>
          <w:szCs w:val="21"/>
          <w:highlight w:val="none"/>
        </w:rPr>
      </w:pPr>
      <w:r>
        <w:rPr>
          <w:rFonts w:hint="eastAsia" w:ascii="宋体" w:hAnsi="宋体" w:cs="宋体"/>
          <w:color w:val="auto"/>
          <w:kern w:val="0"/>
          <w:szCs w:val="21"/>
          <w:highlight w:val="none"/>
        </w:rPr>
        <w:t>投标人准备和参加投标活动发生的费用自理。</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69" w:name="_Toc387526381"/>
      <w:bookmarkStart w:id="70" w:name="_Toc387526185"/>
      <w:bookmarkStart w:id="71" w:name="_Toc508216885"/>
      <w:bookmarkStart w:id="72" w:name="_Toc397928555"/>
      <w:bookmarkStart w:id="73" w:name="_Toc5130"/>
      <w:bookmarkStart w:id="74" w:name="_Toc387526289"/>
      <w:r>
        <w:rPr>
          <w:rFonts w:hint="eastAsia" w:ascii="宋体" w:hAnsi="宋体" w:eastAsia="宋体" w:cs="宋体"/>
          <w:color w:val="auto"/>
          <w:sz w:val="21"/>
          <w:szCs w:val="21"/>
          <w:highlight w:val="none"/>
        </w:rPr>
        <w:t>1.6 保密</w:t>
      </w:r>
      <w:bookmarkEnd w:id="69"/>
      <w:bookmarkEnd w:id="70"/>
      <w:bookmarkEnd w:id="71"/>
      <w:bookmarkEnd w:id="72"/>
      <w:bookmarkEnd w:id="73"/>
      <w:bookmarkEnd w:id="74"/>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参与招标投标活动的各方应对招标文件和投标文件中的商业和技术等秘密保密，违者应对由此造成的后果承担法律责任。</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75" w:name="_Toc387526290"/>
      <w:bookmarkStart w:id="76" w:name="_Toc822"/>
      <w:bookmarkStart w:id="77" w:name="_Toc387526186"/>
      <w:bookmarkStart w:id="78" w:name="_Toc387526382"/>
      <w:bookmarkStart w:id="79" w:name="_Toc508216886"/>
      <w:bookmarkStart w:id="80" w:name="_Toc397928556"/>
      <w:r>
        <w:rPr>
          <w:rFonts w:hint="eastAsia" w:ascii="宋体" w:hAnsi="宋体" w:eastAsia="宋体" w:cs="宋体"/>
          <w:color w:val="auto"/>
          <w:sz w:val="21"/>
          <w:szCs w:val="21"/>
          <w:highlight w:val="none"/>
        </w:rPr>
        <w:t>1.7 语言文字</w:t>
      </w:r>
      <w:bookmarkEnd w:id="75"/>
      <w:bookmarkEnd w:id="76"/>
      <w:bookmarkEnd w:id="77"/>
      <w:bookmarkEnd w:id="78"/>
      <w:bookmarkEnd w:id="79"/>
      <w:bookmarkEnd w:id="80"/>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除专用术语外，与招标投标有关的语言均使用中文。必要时专用术语应附有中文注释。</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81" w:name="_Toc387526187"/>
      <w:bookmarkStart w:id="82" w:name="_Toc387526383"/>
      <w:bookmarkStart w:id="83" w:name="_Toc397928557"/>
      <w:bookmarkStart w:id="84" w:name="_Toc387526291"/>
      <w:bookmarkStart w:id="85" w:name="_Toc508216887"/>
      <w:bookmarkStart w:id="86" w:name="_Toc31413"/>
      <w:r>
        <w:rPr>
          <w:rFonts w:hint="eastAsia" w:ascii="宋体" w:hAnsi="宋体" w:eastAsia="宋体" w:cs="宋体"/>
          <w:color w:val="auto"/>
          <w:sz w:val="21"/>
          <w:szCs w:val="21"/>
          <w:highlight w:val="none"/>
        </w:rPr>
        <w:t>1.8 计量单位</w:t>
      </w:r>
      <w:bookmarkEnd w:id="81"/>
      <w:bookmarkEnd w:id="82"/>
      <w:bookmarkEnd w:id="83"/>
      <w:bookmarkEnd w:id="84"/>
      <w:bookmarkEnd w:id="85"/>
      <w:bookmarkEnd w:id="86"/>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87" w:name="_Toc387526188"/>
      <w:bookmarkStart w:id="88" w:name="_Toc397928558"/>
      <w:bookmarkStart w:id="89" w:name="_Toc508216888"/>
      <w:bookmarkStart w:id="90" w:name="_Toc387526384"/>
      <w:bookmarkStart w:id="91" w:name="_Toc25122"/>
      <w:bookmarkStart w:id="92" w:name="_Toc387526292"/>
      <w:r>
        <w:rPr>
          <w:rFonts w:hint="eastAsia" w:ascii="宋体" w:hAnsi="宋体" w:eastAsia="宋体" w:cs="宋体"/>
          <w:color w:val="auto"/>
          <w:sz w:val="21"/>
          <w:szCs w:val="21"/>
          <w:highlight w:val="none"/>
        </w:rPr>
        <w:t>1.9 踏勘现场</w:t>
      </w:r>
      <w:bookmarkEnd w:id="87"/>
      <w:bookmarkEnd w:id="88"/>
      <w:bookmarkEnd w:id="89"/>
      <w:bookmarkEnd w:id="90"/>
      <w:bookmarkEnd w:id="91"/>
      <w:bookmarkEnd w:id="92"/>
    </w:p>
    <w:p>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1.9.1招标人不组织投标人踏勘现场，投标人可以自行进行勘察，以获取编制投标文件和签署合同所需的所有资料。</w:t>
      </w:r>
    </w:p>
    <w:p>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1.9.2 投标人踏勘现场发生的费用自理。</w:t>
      </w:r>
    </w:p>
    <w:p>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1.9.3 除招标人的原因外，投标人自行负责在踏勘现场中所发生的人员伤亡和财产损失。</w:t>
      </w:r>
    </w:p>
    <w:p>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1.9.4 招标人向投标人提供的有关资料和数据是招标人现有的能使投标人利用的资料。招标人对投标人由此而做出的推论、理解和结论概不负责。</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93" w:name="_Toc508216889"/>
      <w:bookmarkStart w:id="94" w:name="_Toc397928559"/>
      <w:bookmarkStart w:id="95" w:name="_Toc387526385"/>
      <w:bookmarkStart w:id="96" w:name="_Toc11088"/>
      <w:bookmarkStart w:id="97" w:name="_Toc387526189"/>
      <w:bookmarkStart w:id="98" w:name="_Toc387526293"/>
      <w:r>
        <w:rPr>
          <w:rFonts w:hint="eastAsia" w:ascii="宋体" w:hAnsi="宋体" w:eastAsia="宋体" w:cs="宋体"/>
          <w:color w:val="auto"/>
          <w:sz w:val="21"/>
          <w:szCs w:val="21"/>
          <w:highlight w:val="none"/>
        </w:rPr>
        <w:t>1.10 投标预备会</w:t>
      </w:r>
      <w:bookmarkEnd w:id="93"/>
      <w:bookmarkEnd w:id="94"/>
      <w:bookmarkEnd w:id="95"/>
      <w:bookmarkEnd w:id="96"/>
      <w:bookmarkEnd w:id="97"/>
      <w:bookmarkEnd w:id="98"/>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本项目不召开投标预备会。</w:t>
      </w:r>
    </w:p>
    <w:p>
      <w:pPr>
        <w:pStyle w:val="8"/>
        <w:spacing w:before="0" w:after="0" w:line="460" w:lineRule="exact"/>
        <w:ind w:firstLine="420" w:firstLineChars="200"/>
        <w:jc w:val="left"/>
        <w:rPr>
          <w:rFonts w:hint="eastAsia" w:ascii="宋体" w:hAnsi="宋体" w:eastAsia="宋体" w:cs="宋体"/>
          <w:color w:val="auto"/>
          <w:sz w:val="21"/>
          <w:szCs w:val="21"/>
          <w:highlight w:val="none"/>
        </w:rPr>
      </w:pPr>
      <w:bookmarkStart w:id="99" w:name="_Toc387526386"/>
      <w:bookmarkStart w:id="100" w:name="_Toc366679673"/>
      <w:bookmarkStart w:id="101" w:name="_Toc387526294"/>
      <w:bookmarkStart w:id="102" w:name="_Toc508216890"/>
      <w:bookmarkStart w:id="103" w:name="_Toc21970"/>
      <w:bookmarkStart w:id="104" w:name="_Toc387526190"/>
      <w:bookmarkStart w:id="105" w:name="_Toc397928560"/>
      <w:bookmarkStart w:id="106" w:name="_Toc367894799"/>
      <w:bookmarkStart w:id="107" w:name="_Toc363329371"/>
      <w:r>
        <w:rPr>
          <w:rFonts w:hint="eastAsia" w:ascii="宋体" w:hAnsi="宋体" w:eastAsia="宋体" w:cs="宋体"/>
          <w:color w:val="auto"/>
          <w:sz w:val="21"/>
          <w:szCs w:val="21"/>
          <w:highlight w:val="none"/>
        </w:rPr>
        <w:t>1.11 偏离</w:t>
      </w:r>
      <w:bookmarkEnd w:id="99"/>
      <w:bookmarkEnd w:id="100"/>
      <w:bookmarkEnd w:id="101"/>
      <w:bookmarkEnd w:id="102"/>
      <w:bookmarkEnd w:id="103"/>
      <w:bookmarkEnd w:id="104"/>
      <w:bookmarkEnd w:id="105"/>
    </w:p>
    <w:p>
      <w:pPr>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本项目不</w:t>
      </w:r>
      <w:r>
        <w:rPr>
          <w:rFonts w:hint="eastAsia" w:ascii="宋体" w:hAnsi="宋体" w:eastAsia="宋体" w:cs="宋体"/>
          <w:color w:val="auto"/>
          <w:szCs w:val="21"/>
          <w:highlight w:val="none"/>
          <w:lang w:val="en-US" w:eastAsia="zh-CN"/>
        </w:rPr>
        <w:t>允许</w:t>
      </w:r>
      <w:r>
        <w:rPr>
          <w:rFonts w:hint="eastAsia" w:ascii="宋体" w:hAnsi="宋体" w:eastAsia="宋体" w:cs="宋体"/>
          <w:color w:val="auto"/>
          <w:szCs w:val="21"/>
          <w:highlight w:val="none"/>
        </w:rPr>
        <w:t>投</w:t>
      </w:r>
      <w:r>
        <w:rPr>
          <w:rFonts w:hint="eastAsia" w:ascii="宋体" w:hAnsi="宋体" w:eastAsia="宋体" w:cs="宋体"/>
          <w:color w:val="auto"/>
          <w:szCs w:val="21"/>
          <w:highlight w:val="none"/>
          <w:lang w:val="en-US" w:eastAsia="zh-CN"/>
        </w:rPr>
        <w:t>偏离。</w:t>
      </w:r>
    </w:p>
    <w:p>
      <w:pPr>
        <w:pStyle w:val="38"/>
        <w:spacing w:before="0" w:after="0" w:line="460" w:lineRule="exact"/>
        <w:ind w:firstLine="422" w:firstLineChars="200"/>
        <w:jc w:val="left"/>
        <w:rPr>
          <w:rFonts w:ascii="宋体" w:hAnsi="宋体"/>
          <w:color w:val="auto"/>
          <w:sz w:val="21"/>
          <w:szCs w:val="21"/>
          <w:highlight w:val="none"/>
        </w:rPr>
      </w:pPr>
      <w:bookmarkStart w:id="108" w:name="_Toc30422"/>
      <w:bookmarkStart w:id="109" w:name="_Toc387526295"/>
      <w:bookmarkStart w:id="110" w:name="_Toc508216891"/>
      <w:bookmarkStart w:id="111" w:name="_Toc387526191"/>
      <w:bookmarkStart w:id="112" w:name="_Toc387526387"/>
      <w:bookmarkStart w:id="113" w:name="_Toc369077562"/>
      <w:bookmarkStart w:id="114" w:name="_Toc368760428"/>
      <w:bookmarkStart w:id="115" w:name="_Toc368759376"/>
      <w:bookmarkStart w:id="116" w:name="_Toc397928561"/>
      <w:r>
        <w:rPr>
          <w:rFonts w:hint="eastAsia" w:ascii="宋体" w:hAnsi="宋体"/>
          <w:color w:val="auto"/>
          <w:sz w:val="21"/>
          <w:szCs w:val="21"/>
          <w:highlight w:val="none"/>
        </w:rPr>
        <w:t>2.招标文件</w:t>
      </w:r>
      <w:bookmarkEnd w:id="106"/>
      <w:bookmarkEnd w:id="107"/>
      <w:bookmarkEnd w:id="108"/>
      <w:bookmarkEnd w:id="109"/>
      <w:bookmarkEnd w:id="110"/>
      <w:bookmarkEnd w:id="111"/>
      <w:bookmarkEnd w:id="112"/>
      <w:bookmarkEnd w:id="113"/>
      <w:bookmarkEnd w:id="114"/>
      <w:bookmarkEnd w:id="115"/>
      <w:bookmarkEnd w:id="116"/>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117" w:name="_Toc387526192"/>
      <w:bookmarkStart w:id="118" w:name="_Toc387526296"/>
      <w:bookmarkStart w:id="119" w:name="_Toc508216892"/>
      <w:bookmarkStart w:id="120" w:name="_Toc387526388"/>
      <w:bookmarkStart w:id="121" w:name="_Toc397928562"/>
      <w:bookmarkStart w:id="122" w:name="_Toc23070"/>
      <w:r>
        <w:rPr>
          <w:rFonts w:hint="eastAsia" w:ascii="宋体" w:hAnsi="宋体" w:eastAsia="宋体" w:cs="宋体"/>
          <w:color w:val="auto"/>
          <w:sz w:val="21"/>
          <w:szCs w:val="21"/>
          <w:highlight w:val="none"/>
        </w:rPr>
        <w:t>2.1 招标文件组成</w:t>
      </w:r>
      <w:bookmarkEnd w:id="117"/>
      <w:bookmarkEnd w:id="118"/>
      <w:bookmarkEnd w:id="119"/>
      <w:bookmarkEnd w:id="120"/>
      <w:bookmarkEnd w:id="121"/>
      <w:bookmarkEnd w:id="122"/>
    </w:p>
    <w:p>
      <w:pPr>
        <w:shd w:val="clear" w:color="auto" w:fill="FFFFFF"/>
        <w:autoSpaceDE w:val="0"/>
        <w:autoSpaceDN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 本招标文件包括：</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（1）招标公告；</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（2）投标人须知；</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（3）评标办法；</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（4）合同条款及格式；</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（5）采购需求；</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（7）投标人须知前附表规定的其他材料。</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2.1.2根据本章第1.10款、第2.2款和第2.3款对招标文件所作的澄清、修改，构成招标文件的组成部分。当招标文件相互之间发生矛盾时，以后发出的文件为准。</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123" w:name="_Toc366679676"/>
      <w:bookmarkStart w:id="124" w:name="_Toc246996189"/>
      <w:bookmarkStart w:id="125" w:name="_Toc152042320"/>
      <w:bookmarkStart w:id="126" w:name="_Toc387526297"/>
      <w:bookmarkStart w:id="127" w:name="_Toc9593"/>
      <w:bookmarkStart w:id="128" w:name="_Toc387526193"/>
      <w:bookmarkStart w:id="129" w:name="_Toc387526389"/>
      <w:bookmarkStart w:id="130" w:name="_Toc144974512"/>
      <w:bookmarkStart w:id="131" w:name="_Toc397928563"/>
      <w:bookmarkStart w:id="132" w:name="_Toc247085703"/>
      <w:bookmarkStart w:id="133" w:name="_Toc246996932"/>
      <w:bookmarkStart w:id="134" w:name="_Toc152045544"/>
      <w:bookmarkStart w:id="135" w:name="_Toc179632562"/>
      <w:bookmarkStart w:id="136" w:name="_Toc508216893"/>
      <w:r>
        <w:rPr>
          <w:rFonts w:hint="eastAsia" w:ascii="宋体" w:hAnsi="宋体" w:eastAsia="宋体" w:cs="宋体"/>
          <w:color w:val="auto"/>
          <w:sz w:val="21"/>
          <w:szCs w:val="21"/>
          <w:highlight w:val="none"/>
        </w:rPr>
        <w:t>2.2 招标文件的澄清</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eastAsia="宋体" w:cs="宋体"/>
          <w:color w:val="auto"/>
          <w:sz w:val="21"/>
          <w:szCs w:val="21"/>
          <w:highlight w:val="none"/>
        </w:rPr>
        <w:t xml:space="preserve"> </w:t>
      </w:r>
    </w:p>
    <w:p>
      <w:pPr>
        <w:spacing w:line="460" w:lineRule="exact"/>
        <w:ind w:firstLine="420" w:firstLineChars="200"/>
        <w:jc w:val="left"/>
        <w:rPr>
          <w:rFonts w:ascii="宋体" w:hAnsi="宋体" w:cs="宋体"/>
          <w:color w:val="auto"/>
          <w:szCs w:val="21"/>
          <w:highlight w:val="none"/>
        </w:rPr>
      </w:pPr>
      <w:bookmarkStart w:id="137" w:name="_Toc366679677"/>
      <w:bookmarkStart w:id="138" w:name="_Toc247085704"/>
      <w:bookmarkStart w:id="139" w:name="_Toc246996933"/>
      <w:bookmarkStart w:id="140" w:name="_Toc387526390"/>
      <w:bookmarkStart w:id="141" w:name="_Toc387526298"/>
      <w:bookmarkStart w:id="142" w:name="_Toc397928564"/>
      <w:bookmarkStart w:id="143" w:name="_Toc387526194"/>
      <w:bookmarkStart w:id="144" w:name="_Toc179632563"/>
      <w:bookmarkStart w:id="145" w:name="_Toc19263"/>
      <w:bookmarkStart w:id="146" w:name="_Toc246996190"/>
      <w:r>
        <w:rPr>
          <w:rFonts w:hint="eastAsia" w:ascii="宋体" w:hAnsi="宋体" w:cs="宋体"/>
          <w:color w:val="auto"/>
          <w:szCs w:val="21"/>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个工作日内对供应商依法提出的询问作出答复。</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147" w:name="_Toc508216894"/>
      <w:r>
        <w:rPr>
          <w:rFonts w:hint="eastAsia" w:ascii="宋体" w:hAnsi="宋体" w:eastAsia="宋体" w:cs="宋体"/>
          <w:color w:val="auto"/>
          <w:sz w:val="21"/>
          <w:szCs w:val="21"/>
          <w:highlight w:val="none"/>
        </w:rPr>
        <w:t>2.3 招标文件的修改</w:t>
      </w:r>
      <w:bookmarkEnd w:id="137"/>
      <w:bookmarkEnd w:id="138"/>
      <w:bookmarkEnd w:id="139"/>
      <w:bookmarkEnd w:id="140"/>
      <w:bookmarkEnd w:id="141"/>
      <w:bookmarkEnd w:id="142"/>
      <w:bookmarkEnd w:id="143"/>
      <w:bookmarkEnd w:id="144"/>
      <w:bookmarkEnd w:id="145"/>
      <w:bookmarkEnd w:id="146"/>
      <w:bookmarkEnd w:id="147"/>
    </w:p>
    <w:p>
      <w:pPr>
        <w:spacing w:line="460" w:lineRule="exact"/>
        <w:ind w:firstLine="420" w:firstLineChars="200"/>
        <w:jc w:val="left"/>
        <w:rPr>
          <w:rFonts w:ascii="宋体" w:hAnsi="宋体" w:cs="宋体"/>
          <w:color w:val="auto"/>
          <w:szCs w:val="21"/>
          <w:highlight w:val="none"/>
        </w:rPr>
      </w:pPr>
      <w:bookmarkStart w:id="148" w:name="_Toc368760429"/>
      <w:bookmarkStart w:id="149" w:name="_Toc368759377"/>
      <w:bookmarkStart w:id="150" w:name="_Toc387526195"/>
      <w:bookmarkStart w:id="151" w:name="_Toc369077563"/>
      <w:bookmarkStart w:id="152" w:name="_Toc387526299"/>
      <w:bookmarkStart w:id="153" w:name="_Toc19481"/>
      <w:bookmarkStart w:id="154" w:name="_Toc397928565"/>
      <w:bookmarkStart w:id="155" w:name="_Toc387526391"/>
      <w:bookmarkStart w:id="156" w:name="_Toc367894800"/>
      <w:bookmarkStart w:id="157" w:name="_Toc363329372"/>
      <w:bookmarkStart w:id="158" w:name="_Toc119718089"/>
      <w:r>
        <w:rPr>
          <w:rFonts w:hint="eastAsia" w:ascii="宋体" w:hAnsi="宋体" w:cs="宋体"/>
          <w:color w:val="auto"/>
          <w:szCs w:val="21"/>
          <w:highlight w:val="none"/>
        </w:rP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 投标人提出异议截止时间</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潜在投标人对招标文件有异议的，可以在知道或者应知其权益受到损害之日起七个工作日内，以书面形式向采购人提出质疑。</w:t>
      </w:r>
    </w:p>
    <w:p>
      <w:pPr>
        <w:pStyle w:val="38"/>
        <w:spacing w:before="0" w:after="0" w:line="460" w:lineRule="exact"/>
        <w:ind w:firstLine="422" w:firstLineChars="200"/>
        <w:jc w:val="left"/>
        <w:rPr>
          <w:rFonts w:ascii="宋体" w:hAnsi="宋体"/>
          <w:color w:val="auto"/>
          <w:sz w:val="21"/>
          <w:szCs w:val="21"/>
          <w:highlight w:val="none"/>
        </w:rPr>
      </w:pPr>
      <w:bookmarkStart w:id="159" w:name="_Toc508216895"/>
      <w:r>
        <w:rPr>
          <w:rFonts w:hint="eastAsia" w:ascii="宋体" w:hAnsi="宋体"/>
          <w:color w:val="auto"/>
          <w:sz w:val="21"/>
          <w:szCs w:val="21"/>
          <w:highlight w:val="none"/>
        </w:rPr>
        <w:t>3.投标文件</w:t>
      </w:r>
      <w:bookmarkEnd w:id="148"/>
      <w:bookmarkEnd w:id="149"/>
      <w:bookmarkEnd w:id="150"/>
      <w:bookmarkEnd w:id="151"/>
      <w:bookmarkEnd w:id="152"/>
      <w:bookmarkEnd w:id="153"/>
      <w:bookmarkEnd w:id="154"/>
      <w:bookmarkEnd w:id="155"/>
      <w:bookmarkEnd w:id="156"/>
      <w:bookmarkEnd w:id="157"/>
      <w:bookmarkEnd w:id="159"/>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160" w:name="_Toc387526392"/>
      <w:bookmarkStart w:id="161" w:name="_Toc508216896"/>
      <w:bookmarkStart w:id="162" w:name="_Toc387526300"/>
      <w:bookmarkStart w:id="163" w:name="_Toc387526196"/>
      <w:bookmarkStart w:id="164" w:name="_Toc397928566"/>
      <w:bookmarkStart w:id="165" w:name="_Toc5625"/>
      <w:r>
        <w:rPr>
          <w:rFonts w:hint="eastAsia" w:ascii="宋体" w:hAnsi="宋体" w:eastAsia="宋体" w:cs="宋体"/>
          <w:color w:val="auto"/>
          <w:sz w:val="21"/>
          <w:szCs w:val="21"/>
          <w:highlight w:val="none"/>
        </w:rPr>
        <w:t>3.1 投标文件</w:t>
      </w:r>
      <w:bookmarkEnd w:id="158"/>
      <w:r>
        <w:rPr>
          <w:rFonts w:hint="eastAsia" w:ascii="宋体" w:hAnsi="宋体" w:eastAsia="宋体" w:cs="宋体"/>
          <w:color w:val="auto"/>
          <w:sz w:val="21"/>
          <w:szCs w:val="21"/>
          <w:highlight w:val="none"/>
        </w:rPr>
        <w:t>的组成</w:t>
      </w:r>
      <w:bookmarkEnd w:id="160"/>
      <w:bookmarkEnd w:id="161"/>
      <w:bookmarkEnd w:id="162"/>
      <w:bookmarkEnd w:id="163"/>
      <w:bookmarkEnd w:id="164"/>
      <w:bookmarkEnd w:id="165"/>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 投标文件组成见“投标人须知前附表”；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3.1.2 招标文件“第六章 投标文件格式”有规定格式要求的，投标人应按规定的格式填写并按要求提交相关的证明材料。</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166" w:name="_Toc397928567"/>
      <w:bookmarkStart w:id="167" w:name="_Toc508216897"/>
      <w:bookmarkStart w:id="168" w:name="_Toc387526301"/>
      <w:bookmarkStart w:id="169" w:name="_Toc387526197"/>
      <w:bookmarkStart w:id="170" w:name="_Toc10820"/>
      <w:bookmarkStart w:id="171" w:name="_Toc387526393"/>
      <w:r>
        <w:rPr>
          <w:rFonts w:hint="eastAsia" w:ascii="宋体" w:hAnsi="宋体" w:eastAsia="宋体" w:cs="宋体"/>
          <w:color w:val="auto"/>
          <w:sz w:val="21"/>
          <w:szCs w:val="21"/>
          <w:highlight w:val="none"/>
        </w:rPr>
        <w:t>3.2 投标报价</w:t>
      </w:r>
      <w:bookmarkEnd w:id="166"/>
      <w:bookmarkEnd w:id="167"/>
      <w:bookmarkEnd w:id="168"/>
      <w:bookmarkEnd w:id="169"/>
      <w:bookmarkEnd w:id="170"/>
      <w:bookmarkEnd w:id="171"/>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3.2.1投标报价应包含本招标文件中的全部内容所需的所有费用。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3.2.2投标人按投标人须知前附表的具体规定进行报价。</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3.2.3招标人设有最高投标限价的，投标人的投标报价不得超过最高投标限价，最高投标限价见投标人须知前附表。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3.2.4计价方式</w:t>
      </w:r>
      <w:bookmarkStart w:id="172" w:name="_Toc387526198"/>
      <w:bookmarkStart w:id="173" w:name="_Toc397928568"/>
      <w:bookmarkStart w:id="174" w:name="_Toc508216898"/>
      <w:bookmarkStart w:id="175" w:name="_Toc387526394"/>
      <w:bookmarkStart w:id="176" w:name="_Toc21008"/>
      <w:bookmarkStart w:id="177" w:name="_Toc387526302"/>
      <w:r>
        <w:rPr>
          <w:rFonts w:hint="eastAsia" w:ascii="宋体" w:hAnsi="宋体" w:cs="宋体"/>
          <w:color w:val="auto"/>
          <w:szCs w:val="21"/>
          <w:highlight w:val="none"/>
        </w:rPr>
        <w:t>见“投标人须知前附表”</w:t>
      </w:r>
    </w:p>
    <w:p>
      <w:pPr>
        <w:pStyle w:val="8"/>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 投标有效期</w:t>
      </w:r>
      <w:bookmarkEnd w:id="172"/>
      <w:bookmarkEnd w:id="173"/>
      <w:bookmarkEnd w:id="174"/>
      <w:bookmarkEnd w:id="175"/>
      <w:bookmarkEnd w:id="176"/>
      <w:bookmarkEnd w:id="177"/>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3.3.1 在投标人须知前附表第3.3.1条规定的投标有效期内，投标人不得要求撤销或修改其投标文件。</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3.3.2出现特殊情况需要延长投标有效期的，招标人应通知所有投标人延长投标有效期，但不得要求或被允许修改或撤销其投标文件；投标人拒绝延长的，其投标失效。 </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178" w:name="_Toc387526395"/>
      <w:bookmarkStart w:id="179" w:name="_Toc387526199"/>
      <w:bookmarkStart w:id="180" w:name="_Toc508216899"/>
      <w:bookmarkStart w:id="181" w:name="_Toc387526303"/>
      <w:bookmarkStart w:id="182" w:name="_Toc15701"/>
      <w:bookmarkStart w:id="183" w:name="_Toc397928569"/>
      <w:r>
        <w:rPr>
          <w:rFonts w:hint="eastAsia" w:ascii="宋体" w:hAnsi="宋体" w:eastAsia="宋体" w:cs="宋体"/>
          <w:color w:val="auto"/>
          <w:sz w:val="21"/>
          <w:szCs w:val="21"/>
          <w:highlight w:val="none"/>
        </w:rPr>
        <w:t>3.4投标保证金</w:t>
      </w:r>
      <w:bookmarkEnd w:id="178"/>
      <w:bookmarkEnd w:id="179"/>
      <w:bookmarkEnd w:id="180"/>
      <w:bookmarkEnd w:id="181"/>
      <w:bookmarkEnd w:id="182"/>
      <w:bookmarkEnd w:id="183"/>
    </w:p>
    <w:p>
      <w:pPr>
        <w:spacing w:line="460" w:lineRule="exact"/>
        <w:ind w:firstLine="420" w:firstLineChars="200"/>
        <w:jc w:val="left"/>
        <w:rPr>
          <w:rFonts w:ascii="宋体" w:hAnsi="宋体" w:cs="宋体"/>
          <w:color w:val="auto"/>
          <w:szCs w:val="21"/>
          <w:highlight w:val="none"/>
        </w:rPr>
      </w:pPr>
      <w:bookmarkStart w:id="184" w:name="_Toc324255909"/>
      <w:bookmarkStart w:id="185" w:name="_Toc269310939"/>
      <w:bookmarkStart w:id="186" w:name="_Toc339359765"/>
      <w:r>
        <w:rPr>
          <w:rFonts w:hint="eastAsia" w:ascii="宋体" w:hAnsi="宋体" w:cs="宋体"/>
          <w:color w:val="auto"/>
          <w:szCs w:val="21"/>
          <w:highlight w:val="none"/>
        </w:rPr>
        <w:t>参照执行苏财购[2020]52号文《关于做好政府采购支持企业发展有关事项的通知》，本项目不需要缴纳投标保证金。</w:t>
      </w:r>
    </w:p>
    <w:p>
      <w:pPr>
        <w:pStyle w:val="8"/>
        <w:spacing w:before="0" w:after="0" w:line="460" w:lineRule="exact"/>
        <w:ind w:firstLine="420" w:firstLineChars="200"/>
        <w:jc w:val="left"/>
        <w:rPr>
          <w:rFonts w:ascii="宋体" w:hAnsi="宋体" w:eastAsia="宋体" w:cs="宋体"/>
          <w:bCs/>
          <w:color w:val="auto"/>
          <w:sz w:val="21"/>
          <w:szCs w:val="21"/>
          <w:highlight w:val="none"/>
        </w:rPr>
      </w:pPr>
      <w:bookmarkStart w:id="187" w:name="_Toc397928570"/>
      <w:bookmarkStart w:id="188" w:name="_Toc508216900"/>
      <w:bookmarkStart w:id="189" w:name="_Toc24952"/>
      <w:r>
        <w:rPr>
          <w:rFonts w:hint="eastAsia" w:ascii="宋体" w:hAnsi="宋体" w:eastAsia="宋体" w:cs="宋体"/>
          <w:bCs/>
          <w:color w:val="auto"/>
          <w:sz w:val="21"/>
          <w:szCs w:val="21"/>
          <w:highlight w:val="none"/>
        </w:rPr>
        <w:t>3.5 资格审查资料</w:t>
      </w:r>
      <w:bookmarkEnd w:id="187"/>
      <w:bookmarkEnd w:id="188"/>
      <w:bookmarkEnd w:id="189"/>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3.5.1 投标人投标文件中提供的以下资格审查资料必须为</w:t>
      </w:r>
      <w:r>
        <w:rPr>
          <w:rFonts w:hint="eastAsia" w:ascii="宋体" w:hAnsi="宋体" w:cs="宋体"/>
          <w:b/>
          <w:bCs/>
          <w:color w:val="auto"/>
          <w:szCs w:val="21"/>
          <w:highlight w:val="none"/>
        </w:rPr>
        <w:t>原件彩色扫描件</w:t>
      </w:r>
      <w:r>
        <w:rPr>
          <w:rFonts w:hint="eastAsia" w:ascii="宋体" w:hAnsi="宋体" w:cs="宋体"/>
          <w:color w:val="auto"/>
          <w:szCs w:val="21"/>
          <w:highlight w:val="none"/>
        </w:rPr>
        <w:t>（或电子证照），关键信息齐全、清晰可辨(钢印除外)。</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（1）投标企业营业执照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或事业单位法人证书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pStyle w:val="36"/>
        <w:ind w:firstLine="420"/>
        <w:rPr>
          <w:color w:val="auto"/>
          <w:highlight w:val="none"/>
        </w:rPr>
      </w:pPr>
      <w:r>
        <w:rPr>
          <w:rFonts w:hint="eastAsia" w:cs="宋体"/>
          <w:color w:val="auto"/>
          <w:sz w:val="21"/>
          <w:szCs w:val="21"/>
          <w:highlight w:val="none"/>
        </w:rPr>
        <w:t>（2）满足《中华人民共和国政府采购法》第二十二条规定的书面声明。</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特别提醒:</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1、因上述扫描件不清晰无法辨认、或提供的关键信息不全、更新不及时导致被采购人或评标委员会评委认定为无效投标的，其不利的后果由投标人自行承担。</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2、因资质换证就位或其他非主观原因显示上述证书过期的，主管部门对证书有效期延长有特殊规定的，投标时需提供相关说明，资格审查方予通过。</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3、若中标候选人上述有关证书有效性被质疑的，被质疑人出具发证机关证明或通过二维码或证书查询系统能够证明有效即可。</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采购人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190" w:name="_Toc387526396"/>
      <w:bookmarkStart w:id="191" w:name="_Toc387526304"/>
      <w:bookmarkStart w:id="192" w:name="_Toc508216901"/>
      <w:bookmarkStart w:id="193" w:name="_Toc387526200"/>
      <w:bookmarkStart w:id="194" w:name="_Toc22895"/>
      <w:bookmarkStart w:id="195" w:name="_Toc397928571"/>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 投标文件的编制</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3.6.1 投标文件应按第六章“投标文件格式”进行编写，如有必要可自行增加，作为投标文件的组成部分。</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3.6.2 电子投标文件应使用“新点电子交易平台-大丰政府采购系统”可接受的投标文件制作工具进行编制和加密，并在投标文件提交截止时间前上传至“新点电子交易平台-大丰政府采购系统”中。</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必须从诚信库获取的材料，须通过互联网可以查询，未按本项要求从企业诚信库中获取的，视为未提供，在评标时该材料不予认可。</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投标人须知前附表3.1.1条无需从诚信库勾选的材料，编制投标文件时直接提供扫描件上传至投标文件制作工具其他材料栏。</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3.6.4投标文件应当对招标文件有关合同履行期限、投标有效期、质量要求、技术标准和要求、招标范围等实质性内容作出响应。</w:t>
      </w:r>
    </w:p>
    <w:p>
      <w:pPr>
        <w:pStyle w:val="8"/>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 备选投标方案</w:t>
      </w:r>
      <w:bookmarkEnd w:id="184"/>
      <w:bookmarkEnd w:id="185"/>
      <w:bookmarkEnd w:id="186"/>
      <w:bookmarkEnd w:id="190"/>
      <w:bookmarkEnd w:id="191"/>
      <w:bookmarkEnd w:id="192"/>
      <w:bookmarkEnd w:id="193"/>
      <w:bookmarkEnd w:id="194"/>
      <w:bookmarkEnd w:id="195"/>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196" w:name="_Toc368759378"/>
      <w:bookmarkStart w:id="197" w:name="_Toc397928573"/>
      <w:bookmarkStart w:id="198" w:name="_Toc387526306"/>
      <w:bookmarkStart w:id="199" w:name="_Toc367894801"/>
      <w:bookmarkStart w:id="200" w:name="_Toc369077564"/>
      <w:bookmarkStart w:id="201" w:name="_Toc24421"/>
      <w:bookmarkStart w:id="202" w:name="_Toc387526202"/>
      <w:bookmarkStart w:id="203" w:name="_Toc184635074"/>
      <w:bookmarkStart w:id="204" w:name="_Toc368760430"/>
      <w:bookmarkStart w:id="205" w:name="_Toc508216903"/>
      <w:bookmarkStart w:id="206" w:name="_Toc387526398"/>
      <w:bookmarkStart w:id="207" w:name="_Toc363329373"/>
      <w:bookmarkStart w:id="208" w:name="_Toc363329374"/>
      <w:bookmarkStart w:id="209" w:name="_Toc184635075"/>
      <w:bookmarkStart w:id="210" w:name="_Toc367894802"/>
      <w:bookmarkStart w:id="211" w:name="_Toc368759379"/>
    </w:p>
    <w:p>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4.投标</w:t>
      </w:r>
      <w:bookmarkEnd w:id="196"/>
      <w:bookmarkEnd w:id="197"/>
      <w:bookmarkEnd w:id="198"/>
      <w:bookmarkEnd w:id="199"/>
      <w:bookmarkEnd w:id="200"/>
      <w:bookmarkEnd w:id="201"/>
      <w:bookmarkEnd w:id="202"/>
      <w:bookmarkEnd w:id="203"/>
      <w:bookmarkEnd w:id="204"/>
      <w:bookmarkEnd w:id="205"/>
      <w:bookmarkEnd w:id="206"/>
      <w:bookmarkEnd w:id="207"/>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 投标文件的加密和数字证书认证</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4.1.1 投标文件应使用数字证书认证并加密。</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4.1.2 未按本章第4.1.1项要求加密和数字证书认证的投标文件，招标人拒收。</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 投标文件的提交</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投标人应在招标文件规定的投标文件提交截止时间前完成投标文件的提交。电子档投标文件的提交是指使用新点电子交易平台-大丰政府采购系统在投标文件提交截止时间前完成投标文件的上传。</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4.2.2 投标人提交投标文件的地点：见投标人须知前附表。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4.2.3 除招标文件另有规定外，投标人所提交的投标文件不予退还。</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4.2.5有下列情形之一的投标文件拒收并退回：</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1）投标文件逾期提交的或者未在指定时间内完成投标文件解密的。</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2）投标人CA锁无法解密投标文件的。</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 投标文件的修改与撤回</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4.3.2 修改的投标文件应按照本章第3.6条、第4.2条规定进行编制和提交。</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4.3.3投标文件提交截止时间之后，在投标有效期内，投标人不得修改或撤回投标文件。</w:t>
      </w:r>
    </w:p>
    <w:p>
      <w:pPr>
        <w:pStyle w:val="38"/>
        <w:spacing w:before="0" w:after="0" w:line="460" w:lineRule="exact"/>
        <w:ind w:firstLine="422" w:firstLineChars="200"/>
        <w:jc w:val="left"/>
        <w:rPr>
          <w:rFonts w:ascii="宋体" w:hAnsi="宋体"/>
          <w:color w:val="auto"/>
          <w:sz w:val="21"/>
          <w:szCs w:val="21"/>
          <w:highlight w:val="none"/>
        </w:rPr>
      </w:pPr>
      <w:bookmarkStart w:id="212" w:name="_Toc508216908"/>
      <w:bookmarkStart w:id="213" w:name="_Toc387526310"/>
      <w:bookmarkStart w:id="214" w:name="_Toc22329"/>
      <w:bookmarkStart w:id="215" w:name="_Toc368760431"/>
      <w:bookmarkStart w:id="216" w:name="_Toc387526402"/>
      <w:bookmarkStart w:id="217" w:name="_Toc369077565"/>
      <w:bookmarkStart w:id="218" w:name="_Toc387526206"/>
      <w:bookmarkStart w:id="219" w:name="_Toc397928578"/>
      <w:bookmarkStart w:id="220" w:name="_Toc152042342"/>
      <w:bookmarkStart w:id="221" w:name="_Toc247085724"/>
      <w:bookmarkStart w:id="222" w:name="_Toc144974534"/>
      <w:bookmarkStart w:id="223" w:name="_Toc366679697"/>
      <w:bookmarkStart w:id="224" w:name="_Toc246996953"/>
      <w:bookmarkStart w:id="225" w:name="_Toc152045566"/>
      <w:bookmarkStart w:id="226" w:name="_Toc246996210"/>
      <w:bookmarkStart w:id="227" w:name="_Toc179632584"/>
      <w:bookmarkStart w:id="228" w:name="_Toc368759381"/>
      <w:r>
        <w:rPr>
          <w:rFonts w:hint="eastAsia" w:ascii="宋体" w:hAnsi="宋体"/>
          <w:color w:val="auto"/>
          <w:sz w:val="21"/>
          <w:szCs w:val="21"/>
          <w:highlight w:val="none"/>
        </w:rPr>
        <w:t>5.开标</w:t>
      </w:r>
      <w:bookmarkEnd w:id="212"/>
      <w:bookmarkEnd w:id="213"/>
      <w:bookmarkEnd w:id="214"/>
      <w:bookmarkEnd w:id="215"/>
      <w:bookmarkEnd w:id="216"/>
      <w:bookmarkEnd w:id="217"/>
      <w:bookmarkEnd w:id="218"/>
      <w:bookmarkEnd w:id="219"/>
    </w:p>
    <w:p>
      <w:pPr>
        <w:spacing w:line="460" w:lineRule="exact"/>
        <w:ind w:firstLine="420" w:firstLineChars="200"/>
        <w:jc w:val="left"/>
        <w:rPr>
          <w:rFonts w:ascii="宋体" w:hAnsi="宋体" w:cs="宋体"/>
          <w:color w:val="auto"/>
          <w:szCs w:val="21"/>
          <w:highlight w:val="none"/>
        </w:rPr>
      </w:pPr>
      <w:bookmarkStart w:id="229" w:name="_Toc184635076"/>
      <w:bookmarkStart w:id="230" w:name="_Toc387526405"/>
      <w:bookmarkStart w:id="231" w:name="_Toc368760432"/>
      <w:bookmarkStart w:id="232" w:name="_Toc397928581"/>
      <w:bookmarkStart w:id="233" w:name="_Toc367894803"/>
      <w:bookmarkStart w:id="234" w:name="_Toc22517"/>
      <w:bookmarkStart w:id="235" w:name="_Toc368759380"/>
      <w:bookmarkStart w:id="236" w:name="_Toc369077566"/>
      <w:bookmarkStart w:id="237" w:name="_Toc387526313"/>
      <w:bookmarkStart w:id="238" w:name="_Toc387526209"/>
      <w:bookmarkStart w:id="239" w:name="_Toc363329375"/>
      <w:r>
        <w:rPr>
          <w:rFonts w:hint="eastAsia" w:ascii="宋体" w:hAnsi="宋体" w:cs="宋体"/>
          <w:color w:val="auto"/>
          <w:szCs w:val="21"/>
          <w:highlight w:val="none"/>
        </w:rPr>
        <w:t>5.1 开标时间、地点和投标人参会代表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5.1.1详见投标人须知前附表规定的时间、地点和投标人参会代表；</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 开标程序</w:t>
      </w:r>
    </w:p>
    <w:p>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5.2.1 投标文件解密</w:t>
      </w:r>
    </w:p>
    <w:p>
      <w:pPr>
        <w:spacing w:line="46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rFonts w:hint="eastAsia" w:ascii="宋体" w:hAnsi="宋体" w:cs="宋体"/>
          <w:bCs/>
          <w:color w:val="auto"/>
          <w:szCs w:val="21"/>
          <w:highlight w:val="none"/>
        </w:rPr>
        <w:t>因投标人自身设备故障或自身原因导致无法完成投标的，对其形成的不利后果及责任由投标人自行承担。</w:t>
      </w:r>
      <w:r>
        <w:rPr>
          <w:rFonts w:hint="eastAsia" w:ascii="宋体" w:hAnsi="宋体" w:cs="宋体"/>
          <w:color w:val="auto"/>
          <w:szCs w:val="21"/>
          <w:highlight w:val="none"/>
        </w:rPr>
        <w:t>解密完成后，投标人可自行决定是否继续参加开（唱）标会议，投标人未参加开标的，视同认可开标结果。</w:t>
      </w:r>
    </w:p>
    <w:p>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5.2.2开（唱）标</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2、宣布招标人、招标代理机构、招投标监管部门、交易中心出席开标会的有关人员姓名；</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3、招标人（招标代理机构）导入投标文件；</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4、当众唱标，宣读投标人名称、标段名称、质量标准、服务期、报价、项目负责人及其他内容；</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5、投标人对开标有异议的，应当在开标现场提出，由招标人答复并制作记录，未提出异议的视为认同；</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6、开标会议结束。</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 特殊情况处理</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5.3.2 因投标人原因造成投标文件在规定的时间内未完成解密的，该投标将被拒绝。</w:t>
      </w:r>
    </w:p>
    <w:p>
      <w:pPr>
        <w:spacing w:line="46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5.3.3 投标人对开标有异议的，应当在开标系统中当场提出，招标人当场予以答复，并制作记录。</w:t>
      </w:r>
    </w:p>
    <w:p>
      <w:pPr>
        <w:pStyle w:val="38"/>
        <w:spacing w:before="0" w:after="0" w:line="460" w:lineRule="exact"/>
        <w:ind w:firstLine="422" w:firstLineChars="200"/>
        <w:jc w:val="left"/>
        <w:rPr>
          <w:rFonts w:ascii="宋体" w:hAnsi="宋体"/>
          <w:color w:val="auto"/>
          <w:sz w:val="21"/>
          <w:szCs w:val="21"/>
          <w:highlight w:val="none"/>
        </w:rPr>
      </w:pPr>
      <w:r>
        <w:rPr>
          <w:rFonts w:hint="eastAsia" w:ascii="宋体" w:hAnsi="宋体"/>
          <w:color w:val="auto"/>
          <w:sz w:val="21"/>
          <w:szCs w:val="21"/>
          <w:highlight w:val="none"/>
        </w:rPr>
        <w:t>6.评标</w:t>
      </w:r>
      <w:bookmarkEnd w:id="229"/>
      <w:bookmarkEnd w:id="230"/>
      <w:bookmarkEnd w:id="231"/>
      <w:bookmarkEnd w:id="232"/>
      <w:bookmarkEnd w:id="233"/>
      <w:bookmarkEnd w:id="234"/>
      <w:bookmarkEnd w:id="235"/>
      <w:bookmarkEnd w:id="236"/>
      <w:bookmarkEnd w:id="237"/>
      <w:bookmarkEnd w:id="238"/>
      <w:bookmarkEnd w:id="239"/>
      <w:bookmarkStart w:id="240" w:name="_Toc387526314"/>
      <w:bookmarkStart w:id="241" w:name="_Toc387526406"/>
      <w:bookmarkStart w:id="242" w:name="_Toc387526210"/>
      <w:bookmarkStart w:id="243" w:name="_Toc397928582"/>
      <w:bookmarkStart w:id="244" w:name="_Toc9909"/>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245" w:name="_Toc508216911"/>
      <w:r>
        <w:rPr>
          <w:rFonts w:hint="eastAsia" w:ascii="宋体" w:hAnsi="宋体" w:eastAsia="宋体" w:cs="宋体"/>
          <w:color w:val="auto"/>
          <w:sz w:val="21"/>
          <w:szCs w:val="21"/>
          <w:highlight w:val="none"/>
        </w:rPr>
        <w:t>6.1 评标委员会</w:t>
      </w:r>
      <w:bookmarkEnd w:id="240"/>
      <w:bookmarkEnd w:id="241"/>
      <w:bookmarkEnd w:id="242"/>
      <w:bookmarkEnd w:id="243"/>
      <w:bookmarkEnd w:id="244"/>
      <w:bookmarkEnd w:id="245"/>
    </w:p>
    <w:p>
      <w:pPr>
        <w:spacing w:line="460" w:lineRule="exact"/>
        <w:ind w:firstLine="420" w:firstLineChars="200"/>
        <w:jc w:val="left"/>
        <w:rPr>
          <w:rFonts w:hint="eastAsia" w:ascii="宋体" w:hAnsi="宋体" w:cs="宋体"/>
          <w:color w:val="auto"/>
          <w:szCs w:val="21"/>
          <w:highlight w:val="none"/>
        </w:rPr>
      </w:pPr>
      <w:bookmarkStart w:id="246" w:name="_Toc339359778"/>
      <w:bookmarkStart w:id="247" w:name="_Toc324255922"/>
      <w:bookmarkStart w:id="248" w:name="_Toc269310951"/>
      <w:r>
        <w:rPr>
          <w:rFonts w:hint="eastAsia" w:ascii="宋体" w:hAnsi="宋体" w:cs="宋体"/>
          <w:color w:val="auto"/>
          <w:szCs w:val="21"/>
          <w:highlight w:val="none"/>
        </w:rPr>
        <w:t>6.1.1 评标由招标人依法组建的评标委员会负责。评标委员会由招标人代表以及有关技术、经济等方面的专家组成。</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（3）与投标人有经济利益关系；</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（4）曾因在招标、评标以及其他与招标投标有关活动中从事违法行为而受过行政处罚或刑事处罚的，且在处罚期内。</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249" w:name="_Toc12316"/>
      <w:bookmarkStart w:id="250" w:name="_Toc387526211"/>
      <w:bookmarkStart w:id="251" w:name="_Toc387526407"/>
      <w:bookmarkStart w:id="252" w:name="_Toc387526315"/>
      <w:bookmarkStart w:id="253" w:name="_Toc508216912"/>
      <w:bookmarkStart w:id="254" w:name="_Toc397928583"/>
      <w:r>
        <w:rPr>
          <w:rFonts w:hint="eastAsia" w:ascii="宋体" w:hAnsi="宋体" w:eastAsia="宋体" w:cs="宋体"/>
          <w:color w:val="auto"/>
          <w:sz w:val="21"/>
          <w:szCs w:val="21"/>
          <w:highlight w:val="none"/>
        </w:rPr>
        <w:t>6.2</w:t>
      </w:r>
      <w:bookmarkEnd w:id="246"/>
      <w:bookmarkEnd w:id="247"/>
      <w:bookmarkEnd w:id="248"/>
      <w:r>
        <w:rPr>
          <w:rFonts w:hint="eastAsia" w:ascii="宋体" w:hAnsi="宋体" w:eastAsia="宋体" w:cs="宋体"/>
          <w:color w:val="auto"/>
          <w:sz w:val="21"/>
          <w:szCs w:val="21"/>
          <w:highlight w:val="none"/>
        </w:rPr>
        <w:t xml:space="preserve"> 评标原则</w:t>
      </w:r>
      <w:bookmarkEnd w:id="249"/>
      <w:bookmarkEnd w:id="250"/>
      <w:bookmarkEnd w:id="251"/>
      <w:bookmarkEnd w:id="252"/>
      <w:bookmarkEnd w:id="253"/>
      <w:bookmarkEnd w:id="254"/>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255" w:name="_Toc246996209"/>
      <w:bookmarkStart w:id="256" w:name="_Toc179632583"/>
      <w:bookmarkStart w:id="257" w:name="_Toc144974533"/>
      <w:bookmarkStart w:id="258" w:name="_Toc6500"/>
      <w:bookmarkStart w:id="259" w:name="_Toc387526212"/>
      <w:bookmarkStart w:id="260" w:name="_Toc366679696"/>
      <w:bookmarkStart w:id="261" w:name="_Toc387526316"/>
      <w:bookmarkStart w:id="262" w:name="_Toc152045565"/>
      <w:bookmarkStart w:id="263" w:name="_Toc246996952"/>
      <w:bookmarkStart w:id="264" w:name="_Toc508216913"/>
      <w:bookmarkStart w:id="265" w:name="_Toc387526408"/>
      <w:bookmarkStart w:id="266" w:name="_Toc152042341"/>
      <w:bookmarkStart w:id="267" w:name="_Toc397928584"/>
      <w:bookmarkStart w:id="268" w:name="_Toc247085723"/>
      <w:r>
        <w:rPr>
          <w:rFonts w:hint="eastAsia" w:ascii="宋体" w:hAnsi="宋体" w:eastAsia="宋体" w:cs="宋体"/>
          <w:color w:val="auto"/>
          <w:sz w:val="21"/>
          <w:szCs w:val="21"/>
          <w:highlight w:val="none"/>
        </w:rPr>
        <w:t>6.3 评标</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269" w:name="_Toc508216915"/>
      <w:r>
        <w:rPr>
          <w:rFonts w:hint="eastAsia" w:ascii="宋体" w:hAnsi="宋体" w:eastAsia="宋体" w:cs="宋体"/>
          <w:color w:val="auto"/>
          <w:sz w:val="21"/>
          <w:szCs w:val="21"/>
          <w:highlight w:val="none"/>
        </w:rPr>
        <w:t>6.4无效标书条款</w:t>
      </w:r>
      <w:bookmarkEnd w:id="269"/>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投标文件有下列情况之一的，属于重大偏差，视为未能对招标文件作出实质性响应，应当作为无效投标予以否决：</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（1）投标文件中的投标函未加盖投标人的公章；</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（2）投标文件中的投标函无企业法定代表人（或企业法定代表人委托代理人）印章（或签字）的；</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（3）如投标函由企业法定代表人委托代理人加盖印章（或签字）的，企业法定代表人委托代理人没有合法、有效的委托书（原件）的；</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（4）投标人资格条件不符合国家有关规定或招标文件要求的； </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（5）投标文件技术规格中一般参数超出招标文件允许偏离的最大范围或最高项数的；</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（6）投标报价高于招标文件设定的最高投标限价的； </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（7）投标文件的组成不符合招标文件要求的；</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（8）投标人递交两份或多份内容不同的投标文件，或在一份投标文件中对同一招标服务报有两个或多个报价，且未声明哪一个为最终报价的，按招标文件规定提交备选投标方案的除外；</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（9）与招标文件提供的采购需求不相适应的；  </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（10）投标文件载明的招标项目完成期限超过招标文件规定的期限的，或期限达不到招标文件规定期限的要求； </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（11）明显不符合技术规范、技术标准的要求的，技术服务方案明显未根据招标项目实际情况和采购需求编制，与项目实际情况严重不符的； </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（12）投标文件载明的检验标准和方法等不符合招标文件要求的； </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（13）投标文件提出的工程验收、计量、价款结算和付款方式不能满足招标文件要求或招标人不能接受；</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（14）不同投标人的投标文件出现了评标委员会认为不应当雷同的情况的； </w:t>
      </w:r>
    </w:p>
    <w:p>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（15）以他人的名义投标、串通投标、以行贿手段谋取中标或者以其他弄虚作假方式投标的；</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（16）投标人投标文件中提供的资格审查资料非有效原件彩色扫描件（或电子证照），关键信息不齐全、不清晰可辨(钢印除外)；</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（17）未按招标文件要求提供电子投标文件，或者电子投标文件未能解密或超时解密的。因招投标系统故障因素导致所有投标电子投标文件均不能解密的除外。</w:t>
      </w:r>
    </w:p>
    <w:p>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凡招标文件未明确的无效标条件，评标委员会不得作为判定无效标的依据，评标委员会也不得以不符合招标文件中规定的其他实质性要求作为判定无效标的依据。</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270" w:name="_Toc508216916"/>
      <w:r>
        <w:rPr>
          <w:rFonts w:hint="eastAsia" w:ascii="宋体" w:hAnsi="宋体" w:eastAsia="宋体" w:cs="宋体"/>
          <w:color w:val="auto"/>
          <w:sz w:val="21"/>
          <w:szCs w:val="21"/>
          <w:highlight w:val="none"/>
        </w:rPr>
        <w:t>6.5重新招标</w:t>
      </w:r>
      <w:bookmarkEnd w:id="270"/>
    </w:p>
    <w:p>
      <w:pPr>
        <w:pStyle w:val="38"/>
        <w:spacing w:before="0" w:after="0" w:line="460" w:lineRule="exact"/>
        <w:ind w:firstLine="420" w:firstLineChars="200"/>
        <w:jc w:val="left"/>
        <w:rPr>
          <w:rFonts w:hint="eastAsia" w:ascii="宋体" w:hAnsi="宋体"/>
          <w:b w:val="0"/>
          <w:bCs w:val="0"/>
          <w:color w:val="auto"/>
          <w:sz w:val="21"/>
          <w:szCs w:val="21"/>
          <w:highlight w:val="none"/>
        </w:rPr>
      </w:pPr>
      <w:bookmarkStart w:id="271" w:name="_Toc22985"/>
      <w:bookmarkStart w:id="272" w:name="_Toc387526317"/>
      <w:bookmarkStart w:id="273" w:name="_Toc387526213"/>
      <w:bookmarkStart w:id="274" w:name="_Toc508216917"/>
      <w:bookmarkStart w:id="275" w:name="_Toc387526409"/>
      <w:bookmarkStart w:id="276" w:name="_Toc397928586"/>
      <w:bookmarkStart w:id="277" w:name="_Toc368760433"/>
      <w:bookmarkStart w:id="278" w:name="_Toc369077567"/>
      <w:r>
        <w:rPr>
          <w:rFonts w:hint="eastAsia" w:ascii="宋体" w:hAnsi="宋体"/>
          <w:b w:val="0"/>
          <w:bCs w:val="0"/>
          <w:color w:val="auto"/>
          <w:sz w:val="21"/>
          <w:szCs w:val="21"/>
          <w:highlight w:val="none"/>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pPr>
        <w:pStyle w:val="38"/>
        <w:spacing w:before="0" w:after="0" w:line="460" w:lineRule="exact"/>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依法必须招标的项目评标委员会否决所有投标的，或者评标委员会否决一部分投标后其他有效投标不足三个使得投标明显缺乏竞争，决定否决全部投标的，招标人在分析招标失败的原因并采取相应措施后，应当依法重新招标。</w:t>
      </w:r>
    </w:p>
    <w:p>
      <w:pPr>
        <w:pStyle w:val="38"/>
        <w:spacing w:before="0" w:after="0" w:line="460" w:lineRule="exact"/>
        <w:ind w:firstLine="422" w:firstLineChars="200"/>
        <w:jc w:val="left"/>
        <w:rPr>
          <w:rFonts w:ascii="宋体" w:hAnsi="宋体"/>
          <w:color w:val="auto"/>
          <w:sz w:val="21"/>
          <w:szCs w:val="21"/>
          <w:highlight w:val="none"/>
        </w:rPr>
      </w:pPr>
      <w:r>
        <w:rPr>
          <w:rFonts w:hint="eastAsia" w:ascii="宋体" w:hAnsi="宋体"/>
          <w:color w:val="auto"/>
          <w:sz w:val="21"/>
          <w:szCs w:val="21"/>
          <w:highlight w:val="none"/>
        </w:rPr>
        <w:t>7.评标结果</w:t>
      </w:r>
      <w:bookmarkEnd w:id="271"/>
      <w:bookmarkEnd w:id="272"/>
      <w:bookmarkEnd w:id="273"/>
      <w:bookmarkEnd w:id="274"/>
      <w:bookmarkEnd w:id="275"/>
      <w:bookmarkEnd w:id="276"/>
      <w:r>
        <w:rPr>
          <w:rFonts w:hint="eastAsia" w:ascii="宋体" w:hAnsi="宋体"/>
          <w:color w:val="auto"/>
          <w:sz w:val="21"/>
          <w:szCs w:val="21"/>
          <w:highlight w:val="none"/>
        </w:rPr>
        <w:t>公告</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 采购代理机构应当在评标结束后2个工作日内将评标报告送采购人。采购人应当自收到评标报告之日起5个工作日内，在评标报告确定的中标候选人名单中按顺序确定中标人，中标人确定之日起2个工作日内在与招标公告相同的发布媒介上对评标结果进行公告。</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 投标人或者其他利害关系人对评标结果有异议的，供应商认为评标结果使自己的权益受到损害的，可以在知道或者应知其权益受到损害之日起7个工作日内，以书面形式向招标人提出质疑。招标人自收到异议之日起7个工作日内作出答复。</w:t>
      </w:r>
    </w:p>
    <w:p>
      <w:pPr>
        <w:pStyle w:val="38"/>
        <w:spacing w:before="0" w:after="0" w:line="460" w:lineRule="exact"/>
        <w:ind w:firstLine="422" w:firstLineChars="200"/>
        <w:jc w:val="left"/>
        <w:rPr>
          <w:rFonts w:ascii="宋体" w:hAnsi="宋体"/>
          <w:color w:val="auto"/>
          <w:sz w:val="21"/>
          <w:szCs w:val="21"/>
          <w:highlight w:val="none"/>
        </w:rPr>
      </w:pPr>
      <w:bookmarkStart w:id="279" w:name="_Toc15824"/>
      <w:bookmarkStart w:id="280" w:name="_Toc387526318"/>
      <w:bookmarkStart w:id="281" w:name="_Toc387526214"/>
      <w:bookmarkStart w:id="282" w:name="_Toc508216918"/>
      <w:bookmarkStart w:id="283" w:name="_Toc397928587"/>
      <w:bookmarkStart w:id="284" w:name="_Toc387526410"/>
      <w:r>
        <w:rPr>
          <w:rFonts w:hint="eastAsia" w:ascii="宋体" w:hAnsi="宋体"/>
          <w:color w:val="auto"/>
          <w:sz w:val="21"/>
          <w:szCs w:val="21"/>
          <w:highlight w:val="none"/>
        </w:rPr>
        <w:t>8.合同授予</w:t>
      </w:r>
      <w:bookmarkEnd w:id="220"/>
      <w:bookmarkEnd w:id="221"/>
      <w:bookmarkEnd w:id="222"/>
      <w:bookmarkEnd w:id="223"/>
      <w:bookmarkEnd w:id="224"/>
      <w:bookmarkEnd w:id="225"/>
      <w:bookmarkEnd w:id="226"/>
      <w:bookmarkEnd w:id="227"/>
      <w:bookmarkEnd w:id="228"/>
      <w:bookmarkEnd w:id="277"/>
      <w:bookmarkEnd w:id="278"/>
      <w:bookmarkEnd w:id="279"/>
      <w:bookmarkEnd w:id="280"/>
      <w:bookmarkEnd w:id="281"/>
      <w:bookmarkEnd w:id="282"/>
      <w:bookmarkEnd w:id="283"/>
      <w:bookmarkEnd w:id="284"/>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285" w:name="_Toc387526319"/>
      <w:bookmarkStart w:id="286" w:name="_Toc5192"/>
      <w:bookmarkStart w:id="287" w:name="_Toc179632585"/>
      <w:bookmarkStart w:id="288" w:name="_Toc397928588"/>
      <w:bookmarkStart w:id="289" w:name="_Toc508216919"/>
      <w:bookmarkStart w:id="290" w:name="_Toc387526215"/>
      <w:bookmarkStart w:id="291" w:name="_Toc246996954"/>
      <w:bookmarkStart w:id="292" w:name="_Toc246996211"/>
      <w:bookmarkStart w:id="293" w:name="_Toc144974535"/>
      <w:bookmarkStart w:id="294" w:name="_Toc387526411"/>
      <w:bookmarkStart w:id="295" w:name="_Toc152045567"/>
      <w:bookmarkStart w:id="296" w:name="_Toc152042343"/>
      <w:bookmarkStart w:id="297" w:name="_Toc366679698"/>
      <w:bookmarkStart w:id="298" w:name="_Toc247085725"/>
      <w:r>
        <w:rPr>
          <w:rFonts w:hint="eastAsia" w:ascii="宋体" w:hAnsi="宋体" w:eastAsia="宋体" w:cs="宋体"/>
          <w:color w:val="auto"/>
          <w:sz w:val="21"/>
          <w:szCs w:val="21"/>
          <w:highlight w:val="none"/>
        </w:rPr>
        <w:t>8.1 定标方式</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spacing w:line="460" w:lineRule="exact"/>
        <w:ind w:firstLine="420" w:firstLineChars="200"/>
        <w:jc w:val="left"/>
        <w:rPr>
          <w:rFonts w:ascii="宋体" w:hAnsi="宋体" w:cs="宋体"/>
          <w:color w:val="auto"/>
          <w:szCs w:val="21"/>
          <w:highlight w:val="none"/>
        </w:rPr>
      </w:pPr>
      <w:bookmarkStart w:id="299" w:name="_Toc29357"/>
      <w:bookmarkStart w:id="300" w:name="_Toc387526412"/>
      <w:bookmarkStart w:id="301" w:name="_Toc387526216"/>
      <w:bookmarkStart w:id="302" w:name="_Toc387526320"/>
      <w:r>
        <w:rPr>
          <w:rFonts w:hint="eastAsia" w:ascii="宋体" w:hAnsi="宋体" w:cs="宋体"/>
          <w:color w:val="auto"/>
          <w:szCs w:val="21"/>
          <w:highlight w:val="none"/>
        </w:rPr>
        <w:t>除投标人须知前附表规定评标委员会直接确定中标人外，招标人依据评标委员会推荐的中标候选人确定中标人。</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303" w:name="_Toc397928589"/>
      <w:bookmarkStart w:id="304" w:name="_Toc508216920"/>
      <w:r>
        <w:rPr>
          <w:rFonts w:hint="eastAsia" w:ascii="宋体" w:hAnsi="宋体" w:eastAsia="宋体" w:cs="宋体"/>
          <w:color w:val="auto"/>
          <w:sz w:val="21"/>
          <w:szCs w:val="21"/>
          <w:highlight w:val="none"/>
        </w:rPr>
        <w:t>8.2</w:t>
      </w:r>
      <w:bookmarkEnd w:id="299"/>
      <w:bookmarkEnd w:id="300"/>
      <w:bookmarkEnd w:id="301"/>
      <w:bookmarkEnd w:id="302"/>
      <w:bookmarkStart w:id="305" w:name="_Toc246996955"/>
      <w:bookmarkStart w:id="306" w:name="_Toc13765"/>
      <w:bookmarkStart w:id="307" w:name="_Toc366679700"/>
      <w:bookmarkStart w:id="308" w:name="_Toc246996212"/>
      <w:bookmarkStart w:id="309" w:name="_Toc179632586"/>
      <w:bookmarkStart w:id="310" w:name="_Toc247085726"/>
      <w:bookmarkStart w:id="311" w:name="_Toc387526217"/>
      <w:bookmarkStart w:id="312" w:name="_Toc387526413"/>
      <w:bookmarkStart w:id="313" w:name="_Toc387526321"/>
      <w:r>
        <w:rPr>
          <w:rFonts w:hint="eastAsia" w:ascii="宋体" w:hAnsi="宋体" w:eastAsia="宋体" w:cs="宋体"/>
          <w:color w:val="auto"/>
          <w:sz w:val="21"/>
          <w:szCs w:val="21"/>
          <w:highlight w:val="none"/>
        </w:rPr>
        <w:t>中标通知</w:t>
      </w:r>
      <w:bookmarkEnd w:id="303"/>
      <w:bookmarkEnd w:id="304"/>
      <w:bookmarkEnd w:id="305"/>
      <w:bookmarkEnd w:id="306"/>
      <w:bookmarkEnd w:id="307"/>
      <w:bookmarkEnd w:id="308"/>
      <w:bookmarkEnd w:id="309"/>
      <w:bookmarkEnd w:id="310"/>
      <w:bookmarkEnd w:id="311"/>
      <w:bookmarkEnd w:id="312"/>
      <w:bookmarkEnd w:id="313"/>
    </w:p>
    <w:p>
      <w:pPr>
        <w:spacing w:line="460" w:lineRule="exact"/>
        <w:ind w:firstLine="420" w:firstLineChars="200"/>
        <w:jc w:val="left"/>
        <w:rPr>
          <w:rFonts w:ascii="宋体" w:hAnsi="宋体" w:cs="宋体"/>
          <w:color w:val="auto"/>
          <w:szCs w:val="21"/>
          <w:highlight w:val="none"/>
        </w:rPr>
      </w:pPr>
      <w:bookmarkStart w:id="314" w:name="_Toc247085727"/>
      <w:bookmarkStart w:id="315" w:name="_Toc246996213"/>
      <w:bookmarkStart w:id="316" w:name="_Toc179632587"/>
      <w:bookmarkStart w:id="317" w:name="_Toc246996956"/>
      <w:bookmarkStart w:id="318" w:name="_Toc366679701"/>
      <w:r>
        <w:rPr>
          <w:rFonts w:hint="eastAsia" w:ascii="宋体" w:hAnsi="宋体" w:cs="宋体"/>
          <w:color w:val="auto"/>
          <w:szCs w:val="21"/>
          <w:highlight w:val="none"/>
        </w:rPr>
        <w:t>招标人在评标结果公示期结束后3日内向中标人发出中标通知书。</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319" w:name="_Toc397928590"/>
      <w:bookmarkStart w:id="320" w:name="_Toc26386"/>
      <w:bookmarkStart w:id="321" w:name="_Toc387526322"/>
      <w:bookmarkStart w:id="322" w:name="_Toc387526218"/>
      <w:bookmarkStart w:id="323" w:name="_Toc387526414"/>
      <w:bookmarkStart w:id="324" w:name="_Toc508216921"/>
      <w:r>
        <w:rPr>
          <w:rFonts w:hint="eastAsia" w:ascii="宋体" w:hAnsi="宋体" w:eastAsia="宋体" w:cs="宋体"/>
          <w:color w:val="auto"/>
          <w:sz w:val="21"/>
          <w:szCs w:val="21"/>
          <w:highlight w:val="none"/>
        </w:rPr>
        <w:t>8.3 履约保证金</w:t>
      </w:r>
      <w:bookmarkEnd w:id="314"/>
      <w:bookmarkEnd w:id="315"/>
      <w:bookmarkEnd w:id="316"/>
      <w:bookmarkEnd w:id="317"/>
      <w:bookmarkEnd w:id="318"/>
      <w:bookmarkEnd w:id="319"/>
      <w:bookmarkEnd w:id="320"/>
      <w:bookmarkEnd w:id="321"/>
      <w:bookmarkEnd w:id="322"/>
      <w:bookmarkEnd w:id="323"/>
      <w:bookmarkEnd w:id="324"/>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8.3.1在签订合同前，中标人应按投标人须知前附表规定的形式和招标文件“合同条款及格式”规定的或者事先经过招标人书面认可的履约保证金格式向招标人提交履约保证金。</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8.3.2中标人不能按本章第8.3.1项要求提交履约保证金的，视为放弃中标，给招标人造成的损失的，中标人还应当对损失予以赔偿。</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325" w:name="_Toc387526323"/>
      <w:bookmarkStart w:id="326" w:name="_Toc179632588"/>
      <w:bookmarkStart w:id="327" w:name="_Toc366679702"/>
      <w:bookmarkStart w:id="328" w:name="_Toc10565"/>
      <w:bookmarkStart w:id="329" w:name="_Toc397928591"/>
      <w:bookmarkStart w:id="330" w:name="_Toc387526415"/>
      <w:bookmarkStart w:id="331" w:name="_Toc246996214"/>
      <w:bookmarkStart w:id="332" w:name="_Toc247085728"/>
      <w:bookmarkStart w:id="333" w:name="_Toc387526219"/>
      <w:bookmarkStart w:id="334" w:name="_Toc508216922"/>
      <w:bookmarkStart w:id="335" w:name="_Toc246996957"/>
      <w:r>
        <w:rPr>
          <w:rFonts w:hint="eastAsia" w:ascii="宋体" w:hAnsi="宋体" w:eastAsia="宋体" w:cs="宋体"/>
          <w:color w:val="auto"/>
          <w:sz w:val="21"/>
          <w:szCs w:val="21"/>
          <w:highlight w:val="none"/>
        </w:rPr>
        <w:t>8.4 签订合同</w:t>
      </w:r>
      <w:bookmarkEnd w:id="325"/>
      <w:bookmarkEnd w:id="326"/>
      <w:bookmarkEnd w:id="327"/>
      <w:bookmarkEnd w:id="328"/>
      <w:bookmarkEnd w:id="329"/>
      <w:bookmarkEnd w:id="330"/>
      <w:bookmarkEnd w:id="331"/>
      <w:bookmarkEnd w:id="332"/>
      <w:bookmarkEnd w:id="333"/>
      <w:bookmarkEnd w:id="334"/>
      <w:bookmarkEnd w:id="335"/>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8.4.1招标人和中标人应当自中标通知书发出之日起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日内，根据招标文件和中标人的投标文件订立书面合同。中标人无正当理由拒签合同的，招标人取消其中标资格；给招标人造成的损失的，中标人还应当对损失予以赔偿。</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8.4.2 发出中标通知书后，招标人无正当理由拒签合同的，给中标人造成损失的，还应当赔偿损失。</w:t>
      </w:r>
    </w:p>
    <w:bookmarkEnd w:id="208"/>
    <w:bookmarkEnd w:id="209"/>
    <w:bookmarkEnd w:id="210"/>
    <w:bookmarkEnd w:id="211"/>
    <w:p>
      <w:pPr>
        <w:pStyle w:val="38"/>
        <w:spacing w:before="0" w:after="0" w:line="460" w:lineRule="exact"/>
        <w:ind w:firstLine="422" w:firstLineChars="200"/>
        <w:jc w:val="left"/>
        <w:rPr>
          <w:rFonts w:ascii="宋体" w:hAnsi="宋体"/>
          <w:color w:val="auto"/>
          <w:sz w:val="21"/>
          <w:szCs w:val="21"/>
          <w:highlight w:val="none"/>
        </w:rPr>
      </w:pPr>
      <w:bookmarkStart w:id="336" w:name="_Toc368759383"/>
      <w:bookmarkStart w:id="337" w:name="_Toc387526416"/>
      <w:bookmarkStart w:id="338" w:name="_Toc369077569"/>
      <w:bookmarkStart w:id="339" w:name="_Toc367894807"/>
      <w:bookmarkStart w:id="340" w:name="_Toc387526324"/>
      <w:bookmarkStart w:id="341" w:name="_Toc368760435"/>
      <w:bookmarkStart w:id="342" w:name="_Toc397928592"/>
      <w:bookmarkStart w:id="343" w:name="_Toc30717"/>
      <w:bookmarkStart w:id="344" w:name="_Toc322503149"/>
      <w:bookmarkStart w:id="345" w:name="_Toc387526220"/>
      <w:bookmarkStart w:id="346" w:name="_Toc363329380"/>
      <w:bookmarkStart w:id="347" w:name="_Toc508216923"/>
      <w:r>
        <w:rPr>
          <w:rFonts w:hint="eastAsia" w:ascii="宋体" w:hAnsi="宋体"/>
          <w:color w:val="auto"/>
          <w:sz w:val="21"/>
          <w:szCs w:val="21"/>
          <w:highlight w:val="none"/>
        </w:rPr>
        <w:t>9.纪律和监督</w:t>
      </w:r>
      <w:bookmarkEnd w:id="336"/>
      <w:bookmarkEnd w:id="337"/>
      <w:bookmarkEnd w:id="338"/>
      <w:bookmarkEnd w:id="339"/>
      <w:bookmarkEnd w:id="340"/>
      <w:bookmarkEnd w:id="341"/>
      <w:bookmarkEnd w:id="342"/>
      <w:bookmarkEnd w:id="343"/>
      <w:bookmarkEnd w:id="344"/>
      <w:bookmarkEnd w:id="345"/>
      <w:bookmarkEnd w:id="346"/>
      <w:bookmarkEnd w:id="347"/>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348" w:name="_Toc152042351"/>
      <w:bookmarkStart w:id="349" w:name="_Toc387526325"/>
      <w:bookmarkStart w:id="350" w:name="_Toc152045575"/>
      <w:bookmarkStart w:id="351" w:name="_Toc144974543"/>
      <w:bookmarkStart w:id="352" w:name="_Toc387526417"/>
      <w:bookmarkStart w:id="353" w:name="_Toc322503150"/>
      <w:bookmarkStart w:id="354" w:name="_Toc508216924"/>
      <w:bookmarkStart w:id="355" w:name="_Toc387526221"/>
      <w:bookmarkStart w:id="356" w:name="_Toc29855"/>
      <w:bookmarkStart w:id="357" w:name="_Toc397928593"/>
      <w:bookmarkStart w:id="358" w:name="_Toc269310963"/>
      <w:r>
        <w:rPr>
          <w:rFonts w:hint="eastAsia" w:ascii="宋体" w:hAnsi="宋体" w:eastAsia="宋体" w:cs="宋体"/>
          <w:color w:val="auto"/>
          <w:sz w:val="21"/>
          <w:szCs w:val="21"/>
          <w:highlight w:val="none"/>
        </w:rPr>
        <w:t>9.1 对招标人的纪律要求</w:t>
      </w:r>
      <w:bookmarkEnd w:id="348"/>
      <w:bookmarkEnd w:id="349"/>
      <w:bookmarkEnd w:id="350"/>
      <w:bookmarkEnd w:id="351"/>
      <w:bookmarkEnd w:id="352"/>
      <w:bookmarkEnd w:id="353"/>
      <w:bookmarkEnd w:id="354"/>
      <w:bookmarkEnd w:id="355"/>
      <w:bookmarkEnd w:id="356"/>
      <w:bookmarkEnd w:id="357"/>
      <w:bookmarkEnd w:id="358"/>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招标人不得泄露招标投标活动中应当保密的情况和资料，不得与投标人串通损害国家利益、社会公众利益或者他人合法权益。</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359" w:name="_Toc508216925"/>
      <w:bookmarkStart w:id="360" w:name="_Toc387526222"/>
      <w:bookmarkStart w:id="361" w:name="_Toc1420"/>
      <w:bookmarkStart w:id="362" w:name="_Toc152045576"/>
      <w:bookmarkStart w:id="363" w:name="_Toc387526418"/>
      <w:bookmarkStart w:id="364" w:name="_Toc152042352"/>
      <w:bookmarkStart w:id="365" w:name="_Toc322503151"/>
      <w:bookmarkStart w:id="366" w:name="_Toc387526326"/>
      <w:bookmarkStart w:id="367" w:name="_Toc269310964"/>
      <w:bookmarkStart w:id="368" w:name="_Toc144974544"/>
      <w:bookmarkStart w:id="369" w:name="_Toc397928594"/>
      <w:r>
        <w:rPr>
          <w:rFonts w:hint="eastAsia" w:ascii="宋体" w:hAnsi="宋体" w:eastAsia="宋体" w:cs="宋体"/>
          <w:color w:val="auto"/>
          <w:sz w:val="21"/>
          <w:szCs w:val="21"/>
          <w:highlight w:val="none"/>
        </w:rPr>
        <w:t>9.2 对投标人的纪律要求</w:t>
      </w:r>
      <w:bookmarkEnd w:id="359"/>
      <w:bookmarkEnd w:id="360"/>
      <w:bookmarkEnd w:id="361"/>
      <w:bookmarkEnd w:id="362"/>
      <w:bookmarkEnd w:id="363"/>
      <w:bookmarkEnd w:id="364"/>
      <w:bookmarkEnd w:id="365"/>
      <w:bookmarkEnd w:id="366"/>
      <w:bookmarkEnd w:id="367"/>
      <w:bookmarkEnd w:id="368"/>
      <w:bookmarkEnd w:id="369"/>
    </w:p>
    <w:p>
      <w:pPr>
        <w:spacing w:line="460" w:lineRule="exact"/>
        <w:ind w:firstLine="420" w:firstLineChars="200"/>
        <w:jc w:val="left"/>
        <w:rPr>
          <w:rFonts w:ascii="宋体" w:hAnsi="宋体" w:cs="宋体"/>
          <w:color w:val="auto"/>
          <w:szCs w:val="21"/>
          <w:highlight w:val="none"/>
        </w:rPr>
      </w:pPr>
      <w:bookmarkStart w:id="370" w:name="_Toc152045577"/>
      <w:bookmarkStart w:id="371" w:name="_Toc322503152"/>
      <w:bookmarkStart w:id="372" w:name="_Toc152042353"/>
      <w:bookmarkStart w:id="373" w:name="_Toc269310965"/>
      <w:bookmarkStart w:id="374" w:name="_Toc144974545"/>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375" w:name="_Toc508216926"/>
      <w:bookmarkStart w:id="376" w:name="_Toc397928595"/>
      <w:bookmarkStart w:id="377" w:name="_Toc387526327"/>
      <w:bookmarkStart w:id="378" w:name="_Toc16374"/>
      <w:bookmarkStart w:id="379" w:name="_Toc387526419"/>
      <w:bookmarkStart w:id="380" w:name="_Toc387526223"/>
      <w:r>
        <w:rPr>
          <w:rFonts w:hint="eastAsia" w:ascii="宋体" w:hAnsi="宋体" w:eastAsia="宋体" w:cs="宋体"/>
          <w:color w:val="auto"/>
          <w:sz w:val="21"/>
          <w:szCs w:val="21"/>
          <w:highlight w:val="none"/>
        </w:rPr>
        <w:t>9.3 对评标委员会成员的纪律要求</w:t>
      </w:r>
      <w:bookmarkEnd w:id="370"/>
      <w:bookmarkEnd w:id="371"/>
      <w:bookmarkEnd w:id="372"/>
      <w:bookmarkEnd w:id="373"/>
      <w:bookmarkEnd w:id="374"/>
      <w:bookmarkEnd w:id="375"/>
      <w:bookmarkEnd w:id="376"/>
      <w:bookmarkEnd w:id="377"/>
      <w:bookmarkEnd w:id="378"/>
      <w:bookmarkEnd w:id="379"/>
      <w:bookmarkEnd w:id="380"/>
    </w:p>
    <w:p>
      <w:pPr>
        <w:spacing w:line="460" w:lineRule="exact"/>
        <w:ind w:firstLine="420" w:firstLineChars="200"/>
        <w:jc w:val="left"/>
        <w:rPr>
          <w:rFonts w:ascii="宋体" w:hAnsi="宋体" w:cs="宋体"/>
          <w:color w:val="auto"/>
          <w:szCs w:val="21"/>
          <w:highlight w:val="none"/>
        </w:rPr>
      </w:pPr>
      <w:bookmarkStart w:id="381" w:name="_Toc366679707"/>
      <w:bookmarkStart w:id="382" w:name="_Toc152045578"/>
      <w:bookmarkStart w:id="383" w:name="_Toc247085736"/>
      <w:bookmarkStart w:id="384" w:name="_Toc246996965"/>
      <w:bookmarkStart w:id="385" w:name="_Toc179632596"/>
      <w:bookmarkStart w:id="386" w:name="_Toc152042354"/>
      <w:bookmarkStart w:id="387" w:name="_Toc246996222"/>
      <w:bookmarkStart w:id="388" w:name="_Toc144974546"/>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8"/>
        <w:spacing w:before="0" w:after="0" w:line="460" w:lineRule="exact"/>
        <w:ind w:firstLine="420" w:firstLineChars="200"/>
        <w:jc w:val="left"/>
        <w:rPr>
          <w:rFonts w:ascii="宋体" w:hAnsi="宋体" w:eastAsia="宋体" w:cs="宋体"/>
          <w:color w:val="auto"/>
          <w:sz w:val="21"/>
          <w:szCs w:val="21"/>
          <w:highlight w:val="none"/>
        </w:rPr>
      </w:pPr>
      <w:bookmarkStart w:id="389" w:name="_Toc397928596"/>
      <w:bookmarkStart w:id="390" w:name="_Toc508216927"/>
      <w:bookmarkStart w:id="391" w:name="_Toc387526420"/>
      <w:bookmarkStart w:id="392" w:name="_Toc387526328"/>
      <w:bookmarkStart w:id="393" w:name="_Toc387526224"/>
      <w:bookmarkStart w:id="394" w:name="_Toc1042"/>
      <w:r>
        <w:rPr>
          <w:rFonts w:hint="eastAsia" w:ascii="宋体" w:hAnsi="宋体" w:eastAsia="宋体" w:cs="宋体"/>
          <w:color w:val="auto"/>
          <w:sz w:val="21"/>
          <w:szCs w:val="21"/>
          <w:highlight w:val="none"/>
        </w:rPr>
        <w:t>9.4 对与评标活动有关的工作人员的纪律要求</w:t>
      </w:r>
      <w:bookmarkEnd w:id="381"/>
      <w:bookmarkEnd w:id="382"/>
      <w:bookmarkEnd w:id="383"/>
      <w:bookmarkEnd w:id="384"/>
      <w:bookmarkEnd w:id="385"/>
      <w:bookmarkEnd w:id="386"/>
      <w:bookmarkEnd w:id="387"/>
      <w:bookmarkEnd w:id="389"/>
      <w:bookmarkEnd w:id="390"/>
      <w:bookmarkEnd w:id="391"/>
      <w:bookmarkEnd w:id="392"/>
      <w:bookmarkEnd w:id="393"/>
      <w:bookmarkEnd w:id="394"/>
    </w:p>
    <w:p>
      <w:pPr>
        <w:spacing w:line="460" w:lineRule="exact"/>
        <w:ind w:firstLine="420" w:firstLineChars="200"/>
        <w:jc w:val="left"/>
        <w:rPr>
          <w:rFonts w:ascii="宋体" w:hAnsi="宋体" w:cs="宋体"/>
          <w:color w:val="auto"/>
          <w:szCs w:val="21"/>
          <w:highlight w:val="none"/>
        </w:rPr>
      </w:pPr>
      <w:bookmarkStart w:id="395" w:name="_Toc152042355"/>
      <w:bookmarkStart w:id="396" w:name="_Toc246996223"/>
      <w:bookmarkStart w:id="397" w:name="_Toc366679708"/>
      <w:bookmarkStart w:id="398" w:name="_Toc246996966"/>
      <w:bookmarkStart w:id="399" w:name="_Toc152045579"/>
      <w:bookmarkStart w:id="400" w:name="_Toc179632597"/>
      <w:bookmarkStart w:id="401" w:name="_Toc152042356"/>
      <w:bookmarkStart w:id="402" w:name="_Toc247085737"/>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5"/>
    </w:p>
    <w:bookmarkEnd w:id="388"/>
    <w:bookmarkEnd w:id="396"/>
    <w:bookmarkEnd w:id="397"/>
    <w:bookmarkEnd w:id="398"/>
    <w:bookmarkEnd w:id="399"/>
    <w:bookmarkEnd w:id="400"/>
    <w:bookmarkEnd w:id="401"/>
    <w:bookmarkEnd w:id="402"/>
    <w:p>
      <w:pPr>
        <w:spacing w:line="460" w:lineRule="exact"/>
        <w:ind w:firstLine="420" w:firstLineChars="200"/>
        <w:jc w:val="left"/>
        <w:rPr>
          <w:rFonts w:ascii="宋体" w:hAnsi="宋体" w:cs="宋体"/>
          <w:color w:val="auto"/>
          <w:szCs w:val="21"/>
          <w:highlight w:val="none"/>
        </w:rPr>
      </w:pPr>
      <w:bookmarkStart w:id="403" w:name="_Toc387526422"/>
      <w:bookmarkStart w:id="404" w:name="_Toc387526330"/>
      <w:bookmarkStart w:id="405" w:name="_Toc387526226"/>
      <w:bookmarkStart w:id="406" w:name="_Toc9600"/>
      <w:r>
        <w:rPr>
          <w:rFonts w:hint="eastAsia" w:ascii="宋体" w:hAnsi="宋体" w:cs="宋体"/>
          <w:color w:val="auto"/>
          <w:szCs w:val="21"/>
          <w:highlight w:val="none"/>
        </w:rPr>
        <w:t>9.5 质疑</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认为采购文件、采购过程、中标或者成交结果使自己的权益采到损害的，可以在知道或者应知其权益受到损害之日起7个工作日内，以书面形式向采购人、采购代理机构在法定质疑期内一次性提出针对同一采购程序环节的质疑。供应商提出质疑应当符合财政部令第94号《政府采购质疑和投诉办法》相关规定。</w:t>
      </w:r>
      <w:bookmarkStart w:id="407" w:name="_Toc508216929"/>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9.6 投诉</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质疑供应商对采购人、采购代理机构的答复不满意的，或者采购人、采购代理机构未在规定时间内作出答复的，可以在答复期满后15个工作日内向</w:t>
      </w:r>
      <w:r>
        <w:rPr>
          <w:rFonts w:hint="eastAsia" w:ascii="宋体" w:hAnsi="宋体" w:cs="宋体"/>
          <w:color w:val="auto"/>
          <w:szCs w:val="21"/>
          <w:highlight w:val="none"/>
          <w:lang w:val="en-US" w:eastAsia="zh-CN"/>
        </w:rPr>
        <w:t>盐城市大丰区海城实业发展有限公司</w:t>
      </w:r>
      <w:r>
        <w:rPr>
          <w:rFonts w:hint="eastAsia" w:ascii="宋体" w:hAnsi="宋体" w:cs="宋体"/>
          <w:color w:val="auto"/>
          <w:szCs w:val="21"/>
          <w:highlight w:val="none"/>
        </w:rPr>
        <w:t>提起投诉。提起投诉应当符合财政部令第94号《政府采购质疑和投诉办法》相关规定。</w:t>
      </w:r>
    </w:p>
    <w:p>
      <w:pPr>
        <w:pStyle w:val="8"/>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9.7差别待遇或者歧视待遇现象</w:t>
      </w:r>
      <w:bookmarkEnd w:id="407"/>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采购人或者采购代理机构有下列情形之一的，属于以不合理的条件对供应商实行差别待遇或者歧视待遇：</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（一）就同一采购项目向供应商提供有差别的项目信息；</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（二）设定的资格、技术、商务条件与采购项目的具体特点和实际需要不相适应或者与合同履行无关；</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（三）采购需求中的技术、服务等要求指向特定供应商、特定产品；</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（四）以特定行政区域或者特定行业的业绩、奖项作为加分条件或者中标、成交条件；</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（五）对供应商采取不同的资格审查或者评审标准；</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（六）限定或者指定特定的专利、商标、品牌或者供应商；</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（七）非法限定供应商的所有制形式、组织形式或者所在地；</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（八）以其他不合理条件限制或者排斥潜在供应商。</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若有以上现象，评委将根据本招标文件相关条款执行。</w:t>
      </w:r>
    </w:p>
    <w:p>
      <w:pPr>
        <w:pStyle w:val="38"/>
        <w:spacing w:before="0" w:after="0" w:line="460" w:lineRule="exact"/>
        <w:ind w:firstLine="422" w:firstLineChars="200"/>
        <w:jc w:val="left"/>
        <w:rPr>
          <w:rFonts w:ascii="宋体" w:hAnsi="宋体"/>
          <w:color w:val="auto"/>
          <w:sz w:val="21"/>
          <w:szCs w:val="21"/>
          <w:highlight w:val="none"/>
        </w:rPr>
      </w:pPr>
      <w:bookmarkStart w:id="408" w:name="_Toc397928598"/>
      <w:bookmarkStart w:id="409" w:name="_Toc508216930"/>
      <w:r>
        <w:rPr>
          <w:rFonts w:hint="eastAsia" w:ascii="宋体" w:hAnsi="宋体"/>
          <w:color w:val="auto"/>
          <w:sz w:val="21"/>
          <w:szCs w:val="21"/>
          <w:highlight w:val="none"/>
        </w:rPr>
        <w:t>10.</w:t>
      </w:r>
      <w:bookmarkEnd w:id="403"/>
      <w:bookmarkEnd w:id="404"/>
      <w:bookmarkEnd w:id="405"/>
      <w:bookmarkEnd w:id="406"/>
      <w:bookmarkEnd w:id="408"/>
      <w:bookmarkEnd w:id="409"/>
      <w:r>
        <w:rPr>
          <w:rFonts w:hint="eastAsia" w:ascii="宋体" w:hAnsi="宋体"/>
          <w:color w:val="auto"/>
          <w:sz w:val="21"/>
          <w:szCs w:val="21"/>
          <w:highlight w:val="none"/>
        </w:rPr>
        <w:t>付款方式</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见投标人须知前附表。</w:t>
      </w:r>
    </w:p>
    <w:p>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11.解释权</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⑴凡是构成合同文件组成内容的不明确或不一致，以合同文件约定内容为准，且以专用合同条款约定的合同文件优先顺序解释；</w:t>
      </w:r>
    </w:p>
    <w:p>
      <w:pPr>
        <w:tabs>
          <w:tab w:val="left" w:pos="920"/>
        </w:tabs>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tabs>
          <w:tab w:val="left" w:pos="920"/>
        </w:tabs>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⑶按本款前述规定仍不能形成结论的，由招标人负责解释。</w:t>
      </w:r>
    </w:p>
    <w:p>
      <w:pPr>
        <w:tabs>
          <w:tab w:val="left" w:pos="920"/>
        </w:tabs>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12.其他</w:t>
      </w:r>
    </w:p>
    <w:p>
      <w:pPr>
        <w:tabs>
          <w:tab w:val="left" w:pos="920"/>
        </w:tabs>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1、本招标文件时间均以中华人民共和国北京时间为准，所涉及金额的币种均为人民币。</w:t>
      </w:r>
    </w:p>
    <w:p>
      <w:pPr>
        <w:tabs>
          <w:tab w:val="left" w:pos="920"/>
        </w:tabs>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2、凡参与本项目投标的投标人，视同已踏勘过项目现场和研究了本招标文件的所有内容，并无保留地接受招标文件的所有条款（含招标答疑、补充通知等）。</w:t>
      </w:r>
    </w:p>
    <w:p>
      <w:pPr>
        <w:tabs>
          <w:tab w:val="left" w:pos="920"/>
        </w:tabs>
        <w:spacing w:line="460" w:lineRule="exact"/>
        <w:ind w:firstLine="420" w:firstLineChars="200"/>
        <w:jc w:val="left"/>
        <w:rPr>
          <w:rFonts w:ascii="宋体" w:hAnsi="宋体" w:cs="宋体"/>
          <w:color w:val="auto"/>
          <w:szCs w:val="21"/>
          <w:highlight w:val="none"/>
        </w:rPr>
      </w:pPr>
      <w:bookmarkStart w:id="410" w:name="_Toc508216932"/>
      <w:bookmarkStart w:id="411" w:name="_Toc29139"/>
      <w:bookmarkStart w:id="412" w:name="_Toc397928599"/>
      <w:bookmarkStart w:id="413" w:name="_Toc397928601"/>
      <w:bookmarkStart w:id="414" w:name="_Toc12629"/>
      <w:bookmarkStart w:id="415" w:name="_Toc184635093"/>
      <w:bookmarkStart w:id="416" w:name="_Toc508216933"/>
      <w:r>
        <w:rPr>
          <w:rFonts w:hint="eastAsia" w:ascii="宋体" w:hAnsi="宋体" w:cs="宋体"/>
          <w:color w:val="auto"/>
          <w:szCs w:val="21"/>
          <w:highlight w:val="none"/>
        </w:rPr>
        <w:t>3、本项目招标代理费由招标人支付。</w:t>
      </w:r>
    </w:p>
    <w:p>
      <w:pPr>
        <w:tabs>
          <w:tab w:val="left" w:pos="920"/>
        </w:tabs>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4、本招标文件未尽事宜，按国家和省法律法规、规章要求处理。</w:t>
      </w:r>
    </w:p>
    <w:p>
      <w:pPr>
        <w:tabs>
          <w:tab w:val="left" w:pos="920"/>
        </w:tabs>
        <w:spacing w:line="460" w:lineRule="exact"/>
        <w:ind w:firstLine="420" w:firstLineChars="200"/>
        <w:jc w:val="left"/>
        <w:rPr>
          <w:color w:val="auto"/>
          <w:highlight w:val="none"/>
        </w:rPr>
      </w:pPr>
      <w:r>
        <w:rPr>
          <w:rFonts w:hint="eastAsia" w:ascii="宋体" w:hAnsi="宋体" w:cs="宋体"/>
          <w:color w:val="auto"/>
          <w:szCs w:val="21"/>
          <w:highlight w:val="none"/>
        </w:rPr>
        <w:t>5、本招标文件的解释权归招标人所有。</w:t>
      </w:r>
    </w:p>
    <w:p>
      <w:pPr>
        <w:pStyle w:val="6"/>
        <w:spacing w:before="0" w:after="0" w:line="360" w:lineRule="auto"/>
        <w:rPr>
          <w:rFonts w:ascii="宋体" w:hAnsi="宋体"/>
          <w:color w:val="auto"/>
          <w:highlight w:val="none"/>
        </w:rPr>
      </w:pPr>
      <w:r>
        <w:rPr>
          <w:rFonts w:hint="eastAsia" w:ascii="宋体" w:hAnsi="宋体"/>
          <w:color w:val="auto"/>
          <w:highlight w:val="none"/>
        </w:rPr>
        <w:t>第三章  评标办法（综合评分法）</w:t>
      </w:r>
      <w:bookmarkEnd w:id="410"/>
      <w:bookmarkEnd w:id="411"/>
      <w:bookmarkEnd w:id="412"/>
    </w:p>
    <w:p>
      <w:pPr>
        <w:pStyle w:val="7"/>
        <w:spacing w:before="0" w:after="0" w:line="460" w:lineRule="exact"/>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开标时特别说明：</w:t>
      </w:r>
    </w:p>
    <w:p>
      <w:pPr>
        <w:pStyle w:val="7"/>
        <w:spacing w:before="0" w:after="0" w:line="460" w:lineRule="exact"/>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疑澄清、开标唱标、结果公布等交互环节，具体内容和规定详见招标文件。</w:t>
      </w:r>
    </w:p>
    <w:p>
      <w:pPr>
        <w:pStyle w:val="7"/>
        <w:spacing w:before="0" w:after="0" w:line="4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1.评标方法</w:t>
      </w:r>
    </w:p>
    <w:p>
      <w:pPr>
        <w:pStyle w:val="7"/>
        <w:spacing w:before="0" w:after="0" w:line="460" w:lineRule="exact"/>
        <w:ind w:firstLine="420" w:firstLineChars="200"/>
        <w:rPr>
          <w:rFonts w:ascii="宋体" w:hAnsi="宋体" w:eastAsia="宋体" w:cs="宋体"/>
          <w:b w:val="0"/>
          <w:bCs w:val="0"/>
          <w:color w:val="auto"/>
          <w:sz w:val="21"/>
          <w:szCs w:val="21"/>
          <w:highlight w:val="none"/>
        </w:rPr>
      </w:pPr>
      <w:r>
        <w:rPr>
          <w:rFonts w:ascii="宋体" w:hAnsi="宋体" w:eastAsia="宋体" w:cs="宋体"/>
          <w:b w:val="0"/>
          <w:bCs w:val="0"/>
          <w:color w:val="auto"/>
          <w:sz w:val="21"/>
          <w:szCs w:val="21"/>
          <w:highlight w:val="none"/>
        </w:rPr>
        <w:t>本次评标采用综合评分法。评标委员会对满足招标文件实质性要求的投标文件，按照本招标文件规定的评分标准进行打分，并按</w:t>
      </w:r>
      <w:r>
        <w:rPr>
          <w:rFonts w:hint="eastAsia" w:ascii="宋体" w:hAnsi="宋体" w:eastAsia="宋体" w:cs="宋体"/>
          <w:b w:val="0"/>
          <w:bCs w:val="0"/>
          <w:color w:val="auto"/>
          <w:sz w:val="21"/>
          <w:szCs w:val="21"/>
          <w:highlight w:val="none"/>
        </w:rPr>
        <w:t>最终</w:t>
      </w:r>
      <w:r>
        <w:rPr>
          <w:rFonts w:ascii="宋体" w:hAnsi="宋体" w:eastAsia="宋体" w:cs="宋体"/>
          <w:b w:val="0"/>
          <w:bCs w:val="0"/>
          <w:color w:val="auto"/>
          <w:sz w:val="21"/>
          <w:szCs w:val="21"/>
          <w:highlight w:val="none"/>
        </w:rPr>
        <w:t>得分由高到低顺序推荐中标候选人</w:t>
      </w:r>
      <w:r>
        <w:rPr>
          <w:rFonts w:hint="eastAsia" w:ascii="宋体" w:hAnsi="宋体" w:eastAsia="宋体" w:cs="宋体"/>
          <w:b w:val="0"/>
          <w:bCs w:val="0"/>
          <w:color w:val="auto"/>
          <w:sz w:val="21"/>
          <w:szCs w:val="21"/>
          <w:highlight w:val="none"/>
        </w:rPr>
        <w:t>，或根据招标人授权直接确定中标人</w:t>
      </w:r>
      <w:r>
        <w:rPr>
          <w:rFonts w:ascii="宋体" w:hAnsi="宋体" w:eastAsia="宋体" w:cs="宋体"/>
          <w:b w:val="0"/>
          <w:bCs w:val="0"/>
          <w:color w:val="auto"/>
          <w:sz w:val="21"/>
          <w:szCs w:val="21"/>
          <w:highlight w:val="none"/>
        </w:rPr>
        <w:t>。综合评分相等时，以投标报价低的优先；投标报价也相等的，由招标人抽签确定。最低报价及任何单项因素的最优均不是中标的必要条件。</w:t>
      </w:r>
    </w:p>
    <w:p>
      <w:pPr>
        <w:pStyle w:val="7"/>
        <w:spacing w:before="0" w:after="0" w:line="4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2.评审标准</w:t>
      </w:r>
    </w:p>
    <w:p>
      <w:pPr>
        <w:spacing w:line="4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2.1 初步评审</w:t>
      </w:r>
    </w:p>
    <w:p>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2.1.1形式评审标准</w:t>
      </w: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对投标文件的有效性、完整性进行评审。</w:t>
      </w:r>
    </w:p>
    <w:tbl>
      <w:tblPr>
        <w:tblStyle w:val="20"/>
        <w:tblW w:w="9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12"/>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4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投标人名称</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
                <w:color w:val="auto"/>
                <w:szCs w:val="21"/>
                <w:highlight w:val="none"/>
              </w:rPr>
            </w:pPr>
            <w:r>
              <w:rPr>
                <w:rFonts w:hint="eastAsia" w:ascii="宋体" w:hAnsi="宋体" w:cs="宋体"/>
                <w:color w:val="auto"/>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投标承诺函</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rPr>
              <w:t>有法定代表人或其委托代理人签字(或盖章)并加盖投标单位公章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授权委托书</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rPr>
              <w:t>有法定代表人签字(或盖章)并加盖投标单位公章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szCs w:val="21"/>
                <w:highlight w:val="none"/>
              </w:rPr>
            </w:pPr>
            <w:r>
              <w:rPr>
                <w:rFonts w:hint="eastAsia" w:ascii="宋体" w:hAnsi="宋体" w:cs="宋体"/>
                <w:color w:val="auto"/>
                <w:szCs w:val="21"/>
                <w:highlight w:val="none"/>
              </w:rPr>
              <w:t>只能有一个有效报价</w:t>
            </w:r>
          </w:p>
        </w:tc>
      </w:tr>
    </w:tbl>
    <w:p>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2.1.2资格审查（资格后审）</w:t>
      </w: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评标委员会对通过上一阶段评审的投标人资格对照招标文件投标须知第3.5项的规定要求进行审查，只有通过资格审查的投标人方可进行下一阶段的评审。</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58"/>
        <w:gridCol w:w="6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6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营业执照</w:t>
            </w:r>
          </w:p>
        </w:tc>
        <w:tc>
          <w:tcPr>
            <w:tcW w:w="6494"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szCs w:val="21"/>
                <w:highlight w:val="none"/>
              </w:rPr>
            </w:pPr>
            <w:r>
              <w:rPr>
                <w:rFonts w:hint="eastAsia" w:ascii="宋体" w:hAnsi="宋体" w:cs="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34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书面声明</w:t>
            </w:r>
          </w:p>
        </w:tc>
        <w:tc>
          <w:tcPr>
            <w:tcW w:w="6494"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szCs w:val="21"/>
                <w:highlight w:val="none"/>
              </w:rPr>
            </w:pPr>
            <w:r>
              <w:rPr>
                <w:rFonts w:hint="eastAsia" w:ascii="宋体" w:hAnsi="宋体" w:cs="宋体"/>
                <w:color w:val="auto"/>
                <w:szCs w:val="21"/>
                <w:highlight w:val="none"/>
              </w:rPr>
              <w:t>满足《中华人民共和国政府采购法》第二十二条规定</w:t>
            </w:r>
          </w:p>
        </w:tc>
      </w:tr>
    </w:tbl>
    <w:p>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2.1.3 响应性审查</w:t>
      </w: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对招标文件要求的合同履行期限、质量标准、投标有效期、投标报价等实质性要求的响应性进行评审。</w:t>
      </w:r>
    </w:p>
    <w:tbl>
      <w:tblPr>
        <w:tblStyle w:val="20"/>
        <w:tblW w:w="99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47"/>
        <w:gridCol w:w="6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合同履行期限</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szCs w:val="21"/>
                <w:highlight w:val="none"/>
              </w:rPr>
            </w:pPr>
            <w:r>
              <w:rPr>
                <w:rFonts w:hint="eastAsia" w:ascii="宋体" w:hAnsi="宋体" w:cs="宋体"/>
                <w:color w:val="auto"/>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质量标准</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szCs w:val="21"/>
                <w:highlight w:val="none"/>
              </w:rPr>
            </w:pPr>
            <w:r>
              <w:rPr>
                <w:rFonts w:hint="eastAsia" w:ascii="宋体" w:hAnsi="宋体" w:cs="宋体"/>
                <w:color w:val="auto"/>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投标有效期</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szCs w:val="21"/>
                <w:highlight w:val="none"/>
              </w:rPr>
            </w:pPr>
            <w:r>
              <w:rPr>
                <w:rFonts w:hint="eastAsia" w:ascii="宋体" w:hAnsi="宋体" w:cs="宋体"/>
                <w:color w:val="auto"/>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投标价格</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szCs w:val="21"/>
                <w:highlight w:val="none"/>
              </w:rPr>
            </w:pPr>
            <w:r>
              <w:rPr>
                <w:rFonts w:hint="eastAsia" w:ascii="宋体" w:hAnsi="宋体" w:cs="宋体"/>
                <w:color w:val="auto"/>
                <w:szCs w:val="21"/>
                <w:highlight w:val="none"/>
              </w:rPr>
              <w:t>符合招标文件相关约定</w:t>
            </w:r>
          </w:p>
        </w:tc>
      </w:tr>
    </w:tbl>
    <w:p>
      <w:pPr>
        <w:pStyle w:val="8"/>
        <w:spacing w:before="0" w:after="0" w:line="460" w:lineRule="exact"/>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2.2 详细评审（100分）</w:t>
      </w:r>
    </w:p>
    <w:tbl>
      <w:tblPr>
        <w:tblStyle w:val="20"/>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019"/>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94" w:type="dxa"/>
            <w:vAlign w:val="center"/>
          </w:tcPr>
          <w:p>
            <w:pPr>
              <w:jc w:val="center"/>
              <w:rPr>
                <w:b/>
                <w:bCs/>
                <w:color w:val="auto"/>
                <w:sz w:val="21"/>
                <w:szCs w:val="21"/>
              </w:rPr>
            </w:pPr>
            <w:r>
              <w:rPr>
                <w:rFonts w:hint="eastAsia"/>
                <w:b/>
                <w:bCs/>
                <w:color w:val="auto"/>
                <w:sz w:val="21"/>
                <w:szCs w:val="21"/>
              </w:rPr>
              <w:t>分项</w:t>
            </w:r>
          </w:p>
        </w:tc>
        <w:tc>
          <w:tcPr>
            <w:tcW w:w="1019" w:type="dxa"/>
            <w:vAlign w:val="center"/>
          </w:tcPr>
          <w:p>
            <w:pPr>
              <w:jc w:val="center"/>
              <w:rPr>
                <w:b/>
                <w:bCs/>
                <w:color w:val="auto"/>
                <w:sz w:val="21"/>
                <w:szCs w:val="21"/>
              </w:rPr>
            </w:pPr>
            <w:r>
              <w:rPr>
                <w:rFonts w:hint="eastAsia"/>
                <w:b/>
                <w:bCs/>
                <w:color w:val="auto"/>
                <w:sz w:val="21"/>
                <w:szCs w:val="21"/>
              </w:rPr>
              <w:t>分值</w:t>
            </w:r>
          </w:p>
        </w:tc>
        <w:tc>
          <w:tcPr>
            <w:tcW w:w="6996" w:type="dxa"/>
            <w:vAlign w:val="center"/>
          </w:tcPr>
          <w:p>
            <w:pPr>
              <w:jc w:val="center"/>
              <w:rPr>
                <w:b/>
                <w:bCs/>
                <w:color w:val="auto"/>
                <w:sz w:val="21"/>
                <w:szCs w:val="21"/>
              </w:rPr>
            </w:pPr>
            <w:r>
              <w:rPr>
                <w:rFonts w:hint="eastAsia"/>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spacing w:line="360" w:lineRule="auto"/>
              <w:jc w:val="center"/>
              <w:textAlignment w:val="center"/>
              <w:rPr>
                <w:rFonts w:ascii="宋体" w:hAnsi="宋体" w:cs="宋体"/>
                <w:color w:val="auto"/>
                <w:sz w:val="21"/>
                <w:szCs w:val="21"/>
                <w:lang w:bidi="ar"/>
              </w:rPr>
            </w:pPr>
            <w:r>
              <w:rPr>
                <w:rFonts w:hint="eastAsia" w:ascii="宋体" w:hAnsi="宋体" w:cs="宋体"/>
                <w:color w:val="auto"/>
                <w:sz w:val="21"/>
                <w:szCs w:val="21"/>
                <w:lang w:bidi="ar"/>
              </w:rPr>
              <w:t>投标报价</w:t>
            </w:r>
          </w:p>
        </w:tc>
        <w:tc>
          <w:tcPr>
            <w:tcW w:w="1019" w:type="dxa"/>
            <w:vAlign w:val="center"/>
          </w:tcPr>
          <w:p>
            <w:pPr>
              <w:widowControl/>
              <w:spacing w:line="360" w:lineRule="auto"/>
              <w:jc w:val="center"/>
              <w:textAlignment w:val="center"/>
              <w:rPr>
                <w:rFonts w:ascii="宋体" w:hAnsi="宋体" w:cs="宋体"/>
                <w:color w:val="auto"/>
                <w:sz w:val="21"/>
                <w:szCs w:val="21"/>
                <w:lang w:bidi="ar"/>
              </w:rPr>
            </w:pPr>
            <w:r>
              <w:rPr>
                <w:rFonts w:hint="eastAsia" w:ascii="宋体" w:hAnsi="宋体" w:cs="宋体"/>
                <w:color w:val="auto"/>
                <w:sz w:val="21"/>
                <w:szCs w:val="21"/>
                <w:lang w:val="en-US" w:eastAsia="zh-CN" w:bidi="ar"/>
              </w:rPr>
              <w:t>50</w:t>
            </w:r>
            <w:r>
              <w:rPr>
                <w:rFonts w:hint="eastAsia" w:ascii="宋体" w:hAnsi="宋体" w:cs="宋体"/>
                <w:color w:val="auto"/>
                <w:sz w:val="21"/>
                <w:szCs w:val="21"/>
                <w:lang w:bidi="ar"/>
              </w:rPr>
              <w:t>分</w:t>
            </w:r>
          </w:p>
        </w:tc>
        <w:tc>
          <w:tcPr>
            <w:tcW w:w="6996" w:type="dxa"/>
            <w:vAlign w:val="center"/>
          </w:tcPr>
          <w:p>
            <w:pPr>
              <w:pStyle w:val="12"/>
              <w:keepNext w:val="0"/>
              <w:keepLines w:val="0"/>
              <w:pageBreakBefore w:val="0"/>
              <w:numPr>
                <w:ilvl w:val="0"/>
                <w:numId w:val="2"/>
              </w:numPr>
              <w:kinsoku/>
              <w:wordWrap/>
              <w:overflowPunct/>
              <w:topLinePunct w:val="0"/>
              <w:autoSpaceDE/>
              <w:autoSpaceDN/>
              <w:bidi w:val="0"/>
              <w:snapToGrid/>
              <w:spacing w:line="380" w:lineRule="exact"/>
              <w:ind w:left="0" w:leftChars="0" w:right="33" w:rightChars="0"/>
              <w:rPr>
                <w:rFonts w:hint="eastAsia" w:ascii="宋体" w:hAnsi="宋体" w:cs="宋体"/>
                <w:b w:val="0"/>
                <w:bCs w:val="0"/>
                <w:color w:val="auto"/>
                <w:sz w:val="21"/>
                <w:szCs w:val="21"/>
              </w:rPr>
            </w:pPr>
            <w:r>
              <w:rPr>
                <w:rFonts w:hint="eastAsia" w:ascii="宋体" w:hAnsi="宋体" w:cs="宋体"/>
                <w:b w:val="0"/>
                <w:bCs w:val="0"/>
                <w:color w:val="auto"/>
                <w:sz w:val="21"/>
                <w:szCs w:val="21"/>
              </w:rPr>
              <w:t>评标基准价为所有效投标报价（通过初步评审）的平均值，投标报价等于评标基准价的得</w:t>
            </w:r>
            <w:r>
              <w:rPr>
                <w:rFonts w:hint="eastAsia" w:ascii="宋体" w:hAnsi="宋体" w:cs="宋体"/>
                <w:b w:val="0"/>
                <w:bCs w:val="0"/>
                <w:color w:val="auto"/>
                <w:sz w:val="21"/>
                <w:szCs w:val="21"/>
                <w:lang w:val="en-US" w:eastAsia="zh-CN"/>
              </w:rPr>
              <w:t>50</w:t>
            </w:r>
            <w:r>
              <w:rPr>
                <w:rFonts w:hint="eastAsia" w:ascii="宋体" w:hAnsi="宋体" w:cs="宋体"/>
                <w:b w:val="0"/>
                <w:bCs w:val="0"/>
                <w:color w:val="auto"/>
                <w:sz w:val="21"/>
                <w:szCs w:val="21"/>
              </w:rPr>
              <w:t>分，投标报价低于评标基准价1%扣0.3分，投标</w:t>
            </w:r>
            <w:r>
              <w:rPr>
                <w:rFonts w:hint="eastAsia" w:ascii="宋体" w:hAnsi="宋体" w:cs="宋体"/>
                <w:b w:val="0"/>
                <w:bCs w:val="0"/>
                <w:color w:val="0000FF"/>
                <w:sz w:val="21"/>
                <w:szCs w:val="21"/>
              </w:rPr>
              <w:t>基准价</w:t>
            </w:r>
            <w:r>
              <w:rPr>
                <w:rFonts w:hint="eastAsia" w:ascii="宋体" w:hAnsi="宋体" w:cs="宋体"/>
                <w:b w:val="0"/>
                <w:bCs w:val="0"/>
                <w:color w:val="auto"/>
                <w:sz w:val="21"/>
                <w:szCs w:val="21"/>
              </w:rPr>
              <w:t>高于评标基准价1%扣0.6分，不足1%的按插入法计算。</w:t>
            </w:r>
          </w:p>
          <w:p>
            <w:pPr>
              <w:pStyle w:val="12"/>
              <w:keepNext w:val="0"/>
              <w:keepLines w:val="0"/>
              <w:pageBreakBefore w:val="0"/>
              <w:numPr>
                <w:ilvl w:val="0"/>
                <w:numId w:val="0"/>
              </w:numPr>
              <w:kinsoku/>
              <w:wordWrap/>
              <w:overflowPunct/>
              <w:topLinePunct w:val="0"/>
              <w:autoSpaceDE/>
              <w:autoSpaceDN/>
              <w:bidi w:val="0"/>
              <w:snapToGrid/>
              <w:spacing w:line="380" w:lineRule="exact"/>
              <w:ind w:right="33" w:rightChars="0"/>
              <w:rPr>
                <w:rFonts w:hint="eastAsia" w:ascii="宋体" w:hAnsi="宋体" w:cs="宋体"/>
                <w:b w:val="0"/>
                <w:bCs w:val="0"/>
                <w:color w:val="auto"/>
                <w:sz w:val="21"/>
                <w:szCs w:val="21"/>
              </w:rPr>
            </w:pPr>
            <w:r>
              <w:rPr>
                <w:rFonts w:hint="eastAsia" w:ascii="宋体" w:hAnsi="宋体" w:cs="宋体"/>
                <w:b w:val="0"/>
                <w:bCs w:val="0"/>
                <w:color w:val="auto"/>
                <w:sz w:val="21"/>
                <w:szCs w:val="21"/>
              </w:rPr>
              <w:t>上述评标基准值一经确定，评标委员会在评标报告上签字后，评标基准价不因招投标当事人质疑、投诉、复议以及其它任何情形而改变，但评标过程中的计算错误可作调整。</w:t>
            </w:r>
          </w:p>
          <w:p>
            <w:pPr>
              <w:pStyle w:val="12"/>
              <w:keepNext w:val="0"/>
              <w:keepLines w:val="0"/>
              <w:pageBreakBefore w:val="0"/>
              <w:kinsoku/>
              <w:wordWrap/>
              <w:overflowPunct/>
              <w:topLinePunct w:val="0"/>
              <w:autoSpaceDE/>
              <w:autoSpaceDN/>
              <w:bidi w:val="0"/>
              <w:snapToGrid/>
              <w:spacing w:line="380" w:lineRule="exact"/>
              <w:ind w:left="0" w:leftChars="0" w:right="33" w:rightChars="0"/>
              <w:rPr>
                <w:rFonts w:ascii="宋体" w:hAnsi="宋体" w:cs="宋体"/>
                <w:b/>
                <w:bCs/>
                <w:color w:val="auto"/>
                <w:sz w:val="21"/>
                <w:szCs w:val="21"/>
              </w:rPr>
            </w:pPr>
            <w:r>
              <w:rPr>
                <w:rFonts w:hint="eastAsia" w:ascii="宋体" w:hAnsi="宋体" w:cs="宋体"/>
                <w:b w:val="0"/>
                <w:bCs w:val="0"/>
                <w:color w:val="auto"/>
                <w:sz w:val="21"/>
                <w:szCs w:val="21"/>
              </w:rPr>
              <w:t>注意：评标委员会认为投标人的报价明显低于其他</w:t>
            </w:r>
            <w:bookmarkStart w:id="454" w:name="_GoBack"/>
            <w:bookmarkEnd w:id="454"/>
            <w:r>
              <w:rPr>
                <w:rFonts w:hint="eastAsia" w:ascii="宋体" w:hAnsi="宋体" w:cs="宋体"/>
                <w:b w:val="0"/>
                <w:bCs w:val="0"/>
                <w:color w:val="auto"/>
                <w:sz w:val="21"/>
                <w:szCs w:val="21"/>
              </w:rPr>
              <w:t>通过</w:t>
            </w:r>
            <w:r>
              <w:rPr>
                <w:rFonts w:hint="eastAsia" w:ascii="宋体" w:hAnsi="宋体" w:cs="宋体"/>
                <w:b w:val="0"/>
                <w:bCs w:val="0"/>
                <w:color w:val="auto"/>
                <w:sz w:val="21"/>
                <w:szCs w:val="21"/>
                <w:lang w:val="en-US" w:eastAsia="zh-CN"/>
              </w:rPr>
              <w:t>初步</w:t>
            </w:r>
            <w:r>
              <w:rPr>
                <w:rFonts w:hint="eastAsia" w:ascii="宋体" w:hAnsi="宋体" w:cs="宋体"/>
                <w:b w:val="0"/>
                <w:bCs w:val="0"/>
                <w:color w:val="auto"/>
                <w:sz w:val="21"/>
                <w:szCs w:val="21"/>
              </w:rPr>
              <w:t>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594" w:type="dxa"/>
            <w:vMerge w:val="restart"/>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服务</w:t>
            </w:r>
          </w:p>
          <w:p>
            <w:pPr>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 xml:space="preserve">方案       </w:t>
            </w:r>
          </w:p>
        </w:tc>
        <w:tc>
          <w:tcPr>
            <w:tcW w:w="1019" w:type="dxa"/>
            <w:vAlign w:val="center"/>
          </w:tcPr>
          <w:p>
            <w:pPr>
              <w:widowControl/>
              <w:jc w:val="center"/>
              <w:rPr>
                <w:rFonts w:ascii="宋体" w:hAnsi="宋体" w:cs="宋体"/>
                <w:color w:val="auto"/>
                <w:sz w:val="21"/>
                <w:szCs w:val="21"/>
              </w:rPr>
            </w:pPr>
            <w:r>
              <w:rPr>
                <w:rFonts w:hint="eastAsia" w:ascii="宋体" w:hAnsi="宋体" w:cs="宋体"/>
                <w:color w:val="auto"/>
                <w:szCs w:val="21"/>
                <w:lang w:val="en-US" w:eastAsia="zh-CN"/>
              </w:rPr>
              <w:t xml:space="preserve">运维  </w:t>
            </w:r>
            <w:r>
              <w:rPr>
                <w:rFonts w:hint="eastAsia" w:ascii="宋体" w:hAnsi="宋体" w:cs="宋体"/>
                <w:color w:val="auto"/>
                <w:szCs w:val="21"/>
              </w:rPr>
              <w:t>实施</w:t>
            </w:r>
            <w:r>
              <w:rPr>
                <w:rFonts w:hint="eastAsia" w:ascii="宋体" w:hAnsi="宋体" w:cs="宋体"/>
                <w:color w:val="auto"/>
                <w:szCs w:val="21"/>
                <w:lang w:val="en-US" w:eastAsia="zh-CN"/>
              </w:rPr>
              <w:t xml:space="preserve">  </w:t>
            </w:r>
            <w:r>
              <w:rPr>
                <w:rFonts w:hint="eastAsia" w:ascii="宋体" w:hAnsi="宋体" w:cs="宋体"/>
                <w:color w:val="auto"/>
                <w:szCs w:val="21"/>
              </w:rPr>
              <w:t>方案</w:t>
            </w:r>
            <w:r>
              <w:rPr>
                <w:rFonts w:hint="eastAsia" w:ascii="宋体" w:hAnsi="宋体" w:cs="宋体"/>
                <w:color w:val="auto"/>
                <w:szCs w:val="21"/>
                <w:lang w:val="en-US" w:eastAsia="zh-CN"/>
              </w:rPr>
              <w:t xml:space="preserve"> </w:t>
            </w: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分）</w:t>
            </w:r>
          </w:p>
        </w:tc>
        <w:tc>
          <w:tcPr>
            <w:tcW w:w="699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 w:val="21"/>
                <w:szCs w:val="21"/>
              </w:rPr>
            </w:pPr>
            <w:r>
              <w:rPr>
                <w:rFonts w:hint="eastAsia" w:ascii="宋体" w:hAnsi="宋体" w:cs="宋体"/>
                <w:color w:val="auto"/>
                <w:sz w:val="21"/>
                <w:szCs w:val="21"/>
              </w:rPr>
              <w:t>根据投标人提供的运维实施方案（服务内容、人员配备、运维方案等）进行综合评分，方案内容完整、全面、具体、合理、切实可行的得1</w:t>
            </w:r>
            <w:r>
              <w:rPr>
                <w:rFonts w:hint="eastAsia" w:ascii="宋体" w:hAnsi="宋体" w:cs="宋体"/>
                <w:color w:val="auto"/>
                <w:sz w:val="21"/>
                <w:szCs w:val="21"/>
                <w:lang w:val="en-US" w:eastAsia="zh-CN"/>
              </w:rPr>
              <w:t>1.00</w:t>
            </w:r>
            <w:r>
              <w:rPr>
                <w:rFonts w:hint="eastAsia" w:ascii="宋体" w:hAnsi="宋体" w:cs="宋体"/>
                <w:color w:val="auto"/>
                <w:sz w:val="21"/>
                <w:szCs w:val="21"/>
              </w:rPr>
              <w:t>-</w:t>
            </w:r>
            <w:r>
              <w:rPr>
                <w:rFonts w:hint="eastAsia" w:ascii="宋体" w:hAnsi="宋体" w:cs="宋体"/>
                <w:color w:val="auto"/>
                <w:sz w:val="21"/>
                <w:szCs w:val="21"/>
                <w:lang w:val="en-US" w:eastAsia="zh-CN"/>
              </w:rPr>
              <w:t>7.00</w:t>
            </w:r>
            <w:r>
              <w:rPr>
                <w:rFonts w:hint="eastAsia" w:ascii="宋体" w:hAnsi="宋体" w:cs="宋体"/>
                <w:color w:val="auto"/>
                <w:sz w:val="21"/>
                <w:szCs w:val="21"/>
              </w:rPr>
              <w:t>分；内容一般、基本合理可行的得</w:t>
            </w:r>
            <w:r>
              <w:rPr>
                <w:rFonts w:hint="eastAsia" w:ascii="宋体" w:hAnsi="宋体" w:cs="宋体"/>
                <w:color w:val="auto"/>
                <w:sz w:val="21"/>
                <w:szCs w:val="21"/>
                <w:lang w:val="en-US" w:eastAsia="zh-CN"/>
              </w:rPr>
              <w:t>6.99</w:t>
            </w:r>
            <w:r>
              <w:rPr>
                <w:rFonts w:hint="eastAsia" w:ascii="宋体" w:hAnsi="宋体" w:cs="宋体"/>
                <w:color w:val="auto"/>
                <w:sz w:val="21"/>
                <w:szCs w:val="21"/>
              </w:rPr>
              <w:t>-</w:t>
            </w:r>
            <w:r>
              <w:rPr>
                <w:rFonts w:hint="eastAsia" w:ascii="宋体" w:hAnsi="宋体" w:cs="宋体"/>
                <w:color w:val="auto"/>
                <w:sz w:val="21"/>
                <w:szCs w:val="21"/>
                <w:lang w:val="en-US" w:eastAsia="zh-CN"/>
              </w:rPr>
              <w:t>4.0</w:t>
            </w:r>
            <w:r>
              <w:rPr>
                <w:rFonts w:hint="eastAsia" w:ascii="宋体" w:hAnsi="宋体" w:cs="宋体"/>
                <w:color w:val="auto"/>
                <w:sz w:val="21"/>
                <w:szCs w:val="21"/>
              </w:rPr>
              <w:t>分；内容差、欠妥、缺失的得</w:t>
            </w:r>
            <w:r>
              <w:rPr>
                <w:rFonts w:hint="eastAsia" w:ascii="宋体" w:hAnsi="宋体" w:cs="宋体"/>
                <w:color w:val="auto"/>
                <w:sz w:val="21"/>
                <w:szCs w:val="21"/>
                <w:lang w:val="en-US" w:eastAsia="zh-CN"/>
              </w:rPr>
              <w:t>3.99</w:t>
            </w:r>
            <w:r>
              <w:rPr>
                <w:rFonts w:hint="eastAsia" w:ascii="宋体" w:hAnsi="宋体" w:cs="宋体"/>
                <w:color w:val="auto"/>
                <w:sz w:val="21"/>
                <w:szCs w:val="21"/>
              </w:rPr>
              <w:t>-0.01分；</w:t>
            </w:r>
            <w:r>
              <w:rPr>
                <w:rFonts w:hint="eastAsia" w:ascii="宋体" w:hAnsi="宋体" w:cs="宋体"/>
                <w:color w:val="auto"/>
                <w:sz w:val="21"/>
                <w:szCs w:val="21"/>
                <w:lang w:val="en-US" w:eastAsia="zh-CN"/>
              </w:rPr>
              <w:t>未提供不得分；</w:t>
            </w:r>
            <w:r>
              <w:rPr>
                <w:rFonts w:hint="eastAsia" w:ascii="宋体" w:hAnsi="宋体" w:cs="宋体"/>
                <w:color w:val="auto"/>
                <w:sz w:val="21"/>
                <w:szCs w:val="21"/>
              </w:rPr>
              <w:t>以0.01分为一个计分单位。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594" w:type="dxa"/>
            <w:vMerge w:val="continue"/>
            <w:vAlign w:val="center"/>
          </w:tcPr>
          <w:p>
            <w:pPr>
              <w:jc w:val="center"/>
              <w:textAlignment w:val="center"/>
              <w:rPr>
                <w:rFonts w:hint="eastAsia" w:ascii="宋体" w:hAnsi="宋体" w:cs="宋体"/>
                <w:color w:val="auto"/>
                <w:sz w:val="21"/>
                <w:szCs w:val="21"/>
                <w:lang w:val="en-US" w:eastAsia="zh-CN"/>
              </w:rPr>
            </w:pPr>
          </w:p>
        </w:tc>
        <w:tc>
          <w:tcPr>
            <w:tcW w:w="1019" w:type="dxa"/>
            <w:vAlign w:val="center"/>
          </w:tcPr>
          <w:p>
            <w:pPr>
              <w:widowControl/>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 xml:space="preserve">应急  预案 </w:t>
            </w:r>
          </w:p>
          <w:p>
            <w:pPr>
              <w:widowControl/>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w:t>
            </w:r>
            <w:r>
              <w:rPr>
                <w:rFonts w:hint="eastAsia" w:ascii="宋体" w:hAnsi="宋体" w:cs="宋体"/>
                <w:color w:val="auto"/>
                <w:sz w:val="21"/>
                <w:szCs w:val="21"/>
                <w:lang w:val="en-US" w:eastAsia="zh-CN" w:bidi="ar"/>
              </w:rPr>
              <w:t>8</w:t>
            </w:r>
            <w:r>
              <w:rPr>
                <w:rFonts w:hint="eastAsia" w:ascii="宋体" w:hAnsi="宋体" w:eastAsia="宋体" w:cs="宋体"/>
                <w:color w:val="auto"/>
                <w:sz w:val="21"/>
                <w:szCs w:val="21"/>
                <w:lang w:val="en-US" w:eastAsia="zh-CN" w:bidi="ar"/>
              </w:rPr>
              <w:t>分）</w:t>
            </w:r>
          </w:p>
        </w:tc>
        <w:tc>
          <w:tcPr>
            <w:tcW w:w="699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 w:val="21"/>
                <w:szCs w:val="21"/>
              </w:rPr>
            </w:pPr>
            <w:r>
              <w:rPr>
                <w:rFonts w:hint="eastAsia" w:ascii="宋体" w:hAnsi="宋体" w:cs="宋体"/>
                <w:color w:val="auto"/>
                <w:sz w:val="21"/>
                <w:szCs w:val="21"/>
              </w:rPr>
              <w:t>投标人针对本项目提供应急方案、突发事件的预警及处理方案（管道暖管、第三方施工监护、一般性维修、24小时监控管网运行状态等）进行综合评分，方案内容完整、全面、具体、合理、切实可行的得</w:t>
            </w:r>
            <w:r>
              <w:rPr>
                <w:rFonts w:hint="eastAsia" w:ascii="宋体" w:hAnsi="宋体" w:cs="宋体"/>
                <w:color w:val="auto"/>
                <w:sz w:val="21"/>
                <w:szCs w:val="21"/>
                <w:lang w:val="en-US" w:eastAsia="zh-CN"/>
              </w:rPr>
              <w:t>8.00</w:t>
            </w:r>
            <w:r>
              <w:rPr>
                <w:rFonts w:ascii="宋体" w:hAnsi="宋体" w:cs="宋体"/>
                <w:color w:val="auto"/>
                <w:sz w:val="21"/>
                <w:szCs w:val="21"/>
              </w:rPr>
              <w:t>-</w:t>
            </w:r>
            <w:r>
              <w:rPr>
                <w:rFonts w:hint="eastAsia" w:ascii="宋体" w:hAnsi="宋体" w:cs="宋体"/>
                <w:color w:val="auto"/>
                <w:sz w:val="21"/>
                <w:szCs w:val="21"/>
                <w:lang w:val="en-US" w:eastAsia="zh-CN"/>
              </w:rPr>
              <w:t>6.00</w:t>
            </w:r>
            <w:r>
              <w:rPr>
                <w:rFonts w:hint="eastAsia" w:ascii="宋体" w:hAnsi="宋体" w:cs="宋体"/>
                <w:color w:val="auto"/>
                <w:sz w:val="21"/>
                <w:szCs w:val="21"/>
              </w:rPr>
              <w:t>分；内容一般、基本合理可行的得</w:t>
            </w:r>
            <w:r>
              <w:rPr>
                <w:rFonts w:hint="eastAsia" w:ascii="宋体" w:hAnsi="宋体" w:cs="宋体"/>
                <w:color w:val="auto"/>
                <w:sz w:val="21"/>
                <w:szCs w:val="21"/>
                <w:lang w:val="en-US" w:eastAsia="zh-CN"/>
              </w:rPr>
              <w:t>5.99</w:t>
            </w:r>
            <w:r>
              <w:rPr>
                <w:rFonts w:ascii="宋体" w:hAnsi="宋体" w:cs="宋体"/>
                <w:color w:val="auto"/>
                <w:sz w:val="21"/>
                <w:szCs w:val="21"/>
              </w:rPr>
              <w:t>-</w:t>
            </w:r>
            <w:r>
              <w:rPr>
                <w:rFonts w:hint="eastAsia" w:ascii="宋体" w:hAnsi="宋体" w:cs="宋体"/>
                <w:color w:val="auto"/>
                <w:sz w:val="21"/>
                <w:szCs w:val="21"/>
                <w:lang w:val="en-US" w:eastAsia="zh-CN"/>
              </w:rPr>
              <w:t>4.00</w:t>
            </w:r>
            <w:r>
              <w:rPr>
                <w:rFonts w:hint="eastAsia" w:ascii="宋体" w:hAnsi="宋体" w:cs="宋体"/>
                <w:color w:val="auto"/>
                <w:sz w:val="21"/>
                <w:szCs w:val="21"/>
              </w:rPr>
              <w:t>分；内容差、欠妥、缺失的得</w:t>
            </w:r>
            <w:r>
              <w:rPr>
                <w:rFonts w:hint="eastAsia" w:ascii="宋体" w:hAnsi="宋体" w:cs="宋体"/>
                <w:color w:val="auto"/>
                <w:sz w:val="21"/>
                <w:szCs w:val="21"/>
                <w:lang w:val="en-US" w:eastAsia="zh-CN"/>
              </w:rPr>
              <w:t>3.99</w:t>
            </w:r>
            <w:r>
              <w:rPr>
                <w:rFonts w:hint="eastAsia" w:ascii="宋体" w:hAnsi="宋体" w:cs="宋体"/>
                <w:color w:val="auto"/>
                <w:sz w:val="21"/>
                <w:szCs w:val="21"/>
              </w:rPr>
              <w:t>-0.01分；</w:t>
            </w:r>
            <w:r>
              <w:rPr>
                <w:rFonts w:hint="eastAsia" w:ascii="宋体" w:hAnsi="宋体" w:cs="宋体"/>
                <w:color w:val="auto"/>
                <w:sz w:val="21"/>
                <w:szCs w:val="21"/>
                <w:lang w:val="en-US" w:eastAsia="zh-CN"/>
              </w:rPr>
              <w:t>未提供不得分；</w:t>
            </w:r>
            <w:r>
              <w:rPr>
                <w:rFonts w:hint="eastAsia" w:ascii="宋体" w:hAnsi="宋体" w:cs="宋体"/>
                <w:color w:val="auto"/>
                <w:sz w:val="21"/>
                <w:szCs w:val="21"/>
              </w:rPr>
              <w:t>以0.01分为一个计分单位。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594" w:type="dxa"/>
            <w:vMerge w:val="continue"/>
            <w:vAlign w:val="center"/>
          </w:tcPr>
          <w:p>
            <w:pPr>
              <w:jc w:val="center"/>
              <w:textAlignment w:val="center"/>
              <w:rPr>
                <w:rFonts w:hint="eastAsia" w:ascii="宋体" w:hAnsi="宋体" w:cs="宋体"/>
                <w:color w:val="auto"/>
                <w:sz w:val="21"/>
                <w:szCs w:val="21"/>
                <w:lang w:val="en-US" w:eastAsia="zh-CN"/>
              </w:rPr>
            </w:pPr>
          </w:p>
        </w:tc>
        <w:tc>
          <w:tcPr>
            <w:tcW w:w="1019" w:type="dxa"/>
            <w:vAlign w:val="center"/>
          </w:tcPr>
          <w:p>
            <w:pPr>
              <w:widowControl/>
              <w:jc w:val="center"/>
              <w:rPr>
                <w:rFonts w:hint="eastAsia" w:ascii="宋体" w:hAnsi="宋体" w:cs="宋体"/>
                <w:color w:val="auto"/>
                <w:szCs w:val="21"/>
              </w:rPr>
            </w:pPr>
            <w:r>
              <w:rPr>
                <w:rFonts w:hint="eastAsia" w:ascii="宋体" w:hAnsi="宋体" w:cs="宋体"/>
                <w:color w:val="auto"/>
                <w:szCs w:val="21"/>
              </w:rPr>
              <w:t>交接</w:t>
            </w:r>
            <w:r>
              <w:rPr>
                <w:rFonts w:hint="eastAsia" w:ascii="宋体" w:hAnsi="宋体" w:cs="宋体"/>
                <w:color w:val="auto"/>
                <w:szCs w:val="21"/>
                <w:lang w:val="en-US" w:eastAsia="zh-CN"/>
              </w:rPr>
              <w:t xml:space="preserve">  </w:t>
            </w:r>
            <w:r>
              <w:rPr>
                <w:rFonts w:hint="eastAsia" w:ascii="宋体" w:hAnsi="宋体" w:cs="宋体"/>
                <w:color w:val="auto"/>
                <w:szCs w:val="21"/>
              </w:rPr>
              <w:t>方案</w:t>
            </w:r>
          </w:p>
          <w:p>
            <w:pPr>
              <w:widowControl/>
              <w:jc w:val="center"/>
              <w:rPr>
                <w:rFonts w:hint="eastAsia" w:ascii="宋体" w:hAnsi="宋体" w:eastAsia="宋体" w:cs="宋体"/>
                <w:color w:val="auto"/>
                <w:sz w:val="21"/>
                <w:szCs w:val="21"/>
                <w:lang w:val="en-US" w:eastAsia="zh-CN" w:bidi="ar"/>
              </w:rPr>
            </w:pPr>
            <w:r>
              <w:rPr>
                <w:rFonts w:hint="eastAsia" w:ascii="宋体" w:hAnsi="宋体" w:cs="宋体"/>
                <w:color w:val="auto"/>
                <w:szCs w:val="21"/>
                <w:lang w:val="en-US" w:eastAsia="zh-CN"/>
              </w:rPr>
              <w:t xml:space="preserve"> </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分）</w:t>
            </w:r>
          </w:p>
        </w:tc>
        <w:tc>
          <w:tcPr>
            <w:tcW w:w="699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 w:val="21"/>
                <w:szCs w:val="21"/>
              </w:rPr>
            </w:pPr>
            <w:r>
              <w:rPr>
                <w:rFonts w:hint="eastAsia" w:ascii="宋体" w:hAnsi="宋体" w:cs="宋体"/>
                <w:color w:val="auto"/>
                <w:sz w:val="21"/>
                <w:szCs w:val="21"/>
              </w:rPr>
              <w:t>根据投标人提供的交接实施方案（时间人员安排、职责分工、交接内容、交接流程等）进行综合评分，方案完整、全面、具体、合理、切实可行的得</w:t>
            </w:r>
            <w:r>
              <w:rPr>
                <w:rFonts w:hint="eastAsia" w:ascii="宋体" w:hAnsi="宋体" w:cs="宋体"/>
                <w:color w:val="auto"/>
                <w:sz w:val="21"/>
                <w:szCs w:val="21"/>
                <w:lang w:val="en-US" w:eastAsia="zh-CN"/>
              </w:rPr>
              <w:t>8.00</w:t>
            </w:r>
            <w:r>
              <w:rPr>
                <w:rFonts w:hint="eastAsia" w:ascii="宋体" w:hAnsi="宋体" w:cs="宋体"/>
                <w:color w:val="auto"/>
                <w:sz w:val="21"/>
                <w:szCs w:val="21"/>
              </w:rPr>
              <w:t>-</w:t>
            </w:r>
            <w:r>
              <w:rPr>
                <w:rFonts w:hint="eastAsia" w:ascii="宋体" w:hAnsi="宋体" w:cs="宋体"/>
                <w:color w:val="auto"/>
                <w:sz w:val="21"/>
                <w:szCs w:val="21"/>
                <w:lang w:val="en-US" w:eastAsia="zh-CN"/>
              </w:rPr>
              <w:t>6.00</w:t>
            </w:r>
            <w:r>
              <w:rPr>
                <w:rFonts w:hint="eastAsia" w:ascii="宋体" w:hAnsi="宋体" w:cs="宋体"/>
                <w:color w:val="auto"/>
                <w:sz w:val="21"/>
                <w:szCs w:val="21"/>
              </w:rPr>
              <w:t>分分；内容一般、基本合理可行的得</w:t>
            </w:r>
            <w:r>
              <w:rPr>
                <w:rFonts w:hint="eastAsia" w:ascii="宋体" w:hAnsi="宋体" w:cs="宋体"/>
                <w:color w:val="auto"/>
                <w:sz w:val="21"/>
                <w:szCs w:val="21"/>
                <w:lang w:val="en-US" w:eastAsia="zh-CN"/>
              </w:rPr>
              <w:t>5.99</w:t>
            </w:r>
            <w:r>
              <w:rPr>
                <w:rFonts w:hint="eastAsia" w:ascii="宋体" w:hAnsi="宋体" w:cs="宋体"/>
                <w:color w:val="auto"/>
                <w:sz w:val="21"/>
                <w:szCs w:val="21"/>
              </w:rPr>
              <w:t>-</w:t>
            </w:r>
            <w:r>
              <w:rPr>
                <w:rFonts w:hint="eastAsia" w:ascii="宋体" w:hAnsi="宋体" w:cs="宋体"/>
                <w:color w:val="auto"/>
                <w:sz w:val="21"/>
                <w:szCs w:val="21"/>
                <w:lang w:val="en-US" w:eastAsia="zh-CN"/>
              </w:rPr>
              <w:t>4</w:t>
            </w:r>
            <w:r>
              <w:rPr>
                <w:rFonts w:hint="eastAsia" w:ascii="宋体" w:hAnsi="宋体" w:cs="宋体"/>
                <w:color w:val="auto"/>
                <w:sz w:val="21"/>
                <w:szCs w:val="21"/>
              </w:rPr>
              <w:t>.0</w:t>
            </w:r>
            <w:r>
              <w:rPr>
                <w:rFonts w:hint="eastAsia" w:ascii="宋体" w:hAnsi="宋体" w:cs="宋体"/>
                <w:color w:val="auto"/>
                <w:sz w:val="21"/>
                <w:szCs w:val="21"/>
                <w:lang w:val="en-US" w:eastAsia="zh-CN"/>
              </w:rPr>
              <w:t>0</w:t>
            </w:r>
            <w:r>
              <w:rPr>
                <w:rFonts w:hint="eastAsia" w:ascii="宋体" w:hAnsi="宋体" w:cs="宋体"/>
                <w:color w:val="auto"/>
                <w:sz w:val="21"/>
                <w:szCs w:val="21"/>
              </w:rPr>
              <w:t>分；内容差、欠妥、缺失的得</w:t>
            </w:r>
            <w:r>
              <w:rPr>
                <w:rFonts w:hint="eastAsia" w:ascii="宋体" w:hAnsi="宋体" w:cs="宋体"/>
                <w:color w:val="auto"/>
                <w:sz w:val="21"/>
                <w:szCs w:val="21"/>
                <w:lang w:val="en-US" w:eastAsia="zh-CN"/>
              </w:rPr>
              <w:t>3.99</w:t>
            </w:r>
            <w:r>
              <w:rPr>
                <w:rFonts w:hint="eastAsia" w:ascii="宋体" w:hAnsi="宋体" w:cs="宋体"/>
                <w:color w:val="auto"/>
                <w:sz w:val="21"/>
                <w:szCs w:val="21"/>
              </w:rPr>
              <w:t>-0.01分；</w:t>
            </w:r>
            <w:r>
              <w:rPr>
                <w:rFonts w:hint="eastAsia" w:ascii="宋体" w:hAnsi="宋体" w:cs="宋体"/>
                <w:color w:val="auto"/>
                <w:sz w:val="21"/>
                <w:szCs w:val="21"/>
                <w:lang w:val="en-US" w:eastAsia="zh-CN"/>
              </w:rPr>
              <w:t>未提供不得分；</w:t>
            </w:r>
            <w:r>
              <w:rPr>
                <w:rFonts w:hint="eastAsia" w:ascii="宋体" w:hAnsi="宋体" w:cs="宋体"/>
                <w:color w:val="auto"/>
                <w:sz w:val="21"/>
                <w:szCs w:val="21"/>
              </w:rPr>
              <w:t>以0.01分为一个计分单位。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594" w:type="dxa"/>
            <w:vMerge w:val="continue"/>
            <w:vAlign w:val="center"/>
          </w:tcPr>
          <w:p>
            <w:pPr>
              <w:jc w:val="center"/>
              <w:textAlignment w:val="center"/>
              <w:rPr>
                <w:rFonts w:hint="eastAsia" w:ascii="宋体" w:hAnsi="宋体" w:cs="宋体"/>
                <w:color w:val="auto"/>
                <w:sz w:val="21"/>
                <w:szCs w:val="21"/>
                <w:lang w:val="en-US" w:eastAsia="zh-CN"/>
              </w:rPr>
            </w:pPr>
          </w:p>
        </w:tc>
        <w:tc>
          <w:tcPr>
            <w:tcW w:w="1019" w:type="dxa"/>
            <w:vAlign w:val="center"/>
          </w:tcPr>
          <w:p>
            <w:pPr>
              <w:widowControl/>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保证</w:t>
            </w:r>
          </w:p>
          <w:p>
            <w:pPr>
              <w:widowControl/>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 xml:space="preserve">措施 </w:t>
            </w:r>
          </w:p>
          <w:p>
            <w:pPr>
              <w:widowControl/>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w:t>
            </w:r>
            <w:r>
              <w:rPr>
                <w:rFonts w:hint="eastAsia" w:ascii="宋体" w:hAnsi="宋体" w:cs="宋体"/>
                <w:color w:val="auto"/>
                <w:sz w:val="21"/>
                <w:szCs w:val="21"/>
                <w:lang w:val="en-US" w:eastAsia="zh-CN" w:bidi="ar"/>
              </w:rPr>
              <w:t>8</w:t>
            </w:r>
            <w:r>
              <w:rPr>
                <w:rFonts w:hint="eastAsia" w:ascii="宋体" w:hAnsi="宋体" w:eastAsia="宋体" w:cs="宋体"/>
                <w:color w:val="auto"/>
                <w:sz w:val="21"/>
                <w:szCs w:val="21"/>
                <w:lang w:val="en-US" w:eastAsia="zh-CN" w:bidi="ar"/>
              </w:rPr>
              <w:t>分）</w:t>
            </w:r>
          </w:p>
          <w:p>
            <w:pPr>
              <w:widowControl/>
              <w:jc w:val="center"/>
              <w:rPr>
                <w:rFonts w:hint="eastAsia" w:ascii="宋体" w:hAnsi="宋体" w:eastAsia="宋体" w:cs="宋体"/>
                <w:color w:val="auto"/>
                <w:sz w:val="21"/>
                <w:szCs w:val="21"/>
                <w:lang w:val="en-US" w:eastAsia="zh-CN" w:bidi="ar"/>
              </w:rPr>
            </w:pPr>
          </w:p>
        </w:tc>
        <w:tc>
          <w:tcPr>
            <w:tcW w:w="699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 w:val="21"/>
                <w:szCs w:val="21"/>
              </w:rPr>
            </w:pPr>
            <w:r>
              <w:rPr>
                <w:rFonts w:hint="eastAsia" w:ascii="宋体" w:hAnsi="宋体" w:cs="宋体"/>
                <w:color w:val="auto"/>
                <w:sz w:val="21"/>
                <w:szCs w:val="21"/>
              </w:rPr>
              <w:t>根据投标人提供的质量管理措施、现场安全管理措施、设备维修、更换时限等进行综合评分，措施内容完整、全面、具体、合理、切实可行的得</w:t>
            </w:r>
            <w:r>
              <w:rPr>
                <w:rFonts w:hint="eastAsia" w:ascii="宋体" w:hAnsi="宋体" w:cs="宋体"/>
                <w:color w:val="auto"/>
                <w:sz w:val="21"/>
                <w:szCs w:val="21"/>
                <w:lang w:val="en-US" w:eastAsia="zh-CN"/>
              </w:rPr>
              <w:t>8.00</w:t>
            </w:r>
            <w:r>
              <w:rPr>
                <w:rFonts w:hint="eastAsia" w:ascii="宋体" w:hAnsi="宋体" w:cs="宋体"/>
                <w:color w:val="auto"/>
                <w:sz w:val="21"/>
                <w:szCs w:val="21"/>
              </w:rPr>
              <w:t>-</w:t>
            </w:r>
            <w:r>
              <w:rPr>
                <w:rFonts w:hint="eastAsia" w:ascii="宋体" w:hAnsi="宋体" w:cs="宋体"/>
                <w:color w:val="auto"/>
                <w:sz w:val="21"/>
                <w:szCs w:val="21"/>
                <w:lang w:val="en-US" w:eastAsia="zh-CN"/>
              </w:rPr>
              <w:t>6.00</w:t>
            </w:r>
            <w:r>
              <w:rPr>
                <w:rFonts w:hint="eastAsia" w:ascii="宋体" w:hAnsi="宋体" w:cs="宋体"/>
                <w:color w:val="auto"/>
                <w:sz w:val="21"/>
                <w:szCs w:val="21"/>
              </w:rPr>
              <w:t>分；内容一般、基本合理可行的得</w:t>
            </w:r>
            <w:r>
              <w:rPr>
                <w:rFonts w:hint="eastAsia" w:ascii="宋体" w:hAnsi="宋体" w:cs="宋体"/>
                <w:color w:val="auto"/>
                <w:sz w:val="21"/>
                <w:szCs w:val="21"/>
                <w:lang w:val="en-US" w:eastAsia="zh-CN"/>
              </w:rPr>
              <w:t>5.99</w:t>
            </w:r>
            <w:r>
              <w:rPr>
                <w:rFonts w:ascii="宋体" w:hAnsi="宋体" w:cs="宋体"/>
                <w:color w:val="auto"/>
                <w:sz w:val="21"/>
                <w:szCs w:val="21"/>
              </w:rPr>
              <w:t>-</w:t>
            </w:r>
            <w:r>
              <w:rPr>
                <w:rFonts w:hint="eastAsia" w:ascii="宋体" w:hAnsi="宋体" w:cs="宋体"/>
                <w:color w:val="auto"/>
                <w:sz w:val="21"/>
                <w:szCs w:val="21"/>
                <w:lang w:val="en-US" w:eastAsia="zh-CN"/>
              </w:rPr>
              <w:t>4.00</w:t>
            </w:r>
            <w:r>
              <w:rPr>
                <w:rFonts w:hint="eastAsia" w:ascii="宋体" w:hAnsi="宋体" w:cs="宋体"/>
                <w:color w:val="auto"/>
                <w:sz w:val="21"/>
                <w:szCs w:val="21"/>
              </w:rPr>
              <w:t>分；内容差、欠妥、缺失的得</w:t>
            </w:r>
            <w:r>
              <w:rPr>
                <w:rFonts w:hint="eastAsia" w:ascii="宋体" w:hAnsi="宋体" w:cs="宋体"/>
                <w:color w:val="auto"/>
                <w:sz w:val="21"/>
                <w:szCs w:val="21"/>
                <w:lang w:val="en-US" w:eastAsia="zh-CN"/>
              </w:rPr>
              <w:t>3.99</w:t>
            </w:r>
            <w:r>
              <w:rPr>
                <w:rFonts w:hint="eastAsia" w:ascii="宋体" w:hAnsi="宋体" w:cs="宋体"/>
                <w:color w:val="auto"/>
                <w:sz w:val="21"/>
                <w:szCs w:val="21"/>
              </w:rPr>
              <w:t>-0.01分；</w:t>
            </w:r>
            <w:r>
              <w:rPr>
                <w:rFonts w:hint="eastAsia" w:ascii="宋体" w:hAnsi="宋体" w:cs="宋体"/>
                <w:color w:val="auto"/>
                <w:sz w:val="21"/>
                <w:szCs w:val="21"/>
                <w:lang w:val="en-US" w:eastAsia="zh-CN"/>
              </w:rPr>
              <w:t>未提供不得分；</w:t>
            </w:r>
            <w:r>
              <w:rPr>
                <w:rFonts w:hint="eastAsia" w:ascii="宋体" w:hAnsi="宋体" w:cs="宋体"/>
                <w:color w:val="auto"/>
                <w:sz w:val="21"/>
                <w:szCs w:val="21"/>
              </w:rPr>
              <w:t>以0.01分为一个计分单位；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594" w:type="dxa"/>
            <w:vAlign w:val="center"/>
          </w:tcPr>
          <w:p>
            <w:pPr>
              <w:jc w:val="center"/>
              <w:textAlignment w:val="center"/>
              <w:rPr>
                <w:rFonts w:hint="eastAsia" w:ascii="宋体" w:hAnsi="宋体" w:cs="宋体"/>
                <w:color w:val="auto"/>
                <w:sz w:val="21"/>
                <w:szCs w:val="21"/>
                <w:lang w:val="en-US" w:eastAsia="zh-CN"/>
              </w:rPr>
            </w:pPr>
          </w:p>
        </w:tc>
        <w:tc>
          <w:tcPr>
            <w:tcW w:w="1019" w:type="dxa"/>
            <w:vAlign w:val="center"/>
          </w:tcPr>
          <w:p>
            <w:pPr>
              <w:widowControl/>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 xml:space="preserve">合理化建议 </w:t>
            </w:r>
            <w:r>
              <w:rPr>
                <w:rFonts w:hint="eastAsia" w:ascii="宋体" w:hAnsi="宋体" w:cs="宋体"/>
                <w:color w:val="auto"/>
                <w:sz w:val="21"/>
                <w:szCs w:val="21"/>
                <w:lang w:val="en-US" w:eastAsia="zh-CN" w:bidi="ar"/>
              </w:rPr>
              <w:t xml:space="preserve"> </w:t>
            </w:r>
            <w:r>
              <w:rPr>
                <w:rFonts w:hint="eastAsia" w:ascii="宋体" w:hAnsi="宋体" w:eastAsia="宋体" w:cs="宋体"/>
                <w:color w:val="auto"/>
                <w:sz w:val="21"/>
                <w:szCs w:val="21"/>
                <w:lang w:val="en-US" w:eastAsia="zh-CN" w:bidi="ar"/>
              </w:rPr>
              <w:t>（</w:t>
            </w:r>
            <w:r>
              <w:rPr>
                <w:rFonts w:hint="eastAsia" w:ascii="宋体" w:hAnsi="宋体" w:cs="宋体"/>
                <w:color w:val="auto"/>
                <w:sz w:val="21"/>
                <w:szCs w:val="21"/>
                <w:lang w:val="en-US" w:eastAsia="zh-CN" w:bidi="ar"/>
              </w:rPr>
              <w:t>8</w:t>
            </w:r>
            <w:r>
              <w:rPr>
                <w:rFonts w:hint="eastAsia" w:ascii="宋体" w:hAnsi="宋体" w:eastAsia="宋体" w:cs="宋体"/>
                <w:color w:val="auto"/>
                <w:sz w:val="21"/>
                <w:szCs w:val="21"/>
                <w:lang w:val="en-US" w:eastAsia="zh-CN" w:bidi="ar"/>
              </w:rPr>
              <w:t>分）</w:t>
            </w:r>
          </w:p>
        </w:tc>
        <w:tc>
          <w:tcPr>
            <w:tcW w:w="699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cs="宋体"/>
                <w:color w:val="auto"/>
                <w:sz w:val="21"/>
                <w:szCs w:val="21"/>
              </w:rPr>
            </w:pPr>
            <w:r>
              <w:rPr>
                <w:rFonts w:hint="eastAsia" w:ascii="宋体" w:hAnsi="宋体" w:cs="宋体"/>
                <w:color w:val="auto"/>
                <w:sz w:val="21"/>
                <w:szCs w:val="21"/>
              </w:rPr>
              <w:t>根据投标人提供的合理化建议优劣进行综合评分，内容完整、全面、具体、合理、切实可行的得</w:t>
            </w:r>
            <w:r>
              <w:rPr>
                <w:rFonts w:hint="eastAsia" w:ascii="宋体" w:hAnsi="宋体" w:cs="宋体"/>
                <w:color w:val="auto"/>
                <w:sz w:val="21"/>
                <w:szCs w:val="21"/>
                <w:lang w:val="en-US" w:eastAsia="zh-CN"/>
              </w:rPr>
              <w:t>8.00</w:t>
            </w:r>
            <w:r>
              <w:rPr>
                <w:rFonts w:hint="eastAsia" w:ascii="宋体" w:hAnsi="宋体" w:cs="宋体"/>
                <w:color w:val="auto"/>
                <w:sz w:val="21"/>
                <w:szCs w:val="21"/>
              </w:rPr>
              <w:t>-</w:t>
            </w:r>
            <w:r>
              <w:rPr>
                <w:rFonts w:hint="eastAsia" w:ascii="宋体" w:hAnsi="宋体" w:cs="宋体"/>
                <w:color w:val="auto"/>
                <w:sz w:val="21"/>
                <w:szCs w:val="21"/>
                <w:lang w:val="en-US" w:eastAsia="zh-CN"/>
              </w:rPr>
              <w:t>6.00</w:t>
            </w:r>
            <w:r>
              <w:rPr>
                <w:rFonts w:hint="eastAsia" w:ascii="宋体" w:hAnsi="宋体" w:cs="宋体"/>
                <w:color w:val="auto"/>
                <w:sz w:val="21"/>
                <w:szCs w:val="21"/>
              </w:rPr>
              <w:t>分；内容一般、基本合理可行的得</w:t>
            </w:r>
            <w:r>
              <w:rPr>
                <w:rFonts w:hint="eastAsia" w:ascii="宋体" w:hAnsi="宋体" w:cs="宋体"/>
                <w:color w:val="auto"/>
                <w:sz w:val="21"/>
                <w:szCs w:val="21"/>
                <w:lang w:val="en-US" w:eastAsia="zh-CN"/>
              </w:rPr>
              <w:t>5.99</w:t>
            </w:r>
            <w:r>
              <w:rPr>
                <w:rFonts w:hint="eastAsia" w:ascii="宋体" w:hAnsi="宋体" w:cs="宋体"/>
                <w:color w:val="auto"/>
                <w:sz w:val="21"/>
                <w:szCs w:val="21"/>
              </w:rPr>
              <w:t>-</w:t>
            </w:r>
            <w:r>
              <w:rPr>
                <w:rFonts w:hint="eastAsia" w:ascii="宋体" w:hAnsi="宋体" w:cs="宋体"/>
                <w:color w:val="auto"/>
                <w:sz w:val="21"/>
                <w:szCs w:val="21"/>
                <w:lang w:val="en-US" w:eastAsia="zh-CN"/>
              </w:rPr>
              <w:t>4.00</w:t>
            </w:r>
            <w:r>
              <w:rPr>
                <w:rFonts w:hint="eastAsia" w:ascii="宋体" w:hAnsi="宋体" w:cs="宋体"/>
                <w:color w:val="auto"/>
                <w:sz w:val="21"/>
                <w:szCs w:val="21"/>
              </w:rPr>
              <w:t>分；内容差、欠妥、缺失的得</w:t>
            </w:r>
            <w:r>
              <w:rPr>
                <w:rFonts w:hint="eastAsia" w:ascii="宋体" w:hAnsi="宋体" w:cs="宋体"/>
                <w:color w:val="auto"/>
                <w:sz w:val="21"/>
                <w:szCs w:val="21"/>
                <w:lang w:val="en-US" w:eastAsia="zh-CN"/>
              </w:rPr>
              <w:t>3</w:t>
            </w:r>
            <w:r>
              <w:rPr>
                <w:rFonts w:hint="eastAsia" w:ascii="宋体" w:hAnsi="宋体" w:cs="宋体"/>
                <w:color w:val="auto"/>
                <w:sz w:val="21"/>
                <w:szCs w:val="21"/>
              </w:rPr>
              <w:t>.99-0.01分；</w:t>
            </w:r>
            <w:r>
              <w:rPr>
                <w:rFonts w:hint="eastAsia" w:ascii="宋体" w:hAnsi="宋体" w:cs="宋体"/>
                <w:color w:val="auto"/>
                <w:sz w:val="21"/>
                <w:szCs w:val="21"/>
                <w:lang w:val="en-US" w:eastAsia="zh-CN"/>
              </w:rPr>
              <w:t>未提供不得分；</w:t>
            </w:r>
            <w:r>
              <w:rPr>
                <w:rFonts w:hint="eastAsia" w:ascii="宋体" w:hAnsi="宋体" w:cs="宋体"/>
                <w:color w:val="auto"/>
                <w:sz w:val="21"/>
                <w:szCs w:val="21"/>
              </w:rPr>
              <w:t>以0.01分为一个计分单位。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594" w:type="dxa"/>
            <w:vAlign w:val="center"/>
          </w:tcPr>
          <w:p>
            <w:pPr>
              <w:widowControl/>
              <w:spacing w:line="360" w:lineRule="auto"/>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人员配备</w:t>
            </w:r>
          </w:p>
        </w:tc>
        <w:tc>
          <w:tcPr>
            <w:tcW w:w="1019" w:type="dxa"/>
            <w:vAlign w:val="center"/>
          </w:tcPr>
          <w:p>
            <w:pPr>
              <w:widowControl/>
              <w:spacing w:line="360" w:lineRule="auto"/>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2分</w:t>
            </w:r>
          </w:p>
        </w:tc>
        <w:tc>
          <w:tcPr>
            <w:tcW w:w="6996"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1、具有焊接与热切割作业证的，有1人得1分。</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2、具有高压电工作业证的，有1人得1分。</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cs="宋体"/>
                <w:color w:val="auto"/>
                <w:sz w:val="21"/>
                <w:szCs w:val="21"/>
                <w:lang w:val="en-US" w:eastAsia="zh-CN"/>
              </w:rPr>
            </w:pPr>
            <w:r>
              <w:rPr>
                <w:rFonts w:hint="eastAsia" w:ascii="宋体" w:hAnsi="宋体" w:cs="宋体"/>
                <w:color w:val="auto"/>
                <w:sz w:val="21"/>
                <w:szCs w:val="21"/>
                <w:lang w:val="en-US" w:eastAsia="zh-CN"/>
              </w:rPr>
              <w:t>注：投标时须提供在有效期内的证书原件彩色扫描件，未提供不得分。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594" w:type="dxa"/>
            <w:vAlign w:val="center"/>
          </w:tcPr>
          <w:p>
            <w:pPr>
              <w:widowControl/>
              <w:spacing w:line="360" w:lineRule="auto"/>
              <w:jc w:val="center"/>
              <w:textAlignment w:val="center"/>
              <w:rPr>
                <w:rFonts w:hint="eastAsia" w:ascii="宋体" w:hAnsi="宋体" w:cs="宋体"/>
                <w:color w:val="auto"/>
                <w:sz w:val="21"/>
                <w:szCs w:val="21"/>
              </w:rPr>
            </w:pPr>
            <w:r>
              <w:rPr>
                <w:rFonts w:hint="eastAsia" w:ascii="宋体" w:hAnsi="宋体" w:cs="宋体"/>
                <w:color w:val="auto"/>
                <w:sz w:val="21"/>
                <w:szCs w:val="21"/>
              </w:rPr>
              <w:t>业绩</w:t>
            </w:r>
          </w:p>
        </w:tc>
        <w:tc>
          <w:tcPr>
            <w:tcW w:w="1019" w:type="dxa"/>
            <w:vAlign w:val="center"/>
          </w:tcPr>
          <w:p>
            <w:pPr>
              <w:widowControl/>
              <w:spacing w:line="360" w:lineRule="auto"/>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分</w:t>
            </w:r>
          </w:p>
        </w:tc>
        <w:tc>
          <w:tcPr>
            <w:tcW w:w="6996"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cs="宋体"/>
                <w:color w:val="auto"/>
                <w:sz w:val="21"/>
                <w:szCs w:val="21"/>
                <w:lang w:val="en-US" w:eastAsia="zh-CN"/>
              </w:rPr>
            </w:pPr>
            <w:r>
              <w:rPr>
                <w:rFonts w:hint="eastAsia" w:ascii="宋体" w:hAnsi="宋体" w:cs="宋体"/>
                <w:color w:val="000000" w:themeColor="text1"/>
                <w:sz w:val="21"/>
                <w:szCs w:val="21"/>
                <w:lang w:val="en-US" w:eastAsia="zh-CN"/>
              </w:rPr>
              <w:t>投标人自2020年1月1日以来（以单项合同签订时间为准）承担过类似供热、蒸汽管道项目运维（运营</w:t>
            </w:r>
            <w:r>
              <w:rPr>
                <w:rFonts w:hint="eastAsia" w:ascii="宋体" w:hAnsi="宋体" w:cs="宋体"/>
                <w:color w:val="auto"/>
                <w:sz w:val="21"/>
                <w:szCs w:val="21"/>
                <w:lang w:val="en-US" w:eastAsia="zh-CN"/>
              </w:rPr>
              <w:t>）业绩的有一个得2分，本项最高得4分。</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cs="宋体"/>
                <w:color w:val="auto"/>
              </w:rPr>
            </w:pPr>
            <w:r>
              <w:rPr>
                <w:rFonts w:hint="eastAsia" w:ascii="宋体" w:hAnsi="宋体" w:cs="宋体"/>
                <w:color w:val="auto"/>
                <w:sz w:val="21"/>
                <w:szCs w:val="21"/>
                <w:lang w:val="en-US" w:eastAsia="zh-CN"/>
              </w:rPr>
              <w:t xml:space="preserve">注：投标时须提供合同原件或其证明材料原件的彩色扫描件，未提供不得分。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594" w:type="dxa"/>
            <w:vAlign w:val="center"/>
          </w:tcPr>
          <w:p>
            <w:pPr>
              <w:widowControl/>
              <w:spacing w:line="360" w:lineRule="auto"/>
              <w:jc w:val="center"/>
              <w:textAlignment w:val="center"/>
              <w:rPr>
                <w:rFonts w:ascii="宋体" w:hAnsi="宋体" w:cs="宋体"/>
                <w:color w:val="auto"/>
                <w:sz w:val="21"/>
                <w:szCs w:val="21"/>
              </w:rPr>
            </w:pPr>
            <w:r>
              <w:rPr>
                <w:rFonts w:hint="eastAsia" w:ascii="宋体" w:hAnsi="宋体" w:cs="宋体"/>
                <w:color w:val="auto"/>
                <w:sz w:val="21"/>
                <w:szCs w:val="21"/>
              </w:rPr>
              <w:t>诚信投标</w:t>
            </w:r>
          </w:p>
        </w:tc>
        <w:tc>
          <w:tcPr>
            <w:tcW w:w="1019" w:type="dxa"/>
            <w:vAlign w:val="center"/>
          </w:tcPr>
          <w:p>
            <w:pPr>
              <w:widowControl/>
              <w:spacing w:line="360" w:lineRule="auto"/>
              <w:jc w:val="center"/>
              <w:textAlignment w:val="center"/>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分</w:t>
            </w:r>
          </w:p>
        </w:tc>
        <w:tc>
          <w:tcPr>
            <w:tcW w:w="6996" w:type="dxa"/>
            <w:vAlign w:val="center"/>
          </w:tcPr>
          <w:p>
            <w:pPr>
              <w:widowControl/>
              <w:spacing w:line="360" w:lineRule="auto"/>
              <w:jc w:val="left"/>
              <w:textAlignment w:val="center"/>
              <w:rPr>
                <w:rFonts w:ascii="宋体" w:hAnsi="宋体" w:cs="宋体"/>
                <w:color w:val="auto"/>
                <w:sz w:val="21"/>
                <w:szCs w:val="21"/>
              </w:rPr>
            </w:pPr>
            <w:r>
              <w:rPr>
                <w:rFonts w:hint="eastAsia" w:ascii="宋体" w:hAnsi="宋体" w:cs="宋体"/>
                <w:color w:val="auto"/>
              </w:rPr>
              <w:t>投标人提交签署并</w:t>
            </w:r>
            <w:r>
              <w:rPr>
                <w:rFonts w:hint="eastAsia" w:ascii="宋体" w:hAnsi="宋体" w:cs="宋体"/>
                <w:color w:val="auto"/>
                <w:lang w:val="en-US" w:eastAsia="zh-CN"/>
              </w:rPr>
              <w:t>盖章</w:t>
            </w:r>
            <w:r>
              <w:rPr>
                <w:rFonts w:hint="eastAsia" w:ascii="宋体" w:hAnsi="宋体" w:cs="宋体"/>
                <w:color w:val="auto"/>
              </w:rPr>
              <w:t>《</w:t>
            </w:r>
            <w:r>
              <w:rPr>
                <w:rFonts w:hint="eastAsia" w:ascii="宋体" w:hAnsi="宋体" w:cs="宋体"/>
                <w:color w:val="auto"/>
                <w:szCs w:val="21"/>
                <w:highlight w:val="none"/>
              </w:rPr>
              <w:t>盐城市大丰区政府招标采购供应商承诺书</w:t>
            </w:r>
            <w:r>
              <w:rPr>
                <w:rFonts w:hint="eastAsia" w:ascii="宋体" w:hAnsi="宋体" w:cs="宋体"/>
                <w:color w:val="auto"/>
              </w:rPr>
              <w:t>》</w:t>
            </w:r>
            <w:r>
              <w:rPr>
                <w:rFonts w:hint="eastAsia" w:ascii="宋体" w:hAnsi="宋体" w:cs="宋体"/>
                <w:color w:val="auto"/>
                <w:sz w:val="21"/>
                <w:szCs w:val="21"/>
              </w:rPr>
              <w:t>原件扫描件</w:t>
            </w:r>
            <w:r>
              <w:rPr>
                <w:rFonts w:hint="eastAsia" w:ascii="宋体" w:hAnsi="宋体" w:cs="宋体"/>
                <w:color w:val="auto"/>
                <w:sz w:val="21"/>
                <w:szCs w:val="21"/>
                <w:lang w:val="en-US" w:eastAsia="zh-CN"/>
              </w:rPr>
              <w:t>的</w:t>
            </w:r>
            <w:r>
              <w:rPr>
                <w:rFonts w:hint="eastAsia" w:ascii="宋体" w:hAnsi="宋体" w:cs="宋体"/>
                <w:color w:val="auto"/>
                <w:sz w:val="21"/>
                <w:szCs w:val="21"/>
              </w:rPr>
              <w:t>得</w:t>
            </w:r>
            <w:r>
              <w:rPr>
                <w:rFonts w:ascii="宋体" w:hAnsi="宋体" w:cs="宋体"/>
                <w:color w:val="auto"/>
                <w:sz w:val="21"/>
                <w:szCs w:val="21"/>
              </w:rPr>
              <w:t>1</w:t>
            </w:r>
            <w:r>
              <w:rPr>
                <w:rFonts w:hint="eastAsia" w:ascii="宋体" w:hAnsi="宋体" w:cs="宋体"/>
                <w:color w:val="auto"/>
                <w:sz w:val="21"/>
                <w:szCs w:val="21"/>
              </w:rPr>
              <w:t>分</w:t>
            </w:r>
            <w:r>
              <w:rPr>
                <w:rFonts w:hint="eastAsia" w:ascii="宋体" w:hAnsi="宋体" w:cs="宋体"/>
                <w:color w:val="auto"/>
              </w:rPr>
              <w:t>，没有提供的不得分。</w:t>
            </w:r>
          </w:p>
        </w:tc>
      </w:tr>
    </w:tbl>
    <w:p>
      <w:pPr>
        <w:spacing w:line="4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3.评标程序</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 评标准备</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评标委员会成员到达评标现场时应在签到表上签到（或通过门禁系统签到）以证明其出席。</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评标委员会成员首先推选一名评标委员会负责人，负责评标活动的组织领导工作。</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招标人或招标代理机构应向评标委员会提供评标所需的信息和数据。评标委员会负责人应组织评标委员会成员认真研究招标文件，未在招标文件中规定的标准和方法不得作为评标的依据。</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初步评审</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3.2.1评标委员会依据本章第2.1 款规定的标准对投标文件进行初步评审。</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3.2.2投标文件不符合本章第2.1款评审标准的，属于重大偏差，视为未能对招标文件作出实质性响应，应当作为无效投标予以否决。</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3.2.3对照投标人须知6.4款，投标文件有上述情况之一，视为未能对招标文件作出实质性响应，凡招标文件未明确标明无效标条款的，评标委员会不得作为判定无效投标的依据。</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3.2.4 投标报价有算术错误的，评标委员会按以下原则对投标报价进行修正，修正的价格经投标人书面确认后具有约束力。</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3.2.5只有通过初步评审的投标文件才能进入详细评审。</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详细评审</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在详细评审发现符合“无效标书条款”的，应当作为无效投标予以否决，其投标报价亦不作为评标基准价A值的依据。</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评标委员会按本章第2.2款规定的量化因素和分值进行打分，并计算出综合评估得分。</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评分分值计算保留小数点后两位，小数点后第三位“四舍五入”。</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 投标文件的澄清和补正</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澄清、说明和补正不得改变投标文件的实质性内容（算术性错误修正的除外）。投标人的书面澄清、说明和补正属于投标文件的组成部分。</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3.4.3 评标委员会对投标人提交的澄清、说明或补正有疑问的，可以要求投标人进一步澄清、说明或补正。</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 推荐中标候选人或直接确定中标人</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3.5.1 除投标人须知前附表授权直接确定中标人外，评标委员会在推荐中标候选人时，应遵照以下原则:</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评标委员会按照最终得分由高至低的次序排列，并根据投标人须知前附表规定的中标候选人数量，将排序在前的投标人推荐为中标候选人。</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3.6 提交评标报告 </w:t>
      </w:r>
    </w:p>
    <w:p>
      <w:pPr>
        <w:spacing w:line="460" w:lineRule="exact"/>
        <w:ind w:firstLine="420" w:firstLineChars="200"/>
        <w:rPr>
          <w:rFonts w:ascii="宋体" w:hAnsi="宋体" w:cs="宋体"/>
          <w:color w:val="auto"/>
          <w:sz w:val="24"/>
          <w:highlight w:val="none"/>
        </w:rPr>
      </w:pPr>
      <w:r>
        <w:rPr>
          <w:rFonts w:hint="eastAsia" w:ascii="宋体" w:hAnsi="宋体" w:cs="宋体"/>
          <w:color w:val="auto"/>
          <w:szCs w:val="21"/>
          <w:highlight w:val="none"/>
        </w:rPr>
        <w:t>评标委员会完成评标后，应当向招标人提交书面评标报告。评标报告应当由全体评标委员会成员签字，并于评标结束时抄送有关行政监督部门。</w:t>
      </w:r>
    </w:p>
    <w:bookmarkEnd w:id="413"/>
    <w:bookmarkEnd w:id="414"/>
    <w:bookmarkEnd w:id="415"/>
    <w:bookmarkEnd w:id="416"/>
    <w:p>
      <w:pPr>
        <w:pStyle w:val="6"/>
        <w:spacing w:before="0" w:after="0" w:line="360" w:lineRule="auto"/>
        <w:rPr>
          <w:rFonts w:ascii="宋体" w:hAnsi="宋体" w:cs="宋体"/>
          <w:color w:val="auto"/>
          <w:highlight w:val="none"/>
        </w:rPr>
      </w:pPr>
      <w:bookmarkStart w:id="417" w:name="_Toc1147"/>
      <w:bookmarkStart w:id="418" w:name="_Toc508216951"/>
      <w:r>
        <w:rPr>
          <w:rFonts w:hint="eastAsia" w:ascii="宋体" w:hAnsi="宋体" w:cs="宋体"/>
          <w:color w:val="auto"/>
          <w:highlight w:val="none"/>
        </w:rPr>
        <w:br w:type="page"/>
      </w:r>
      <w:r>
        <w:rPr>
          <w:rFonts w:hint="eastAsia" w:ascii="宋体" w:hAnsi="宋体" w:cs="宋体"/>
          <w:color w:val="auto"/>
          <w:highlight w:val="none"/>
        </w:rPr>
        <w:t>第四章  合同条款及格式</w:t>
      </w:r>
      <w:bookmarkEnd w:id="417"/>
      <w:bookmarkEnd w:id="418"/>
      <w:bookmarkStart w:id="419" w:name="_Toc508216954"/>
      <w:bookmarkStart w:id="420" w:name="_Toc7525"/>
      <w:bookmarkStart w:id="421" w:name="_Toc397928630"/>
    </w:p>
    <w:p>
      <w:pPr>
        <w:pStyle w:val="13"/>
        <w:adjustRightInd w:val="0"/>
        <w:snapToGrid w:val="0"/>
        <w:spacing w:line="500" w:lineRule="exact"/>
        <w:ind w:firstLine="3610" w:firstLineChars="999"/>
        <w:rPr>
          <w:rFonts w:hint="eastAsia" w:hAnsi="宋体"/>
          <w:b/>
          <w:color w:val="auto"/>
          <w:kern w:val="44"/>
          <w:sz w:val="36"/>
          <w:szCs w:val="36"/>
          <w:highlight w:val="none"/>
        </w:rPr>
      </w:pPr>
      <w:bookmarkStart w:id="422" w:name="第二部分_通用合同条款"/>
      <w:bookmarkEnd w:id="422"/>
    </w:p>
    <w:p>
      <w:pPr>
        <w:pStyle w:val="13"/>
        <w:numPr>
          <w:ilvl w:val="0"/>
          <w:numId w:val="3"/>
        </w:numPr>
        <w:adjustRightInd w:val="0"/>
        <w:snapToGrid w:val="0"/>
        <w:spacing w:line="500" w:lineRule="exact"/>
        <w:ind w:firstLine="3596" w:firstLineChars="999"/>
        <w:rPr>
          <w:rFonts w:hint="eastAsia" w:hAnsi="宋体" w:cs="宋体"/>
          <w:b w:val="0"/>
          <w:bCs/>
          <w:color w:val="auto"/>
          <w:sz w:val="36"/>
          <w:szCs w:val="36"/>
          <w:highlight w:val="none"/>
        </w:rPr>
      </w:pPr>
      <w:r>
        <w:rPr>
          <w:rFonts w:hint="eastAsia" w:hAnsi="宋体"/>
          <w:b w:val="0"/>
          <w:bCs/>
          <w:color w:val="auto"/>
          <w:kern w:val="44"/>
          <w:sz w:val="36"/>
          <w:szCs w:val="36"/>
          <w:highlight w:val="none"/>
        </w:rPr>
        <w:t>协议</w:t>
      </w:r>
      <w:r>
        <w:rPr>
          <w:rFonts w:hint="eastAsia" w:hAnsi="宋体" w:cs="宋体"/>
          <w:b w:val="0"/>
          <w:bCs/>
          <w:color w:val="auto"/>
          <w:sz w:val="36"/>
          <w:szCs w:val="36"/>
          <w:highlight w:val="none"/>
        </w:rPr>
        <w:t>书</w:t>
      </w:r>
    </w:p>
    <w:p>
      <w:pPr>
        <w:pStyle w:val="13"/>
        <w:numPr>
          <w:ilvl w:val="0"/>
          <w:numId w:val="0"/>
        </w:numPr>
        <w:adjustRightInd w:val="0"/>
        <w:snapToGrid w:val="0"/>
        <w:spacing w:line="500" w:lineRule="exact"/>
        <w:rPr>
          <w:rFonts w:hint="eastAsia" w:hAnsi="宋体" w:cs="宋体"/>
          <w:b/>
          <w:bCs/>
          <w:color w:val="auto"/>
          <w:sz w:val="36"/>
          <w:szCs w:val="36"/>
          <w:highlight w:val="none"/>
        </w:rPr>
      </w:pPr>
    </w:p>
    <w:p>
      <w:pPr>
        <w:pStyle w:val="13"/>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发包方：</w:t>
      </w:r>
      <w:r>
        <w:rPr>
          <w:rFonts w:hint="eastAsia" w:hAnsi="宋体" w:cs="宋体"/>
          <w:color w:val="auto"/>
          <w:sz w:val="21"/>
          <w:szCs w:val="21"/>
          <w:highlight w:val="none"/>
          <w:u w:val="single"/>
          <w:lang w:eastAsia="zh-CN"/>
        </w:rPr>
        <w:t>盐城大丰新创能源有限公司</w:t>
      </w:r>
      <w:r>
        <w:rPr>
          <w:rFonts w:hint="eastAsia" w:hAnsi="宋体" w:cs="宋体"/>
          <w:color w:val="auto"/>
          <w:sz w:val="21"/>
          <w:szCs w:val="21"/>
          <w:highlight w:val="none"/>
          <w:u w:val="single"/>
        </w:rPr>
        <w:t>（下称甲方）</w:t>
      </w:r>
      <w:r>
        <w:rPr>
          <w:rFonts w:hint="eastAsia" w:hAnsi="宋体" w:cs="宋体"/>
          <w:color w:val="auto"/>
          <w:sz w:val="21"/>
          <w:szCs w:val="21"/>
          <w:highlight w:val="none"/>
        </w:rPr>
        <w:t> </w:t>
      </w:r>
    </w:p>
    <w:p>
      <w:pPr>
        <w:pStyle w:val="13"/>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承包方：</w:t>
      </w:r>
      <w:r>
        <w:rPr>
          <w:rFonts w:hint="eastAsia" w:hAnsi="宋体" w:cs="宋体"/>
          <w:color w:val="auto"/>
          <w:sz w:val="21"/>
          <w:szCs w:val="21"/>
          <w:highlight w:val="none"/>
          <w:u w:val="single"/>
        </w:rPr>
        <w:t>                      （下称乙方）</w:t>
      </w:r>
      <w:r>
        <w:rPr>
          <w:rFonts w:hint="eastAsia" w:hAnsi="宋体" w:cs="宋体"/>
          <w:color w:val="auto"/>
          <w:sz w:val="21"/>
          <w:szCs w:val="21"/>
          <w:highlight w:val="none"/>
        </w:rPr>
        <w:t> </w:t>
      </w:r>
    </w:p>
    <w:p>
      <w:pPr>
        <w:pStyle w:val="13"/>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eastAsia="zh-CN"/>
        </w:rPr>
        <w:t>大丰港区蒸汽管道运维服务</w:t>
      </w:r>
      <w:r>
        <w:rPr>
          <w:rFonts w:hint="eastAsia" w:hAnsi="宋体" w:cs="宋体"/>
          <w:color w:val="auto"/>
          <w:sz w:val="21"/>
          <w:szCs w:val="21"/>
          <w:highlight w:val="none"/>
        </w:rPr>
        <w:t>，通过公开招标，合同期限为</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1年 </w:t>
      </w:r>
      <w:r>
        <w:rPr>
          <w:rFonts w:hint="eastAsia" w:hAnsi="宋体" w:cs="宋体"/>
          <w:color w:val="auto"/>
          <w:sz w:val="21"/>
          <w:szCs w:val="21"/>
          <w:highlight w:val="none"/>
        </w:rPr>
        <w:t>，现根据《中华人民共和国民法典》及有关法律法规，本着平等互利、协商一致的原则，为明确双方的权利、义务，特签订本合同，以资共同遵守。 </w:t>
      </w:r>
    </w:p>
    <w:p>
      <w:pPr>
        <w:pStyle w:val="13"/>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1、承包项目名称：</w:t>
      </w:r>
      <w:r>
        <w:rPr>
          <w:rFonts w:hint="eastAsia" w:hAnsi="宋体" w:cs="宋体"/>
          <w:color w:val="auto"/>
          <w:sz w:val="21"/>
          <w:szCs w:val="21"/>
          <w:highlight w:val="none"/>
          <w:lang w:eastAsia="zh-CN"/>
        </w:rPr>
        <w:t>大丰港区蒸汽管道运维服务</w:t>
      </w:r>
      <w:r>
        <w:rPr>
          <w:rFonts w:hint="eastAsia" w:hAnsi="宋体" w:cs="宋体"/>
          <w:color w:val="auto"/>
          <w:sz w:val="21"/>
          <w:szCs w:val="21"/>
          <w:highlight w:val="none"/>
        </w:rPr>
        <w:t xml:space="preserve"> </w:t>
      </w:r>
    </w:p>
    <w:p>
      <w:pPr>
        <w:pStyle w:val="13"/>
        <w:spacing w:line="360" w:lineRule="auto"/>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2、工程地点：</w:t>
      </w:r>
      <w:r>
        <w:rPr>
          <w:rFonts w:hint="eastAsia" w:hAnsi="宋体" w:cs="宋体"/>
          <w:color w:val="auto"/>
          <w:sz w:val="21"/>
          <w:szCs w:val="21"/>
          <w:highlight w:val="none"/>
          <w:lang w:val="en-US" w:eastAsia="zh-CN"/>
        </w:rPr>
        <w:t>盐城市大丰区大丰港</w:t>
      </w:r>
      <w:r>
        <w:rPr>
          <w:rFonts w:hint="eastAsia" w:hAnsi="宋体" w:cs="宋体"/>
          <w:color w:val="auto"/>
          <w:sz w:val="21"/>
          <w:szCs w:val="21"/>
          <w:highlight w:val="none"/>
        </w:rPr>
        <w:t>境内  </w:t>
      </w:r>
    </w:p>
    <w:p>
      <w:pPr>
        <w:pStyle w:val="13"/>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 本合同的边界确定：详见</w:t>
      </w:r>
      <w:r>
        <w:rPr>
          <w:rFonts w:hint="eastAsia" w:hAnsi="宋体" w:cs="宋体"/>
          <w:color w:val="auto"/>
          <w:sz w:val="21"/>
          <w:szCs w:val="21"/>
          <w:highlight w:val="none"/>
          <w:lang w:val="en-US" w:eastAsia="zh-CN"/>
        </w:rPr>
        <w:t>采购</w:t>
      </w:r>
      <w:r>
        <w:rPr>
          <w:rFonts w:hint="eastAsia" w:hAnsi="宋体" w:cs="宋体"/>
          <w:color w:val="auto"/>
          <w:sz w:val="21"/>
          <w:szCs w:val="21"/>
          <w:highlight w:val="none"/>
        </w:rPr>
        <w:t>需求</w:t>
      </w:r>
    </w:p>
    <w:p>
      <w:pPr>
        <w:pStyle w:val="13"/>
        <w:spacing w:line="360" w:lineRule="auto"/>
        <w:ind w:left="420" w:leftChars="200"/>
        <w:rPr>
          <w:rFonts w:hAnsi="宋体" w:cs="宋体"/>
          <w:color w:val="auto"/>
          <w:sz w:val="21"/>
          <w:szCs w:val="21"/>
          <w:highlight w:val="none"/>
        </w:rPr>
      </w:pPr>
      <w:r>
        <w:rPr>
          <w:rFonts w:hint="eastAsia" w:hAnsi="宋体" w:cs="宋体"/>
          <w:color w:val="auto"/>
          <w:sz w:val="21"/>
          <w:szCs w:val="21"/>
          <w:highlight w:val="none"/>
        </w:rPr>
        <w:t>4．履约保证金：大写</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（小写：</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元），乙方在签订合同前应交足履约保证金。</w:t>
      </w:r>
    </w:p>
    <w:p>
      <w:pPr>
        <w:pStyle w:val="13"/>
        <w:spacing w:line="360" w:lineRule="auto"/>
        <w:ind w:left="420" w:leftChars="200"/>
        <w:rPr>
          <w:rFonts w:hAnsi="宋体" w:cs="宋体"/>
          <w:color w:val="auto"/>
          <w:sz w:val="21"/>
          <w:szCs w:val="21"/>
          <w:highlight w:val="none"/>
        </w:rPr>
      </w:pPr>
      <w:r>
        <w:rPr>
          <w:rFonts w:hint="eastAsia" w:hAnsi="宋体" w:cs="宋体"/>
          <w:color w:val="auto"/>
          <w:sz w:val="21"/>
          <w:szCs w:val="21"/>
          <w:highlight w:val="none"/>
        </w:rPr>
        <w:t>履约保证金退还：待本合同期满后，中标方向招标人提交退还履约保证金申请函，在中标人无违约及按合同条款约定移交原已接收的设备情况下，</w:t>
      </w:r>
      <w:r>
        <w:rPr>
          <w:rFonts w:hint="eastAsia" w:hAnsi="宋体" w:cs="宋体"/>
          <w:color w:val="auto"/>
          <w:sz w:val="21"/>
          <w:szCs w:val="21"/>
          <w:highlight w:val="none"/>
          <w:lang w:val="en-US" w:eastAsia="zh-CN"/>
        </w:rPr>
        <w:t>甲方</w:t>
      </w:r>
      <w:r>
        <w:rPr>
          <w:rFonts w:hint="eastAsia" w:hAnsi="宋体" w:cs="宋体"/>
          <w:color w:val="auto"/>
          <w:sz w:val="21"/>
          <w:szCs w:val="21"/>
          <w:highlight w:val="none"/>
        </w:rPr>
        <w:t>在 30 日内无息退还履约保证金。</w:t>
      </w:r>
    </w:p>
    <w:p>
      <w:pPr>
        <w:pStyle w:val="13"/>
        <w:adjustRightInd w:val="0"/>
        <w:snapToGrid w:val="0"/>
        <w:spacing w:line="500" w:lineRule="exact"/>
        <w:ind w:firstLine="420" w:firstLineChars="200"/>
        <w:rPr>
          <w:rFonts w:hAnsi="宋体" w:cs="宋体"/>
          <w:color w:val="auto"/>
          <w:sz w:val="21"/>
          <w:szCs w:val="21"/>
          <w:highlight w:val="none"/>
        </w:rPr>
      </w:pP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lang w:eastAsia="zh-CN"/>
        </w:rPr>
        <w:t>盐城大丰新创能源有限公司</w:t>
      </w:r>
      <w:r>
        <w:rPr>
          <w:rFonts w:hint="eastAsia" w:hAnsi="宋体" w:cs="宋体"/>
          <w:color w:val="auto"/>
          <w:sz w:val="21"/>
          <w:szCs w:val="21"/>
          <w:highlight w:val="none"/>
        </w:rPr>
        <w:t xml:space="preserve">  </w:t>
      </w:r>
      <w:r>
        <w:rPr>
          <w:rFonts w:hAnsi="宋体" w:cs="宋体"/>
          <w:color w:val="auto"/>
          <w:sz w:val="21"/>
          <w:szCs w:val="21"/>
          <w:highlight w:val="non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乙方：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                    法定代表人：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或授权代理人：                   或授权代理人：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开户银行：                  </w:t>
      </w:r>
      <w:r>
        <w:rPr>
          <w:rFonts w:hAnsi="宋体" w:cs="宋体"/>
          <w:color w:val="auto"/>
          <w:sz w:val="21"/>
          <w:szCs w:val="21"/>
          <w:highlight w:val="none"/>
        </w:rPr>
        <w:t xml:space="preserve"> </w:t>
      </w:r>
      <w:r>
        <w:rPr>
          <w:rFonts w:hint="eastAsia" w:hAnsi="宋体" w:cs="宋体"/>
          <w:color w:val="auto"/>
          <w:sz w:val="21"/>
          <w:szCs w:val="21"/>
          <w:highlight w:val="none"/>
        </w:rPr>
        <w:t xml:space="preserve">  开户银行：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帐号：                    </w:t>
      </w:r>
      <w:r>
        <w:rPr>
          <w:rFonts w:hAnsi="宋体" w:cs="宋体"/>
          <w:color w:val="auto"/>
          <w:sz w:val="21"/>
          <w:szCs w:val="21"/>
          <w:highlight w:val="none"/>
        </w:rPr>
        <w:t xml:space="preserve"> </w:t>
      </w:r>
      <w:r>
        <w:rPr>
          <w:rFonts w:hint="eastAsia" w:hAnsi="宋体" w:cs="宋体"/>
          <w:color w:val="auto"/>
          <w:sz w:val="21"/>
          <w:szCs w:val="21"/>
          <w:highlight w:val="none"/>
        </w:rPr>
        <w:t xml:space="preserve">  帐号：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联 系 人：                     联 系 人：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时间： </w:t>
      </w:r>
      <w:r>
        <w:rPr>
          <w:rFonts w:hAnsi="宋体" w:cs="宋体"/>
          <w:color w:val="auto"/>
          <w:sz w:val="21"/>
          <w:szCs w:val="21"/>
          <w:highlight w:val="none"/>
        </w:rPr>
        <w:t xml:space="preserve"> </w:t>
      </w:r>
      <w:r>
        <w:rPr>
          <w:rFonts w:hint="eastAsia" w:hAnsi="宋体" w:cs="宋体"/>
          <w:color w:val="auto"/>
          <w:sz w:val="21"/>
          <w:szCs w:val="21"/>
          <w:highlight w:val="none"/>
        </w:rPr>
        <w:t>年  月</w:t>
      </w:r>
      <w:r>
        <w:rPr>
          <w:rFonts w:hAnsi="宋体" w:cs="宋体"/>
          <w:color w:val="auto"/>
          <w:sz w:val="21"/>
          <w:szCs w:val="21"/>
          <w:highlight w:val="none"/>
        </w:rPr>
        <w:t xml:space="preserve">  </w:t>
      </w:r>
      <w:r>
        <w:rPr>
          <w:rFonts w:hint="eastAsia" w:hAnsi="宋体" w:cs="宋体"/>
          <w:color w:val="auto"/>
          <w:sz w:val="21"/>
          <w:szCs w:val="21"/>
          <w:highlight w:val="none"/>
        </w:rPr>
        <w:t xml:space="preserve"> 日             </w:t>
      </w:r>
      <w:r>
        <w:rPr>
          <w:rFonts w:hAnsi="宋体" w:cs="宋体"/>
          <w:color w:val="auto"/>
          <w:sz w:val="21"/>
          <w:szCs w:val="21"/>
          <w:highlight w:val="none"/>
        </w:rPr>
        <w:t xml:space="preserve"> </w:t>
      </w:r>
      <w:r>
        <w:rPr>
          <w:rFonts w:hint="eastAsia" w:hAnsi="宋体" w:cs="宋体"/>
          <w:color w:val="auto"/>
          <w:sz w:val="21"/>
          <w:szCs w:val="21"/>
          <w:highlight w:val="none"/>
        </w:rPr>
        <w:t xml:space="preserve">  时间：  年  月  日 </w:t>
      </w:r>
    </w:p>
    <w:p>
      <w:pPr>
        <w:pStyle w:val="13"/>
        <w:adjustRightInd w:val="0"/>
        <w:snapToGrid w:val="0"/>
        <w:spacing w:line="500" w:lineRule="exact"/>
        <w:rPr>
          <w:rFonts w:hAnsi="宋体" w:cs="宋体"/>
          <w:color w:val="auto"/>
          <w:sz w:val="21"/>
          <w:szCs w:val="21"/>
          <w:highlight w:val="none"/>
        </w:rPr>
      </w:pPr>
    </w:p>
    <w:p>
      <w:pPr>
        <w:pStyle w:val="13"/>
        <w:numPr>
          <w:ilvl w:val="0"/>
          <w:numId w:val="4"/>
        </w:numPr>
        <w:adjustRightInd w:val="0"/>
        <w:snapToGrid w:val="0"/>
        <w:spacing w:line="500" w:lineRule="exact"/>
        <w:ind w:firstLine="883" w:firstLineChars="200"/>
        <w:jc w:val="center"/>
        <w:rPr>
          <w:rFonts w:hAnsi="宋体" w:cs="宋体"/>
          <w:b/>
          <w:bCs/>
          <w:color w:val="auto"/>
          <w:sz w:val="44"/>
          <w:szCs w:val="44"/>
          <w:highlight w:val="none"/>
        </w:rPr>
      </w:pPr>
      <w:r>
        <w:rPr>
          <w:rFonts w:hint="eastAsia" w:hAnsi="宋体" w:cs="宋体"/>
          <w:b/>
          <w:bCs/>
          <w:color w:val="auto"/>
          <w:sz w:val="44"/>
          <w:szCs w:val="44"/>
          <w:highlight w:val="none"/>
        </w:rPr>
        <w:br w:type="page"/>
      </w:r>
      <w:r>
        <w:rPr>
          <w:rFonts w:hint="eastAsia" w:hAnsi="宋体" w:cs="宋体"/>
          <w:b/>
          <w:bCs/>
          <w:color w:val="auto"/>
          <w:sz w:val="44"/>
          <w:szCs w:val="44"/>
          <w:highlight w:val="none"/>
        </w:rPr>
        <w:t>合同条款 </w:t>
      </w:r>
    </w:p>
    <w:p>
      <w:pPr>
        <w:pStyle w:val="13"/>
        <w:adjustRightInd w:val="0"/>
        <w:snapToGrid w:val="0"/>
        <w:spacing w:line="360" w:lineRule="auto"/>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一、承包范围 </w:t>
      </w:r>
    </w:p>
    <w:p>
      <w:pPr>
        <w:pStyle w:val="13"/>
        <w:spacing w:line="400" w:lineRule="exact"/>
        <w:ind w:firstLine="420" w:firstLineChars="200"/>
        <w:outlineLvl w:val="0"/>
        <w:rPr>
          <w:rFonts w:hint="eastAsia" w:hAnsi="宋体" w:cs="宋体"/>
          <w:color w:val="auto"/>
          <w:sz w:val="21"/>
          <w:szCs w:val="21"/>
          <w:highlight w:val="none"/>
        </w:rPr>
      </w:pPr>
      <w:r>
        <w:rPr>
          <w:rFonts w:hint="eastAsia" w:hAnsi="宋体" w:cs="宋体"/>
          <w:color w:val="auto"/>
          <w:sz w:val="21"/>
          <w:szCs w:val="21"/>
          <w:highlight w:val="none"/>
        </w:rPr>
        <w:t>已建成的大丰港区蒸汽管道包括DN700主管道4公里，DN500天合储能支管1公里，DN400海洋产业园支管4.6公里，合计9.6公里管道。</w:t>
      </w:r>
    </w:p>
    <w:p>
      <w:pPr>
        <w:pStyle w:val="13"/>
        <w:spacing w:line="400" w:lineRule="exact"/>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二、合同期限：自合同签订之日起1年。</w:t>
      </w:r>
    </w:p>
    <w:p>
      <w:pPr>
        <w:pStyle w:val="13"/>
        <w:spacing w:line="400" w:lineRule="exact"/>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三、合同期开始的资产移交期限，移交方式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在合同签订后约定的移交日前一周，由甲乙双方组成移交小组，亲临现场清点，办理资产交接手续，并制作资产交接清单（下称资产接交表），由甲、乙双方签字盖章确认的相关清单进行</w:t>
      </w:r>
      <w:r>
        <w:rPr>
          <w:rFonts w:hAnsi="宋体" w:cs="宋体"/>
          <w:color w:val="auto"/>
          <w:sz w:val="21"/>
          <w:szCs w:val="21"/>
          <w:highlight w:val="none"/>
        </w:rPr>
        <w:t>移交</w:t>
      </w:r>
      <w:r>
        <w:rPr>
          <w:rFonts w:hint="eastAsia" w:hAnsi="宋体" w:cs="宋体"/>
          <w:color w:val="auto"/>
          <w:sz w:val="21"/>
          <w:szCs w:val="21"/>
          <w:highlight w:val="none"/>
        </w:rPr>
        <w:t>。且无论哪一个阶段，资产交接清单在变化时均须进行及时补充，直至最终形成。</w:t>
      </w:r>
    </w:p>
    <w:p>
      <w:pPr>
        <w:pStyle w:val="13"/>
        <w:spacing w:line="400" w:lineRule="exact"/>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四、项目设施资产的移交与资产管理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4.1 运行服务期间，大丰港区蒸汽管道运维服务</w:t>
      </w:r>
      <w:r>
        <w:rPr>
          <w:rFonts w:hint="eastAsia" w:hAnsi="宋体" w:cs="宋体"/>
          <w:color w:val="auto"/>
          <w:sz w:val="21"/>
          <w:szCs w:val="21"/>
          <w:highlight w:val="none"/>
          <w:lang w:val="en-US" w:eastAsia="zh-CN"/>
        </w:rPr>
        <w:t>内</w:t>
      </w:r>
      <w:r>
        <w:rPr>
          <w:rFonts w:hint="eastAsia" w:hAnsi="宋体" w:cs="宋体"/>
          <w:color w:val="auto"/>
          <w:sz w:val="21"/>
          <w:szCs w:val="21"/>
          <w:highlight w:val="none"/>
        </w:rPr>
        <w:t>的原有设施、设备的所有权归甲方所有。  </w:t>
      </w:r>
    </w:p>
    <w:p>
      <w:pPr>
        <w:spacing w:line="400" w:lineRule="exact"/>
        <w:ind w:firstLine="420" w:firstLineChars="200"/>
        <w:rPr>
          <w:rFonts w:ascii="宋体" w:hAnsi="宋体" w:cs="宋体"/>
          <w:color w:val="auto"/>
          <w:szCs w:val="21"/>
          <w:highlight w:val="none"/>
        </w:rPr>
      </w:pPr>
      <w:r>
        <w:rPr>
          <w:rFonts w:hint="eastAsia" w:hAnsi="宋体" w:cs="宋体"/>
          <w:color w:val="auto"/>
          <w:szCs w:val="21"/>
          <w:highlight w:val="none"/>
        </w:rPr>
        <w:t>4.2 在本合同期内，乙方因污水处理需要，并经甲方书面同意后，方可自行新增设施、设备，其所有权归乙方所有</w:t>
      </w:r>
      <w:r>
        <w:rPr>
          <w:rFonts w:hint="eastAsia" w:ascii="宋体" w:hAnsi="宋体" w:cs="宋体"/>
          <w:color w:val="auto"/>
          <w:szCs w:val="21"/>
          <w:highlight w:val="none"/>
        </w:rPr>
        <w:t>，本合同期满后，若甲方需要留置，则在甲方支付给乙方适应的费用后所有权归甲方所有，具体细节由双方协商；如甲方不需留置，乙方应在合同期满无条件拆除离场。</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4.3 移交的项目设施等资产以现场清点为准，并制定交接清单，双方签字确认。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4.4 移交的资产包含</w:t>
      </w:r>
      <w:r>
        <w:rPr>
          <w:rFonts w:hint="eastAsia" w:hAnsi="宋体" w:cs="宋体"/>
          <w:color w:val="auto"/>
          <w:sz w:val="21"/>
          <w:szCs w:val="21"/>
          <w:highlight w:val="none"/>
          <w:lang w:val="en-US" w:eastAsia="zh-CN"/>
        </w:rPr>
        <w:t>蒸汽管道设计、</w:t>
      </w:r>
      <w:r>
        <w:rPr>
          <w:rFonts w:hint="eastAsia" w:hAnsi="宋体" w:cs="宋体"/>
          <w:color w:val="auto"/>
          <w:sz w:val="21"/>
          <w:szCs w:val="21"/>
          <w:highlight w:val="none"/>
        </w:rPr>
        <w:t>技术交底、</w:t>
      </w:r>
      <w:r>
        <w:rPr>
          <w:rFonts w:hint="eastAsia" w:hAnsi="宋体" w:cs="宋体"/>
          <w:color w:val="auto"/>
          <w:sz w:val="21"/>
          <w:szCs w:val="21"/>
          <w:highlight w:val="none"/>
          <w:lang w:val="en-US" w:eastAsia="zh-CN"/>
        </w:rPr>
        <w:t>竣工图纸资料、</w:t>
      </w:r>
      <w:r>
        <w:rPr>
          <w:rFonts w:hint="eastAsia" w:hAnsi="宋体" w:cs="宋体"/>
          <w:color w:val="auto"/>
          <w:sz w:val="21"/>
          <w:szCs w:val="21"/>
          <w:highlight w:val="none"/>
        </w:rPr>
        <w:t>设备操作手册和说明书（复印件），前期运行记录、设备保养记录等运行资料，运行和维护项目设施所需的专有技术、专利、计算机软件及其他知识产权。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4.5项目设施移交工作由甲方和乙方共同组建移交工作小组，在进驻运行和合同期满前一周内成立移交工作小组，负责完成设施设备清点、运行交接、人员安置以及其他必要的前期工作。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4.6 设施、设备移交时应进行相关的设备检测，检测中发现的项目设施、设备存在的缺陷或损坏，形成设备缺陷表单。甲方应负责修复。  </w:t>
      </w:r>
    </w:p>
    <w:p>
      <w:pPr>
        <w:spacing w:line="460" w:lineRule="exact"/>
        <w:ind w:firstLine="411" w:firstLineChars="196"/>
        <w:rPr>
          <w:rFonts w:ascii="宋体" w:hAnsi="宋体" w:cs="仿宋"/>
          <w:color w:val="auto"/>
          <w:szCs w:val="21"/>
          <w:highlight w:val="none"/>
        </w:rPr>
      </w:pPr>
      <w:r>
        <w:rPr>
          <w:rFonts w:hint="eastAsia" w:hAnsi="宋体" w:cs="宋体"/>
          <w:color w:val="auto"/>
          <w:szCs w:val="21"/>
          <w:highlight w:val="none"/>
        </w:rPr>
        <w:t>4.7 乙方在接收设施、设备移交后，出现设备问题属于</w:t>
      </w:r>
      <w:r>
        <w:rPr>
          <w:rFonts w:hint="eastAsia" w:ascii="宋体" w:hAnsi="宋体" w:cs="仿宋"/>
          <w:color w:val="auto"/>
          <w:szCs w:val="21"/>
          <w:highlight w:val="none"/>
        </w:rPr>
        <w:t>在质保期内，非操作不当、因设备自身原因造成故障损坏的交由设备厂家进行维修处理。质保期外，因运维厂家操作不当造成设备故障损坏的，由运维单位自行承担维修费用。</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4.8 移交过程中，若一方对移交资产的设备、设施的性能及完好程度出现异议时，由双方共同委托具有资产评估能力的机构对存在争议的资产进行评估，评估结果具有最终效力，对双方都具有约束力。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4.9 乙方不能对甲方的设备进行更换，如果确有需要必需经甲方同意，未经甲方同意乙方私自更换，甲方有权要求乙方按设备清单价格进行赔偿，并承担相应损失。 </w:t>
      </w:r>
      <w:bookmarkStart w:id="423" w:name="_Toc210206388"/>
    </w:p>
    <w:p>
      <w:pPr>
        <w:pStyle w:val="7"/>
        <w:spacing w:before="0" w:after="0" w:line="400" w:lineRule="exact"/>
        <w:ind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4.10 合同期满时的移交范围</w:t>
      </w:r>
      <w:bookmarkEnd w:id="423"/>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4.10.1在移交日，乙方应向甲方或其指定机构无偿完好移交甲方所有的项目设施设备及其所有者权益（但乙方不承担任何因移交而发生的税收）。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包括：</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(a)与项目设施相关的所有设备、机器、装置、零部件、备品备件、化学品以及其他动产；</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(b)与项目设施有关的所有的手册、图纸、文件和资料；</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上述移交不应附带任何负债或违约、侵权责任。所有与移交的设施、权益、文件等有关的负债或违约、侵权责任，应由乙方清偿或赔偿。</w:t>
      </w:r>
    </w:p>
    <w:p>
      <w:pPr>
        <w:pStyle w:val="13"/>
        <w:spacing w:line="400" w:lineRule="exact"/>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五、甲、乙双方日常联络人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甲方指定由</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担任日常联络人，联系电话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乙方指定由</w:t>
      </w:r>
      <w:r>
        <w:rPr>
          <w:rFonts w:hint="eastAsia" w:hAnsi="宋体" w:cs="宋体"/>
          <w:color w:val="auto"/>
          <w:sz w:val="21"/>
          <w:szCs w:val="21"/>
          <w:highlight w:val="none"/>
          <w:u w:val="single"/>
        </w:rPr>
        <w:t>   </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担任日常联络人，联系电话：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若双方日常联络人发生变动，变动方需以书面的形式提前1个月通知另一方，征得对方同意后，方可变动日常联络人。 </w:t>
      </w:r>
    </w:p>
    <w:p>
      <w:pPr>
        <w:pStyle w:val="13"/>
        <w:spacing w:line="400" w:lineRule="exact"/>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六、</w:t>
      </w:r>
      <w:bookmarkStart w:id="424" w:name="_Toc439949274"/>
      <w:r>
        <w:rPr>
          <w:rFonts w:hint="eastAsia" w:hAnsi="宋体" w:cs="宋体"/>
          <w:color w:val="auto"/>
          <w:sz w:val="21"/>
          <w:szCs w:val="21"/>
          <w:highlight w:val="none"/>
        </w:rPr>
        <w:t>合同价款、</w:t>
      </w:r>
      <w:bookmarkEnd w:id="424"/>
      <w:r>
        <w:rPr>
          <w:rFonts w:hint="eastAsia" w:hAnsi="宋体" w:cs="宋体"/>
          <w:color w:val="auto"/>
          <w:sz w:val="21"/>
          <w:szCs w:val="21"/>
          <w:highlight w:val="none"/>
        </w:rPr>
        <w:t>付款方式 </w:t>
      </w:r>
    </w:p>
    <w:p>
      <w:pPr>
        <w:pStyle w:val="13"/>
        <w:spacing w:line="400" w:lineRule="exact"/>
        <w:ind w:firstLine="420" w:firstLineChars="200"/>
        <w:rPr>
          <w:rFonts w:hint="eastAsia" w:hAnsi="宋体" w:cs="宋体"/>
          <w:color w:val="auto"/>
          <w:sz w:val="21"/>
          <w:szCs w:val="21"/>
        </w:rPr>
      </w:pPr>
      <w:r>
        <w:rPr>
          <w:rFonts w:hint="eastAsia" w:hAnsi="宋体" w:cs="宋体"/>
          <w:color w:val="auto"/>
          <w:sz w:val="21"/>
          <w:szCs w:val="21"/>
        </w:rPr>
        <w:t>6.1  合同价款：依据乙方投标报价，运行服务费</w:t>
      </w:r>
      <w:r>
        <w:rPr>
          <w:rFonts w:hint="eastAsia" w:hAnsi="宋体" w:cs="宋体"/>
          <w:color w:val="auto"/>
          <w:sz w:val="21"/>
          <w:szCs w:val="21"/>
          <w:lang w:val="en-US" w:eastAsia="zh-CN"/>
        </w:rPr>
        <w:t>总价</w:t>
      </w:r>
      <w:r>
        <w:rPr>
          <w:rFonts w:hint="eastAsia" w:hAnsi="宋体" w:cs="宋体"/>
          <w:color w:val="auto"/>
          <w:sz w:val="21"/>
          <w:szCs w:val="21"/>
          <w:u w:val="single"/>
        </w:rPr>
        <w:t xml:space="preserve">          </w:t>
      </w:r>
      <w:r>
        <w:rPr>
          <w:rFonts w:hint="eastAsia" w:hAnsi="宋体" w:cs="宋体"/>
          <w:color w:val="auto"/>
          <w:sz w:val="21"/>
          <w:szCs w:val="21"/>
        </w:rPr>
        <w:t>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lang w:val="en-US" w:eastAsia="zh-CN"/>
        </w:rPr>
      </w:pPr>
      <w:r>
        <w:rPr>
          <w:rFonts w:hint="eastAsia" w:ascii="宋体" w:hAnsi="宋体" w:cs="宋体"/>
          <w:color w:val="auto"/>
          <w:szCs w:val="21"/>
        </w:rPr>
        <w:t>本次运</w:t>
      </w:r>
      <w:r>
        <w:rPr>
          <w:rFonts w:hint="eastAsia" w:ascii="宋体" w:hAnsi="宋体" w:cs="宋体"/>
          <w:color w:val="auto"/>
          <w:szCs w:val="21"/>
          <w:lang w:val="en-US" w:eastAsia="zh-CN"/>
        </w:rPr>
        <w:t>维</w:t>
      </w:r>
      <w:r>
        <w:rPr>
          <w:rFonts w:hint="eastAsia" w:ascii="宋体" w:hAnsi="宋体" w:cs="宋体"/>
          <w:color w:val="auto"/>
          <w:szCs w:val="21"/>
        </w:rPr>
        <w:t>服务费报价包括配套设施的养护（包含疏水阀、保温层、计量表、阀门、标示牌等）、管道及仪表的定期检测、计量系统的检查与统计、管道运行环境维护（清除杂草，监护第三方施工等）</w:t>
      </w:r>
      <w:r>
        <w:rPr>
          <w:rFonts w:hint="eastAsia" w:ascii="宋体" w:hAnsi="宋体" w:cs="宋体"/>
          <w:color w:val="auto"/>
          <w:szCs w:val="21"/>
          <w:lang w:eastAsia="zh-CN"/>
        </w:rPr>
        <w:t>、</w:t>
      </w:r>
      <w:r>
        <w:rPr>
          <w:rFonts w:hint="eastAsia" w:ascii="宋体" w:hAnsi="宋体" w:cs="宋体"/>
          <w:color w:val="auto"/>
          <w:szCs w:val="21"/>
          <w:lang w:val="en-US" w:eastAsia="zh-CN"/>
        </w:rPr>
        <w:t>人工费、保险费、设备维修保养费、办公管理费、住宿费、餐费、</w:t>
      </w:r>
      <w:r>
        <w:rPr>
          <w:rFonts w:hint="eastAsia" w:ascii="宋体" w:hAnsi="宋体" w:cs="宋体"/>
          <w:color w:val="auto"/>
          <w:szCs w:val="21"/>
          <w:lang w:eastAsia="zh-CN"/>
        </w:rPr>
        <w:t>交通费 (配备</w:t>
      </w:r>
      <w:r>
        <w:rPr>
          <w:rFonts w:hint="eastAsia" w:ascii="宋体" w:hAnsi="宋体" w:cs="宋体"/>
          <w:color w:val="auto"/>
          <w:szCs w:val="21"/>
          <w:lang w:val="en-US" w:eastAsia="zh-CN"/>
        </w:rPr>
        <w:t>1</w:t>
      </w:r>
      <w:r>
        <w:rPr>
          <w:rFonts w:hint="eastAsia" w:ascii="宋体" w:hAnsi="宋体" w:cs="宋体"/>
          <w:color w:val="auto"/>
          <w:szCs w:val="21"/>
          <w:lang w:eastAsia="zh-CN"/>
        </w:rPr>
        <w:t>辆车) 、技术服务费、</w:t>
      </w:r>
      <w:r>
        <w:rPr>
          <w:rFonts w:hint="eastAsia" w:ascii="宋体" w:hAnsi="宋体" w:cs="宋体"/>
          <w:color w:val="auto"/>
          <w:szCs w:val="21"/>
          <w:lang w:val="en-US" w:eastAsia="zh-CN"/>
        </w:rPr>
        <w:t>水电费、燃气费、利润、税金等以及其他不可预见的一切费用。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运维期间</w:t>
      </w:r>
      <w:r>
        <w:rPr>
          <w:rFonts w:hint="eastAsia" w:ascii="宋体" w:hAnsi="宋体" w:cs="宋体"/>
          <w:color w:val="auto"/>
          <w:szCs w:val="21"/>
        </w:rPr>
        <w:t>单项维修金额在</w:t>
      </w:r>
      <w:r>
        <w:rPr>
          <w:rFonts w:hint="eastAsia" w:ascii="宋体" w:hAnsi="宋体" w:cs="宋体"/>
          <w:color w:val="auto"/>
          <w:szCs w:val="21"/>
          <w:lang w:val="en-US" w:eastAsia="zh-CN"/>
        </w:rPr>
        <w:t>500</w:t>
      </w:r>
      <w:r>
        <w:rPr>
          <w:rFonts w:hint="eastAsia" w:ascii="宋体" w:hAnsi="宋体" w:cs="宋体"/>
          <w:color w:val="auto"/>
          <w:szCs w:val="21"/>
        </w:rPr>
        <w:t>元以内的</w:t>
      </w:r>
      <w:r>
        <w:rPr>
          <w:rFonts w:hint="eastAsia" w:ascii="宋体" w:hAnsi="宋体" w:cs="宋体"/>
          <w:color w:val="auto"/>
          <w:szCs w:val="21"/>
          <w:lang w:val="en-US" w:eastAsia="zh-CN"/>
        </w:rPr>
        <w:t>设施设备及设备</w:t>
      </w:r>
      <w:r>
        <w:rPr>
          <w:rFonts w:hint="eastAsia" w:ascii="宋体" w:hAnsi="宋体" w:cs="宋体"/>
          <w:color w:val="auto"/>
          <w:szCs w:val="21"/>
        </w:rPr>
        <w:t>零部件，由运行管理单位自行维修或更换设备（原则上按原设备品牌型号进行更换），</w:t>
      </w:r>
      <w:r>
        <w:rPr>
          <w:rFonts w:hint="eastAsia" w:ascii="宋体" w:hAnsi="宋体" w:cs="宋体"/>
          <w:color w:val="auto"/>
          <w:szCs w:val="21"/>
          <w:lang w:val="en-US" w:eastAsia="zh-CN"/>
        </w:rPr>
        <w:t>年维修总金额低于2.5万元，</w:t>
      </w:r>
      <w:r>
        <w:rPr>
          <w:rFonts w:hint="eastAsia" w:ascii="宋体" w:hAnsi="宋体" w:cs="宋体"/>
          <w:color w:val="auto"/>
          <w:szCs w:val="21"/>
        </w:rPr>
        <w:t>费用自行承担</w:t>
      </w:r>
      <w:r>
        <w:rPr>
          <w:rFonts w:hint="eastAsia" w:ascii="宋体" w:hAnsi="宋体" w:cs="宋体"/>
          <w:color w:val="auto"/>
          <w:szCs w:val="21"/>
          <w:lang w:eastAsia="zh-CN"/>
        </w:rPr>
        <w:t>（需提供维修证明相关材料）。</w:t>
      </w:r>
      <w:r>
        <w:rPr>
          <w:rFonts w:hint="eastAsia" w:ascii="宋体" w:hAnsi="宋体" w:cs="宋体"/>
          <w:color w:val="auto"/>
          <w:szCs w:val="21"/>
        </w:rPr>
        <w:t>经维修的设备再出现同样故障由运行管理单位自行更换，费用自担</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6.2付款方式：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1、本项目按半年度进行支付，实际支付金额=中标金额÷2×季度平均考核得分支付比例。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color w:val="auto"/>
          <w:sz w:val="21"/>
          <w:szCs w:val="21"/>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本项目无预付款，结算周期为6个月一次，在结算时，向招标人提交各项维保记录的运营报告和相关部门运营考核表，申请核拨运行费；招标人于15 个工作日内完成审核，并根据考核结果发放相应服务费。季度考核平均分≥90分的支付应付金额的100%；考核平均分为80-89分的支付应付金额的95%；考核平均分为70-79分的支付应付金额的90%；考核平均分低于70分（不含70分）的支付应付金额的80%并终止运维合同。</w:t>
      </w:r>
    </w:p>
    <w:p>
      <w:pPr>
        <w:pStyle w:val="13"/>
        <w:spacing w:line="400" w:lineRule="exact"/>
        <w:ind w:firstLine="420" w:firstLineChars="200"/>
        <w:rPr>
          <w:rFonts w:hAnsi="宋体" w:cs="宋体"/>
          <w:color w:val="auto"/>
          <w:sz w:val="21"/>
          <w:szCs w:val="21"/>
        </w:rPr>
      </w:pPr>
      <w:r>
        <w:rPr>
          <w:rFonts w:hint="eastAsia" w:hAnsi="宋体" w:cs="宋体"/>
          <w:color w:val="auto"/>
          <w:sz w:val="21"/>
          <w:szCs w:val="21"/>
        </w:rPr>
        <w:t>注：按以上付款进度，无任何利息补偿。</w:t>
      </w:r>
    </w:p>
    <w:p>
      <w:pPr>
        <w:pStyle w:val="13"/>
        <w:numPr>
          <w:ilvl w:val="0"/>
          <w:numId w:val="5"/>
        </w:numPr>
        <w:spacing w:line="400" w:lineRule="exact"/>
        <w:ind w:firstLine="420" w:firstLineChars="200"/>
        <w:outlineLvl w:val="0"/>
        <w:rPr>
          <w:rFonts w:hint="eastAsia" w:ascii="宋体" w:hAnsi="宋体" w:eastAsia="宋体" w:cs="Times New Roman"/>
          <w:bCs/>
          <w:color w:val="auto"/>
          <w:sz w:val="21"/>
          <w:szCs w:val="21"/>
          <w:highlight w:val="none"/>
          <w:lang w:val="en-US" w:eastAsia="zh-CN"/>
        </w:rPr>
      </w:pPr>
      <w:r>
        <w:rPr>
          <w:rFonts w:hint="eastAsia" w:hAnsi="宋体" w:cs="宋体"/>
          <w:color w:val="auto"/>
          <w:sz w:val="21"/>
          <w:szCs w:val="21"/>
          <w:highlight w:val="none"/>
        </w:rPr>
        <w:t>双方</w:t>
      </w:r>
      <w:r>
        <w:rPr>
          <w:rFonts w:hint="eastAsia" w:ascii="宋体" w:hAnsi="宋体" w:eastAsia="宋体" w:cs="Times New Roman"/>
          <w:bCs/>
          <w:color w:val="auto"/>
          <w:sz w:val="21"/>
          <w:szCs w:val="21"/>
          <w:highlight w:val="none"/>
          <w:lang w:val="en-US" w:eastAsia="zh-CN"/>
        </w:rPr>
        <w:t>权利和义务</w:t>
      </w:r>
    </w:p>
    <w:p>
      <w:pPr>
        <w:pStyle w:val="13"/>
        <w:spacing w:line="400" w:lineRule="exact"/>
        <w:ind w:firstLine="420" w:firstLineChars="200"/>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 甲方的权利和义务</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1）、甲方有权检查乙方派驻人员，对乙方工作进行考核；</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2）、甲方有权根据设备的运维情况随时检查乙方的工作、维保记录。并对乙方的工作提出监督、忠告和处理；</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3）、甲方有权随时制止乙方任何违章作业行为和方案的执行，由此造成的后果与责任由乙方承担。</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4）、甲方有义务对乙方工作进行及时准确公正考核并及时支付费用。</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7.2乙方的权利义务</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1）、乙方运维人员应具有相关证书和经验；</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2）、乙方应定期定时进行设备设施的维保服务；</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3）、乙方应对承包期内所用员工、设备及维保行为安全负责。若出现人生伤亡等安全事件发生，则由乙方承担一切法律责任；</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4）、乙方应随时保持所负责运维服务范围设备卫生及设备区域卫生，乙方在运维、维护期间坚持文明卫生，做到卫生清理及时；</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乙方在承包期内，必须严格遵守法律法规和甲方各项有关规定，维护甲方的利益和形象，不得拖欠工人工资及社会保险。应始终采取一切合理的预防措施，防止职员和工人发生任何违法、暴乱或妨害治安的行为。</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6）、乙方要建立运行事故应急预案，及时解决突发性问题，防止事态扩大。</w:t>
      </w:r>
    </w:p>
    <w:p>
      <w:pPr>
        <w:pStyle w:val="13"/>
        <w:spacing w:line="400" w:lineRule="exact"/>
        <w:ind w:firstLine="420" w:firstLineChars="200"/>
        <w:outlineLvl w:val="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7）、乙方在本合同承包期内，不得以甲方名义对外发生除与本蒸汽管道运维有关事项外的民商事关系。若事因与本蒸汽管道运维有关事项对外发生民商事关系，应事先告知并征得甲方同意。若未征得甲方同意而与之发生关系所造成的经济损失，则由乙方自行承担责任。 </w:t>
      </w:r>
    </w:p>
    <w:p>
      <w:pPr>
        <w:pStyle w:val="13"/>
        <w:spacing w:line="400" w:lineRule="exact"/>
        <w:ind w:firstLine="420" w:firstLineChars="200"/>
        <w:outlineLvl w:val="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8）、乙方在本合同承包期内，因乙方人员责任或因乙方对作业现场管理不善等原因，发生生产安全事故、火灾事故、治安案件及刑事案件的，由乙方承担全部责任。对造成甲方及第三方人员伤亡、财产损失的，乙方承担由此给甲方及第三方造成的全部损失。</w:t>
      </w:r>
    </w:p>
    <w:p>
      <w:pPr>
        <w:pStyle w:val="13"/>
        <w:spacing w:line="400" w:lineRule="exact"/>
        <w:ind w:firstLine="422" w:firstLineChars="200"/>
        <w:outlineLvl w:val="0"/>
        <w:rPr>
          <w:rFonts w:hAnsi="宋体" w:cs="宋体"/>
          <w:color w:val="auto"/>
          <w:sz w:val="21"/>
          <w:szCs w:val="21"/>
          <w:highlight w:val="none"/>
        </w:rPr>
      </w:pPr>
      <w:r>
        <w:rPr>
          <w:rFonts w:hint="eastAsia" w:hAnsi="宋体" w:cs="宋体"/>
          <w:b/>
          <w:bCs/>
          <w:color w:val="auto"/>
          <w:sz w:val="21"/>
          <w:szCs w:val="21"/>
          <w:highlight w:val="none"/>
        </w:rPr>
        <w:t>八 、不可抗力</w:t>
      </w:r>
      <w:r>
        <w:rPr>
          <w:rFonts w:hint="eastAsia" w:hAnsi="宋体" w:cs="宋体"/>
          <w:color w:val="auto"/>
          <w:sz w:val="21"/>
          <w:szCs w:val="21"/>
          <w:highlight w:val="none"/>
        </w:rPr>
        <w:t> </w:t>
      </w:r>
    </w:p>
    <w:p>
      <w:pPr>
        <w:pStyle w:val="13"/>
        <w:spacing w:line="400" w:lineRule="exact"/>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8.1不可抗力的定义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不可抗力事件是指双方在签署本合同时不能预见、并且对发生及后果不能避免并且超过合理控制范围的、不能克服的自然事件和社会事件。此类事件包括：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（1）雷电、地震、火山爆发、滑坡、水灾、冰灾、暴雨、海啸、台风、龙卷风或旱灾等自然灾害；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（2）流行病、饥荒或瘟疫；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（3）战争行为、入侵、武装冲突或外敌行为、封锁或军事力量的使用，暴乱或恐怖行为；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（4）全国性、地区性、城市性或行业性罢工；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（5）由于不能归因于乙方的原因引起的供电中断；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（6）国家征用、征收；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（7）导致本合同实际上不能履行的法律变更。   </w:t>
      </w:r>
    </w:p>
    <w:p>
      <w:pPr>
        <w:pStyle w:val="13"/>
        <w:spacing w:line="400" w:lineRule="exact"/>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8.2 不可抗力的影响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若不可抗力事件的发生完全或部分妨碍一方履行本合同项下的任何义务，则该方可暂停履行其义务，但前提是：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1）暂停履行的范围和时间不超过消除不可抗力事件影响的合理需要；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2）受不可抗力事件影响的一方应继续履行本合同下未受不可抗力事件影响的其他义务，包括所有到期付款的义务；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3）一旦不可抗力事件结束，受不可抗力影响方应尽快恢复履行本合同。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8.3 若任何一方因不可抗力事件而不能履行本合同，则该方应尽快书面通知另一方。该通知中应说明不可抗力事件的发生日期和预计持续的时间、事件性质、对该方履行本合同的影响及该方为减少不可抗力事件影响所采取的措施。 </w:t>
      </w:r>
    </w:p>
    <w:p>
      <w:pPr>
        <w:pStyle w:val="13"/>
        <w:spacing w:line="400" w:lineRule="exact"/>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8.4受不可抗力事件影响的一方应在不可抗力事件发生之日(如遇通讯中断，则自通讯恢复之日)起 10 天内向另一方提供一份由不可抗力事件发生地公证机构出具的证明文件。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8.5 受不可抗力事件影响的一方应采取合理的措施，以减少因不可抗力事件给另一方或双方带来的损失。双方应及时协商制定并实施补救计划及合理的替代措施以减少或消除不可抗力事件的影响。如果受不可抗力事件影响的一方未能尽其努力采取合理措施减少不可抗力事件的影响，则该方应承担由此而扩大的损失。 </w:t>
      </w:r>
    </w:p>
    <w:p>
      <w:pPr>
        <w:pStyle w:val="13"/>
        <w:spacing w:line="400" w:lineRule="exact"/>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九、违约责任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9.1 任何一方违反本合同规定的任何条款或条件导致本合同不能履行或部分不能履行，违约一方应承担违约责任，并赔偿由此给对方造成的经济损失。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9.2 在合同期内，任何一方非因不可抗力或合同中规定的条款而解除本合同的应支付给对方违约金。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9.3合同期内，若甲方将本项目转让不影响本合同继续履行，甲方应确保受让方必须遵本协议的内容执行合同；若导致无法继续履行合同的，甲方应赔偿包括乙方人工成本、新建设施、新增设备等的损失。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9.4 乙方未经甲方同意终止合同或撤出部分或全部的运行人员，导致环境污染，所造成的一切责任及损失由乙方承担全部赔偿，并没收履约保证金。 </w:t>
      </w:r>
    </w:p>
    <w:p>
      <w:pPr>
        <w:pStyle w:val="13"/>
        <w:spacing w:line="400" w:lineRule="exact"/>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十、争端的解决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甲乙双方在履行本合同过程中出现争议，应先友好协商解决；若协商不成, 则由甲方所在地人民法院管辖。 </w:t>
      </w:r>
    </w:p>
    <w:p>
      <w:pPr>
        <w:pStyle w:val="13"/>
        <w:spacing w:line="400" w:lineRule="exact"/>
        <w:ind w:firstLine="420" w:firstLineChars="200"/>
        <w:outlineLvl w:val="0"/>
        <w:rPr>
          <w:rFonts w:hAnsi="宋体" w:cs="宋体"/>
          <w:color w:val="auto"/>
          <w:sz w:val="21"/>
          <w:szCs w:val="21"/>
          <w:highlight w:val="none"/>
        </w:rPr>
      </w:pPr>
      <w:r>
        <w:rPr>
          <w:rFonts w:hint="eastAsia" w:hAnsi="宋体" w:cs="宋体"/>
          <w:color w:val="auto"/>
          <w:sz w:val="21"/>
          <w:szCs w:val="21"/>
          <w:highlight w:val="none"/>
        </w:rPr>
        <w:t>十一、其它事项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11.1 对本合同的修改、变更、补充，必须经甲乙双方在共同协商的基础上签署书面补充合同，补充合同与本合同具有同等效力。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11.2除非导致合同的终止，针对本合同的任何违约责任的追究及责任承担，均不影响本协议之继续履行。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11.3上述资产移交表为本合同的附件，与合同正文具有同等法律效力。 </w:t>
      </w:r>
    </w:p>
    <w:p>
      <w:pPr>
        <w:pStyle w:val="13"/>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11.</w:t>
      </w:r>
      <w:r>
        <w:rPr>
          <w:rFonts w:hAnsi="宋体" w:cs="宋体"/>
          <w:color w:val="auto"/>
          <w:sz w:val="21"/>
          <w:szCs w:val="21"/>
          <w:highlight w:val="none"/>
        </w:rPr>
        <w:t>4</w:t>
      </w:r>
      <w:r>
        <w:rPr>
          <w:rFonts w:hint="eastAsia" w:hAnsi="宋体" w:cs="宋体"/>
          <w:color w:val="auto"/>
          <w:sz w:val="21"/>
          <w:szCs w:val="21"/>
          <w:highlight w:val="none"/>
        </w:rPr>
        <w:t>乙方</w:t>
      </w:r>
      <w:r>
        <w:rPr>
          <w:rFonts w:hAnsi="宋体" w:cs="宋体"/>
          <w:color w:val="auto"/>
          <w:sz w:val="21"/>
          <w:szCs w:val="21"/>
          <w:highlight w:val="none"/>
        </w:rPr>
        <w:t>的送达地址：</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Ansi="宋体" w:cs="宋体"/>
          <w:color w:val="auto"/>
          <w:sz w:val="21"/>
          <w:szCs w:val="21"/>
          <w:highlight w:val="none"/>
        </w:rPr>
        <w:t>甲方</w:t>
      </w:r>
      <w:r>
        <w:rPr>
          <w:rFonts w:hint="eastAsia" w:hAnsi="宋体" w:cs="宋体"/>
          <w:color w:val="auto"/>
          <w:sz w:val="21"/>
          <w:szCs w:val="21"/>
          <w:highlight w:val="none"/>
        </w:rPr>
        <w:t>将</w:t>
      </w:r>
      <w:r>
        <w:rPr>
          <w:rFonts w:hAnsi="宋体" w:cs="宋体"/>
          <w:color w:val="auto"/>
          <w:sz w:val="21"/>
          <w:szCs w:val="21"/>
          <w:highlight w:val="none"/>
        </w:rPr>
        <w:t>有关文书以挂号信或</w:t>
      </w:r>
      <w:r>
        <w:rPr>
          <w:rFonts w:hint="eastAsia" w:hAnsi="宋体" w:cs="宋体"/>
          <w:color w:val="auto"/>
          <w:sz w:val="21"/>
          <w:szCs w:val="21"/>
          <w:highlight w:val="none"/>
        </w:rPr>
        <w:t>EMS向</w:t>
      </w:r>
      <w:r>
        <w:rPr>
          <w:rFonts w:hAnsi="宋体" w:cs="宋体"/>
          <w:color w:val="auto"/>
          <w:sz w:val="21"/>
          <w:szCs w:val="21"/>
          <w:highlight w:val="none"/>
        </w:rPr>
        <w:t>乙方</w:t>
      </w:r>
      <w:r>
        <w:rPr>
          <w:rFonts w:hint="eastAsia" w:hAnsi="宋体" w:cs="宋体"/>
          <w:color w:val="auto"/>
          <w:sz w:val="21"/>
          <w:szCs w:val="21"/>
          <w:highlight w:val="none"/>
        </w:rPr>
        <w:t>上述</w:t>
      </w:r>
      <w:r>
        <w:rPr>
          <w:rFonts w:hAnsi="宋体" w:cs="宋体"/>
          <w:color w:val="auto"/>
          <w:sz w:val="21"/>
          <w:szCs w:val="21"/>
          <w:highlight w:val="none"/>
        </w:rPr>
        <w:t>地址邮寄的</w:t>
      </w:r>
      <w:r>
        <w:rPr>
          <w:rFonts w:hint="eastAsia" w:hAnsi="宋体" w:cs="宋体"/>
          <w:color w:val="auto"/>
          <w:sz w:val="21"/>
          <w:szCs w:val="21"/>
          <w:highlight w:val="none"/>
        </w:rPr>
        <w:t>即</w:t>
      </w:r>
      <w:r>
        <w:rPr>
          <w:rFonts w:hAnsi="宋体" w:cs="宋体"/>
          <w:color w:val="auto"/>
          <w:sz w:val="21"/>
          <w:szCs w:val="21"/>
          <w:highlight w:val="none"/>
        </w:rPr>
        <w:t>视为送达。</w:t>
      </w:r>
      <w:r>
        <w:rPr>
          <w:rFonts w:hint="eastAsia" w:hAnsi="宋体" w:cs="宋体"/>
          <w:color w:val="auto"/>
          <w:sz w:val="21"/>
          <w:szCs w:val="21"/>
          <w:highlight w:val="none"/>
        </w:rPr>
        <w:t>如</w:t>
      </w:r>
      <w:r>
        <w:rPr>
          <w:rFonts w:hAnsi="宋体" w:cs="宋体"/>
          <w:color w:val="auto"/>
          <w:sz w:val="21"/>
          <w:szCs w:val="21"/>
          <w:highlight w:val="none"/>
        </w:rPr>
        <w:t>乙方的送达</w:t>
      </w:r>
      <w:r>
        <w:rPr>
          <w:rFonts w:hint="eastAsia" w:hAnsi="宋体" w:cs="宋体"/>
          <w:color w:val="auto"/>
          <w:sz w:val="21"/>
          <w:szCs w:val="21"/>
          <w:highlight w:val="none"/>
        </w:rPr>
        <w:t>地址</w:t>
      </w:r>
      <w:r>
        <w:rPr>
          <w:rFonts w:hAnsi="宋体" w:cs="宋体"/>
          <w:color w:val="auto"/>
          <w:sz w:val="21"/>
          <w:szCs w:val="21"/>
          <w:highlight w:val="none"/>
        </w:rPr>
        <w:t>发生变化</w:t>
      </w:r>
      <w:r>
        <w:rPr>
          <w:rFonts w:hint="eastAsia" w:hAnsi="宋体" w:cs="宋体"/>
          <w:color w:val="auto"/>
          <w:sz w:val="21"/>
          <w:szCs w:val="21"/>
          <w:highlight w:val="none"/>
        </w:rPr>
        <w:t>，</w:t>
      </w:r>
      <w:r>
        <w:rPr>
          <w:rFonts w:hAnsi="宋体" w:cs="宋体"/>
          <w:color w:val="auto"/>
          <w:sz w:val="21"/>
          <w:szCs w:val="21"/>
          <w:highlight w:val="none"/>
        </w:rPr>
        <w:t>应及时以书面的方式通知甲方。如</w:t>
      </w:r>
      <w:r>
        <w:rPr>
          <w:rFonts w:hint="eastAsia" w:hAnsi="宋体" w:cs="宋体"/>
          <w:color w:val="auto"/>
          <w:sz w:val="21"/>
          <w:szCs w:val="21"/>
          <w:highlight w:val="none"/>
        </w:rPr>
        <w:t>因</w:t>
      </w:r>
      <w:r>
        <w:rPr>
          <w:rFonts w:hAnsi="宋体" w:cs="宋体"/>
          <w:color w:val="auto"/>
          <w:sz w:val="21"/>
          <w:szCs w:val="21"/>
          <w:highlight w:val="none"/>
        </w:rPr>
        <w:t>乙方提供</w:t>
      </w:r>
      <w:r>
        <w:rPr>
          <w:rFonts w:hint="eastAsia" w:hAnsi="宋体" w:cs="宋体"/>
          <w:color w:val="auto"/>
          <w:sz w:val="21"/>
          <w:szCs w:val="21"/>
          <w:highlight w:val="none"/>
        </w:rPr>
        <w:t>地址</w:t>
      </w:r>
      <w:r>
        <w:rPr>
          <w:rFonts w:hAnsi="宋体" w:cs="宋体"/>
          <w:color w:val="auto"/>
          <w:sz w:val="21"/>
          <w:szCs w:val="21"/>
          <w:highlight w:val="none"/>
        </w:rPr>
        <w:t>不准确或不及时告知变更地址，使相关文书无法送达或未及时送达，视该文件已送达，乙方自行承担由此可能产生的法律后果。如</w:t>
      </w:r>
      <w:r>
        <w:rPr>
          <w:rFonts w:hint="eastAsia" w:hAnsi="宋体" w:cs="宋体"/>
          <w:color w:val="auto"/>
          <w:sz w:val="21"/>
          <w:szCs w:val="21"/>
          <w:highlight w:val="none"/>
        </w:rPr>
        <w:t>发生</w:t>
      </w:r>
      <w:r>
        <w:rPr>
          <w:rFonts w:hAnsi="宋体" w:cs="宋体"/>
          <w:color w:val="auto"/>
          <w:sz w:val="21"/>
          <w:szCs w:val="21"/>
          <w:highlight w:val="none"/>
        </w:rPr>
        <w:t>诉讼、执行，人民法院可以将上述地址确认为送达地址。</w:t>
      </w:r>
    </w:p>
    <w:p>
      <w:pPr>
        <w:pStyle w:val="13"/>
        <w:numPr>
          <w:ilvl w:val="0"/>
          <w:numId w:val="6"/>
        </w:numPr>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本合同自甲、乙双方签字盖章之日起生效，本合同一式六份，甲、乙双方各执存三份。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lang w:eastAsia="zh-CN"/>
        </w:rPr>
        <w:t>盐城大丰新创能源有限公司</w:t>
      </w:r>
      <w:r>
        <w:rPr>
          <w:rFonts w:hint="eastAsia" w:hAnsi="宋体" w:cs="宋体"/>
          <w:color w:val="auto"/>
          <w:sz w:val="21"/>
          <w:szCs w:val="21"/>
          <w:highlight w:val="none"/>
        </w:rPr>
        <w:t xml:space="preserve">  </w:t>
      </w:r>
      <w:r>
        <w:rPr>
          <w:rFonts w:hAnsi="宋体" w:cs="宋体"/>
          <w:color w:val="auto"/>
          <w:sz w:val="21"/>
          <w:szCs w:val="21"/>
          <w:highlight w:val="none"/>
        </w:rPr>
        <w:t xml:space="preserve">    </w:t>
      </w:r>
      <w:r>
        <w:rPr>
          <w:rFonts w:hint="eastAsia" w:hAnsi="宋体" w:cs="宋体"/>
          <w:color w:val="auto"/>
          <w:sz w:val="21"/>
          <w:szCs w:val="21"/>
          <w:highlight w:val="none"/>
        </w:rPr>
        <w:t xml:space="preserve">    </w:t>
      </w:r>
      <w:r>
        <w:rPr>
          <w:rFonts w:hAnsi="宋体" w:cs="宋体"/>
          <w:color w:val="auto"/>
          <w:sz w:val="21"/>
          <w:szCs w:val="21"/>
          <w:highlight w:val="non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乙方：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                    法定代表人：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或授权代理人：                   或授权代理人：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开户银行：                  </w:t>
      </w:r>
      <w:r>
        <w:rPr>
          <w:rFonts w:hAnsi="宋体" w:cs="宋体"/>
          <w:color w:val="auto"/>
          <w:sz w:val="21"/>
          <w:szCs w:val="21"/>
          <w:highlight w:val="none"/>
        </w:rPr>
        <w:t xml:space="preserve"> </w:t>
      </w:r>
      <w:r>
        <w:rPr>
          <w:rFonts w:hint="eastAsia" w:hAnsi="宋体" w:cs="宋体"/>
          <w:color w:val="auto"/>
          <w:sz w:val="21"/>
          <w:szCs w:val="21"/>
          <w:highlight w:val="none"/>
        </w:rPr>
        <w:t xml:space="preserve">  开户银行：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帐号：                    </w:t>
      </w:r>
      <w:r>
        <w:rPr>
          <w:rFonts w:hAnsi="宋体" w:cs="宋体"/>
          <w:color w:val="auto"/>
          <w:sz w:val="21"/>
          <w:szCs w:val="21"/>
          <w:highlight w:val="none"/>
        </w:rPr>
        <w:t xml:space="preserve"> </w:t>
      </w:r>
      <w:r>
        <w:rPr>
          <w:rFonts w:hint="eastAsia" w:hAnsi="宋体" w:cs="宋体"/>
          <w:color w:val="auto"/>
          <w:sz w:val="21"/>
          <w:szCs w:val="21"/>
          <w:highlight w:val="none"/>
        </w:rPr>
        <w:t xml:space="preserve">  帐号：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联 系 人：                     联 系 人： </w:t>
      </w:r>
    </w:p>
    <w:p>
      <w:pPr>
        <w:pStyle w:val="13"/>
        <w:adjustRightInd w:val="0"/>
        <w:snapToGrid w:val="0"/>
        <w:spacing w:line="500" w:lineRule="exact"/>
        <w:ind w:firstLine="420" w:firstLineChars="200"/>
        <w:rPr>
          <w:rFonts w:ascii="宋体" w:hAnsi="宋体" w:cs="宋体"/>
          <w:b/>
          <w:bCs/>
          <w:color w:val="auto"/>
          <w:sz w:val="44"/>
          <w:szCs w:val="44"/>
          <w:highlight w:val="none"/>
        </w:rPr>
      </w:pPr>
      <w:r>
        <w:rPr>
          <w:rFonts w:hint="eastAsia" w:hAnsi="宋体" w:cs="宋体"/>
          <w:color w:val="auto"/>
          <w:sz w:val="21"/>
          <w:szCs w:val="21"/>
          <w:highlight w:val="none"/>
        </w:rPr>
        <w:t xml:space="preserve">时间： </w:t>
      </w:r>
      <w:r>
        <w:rPr>
          <w:rFonts w:hAnsi="宋体" w:cs="宋体"/>
          <w:color w:val="auto"/>
          <w:sz w:val="21"/>
          <w:szCs w:val="21"/>
          <w:highlight w:val="none"/>
        </w:rPr>
        <w:t xml:space="preserve"> </w:t>
      </w:r>
      <w:r>
        <w:rPr>
          <w:rFonts w:hint="eastAsia" w:hAnsi="宋体" w:cs="宋体"/>
          <w:color w:val="auto"/>
          <w:sz w:val="21"/>
          <w:szCs w:val="21"/>
          <w:highlight w:val="none"/>
        </w:rPr>
        <w:t>年  月</w:t>
      </w:r>
      <w:r>
        <w:rPr>
          <w:rFonts w:hAnsi="宋体" w:cs="宋体"/>
          <w:color w:val="auto"/>
          <w:sz w:val="21"/>
          <w:szCs w:val="21"/>
          <w:highlight w:val="none"/>
        </w:rPr>
        <w:t xml:space="preserve">  </w:t>
      </w:r>
      <w:r>
        <w:rPr>
          <w:rFonts w:hint="eastAsia" w:hAnsi="宋体" w:cs="宋体"/>
          <w:color w:val="auto"/>
          <w:sz w:val="21"/>
          <w:szCs w:val="21"/>
          <w:highlight w:val="none"/>
        </w:rPr>
        <w:t xml:space="preserve"> 日             </w:t>
      </w:r>
      <w:r>
        <w:rPr>
          <w:rFonts w:hAnsi="宋体" w:cs="宋体"/>
          <w:color w:val="auto"/>
          <w:sz w:val="21"/>
          <w:szCs w:val="21"/>
          <w:highlight w:val="none"/>
        </w:rPr>
        <w:t xml:space="preserve"> </w:t>
      </w:r>
      <w:r>
        <w:rPr>
          <w:rFonts w:hint="eastAsia" w:hAnsi="宋体" w:cs="宋体"/>
          <w:color w:val="auto"/>
          <w:sz w:val="21"/>
          <w:szCs w:val="21"/>
          <w:highlight w:val="none"/>
        </w:rPr>
        <w:t xml:space="preserve">  时间：  年  月  日</w:t>
      </w:r>
    </w:p>
    <w:p>
      <w:pPr>
        <w:jc w:val="center"/>
        <w:rPr>
          <w:rFonts w:hint="eastAsia" w:ascii="宋体" w:hAnsi="宋体" w:cs="宋体"/>
          <w:b/>
          <w:bCs/>
          <w:color w:val="auto"/>
          <w:sz w:val="44"/>
          <w:szCs w:val="44"/>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安全协议书 </w:t>
      </w:r>
    </w:p>
    <w:p>
      <w:pPr>
        <w:rPr>
          <w:rFonts w:ascii="宋体" w:hAnsi="宋体" w:cs="宋体"/>
          <w:b/>
          <w:bCs/>
          <w:color w:val="auto"/>
          <w:szCs w:val="21"/>
          <w:highlight w:val="none"/>
        </w:rPr>
      </w:pPr>
    </w:p>
    <w:p>
      <w:pPr>
        <w:spacing w:line="360" w:lineRule="auto"/>
        <w:rPr>
          <w:rFonts w:hint="eastAsia" w:ascii="宋体" w:hAnsi="宋体" w:eastAsia="宋体" w:cs="宋体"/>
          <w:b/>
          <w:bCs/>
          <w:color w:val="auto"/>
          <w:szCs w:val="21"/>
          <w:highlight w:val="none"/>
          <w:u w:val="single"/>
          <w:lang w:eastAsia="zh-CN"/>
        </w:rPr>
      </w:pPr>
      <w:r>
        <w:rPr>
          <w:rFonts w:hint="eastAsia" w:ascii="宋体" w:hAnsi="宋体" w:cs="宋体"/>
          <w:b/>
          <w:bCs/>
          <w:color w:val="auto"/>
          <w:szCs w:val="21"/>
          <w:highlight w:val="none"/>
        </w:rPr>
        <w:t>甲方</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eastAsia="zh-CN"/>
        </w:rPr>
        <w:t>盐城大丰新创能源有限公司</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乙方</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为确保进入甲方区域后工作顺利完成，防止发生生产安全事故，依据《中华人民共和国安全生产法》和相关法律法规及本公司规定，经甲、乙双方平等协商，就乙方在甲方工作期间的安全管理工作签订协议如下：</w:t>
      </w:r>
    </w:p>
    <w:p>
      <w:pPr>
        <w:numPr>
          <w:ilvl w:val="0"/>
          <w:numId w:val="7"/>
        </w:numPr>
        <w:spacing w:line="360" w:lineRule="auto"/>
        <w:ind w:left="0"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 乙方进入甲方从事各项工作，应当严格遵守甲方的各项管理规定，并接受甲方的监督。  </w:t>
      </w:r>
    </w:p>
    <w:p>
      <w:pPr>
        <w:numPr>
          <w:ilvl w:val="0"/>
          <w:numId w:val="7"/>
        </w:numPr>
        <w:spacing w:line="360" w:lineRule="auto"/>
        <w:ind w:left="0"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 乙方接受甲方安全管理的内容包生产安全，人身安全，设备安全、交通安全、环境保护、治安、消防等方面。</w:t>
      </w:r>
    </w:p>
    <w:p>
      <w:pPr>
        <w:numPr>
          <w:ilvl w:val="0"/>
          <w:numId w:val="7"/>
        </w:numPr>
        <w:spacing w:line="360" w:lineRule="auto"/>
        <w:ind w:left="0"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 甲方的权利和义务  </w:t>
      </w:r>
    </w:p>
    <w:p>
      <w:pPr>
        <w:numPr>
          <w:ilvl w:val="0"/>
          <w:numId w:val="8"/>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甲方负责向乙方告知甲方的安全生产管理规定和安全注意事项。</w:t>
      </w:r>
    </w:p>
    <w:p>
      <w:pPr>
        <w:numPr>
          <w:ilvl w:val="0"/>
          <w:numId w:val="8"/>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甲方监督乙方是否根据双方合作合同进入甲方场地工作。</w:t>
      </w:r>
    </w:p>
    <w:p>
      <w:pPr>
        <w:numPr>
          <w:ilvl w:val="0"/>
          <w:numId w:val="8"/>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甲方负责对双方合作合同中有关乙方工作区域、工作内容、安全管理职责等内容进行核对确认，并为乙方办理入厂手续。 </w:t>
      </w:r>
    </w:p>
    <w:p>
      <w:pPr>
        <w:numPr>
          <w:ilvl w:val="0"/>
          <w:numId w:val="8"/>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对乙方的违章操作行为或不服从甲方监督的行为，甲方有权依据甲方制定给予处罚，直至解除合作合同，所有责任均由乙方承担。 </w:t>
      </w:r>
    </w:p>
    <w:p>
      <w:pPr>
        <w:numPr>
          <w:ilvl w:val="0"/>
          <w:numId w:val="7"/>
        </w:numPr>
        <w:spacing w:line="360" w:lineRule="auto"/>
        <w:ind w:left="0"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乙方的权利和义务  </w:t>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乙方应该遵守国家、地方政府制定的安全生产法律法规和安全技术规程，遵守甲方的所有的规章制度。</w:t>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乙方应接受甲方对乙方安全生产资质审核，按照甲方规定进行登记，办理入厂手续。</w:t>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乙方应该接受甲方工作区域的安全管理工作，对工作区域、工作内容进行安全指导和检查，对检测发现的安全隐患，及时进行整改。如解决不力而被甲方勒令停工，停工所造成的损失由乙方全部承担。 </w:t>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乙方应严格审核委派的特种作业人员的上岗资质，特种作业人员应做到持证上岗，并向甲方提供相关证照资料复印件。因提供虚假资料，导致的所有责任均由乙方承担。</w:t>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乙方工作中需明火作业、安装临时接线装置时，须到甲方办理审批手续。乙方自备的各种机电设备、施工机械要有齐全的安全装置。违反本条导致的所有责任均由乙方承担。  </w:t>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乙方应爱护甲方的设备、物资和各种设施，因擅自动用导致的损失，由乙方负责赔偿，乙方自备的各类物资由乙方自行妥善保管，丢失、损坏等均与甲方无关。 </w:t>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在工作过程中，甲方提供的工作区域有安全隐患，乙方有权及时要求甲方整改，否则所有责任后果均由乙方承担。  </w:t>
      </w:r>
    </w:p>
    <w:p>
      <w:pPr>
        <w:numPr>
          <w:ilvl w:val="0"/>
          <w:numId w:val="7"/>
        </w:numPr>
        <w:spacing w:line="360" w:lineRule="auto"/>
        <w:ind w:left="0" w:firstLine="422" w:firstLineChars="200"/>
        <w:rPr>
          <w:rFonts w:ascii="宋体" w:hAnsi="宋体" w:cs="宋体"/>
          <w:color w:val="auto"/>
          <w:szCs w:val="21"/>
          <w:highlight w:val="none"/>
        </w:rPr>
      </w:pPr>
      <w:r>
        <w:rPr>
          <w:rFonts w:hint="eastAsia" w:ascii="宋体" w:hAnsi="宋体" w:cs="宋体"/>
          <w:b/>
          <w:bCs/>
          <w:color w:val="auto"/>
          <w:szCs w:val="21"/>
          <w:highlight w:val="none"/>
        </w:rPr>
        <w:t>在乙方进入甲方区域工作期间，因乙方人员责任或因乙方对作业现场管理不善等原因，发生生产安全事故、火灾事故、治安案件及刑事案件的，由乙方承担全部责任。对造成甲方及第三方人员伤亡、财产损失的，乙方承担由此给甲方及第三方造成的全部损失。</w:t>
      </w:r>
    </w:p>
    <w:p>
      <w:pPr>
        <w:numPr>
          <w:ilvl w:val="0"/>
          <w:numId w:val="7"/>
        </w:numPr>
        <w:spacing w:line="360" w:lineRule="auto"/>
        <w:ind w:left="0"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本协议一式二份，甲乙双方各执一份，自双方法定代表人或授权委托人签章盖章之日生效。  </w:t>
      </w:r>
      <w:r>
        <w:rPr>
          <w:rFonts w:hint="eastAsia" w:ascii="宋体" w:hAnsi="宋体" w:cs="宋体"/>
          <w:color w:val="auto"/>
          <w:szCs w:val="21"/>
          <w:highlight w:val="none"/>
        </w:rPr>
        <w:t xml:space="preserve">  </w:t>
      </w:r>
    </w:p>
    <w:p>
      <w:pPr>
        <w:ind w:left="525"/>
        <w:rPr>
          <w:rFonts w:ascii="宋体" w:hAnsi="宋体" w:cs="宋体"/>
          <w:color w:val="auto"/>
          <w:szCs w:val="21"/>
          <w:highlight w:val="none"/>
        </w:rPr>
      </w:pPr>
    </w:p>
    <w:p>
      <w:pPr>
        <w:ind w:left="525"/>
        <w:rPr>
          <w:rFonts w:ascii="宋体" w:hAnsi="宋体" w:cs="宋体"/>
          <w:color w:val="auto"/>
          <w:szCs w:val="21"/>
          <w:highlight w:val="none"/>
        </w:rPr>
      </w:pP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lang w:eastAsia="zh-CN"/>
        </w:rPr>
        <w:t>盐城大丰新创能源有限公司</w:t>
      </w:r>
      <w:r>
        <w:rPr>
          <w:rFonts w:hint="eastAsia" w:hAnsi="宋体" w:cs="宋体"/>
          <w:color w:val="auto"/>
          <w:sz w:val="21"/>
          <w:szCs w:val="21"/>
          <w:highlight w:val="none"/>
        </w:rPr>
        <w:t xml:space="preserve">  </w:t>
      </w:r>
      <w:r>
        <w:rPr>
          <w:rFonts w:hAnsi="宋体" w:cs="宋体"/>
          <w:color w:val="auto"/>
          <w:sz w:val="21"/>
          <w:szCs w:val="21"/>
          <w:highlight w:val="none"/>
        </w:rPr>
        <w:t xml:space="preserve">      </w:t>
      </w:r>
      <w:r>
        <w:rPr>
          <w:rFonts w:hint="eastAsia" w:hAnsi="宋体" w:cs="宋体"/>
          <w:color w:val="auto"/>
          <w:sz w:val="21"/>
          <w:szCs w:val="21"/>
          <w:highlight w:val="none"/>
        </w:rPr>
        <w:t xml:space="preserve">  乙方：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                    法定代表人：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或授权代理人：                   或授权代理人：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联 系 人：                     联 系 人： </w:t>
      </w:r>
    </w:p>
    <w:p>
      <w:pPr>
        <w:pStyle w:val="1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时间： </w:t>
      </w:r>
      <w:r>
        <w:rPr>
          <w:rFonts w:hAnsi="宋体" w:cs="宋体"/>
          <w:color w:val="auto"/>
          <w:sz w:val="21"/>
          <w:szCs w:val="21"/>
          <w:highlight w:val="none"/>
        </w:rPr>
        <w:t xml:space="preserve"> </w:t>
      </w:r>
      <w:r>
        <w:rPr>
          <w:rFonts w:hint="eastAsia" w:hAnsi="宋体" w:cs="宋体"/>
          <w:color w:val="auto"/>
          <w:sz w:val="21"/>
          <w:szCs w:val="21"/>
          <w:highlight w:val="none"/>
        </w:rPr>
        <w:t>年  月</w:t>
      </w:r>
      <w:r>
        <w:rPr>
          <w:rFonts w:hAnsi="宋体" w:cs="宋体"/>
          <w:color w:val="auto"/>
          <w:sz w:val="21"/>
          <w:szCs w:val="21"/>
          <w:highlight w:val="none"/>
        </w:rPr>
        <w:t xml:space="preserve">  </w:t>
      </w:r>
      <w:r>
        <w:rPr>
          <w:rFonts w:hint="eastAsia" w:hAnsi="宋体" w:cs="宋体"/>
          <w:color w:val="auto"/>
          <w:sz w:val="21"/>
          <w:szCs w:val="21"/>
          <w:highlight w:val="none"/>
        </w:rPr>
        <w:t xml:space="preserve"> 日             </w:t>
      </w:r>
      <w:r>
        <w:rPr>
          <w:rFonts w:hAnsi="宋体" w:cs="宋体"/>
          <w:color w:val="auto"/>
          <w:sz w:val="21"/>
          <w:szCs w:val="21"/>
          <w:highlight w:val="none"/>
        </w:rPr>
        <w:t xml:space="preserve"> </w:t>
      </w:r>
      <w:r>
        <w:rPr>
          <w:rFonts w:hint="eastAsia" w:hAnsi="宋体" w:cs="宋体"/>
          <w:color w:val="auto"/>
          <w:sz w:val="21"/>
          <w:szCs w:val="21"/>
          <w:highlight w:val="none"/>
        </w:rPr>
        <w:t xml:space="preserve">  时间：  年  月  日 </w:t>
      </w:r>
    </w:p>
    <w:p>
      <w:pPr>
        <w:rPr>
          <w:rFonts w:ascii="宋体" w:hAnsi="宋体" w:cs="宋体"/>
          <w:color w:val="auto"/>
          <w:szCs w:val="21"/>
          <w:highlight w:val="none"/>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pStyle w:val="36"/>
        <w:rPr>
          <w:rFonts w:hint="eastAsia"/>
          <w:color w:val="auto"/>
        </w:rPr>
      </w:pPr>
    </w:p>
    <w:p>
      <w:pPr>
        <w:spacing w:line="460" w:lineRule="exact"/>
        <w:rPr>
          <w:rFonts w:hint="eastAsia" w:ascii="宋体" w:hAnsi="宋体" w:cs="仿宋"/>
          <w:b/>
          <w:color w:val="auto"/>
          <w:kern w:val="0"/>
          <w:sz w:val="24"/>
          <w:szCs w:val="24"/>
          <w:lang w:val="en-US" w:eastAsia="zh-CN"/>
        </w:rPr>
      </w:pPr>
      <w:r>
        <w:rPr>
          <w:rFonts w:hint="eastAsia" w:ascii="宋体" w:hAnsi="宋体" w:cs="仿宋"/>
          <w:b/>
          <w:color w:val="auto"/>
          <w:kern w:val="0"/>
          <w:sz w:val="24"/>
          <w:szCs w:val="24"/>
          <w:lang w:val="en-US" w:eastAsia="zh-CN"/>
        </w:rPr>
        <w:t>附件：</w:t>
      </w:r>
    </w:p>
    <w:p>
      <w:pPr>
        <w:spacing w:line="460" w:lineRule="exact"/>
        <w:rPr>
          <w:rFonts w:ascii="宋体" w:hAnsi="宋体" w:cs="仿宋"/>
          <w:b/>
          <w:bCs/>
          <w:color w:val="auto"/>
          <w:szCs w:val="21"/>
        </w:rPr>
      </w:pPr>
      <w:r>
        <w:rPr>
          <w:rFonts w:hint="eastAsia" w:ascii="宋体" w:hAnsi="宋体" w:cs="仿宋"/>
          <w:b/>
          <w:bCs/>
          <w:color w:val="auto"/>
          <w:szCs w:val="21"/>
        </w:rPr>
        <w:t>一、考核内容</w:t>
      </w:r>
    </w:p>
    <w:p>
      <w:pPr>
        <w:spacing w:line="460" w:lineRule="exact"/>
        <w:ind w:firstLine="413" w:firstLineChars="196"/>
        <w:rPr>
          <w:rFonts w:ascii="宋体" w:hAnsi="宋体" w:cs="仿宋"/>
          <w:b/>
          <w:bCs/>
          <w:color w:val="auto"/>
          <w:szCs w:val="21"/>
        </w:rPr>
      </w:pPr>
      <w:r>
        <w:rPr>
          <w:rFonts w:hint="eastAsia" w:ascii="宋体" w:hAnsi="宋体" w:cs="仿宋"/>
          <w:b/>
          <w:bCs/>
          <w:color w:val="auto"/>
          <w:szCs w:val="21"/>
        </w:rPr>
        <w:t>1、台帐管理（10分）</w:t>
      </w:r>
    </w:p>
    <w:p>
      <w:pPr>
        <w:spacing w:line="460" w:lineRule="exact"/>
        <w:ind w:firstLine="411" w:firstLineChars="196"/>
        <w:rPr>
          <w:rFonts w:ascii="宋体" w:hAnsi="宋体" w:cs="仿宋"/>
          <w:color w:val="auto"/>
          <w:szCs w:val="21"/>
        </w:rPr>
      </w:pPr>
      <w:r>
        <w:rPr>
          <w:rFonts w:hint="eastAsia" w:ascii="宋体" w:hAnsi="宋体" w:cs="仿宋"/>
          <w:color w:val="auto"/>
          <w:szCs w:val="21"/>
        </w:rPr>
        <w:t>建立运行管理台帐，内容包括设施基本概况、运行管理记录、巡检记录、维修记录。</w:t>
      </w:r>
    </w:p>
    <w:p>
      <w:pPr>
        <w:spacing w:line="460" w:lineRule="exact"/>
        <w:ind w:firstLine="413" w:firstLineChars="196"/>
        <w:rPr>
          <w:rFonts w:ascii="宋体" w:hAnsi="宋体" w:cs="仿宋"/>
          <w:b/>
          <w:bCs/>
          <w:color w:val="auto"/>
          <w:szCs w:val="21"/>
        </w:rPr>
      </w:pPr>
      <w:r>
        <w:rPr>
          <w:rFonts w:hint="eastAsia" w:ascii="宋体" w:hAnsi="宋体" w:cs="仿宋"/>
          <w:b/>
          <w:bCs/>
          <w:color w:val="auto"/>
          <w:szCs w:val="21"/>
        </w:rPr>
        <w:t>2、日常管理（共80分）</w:t>
      </w:r>
    </w:p>
    <w:p>
      <w:pPr>
        <w:spacing w:line="460" w:lineRule="exact"/>
        <w:ind w:firstLine="411" w:firstLineChars="196"/>
        <w:rPr>
          <w:rFonts w:ascii="宋体" w:hAnsi="宋体" w:cs="仿宋"/>
          <w:color w:val="auto"/>
          <w:szCs w:val="21"/>
        </w:rPr>
      </w:pPr>
      <w:r>
        <w:rPr>
          <w:rFonts w:hint="eastAsia" w:ascii="宋体" w:hAnsi="宋体" w:cs="仿宋"/>
          <w:color w:val="auto"/>
          <w:szCs w:val="21"/>
        </w:rPr>
        <w:t>（1）目视化环境养护（</w:t>
      </w:r>
      <w:r>
        <w:rPr>
          <w:rFonts w:hint="eastAsia" w:ascii="宋体" w:hAnsi="宋体" w:cs="仿宋"/>
          <w:color w:val="auto"/>
          <w:szCs w:val="21"/>
          <w:lang w:val="en-US" w:eastAsia="zh-CN"/>
        </w:rPr>
        <w:t>15</w:t>
      </w:r>
      <w:r>
        <w:rPr>
          <w:rFonts w:hint="eastAsia" w:ascii="宋体" w:hAnsi="宋体" w:cs="仿宋"/>
          <w:color w:val="auto"/>
          <w:szCs w:val="21"/>
        </w:rPr>
        <w:t>分）</w:t>
      </w:r>
    </w:p>
    <w:p>
      <w:pPr>
        <w:spacing w:line="460" w:lineRule="exact"/>
        <w:ind w:firstLine="411" w:firstLineChars="196"/>
        <w:rPr>
          <w:rFonts w:hint="eastAsia" w:ascii="宋体" w:hAnsi="宋体" w:cs="仿宋"/>
          <w:color w:val="auto"/>
          <w:szCs w:val="21"/>
        </w:rPr>
      </w:pPr>
      <w:r>
        <w:rPr>
          <w:rFonts w:hint="eastAsia" w:ascii="宋体" w:hAnsi="宋体" w:cs="仿宋"/>
          <w:color w:val="auto"/>
          <w:szCs w:val="21"/>
        </w:rPr>
        <w:t>设施现场干净整洁，无明显杂草、垃圾；设施范围内标识牌围栏醒目无破损；设施范围内绿化景观良好，绿地植被无死亡破损现象。</w:t>
      </w:r>
    </w:p>
    <w:p>
      <w:pPr>
        <w:spacing w:line="460" w:lineRule="exact"/>
        <w:ind w:firstLine="411" w:firstLineChars="196"/>
        <w:rPr>
          <w:rFonts w:ascii="宋体" w:hAnsi="宋体" w:cs="仿宋"/>
          <w:color w:val="auto"/>
          <w:szCs w:val="21"/>
        </w:rPr>
      </w:pPr>
      <w:r>
        <w:rPr>
          <w:rFonts w:hint="eastAsia" w:ascii="宋体" w:hAnsi="宋体" w:cs="仿宋"/>
          <w:color w:val="auto"/>
          <w:szCs w:val="21"/>
        </w:rPr>
        <w:t>（</w:t>
      </w:r>
      <w:r>
        <w:rPr>
          <w:rFonts w:hint="eastAsia" w:ascii="宋体" w:hAnsi="宋体" w:cs="仿宋"/>
          <w:color w:val="auto"/>
          <w:szCs w:val="21"/>
          <w:lang w:val="en-US" w:eastAsia="zh-CN"/>
        </w:rPr>
        <w:t>2</w:t>
      </w:r>
      <w:r>
        <w:rPr>
          <w:rFonts w:hint="eastAsia" w:ascii="宋体" w:hAnsi="宋体" w:cs="仿宋"/>
          <w:color w:val="auto"/>
          <w:szCs w:val="21"/>
        </w:rPr>
        <w:t>）设备管理（1</w:t>
      </w:r>
      <w:r>
        <w:rPr>
          <w:rFonts w:hint="eastAsia" w:ascii="宋体" w:hAnsi="宋体" w:cs="仿宋"/>
          <w:color w:val="auto"/>
          <w:szCs w:val="21"/>
          <w:lang w:val="en-US" w:eastAsia="zh-CN"/>
        </w:rPr>
        <w:t>5</w:t>
      </w:r>
      <w:r>
        <w:rPr>
          <w:rFonts w:hint="eastAsia" w:ascii="宋体" w:hAnsi="宋体" w:cs="仿宋"/>
          <w:color w:val="auto"/>
          <w:szCs w:val="21"/>
        </w:rPr>
        <w:t xml:space="preserve">分）   </w:t>
      </w:r>
    </w:p>
    <w:p>
      <w:pPr>
        <w:spacing w:line="460" w:lineRule="exact"/>
        <w:ind w:firstLine="411" w:firstLineChars="196"/>
        <w:rPr>
          <w:rFonts w:ascii="宋体" w:hAnsi="宋体" w:cs="仿宋"/>
          <w:color w:val="auto"/>
          <w:szCs w:val="21"/>
        </w:rPr>
      </w:pPr>
      <w:r>
        <w:rPr>
          <w:rFonts w:hint="eastAsia" w:ascii="宋体" w:hAnsi="宋体" w:cs="仿宋"/>
          <w:color w:val="auto"/>
          <w:szCs w:val="21"/>
        </w:rPr>
        <w:t>设备运转正常，功况运行良好、无明显漏水、漏油；电控元件零损坏等情况配电、计量等设备完好，运转正常，无缺损、漏电、跳闸、读数异常等现象。</w:t>
      </w:r>
    </w:p>
    <w:p>
      <w:pPr>
        <w:spacing w:line="460" w:lineRule="exact"/>
        <w:ind w:firstLine="411" w:firstLineChars="196"/>
        <w:rPr>
          <w:rFonts w:ascii="宋体" w:hAnsi="宋体" w:cs="仿宋"/>
          <w:color w:val="auto"/>
          <w:szCs w:val="21"/>
        </w:rPr>
      </w:pPr>
      <w:r>
        <w:rPr>
          <w:rFonts w:hint="eastAsia" w:ascii="宋体" w:hAnsi="宋体" w:cs="仿宋"/>
          <w:color w:val="auto"/>
          <w:szCs w:val="21"/>
        </w:rPr>
        <w:t>（</w:t>
      </w:r>
      <w:r>
        <w:rPr>
          <w:rFonts w:hint="eastAsia" w:ascii="宋体" w:hAnsi="宋体" w:cs="仿宋"/>
          <w:color w:val="auto"/>
          <w:szCs w:val="21"/>
          <w:lang w:val="en-US" w:eastAsia="zh-CN"/>
        </w:rPr>
        <w:t>3</w:t>
      </w:r>
      <w:r>
        <w:rPr>
          <w:rFonts w:hint="eastAsia" w:ascii="宋体" w:hAnsi="宋体" w:cs="仿宋"/>
          <w:color w:val="auto"/>
          <w:szCs w:val="21"/>
        </w:rPr>
        <w:t>）巡检考勤（</w:t>
      </w:r>
      <w:r>
        <w:rPr>
          <w:rFonts w:hint="eastAsia" w:ascii="宋体" w:hAnsi="宋体" w:cs="仿宋"/>
          <w:color w:val="auto"/>
          <w:szCs w:val="21"/>
          <w:lang w:val="en-US" w:eastAsia="zh-CN"/>
        </w:rPr>
        <w:t>15</w:t>
      </w:r>
      <w:r>
        <w:rPr>
          <w:rFonts w:hint="eastAsia" w:ascii="宋体" w:hAnsi="宋体" w:cs="仿宋"/>
          <w:color w:val="auto"/>
          <w:szCs w:val="21"/>
        </w:rPr>
        <w:t>分）</w:t>
      </w:r>
    </w:p>
    <w:p>
      <w:pPr>
        <w:spacing w:line="460" w:lineRule="exact"/>
        <w:ind w:firstLine="411" w:firstLineChars="196"/>
        <w:rPr>
          <w:rFonts w:ascii="宋体" w:hAnsi="宋体" w:cs="仿宋"/>
          <w:color w:val="auto"/>
          <w:szCs w:val="21"/>
        </w:rPr>
      </w:pPr>
      <w:r>
        <w:rPr>
          <w:rFonts w:hint="eastAsia" w:ascii="宋体" w:hAnsi="宋体" w:cs="仿宋"/>
          <w:color w:val="auto"/>
          <w:szCs w:val="21"/>
        </w:rPr>
        <w:t>运行管理单位根据要求巡视，并对站点关键节点上传标注时间、地点水印的照片、视频。</w:t>
      </w:r>
    </w:p>
    <w:p>
      <w:pPr>
        <w:spacing w:line="460" w:lineRule="exact"/>
        <w:ind w:firstLine="411" w:firstLineChars="196"/>
        <w:rPr>
          <w:rFonts w:ascii="宋体" w:hAnsi="宋体" w:cs="仿宋"/>
          <w:color w:val="auto"/>
          <w:szCs w:val="21"/>
        </w:rPr>
      </w:pPr>
      <w:r>
        <w:rPr>
          <w:rFonts w:hint="eastAsia" w:ascii="宋体" w:hAnsi="宋体" w:cs="仿宋"/>
          <w:color w:val="auto"/>
          <w:szCs w:val="21"/>
        </w:rPr>
        <w:t>（</w:t>
      </w:r>
      <w:r>
        <w:rPr>
          <w:rFonts w:hint="eastAsia" w:ascii="宋体" w:hAnsi="宋体" w:cs="仿宋"/>
          <w:color w:val="auto"/>
          <w:szCs w:val="21"/>
          <w:lang w:val="en-US" w:eastAsia="zh-CN"/>
        </w:rPr>
        <w:t>4</w:t>
      </w:r>
      <w:r>
        <w:rPr>
          <w:rFonts w:hint="eastAsia" w:ascii="宋体" w:hAnsi="宋体" w:cs="仿宋"/>
          <w:color w:val="auto"/>
          <w:szCs w:val="21"/>
        </w:rPr>
        <w:t>）维修管理（1</w:t>
      </w:r>
      <w:r>
        <w:rPr>
          <w:rFonts w:hint="eastAsia" w:ascii="宋体" w:hAnsi="宋体" w:cs="仿宋"/>
          <w:color w:val="auto"/>
          <w:szCs w:val="21"/>
          <w:lang w:val="en-US" w:eastAsia="zh-CN"/>
        </w:rPr>
        <w:t>5</w:t>
      </w:r>
      <w:r>
        <w:rPr>
          <w:rFonts w:hint="eastAsia" w:ascii="宋体" w:hAnsi="宋体" w:cs="仿宋"/>
          <w:color w:val="auto"/>
          <w:szCs w:val="21"/>
        </w:rPr>
        <w:t>分）</w:t>
      </w:r>
    </w:p>
    <w:p>
      <w:pPr>
        <w:spacing w:line="460" w:lineRule="exact"/>
        <w:ind w:firstLine="411" w:firstLineChars="196"/>
        <w:rPr>
          <w:rFonts w:ascii="宋体" w:hAnsi="宋体" w:cs="仿宋"/>
          <w:color w:val="auto"/>
          <w:szCs w:val="21"/>
        </w:rPr>
      </w:pPr>
      <w:r>
        <w:rPr>
          <w:rFonts w:hint="eastAsia" w:ascii="宋体" w:hAnsi="宋体" w:cs="仿宋"/>
          <w:color w:val="auto"/>
          <w:szCs w:val="21"/>
        </w:rPr>
        <w:t>设备发生故障后及时上报至</w:t>
      </w:r>
      <w:r>
        <w:rPr>
          <w:rFonts w:hint="eastAsia" w:ascii="宋体" w:hAnsi="宋体" w:cs="仿宋"/>
          <w:color w:val="auto"/>
          <w:szCs w:val="21"/>
          <w:lang w:val="en-US" w:eastAsia="zh-CN"/>
        </w:rPr>
        <w:t>盐城大丰新创能源有限公司</w:t>
      </w:r>
      <w:r>
        <w:rPr>
          <w:rFonts w:hint="eastAsia" w:ascii="宋体" w:hAnsi="宋体" w:cs="仿宋"/>
          <w:color w:val="auto"/>
          <w:szCs w:val="21"/>
        </w:rPr>
        <w:t>，经核实原因后开展维修工作。</w:t>
      </w:r>
    </w:p>
    <w:p>
      <w:pPr>
        <w:spacing w:line="460" w:lineRule="exact"/>
        <w:ind w:firstLine="411" w:firstLineChars="196"/>
        <w:rPr>
          <w:rFonts w:ascii="宋体" w:hAnsi="宋体" w:cs="仿宋"/>
          <w:color w:val="auto"/>
          <w:szCs w:val="21"/>
        </w:rPr>
      </w:pPr>
      <w:r>
        <w:rPr>
          <w:rFonts w:hint="eastAsia" w:ascii="宋体" w:hAnsi="宋体" w:cs="仿宋"/>
          <w:color w:val="auto"/>
          <w:szCs w:val="21"/>
        </w:rPr>
        <w:t>维修费用责任划分如下：</w:t>
      </w:r>
    </w:p>
    <w:p>
      <w:pPr>
        <w:spacing w:line="460" w:lineRule="exact"/>
        <w:ind w:firstLine="411" w:firstLineChars="196"/>
        <w:rPr>
          <w:rFonts w:ascii="宋体" w:hAnsi="宋体" w:cs="仿宋"/>
          <w:color w:val="auto"/>
          <w:szCs w:val="21"/>
        </w:rPr>
      </w:pPr>
      <w:r>
        <w:rPr>
          <w:rFonts w:hint="eastAsia" w:ascii="宋体" w:hAnsi="宋体" w:cs="仿宋"/>
          <w:color w:val="auto"/>
          <w:szCs w:val="21"/>
        </w:rPr>
        <w:t>1.在质保期内，非操作不当、因设备自身原因造成故障损坏的交由设备厂家进行维修处理。</w:t>
      </w:r>
    </w:p>
    <w:p>
      <w:pPr>
        <w:spacing w:line="460" w:lineRule="exact"/>
        <w:ind w:firstLine="411" w:firstLineChars="196"/>
        <w:rPr>
          <w:rFonts w:ascii="宋体" w:hAnsi="宋体" w:cs="仿宋"/>
          <w:color w:val="auto"/>
          <w:szCs w:val="21"/>
        </w:rPr>
      </w:pPr>
      <w:r>
        <w:rPr>
          <w:rFonts w:hint="eastAsia" w:ascii="宋体" w:hAnsi="宋体" w:cs="仿宋"/>
          <w:color w:val="auto"/>
          <w:szCs w:val="21"/>
        </w:rPr>
        <w:t>2.质保期外，因运维厂家操作不当造成设备故障损坏的，由运维单位自行承担维修费用。</w:t>
      </w:r>
    </w:p>
    <w:p>
      <w:pPr>
        <w:snapToGrid w:val="0"/>
        <w:spacing w:line="460" w:lineRule="exact"/>
        <w:ind w:firstLine="420" w:firstLineChars="200"/>
        <w:rPr>
          <w:rFonts w:hint="eastAsia" w:ascii="宋体" w:hAnsi="宋体" w:eastAsia="宋体" w:cs="仿宋"/>
          <w:color w:val="auto"/>
          <w:szCs w:val="21"/>
          <w:lang w:eastAsia="zh-CN"/>
        </w:rPr>
      </w:pPr>
      <w:r>
        <w:rPr>
          <w:rFonts w:hint="eastAsia" w:ascii="宋体" w:hAnsi="宋体" w:cs="仿宋"/>
          <w:color w:val="auto"/>
          <w:szCs w:val="21"/>
        </w:rPr>
        <w:t>3.质保期外，因设备自身原因产生的故障，单项维修金额在</w:t>
      </w:r>
      <w:r>
        <w:rPr>
          <w:rFonts w:hint="eastAsia" w:ascii="宋体" w:hAnsi="宋体" w:cs="仿宋"/>
          <w:color w:val="auto"/>
          <w:szCs w:val="21"/>
          <w:lang w:val="en-US" w:eastAsia="zh-CN"/>
        </w:rPr>
        <w:t>500</w:t>
      </w:r>
      <w:r>
        <w:rPr>
          <w:rFonts w:hint="eastAsia" w:ascii="宋体" w:hAnsi="宋体" w:cs="仿宋"/>
          <w:color w:val="auto"/>
          <w:szCs w:val="21"/>
        </w:rPr>
        <w:t>元以内的</w:t>
      </w:r>
      <w:r>
        <w:rPr>
          <w:rFonts w:hint="eastAsia" w:ascii="宋体" w:hAnsi="宋体"/>
          <w:color w:val="auto"/>
          <w:kern w:val="15"/>
          <w:position w:val="2"/>
          <w:szCs w:val="21"/>
          <w:lang w:val="en-US" w:eastAsia="zh-CN"/>
        </w:rPr>
        <w:t>设施设备及设备</w:t>
      </w:r>
      <w:r>
        <w:rPr>
          <w:rFonts w:hint="eastAsia" w:ascii="宋体" w:hAnsi="宋体"/>
          <w:color w:val="auto"/>
          <w:kern w:val="15"/>
          <w:position w:val="2"/>
          <w:szCs w:val="21"/>
        </w:rPr>
        <w:t>零部件</w:t>
      </w:r>
      <w:r>
        <w:rPr>
          <w:rFonts w:hint="eastAsia" w:ascii="宋体" w:hAnsi="宋体" w:cs="仿宋"/>
          <w:color w:val="auto"/>
          <w:szCs w:val="21"/>
        </w:rPr>
        <w:t>，由运行管理单位自行维修或更换设备（原则上按原设备品牌型号进行更换），</w:t>
      </w:r>
      <w:r>
        <w:rPr>
          <w:rFonts w:hint="eastAsia" w:ascii="宋体" w:hAnsi="宋体" w:cs="仿宋"/>
          <w:color w:val="auto"/>
          <w:szCs w:val="21"/>
          <w:lang w:val="en-US" w:eastAsia="zh-CN"/>
        </w:rPr>
        <w:t>年维修总金额低于2.5万元，</w:t>
      </w:r>
      <w:r>
        <w:rPr>
          <w:rFonts w:hint="eastAsia" w:ascii="宋体" w:hAnsi="宋体" w:cs="仿宋"/>
          <w:color w:val="auto"/>
          <w:szCs w:val="21"/>
        </w:rPr>
        <w:t>费用自行承担。</w:t>
      </w:r>
      <w:r>
        <w:rPr>
          <w:rFonts w:hint="eastAsia" w:ascii="宋体" w:hAnsi="宋体"/>
          <w:color w:val="auto"/>
          <w:kern w:val="15"/>
          <w:position w:val="2"/>
          <w:szCs w:val="21"/>
        </w:rPr>
        <w:t>经维修的设备再出现同样故障由运行管理单位自行更换，费用自担。</w:t>
      </w:r>
    </w:p>
    <w:p>
      <w:pPr>
        <w:spacing w:line="460" w:lineRule="exact"/>
        <w:ind w:firstLine="411" w:firstLineChars="196"/>
        <w:rPr>
          <w:rFonts w:ascii="宋体" w:hAnsi="宋体" w:cs="仿宋"/>
          <w:color w:val="auto"/>
          <w:szCs w:val="21"/>
        </w:rPr>
      </w:pPr>
      <w:r>
        <w:rPr>
          <w:rFonts w:hint="eastAsia" w:ascii="宋体" w:hAnsi="宋体" w:cs="仿宋"/>
          <w:color w:val="auto"/>
          <w:szCs w:val="21"/>
        </w:rPr>
        <w:t>（</w:t>
      </w:r>
      <w:r>
        <w:rPr>
          <w:rFonts w:hint="eastAsia" w:ascii="宋体" w:hAnsi="宋体" w:cs="仿宋"/>
          <w:color w:val="auto"/>
          <w:szCs w:val="21"/>
          <w:lang w:val="en-US" w:eastAsia="zh-CN"/>
        </w:rPr>
        <w:t>5</w:t>
      </w:r>
      <w:r>
        <w:rPr>
          <w:rFonts w:hint="eastAsia" w:ascii="宋体" w:hAnsi="宋体" w:cs="仿宋"/>
          <w:color w:val="auto"/>
          <w:szCs w:val="21"/>
        </w:rPr>
        <w:t>）安全管理（20分）</w:t>
      </w:r>
    </w:p>
    <w:p>
      <w:pPr>
        <w:spacing w:line="460" w:lineRule="exact"/>
        <w:ind w:firstLine="411" w:firstLineChars="196"/>
        <w:rPr>
          <w:rFonts w:ascii="宋体" w:hAnsi="宋体" w:cs="仿宋"/>
          <w:color w:val="auto"/>
          <w:szCs w:val="21"/>
        </w:rPr>
      </w:pPr>
      <w:r>
        <w:rPr>
          <w:rFonts w:hint="eastAsia" w:ascii="宋体" w:hAnsi="宋体" w:cs="仿宋"/>
          <w:color w:val="auto"/>
          <w:szCs w:val="21"/>
        </w:rPr>
        <w:t>建立安全管理制度，明确安全管理责任人，做好安全管理台账（包括人员安全培训，安全学习，隐患排查记录及隐患整改记录）。防火、防涝及劳保用品齐全。现场维护人员严格按照本岗位要求，确保无安全事故发生；用电设备运行正常，无私接用电现象。</w:t>
      </w:r>
    </w:p>
    <w:p>
      <w:pPr>
        <w:spacing w:line="460" w:lineRule="exact"/>
        <w:ind w:firstLine="413" w:firstLineChars="196"/>
        <w:rPr>
          <w:rFonts w:ascii="宋体" w:hAnsi="宋体" w:cs="仿宋"/>
          <w:b/>
          <w:bCs/>
          <w:color w:val="auto"/>
          <w:szCs w:val="21"/>
        </w:rPr>
      </w:pPr>
      <w:r>
        <w:rPr>
          <w:rFonts w:hint="eastAsia" w:ascii="宋体" w:hAnsi="宋体" w:cs="仿宋"/>
          <w:b/>
          <w:bCs/>
          <w:color w:val="auto"/>
          <w:szCs w:val="21"/>
        </w:rPr>
        <w:t>3、应急管理（10分）</w:t>
      </w:r>
    </w:p>
    <w:p>
      <w:pPr>
        <w:spacing w:line="460" w:lineRule="exact"/>
        <w:ind w:firstLine="411" w:firstLineChars="196"/>
        <w:rPr>
          <w:rFonts w:ascii="宋体" w:hAnsi="宋体" w:cs="仿宋"/>
          <w:color w:val="auto"/>
          <w:szCs w:val="21"/>
        </w:rPr>
      </w:pPr>
      <w:r>
        <w:rPr>
          <w:rFonts w:hint="eastAsia" w:ascii="宋体" w:hAnsi="宋体" w:cs="仿宋"/>
          <w:color w:val="auto"/>
          <w:szCs w:val="21"/>
        </w:rPr>
        <w:t>做好应急预案并备案，明确应急管理责任人。突发性停水、停电情况处理、设备故障应急处理、</w:t>
      </w:r>
      <w:r>
        <w:rPr>
          <w:rFonts w:hint="eastAsia" w:ascii="宋体" w:hAnsi="宋体" w:cs="宋体"/>
          <w:color w:val="auto"/>
          <w:sz w:val="21"/>
          <w:szCs w:val="21"/>
        </w:rPr>
        <w:t>管道暖管</w:t>
      </w:r>
      <w:r>
        <w:rPr>
          <w:rFonts w:hint="eastAsia" w:ascii="宋体" w:hAnsi="宋体" w:cs="宋体"/>
          <w:color w:val="auto"/>
          <w:sz w:val="21"/>
          <w:szCs w:val="21"/>
          <w:lang w:val="en-US" w:eastAsia="zh-CN"/>
        </w:rPr>
        <w:t>处理</w:t>
      </w:r>
      <w:r>
        <w:rPr>
          <w:rFonts w:hint="eastAsia" w:ascii="宋体" w:hAnsi="宋体" w:cs="宋体"/>
          <w:color w:val="auto"/>
          <w:sz w:val="21"/>
          <w:szCs w:val="21"/>
        </w:rPr>
        <w:t>、第三方施工监护、一般性维修等</w:t>
      </w:r>
      <w:r>
        <w:rPr>
          <w:rFonts w:hint="eastAsia" w:ascii="宋体" w:hAnsi="宋体" w:cs="仿宋"/>
          <w:color w:val="auto"/>
          <w:szCs w:val="21"/>
        </w:rPr>
        <w:t>暴雨、洪水、台风等自然灾害预防处理，必需严格按照应急预案进行合理部署、执行。</w:t>
      </w:r>
    </w:p>
    <w:p>
      <w:pPr>
        <w:spacing w:line="460" w:lineRule="exact"/>
        <w:ind w:firstLine="413" w:firstLineChars="196"/>
        <w:rPr>
          <w:rFonts w:ascii="宋体" w:hAnsi="宋体" w:cs="仿宋"/>
          <w:b/>
          <w:bCs/>
          <w:color w:val="auto"/>
          <w:szCs w:val="21"/>
        </w:rPr>
      </w:pPr>
      <w:r>
        <w:rPr>
          <w:rFonts w:hint="eastAsia" w:ascii="宋体" w:hAnsi="宋体" w:cs="仿宋"/>
          <w:b/>
          <w:bCs/>
          <w:color w:val="auto"/>
          <w:szCs w:val="21"/>
        </w:rPr>
        <w:t>四、考核结果确定</w:t>
      </w:r>
    </w:p>
    <w:p>
      <w:pPr>
        <w:spacing w:line="460" w:lineRule="exact"/>
        <w:ind w:firstLine="411" w:firstLineChars="196"/>
        <w:rPr>
          <w:rFonts w:ascii="宋体" w:hAnsi="宋体" w:cs="仿宋"/>
          <w:color w:val="auto"/>
          <w:szCs w:val="21"/>
        </w:rPr>
      </w:pPr>
      <w:r>
        <w:rPr>
          <w:rFonts w:hint="eastAsia" w:ascii="宋体" w:hAnsi="宋体" w:cs="仿宋"/>
          <w:color w:val="auto"/>
          <w:szCs w:val="21"/>
        </w:rPr>
        <w:t>根据考核评分结果，分四个档次拨付给第三方运维单位：</w:t>
      </w:r>
    </w:p>
    <w:p>
      <w:pPr>
        <w:spacing w:line="460" w:lineRule="exact"/>
        <w:ind w:firstLine="411" w:firstLineChars="196"/>
        <w:rPr>
          <w:rFonts w:ascii="宋体" w:hAnsi="宋体" w:cs="仿宋"/>
          <w:color w:val="auto"/>
          <w:szCs w:val="21"/>
        </w:rPr>
      </w:pPr>
      <w:r>
        <w:rPr>
          <w:rFonts w:hint="eastAsia" w:ascii="宋体" w:hAnsi="宋体" w:cs="仿宋"/>
          <w:color w:val="auto"/>
          <w:szCs w:val="21"/>
        </w:rPr>
        <w:t xml:space="preserve">一档：评分在90分以上（含90分），全额拨付； </w:t>
      </w:r>
    </w:p>
    <w:p>
      <w:pPr>
        <w:spacing w:line="460" w:lineRule="exact"/>
        <w:ind w:firstLine="411" w:firstLineChars="196"/>
        <w:rPr>
          <w:rFonts w:ascii="宋体" w:hAnsi="宋体" w:cs="仿宋"/>
          <w:color w:val="auto"/>
          <w:szCs w:val="21"/>
        </w:rPr>
      </w:pPr>
      <w:r>
        <w:rPr>
          <w:rFonts w:hint="eastAsia" w:ascii="宋体" w:hAnsi="宋体" w:cs="仿宋"/>
          <w:color w:val="auto"/>
          <w:szCs w:val="21"/>
        </w:rPr>
        <w:t xml:space="preserve">二档：评分在80-90分，按95%比例拨付； </w:t>
      </w:r>
    </w:p>
    <w:p>
      <w:pPr>
        <w:spacing w:line="460" w:lineRule="exact"/>
        <w:ind w:firstLine="411" w:firstLineChars="196"/>
        <w:rPr>
          <w:rFonts w:ascii="宋体" w:hAnsi="宋体" w:cs="仿宋"/>
          <w:color w:val="auto"/>
          <w:szCs w:val="21"/>
        </w:rPr>
      </w:pPr>
      <w:r>
        <w:rPr>
          <w:rFonts w:hint="eastAsia" w:ascii="宋体" w:hAnsi="宋体" w:cs="仿宋"/>
          <w:color w:val="auto"/>
          <w:szCs w:val="21"/>
        </w:rPr>
        <w:t xml:space="preserve">三档：评分在70-80分，按90%比例拨付； </w:t>
      </w:r>
    </w:p>
    <w:p>
      <w:pPr>
        <w:spacing w:line="460" w:lineRule="exact"/>
        <w:ind w:firstLine="411" w:firstLineChars="196"/>
        <w:rPr>
          <w:rFonts w:ascii="宋体" w:hAnsi="宋体" w:cs="仿宋"/>
          <w:color w:val="auto"/>
          <w:szCs w:val="21"/>
        </w:rPr>
      </w:pPr>
      <w:r>
        <w:rPr>
          <w:rFonts w:hint="eastAsia" w:ascii="宋体" w:hAnsi="宋体" w:cs="仿宋"/>
          <w:color w:val="auto"/>
          <w:szCs w:val="21"/>
        </w:rPr>
        <w:t xml:space="preserve">四档：评分在70分以下，按80%比例拨付，并终止合同。 </w:t>
      </w:r>
    </w:p>
    <w:p>
      <w:pPr>
        <w:pStyle w:val="6"/>
        <w:spacing w:before="0" w:after="0" w:line="360" w:lineRule="auto"/>
        <w:rPr>
          <w:rFonts w:ascii="宋体" w:hAnsi="宋体" w:cs="宋体"/>
          <w:color w:val="auto"/>
          <w:highlight w:val="none"/>
        </w:rPr>
      </w:pPr>
      <w:r>
        <w:rPr>
          <w:rFonts w:hint="eastAsia" w:ascii="宋体" w:hAnsi="宋体" w:cs="宋体"/>
          <w:color w:val="auto"/>
          <w:sz w:val="21"/>
          <w:szCs w:val="21"/>
          <w:highlight w:val="none"/>
        </w:rPr>
        <w:br w:type="page"/>
      </w:r>
      <w:bookmarkStart w:id="425" w:name="_Toc5948"/>
      <w:r>
        <w:rPr>
          <w:rFonts w:hint="eastAsia" w:ascii="宋体" w:hAnsi="宋体" w:cs="宋体"/>
          <w:color w:val="auto"/>
          <w:highlight w:val="none"/>
        </w:rPr>
        <w:t>第五章  采购需求</w:t>
      </w:r>
      <w:bookmarkEnd w:id="425"/>
    </w:p>
    <w:p>
      <w:pPr>
        <w:spacing w:line="460" w:lineRule="exact"/>
        <w:jc w:val="left"/>
        <w:rPr>
          <w:rFonts w:ascii="宋体" w:hAnsi="宋体" w:cstheme="minorEastAsia"/>
          <w:b/>
          <w:bCs/>
          <w:color w:val="auto"/>
          <w:szCs w:val="21"/>
          <w:highlight w:val="none"/>
        </w:rPr>
      </w:pPr>
      <w:bookmarkStart w:id="426" w:name="_Toc6908"/>
      <w:r>
        <w:rPr>
          <w:rFonts w:hint="eastAsia" w:ascii="宋体" w:hAnsi="宋体" w:cstheme="minorEastAsia"/>
          <w:b/>
          <w:bCs/>
          <w:color w:val="auto"/>
          <w:szCs w:val="21"/>
          <w:highlight w:val="none"/>
        </w:rPr>
        <w:t>一、基本情况：</w:t>
      </w:r>
    </w:p>
    <w:p>
      <w:pPr>
        <w:spacing w:line="460" w:lineRule="exact"/>
        <w:ind w:firstLine="420" w:firstLineChars="200"/>
        <w:rPr>
          <w:rFonts w:ascii="宋体" w:hAnsi="宋体" w:cstheme="minorEastAsia"/>
          <w:color w:val="auto"/>
          <w:szCs w:val="21"/>
          <w:highlight w:val="none"/>
        </w:rPr>
      </w:pPr>
      <w:r>
        <w:rPr>
          <w:rFonts w:hint="eastAsia" w:ascii="宋体" w:hAnsi="宋体" w:cstheme="minorEastAsia"/>
          <w:color w:val="auto"/>
          <w:szCs w:val="21"/>
          <w:highlight w:val="none"/>
          <w:lang w:val="en-US" w:eastAsia="zh-CN"/>
        </w:rPr>
        <w:t>1、</w:t>
      </w:r>
      <w:r>
        <w:rPr>
          <w:rFonts w:hint="eastAsia" w:ascii="宋体" w:hAnsi="宋体" w:cs="宋体"/>
          <w:color w:val="auto"/>
          <w:szCs w:val="21"/>
        </w:rPr>
        <w:t>已建成的大丰港区蒸汽管道包括DN700主管道4公里，DN500天合储能支管1公里，DN400海洋产业园支管4.6公里，合计9.6公里管道。</w:t>
      </w:r>
    </w:p>
    <w:p>
      <w:pPr>
        <w:spacing w:line="460" w:lineRule="exact"/>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2、蒸汽管道的运维包括但不限于管道的正常运行服务、配套设施的养护（包含疏水阀、保温层、计量表、阀门、标示牌等）、管道及仪表的定期检测、计量系统的检查与统计、管道运行环境维护（清除杂草，监护第三方施工等）。</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其中：</w:t>
      </w:r>
    </w:p>
    <w:p>
      <w:pPr>
        <w:spacing w:line="460" w:lineRule="exact"/>
        <w:ind w:firstLine="420" w:firstLineChars="200"/>
        <w:rPr>
          <w:rFonts w:hint="eastAsia" w:ascii="宋体" w:hAnsi="宋体" w:cs="宋体"/>
          <w:color w:val="auto"/>
          <w:szCs w:val="21"/>
        </w:rPr>
      </w:pPr>
      <w:r>
        <w:rPr>
          <w:rFonts w:hint="eastAsia" w:ascii="宋体" w:hAnsi="宋体" w:eastAsia="宋体" w:cs="宋体"/>
          <w:color w:val="auto"/>
          <w:szCs w:val="21"/>
        </w:rPr>
        <w:t>①</w:t>
      </w:r>
      <w:r>
        <w:rPr>
          <w:rFonts w:hint="eastAsia" w:ascii="宋体" w:hAnsi="宋体" w:eastAsia="宋体" w:cs="宋体"/>
          <w:color w:val="auto"/>
          <w:szCs w:val="21"/>
          <w:lang w:eastAsia="zh-CN"/>
        </w:rPr>
        <w:t>、</w:t>
      </w:r>
      <w:r>
        <w:rPr>
          <w:rFonts w:hint="eastAsia" w:ascii="宋体" w:hAnsi="宋体" w:cs="宋体"/>
          <w:color w:val="auto"/>
          <w:szCs w:val="21"/>
        </w:rPr>
        <w:t>每天两次全线巡查并及时疏水、抄表；</w:t>
      </w:r>
    </w:p>
    <w:p>
      <w:pPr>
        <w:spacing w:line="460" w:lineRule="exact"/>
        <w:ind w:firstLine="420" w:firstLineChars="200"/>
        <w:rPr>
          <w:rFonts w:hint="eastAsia" w:ascii="宋体" w:hAnsi="宋体" w:cs="宋体"/>
          <w:color w:val="auto"/>
          <w:szCs w:val="21"/>
        </w:rPr>
      </w:pPr>
      <w:r>
        <w:rPr>
          <w:rFonts w:hint="eastAsia" w:ascii="宋体" w:hAnsi="宋体" w:eastAsia="宋体" w:cs="宋体"/>
          <w:color w:val="auto"/>
          <w:szCs w:val="21"/>
        </w:rPr>
        <w:t>②</w:t>
      </w:r>
      <w:r>
        <w:rPr>
          <w:rFonts w:hint="eastAsia" w:ascii="宋体" w:hAnsi="宋体" w:cs="宋体"/>
          <w:color w:val="auto"/>
          <w:szCs w:val="21"/>
        </w:rPr>
        <w:t>、每天进行管道沿线标志牌及运行环境检查；</w:t>
      </w:r>
    </w:p>
    <w:p>
      <w:pPr>
        <w:spacing w:line="46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③、</w:t>
      </w:r>
      <w:r>
        <w:rPr>
          <w:rFonts w:hint="eastAsia" w:ascii="宋体" w:hAnsi="宋体" w:eastAsia="宋体" w:cs="宋体"/>
          <w:color w:val="auto"/>
          <w:szCs w:val="21"/>
          <w:lang w:val="en-US" w:eastAsia="zh-CN"/>
        </w:rPr>
        <w:t>每月底蒸汽计量进行上下游计量统计和确认；</w:t>
      </w:r>
    </w:p>
    <w:p>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④、每季度组织管道及附属设施维护（刷漆、保温层修复、管道支架复位）；</w:t>
      </w:r>
    </w:p>
    <w:p>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⑤、每年进行管道检测及计量表检测。</w:t>
      </w:r>
    </w:p>
    <w:p>
      <w:pPr>
        <w:spacing w:line="46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⑥、</w:t>
      </w:r>
      <w:r>
        <w:rPr>
          <w:rFonts w:hint="eastAsia" w:ascii="宋体" w:hAnsi="宋体" w:eastAsia="宋体" w:cs="宋体"/>
          <w:color w:val="auto"/>
          <w:szCs w:val="21"/>
        </w:rPr>
        <w:t>涉及新用户及支管供汽，须组织人员暖管及用户上游管道开口、安装调试计量表；</w:t>
      </w:r>
    </w:p>
    <w:p>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⑦、对管道沿线第三方施工进行监护。</w:t>
      </w:r>
    </w:p>
    <w:p>
      <w:pPr>
        <w:snapToGrid w:val="0"/>
        <w:spacing w:line="460" w:lineRule="exact"/>
        <w:ind w:firstLine="420" w:firstLineChars="200"/>
        <w:rPr>
          <w:rFonts w:ascii="宋体" w:hAnsi="宋体"/>
          <w:color w:val="auto"/>
          <w:kern w:val="15"/>
          <w:position w:val="2"/>
          <w:szCs w:val="21"/>
        </w:rPr>
      </w:pPr>
      <w:r>
        <w:rPr>
          <w:rFonts w:hint="eastAsia" w:ascii="宋体" w:hAnsi="宋体"/>
          <w:color w:val="auto"/>
          <w:kern w:val="15"/>
          <w:position w:val="2"/>
          <w:szCs w:val="21"/>
          <w:lang w:val="en-US" w:eastAsia="zh-CN"/>
        </w:rPr>
        <w:t>3、运维期间</w:t>
      </w:r>
      <w:r>
        <w:rPr>
          <w:rFonts w:hint="eastAsia" w:ascii="宋体" w:hAnsi="宋体"/>
          <w:color w:val="auto"/>
          <w:kern w:val="15"/>
          <w:position w:val="2"/>
          <w:szCs w:val="21"/>
        </w:rPr>
        <w:t>单项维修金额在</w:t>
      </w:r>
      <w:r>
        <w:rPr>
          <w:rFonts w:hint="eastAsia" w:ascii="宋体" w:hAnsi="宋体"/>
          <w:color w:val="auto"/>
          <w:kern w:val="15"/>
          <w:position w:val="2"/>
          <w:szCs w:val="21"/>
          <w:lang w:val="en-US" w:eastAsia="zh-CN"/>
        </w:rPr>
        <w:t>500</w:t>
      </w:r>
      <w:r>
        <w:rPr>
          <w:rFonts w:hint="eastAsia" w:ascii="宋体" w:hAnsi="宋体"/>
          <w:color w:val="auto"/>
          <w:kern w:val="15"/>
          <w:position w:val="2"/>
          <w:szCs w:val="21"/>
        </w:rPr>
        <w:t>元以内的</w:t>
      </w:r>
      <w:r>
        <w:rPr>
          <w:rFonts w:hint="eastAsia" w:ascii="宋体" w:hAnsi="宋体"/>
          <w:color w:val="auto"/>
          <w:kern w:val="15"/>
          <w:position w:val="2"/>
          <w:szCs w:val="21"/>
          <w:lang w:val="en-US" w:eastAsia="zh-CN"/>
        </w:rPr>
        <w:t>设施设备及设备</w:t>
      </w:r>
      <w:r>
        <w:rPr>
          <w:rFonts w:hint="eastAsia" w:ascii="宋体" w:hAnsi="宋体"/>
          <w:color w:val="auto"/>
          <w:kern w:val="15"/>
          <w:position w:val="2"/>
          <w:szCs w:val="21"/>
        </w:rPr>
        <w:t>零部件，由运行管理单位自行维修或更换设备（原则上按原设备品牌型号进行更换），</w:t>
      </w:r>
      <w:r>
        <w:rPr>
          <w:rFonts w:hint="eastAsia" w:ascii="宋体" w:hAnsi="宋体"/>
          <w:color w:val="auto"/>
          <w:kern w:val="15"/>
          <w:position w:val="2"/>
          <w:szCs w:val="21"/>
          <w:lang w:val="en-US" w:eastAsia="zh-CN"/>
        </w:rPr>
        <w:t>年维修总金额低于2.5万元，</w:t>
      </w:r>
      <w:r>
        <w:rPr>
          <w:rFonts w:hint="eastAsia" w:ascii="宋体" w:hAnsi="宋体"/>
          <w:color w:val="auto"/>
          <w:kern w:val="15"/>
          <w:position w:val="2"/>
          <w:szCs w:val="21"/>
        </w:rPr>
        <w:t>费用自行承担</w:t>
      </w:r>
      <w:r>
        <w:rPr>
          <w:rFonts w:hint="eastAsia" w:ascii="宋体" w:hAnsi="宋体"/>
          <w:color w:val="auto"/>
          <w:kern w:val="15"/>
          <w:position w:val="2"/>
          <w:szCs w:val="21"/>
          <w:lang w:eastAsia="zh-CN"/>
        </w:rPr>
        <w:t>（需提供维修证明相关材料）。</w:t>
      </w:r>
      <w:r>
        <w:rPr>
          <w:rFonts w:hint="eastAsia" w:ascii="宋体" w:hAnsi="宋体"/>
          <w:color w:val="auto"/>
          <w:kern w:val="15"/>
          <w:position w:val="2"/>
          <w:szCs w:val="21"/>
        </w:rPr>
        <w:t>经维修的设备再出现同样故障由运行管理单位自行更换，费用自担</w:t>
      </w:r>
      <w:r>
        <w:rPr>
          <w:rFonts w:hint="eastAsia" w:ascii="宋体" w:hAnsi="宋体"/>
          <w:color w:val="auto"/>
          <w:kern w:val="15"/>
          <w:position w:val="2"/>
          <w:szCs w:val="21"/>
          <w:lang w:eastAsia="zh-CN"/>
        </w:rPr>
        <w:t>。</w:t>
      </w:r>
      <w:r>
        <w:rPr>
          <w:rFonts w:hint="eastAsia" w:ascii="宋体" w:hAnsi="宋体"/>
          <w:color w:val="auto"/>
          <w:kern w:val="15"/>
          <w:position w:val="2"/>
          <w:szCs w:val="21"/>
        </w:rPr>
        <w:t>如单项维修在</w:t>
      </w:r>
      <w:r>
        <w:rPr>
          <w:rFonts w:hint="eastAsia" w:ascii="宋体" w:hAnsi="宋体"/>
          <w:color w:val="auto"/>
          <w:kern w:val="15"/>
          <w:position w:val="2"/>
          <w:szCs w:val="21"/>
          <w:lang w:val="en-US" w:eastAsia="zh-CN"/>
        </w:rPr>
        <w:t>500</w:t>
      </w:r>
      <w:r>
        <w:rPr>
          <w:rFonts w:hint="eastAsia" w:ascii="宋体" w:hAnsi="宋体"/>
          <w:color w:val="auto"/>
          <w:kern w:val="15"/>
          <w:position w:val="2"/>
          <w:szCs w:val="21"/>
        </w:rPr>
        <w:t>元以上的，需按照流程提交申请，费用由</w:t>
      </w:r>
      <w:r>
        <w:rPr>
          <w:rFonts w:hint="eastAsia" w:ascii="宋体" w:hAnsi="宋体"/>
          <w:color w:val="auto"/>
          <w:kern w:val="15"/>
          <w:position w:val="2"/>
          <w:szCs w:val="21"/>
          <w:lang w:val="en-US" w:eastAsia="zh-CN"/>
        </w:rPr>
        <w:t>盐城大丰新创能源有限公司</w:t>
      </w:r>
      <w:r>
        <w:rPr>
          <w:rFonts w:hint="eastAsia" w:ascii="宋体" w:hAnsi="宋体"/>
          <w:color w:val="auto"/>
          <w:kern w:val="15"/>
          <w:position w:val="2"/>
          <w:szCs w:val="21"/>
        </w:rPr>
        <w:t>承担。</w:t>
      </w:r>
    </w:p>
    <w:p>
      <w:pPr>
        <w:spacing w:line="460" w:lineRule="exact"/>
        <w:jc w:val="left"/>
        <w:rPr>
          <w:rFonts w:hint="default" w:ascii="宋体" w:hAnsi="宋体" w:cstheme="minorEastAsia"/>
          <w:b/>
          <w:bCs/>
          <w:color w:val="auto"/>
          <w:szCs w:val="21"/>
          <w:highlight w:val="none"/>
          <w:lang w:val="en-US" w:eastAsia="zh-CN"/>
        </w:rPr>
      </w:pPr>
      <w:r>
        <w:rPr>
          <w:rFonts w:hint="eastAsia" w:ascii="宋体" w:hAnsi="宋体" w:cstheme="minorEastAsia"/>
          <w:b/>
          <w:bCs/>
          <w:color w:val="auto"/>
          <w:szCs w:val="21"/>
          <w:highlight w:val="none"/>
          <w:lang w:val="en-US" w:eastAsia="zh-CN"/>
        </w:rPr>
        <w:t>二、人员要求</w:t>
      </w:r>
    </w:p>
    <w:p>
      <w:pPr>
        <w:pStyle w:val="36"/>
        <w:rPr>
          <w:color w:val="auto"/>
          <w:highlight w:val="none"/>
        </w:rPr>
      </w:pPr>
      <w:r>
        <w:rPr>
          <w:rFonts w:hint="eastAsia" w:ascii="宋体" w:hAnsi="宋体" w:eastAsia="宋体" w:cs="Times New Roman"/>
          <w:color w:val="auto"/>
          <w:kern w:val="15"/>
          <w:position w:val="2"/>
          <w:sz w:val="21"/>
          <w:szCs w:val="21"/>
          <w:lang w:val="en-US" w:eastAsia="zh-CN" w:bidi="ar-SA"/>
        </w:rPr>
        <w:t>运行服务期间应建立健全完善各项运行管理规章制度，实行</w:t>
      </w:r>
      <w:r>
        <w:rPr>
          <w:rFonts w:hint="eastAsia" w:cs="Times New Roman"/>
          <w:color w:val="auto"/>
          <w:kern w:val="15"/>
          <w:position w:val="2"/>
          <w:sz w:val="21"/>
          <w:szCs w:val="21"/>
          <w:lang w:val="en-US" w:eastAsia="zh-CN" w:bidi="ar-SA"/>
        </w:rPr>
        <w:t>全年</w:t>
      </w:r>
      <w:r>
        <w:rPr>
          <w:rFonts w:hint="eastAsia" w:ascii="宋体" w:hAnsi="宋体" w:eastAsia="宋体" w:cs="Times New Roman"/>
          <w:color w:val="auto"/>
          <w:kern w:val="15"/>
          <w:position w:val="2"/>
          <w:sz w:val="21"/>
          <w:szCs w:val="21"/>
          <w:lang w:val="en-US" w:eastAsia="zh-CN" w:bidi="ar-SA"/>
        </w:rPr>
        <w:t xml:space="preserve"> 24 小时值守制度，运维人员包括项目负责人1人、安全员1人、维修员</w:t>
      </w:r>
      <w:r>
        <w:rPr>
          <w:rFonts w:hint="eastAsia" w:cs="Times New Roman"/>
          <w:color w:val="auto"/>
          <w:kern w:val="15"/>
          <w:position w:val="2"/>
          <w:sz w:val="21"/>
          <w:szCs w:val="21"/>
          <w:lang w:val="en-US" w:eastAsia="zh-CN" w:bidi="ar-SA"/>
        </w:rPr>
        <w:t>1</w:t>
      </w:r>
      <w:r>
        <w:rPr>
          <w:rFonts w:hint="eastAsia" w:ascii="宋体" w:hAnsi="宋体" w:eastAsia="宋体" w:cs="Times New Roman"/>
          <w:color w:val="auto"/>
          <w:kern w:val="15"/>
          <w:position w:val="2"/>
          <w:sz w:val="21"/>
          <w:szCs w:val="21"/>
          <w:lang w:val="en-US" w:eastAsia="zh-CN" w:bidi="ar-SA"/>
        </w:rPr>
        <w:t>人、巡线员</w:t>
      </w:r>
      <w:r>
        <w:rPr>
          <w:rFonts w:hint="eastAsia" w:cs="Times New Roman"/>
          <w:color w:val="auto"/>
          <w:kern w:val="15"/>
          <w:position w:val="2"/>
          <w:sz w:val="21"/>
          <w:szCs w:val="21"/>
          <w:lang w:val="en-US" w:eastAsia="zh-CN" w:bidi="ar-SA"/>
        </w:rPr>
        <w:t>1</w:t>
      </w:r>
      <w:r>
        <w:rPr>
          <w:rFonts w:hint="eastAsia" w:ascii="宋体" w:hAnsi="宋体" w:eastAsia="宋体" w:cs="Times New Roman"/>
          <w:color w:val="auto"/>
          <w:kern w:val="15"/>
          <w:position w:val="2"/>
          <w:sz w:val="21"/>
          <w:szCs w:val="21"/>
          <w:lang w:val="en-US" w:eastAsia="zh-CN" w:bidi="ar-SA"/>
        </w:rPr>
        <w:t>人。</w:t>
      </w:r>
      <w:r>
        <w:rPr>
          <w:rFonts w:hint="eastAsia" w:cs="Times New Roman"/>
          <w:color w:val="auto"/>
          <w:kern w:val="15"/>
          <w:position w:val="2"/>
          <w:sz w:val="21"/>
          <w:szCs w:val="21"/>
          <w:lang w:val="en-US" w:eastAsia="zh-CN" w:bidi="ar-SA"/>
        </w:rPr>
        <w:t>如遇特殊情况，相应增加人员，其费用不予增加。</w:t>
      </w:r>
    </w:p>
    <w:tbl>
      <w:tblPr>
        <w:tblStyle w:val="2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761"/>
        <w:gridCol w:w="1261"/>
        <w:gridCol w:w="4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31" w:type="dxa"/>
            <w:noWrap w:val="0"/>
            <w:vAlign w:val="bottom"/>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序号</w:t>
            </w:r>
          </w:p>
        </w:tc>
        <w:tc>
          <w:tcPr>
            <w:tcW w:w="1761" w:type="dxa"/>
            <w:noWrap w:val="0"/>
            <w:vAlign w:val="bottom"/>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岗位</w:t>
            </w:r>
          </w:p>
        </w:tc>
        <w:tc>
          <w:tcPr>
            <w:tcW w:w="1261" w:type="dxa"/>
            <w:noWrap w:val="0"/>
            <w:vAlign w:val="bottom"/>
          </w:tcPr>
          <w:p>
            <w:pPr>
              <w:pStyle w:val="46"/>
              <w:adjustRightInd w:val="0"/>
              <w:snapToGrid w:val="0"/>
              <w:spacing w:line="360" w:lineRule="auto"/>
              <w:ind w:firstLine="0" w:firstLineChars="0"/>
              <w:jc w:val="center"/>
              <w:rPr>
                <w:rFonts w:ascii="宋体" w:hAnsi="宋体" w:cs="宋体"/>
                <w:color w:val="auto"/>
                <w:szCs w:val="21"/>
              </w:rPr>
            </w:pPr>
            <w:r>
              <w:rPr>
                <w:rFonts w:hint="eastAsia" w:ascii="宋体" w:hAnsi="宋体" w:cs="宋体"/>
                <w:color w:val="auto"/>
                <w:szCs w:val="21"/>
              </w:rPr>
              <w:t>配置人数</w:t>
            </w:r>
          </w:p>
        </w:tc>
        <w:tc>
          <w:tcPr>
            <w:tcW w:w="4886" w:type="dxa"/>
            <w:noWrap w:val="0"/>
            <w:vAlign w:val="bottom"/>
          </w:tcPr>
          <w:p>
            <w:pPr>
              <w:pStyle w:val="46"/>
              <w:adjustRightInd w:val="0"/>
              <w:snapToGrid w:val="0"/>
              <w:spacing w:line="360" w:lineRule="auto"/>
              <w:ind w:firstLine="0" w:firstLineChars="0"/>
              <w:jc w:val="center"/>
              <w:rPr>
                <w:rFonts w:ascii="宋体" w:hAnsi="宋体" w:cs="宋体"/>
                <w:color w:val="auto"/>
                <w:szCs w:val="21"/>
              </w:rPr>
            </w:pPr>
            <w:r>
              <w:rPr>
                <w:rFonts w:hint="eastAsia" w:ascii="宋体" w:hAnsi="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31" w:type="dxa"/>
            <w:noWrap w:val="0"/>
            <w:vAlign w:val="center"/>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w:t>
            </w:r>
          </w:p>
        </w:tc>
        <w:tc>
          <w:tcPr>
            <w:tcW w:w="1761" w:type="dxa"/>
            <w:noWrap w:val="0"/>
            <w:vAlign w:val="bottom"/>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项目负责人</w:t>
            </w:r>
          </w:p>
        </w:tc>
        <w:tc>
          <w:tcPr>
            <w:tcW w:w="1261" w:type="dxa"/>
            <w:noWrap w:val="0"/>
            <w:vAlign w:val="bottom"/>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w:t>
            </w:r>
          </w:p>
        </w:tc>
        <w:tc>
          <w:tcPr>
            <w:tcW w:w="4886" w:type="dxa"/>
            <w:noWrap w:val="0"/>
            <w:vAlign w:val="center"/>
          </w:tcPr>
          <w:p>
            <w:pPr>
              <w:pStyle w:val="46"/>
              <w:adjustRightInd w:val="0"/>
              <w:snapToGrid w:val="0"/>
              <w:spacing w:line="360" w:lineRule="auto"/>
              <w:ind w:firstLine="0" w:firstLineChars="0"/>
              <w:jc w:val="center"/>
              <w:rPr>
                <w:rFonts w:ascii="宋体" w:hAnsi="宋体" w:cs="宋体"/>
                <w:color w:val="auto"/>
                <w:szCs w:val="21"/>
              </w:rPr>
            </w:pPr>
            <w:r>
              <w:rPr>
                <w:rFonts w:hint="eastAsia" w:ascii="宋体" w:hAnsi="宋体" w:cs="宋体"/>
                <w:color w:val="auto"/>
                <w:szCs w:val="21"/>
              </w:rPr>
              <w:t>负责供热管道运维全面管理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31" w:type="dxa"/>
            <w:noWrap w:val="0"/>
            <w:vAlign w:val="center"/>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2</w:t>
            </w:r>
          </w:p>
        </w:tc>
        <w:tc>
          <w:tcPr>
            <w:tcW w:w="1761" w:type="dxa"/>
            <w:noWrap w:val="0"/>
            <w:vAlign w:val="bottom"/>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安全员</w:t>
            </w:r>
          </w:p>
        </w:tc>
        <w:tc>
          <w:tcPr>
            <w:tcW w:w="1261" w:type="dxa"/>
            <w:noWrap w:val="0"/>
            <w:vAlign w:val="bottom"/>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w:t>
            </w:r>
          </w:p>
        </w:tc>
        <w:tc>
          <w:tcPr>
            <w:tcW w:w="4886" w:type="dxa"/>
            <w:noWrap w:val="0"/>
            <w:vAlign w:val="center"/>
          </w:tcPr>
          <w:p>
            <w:pPr>
              <w:pStyle w:val="46"/>
              <w:adjustRightInd w:val="0"/>
              <w:snapToGrid w:val="0"/>
              <w:spacing w:line="360" w:lineRule="auto"/>
              <w:ind w:firstLine="0" w:firstLineChars="0"/>
              <w:jc w:val="center"/>
              <w:rPr>
                <w:rFonts w:ascii="宋体" w:hAnsi="宋体" w:cs="宋体"/>
                <w:color w:val="auto"/>
                <w:szCs w:val="21"/>
              </w:rPr>
            </w:pPr>
            <w:r>
              <w:rPr>
                <w:rFonts w:hint="eastAsia" w:ascii="宋体" w:hAnsi="宋体" w:cs="宋体"/>
                <w:color w:val="auto"/>
                <w:szCs w:val="21"/>
              </w:rPr>
              <w:t>负责供热管道安全检查及第三方施工监管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1" w:type="dxa"/>
            <w:noWrap w:val="0"/>
            <w:vAlign w:val="center"/>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3</w:t>
            </w:r>
          </w:p>
        </w:tc>
        <w:tc>
          <w:tcPr>
            <w:tcW w:w="1761" w:type="dxa"/>
            <w:noWrap w:val="0"/>
            <w:vAlign w:val="bottom"/>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维修员</w:t>
            </w:r>
          </w:p>
        </w:tc>
        <w:tc>
          <w:tcPr>
            <w:tcW w:w="1261" w:type="dxa"/>
            <w:noWrap w:val="0"/>
            <w:vAlign w:val="bottom"/>
          </w:tcPr>
          <w:p>
            <w:pPr>
              <w:pStyle w:val="46"/>
              <w:adjustRightInd w:val="0"/>
              <w:snapToGrid w:val="0"/>
              <w:spacing w:line="360" w:lineRule="auto"/>
              <w:ind w:firstLine="0" w:firstLineChars="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4886" w:type="dxa"/>
            <w:noWrap w:val="0"/>
            <w:vAlign w:val="center"/>
          </w:tcPr>
          <w:p>
            <w:pPr>
              <w:pStyle w:val="46"/>
              <w:adjustRightInd w:val="0"/>
              <w:snapToGrid w:val="0"/>
              <w:spacing w:line="360" w:lineRule="auto"/>
              <w:ind w:firstLine="0" w:firstLineChars="0"/>
              <w:jc w:val="center"/>
              <w:rPr>
                <w:rFonts w:ascii="宋体" w:hAnsi="宋体" w:cs="宋体"/>
                <w:color w:val="auto"/>
                <w:szCs w:val="21"/>
              </w:rPr>
            </w:pPr>
            <w:r>
              <w:rPr>
                <w:rFonts w:hint="eastAsia" w:ascii="宋体" w:hAnsi="宋体" w:cs="宋体"/>
                <w:color w:val="auto"/>
                <w:szCs w:val="21"/>
              </w:rPr>
              <w:t>负责供热管道及附件设施维修维护，持有焊接与热切割作业证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1" w:type="dxa"/>
            <w:noWrap w:val="0"/>
            <w:vAlign w:val="center"/>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4</w:t>
            </w:r>
          </w:p>
        </w:tc>
        <w:tc>
          <w:tcPr>
            <w:tcW w:w="1761" w:type="dxa"/>
            <w:noWrap w:val="0"/>
            <w:vAlign w:val="bottom"/>
          </w:tcPr>
          <w:p>
            <w:pPr>
              <w:pStyle w:val="46"/>
              <w:adjustRightInd w:val="0"/>
              <w:snapToGrid w:val="0"/>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巡线员</w:t>
            </w:r>
          </w:p>
        </w:tc>
        <w:tc>
          <w:tcPr>
            <w:tcW w:w="1261" w:type="dxa"/>
            <w:noWrap w:val="0"/>
            <w:vAlign w:val="bottom"/>
          </w:tcPr>
          <w:p>
            <w:pPr>
              <w:pStyle w:val="46"/>
              <w:adjustRightInd w:val="0"/>
              <w:snapToGrid w:val="0"/>
              <w:spacing w:line="360" w:lineRule="auto"/>
              <w:ind w:firstLine="0" w:firstLineChars="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4886" w:type="dxa"/>
            <w:noWrap w:val="0"/>
            <w:vAlign w:val="center"/>
          </w:tcPr>
          <w:p>
            <w:pPr>
              <w:pStyle w:val="46"/>
              <w:adjustRightInd w:val="0"/>
              <w:snapToGrid w:val="0"/>
              <w:spacing w:line="360" w:lineRule="auto"/>
              <w:ind w:firstLine="0" w:firstLineChars="0"/>
              <w:jc w:val="center"/>
              <w:rPr>
                <w:rFonts w:ascii="宋体" w:hAnsi="宋体" w:cs="宋体"/>
                <w:color w:val="auto"/>
                <w:szCs w:val="21"/>
              </w:rPr>
            </w:pPr>
            <w:r>
              <w:rPr>
                <w:rFonts w:hint="eastAsia" w:ascii="宋体" w:hAnsi="宋体" w:cs="宋体"/>
                <w:color w:val="auto"/>
                <w:szCs w:val="21"/>
              </w:rPr>
              <w:t>负责供热管道日常巡查及运行环境维护</w:t>
            </w:r>
          </w:p>
        </w:tc>
      </w:tr>
    </w:tbl>
    <w:p>
      <w:pPr>
        <w:pStyle w:val="36"/>
        <w:rPr>
          <w:color w:val="auto"/>
          <w:highlight w:val="none"/>
        </w:rPr>
      </w:pPr>
    </w:p>
    <w:p>
      <w:pPr>
        <w:pStyle w:val="36"/>
        <w:rPr>
          <w:color w:val="auto"/>
          <w:highlight w:val="none"/>
        </w:rPr>
      </w:pPr>
    </w:p>
    <w:p>
      <w:pPr>
        <w:pStyle w:val="36"/>
        <w:rPr>
          <w:color w:val="auto"/>
          <w:highlight w:val="none"/>
        </w:rPr>
      </w:pPr>
    </w:p>
    <w:p>
      <w:pPr>
        <w:pStyle w:val="6"/>
        <w:spacing w:before="0" w:after="0" w:line="360" w:lineRule="auto"/>
        <w:rPr>
          <w:rFonts w:ascii="宋体" w:hAnsi="宋体"/>
          <w:color w:val="auto"/>
          <w:highlight w:val="none"/>
        </w:rPr>
      </w:pPr>
      <w:r>
        <w:rPr>
          <w:rFonts w:hint="eastAsia" w:ascii="宋体" w:hAnsi="宋体"/>
          <w:color w:val="auto"/>
          <w:highlight w:val="none"/>
        </w:rPr>
        <w:t>第六章  投标文件格式</w:t>
      </w:r>
      <w:bookmarkEnd w:id="419"/>
      <w:bookmarkEnd w:id="420"/>
      <w:bookmarkEnd w:id="421"/>
      <w:bookmarkEnd w:id="426"/>
    </w:p>
    <w:p>
      <w:pPr>
        <w:autoSpaceDE w:val="0"/>
        <w:autoSpaceDN w:val="0"/>
        <w:adjustRightInd w:val="0"/>
        <w:spacing w:line="48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（本章仅提供有格式要求的材料模版，具体投标文件组成不限于以下材料，投标人需按“投标人须知”章节中“投标文件”的具体要求编制投标文件）</w:t>
      </w:r>
    </w:p>
    <w:p>
      <w:pPr>
        <w:outlineLvl w:val="0"/>
        <w:rPr>
          <w:rFonts w:ascii="宋体" w:hAnsi="宋体"/>
          <w:b/>
          <w:color w:val="auto"/>
          <w:sz w:val="32"/>
          <w:highlight w:val="none"/>
        </w:rPr>
      </w:pPr>
      <w:r>
        <w:rPr>
          <w:rFonts w:ascii="宋体" w:hAnsi="宋体" w:cs="宋体"/>
          <w:color w:val="auto"/>
          <w:sz w:val="24"/>
          <w:highlight w:val="none"/>
        </w:rPr>
        <w:br w:type="page"/>
      </w:r>
      <w:bookmarkStart w:id="427" w:name="_Toc3965_WPSOffice_Level1"/>
      <w:bookmarkStart w:id="428" w:name="_Toc18209"/>
      <w:bookmarkStart w:id="429" w:name="_Toc508216955"/>
      <w:bookmarkStart w:id="430" w:name="_Toc445475396"/>
      <w:bookmarkStart w:id="431" w:name="_Toc22947_WPSOffice_Level1"/>
      <w:bookmarkStart w:id="432" w:name="_Toc24836_WPSOffice_Level1"/>
      <w:bookmarkStart w:id="433" w:name="_Toc397928631"/>
      <w:bookmarkStart w:id="434" w:name="_Toc7321_WPSOffice_Level1"/>
      <w:r>
        <w:rPr>
          <w:rStyle w:val="43"/>
          <w:rFonts w:hint="eastAsia" w:ascii="宋体" w:hAnsi="宋体" w:eastAsia="宋体"/>
          <w:color w:val="auto"/>
          <w:highlight w:val="none"/>
        </w:rPr>
        <w:t>封面</w:t>
      </w:r>
      <w:bookmarkEnd w:id="427"/>
      <w:bookmarkEnd w:id="428"/>
      <w:bookmarkEnd w:id="429"/>
      <w:bookmarkEnd w:id="430"/>
      <w:bookmarkEnd w:id="431"/>
      <w:bookmarkEnd w:id="432"/>
      <w:bookmarkEnd w:id="433"/>
      <w:bookmarkEnd w:id="434"/>
    </w:p>
    <w:p>
      <w:pPr>
        <w:spacing w:line="360" w:lineRule="auto"/>
        <w:jc w:val="center"/>
        <w:rPr>
          <w:rFonts w:ascii="宋体" w:hAnsi="宋体"/>
          <w:b/>
          <w:color w:val="auto"/>
          <w:sz w:val="32"/>
          <w:highlight w:val="none"/>
        </w:rPr>
      </w:pPr>
    </w:p>
    <w:p>
      <w:pPr>
        <w:jc w:val="center"/>
        <w:rPr>
          <w:rFonts w:ascii="宋体" w:hAnsi="宋体"/>
          <w:color w:val="auto"/>
          <w:sz w:val="44"/>
          <w:szCs w:val="44"/>
          <w:highlight w:val="none"/>
        </w:rPr>
      </w:pPr>
      <w:r>
        <w:rPr>
          <w:rFonts w:hint="eastAsia" w:ascii="宋体" w:hAnsi="宋体"/>
          <w:color w:val="auto"/>
          <w:sz w:val="44"/>
          <w:szCs w:val="44"/>
          <w:highlight w:val="none"/>
        </w:rPr>
        <w:t xml:space="preserve"> </w:t>
      </w:r>
    </w:p>
    <w:p>
      <w:pPr>
        <w:jc w:val="center"/>
        <w:rPr>
          <w:rFonts w:ascii="宋体" w:hAnsi="宋体"/>
          <w:color w:val="auto"/>
          <w:sz w:val="44"/>
          <w:szCs w:val="44"/>
          <w:highlight w:val="none"/>
        </w:rPr>
      </w:pPr>
      <w:r>
        <w:rPr>
          <w:rFonts w:hint="eastAsia" w:ascii="宋体" w:hAnsi="宋体"/>
          <w:color w:val="auto"/>
          <w:sz w:val="44"/>
          <w:szCs w:val="44"/>
          <w:highlight w:val="none"/>
          <w:u w:val="single"/>
        </w:rPr>
        <w:t xml:space="preserve"> </w:t>
      </w:r>
      <w:bookmarkStart w:id="435" w:name="_Toc13719_WPSOffice_Level1"/>
      <w:bookmarkStart w:id="436" w:name="_Toc7845_WPSOffice_Level1"/>
      <w:bookmarkStart w:id="437" w:name="_Toc1285_WPSOffice_Level1"/>
      <w:bookmarkStart w:id="438" w:name="_Toc8467_WPSOffice_Level1"/>
      <w:r>
        <w:rPr>
          <w:rFonts w:hint="eastAsia" w:ascii="宋体" w:hAnsi="宋体"/>
          <w:color w:val="auto"/>
          <w:sz w:val="44"/>
          <w:szCs w:val="44"/>
          <w:highlight w:val="none"/>
          <w:u w:val="single"/>
        </w:rPr>
        <w:t xml:space="preserve">（项目名称）   </w:t>
      </w:r>
      <w:r>
        <w:rPr>
          <w:rFonts w:hint="eastAsia" w:ascii="宋体" w:hAnsi="宋体"/>
          <w:color w:val="auto"/>
          <w:sz w:val="44"/>
          <w:szCs w:val="44"/>
          <w:highlight w:val="none"/>
        </w:rPr>
        <w:t>招标</w:t>
      </w:r>
      <w:bookmarkEnd w:id="435"/>
      <w:bookmarkEnd w:id="436"/>
      <w:bookmarkEnd w:id="437"/>
      <w:bookmarkEnd w:id="438"/>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72"/>
          <w:szCs w:val="72"/>
          <w:highlight w:val="none"/>
        </w:rPr>
      </w:pPr>
    </w:p>
    <w:p>
      <w:pPr>
        <w:spacing w:line="360" w:lineRule="auto"/>
        <w:jc w:val="center"/>
        <w:outlineLvl w:val="0"/>
        <w:rPr>
          <w:rFonts w:ascii="宋体" w:hAnsi="宋体"/>
          <w:color w:val="auto"/>
          <w:sz w:val="96"/>
          <w:szCs w:val="96"/>
          <w:highlight w:val="none"/>
        </w:rPr>
      </w:pPr>
      <w:bookmarkStart w:id="439" w:name="_Toc6709"/>
      <w:bookmarkStart w:id="440" w:name="_Toc5217_WPSOffice_Level1"/>
      <w:bookmarkStart w:id="441" w:name="_Toc27088_WPSOffice_Level1"/>
      <w:bookmarkStart w:id="442" w:name="_Toc15206_WPSOffice_Level1"/>
      <w:bookmarkStart w:id="443" w:name="_Toc2862_WPSOffice_Level1"/>
      <w:r>
        <w:rPr>
          <w:rFonts w:hint="eastAsia" w:ascii="宋体" w:hAnsi="宋体"/>
          <w:color w:val="auto"/>
          <w:sz w:val="96"/>
          <w:szCs w:val="96"/>
          <w:highlight w:val="none"/>
        </w:rPr>
        <w:t>投 标 文 件</w:t>
      </w:r>
      <w:bookmarkEnd w:id="439"/>
      <w:bookmarkEnd w:id="440"/>
      <w:bookmarkEnd w:id="441"/>
      <w:bookmarkEnd w:id="442"/>
      <w:bookmarkEnd w:id="443"/>
    </w:p>
    <w:p>
      <w:pPr>
        <w:spacing w:line="360" w:lineRule="auto"/>
        <w:jc w:val="center"/>
        <w:rPr>
          <w:rFonts w:ascii="宋体" w:hAnsi="宋体"/>
          <w:color w:val="auto"/>
          <w:sz w:val="28"/>
          <w:szCs w:val="28"/>
          <w:highlight w:val="none"/>
        </w:rPr>
      </w:pPr>
    </w:p>
    <w:p>
      <w:pPr>
        <w:spacing w:line="360" w:lineRule="auto"/>
        <w:jc w:val="center"/>
        <w:outlineLvl w:val="0"/>
        <w:rPr>
          <w:rFonts w:ascii="宋体" w:hAnsi="宋体"/>
          <w:color w:val="auto"/>
          <w:sz w:val="28"/>
          <w:szCs w:val="28"/>
          <w:highlight w:val="none"/>
        </w:rPr>
      </w:pPr>
      <w:bookmarkStart w:id="444" w:name="_Toc30095_WPSOffice_Level1"/>
      <w:bookmarkStart w:id="445" w:name="_Toc18069_WPSOffice_Level1"/>
      <w:bookmarkStart w:id="446" w:name="_Toc29496_WPSOffice_Level1"/>
      <w:bookmarkStart w:id="447" w:name="_Toc16954_WPSOffice_Level1"/>
      <w:bookmarkStart w:id="448" w:name="_Toc24923"/>
      <w:r>
        <w:rPr>
          <w:rFonts w:hint="eastAsia" w:ascii="宋体" w:hAnsi="宋体"/>
          <w:color w:val="auto"/>
          <w:sz w:val="28"/>
          <w:szCs w:val="28"/>
          <w:highlight w:val="none"/>
        </w:rPr>
        <w:t>项目编号：</w:t>
      </w:r>
      <w:bookmarkEnd w:id="444"/>
      <w:bookmarkEnd w:id="445"/>
      <w:bookmarkEnd w:id="446"/>
      <w:bookmarkEnd w:id="447"/>
      <w:bookmarkEnd w:id="448"/>
      <w:r>
        <w:rPr>
          <w:rFonts w:hint="eastAsia" w:ascii="宋体" w:hAnsi="宋体"/>
          <w:color w:val="auto"/>
          <w:sz w:val="28"/>
          <w:szCs w:val="28"/>
          <w:highlight w:val="none"/>
        </w:rPr>
        <w:t xml:space="preserve"> </w:t>
      </w: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jc w:val="center"/>
        <w:rPr>
          <w:rFonts w:ascii="宋体" w:hAnsi="宋体"/>
          <w:color w:val="auto"/>
          <w:sz w:val="28"/>
          <w:szCs w:val="28"/>
          <w:highlight w:val="none"/>
        </w:rPr>
      </w:pPr>
    </w:p>
    <w:p>
      <w:pPr>
        <w:spacing w:line="360" w:lineRule="auto"/>
        <w:ind w:firstLine="708" w:firstLineChars="253"/>
        <w:jc w:val="left"/>
        <w:rPr>
          <w:rFonts w:ascii="宋体" w:hAnsi="宋体"/>
          <w:color w:val="auto"/>
          <w:sz w:val="28"/>
          <w:szCs w:val="28"/>
          <w:highlight w:val="none"/>
          <w:u w:val="single"/>
        </w:rPr>
      </w:pPr>
      <w:r>
        <w:rPr>
          <w:rFonts w:hint="eastAsia" w:ascii="宋体" w:hAnsi="宋体"/>
          <w:color w:val="auto"/>
          <w:sz w:val="28"/>
          <w:szCs w:val="28"/>
          <w:highlight w:val="none"/>
        </w:rPr>
        <w:t>投标人（盖章）：</w:t>
      </w:r>
      <w:r>
        <w:rPr>
          <w:rFonts w:hint="eastAsia" w:ascii="宋体" w:hAnsi="宋体"/>
          <w:color w:val="auto"/>
          <w:sz w:val="28"/>
          <w:szCs w:val="28"/>
          <w:highlight w:val="none"/>
          <w:u w:val="single"/>
        </w:rPr>
        <w:t xml:space="preserve">                                </w:t>
      </w:r>
    </w:p>
    <w:p>
      <w:pPr>
        <w:spacing w:line="360" w:lineRule="auto"/>
        <w:ind w:firstLine="700" w:firstLineChars="250"/>
        <w:jc w:val="left"/>
        <w:rPr>
          <w:rFonts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360" w:lineRule="auto"/>
        <w:jc w:val="left"/>
        <w:rPr>
          <w:rFonts w:ascii="宋体" w:hAnsi="宋体"/>
          <w:color w:val="auto"/>
          <w:highlight w:val="none"/>
        </w:rPr>
      </w:pPr>
      <w:bookmarkStart w:id="449" w:name="_Toc397928632"/>
      <w:bookmarkStart w:id="450" w:name="_Toc5230"/>
      <w:bookmarkStart w:id="451" w:name="_Toc387526438"/>
      <w:bookmarkStart w:id="452" w:name="_Toc387526346"/>
      <w:bookmarkStart w:id="453" w:name="_Toc387526242"/>
    </w:p>
    <w:p>
      <w:pPr>
        <w:spacing w:line="360" w:lineRule="auto"/>
        <w:ind w:firstLine="1785" w:firstLineChars="850"/>
        <w:jc w:val="left"/>
        <w:rPr>
          <w:rFonts w:ascii="宋体" w:hAnsi="宋体"/>
          <w:color w:val="auto"/>
          <w:highlight w:val="none"/>
        </w:rPr>
      </w:pPr>
    </w:p>
    <w:p>
      <w:pPr>
        <w:spacing w:line="360" w:lineRule="auto"/>
        <w:ind w:firstLine="1785" w:firstLineChars="850"/>
        <w:jc w:val="left"/>
        <w:rPr>
          <w:rFonts w:ascii="宋体" w:hAnsi="宋体"/>
          <w:color w:val="auto"/>
          <w:highlight w:val="none"/>
        </w:rPr>
      </w:pPr>
    </w:p>
    <w:bookmarkEnd w:id="449"/>
    <w:bookmarkEnd w:id="450"/>
    <w:bookmarkEnd w:id="451"/>
    <w:bookmarkEnd w:id="452"/>
    <w:bookmarkEnd w:id="453"/>
    <w:p>
      <w:pPr>
        <w:pStyle w:val="13"/>
        <w:snapToGrid w:val="0"/>
        <w:spacing w:before="120" w:after="120" w:line="460" w:lineRule="exact"/>
        <w:jc w:val="left"/>
        <w:rPr>
          <w:rFonts w:hAnsi="宋体" w:cs="Angsana New"/>
          <w:color w:val="auto"/>
          <w:sz w:val="24"/>
          <w:szCs w:val="24"/>
          <w:highlight w:val="none"/>
          <w:lang w:bidi="th-TH"/>
        </w:rPr>
      </w:pPr>
      <w:r>
        <w:rPr>
          <w:rFonts w:hint="eastAsia" w:hAnsi="宋体"/>
          <w:color w:val="auto"/>
          <w:sz w:val="24"/>
          <w:szCs w:val="24"/>
          <w:highlight w:val="none"/>
        </w:rPr>
        <w:br w:type="page"/>
      </w:r>
      <w:r>
        <w:rPr>
          <w:rFonts w:hint="eastAsia" w:hAnsi="宋体"/>
          <w:color w:val="auto"/>
          <w:sz w:val="24"/>
          <w:szCs w:val="24"/>
          <w:highlight w:val="none"/>
        </w:rPr>
        <w:t>格式一：</w:t>
      </w:r>
    </w:p>
    <w:p>
      <w:pPr>
        <w:pStyle w:val="13"/>
        <w:snapToGrid w:val="0"/>
        <w:spacing w:before="120" w:after="120" w:line="460" w:lineRule="exact"/>
        <w:jc w:val="center"/>
        <w:rPr>
          <w:rFonts w:hAnsi="宋体"/>
          <w:b/>
          <w:color w:val="auto"/>
          <w:szCs w:val="28"/>
          <w:highlight w:val="none"/>
        </w:rPr>
      </w:pPr>
    </w:p>
    <w:p>
      <w:pPr>
        <w:pStyle w:val="13"/>
        <w:snapToGrid w:val="0"/>
        <w:spacing w:before="120" w:after="120" w:line="460" w:lineRule="exact"/>
        <w:jc w:val="center"/>
        <w:rPr>
          <w:rFonts w:hAnsi="宋体" w:cs="Angsana New"/>
          <w:color w:val="auto"/>
          <w:highlight w:val="none"/>
          <w:lang w:bidi="th-TH"/>
        </w:rPr>
      </w:pPr>
      <w:r>
        <w:rPr>
          <w:rFonts w:hint="eastAsia" w:hAnsi="宋体"/>
          <w:b/>
          <w:color w:val="auto"/>
          <w:szCs w:val="28"/>
          <w:highlight w:val="none"/>
        </w:rPr>
        <w:t>法定代表人身份证明书</w:t>
      </w:r>
    </w:p>
    <w:p>
      <w:pPr>
        <w:pStyle w:val="13"/>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单位名称：</w:t>
      </w:r>
      <w:r>
        <w:rPr>
          <w:rFonts w:hint="eastAsia" w:hAnsi="宋体" w:cs="Angsana New"/>
          <w:color w:val="auto"/>
          <w:sz w:val="24"/>
          <w:szCs w:val="24"/>
          <w:highlight w:val="none"/>
          <w:u w:val="single"/>
          <w:lang w:bidi="th-TH"/>
        </w:rPr>
        <w:t xml:space="preserve">                                  </w:t>
      </w:r>
    </w:p>
    <w:p>
      <w:pPr>
        <w:pStyle w:val="13"/>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单位性质：</w:t>
      </w:r>
      <w:r>
        <w:rPr>
          <w:rFonts w:hint="eastAsia" w:hAnsi="宋体" w:cs="Angsana New"/>
          <w:color w:val="auto"/>
          <w:sz w:val="24"/>
          <w:szCs w:val="24"/>
          <w:highlight w:val="none"/>
          <w:u w:val="single"/>
          <w:lang w:bidi="th-TH"/>
        </w:rPr>
        <w:t xml:space="preserve">                                 </w:t>
      </w:r>
    </w:p>
    <w:p>
      <w:pPr>
        <w:pStyle w:val="13"/>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地址：</w:t>
      </w:r>
      <w:r>
        <w:rPr>
          <w:rFonts w:hint="eastAsia" w:hAnsi="宋体" w:cs="Angsana New"/>
          <w:color w:val="auto"/>
          <w:sz w:val="24"/>
          <w:szCs w:val="24"/>
          <w:highlight w:val="none"/>
          <w:u w:val="single"/>
          <w:lang w:bidi="th-TH"/>
        </w:rPr>
        <w:t xml:space="preserve">                                     </w:t>
      </w:r>
    </w:p>
    <w:p>
      <w:pPr>
        <w:pStyle w:val="1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成立时间：</w:t>
      </w:r>
      <w:r>
        <w:rPr>
          <w:rFonts w:hint="eastAsia" w:hAnsi="宋体" w:cs="Angsana New"/>
          <w:color w:val="auto"/>
          <w:sz w:val="24"/>
          <w:szCs w:val="24"/>
          <w:highlight w:val="none"/>
          <w:u w:val="single"/>
          <w:lang w:bidi="th-TH"/>
        </w:rPr>
        <w:t xml:space="preserve">       年    月      日</w:t>
      </w:r>
    </w:p>
    <w:p>
      <w:pPr>
        <w:pStyle w:val="1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经营期限：</w:t>
      </w:r>
      <w:r>
        <w:rPr>
          <w:rFonts w:hint="eastAsia" w:hAnsi="宋体" w:cs="Angsana New"/>
          <w:color w:val="auto"/>
          <w:sz w:val="24"/>
          <w:szCs w:val="24"/>
          <w:highlight w:val="none"/>
          <w:u w:val="single"/>
          <w:lang w:bidi="th-TH"/>
        </w:rPr>
        <w:t xml:space="preserve">                                  </w:t>
      </w:r>
    </w:p>
    <w:p>
      <w:pPr>
        <w:pStyle w:val="1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 xml:space="preserve">姓名： </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性别：</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 xml:space="preserve"> 年龄： </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职务：</w:t>
      </w:r>
      <w:r>
        <w:rPr>
          <w:rFonts w:hint="eastAsia" w:hAnsi="宋体" w:cs="Angsana New"/>
          <w:color w:val="auto"/>
          <w:sz w:val="24"/>
          <w:szCs w:val="24"/>
          <w:highlight w:val="none"/>
          <w:u w:val="single"/>
          <w:lang w:bidi="th-TH"/>
        </w:rPr>
        <w:t xml:space="preserve">      </w:t>
      </w:r>
    </w:p>
    <w:p>
      <w:pPr>
        <w:pStyle w:val="1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系</w:t>
      </w:r>
      <w:r>
        <w:rPr>
          <w:rFonts w:hint="eastAsia" w:hAnsi="宋体" w:cs="Angsana New"/>
          <w:color w:val="auto"/>
          <w:sz w:val="24"/>
          <w:szCs w:val="24"/>
          <w:highlight w:val="none"/>
          <w:u w:val="single"/>
          <w:lang w:bidi="th-TH"/>
        </w:rPr>
        <w:t>（投标人）</w:t>
      </w:r>
      <w:r>
        <w:rPr>
          <w:rFonts w:hint="eastAsia" w:hAnsi="宋体" w:cs="Angsana New"/>
          <w:color w:val="auto"/>
          <w:sz w:val="24"/>
          <w:szCs w:val="24"/>
          <w:highlight w:val="none"/>
          <w:lang w:bidi="th-TH"/>
        </w:rPr>
        <w:t>的法定代表人。</w:t>
      </w:r>
    </w:p>
    <w:p>
      <w:pPr>
        <w:pStyle w:val="1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特此证明。</w:t>
      </w:r>
    </w:p>
    <w:p>
      <w:pPr>
        <w:pStyle w:val="13"/>
        <w:snapToGrid w:val="0"/>
        <w:spacing w:before="120" w:after="120" w:line="460" w:lineRule="exact"/>
        <w:jc w:val="left"/>
        <w:rPr>
          <w:rFonts w:hAnsi="宋体" w:cs="Angsana New"/>
          <w:color w:val="auto"/>
          <w:sz w:val="24"/>
          <w:szCs w:val="24"/>
          <w:highlight w:val="none"/>
          <w:lang w:bidi="th-TH"/>
        </w:rPr>
      </w:pPr>
      <w:r>
        <w:rPr>
          <w:rFonts w:hAnsi="宋体" w:cs="Angsana New"/>
          <w:color w:val="auto"/>
          <w:sz w:val="24"/>
          <w:szCs w:val="24"/>
          <w:highlight w:val="none"/>
        </w:rPr>
        <w:pict>
          <v:rect id="Rectangle 3" o:spid="_x0000_s1026" o:spt="1" style="position:absolute;left:0pt;margin-left:1.55pt;margin-top:8.9pt;height:85.8pt;width:153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sp5wEAAN8DAAAOAAAAZHJzL2Uyb0RvYy54bWysU8tu2zAQvBfoPxC815KcxogFyznUdS9F&#10;GzTpB6xJSiLAF7iMJf99l3TqJG0PRVEdqCW5nJ2ZJTe3szXsqCJq7zreLGrOlBNeajd0/PvD/t0N&#10;Z5jASTDeqY6fFPLb7ds3mym0aulHb6SKjEActlPo+JhSaKsKxags4MIH5Wiz99FComkcKhlhInRr&#10;qmVdr6rJRxmiFwqRVnfnTb4t+H2vRPra96gSMx0nbqmMsYyHPFbbDbRDhDBq8UQD/oGFBe2o6AVq&#10;BwnYY9S/QVktokffp4XwtvJ9r4UqGkhNU/+i5n6EoIoWMgfDxSb8f7Diy/EuMi07vuTMgaUWfSPT&#10;wA1GsatszxSwpaz7cBefZkhh1jr30eY/qWBzsfR0sVTNiQlabNbvr5qanBe019Q369WqmF49Hw8R&#10;0yflLctBxyOVL1bC8TMmKkmpP1NyNfRGy702pkzicPhgIjsC9XdfvsyZjrxKM45NHV9fL6+JCNA1&#10;6w0kCm0g4eiGUu/VCXwJXJfvT8CZ2A5wPBMoCDkNWquTyn5BOyqQH51k6RTIXEevgGcyVknOjKJH&#10;k6OSmUCbv8kkdcaRyNyZcy9ylObDTDA5PHh5oq4+hqiHkSxtCvW8Q7eouPN04/M1fTkvoM/vcvsD&#10;AAD//wMAUEsDBBQABgAIAAAAIQDi3/rc3AAAAAgBAAAPAAAAZHJzL2Rvd25yZXYueG1sTI/BTsMw&#10;EETvSPyDtUjcqN0GQZPGqRCoSBzb9MJtE7tJIF5HsdMGvp7lBMedGc2+ybez68XZjqHzpGG5UCAs&#10;1d501Gg4lru7NYgQkQz2nqyGLxtgW1xf5ZgZf6G9PR9iI7iEQoYa2hiHTMpQt9ZhWPjBEnsnPzqM&#10;fI6NNCNeuNz1cqXUg3TYEX9ocbDPra0/D5PTUHWrI37vy1fl0l0S3+byY3p/0fr2Zn7agIh2jn9h&#10;+MVndCiYqfITmSB6DcmSgyw/8gC2E5WyULGwTu9BFrn8P6D4AQAA//8DAFBLAQItABQABgAIAAAA&#10;IQC2gziS/gAAAOEBAAATAAAAAAAAAAAAAAAAAAAAAABbQ29udGVudF9UeXBlc10ueG1sUEsBAi0A&#10;FAAGAAgAAAAhADj9If/WAAAAlAEAAAsAAAAAAAAAAAAAAAAALwEAAF9yZWxzLy5yZWxzUEsBAi0A&#10;FAAGAAgAAAAhAF5caynnAQAA3wMAAA4AAAAAAAAAAAAAAAAALgIAAGRycy9lMm9Eb2MueG1sUEsB&#10;Ai0AFAAGAAgAAAAhAOLf+tzcAAAACAEAAA8AAAAAAAAAAAAAAAAAQQQAAGRycy9kb3ducmV2Lnht&#10;bFBLBQYAAAAABAAEAPMAAABKBQAAAAA=&#10;">
            <v:path/>
            <v:fill focussize="0,0"/>
            <v:stroke/>
            <v:imagedata o:title=""/>
            <o:lock v:ext="edit"/>
            <v:textbox>
              <w:txbxContent>
                <w:p>
                  <w:pPr>
                    <w:jc w:val="center"/>
                    <w:rPr>
                      <w:rFonts w:ascii="宋体" w:hAnsi="宋体"/>
                      <w:sz w:val="24"/>
                    </w:rPr>
                  </w:pPr>
                </w:p>
                <w:p>
                  <w:pPr>
                    <w:jc w:val="center"/>
                    <w:rPr>
                      <w:rFonts w:ascii="宋体" w:hAnsi="宋体"/>
                      <w:sz w:val="24"/>
                    </w:rPr>
                  </w:pPr>
                  <w:r>
                    <w:rPr>
                      <w:rFonts w:hint="eastAsia" w:ascii="宋体" w:hAnsi="宋体"/>
                      <w:sz w:val="24"/>
                    </w:rPr>
                    <w:t>法定代表人身份证复印于此</w:t>
                  </w:r>
                </w:p>
              </w:txbxContent>
            </v:textbox>
          </v:rect>
        </w:pict>
      </w:r>
    </w:p>
    <w:p>
      <w:pPr>
        <w:pStyle w:val="13"/>
        <w:snapToGrid w:val="0"/>
        <w:spacing w:before="120" w:after="120" w:line="460" w:lineRule="exact"/>
        <w:ind w:firstLine="5508" w:firstLineChars="2295"/>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pPr>
        <w:pStyle w:val="13"/>
        <w:snapToGrid w:val="0"/>
        <w:spacing w:before="120" w:after="120" w:line="460" w:lineRule="exact"/>
        <w:ind w:firstLine="5508" w:firstLineChars="2295"/>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年  月  日</w:t>
      </w:r>
      <w:r>
        <w:rPr>
          <w:rFonts w:hAnsi="宋体" w:cs="Angsana New"/>
          <w:color w:val="auto"/>
          <w:sz w:val="24"/>
          <w:szCs w:val="24"/>
          <w:highlight w:val="none"/>
          <w:lang w:bidi="th-TH"/>
        </w:rPr>
        <w:br w:type="page"/>
      </w:r>
      <w:r>
        <w:rPr>
          <w:rFonts w:hint="eastAsia" w:hAnsi="宋体" w:cs="Angsana New"/>
          <w:color w:val="auto"/>
          <w:sz w:val="24"/>
          <w:szCs w:val="24"/>
          <w:highlight w:val="none"/>
          <w:lang w:bidi="th-TH"/>
        </w:rPr>
        <w:t>格式二：</w:t>
      </w:r>
    </w:p>
    <w:p>
      <w:pPr>
        <w:pStyle w:val="13"/>
        <w:snapToGrid w:val="0"/>
        <w:spacing w:before="120" w:after="120" w:line="460" w:lineRule="exact"/>
        <w:jc w:val="center"/>
        <w:rPr>
          <w:rFonts w:hAnsi="宋体"/>
          <w:b/>
          <w:color w:val="auto"/>
          <w:szCs w:val="28"/>
          <w:highlight w:val="none"/>
        </w:rPr>
      </w:pPr>
    </w:p>
    <w:p>
      <w:pPr>
        <w:pStyle w:val="13"/>
        <w:snapToGrid w:val="0"/>
        <w:spacing w:before="120" w:after="120" w:line="460" w:lineRule="exact"/>
        <w:jc w:val="center"/>
        <w:rPr>
          <w:rFonts w:hint="eastAsia" w:hAnsi="宋体"/>
          <w:b/>
          <w:color w:val="auto"/>
          <w:szCs w:val="28"/>
          <w:highlight w:val="none"/>
        </w:rPr>
      </w:pPr>
      <w:r>
        <w:rPr>
          <w:rFonts w:hint="eastAsia" w:hAnsi="宋体"/>
          <w:b/>
          <w:color w:val="auto"/>
          <w:szCs w:val="28"/>
          <w:highlight w:val="none"/>
        </w:rPr>
        <w:t>法定代表人授权委托书</w:t>
      </w:r>
    </w:p>
    <w:p>
      <w:pPr>
        <w:pStyle w:val="13"/>
        <w:snapToGrid w:val="0"/>
        <w:spacing w:before="120" w:after="120" w:line="460" w:lineRule="exact"/>
        <w:jc w:val="center"/>
        <w:rPr>
          <w:rFonts w:hint="eastAsia" w:hAnsi="宋体"/>
          <w:b/>
          <w:color w:val="auto"/>
          <w:szCs w:val="28"/>
          <w:highlight w:val="none"/>
        </w:rPr>
      </w:pPr>
    </w:p>
    <w:p>
      <w:pPr>
        <w:pStyle w:val="13"/>
        <w:snapToGrid w:val="0"/>
        <w:spacing w:before="120" w:after="120" w:line="46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本授权委托书声明：我</w:t>
      </w:r>
      <w:r>
        <w:rPr>
          <w:rFonts w:hint="eastAsia" w:hAnsi="宋体" w:cs="Angsana New"/>
          <w:color w:val="auto"/>
          <w:sz w:val="24"/>
          <w:szCs w:val="24"/>
          <w:highlight w:val="none"/>
          <w:u w:val="single"/>
          <w:lang w:bidi="th-TH"/>
        </w:rPr>
        <w:t>（姓名）</w:t>
      </w:r>
      <w:r>
        <w:rPr>
          <w:rFonts w:hint="eastAsia" w:hAnsi="宋体" w:cs="Angsana New"/>
          <w:color w:val="auto"/>
          <w:sz w:val="24"/>
          <w:szCs w:val="24"/>
          <w:highlight w:val="none"/>
          <w:lang w:bidi="th-TH"/>
        </w:rPr>
        <w:t>系</w:t>
      </w:r>
      <w:r>
        <w:rPr>
          <w:rFonts w:hint="eastAsia" w:hAnsi="宋体" w:cs="Angsana New"/>
          <w:color w:val="auto"/>
          <w:sz w:val="24"/>
          <w:szCs w:val="24"/>
          <w:highlight w:val="none"/>
          <w:u w:val="single"/>
          <w:lang w:bidi="th-TH"/>
        </w:rPr>
        <w:t>（投标人名称）</w:t>
      </w:r>
      <w:r>
        <w:rPr>
          <w:rFonts w:hint="eastAsia" w:hAnsi="宋体" w:cs="Angsana New"/>
          <w:color w:val="auto"/>
          <w:sz w:val="24"/>
          <w:szCs w:val="24"/>
          <w:highlight w:val="none"/>
          <w:lang w:bidi="th-TH"/>
        </w:rPr>
        <w:t>的法定代表人，现授权委托</w:t>
      </w:r>
      <w:r>
        <w:rPr>
          <w:rFonts w:hint="eastAsia" w:hAnsi="宋体" w:cs="Angsana New"/>
          <w:color w:val="auto"/>
          <w:sz w:val="24"/>
          <w:szCs w:val="24"/>
          <w:highlight w:val="none"/>
          <w:u w:val="single"/>
          <w:lang w:bidi="th-TH"/>
        </w:rPr>
        <w:t>（单位名称）</w:t>
      </w:r>
      <w:r>
        <w:rPr>
          <w:rFonts w:hint="eastAsia" w:hAnsi="宋体" w:cs="Angsana New"/>
          <w:color w:val="auto"/>
          <w:sz w:val="24"/>
          <w:szCs w:val="24"/>
          <w:highlight w:val="none"/>
          <w:lang w:bidi="th-TH"/>
        </w:rPr>
        <w:t>的</w:t>
      </w:r>
      <w:r>
        <w:rPr>
          <w:rFonts w:hint="eastAsia" w:hAnsi="宋体" w:cs="Angsana New"/>
          <w:color w:val="auto"/>
          <w:sz w:val="24"/>
          <w:szCs w:val="24"/>
          <w:highlight w:val="none"/>
          <w:u w:val="single"/>
          <w:lang w:bidi="th-TH"/>
        </w:rPr>
        <w:t>（姓名）</w:t>
      </w:r>
      <w:r>
        <w:rPr>
          <w:rFonts w:hint="eastAsia" w:hAnsi="宋体" w:cs="Angsana New"/>
          <w:color w:val="auto"/>
          <w:sz w:val="24"/>
          <w:szCs w:val="24"/>
          <w:highlight w:val="none"/>
          <w:lang w:bidi="th-TH"/>
        </w:rPr>
        <w:t>为我公司的代理人，以本公司的名义参加（</w:t>
      </w:r>
      <w:r>
        <w:rPr>
          <w:rFonts w:hint="eastAsia" w:hAnsi="宋体" w:cs="Angsana New"/>
          <w:color w:val="auto"/>
          <w:sz w:val="24"/>
          <w:szCs w:val="24"/>
          <w:highlight w:val="none"/>
          <w:u w:val="single"/>
          <w:lang w:bidi="th-TH"/>
        </w:rPr>
        <w:t>招标项目名称）</w:t>
      </w:r>
      <w:r>
        <w:rPr>
          <w:rFonts w:hint="eastAsia" w:hAnsi="宋体" w:cs="Angsana New"/>
          <w:color w:val="auto"/>
          <w:sz w:val="24"/>
          <w:szCs w:val="24"/>
          <w:highlight w:val="none"/>
          <w:lang w:bidi="th-TH"/>
        </w:rPr>
        <w:t>的投标活动。代理人在开标、评标、合同谈判过程中所签署的一切文件和处理与之有关的一切事务，我均予以承认。</w:t>
      </w:r>
    </w:p>
    <w:p>
      <w:pPr>
        <w:pStyle w:val="1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 xml:space="preserve">代理人：                性别：           年龄：        </w:t>
      </w:r>
    </w:p>
    <w:p>
      <w:pPr>
        <w:pStyle w:val="13"/>
        <w:snapToGrid w:val="0"/>
        <w:spacing w:before="120" w:after="120" w:line="460" w:lineRule="exact"/>
        <w:jc w:val="left"/>
        <w:rPr>
          <w:rFonts w:hint="eastAsia" w:hAnsi="宋体" w:cs="Angsana New"/>
          <w:color w:val="auto"/>
          <w:sz w:val="24"/>
          <w:szCs w:val="24"/>
          <w:highlight w:val="none"/>
          <w:lang w:bidi="th-TH"/>
        </w:rPr>
      </w:pPr>
      <w:r>
        <w:rPr>
          <w:rFonts w:hint="eastAsia" w:hAnsi="宋体" w:cs="Angsana New"/>
          <w:color w:val="auto"/>
          <w:sz w:val="24"/>
          <w:szCs w:val="24"/>
          <w:highlight w:val="none"/>
          <w:lang w:bidi="th-TH"/>
        </w:rPr>
        <w:t>单位：                  部门：           职务：</w:t>
      </w:r>
    </w:p>
    <w:p>
      <w:pPr>
        <w:pStyle w:val="13"/>
        <w:snapToGrid w:val="0"/>
        <w:spacing w:before="120" w:after="120" w:line="460" w:lineRule="exact"/>
        <w:jc w:val="left"/>
        <w:rPr>
          <w:rFonts w:hint="default" w:hAnsi="宋体" w:eastAsia="宋体" w:cs="Angsana New"/>
          <w:color w:val="auto"/>
          <w:sz w:val="24"/>
          <w:szCs w:val="24"/>
          <w:highlight w:val="none"/>
          <w:u w:val="single"/>
          <w:lang w:val="en-US" w:eastAsia="zh-CN" w:bidi="th-TH"/>
        </w:rPr>
      </w:pPr>
      <w:r>
        <w:rPr>
          <w:rFonts w:hint="eastAsia" w:hAnsi="宋体" w:cs="Angsana New"/>
          <w:color w:val="auto"/>
          <w:sz w:val="24"/>
          <w:szCs w:val="24"/>
          <w:highlight w:val="none"/>
          <w:lang w:val="en-US" w:eastAsia="zh-CN" w:bidi="th-TH"/>
        </w:rPr>
        <w:t>联系电话：</w:t>
      </w:r>
      <w:r>
        <w:rPr>
          <w:rFonts w:hint="eastAsia" w:hAnsi="宋体" w:cs="Angsana New"/>
          <w:color w:val="auto"/>
          <w:sz w:val="24"/>
          <w:szCs w:val="24"/>
          <w:highlight w:val="none"/>
          <w:u w:val="single"/>
          <w:lang w:val="en-US" w:eastAsia="zh-CN" w:bidi="th-TH"/>
        </w:rPr>
        <w:t xml:space="preserve">                  </w:t>
      </w:r>
    </w:p>
    <w:p>
      <w:pPr>
        <w:pStyle w:val="1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代理人无转委托权。特此委托。</w:t>
      </w:r>
    </w:p>
    <w:p>
      <w:pPr>
        <w:pStyle w:val="13"/>
        <w:snapToGrid w:val="0"/>
        <w:spacing w:before="120" w:after="120" w:line="460" w:lineRule="exact"/>
        <w:jc w:val="left"/>
        <w:rPr>
          <w:rFonts w:hAnsi="宋体" w:cs="Angsana New"/>
          <w:color w:val="auto"/>
          <w:sz w:val="24"/>
          <w:szCs w:val="24"/>
          <w:highlight w:val="none"/>
          <w:lang w:bidi="th-TH"/>
        </w:rPr>
      </w:pPr>
      <w:r>
        <w:rPr>
          <w:rFonts w:hAnsi="宋体" w:cs="Angsana New"/>
          <w:color w:val="auto"/>
          <w:sz w:val="24"/>
          <w:szCs w:val="24"/>
          <w:highlight w:val="none"/>
        </w:rPr>
        <w:pict>
          <v:rect id="Rectangle 2" o:spid="_x0000_s1027" o:spt="1" style="position:absolute;left:0pt;margin-left:3.3pt;margin-top:1.8pt;height:85.8pt;width:15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f76QEAAOYDAAAOAAAAZHJzL2Uyb0RvYy54bWysU02P0zAQvSPxHyzfaZLCVtuo6R4o5YJg&#10;xcIPmNqTxJK/ZHub9N8zdkt3FzggRA7OjD1+M+/NeHM3G82OGKJytuPNouYMrXBS2aHj37/t39xy&#10;FhNYCdpZ7PgJI7/bvn61mXyLSzc6LTEwArGxnXzHx5R8W1VRjGggLpxHS4e9CwYSuWGoZICJ0I2u&#10;lnW9qiYXpA9OYIy0uzsf8m3B73sU6UvfR0xMd5xqS2UNZT3ktdpuoB0C+FGJSxnwD1UYUJaSXqF2&#10;kIA9BvUblFEiuOj6tBDOVK7vlcDCgdg09S9sHkbwWLiQONFfZYr/D1Z8Pt4HpiT1jjMLhlr0lUQD&#10;O2hkyyzP5GNLUQ/+Ply8SGbmOvfB5D+xYHOR9HSVFOfEBG0263dvm5qUF3TW1Lfr1aqIXj1d9yGm&#10;j+gMy0bHA6UvUsLxU0yUkkJ/huRs0Wkl90rr4oTh8F4HdgTq7758uWa68iJMWzZ1fH2zvKFCgMas&#10;15DINJ6IRzuUfC9uxOfAdfn+BJwL20EczwUUhBwGrVEJs17Qjgjyg5UsnTyJa+kV8FyMQcmZRno0&#10;2SqRCZT+m0hipy2RzJ059yJbaT7Ml0YSWt45OHmi5j76oIaRlG0Kg3xCw1REugx+ntbnfsF+ep7b&#10;HwAAAP//AwBQSwMEFAAGAAgAAAAhAKGodo/bAAAABwEAAA8AAABkcnMvZG93bnJldi54bWxMjsFO&#10;g0AQhu8mvsNmTLzZpRBRkaUxmpp4bOnF2wAjoOwsYZcWfXrHkz3NTP4v/3z5ZrGDOtLke8cG1qsI&#10;FHHtmp5bA4dye3MPygfkBgfHZOCbPGyKy4scs8adeEfHfWiVlLDP0EAXwphp7euOLPqVG4kl+3CT&#10;xSDn1OpmwpOU20HHUZRqiz3Lhw5Heu6o/trP1kDVxwf82ZWvkX3YJuFtKT/n9xdjrq+Wp0dQgZbw&#10;D8OfvqhDIU6Vm7nxajCQpgIaSGRImqxjWSrB7m5j0EWuz/2LXwAAAP//AwBQSwECLQAUAAYACAAA&#10;ACEAtoM4kv4AAADhAQAAEwAAAAAAAAAAAAAAAAAAAAAAW0NvbnRlbnRfVHlwZXNdLnhtbFBLAQIt&#10;ABQABgAIAAAAIQA4/SH/1gAAAJQBAAALAAAAAAAAAAAAAAAAAC8BAABfcmVscy8ucmVsc1BLAQIt&#10;ABQABgAIAAAAIQBelHf76QEAAOYDAAAOAAAAAAAAAAAAAAAAAC4CAABkcnMvZTJvRG9jLnhtbFBL&#10;AQItABQABgAIAAAAIQChqHaP2wAAAAcBAAAPAAAAAAAAAAAAAAAAAEMEAABkcnMvZG93bnJldi54&#10;bWxQSwUGAAAAAAQABADzAAAASwUAAAAA&#10;">
            <v:path/>
            <v:fill focussize="0,0"/>
            <v:stroke/>
            <v:imagedata o:title=""/>
            <o:lock v:ext="edit"/>
            <v:textbox>
              <w:txbxContent>
                <w:p>
                  <w:pPr>
                    <w:jc w:val="center"/>
                    <w:rPr>
                      <w:rFonts w:ascii="宋体" w:hAnsi="宋体"/>
                      <w:sz w:val="24"/>
                    </w:rPr>
                  </w:pPr>
                </w:p>
                <w:p>
                  <w:pPr>
                    <w:jc w:val="center"/>
                    <w:rPr>
                      <w:rFonts w:ascii="宋体" w:hAnsi="宋体"/>
                      <w:szCs w:val="21"/>
                    </w:rPr>
                  </w:pPr>
                  <w:r>
                    <w:rPr>
                      <w:rFonts w:hint="eastAsia" w:ascii="宋体" w:hAnsi="宋体"/>
                      <w:szCs w:val="21"/>
                    </w:rPr>
                    <w:t>法定代表人及授权委托人身份证复印于此</w:t>
                  </w:r>
                </w:p>
              </w:txbxContent>
            </v:textbox>
          </v:rect>
        </w:pict>
      </w:r>
    </w:p>
    <w:p>
      <w:pPr>
        <w:pStyle w:val="13"/>
        <w:snapToGrid w:val="0"/>
        <w:spacing w:before="120" w:after="120" w:line="460" w:lineRule="exact"/>
        <w:jc w:val="left"/>
        <w:rPr>
          <w:rFonts w:hAnsi="宋体" w:cs="Angsana New"/>
          <w:color w:val="auto"/>
          <w:sz w:val="24"/>
          <w:szCs w:val="24"/>
          <w:highlight w:val="none"/>
          <w:lang w:bidi="th-TH"/>
        </w:rPr>
      </w:pPr>
    </w:p>
    <w:p>
      <w:pPr>
        <w:pStyle w:val="13"/>
        <w:snapToGrid w:val="0"/>
        <w:spacing w:before="120" w:after="120" w:line="460" w:lineRule="exact"/>
        <w:jc w:val="left"/>
        <w:rPr>
          <w:rFonts w:hAnsi="宋体" w:cs="Angsana New"/>
          <w:color w:val="auto"/>
          <w:sz w:val="24"/>
          <w:szCs w:val="24"/>
          <w:highlight w:val="none"/>
          <w:lang w:bidi="th-TH"/>
        </w:rPr>
      </w:pPr>
    </w:p>
    <w:p>
      <w:pPr>
        <w:pStyle w:val="13"/>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pPr>
        <w:pStyle w:val="1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法定代表人（签字或盖章）：</w:t>
      </w:r>
      <w:r>
        <w:rPr>
          <w:rFonts w:hint="eastAsia" w:hAnsi="宋体" w:cs="Angsana New"/>
          <w:color w:val="auto"/>
          <w:sz w:val="24"/>
          <w:szCs w:val="24"/>
          <w:highlight w:val="none"/>
          <w:u w:val="single"/>
          <w:lang w:bidi="th-TH"/>
        </w:rPr>
        <w:t xml:space="preserve">        </w:t>
      </w:r>
    </w:p>
    <w:p>
      <w:pPr>
        <w:pStyle w:val="13"/>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年  月  日</w:t>
      </w:r>
    </w:p>
    <w:p>
      <w:pPr>
        <w:pStyle w:val="13"/>
        <w:snapToGrid w:val="0"/>
        <w:spacing w:before="120" w:after="120" w:line="460" w:lineRule="exact"/>
        <w:jc w:val="left"/>
        <w:rPr>
          <w:rFonts w:hAnsi="宋体" w:cs="Angsana New"/>
          <w:color w:val="auto"/>
          <w:highlight w:val="none"/>
          <w:lang w:bidi="th-TH"/>
        </w:rPr>
      </w:pPr>
    </w:p>
    <w:p>
      <w:pPr>
        <w:pStyle w:val="13"/>
        <w:snapToGrid w:val="0"/>
        <w:spacing w:before="120" w:after="120" w:line="460" w:lineRule="exact"/>
        <w:rPr>
          <w:rFonts w:hAnsi="宋体" w:cs="Angsana New"/>
          <w:color w:val="auto"/>
          <w:sz w:val="24"/>
          <w:szCs w:val="24"/>
          <w:highlight w:val="none"/>
          <w:lang w:bidi="th-TH"/>
        </w:rPr>
      </w:pPr>
      <w:r>
        <w:rPr>
          <w:rFonts w:hAnsi="宋体" w:cs="Angsana New"/>
          <w:color w:val="auto"/>
          <w:highlight w:val="none"/>
          <w:lang w:bidi="th-TH"/>
        </w:rPr>
        <w:br w:type="page"/>
      </w:r>
      <w:r>
        <w:rPr>
          <w:rFonts w:hint="eastAsia" w:hAnsi="宋体" w:cs="Angsana New"/>
          <w:color w:val="auto"/>
          <w:sz w:val="24"/>
          <w:szCs w:val="24"/>
          <w:highlight w:val="none"/>
          <w:lang w:bidi="th-TH"/>
        </w:rPr>
        <w:t>格式三：</w:t>
      </w:r>
    </w:p>
    <w:p>
      <w:pPr>
        <w:pStyle w:val="13"/>
        <w:snapToGrid w:val="0"/>
        <w:spacing w:line="480" w:lineRule="exact"/>
        <w:jc w:val="center"/>
        <w:rPr>
          <w:rFonts w:hAnsi="宋体"/>
          <w:b/>
          <w:color w:val="auto"/>
          <w:szCs w:val="28"/>
          <w:highlight w:val="none"/>
        </w:rPr>
      </w:pPr>
      <w:r>
        <w:rPr>
          <w:rFonts w:hint="eastAsia" w:hAnsi="宋体"/>
          <w:b/>
          <w:color w:val="auto"/>
          <w:szCs w:val="28"/>
          <w:highlight w:val="none"/>
        </w:rPr>
        <w:t>投标函</w:t>
      </w:r>
    </w:p>
    <w:p>
      <w:pPr>
        <w:pStyle w:val="13"/>
        <w:spacing w:line="400" w:lineRule="exact"/>
        <w:jc w:val="left"/>
        <w:rPr>
          <w:rFonts w:hAnsi="宋体" w:cs="Angsana New"/>
          <w:color w:val="auto"/>
          <w:sz w:val="24"/>
          <w:szCs w:val="24"/>
          <w:highlight w:val="none"/>
          <w:lang w:bidi="th-TH"/>
        </w:rPr>
      </w:pPr>
      <w:r>
        <w:rPr>
          <w:rFonts w:hint="eastAsia" w:hAnsi="宋体" w:cs="Angsana New"/>
          <w:color w:val="auto"/>
          <w:sz w:val="24"/>
          <w:szCs w:val="24"/>
          <w:highlight w:val="none"/>
          <w:u w:val="single"/>
          <w:lang w:bidi="th-TH"/>
        </w:rPr>
        <w:t>（招标人名称）</w:t>
      </w:r>
      <w:r>
        <w:rPr>
          <w:rFonts w:hint="eastAsia" w:hAnsi="宋体" w:cs="Angsana New"/>
          <w:color w:val="auto"/>
          <w:sz w:val="24"/>
          <w:szCs w:val="24"/>
          <w:highlight w:val="none"/>
          <w:lang w:bidi="th-TH"/>
        </w:rPr>
        <w:t>：</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根据贵方为</w:t>
      </w:r>
      <w:r>
        <w:rPr>
          <w:rFonts w:hint="eastAsia" w:hAnsi="宋体" w:cs="Angsana New"/>
          <w:color w:val="auto"/>
          <w:sz w:val="24"/>
          <w:szCs w:val="24"/>
          <w:highlight w:val="none"/>
          <w:u w:val="single"/>
          <w:lang w:bidi="th-TH"/>
        </w:rPr>
        <w:t>（项目名称）</w:t>
      </w:r>
      <w:r>
        <w:rPr>
          <w:rFonts w:hint="eastAsia" w:hAnsi="宋体" w:cs="Angsana New"/>
          <w:color w:val="auto"/>
          <w:sz w:val="24"/>
          <w:szCs w:val="24"/>
          <w:highlight w:val="none"/>
          <w:lang w:bidi="th-TH"/>
        </w:rPr>
        <w:t>项目的招标文件,签字人</w:t>
      </w:r>
      <w:r>
        <w:rPr>
          <w:rFonts w:hint="eastAsia" w:hAnsi="宋体" w:cs="Angsana New"/>
          <w:color w:val="auto"/>
          <w:sz w:val="24"/>
          <w:szCs w:val="24"/>
          <w:highlight w:val="none"/>
          <w:u w:val="single"/>
          <w:lang w:bidi="th-TH"/>
        </w:rPr>
        <w:t>（姓名、职务）</w:t>
      </w:r>
      <w:r>
        <w:rPr>
          <w:rFonts w:hint="eastAsia" w:hAnsi="宋体" w:cs="Angsana New"/>
          <w:color w:val="auto"/>
          <w:sz w:val="24"/>
          <w:szCs w:val="24"/>
          <w:highlight w:val="none"/>
          <w:lang w:bidi="th-TH"/>
        </w:rPr>
        <w:t>经正式授权并代表投标人</w:t>
      </w:r>
      <w:r>
        <w:rPr>
          <w:rFonts w:hint="eastAsia" w:hAnsi="宋体" w:cs="Angsana New"/>
          <w:color w:val="auto"/>
          <w:sz w:val="24"/>
          <w:szCs w:val="24"/>
          <w:highlight w:val="none"/>
          <w:u w:val="single"/>
          <w:lang w:bidi="th-TH"/>
        </w:rPr>
        <w:t>（投标人名称、地址）</w:t>
      </w:r>
      <w:r>
        <w:rPr>
          <w:rFonts w:hint="eastAsia" w:hAnsi="宋体" w:cs="Angsana New"/>
          <w:color w:val="auto"/>
          <w:sz w:val="24"/>
          <w:szCs w:val="24"/>
          <w:highlight w:val="none"/>
          <w:lang w:bidi="th-TH"/>
        </w:rPr>
        <w:t>提交投标文件；</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据此函，签字代表宣布同意如下：</w:t>
      </w:r>
    </w:p>
    <w:p>
      <w:pPr>
        <w:pStyle w:val="13"/>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1.我方已仔细研究了</w:t>
      </w:r>
      <w:r>
        <w:rPr>
          <w:rFonts w:hint="eastAsia" w:hAnsi="宋体" w:cs="Angsana New"/>
          <w:color w:val="auto"/>
          <w:sz w:val="24"/>
          <w:szCs w:val="24"/>
          <w:highlight w:val="none"/>
          <w:u w:val="single"/>
          <w:lang w:bidi="th-TH"/>
        </w:rPr>
        <w:t xml:space="preserve">               （项目名称）</w:t>
      </w:r>
      <w:r>
        <w:rPr>
          <w:rFonts w:hint="eastAsia" w:hAnsi="宋体" w:cs="Angsana New"/>
          <w:color w:val="auto"/>
          <w:sz w:val="24"/>
          <w:szCs w:val="24"/>
          <w:highlight w:val="none"/>
          <w:lang w:bidi="th-TH"/>
        </w:rPr>
        <w:t>招标文件的全部内容，愿意以人民币（大写</w:t>
      </w:r>
      <w:r>
        <w:rPr>
          <w:rFonts w:hint="eastAsia" w:hAnsi="宋体" w:cs="Angsana New"/>
          <w:color w:val="auto"/>
          <w:sz w:val="24"/>
          <w:szCs w:val="24"/>
          <w:highlight w:val="none"/>
          <w:u w:val="single"/>
          <w:lang w:bidi="th-TH"/>
        </w:rPr>
        <w:t>）                  （¥        元）</w:t>
      </w:r>
      <w:r>
        <w:rPr>
          <w:rFonts w:hint="eastAsia" w:hAnsi="宋体" w:cs="Angsana New"/>
          <w:color w:val="auto"/>
          <w:sz w:val="24"/>
          <w:szCs w:val="24"/>
          <w:highlight w:val="none"/>
          <w:lang w:bidi="th-TH"/>
        </w:rPr>
        <w:t>的投标报价，合同履行期限</w:t>
      </w:r>
      <w:r>
        <w:rPr>
          <w:rFonts w:hint="eastAsia" w:hAnsi="宋体" w:cs="Angsana New"/>
          <w:color w:val="auto"/>
          <w:sz w:val="24"/>
          <w:szCs w:val="24"/>
          <w:highlight w:val="none"/>
          <w:u w:val="single"/>
          <w:lang w:bidi="th-TH"/>
        </w:rPr>
        <w:t>：       。</w:t>
      </w:r>
      <w:r>
        <w:rPr>
          <w:rFonts w:hint="eastAsia" w:hAnsi="宋体" w:cs="Angsana New"/>
          <w:color w:val="auto"/>
          <w:sz w:val="24"/>
          <w:szCs w:val="24"/>
          <w:highlight w:val="none"/>
          <w:lang w:bidi="th-TH"/>
        </w:rPr>
        <w:t>并将按招标文件的规定履行合同责任和义务，实现服务目的。</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2.我方已详细审查全部招标文件，包括有关澄清和补充说明（如果有的话）。我们完全理解并同意放弃对这方面有不明及误解的权力。</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 xml:space="preserve">3.本投标文件有效期为自开标日起 </w:t>
      </w:r>
      <w:r>
        <w:rPr>
          <w:rFonts w:hint="eastAsia" w:hAnsi="宋体" w:cs="Angsana New"/>
          <w:color w:val="auto"/>
          <w:sz w:val="24"/>
          <w:szCs w:val="24"/>
          <w:highlight w:val="none"/>
          <w:u w:val="single"/>
          <w:lang w:bidi="th-TH"/>
        </w:rPr>
        <w:t xml:space="preserve"> 90 </w:t>
      </w:r>
      <w:r>
        <w:rPr>
          <w:rFonts w:hint="eastAsia" w:hAnsi="宋体" w:cs="Angsana New"/>
          <w:color w:val="auto"/>
          <w:sz w:val="24"/>
          <w:szCs w:val="24"/>
          <w:highlight w:val="none"/>
          <w:lang w:bidi="th-TH"/>
        </w:rPr>
        <w:t>个日历天。在这期间，本投标文件将始终对我方具有约束力，并可随时被接受。本次招标文件和本投标文件（含承诺书）将作为买卖合同的附件。</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4.我方愿意向招标人提供与本次招标的相关资料，并对其真实性、合法性、有效性负责。</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5.我方将严格履行本投标文件中的全部承诺和责任，并遵守招标文件中对投标人的所有规定。</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6.我方完全理解招标人有保留在授标之前任何时候根据评标委员会的意见接受或拒绝任何投标的权力，并完全理解招标人对此无解释的义务。</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7.我方完全理解招标人不一定接受投标价最低的投标。</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8.我方承诺在此次招标过程中涉及的一切应当保密的事项，不向任何第三方泄露，否则承担一切法律责任。</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9.如果我方中标，我们将按招标人要求的时间节点进行交接和运营管理，严格按照招标文件的规定履行合同责任和义务。</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10.如果我方中标，为执行合同，我们将按照招标文件约定要求，接受招标人、盐城市大丰区海城实业发展有限公司及其他主管部门的管理、考核等。</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11.与本次投标有关的一切往来信函请寄：</w:t>
      </w:r>
    </w:p>
    <w:p>
      <w:pPr>
        <w:pStyle w:val="13"/>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地址：</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 xml:space="preserve">    传真：</w:t>
      </w:r>
      <w:r>
        <w:rPr>
          <w:rFonts w:hint="eastAsia" w:hAnsi="宋体" w:cs="Angsana New"/>
          <w:color w:val="auto"/>
          <w:sz w:val="24"/>
          <w:szCs w:val="24"/>
          <w:highlight w:val="none"/>
          <w:u w:val="single"/>
          <w:lang w:bidi="th-TH"/>
        </w:rPr>
        <w:t xml:space="preserve">               </w:t>
      </w:r>
    </w:p>
    <w:p>
      <w:pPr>
        <w:pStyle w:val="13"/>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电话：</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 xml:space="preserve">    电子邮件：</w:t>
      </w:r>
      <w:r>
        <w:rPr>
          <w:rFonts w:hint="eastAsia" w:hAnsi="宋体" w:cs="Angsana New"/>
          <w:color w:val="auto"/>
          <w:sz w:val="24"/>
          <w:szCs w:val="24"/>
          <w:highlight w:val="none"/>
          <w:u w:val="single"/>
          <w:lang w:bidi="th-TH"/>
        </w:rPr>
        <w:t xml:space="preserve">            </w:t>
      </w:r>
    </w:p>
    <w:p>
      <w:pPr>
        <w:pStyle w:val="13"/>
        <w:spacing w:line="400" w:lineRule="exact"/>
        <w:ind w:firstLine="480" w:firstLineChars="200"/>
        <w:jc w:val="left"/>
        <w:rPr>
          <w:rFonts w:hAnsi="宋体" w:cs="Angsana New"/>
          <w:color w:val="auto"/>
          <w:sz w:val="24"/>
          <w:szCs w:val="24"/>
          <w:highlight w:val="none"/>
          <w:u w:val="single"/>
          <w:lang w:bidi="th-TH"/>
        </w:rPr>
      </w:pPr>
    </w:p>
    <w:p>
      <w:pPr>
        <w:pStyle w:val="13"/>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法定代表人或授权委托人（签字或盖章）：</w:t>
      </w:r>
      <w:r>
        <w:rPr>
          <w:rFonts w:hint="eastAsia" w:hAnsi="宋体" w:cs="Angsana New"/>
          <w:color w:val="auto"/>
          <w:sz w:val="24"/>
          <w:szCs w:val="24"/>
          <w:highlight w:val="none"/>
          <w:u w:val="single"/>
          <w:lang w:bidi="th-TH"/>
        </w:rPr>
        <w:t xml:space="preserve">        </w:t>
      </w:r>
    </w:p>
    <w:p>
      <w:pPr>
        <w:pStyle w:val="1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年  月  日</w:t>
      </w:r>
    </w:p>
    <w:p>
      <w:pPr>
        <w:pStyle w:val="1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br w:type="page"/>
      </w:r>
      <w:r>
        <w:rPr>
          <w:rFonts w:hint="eastAsia" w:hAnsi="宋体" w:cs="Angsana New"/>
          <w:color w:val="auto"/>
          <w:sz w:val="24"/>
          <w:szCs w:val="24"/>
          <w:highlight w:val="none"/>
          <w:lang w:bidi="th-TH"/>
        </w:rPr>
        <w:t>格式四：</w:t>
      </w:r>
    </w:p>
    <w:p>
      <w:pPr>
        <w:pStyle w:val="13"/>
        <w:snapToGrid w:val="0"/>
        <w:spacing w:before="120" w:after="120" w:line="46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投标报价</w:t>
      </w:r>
      <w:r>
        <w:rPr>
          <w:rFonts w:hint="eastAsia" w:hAnsi="宋体"/>
          <w:b/>
          <w:color w:val="auto"/>
          <w:sz w:val="32"/>
          <w:szCs w:val="32"/>
          <w:highlight w:val="none"/>
          <w:lang w:val="en-US" w:eastAsia="zh-CN"/>
        </w:rPr>
        <w:t>明细表</w:t>
      </w:r>
    </w:p>
    <w:p>
      <w:pPr>
        <w:spacing w:line="400" w:lineRule="exact"/>
        <w:ind w:right="240"/>
        <w:jc w:val="right"/>
        <w:rPr>
          <w:rFonts w:ascii="宋体" w:hAnsi="宋体" w:cs="Angsana New"/>
          <w:color w:val="auto"/>
          <w:sz w:val="24"/>
          <w:highlight w:val="none"/>
          <w:lang w:bidi="th-TH"/>
        </w:rPr>
      </w:pPr>
      <w:r>
        <w:rPr>
          <w:rFonts w:hint="eastAsia" w:ascii="宋体" w:hAnsi="宋体" w:cs="Angsana New"/>
          <w:color w:val="auto"/>
          <w:sz w:val="24"/>
          <w:highlight w:val="none"/>
          <w:lang w:bidi="th-TH"/>
        </w:rPr>
        <w:t>单位：元</w:t>
      </w:r>
    </w:p>
    <w:tbl>
      <w:tblPr>
        <w:tblStyle w:val="20"/>
        <w:tblW w:w="9408" w:type="dxa"/>
        <w:jc w:val="center"/>
        <w:tblLayout w:type="fixed"/>
        <w:tblCellMar>
          <w:top w:w="0" w:type="dxa"/>
          <w:left w:w="10" w:type="dxa"/>
          <w:bottom w:w="0" w:type="dxa"/>
          <w:right w:w="10" w:type="dxa"/>
        </w:tblCellMar>
      </w:tblPr>
      <w:tblGrid>
        <w:gridCol w:w="1320"/>
        <w:gridCol w:w="3014"/>
        <w:gridCol w:w="3485"/>
        <w:gridCol w:w="1589"/>
      </w:tblGrid>
      <w:tr>
        <w:tblPrEx>
          <w:tblCellMar>
            <w:top w:w="0" w:type="dxa"/>
            <w:left w:w="10" w:type="dxa"/>
            <w:bottom w:w="0" w:type="dxa"/>
            <w:right w:w="10" w:type="dxa"/>
          </w:tblCellMar>
        </w:tblPrEx>
        <w:trPr>
          <w:trHeight w:val="581" w:hRule="exact"/>
          <w:jc w:val="center"/>
        </w:trPr>
        <w:tc>
          <w:tcPr>
            <w:tcW w:w="1320" w:type="dxa"/>
            <w:tcBorders>
              <w:top w:val="single" w:color="auto" w:sz="4" w:space="0"/>
              <w:left w:val="single" w:color="auto" w:sz="4" w:space="0"/>
            </w:tcBorders>
            <w:shd w:val="clear" w:color="auto" w:fill="FFFFFF"/>
            <w:vAlign w:val="center"/>
          </w:tcPr>
          <w:p>
            <w:pPr>
              <w:pStyle w:val="42"/>
              <w:rPr>
                <w:color w:val="auto"/>
                <w:sz w:val="21"/>
                <w:szCs w:val="21"/>
                <w:highlight w:val="none"/>
              </w:rPr>
            </w:pPr>
            <w:r>
              <w:rPr>
                <w:color w:val="auto"/>
                <w:sz w:val="21"/>
                <w:szCs w:val="21"/>
                <w:highlight w:val="none"/>
              </w:rPr>
              <w:t>序号</w:t>
            </w:r>
          </w:p>
        </w:tc>
        <w:tc>
          <w:tcPr>
            <w:tcW w:w="3014" w:type="dxa"/>
            <w:tcBorders>
              <w:top w:val="single" w:color="auto" w:sz="4" w:space="0"/>
              <w:left w:val="single" w:color="auto" w:sz="4" w:space="0"/>
            </w:tcBorders>
            <w:shd w:val="clear" w:color="auto" w:fill="FFFFFF"/>
            <w:vAlign w:val="center"/>
          </w:tcPr>
          <w:p>
            <w:pPr>
              <w:pStyle w:val="42"/>
              <w:rPr>
                <w:color w:val="auto"/>
                <w:sz w:val="21"/>
                <w:szCs w:val="21"/>
                <w:highlight w:val="none"/>
              </w:rPr>
            </w:pPr>
            <w:r>
              <w:rPr>
                <w:color w:val="auto"/>
                <w:sz w:val="21"/>
                <w:szCs w:val="21"/>
                <w:highlight w:val="none"/>
              </w:rPr>
              <w:t>内容</w:t>
            </w:r>
          </w:p>
        </w:tc>
        <w:tc>
          <w:tcPr>
            <w:tcW w:w="3485" w:type="dxa"/>
            <w:tcBorders>
              <w:top w:val="single" w:color="auto" w:sz="4" w:space="0"/>
              <w:left w:val="single" w:color="auto" w:sz="4" w:space="0"/>
            </w:tcBorders>
            <w:shd w:val="clear" w:color="auto" w:fill="FFFFFF"/>
            <w:vAlign w:val="center"/>
          </w:tcPr>
          <w:p>
            <w:pPr>
              <w:pStyle w:val="42"/>
              <w:rPr>
                <w:color w:val="auto"/>
                <w:sz w:val="21"/>
                <w:szCs w:val="21"/>
                <w:highlight w:val="none"/>
              </w:rPr>
            </w:pPr>
          </w:p>
        </w:tc>
        <w:tc>
          <w:tcPr>
            <w:tcW w:w="1589" w:type="dxa"/>
            <w:tcBorders>
              <w:top w:val="single" w:color="auto" w:sz="4" w:space="0"/>
              <w:left w:val="single" w:color="auto" w:sz="4" w:space="0"/>
              <w:right w:val="single" w:color="auto" w:sz="4" w:space="0"/>
            </w:tcBorders>
            <w:shd w:val="clear" w:color="auto" w:fill="FFFFFF"/>
            <w:vAlign w:val="center"/>
          </w:tcPr>
          <w:p>
            <w:pPr>
              <w:pStyle w:val="42"/>
              <w:rPr>
                <w:color w:val="auto"/>
                <w:sz w:val="21"/>
                <w:szCs w:val="21"/>
                <w:highlight w:val="none"/>
              </w:rPr>
            </w:pPr>
            <w:r>
              <w:rPr>
                <w:color w:val="auto"/>
                <w:sz w:val="21"/>
                <w:szCs w:val="21"/>
                <w:highlight w:val="none"/>
              </w:rPr>
              <w:t>备注</w:t>
            </w: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color w:val="auto"/>
                <w:sz w:val="21"/>
                <w:szCs w:val="21"/>
                <w:highlight w:val="none"/>
              </w:rPr>
            </w:pPr>
            <w:r>
              <w:rPr>
                <w:rFonts w:ascii="Times New Roman" w:hAnsi="Times New Roman" w:eastAsia="Times New Roman" w:cs="Times New Roman"/>
                <w:color w:val="auto"/>
                <w:sz w:val="21"/>
                <w:szCs w:val="21"/>
                <w:highlight w:val="none"/>
              </w:rPr>
              <w:t>1</w:t>
            </w:r>
          </w:p>
        </w:tc>
        <w:tc>
          <w:tcPr>
            <w:tcW w:w="3014" w:type="dxa"/>
            <w:tcBorders>
              <w:top w:val="single" w:color="auto" w:sz="4" w:space="0"/>
              <w:left w:val="single" w:color="auto" w:sz="4" w:space="0"/>
            </w:tcBorders>
            <w:shd w:val="clear" w:color="auto" w:fill="FFFFFF"/>
            <w:vAlign w:val="center"/>
          </w:tcPr>
          <w:p>
            <w:pPr>
              <w:pStyle w:val="42"/>
              <w:rPr>
                <w:rFonts w:hint="eastAsia" w:eastAsia="宋体"/>
                <w:color w:val="auto"/>
                <w:sz w:val="21"/>
                <w:szCs w:val="21"/>
                <w:highlight w:val="none"/>
                <w:lang w:eastAsia="zh-CN"/>
              </w:rPr>
            </w:pPr>
          </w:p>
        </w:tc>
        <w:tc>
          <w:tcPr>
            <w:tcW w:w="3485" w:type="dxa"/>
            <w:tcBorders>
              <w:top w:val="single" w:color="auto" w:sz="4" w:space="0"/>
              <w:left w:val="single" w:color="auto" w:sz="4" w:space="0"/>
            </w:tcBorders>
            <w:shd w:val="clear" w:color="auto" w:fill="FFFFFF"/>
          </w:tcPr>
          <w:p>
            <w:pPr>
              <w:rPr>
                <w:color w:val="auto"/>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color w:val="auto"/>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color w:val="auto"/>
                <w:sz w:val="21"/>
                <w:szCs w:val="21"/>
                <w:highlight w:val="none"/>
              </w:rPr>
            </w:pPr>
            <w:r>
              <w:rPr>
                <w:rFonts w:ascii="Times New Roman" w:hAnsi="Times New Roman" w:eastAsia="Times New Roman" w:cs="Times New Roman"/>
                <w:color w:val="auto"/>
                <w:sz w:val="21"/>
                <w:szCs w:val="21"/>
                <w:highlight w:val="none"/>
              </w:rPr>
              <w:t>2</w:t>
            </w:r>
          </w:p>
        </w:tc>
        <w:tc>
          <w:tcPr>
            <w:tcW w:w="3014" w:type="dxa"/>
            <w:tcBorders>
              <w:top w:val="single" w:color="auto" w:sz="4" w:space="0"/>
              <w:left w:val="single" w:color="auto" w:sz="4" w:space="0"/>
            </w:tcBorders>
            <w:shd w:val="clear" w:color="auto" w:fill="FFFFFF"/>
            <w:vAlign w:val="center"/>
          </w:tcPr>
          <w:p>
            <w:pPr>
              <w:pStyle w:val="42"/>
              <w:rPr>
                <w:color w:val="auto"/>
                <w:sz w:val="21"/>
                <w:szCs w:val="21"/>
                <w:highlight w:val="none"/>
              </w:rPr>
            </w:pPr>
          </w:p>
        </w:tc>
        <w:tc>
          <w:tcPr>
            <w:tcW w:w="3485" w:type="dxa"/>
            <w:tcBorders>
              <w:top w:val="single" w:color="auto" w:sz="4" w:space="0"/>
              <w:left w:val="single" w:color="auto" w:sz="4" w:space="0"/>
            </w:tcBorders>
            <w:shd w:val="clear" w:color="auto" w:fill="FFFFFF"/>
          </w:tcPr>
          <w:p>
            <w:pPr>
              <w:rPr>
                <w:color w:val="auto"/>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color w:val="auto"/>
                <w:sz w:val="21"/>
                <w:szCs w:val="21"/>
                <w:highlight w:val="none"/>
              </w:rPr>
            </w:pPr>
          </w:p>
        </w:tc>
      </w:tr>
      <w:tr>
        <w:tblPrEx>
          <w:tblCellMar>
            <w:top w:w="0" w:type="dxa"/>
            <w:left w:w="10" w:type="dxa"/>
            <w:bottom w:w="0" w:type="dxa"/>
            <w:right w:w="10" w:type="dxa"/>
          </w:tblCellMar>
        </w:tblPrEx>
        <w:trPr>
          <w:trHeight w:val="581" w:hRule="exact"/>
          <w:jc w:val="center"/>
        </w:trPr>
        <w:tc>
          <w:tcPr>
            <w:tcW w:w="1320" w:type="dxa"/>
            <w:tcBorders>
              <w:top w:val="single" w:color="auto" w:sz="4" w:space="0"/>
              <w:left w:val="single" w:color="auto" w:sz="4" w:space="0"/>
            </w:tcBorders>
            <w:shd w:val="clear" w:color="auto" w:fill="FFFFFF"/>
            <w:vAlign w:val="center"/>
          </w:tcPr>
          <w:p>
            <w:pPr>
              <w:pStyle w:val="42"/>
              <w:rPr>
                <w:color w:val="auto"/>
                <w:sz w:val="21"/>
                <w:szCs w:val="21"/>
                <w:highlight w:val="none"/>
              </w:rPr>
            </w:pPr>
            <w:r>
              <w:rPr>
                <w:rFonts w:ascii="Times New Roman" w:hAnsi="Times New Roman" w:eastAsia="Times New Roman" w:cs="Times New Roman"/>
                <w:color w:val="auto"/>
                <w:sz w:val="21"/>
                <w:szCs w:val="21"/>
                <w:highlight w:val="none"/>
              </w:rPr>
              <w:t>3</w:t>
            </w:r>
          </w:p>
        </w:tc>
        <w:tc>
          <w:tcPr>
            <w:tcW w:w="3014" w:type="dxa"/>
            <w:tcBorders>
              <w:top w:val="single" w:color="auto" w:sz="4" w:space="0"/>
              <w:left w:val="single" w:color="auto" w:sz="4" w:space="0"/>
            </w:tcBorders>
            <w:shd w:val="clear" w:color="auto" w:fill="FFFFFF"/>
            <w:vAlign w:val="center"/>
          </w:tcPr>
          <w:p>
            <w:pPr>
              <w:pStyle w:val="42"/>
              <w:rPr>
                <w:color w:val="auto"/>
                <w:sz w:val="21"/>
                <w:szCs w:val="21"/>
                <w:highlight w:val="none"/>
              </w:rPr>
            </w:pPr>
          </w:p>
        </w:tc>
        <w:tc>
          <w:tcPr>
            <w:tcW w:w="3485" w:type="dxa"/>
            <w:tcBorders>
              <w:top w:val="single" w:color="auto" w:sz="4" w:space="0"/>
              <w:left w:val="single" w:color="auto" w:sz="4" w:space="0"/>
            </w:tcBorders>
            <w:shd w:val="clear" w:color="auto" w:fill="FFFFFF"/>
          </w:tcPr>
          <w:p>
            <w:pPr>
              <w:rPr>
                <w:color w:val="auto"/>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color w:val="auto"/>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color w:val="auto"/>
                <w:sz w:val="21"/>
                <w:szCs w:val="21"/>
                <w:highlight w:val="none"/>
              </w:rPr>
            </w:pPr>
            <w:r>
              <w:rPr>
                <w:rFonts w:ascii="Times New Roman" w:hAnsi="Times New Roman" w:eastAsia="Times New Roman" w:cs="Times New Roman"/>
                <w:color w:val="auto"/>
                <w:sz w:val="21"/>
                <w:szCs w:val="21"/>
                <w:highlight w:val="none"/>
              </w:rPr>
              <w:t>4</w:t>
            </w:r>
          </w:p>
        </w:tc>
        <w:tc>
          <w:tcPr>
            <w:tcW w:w="3014" w:type="dxa"/>
            <w:tcBorders>
              <w:top w:val="single" w:color="auto" w:sz="4" w:space="0"/>
              <w:left w:val="single" w:color="auto" w:sz="4" w:space="0"/>
            </w:tcBorders>
            <w:shd w:val="clear" w:color="auto" w:fill="FFFFFF"/>
            <w:vAlign w:val="center"/>
          </w:tcPr>
          <w:p>
            <w:pPr>
              <w:pStyle w:val="42"/>
              <w:rPr>
                <w:rFonts w:eastAsia="PMingLiU"/>
                <w:color w:val="auto"/>
                <w:sz w:val="21"/>
                <w:szCs w:val="21"/>
                <w:highlight w:val="none"/>
              </w:rPr>
            </w:pPr>
          </w:p>
        </w:tc>
        <w:tc>
          <w:tcPr>
            <w:tcW w:w="3485" w:type="dxa"/>
            <w:tcBorders>
              <w:top w:val="single" w:color="auto" w:sz="4" w:space="0"/>
              <w:left w:val="single" w:color="auto" w:sz="4" w:space="0"/>
            </w:tcBorders>
            <w:shd w:val="clear" w:color="auto" w:fill="FFFFFF"/>
          </w:tcPr>
          <w:p>
            <w:pPr>
              <w:rPr>
                <w:color w:val="auto"/>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color w:val="auto"/>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color w:val="auto"/>
                <w:sz w:val="21"/>
                <w:szCs w:val="21"/>
                <w:highlight w:val="none"/>
              </w:rPr>
            </w:pPr>
            <w:r>
              <w:rPr>
                <w:rFonts w:ascii="Times New Roman" w:hAnsi="Times New Roman" w:eastAsia="Times New Roman" w:cs="Times New Roman"/>
                <w:color w:val="auto"/>
                <w:sz w:val="21"/>
                <w:szCs w:val="21"/>
                <w:highlight w:val="none"/>
              </w:rPr>
              <w:t>5</w:t>
            </w:r>
          </w:p>
        </w:tc>
        <w:tc>
          <w:tcPr>
            <w:tcW w:w="3014" w:type="dxa"/>
            <w:tcBorders>
              <w:top w:val="single" w:color="auto" w:sz="4" w:space="0"/>
              <w:left w:val="single" w:color="auto" w:sz="4" w:space="0"/>
            </w:tcBorders>
            <w:shd w:val="clear" w:color="auto" w:fill="FFFFFF"/>
            <w:vAlign w:val="center"/>
          </w:tcPr>
          <w:p>
            <w:pPr>
              <w:pStyle w:val="42"/>
              <w:rPr>
                <w:color w:val="auto"/>
                <w:sz w:val="21"/>
                <w:szCs w:val="21"/>
                <w:highlight w:val="none"/>
              </w:rPr>
            </w:pPr>
          </w:p>
        </w:tc>
        <w:tc>
          <w:tcPr>
            <w:tcW w:w="3485" w:type="dxa"/>
            <w:tcBorders>
              <w:top w:val="single" w:color="auto" w:sz="4" w:space="0"/>
              <w:left w:val="single" w:color="auto" w:sz="4" w:space="0"/>
            </w:tcBorders>
            <w:shd w:val="clear" w:color="auto" w:fill="FFFFFF"/>
          </w:tcPr>
          <w:p>
            <w:pPr>
              <w:rPr>
                <w:color w:val="auto"/>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color w:val="auto"/>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color w:val="auto"/>
                <w:sz w:val="21"/>
                <w:szCs w:val="21"/>
                <w:highlight w:val="none"/>
              </w:rPr>
            </w:pPr>
            <w:r>
              <w:rPr>
                <w:rFonts w:ascii="Times New Roman" w:hAnsi="Times New Roman" w:eastAsia="Times New Roman" w:cs="Times New Roman"/>
                <w:color w:val="auto"/>
                <w:sz w:val="21"/>
                <w:szCs w:val="21"/>
                <w:highlight w:val="none"/>
              </w:rPr>
              <w:t>6</w:t>
            </w:r>
          </w:p>
        </w:tc>
        <w:tc>
          <w:tcPr>
            <w:tcW w:w="3014" w:type="dxa"/>
            <w:tcBorders>
              <w:top w:val="single" w:color="auto" w:sz="4" w:space="0"/>
              <w:left w:val="single" w:color="auto" w:sz="4" w:space="0"/>
            </w:tcBorders>
            <w:shd w:val="clear" w:color="auto" w:fill="FFFFFF"/>
            <w:vAlign w:val="center"/>
          </w:tcPr>
          <w:p>
            <w:pPr>
              <w:pStyle w:val="42"/>
              <w:rPr>
                <w:color w:val="auto"/>
                <w:sz w:val="21"/>
                <w:szCs w:val="21"/>
                <w:highlight w:val="none"/>
              </w:rPr>
            </w:pPr>
          </w:p>
        </w:tc>
        <w:tc>
          <w:tcPr>
            <w:tcW w:w="3485" w:type="dxa"/>
            <w:tcBorders>
              <w:top w:val="single" w:color="auto" w:sz="4" w:space="0"/>
              <w:left w:val="single" w:color="auto" w:sz="4" w:space="0"/>
            </w:tcBorders>
            <w:shd w:val="clear" w:color="auto" w:fill="FFFFFF"/>
          </w:tcPr>
          <w:p>
            <w:pPr>
              <w:rPr>
                <w:color w:val="auto"/>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color w:val="auto"/>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color w:val="auto"/>
                <w:sz w:val="21"/>
                <w:szCs w:val="21"/>
                <w:highlight w:val="none"/>
              </w:rPr>
            </w:pPr>
            <w:r>
              <w:rPr>
                <w:rFonts w:ascii="Times New Roman" w:hAnsi="Times New Roman" w:eastAsia="Times New Roman" w:cs="Times New Roman"/>
                <w:color w:val="auto"/>
                <w:sz w:val="21"/>
                <w:szCs w:val="21"/>
                <w:highlight w:val="none"/>
              </w:rPr>
              <w:t>7</w:t>
            </w:r>
          </w:p>
        </w:tc>
        <w:tc>
          <w:tcPr>
            <w:tcW w:w="3014" w:type="dxa"/>
            <w:tcBorders>
              <w:top w:val="single" w:color="auto" w:sz="4" w:space="0"/>
              <w:left w:val="single" w:color="auto" w:sz="4" w:space="0"/>
            </w:tcBorders>
            <w:shd w:val="clear" w:color="auto" w:fill="FFFFFF"/>
            <w:vAlign w:val="center"/>
          </w:tcPr>
          <w:p>
            <w:pPr>
              <w:pStyle w:val="42"/>
              <w:rPr>
                <w:color w:val="auto"/>
                <w:sz w:val="21"/>
                <w:szCs w:val="21"/>
                <w:highlight w:val="none"/>
              </w:rPr>
            </w:pPr>
          </w:p>
        </w:tc>
        <w:tc>
          <w:tcPr>
            <w:tcW w:w="3485" w:type="dxa"/>
            <w:tcBorders>
              <w:top w:val="single" w:color="auto" w:sz="4" w:space="0"/>
              <w:left w:val="single" w:color="auto" w:sz="4" w:space="0"/>
            </w:tcBorders>
            <w:shd w:val="clear" w:color="auto" w:fill="FFFFFF"/>
          </w:tcPr>
          <w:p>
            <w:pPr>
              <w:rPr>
                <w:color w:val="auto"/>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color w:val="auto"/>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rFonts w:eastAsia="PMingLiU"/>
                <w:color w:val="auto"/>
                <w:sz w:val="21"/>
                <w:szCs w:val="21"/>
                <w:highlight w:val="none"/>
              </w:rPr>
            </w:pPr>
            <w:r>
              <w:rPr>
                <w:rFonts w:ascii="Times New Roman" w:hAnsi="Times New Roman" w:eastAsia="PMingLiU" w:cs="Times New Roman"/>
                <w:color w:val="auto"/>
                <w:sz w:val="21"/>
                <w:szCs w:val="21"/>
                <w:highlight w:val="none"/>
              </w:rPr>
              <w:t>8</w:t>
            </w:r>
          </w:p>
        </w:tc>
        <w:tc>
          <w:tcPr>
            <w:tcW w:w="3014" w:type="dxa"/>
            <w:tcBorders>
              <w:top w:val="single" w:color="auto" w:sz="4" w:space="0"/>
              <w:left w:val="single" w:color="auto" w:sz="4" w:space="0"/>
            </w:tcBorders>
            <w:shd w:val="clear" w:color="auto" w:fill="FFFFFF"/>
            <w:vAlign w:val="center"/>
          </w:tcPr>
          <w:p>
            <w:pPr>
              <w:pStyle w:val="42"/>
              <w:rPr>
                <w:color w:val="auto"/>
                <w:sz w:val="21"/>
                <w:szCs w:val="21"/>
                <w:highlight w:val="none"/>
              </w:rPr>
            </w:pPr>
          </w:p>
        </w:tc>
        <w:tc>
          <w:tcPr>
            <w:tcW w:w="3485" w:type="dxa"/>
            <w:tcBorders>
              <w:top w:val="single" w:color="auto" w:sz="4" w:space="0"/>
              <w:left w:val="single" w:color="auto" w:sz="4" w:space="0"/>
            </w:tcBorders>
            <w:shd w:val="clear" w:color="auto" w:fill="FFFFFF"/>
          </w:tcPr>
          <w:p>
            <w:pPr>
              <w:rPr>
                <w:color w:val="auto"/>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color w:val="auto"/>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rFonts w:eastAsia="PMingLiU"/>
                <w:color w:val="auto"/>
                <w:sz w:val="21"/>
                <w:szCs w:val="21"/>
                <w:highlight w:val="none"/>
              </w:rPr>
            </w:pPr>
            <w:r>
              <w:rPr>
                <w:rFonts w:ascii="Times New Roman" w:hAnsi="Times New Roman" w:eastAsia="PMingLiU" w:cs="Times New Roman"/>
                <w:color w:val="auto"/>
                <w:sz w:val="21"/>
                <w:szCs w:val="21"/>
                <w:highlight w:val="none"/>
              </w:rPr>
              <w:t>9</w:t>
            </w:r>
          </w:p>
        </w:tc>
        <w:tc>
          <w:tcPr>
            <w:tcW w:w="3014" w:type="dxa"/>
            <w:tcBorders>
              <w:top w:val="single" w:color="auto" w:sz="4" w:space="0"/>
              <w:left w:val="single" w:color="auto" w:sz="4" w:space="0"/>
            </w:tcBorders>
            <w:shd w:val="clear" w:color="auto" w:fill="FFFFFF"/>
            <w:vAlign w:val="center"/>
          </w:tcPr>
          <w:p>
            <w:pPr>
              <w:pStyle w:val="42"/>
              <w:rPr>
                <w:color w:val="auto"/>
                <w:sz w:val="21"/>
                <w:szCs w:val="21"/>
                <w:highlight w:val="none"/>
                <w:lang w:eastAsia="zh-CN"/>
              </w:rPr>
            </w:pPr>
          </w:p>
        </w:tc>
        <w:tc>
          <w:tcPr>
            <w:tcW w:w="3485" w:type="dxa"/>
            <w:tcBorders>
              <w:top w:val="single" w:color="auto" w:sz="4" w:space="0"/>
              <w:left w:val="single" w:color="auto" w:sz="4" w:space="0"/>
            </w:tcBorders>
            <w:shd w:val="clear" w:color="auto" w:fill="FFFFFF"/>
          </w:tcPr>
          <w:p>
            <w:pPr>
              <w:rPr>
                <w:color w:val="auto"/>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color w:val="auto"/>
                <w:sz w:val="21"/>
                <w:szCs w:val="21"/>
                <w:highlight w:val="none"/>
              </w:rPr>
            </w:pPr>
          </w:p>
        </w:tc>
      </w:tr>
      <w:tr>
        <w:tblPrEx>
          <w:tblCellMar>
            <w:top w:w="0" w:type="dxa"/>
            <w:left w:w="10" w:type="dxa"/>
            <w:bottom w:w="0" w:type="dxa"/>
            <w:right w:w="10" w:type="dxa"/>
          </w:tblCellMar>
        </w:tblPrEx>
        <w:trPr>
          <w:trHeight w:val="590" w:hRule="exact"/>
          <w:jc w:val="center"/>
        </w:trPr>
        <w:tc>
          <w:tcPr>
            <w:tcW w:w="1320" w:type="dxa"/>
            <w:tcBorders>
              <w:top w:val="single" w:color="auto" w:sz="4" w:space="0"/>
              <w:left w:val="single" w:color="auto" w:sz="4" w:space="0"/>
              <w:bottom w:val="single" w:color="auto" w:sz="4" w:space="0"/>
            </w:tcBorders>
            <w:shd w:val="clear" w:color="auto" w:fill="FFFFFF"/>
            <w:vAlign w:val="center"/>
          </w:tcPr>
          <w:p>
            <w:pPr>
              <w:pStyle w:val="42"/>
              <w:rPr>
                <w:color w:val="auto"/>
                <w:sz w:val="21"/>
                <w:szCs w:val="21"/>
                <w:highlight w:val="none"/>
                <w:lang w:val="en-US" w:eastAsia="zh-CN"/>
              </w:rPr>
            </w:pPr>
            <w:r>
              <w:rPr>
                <w:rFonts w:ascii="Times New Roman" w:hAnsi="Times New Roman" w:cs="Times New Roman"/>
                <w:color w:val="auto"/>
                <w:sz w:val="21"/>
                <w:szCs w:val="21"/>
                <w:highlight w:val="none"/>
                <w:lang w:val="en-US" w:eastAsia="zh-CN"/>
              </w:rPr>
              <w:t>10</w:t>
            </w:r>
          </w:p>
        </w:tc>
        <w:tc>
          <w:tcPr>
            <w:tcW w:w="3014" w:type="dxa"/>
            <w:tcBorders>
              <w:top w:val="single" w:color="auto" w:sz="4" w:space="0"/>
              <w:left w:val="single" w:color="auto" w:sz="4" w:space="0"/>
              <w:bottom w:val="single" w:color="auto" w:sz="4" w:space="0"/>
            </w:tcBorders>
            <w:shd w:val="clear" w:color="auto" w:fill="FFFFFF"/>
            <w:vAlign w:val="center"/>
          </w:tcPr>
          <w:p>
            <w:pPr>
              <w:pStyle w:val="42"/>
              <w:rPr>
                <w:color w:val="auto"/>
                <w:sz w:val="21"/>
                <w:szCs w:val="21"/>
                <w:highlight w:val="none"/>
                <w:lang w:val="en-US" w:eastAsia="zh-CN"/>
              </w:rPr>
            </w:pPr>
            <w:r>
              <w:rPr>
                <w:rFonts w:hint="eastAsia"/>
                <w:color w:val="auto"/>
                <w:sz w:val="21"/>
                <w:szCs w:val="21"/>
                <w:highlight w:val="none"/>
                <w:lang w:val="en-US" w:eastAsia="zh-CN"/>
              </w:rPr>
              <w:t>...</w:t>
            </w:r>
          </w:p>
        </w:tc>
        <w:tc>
          <w:tcPr>
            <w:tcW w:w="3485" w:type="dxa"/>
            <w:tcBorders>
              <w:top w:val="single" w:color="auto" w:sz="4" w:space="0"/>
              <w:left w:val="single" w:color="auto" w:sz="4" w:space="0"/>
              <w:bottom w:val="single" w:color="auto" w:sz="4" w:space="0"/>
            </w:tcBorders>
            <w:shd w:val="clear" w:color="auto" w:fill="FFFFFF"/>
          </w:tcPr>
          <w:p>
            <w:pPr>
              <w:rPr>
                <w:color w:val="auto"/>
                <w:sz w:val="21"/>
                <w:szCs w:val="21"/>
                <w:highlight w:val="none"/>
              </w:rPr>
            </w:pPr>
          </w:p>
        </w:tc>
        <w:tc>
          <w:tcPr>
            <w:tcW w:w="1589" w:type="dxa"/>
            <w:tcBorders>
              <w:top w:val="single" w:color="auto" w:sz="4" w:space="0"/>
              <w:left w:val="single" w:color="auto" w:sz="4" w:space="0"/>
              <w:bottom w:val="single" w:color="auto" w:sz="4" w:space="0"/>
              <w:right w:val="single" w:color="auto" w:sz="4" w:space="0"/>
            </w:tcBorders>
            <w:shd w:val="clear" w:color="auto" w:fill="FFFFFF"/>
          </w:tcPr>
          <w:p>
            <w:pPr>
              <w:rPr>
                <w:color w:val="auto"/>
                <w:sz w:val="21"/>
                <w:szCs w:val="21"/>
                <w:highlight w:val="none"/>
              </w:rPr>
            </w:pPr>
          </w:p>
        </w:tc>
      </w:tr>
      <w:tr>
        <w:tblPrEx>
          <w:tblCellMar>
            <w:top w:w="0" w:type="dxa"/>
            <w:left w:w="10" w:type="dxa"/>
            <w:bottom w:w="0" w:type="dxa"/>
            <w:right w:w="10" w:type="dxa"/>
          </w:tblCellMar>
        </w:tblPrEx>
        <w:trPr>
          <w:trHeight w:val="590" w:hRule="exact"/>
          <w:jc w:val="center"/>
        </w:trPr>
        <w:tc>
          <w:tcPr>
            <w:tcW w:w="1320" w:type="dxa"/>
            <w:tcBorders>
              <w:top w:val="single" w:color="auto" w:sz="4" w:space="0"/>
              <w:left w:val="single" w:color="auto" w:sz="4" w:space="0"/>
              <w:bottom w:val="single" w:color="auto" w:sz="4" w:space="0"/>
            </w:tcBorders>
            <w:shd w:val="clear" w:color="auto" w:fill="FFFFFF"/>
            <w:vAlign w:val="center"/>
          </w:tcPr>
          <w:p>
            <w:pPr>
              <w:pStyle w:val="42"/>
              <w:rPr>
                <w:rFonts w:eastAsia="PMingLiU"/>
                <w:color w:val="auto"/>
                <w:sz w:val="21"/>
                <w:szCs w:val="21"/>
                <w:highlight w:val="none"/>
              </w:rPr>
            </w:pPr>
            <w:r>
              <w:rPr>
                <w:rFonts w:ascii="Times New Roman" w:hAnsi="Times New Roman" w:eastAsia="PMingLiU" w:cs="Times New Roman"/>
                <w:color w:val="auto"/>
                <w:sz w:val="21"/>
                <w:szCs w:val="21"/>
                <w:highlight w:val="none"/>
              </w:rPr>
              <w:t>11</w:t>
            </w:r>
          </w:p>
        </w:tc>
        <w:tc>
          <w:tcPr>
            <w:tcW w:w="3014" w:type="dxa"/>
            <w:tcBorders>
              <w:top w:val="single" w:color="auto" w:sz="4" w:space="0"/>
              <w:left w:val="single" w:color="auto" w:sz="4" w:space="0"/>
              <w:bottom w:val="single" w:color="auto" w:sz="4" w:space="0"/>
            </w:tcBorders>
            <w:shd w:val="clear" w:color="auto" w:fill="FFFFFF"/>
            <w:vAlign w:val="center"/>
          </w:tcPr>
          <w:p>
            <w:pPr>
              <w:pStyle w:val="42"/>
              <w:rPr>
                <w:color w:val="auto"/>
                <w:sz w:val="21"/>
                <w:szCs w:val="21"/>
                <w:highlight w:val="none"/>
              </w:rPr>
            </w:pPr>
            <w:r>
              <w:rPr>
                <w:color w:val="auto"/>
                <w:sz w:val="21"/>
                <w:szCs w:val="21"/>
                <w:highlight w:val="none"/>
                <w:lang w:val="en-US"/>
              </w:rPr>
              <w:t>以上</w:t>
            </w:r>
            <w:r>
              <w:rPr>
                <w:color w:val="auto"/>
                <w:sz w:val="21"/>
                <w:szCs w:val="21"/>
                <w:highlight w:val="none"/>
              </w:rPr>
              <w:t>合计</w:t>
            </w:r>
          </w:p>
        </w:tc>
        <w:tc>
          <w:tcPr>
            <w:tcW w:w="3485" w:type="dxa"/>
            <w:tcBorders>
              <w:top w:val="single" w:color="auto" w:sz="4" w:space="0"/>
              <w:left w:val="single" w:color="auto" w:sz="4" w:space="0"/>
              <w:bottom w:val="single" w:color="auto" w:sz="4" w:space="0"/>
            </w:tcBorders>
            <w:shd w:val="clear" w:color="auto" w:fill="FFFFFF"/>
          </w:tcPr>
          <w:p>
            <w:pPr>
              <w:rPr>
                <w:color w:val="auto"/>
                <w:sz w:val="21"/>
                <w:szCs w:val="21"/>
                <w:highlight w:val="none"/>
              </w:rPr>
            </w:pPr>
          </w:p>
        </w:tc>
        <w:tc>
          <w:tcPr>
            <w:tcW w:w="1589" w:type="dxa"/>
            <w:tcBorders>
              <w:top w:val="single" w:color="auto" w:sz="4" w:space="0"/>
              <w:left w:val="single" w:color="auto" w:sz="4" w:space="0"/>
              <w:bottom w:val="single" w:color="auto" w:sz="4" w:space="0"/>
              <w:right w:val="single" w:color="auto" w:sz="4" w:space="0"/>
            </w:tcBorders>
            <w:shd w:val="clear" w:color="auto" w:fill="FFFFFF"/>
          </w:tcPr>
          <w:p>
            <w:pPr>
              <w:rPr>
                <w:color w:val="auto"/>
                <w:sz w:val="21"/>
                <w:szCs w:val="21"/>
                <w:highlight w:val="none"/>
              </w:rPr>
            </w:pPr>
          </w:p>
        </w:tc>
      </w:tr>
    </w:tbl>
    <w:p>
      <w:pPr>
        <w:autoSpaceDE w:val="0"/>
        <w:autoSpaceDN w:val="0"/>
        <w:adjustRightInd w:val="0"/>
        <w:spacing w:line="500" w:lineRule="exact"/>
        <w:jc w:val="left"/>
        <w:rPr>
          <w:rFonts w:ascii="宋体" w:hAnsi="宋体" w:cs="FangSong_GB2312-Identity-H"/>
          <w:color w:val="auto"/>
          <w:kern w:val="0"/>
          <w:sz w:val="24"/>
          <w:highlight w:val="none"/>
        </w:rPr>
      </w:pPr>
      <w:r>
        <w:rPr>
          <w:rFonts w:ascii="宋体" w:hAnsi="宋体" w:cs="FangSong_GB2312-Identity-H"/>
          <w:color w:val="auto"/>
          <w:kern w:val="0"/>
          <w:sz w:val="24"/>
          <w:highlight w:val="none"/>
        </w:rPr>
        <w:t>注</w:t>
      </w:r>
      <w:r>
        <w:rPr>
          <w:rFonts w:hint="eastAsia" w:ascii="宋体" w:hAnsi="宋体" w:cs="FangSong_GB2312-Identity-H"/>
          <w:color w:val="auto"/>
          <w:kern w:val="0"/>
          <w:sz w:val="24"/>
          <w:highlight w:val="none"/>
        </w:rPr>
        <w:t>：</w:t>
      </w:r>
      <w:r>
        <w:rPr>
          <w:rFonts w:ascii="宋体" w:hAnsi="宋体" w:cs="FangSong_GB2312-Identity-H"/>
          <w:color w:val="auto"/>
          <w:kern w:val="0"/>
          <w:sz w:val="24"/>
          <w:highlight w:val="none"/>
        </w:rPr>
        <w:t>此表可根据实际情况自行调整</w:t>
      </w:r>
      <w:r>
        <w:rPr>
          <w:rFonts w:hint="eastAsia" w:ascii="宋体" w:hAnsi="宋体" w:cs="FangSong_GB2312-Identity-H"/>
          <w:color w:val="auto"/>
          <w:kern w:val="0"/>
          <w:sz w:val="24"/>
          <w:highlight w:val="none"/>
        </w:rPr>
        <w:t>，</w:t>
      </w:r>
    </w:p>
    <w:p>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投标人</w:t>
      </w:r>
      <w:r>
        <w:rPr>
          <w:rFonts w:ascii="宋体" w:hAnsi="宋体" w:cs="FangSong_GB2312-Identity-H"/>
          <w:color w:val="auto"/>
          <w:kern w:val="0"/>
          <w:sz w:val="24"/>
          <w:highlight w:val="none"/>
        </w:rPr>
        <w:t>(</w:t>
      </w:r>
      <w:r>
        <w:rPr>
          <w:rFonts w:hint="eastAsia" w:ascii="宋体" w:hAnsi="宋体" w:cs="FangSong_GB2312-Identity-H"/>
          <w:color w:val="auto"/>
          <w:kern w:val="0"/>
          <w:sz w:val="24"/>
          <w:highlight w:val="none"/>
        </w:rPr>
        <w:t>公章</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rPr>
        <w:t>：</w:t>
      </w:r>
      <w:r>
        <w:rPr>
          <w:rFonts w:hint="eastAsia" w:ascii="宋体" w:hAnsi="宋体" w:cs="FangSong_GB2312-Identity-H"/>
          <w:color w:val="auto"/>
          <w:kern w:val="0"/>
          <w:sz w:val="24"/>
          <w:highlight w:val="none"/>
          <w:u w:val="single"/>
        </w:rPr>
        <w:t xml:space="preserve">                          </w:t>
      </w:r>
    </w:p>
    <w:p>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法定代表人或授权委托人（签字或盖章）：</w:t>
      </w:r>
      <w:r>
        <w:rPr>
          <w:rFonts w:hint="eastAsia" w:ascii="宋体" w:hAnsi="宋体" w:cs="FangSong_GB2312-Identity-H"/>
          <w:color w:val="auto"/>
          <w:kern w:val="0"/>
          <w:sz w:val="24"/>
          <w:highlight w:val="none"/>
          <w:u w:val="single"/>
        </w:rPr>
        <w:t xml:space="preserve">                       </w:t>
      </w:r>
    </w:p>
    <w:p>
      <w:pPr>
        <w:pStyle w:val="13"/>
        <w:snapToGrid w:val="0"/>
        <w:spacing w:before="120" w:after="120" w:line="280" w:lineRule="exact"/>
        <w:jc w:val="left"/>
        <w:rPr>
          <w:rFonts w:hAnsi="宋体" w:cs="Angsana New"/>
          <w:color w:val="auto"/>
          <w:sz w:val="21"/>
          <w:szCs w:val="21"/>
          <w:highlight w:val="none"/>
          <w:u w:val="single"/>
          <w:lang w:bidi="th-TH"/>
        </w:rPr>
      </w:pPr>
      <w:r>
        <w:rPr>
          <w:rFonts w:hint="eastAsia" w:hAnsi="宋体" w:cs="FangSong_GB2312-Identity-H"/>
          <w:color w:val="auto"/>
          <w:kern w:val="0"/>
          <w:sz w:val="24"/>
          <w:highlight w:val="none"/>
        </w:rPr>
        <w:t>日期：</w:t>
      </w:r>
      <w:r>
        <w:rPr>
          <w:rFonts w:hAnsi="宋体" w:cs="FangSong_GB2312-Identity-H"/>
          <w:color w:val="auto"/>
          <w:kern w:val="0"/>
          <w:sz w:val="24"/>
          <w:highlight w:val="none"/>
        </w:rPr>
        <w:t xml:space="preserve"> </w:t>
      </w:r>
      <w:r>
        <w:rPr>
          <w:rFonts w:hint="eastAsia" w:hAnsi="宋体" w:cs="FangSong_GB2312-Identity-H"/>
          <w:color w:val="auto"/>
          <w:kern w:val="0"/>
          <w:sz w:val="24"/>
          <w:highlight w:val="none"/>
          <w:u w:val="single"/>
        </w:rPr>
        <w:t xml:space="preserve">         </w:t>
      </w:r>
      <w:r>
        <w:rPr>
          <w:rFonts w:hint="eastAsia" w:hAnsi="宋体" w:cs="FangSong_GB2312-Identity-H"/>
          <w:color w:val="auto"/>
          <w:kern w:val="0"/>
          <w:sz w:val="24"/>
          <w:highlight w:val="none"/>
        </w:rPr>
        <w:t>年</w:t>
      </w:r>
      <w:r>
        <w:rPr>
          <w:rFonts w:hint="eastAsia" w:hAnsi="宋体" w:cs="FangSong_GB2312-Identity-H"/>
          <w:color w:val="auto"/>
          <w:kern w:val="0"/>
          <w:sz w:val="24"/>
          <w:highlight w:val="none"/>
          <w:u w:val="single"/>
        </w:rPr>
        <w:t xml:space="preserve">        </w:t>
      </w:r>
      <w:r>
        <w:rPr>
          <w:rFonts w:hint="eastAsia" w:hAnsi="宋体" w:cs="FangSong_GB2312-Identity-H"/>
          <w:color w:val="auto"/>
          <w:kern w:val="0"/>
          <w:sz w:val="24"/>
          <w:highlight w:val="none"/>
        </w:rPr>
        <w:t>月</w:t>
      </w:r>
      <w:r>
        <w:rPr>
          <w:rFonts w:hint="eastAsia" w:hAnsi="宋体" w:cs="FangSong_GB2312-Identity-H"/>
          <w:color w:val="auto"/>
          <w:kern w:val="0"/>
          <w:sz w:val="24"/>
          <w:highlight w:val="none"/>
          <w:u w:val="single"/>
        </w:rPr>
        <w:t xml:space="preserve">         </w:t>
      </w:r>
      <w:r>
        <w:rPr>
          <w:rFonts w:hint="eastAsia" w:hAnsi="宋体" w:cs="FangSong_GB2312-Identity-H"/>
          <w:color w:val="auto"/>
          <w:kern w:val="0"/>
          <w:sz w:val="24"/>
          <w:highlight w:val="none"/>
        </w:rPr>
        <w:t>日</w:t>
      </w:r>
    </w:p>
    <w:p>
      <w:pPr>
        <w:pStyle w:val="13"/>
        <w:snapToGrid w:val="0"/>
        <w:spacing w:before="120" w:after="120" w:line="280" w:lineRule="exact"/>
        <w:jc w:val="left"/>
        <w:rPr>
          <w:rFonts w:hAnsi="宋体" w:cs="Angsana New"/>
          <w:color w:val="auto"/>
          <w:sz w:val="21"/>
          <w:szCs w:val="21"/>
          <w:highlight w:val="none"/>
          <w:lang w:bidi="th-TH"/>
        </w:rPr>
        <w:sectPr>
          <w:headerReference r:id="rId5" w:type="default"/>
          <w:footerReference r:id="rId6" w:type="default"/>
          <w:pgSz w:w="11905" w:h="16838"/>
          <w:pgMar w:top="1134" w:right="990" w:bottom="1134" w:left="1134" w:header="850" w:footer="992" w:gutter="0"/>
          <w:pgNumType w:start="1"/>
          <w:cols w:space="720" w:num="1"/>
          <w:docGrid w:type="lines" w:linePitch="317" w:charSpace="0"/>
        </w:sectPr>
      </w:pPr>
    </w:p>
    <w:p>
      <w:pPr>
        <w:autoSpaceDE w:val="0"/>
        <w:autoSpaceDN w:val="0"/>
        <w:adjustRightInd w:val="0"/>
        <w:spacing w:line="500" w:lineRule="exac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格式五：</w:t>
      </w:r>
    </w:p>
    <w:p>
      <w:pPr>
        <w:autoSpaceDE w:val="0"/>
        <w:autoSpaceDN w:val="0"/>
        <w:adjustRightInd w:val="0"/>
        <w:spacing w:line="700" w:lineRule="exact"/>
        <w:jc w:val="center"/>
        <w:rPr>
          <w:rFonts w:ascii="宋体" w:hAnsi="宋体" w:cs="FangSong_GB2312-Identity-H"/>
          <w:b/>
          <w:bCs/>
          <w:color w:val="auto"/>
          <w:kern w:val="0"/>
          <w:sz w:val="36"/>
          <w:szCs w:val="36"/>
          <w:highlight w:val="none"/>
        </w:rPr>
      </w:pPr>
      <w:r>
        <w:rPr>
          <w:rFonts w:hint="eastAsia" w:ascii="宋体" w:hAnsi="宋体" w:cs="FangSong_GB2312-Identity-H"/>
          <w:b/>
          <w:bCs/>
          <w:color w:val="auto"/>
          <w:kern w:val="0"/>
          <w:sz w:val="36"/>
          <w:szCs w:val="36"/>
          <w:highlight w:val="none"/>
        </w:rPr>
        <w:t>商务条款偏离表</w:t>
      </w:r>
    </w:p>
    <w:p>
      <w:pPr>
        <w:autoSpaceDE w:val="0"/>
        <w:autoSpaceDN w:val="0"/>
        <w:adjustRightInd w:val="0"/>
        <w:spacing w:line="700" w:lineRule="exac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 xml:space="preserve">项目名称：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vAlign w:val="center"/>
          </w:tcPr>
          <w:p>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序号</w:t>
            </w:r>
          </w:p>
        </w:tc>
        <w:tc>
          <w:tcPr>
            <w:tcW w:w="1971" w:type="dxa"/>
            <w:vAlign w:val="center"/>
          </w:tcPr>
          <w:p>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招标文件</w:t>
            </w:r>
          </w:p>
          <w:p>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条目号</w:t>
            </w:r>
          </w:p>
        </w:tc>
        <w:tc>
          <w:tcPr>
            <w:tcW w:w="2349" w:type="dxa"/>
            <w:vAlign w:val="center"/>
          </w:tcPr>
          <w:p>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招标文件的</w:t>
            </w:r>
          </w:p>
          <w:p>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商务条款</w:t>
            </w:r>
          </w:p>
        </w:tc>
        <w:tc>
          <w:tcPr>
            <w:tcW w:w="2340" w:type="dxa"/>
            <w:vAlign w:val="center"/>
          </w:tcPr>
          <w:p>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投标文件的</w:t>
            </w:r>
          </w:p>
          <w:p>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商务条款</w:t>
            </w:r>
          </w:p>
        </w:tc>
        <w:tc>
          <w:tcPr>
            <w:tcW w:w="1620" w:type="dxa"/>
            <w:vAlign w:val="center"/>
          </w:tcPr>
          <w:p>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color w:val="auto"/>
                <w:kern w:val="0"/>
                <w:sz w:val="24"/>
                <w:highlight w:val="none"/>
              </w:rPr>
            </w:pPr>
          </w:p>
        </w:tc>
      </w:tr>
    </w:tbl>
    <w:p>
      <w:pPr>
        <w:autoSpaceDE w:val="0"/>
        <w:autoSpaceDN w:val="0"/>
        <w:adjustRightInd w:val="0"/>
        <w:spacing w:line="700" w:lineRule="exact"/>
        <w:rPr>
          <w:rFonts w:ascii="宋体" w:hAnsi="宋体" w:cs="FangSong_GB2312-Identity-H"/>
          <w:bCs/>
          <w:color w:val="auto"/>
          <w:kern w:val="0"/>
          <w:sz w:val="24"/>
          <w:highlight w:val="none"/>
        </w:rPr>
      </w:pPr>
      <w:r>
        <w:rPr>
          <w:rFonts w:hint="eastAsia" w:ascii="宋体" w:hAnsi="宋体" w:cs="FangSong_GB2312-Identity-H"/>
          <w:color w:val="auto"/>
          <w:kern w:val="0"/>
          <w:sz w:val="24"/>
          <w:highlight w:val="none"/>
        </w:rPr>
        <w:t>我方承诺：除上表中的偏离外，完全响应招标文件的其他条款。</w:t>
      </w:r>
    </w:p>
    <w:p>
      <w:pPr>
        <w:autoSpaceDE w:val="0"/>
        <w:autoSpaceDN w:val="0"/>
        <w:adjustRightInd w:val="0"/>
        <w:spacing w:line="500" w:lineRule="exact"/>
        <w:jc w:val="left"/>
        <w:rPr>
          <w:rFonts w:ascii="宋体" w:hAnsi="宋体" w:cs="FangSong_GB2312-Identity-H"/>
          <w:color w:val="auto"/>
          <w:kern w:val="0"/>
          <w:sz w:val="24"/>
          <w:highlight w:val="none"/>
        </w:rPr>
      </w:pPr>
    </w:p>
    <w:p>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投标人</w:t>
      </w:r>
      <w:r>
        <w:rPr>
          <w:rFonts w:ascii="宋体" w:hAnsi="宋体" w:cs="FangSong_GB2312-Identity-H"/>
          <w:color w:val="auto"/>
          <w:kern w:val="0"/>
          <w:sz w:val="24"/>
          <w:highlight w:val="none"/>
        </w:rPr>
        <w:t>(</w:t>
      </w:r>
      <w:r>
        <w:rPr>
          <w:rFonts w:hint="eastAsia" w:ascii="宋体" w:hAnsi="宋体" w:cs="FangSong_GB2312-Identity-H"/>
          <w:color w:val="auto"/>
          <w:kern w:val="0"/>
          <w:sz w:val="24"/>
          <w:highlight w:val="none"/>
        </w:rPr>
        <w:t>公章</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rPr>
        <w:t>：</w:t>
      </w:r>
      <w:r>
        <w:rPr>
          <w:rFonts w:hint="eastAsia" w:ascii="宋体" w:hAnsi="宋体" w:cs="FangSong_GB2312-Identity-H"/>
          <w:color w:val="auto"/>
          <w:kern w:val="0"/>
          <w:sz w:val="24"/>
          <w:highlight w:val="none"/>
          <w:u w:val="single"/>
        </w:rPr>
        <w:t xml:space="preserve">                          </w:t>
      </w:r>
    </w:p>
    <w:p>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法定代表人或授权委托人（签字或盖章）：</w:t>
      </w:r>
      <w:r>
        <w:rPr>
          <w:rFonts w:hint="eastAsia" w:ascii="宋体" w:hAnsi="宋体" w:cs="FangSong_GB2312-Identity-H"/>
          <w:color w:val="auto"/>
          <w:kern w:val="0"/>
          <w:sz w:val="24"/>
          <w:highlight w:val="none"/>
          <w:u w:val="single"/>
        </w:rPr>
        <w:t xml:space="preserve">                       </w:t>
      </w:r>
    </w:p>
    <w:p>
      <w:pPr>
        <w:autoSpaceDE w:val="0"/>
        <w:autoSpaceDN w:val="0"/>
        <w:adjustRightInd w:val="0"/>
        <w:spacing w:line="500" w:lineRule="exact"/>
        <w:jc w:val="lef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日期：</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年</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月</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日</w:t>
      </w:r>
    </w:p>
    <w:p>
      <w:pPr>
        <w:autoSpaceDE w:val="0"/>
        <w:autoSpaceDN w:val="0"/>
        <w:adjustRightInd w:val="0"/>
        <w:spacing w:line="7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服务内容响应表</w:t>
      </w:r>
    </w:p>
    <w:p>
      <w:pPr>
        <w:autoSpaceDE w:val="0"/>
        <w:autoSpaceDN w:val="0"/>
        <w:adjustRightInd w:val="0"/>
        <w:spacing w:line="700" w:lineRule="exac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 xml:space="preserve">项目名称：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13"/>
        <w:gridCol w:w="3223"/>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13"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采购需求</w:t>
            </w:r>
          </w:p>
        </w:tc>
        <w:tc>
          <w:tcPr>
            <w:tcW w:w="3223"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投标文件的</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p>
        </w:tc>
      </w:tr>
    </w:tbl>
    <w:p>
      <w:pPr>
        <w:autoSpaceDE w:val="0"/>
        <w:autoSpaceDN w:val="0"/>
        <w:adjustRightInd w:val="0"/>
        <w:spacing w:line="700" w:lineRule="exact"/>
        <w:rPr>
          <w:rFonts w:ascii="宋体" w:hAnsi="宋体" w:cs="FangSong_GB2312-Identity-H"/>
          <w:bCs/>
          <w:color w:val="auto"/>
          <w:kern w:val="0"/>
          <w:sz w:val="24"/>
          <w:highlight w:val="none"/>
        </w:rPr>
      </w:pPr>
      <w:r>
        <w:rPr>
          <w:rFonts w:hint="eastAsia" w:ascii="宋体" w:hAnsi="宋体" w:cs="FangSong_GB2312-Identity-H"/>
          <w:color w:val="auto"/>
          <w:kern w:val="0"/>
          <w:sz w:val="24"/>
          <w:highlight w:val="none"/>
        </w:rPr>
        <w:t>我方承诺：除上表中的偏离外，完全响应招标文件的其他条款。</w:t>
      </w:r>
    </w:p>
    <w:p>
      <w:pPr>
        <w:autoSpaceDE w:val="0"/>
        <w:autoSpaceDN w:val="0"/>
        <w:adjustRightInd w:val="0"/>
        <w:spacing w:line="500" w:lineRule="exact"/>
        <w:jc w:val="left"/>
        <w:rPr>
          <w:rFonts w:ascii="宋体" w:hAnsi="宋体" w:cs="FangSong_GB2312-Identity-H"/>
          <w:color w:val="auto"/>
          <w:kern w:val="0"/>
          <w:sz w:val="24"/>
          <w:highlight w:val="none"/>
        </w:rPr>
      </w:pPr>
    </w:p>
    <w:p>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投标人</w:t>
      </w:r>
      <w:r>
        <w:rPr>
          <w:rFonts w:ascii="宋体" w:hAnsi="宋体" w:cs="FangSong_GB2312-Identity-H"/>
          <w:color w:val="auto"/>
          <w:kern w:val="0"/>
          <w:sz w:val="24"/>
          <w:highlight w:val="none"/>
        </w:rPr>
        <w:t>(</w:t>
      </w:r>
      <w:r>
        <w:rPr>
          <w:rFonts w:hint="eastAsia" w:ascii="宋体" w:hAnsi="宋体" w:cs="FangSong_GB2312-Identity-H"/>
          <w:color w:val="auto"/>
          <w:kern w:val="0"/>
          <w:sz w:val="24"/>
          <w:highlight w:val="none"/>
        </w:rPr>
        <w:t>公章</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rPr>
        <w:t>：</w:t>
      </w:r>
      <w:r>
        <w:rPr>
          <w:rFonts w:hint="eastAsia" w:ascii="宋体" w:hAnsi="宋体" w:cs="FangSong_GB2312-Identity-H"/>
          <w:color w:val="auto"/>
          <w:kern w:val="0"/>
          <w:sz w:val="24"/>
          <w:highlight w:val="none"/>
          <w:u w:val="single"/>
        </w:rPr>
        <w:t xml:space="preserve">                          </w:t>
      </w:r>
    </w:p>
    <w:p>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法定代表人或授权委托人（签字或盖章）：</w:t>
      </w:r>
      <w:r>
        <w:rPr>
          <w:rFonts w:hint="eastAsia" w:ascii="宋体" w:hAnsi="宋体" w:cs="FangSong_GB2312-Identity-H"/>
          <w:color w:val="auto"/>
          <w:kern w:val="0"/>
          <w:sz w:val="24"/>
          <w:highlight w:val="none"/>
          <w:u w:val="single"/>
        </w:rPr>
        <w:t xml:space="preserve">                       </w:t>
      </w:r>
    </w:p>
    <w:p>
      <w:pPr>
        <w:autoSpaceDE w:val="0"/>
        <w:autoSpaceDN w:val="0"/>
        <w:adjustRightInd w:val="0"/>
        <w:spacing w:line="500" w:lineRule="exact"/>
        <w:jc w:val="lef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日期：</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年</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月</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日</w:t>
      </w:r>
    </w:p>
    <w:p>
      <w:pPr>
        <w:spacing w:line="440" w:lineRule="exact"/>
        <w:jc w:val="left"/>
        <w:rPr>
          <w:rFonts w:ascii="宋体" w:hAnsi="宋体"/>
          <w:color w:val="auto"/>
          <w:sz w:val="24"/>
          <w:highlight w:val="none"/>
        </w:rPr>
      </w:pPr>
    </w:p>
    <w:p>
      <w:pPr>
        <w:spacing w:line="440" w:lineRule="exact"/>
        <w:jc w:val="left"/>
        <w:rPr>
          <w:rFonts w:ascii="宋体" w:hAnsi="宋体"/>
          <w:color w:val="auto"/>
          <w:sz w:val="24"/>
          <w:highlight w:val="none"/>
        </w:rPr>
      </w:pPr>
    </w:p>
    <w:p>
      <w:pPr>
        <w:spacing w:line="440" w:lineRule="exact"/>
        <w:jc w:val="left"/>
        <w:rPr>
          <w:rFonts w:ascii="宋体" w:hAnsi="宋体"/>
          <w:color w:val="auto"/>
          <w:sz w:val="24"/>
          <w:highlight w:val="none"/>
        </w:rPr>
      </w:pPr>
    </w:p>
    <w:p>
      <w:pPr>
        <w:spacing w:line="440" w:lineRule="exact"/>
        <w:jc w:val="left"/>
        <w:rPr>
          <w:rFonts w:ascii="宋体" w:hAnsi="宋体"/>
          <w:color w:val="auto"/>
          <w:sz w:val="24"/>
          <w:highlight w:val="none"/>
        </w:rPr>
      </w:pPr>
    </w:p>
    <w:p>
      <w:pPr>
        <w:spacing w:line="440" w:lineRule="exact"/>
        <w:jc w:val="left"/>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格式六：</w:t>
      </w:r>
    </w:p>
    <w:p>
      <w:pPr>
        <w:spacing w:line="440" w:lineRule="exact"/>
        <w:jc w:val="left"/>
        <w:rPr>
          <w:rFonts w:hint="eastAsia" w:ascii="宋体" w:hAnsi="宋体"/>
          <w:color w:val="auto"/>
          <w:sz w:val="24"/>
          <w:highlight w:val="none"/>
        </w:rPr>
      </w:pPr>
    </w:p>
    <w:p>
      <w:pPr>
        <w:spacing w:before="101" w:line="225" w:lineRule="auto"/>
        <w:ind w:firstLine="2925"/>
        <w:rPr>
          <w:rFonts w:ascii="宋体" w:hAnsi="宋体" w:cs="宋体"/>
          <w:color w:val="auto"/>
          <w:sz w:val="31"/>
          <w:szCs w:val="31"/>
        </w:rPr>
      </w:pPr>
      <w:r>
        <w:rPr>
          <w:rFonts w:ascii="宋体" w:hAnsi="宋体" w:cs="宋体"/>
          <w:color w:val="auto"/>
          <w:spacing w:val="10"/>
          <w:sz w:val="31"/>
          <w:szCs w:val="31"/>
        </w:rPr>
        <w:t>项目组</w:t>
      </w:r>
      <w:r>
        <w:rPr>
          <w:rFonts w:ascii="宋体" w:hAnsi="宋体" w:cs="宋体"/>
          <w:color w:val="auto"/>
          <w:spacing w:val="9"/>
          <w:sz w:val="31"/>
          <w:szCs w:val="31"/>
        </w:rPr>
        <w:t>成员一览表</w:t>
      </w:r>
    </w:p>
    <w:p>
      <w:pPr>
        <w:spacing w:line="31" w:lineRule="exact"/>
        <w:rPr>
          <w:color w:val="auto"/>
        </w:rPr>
      </w:pPr>
    </w:p>
    <w:p>
      <w:pPr>
        <w:widowControl/>
        <w:jc w:val="center"/>
        <w:rPr>
          <w:color w:val="auto"/>
          <w:sz w:val="24"/>
          <w:lang w:bidi="th-TH"/>
        </w:rPr>
      </w:pPr>
      <w:r>
        <w:rPr>
          <w:rFonts w:hint="eastAsia"/>
          <w:color w:val="auto"/>
          <w:sz w:val="24"/>
          <w:lang w:bidi="th-TH"/>
        </w:rPr>
        <w:t>（格式自拟）</w:t>
      </w:r>
    </w:p>
    <w:p>
      <w:pPr>
        <w:widowControl/>
        <w:jc w:val="center"/>
        <w:rPr>
          <w:color w:val="auto"/>
          <w:sz w:val="24"/>
          <w:lang w:bidi="th-TH"/>
        </w:rPr>
      </w:pPr>
    </w:p>
    <w:p>
      <w:pPr>
        <w:widowControl/>
        <w:jc w:val="center"/>
        <w:rPr>
          <w:color w:val="auto"/>
          <w:sz w:val="24"/>
          <w:lang w:bidi="th-TH"/>
        </w:rPr>
      </w:pPr>
    </w:p>
    <w:p>
      <w:pPr>
        <w:widowControl/>
        <w:jc w:val="center"/>
        <w:rPr>
          <w:color w:val="auto"/>
          <w:sz w:val="24"/>
          <w:lang w:bidi="th-TH"/>
        </w:rPr>
      </w:pPr>
    </w:p>
    <w:p>
      <w:pPr>
        <w:widowControl/>
        <w:jc w:val="center"/>
        <w:rPr>
          <w:color w:val="auto"/>
          <w:sz w:val="24"/>
          <w:lang w:bidi="th-TH"/>
        </w:rPr>
      </w:pPr>
    </w:p>
    <w:p>
      <w:pPr>
        <w:widowControl/>
        <w:jc w:val="center"/>
        <w:rPr>
          <w:color w:val="auto"/>
          <w:sz w:val="24"/>
          <w:lang w:bidi="th-TH"/>
        </w:rPr>
      </w:pPr>
    </w:p>
    <w:p>
      <w:pPr>
        <w:widowControl/>
        <w:jc w:val="center"/>
        <w:rPr>
          <w:color w:val="auto"/>
          <w:sz w:val="24"/>
          <w:lang w:bidi="th-TH"/>
        </w:rPr>
      </w:pPr>
    </w:p>
    <w:p>
      <w:pPr>
        <w:widowControl/>
        <w:jc w:val="center"/>
        <w:rPr>
          <w:color w:val="auto"/>
          <w:sz w:val="24"/>
          <w:lang w:bidi="th-TH"/>
        </w:rPr>
      </w:pPr>
    </w:p>
    <w:p>
      <w:pPr>
        <w:widowControl/>
        <w:jc w:val="center"/>
        <w:rPr>
          <w:color w:val="auto"/>
          <w:sz w:val="24"/>
          <w:lang w:bidi="th-TH"/>
        </w:rPr>
      </w:pPr>
    </w:p>
    <w:p>
      <w:pPr>
        <w:widowControl/>
        <w:jc w:val="center"/>
        <w:rPr>
          <w:color w:val="auto"/>
          <w:sz w:val="24"/>
          <w:lang w:bidi="th-TH"/>
        </w:rPr>
      </w:pPr>
    </w:p>
    <w:p>
      <w:pPr>
        <w:widowControl/>
        <w:jc w:val="center"/>
        <w:rPr>
          <w:color w:val="auto"/>
          <w:sz w:val="24"/>
          <w:lang w:bidi="th-TH"/>
        </w:rPr>
      </w:pPr>
    </w:p>
    <w:p>
      <w:pPr>
        <w:widowControl/>
        <w:jc w:val="center"/>
        <w:rPr>
          <w:color w:val="auto"/>
          <w:sz w:val="24"/>
          <w:lang w:bidi="th-TH"/>
        </w:rPr>
      </w:pPr>
    </w:p>
    <w:p>
      <w:pPr>
        <w:widowControl/>
        <w:jc w:val="center"/>
        <w:rPr>
          <w:color w:val="auto"/>
          <w:sz w:val="24"/>
          <w:lang w:bidi="th-TH"/>
        </w:rPr>
      </w:pPr>
    </w:p>
    <w:p>
      <w:pPr>
        <w:widowControl/>
        <w:jc w:val="center"/>
        <w:rPr>
          <w:color w:val="auto"/>
          <w:sz w:val="24"/>
          <w:lang w:bidi="th-TH"/>
        </w:rPr>
      </w:pPr>
    </w:p>
    <w:p>
      <w:pPr>
        <w:pStyle w:val="13"/>
        <w:snapToGrid w:val="0"/>
        <w:spacing w:line="900" w:lineRule="exact"/>
        <w:jc w:val="left"/>
        <w:rPr>
          <w:rFonts w:ascii="Times New Roman" w:hAnsi="Times New Roman"/>
          <w:color w:val="auto"/>
          <w:sz w:val="24"/>
          <w:szCs w:val="24"/>
          <w:u w:val="single"/>
          <w:lang w:bidi="th-TH"/>
        </w:rPr>
      </w:pPr>
      <w:r>
        <w:rPr>
          <w:rFonts w:ascii="Times New Roman" w:hAnsi="Times New Roman"/>
          <w:color w:val="auto"/>
          <w:sz w:val="24"/>
          <w:szCs w:val="24"/>
          <w:lang w:bidi="th-TH"/>
        </w:rPr>
        <w:t>投标人（盖章）：</w:t>
      </w:r>
    </w:p>
    <w:p>
      <w:pPr>
        <w:pStyle w:val="13"/>
        <w:snapToGrid w:val="0"/>
        <w:spacing w:line="900" w:lineRule="exact"/>
        <w:jc w:val="left"/>
        <w:rPr>
          <w:rFonts w:ascii="Times New Roman" w:hAnsi="Times New Roman"/>
          <w:color w:val="auto"/>
          <w:sz w:val="24"/>
          <w:szCs w:val="24"/>
          <w:u w:val="single"/>
          <w:lang w:bidi="th-TH"/>
        </w:rPr>
      </w:pPr>
      <w:r>
        <w:rPr>
          <w:rFonts w:ascii="Times New Roman" w:hAnsi="Times New Roman"/>
          <w:color w:val="auto"/>
          <w:sz w:val="24"/>
          <w:szCs w:val="24"/>
          <w:lang w:bidi="th-TH"/>
        </w:rPr>
        <w:t>法定代表人</w:t>
      </w:r>
      <w:r>
        <w:rPr>
          <w:rFonts w:hint="eastAsia" w:ascii="Times New Roman" w:hAnsi="Times New Roman"/>
          <w:color w:val="auto"/>
          <w:sz w:val="24"/>
          <w:szCs w:val="24"/>
          <w:lang w:bidi="th-TH"/>
        </w:rPr>
        <w:t>或其授权委托人</w:t>
      </w:r>
      <w:r>
        <w:rPr>
          <w:rFonts w:ascii="Times New Roman" w:hAnsi="Times New Roman"/>
          <w:color w:val="auto"/>
          <w:sz w:val="24"/>
          <w:szCs w:val="24"/>
          <w:lang w:bidi="th-TH"/>
        </w:rPr>
        <w:t>（签字或盖章）：</w:t>
      </w:r>
    </w:p>
    <w:p>
      <w:pPr>
        <w:pStyle w:val="13"/>
        <w:snapToGrid w:val="0"/>
        <w:spacing w:line="900" w:lineRule="exact"/>
        <w:jc w:val="left"/>
        <w:rPr>
          <w:rFonts w:ascii="Times New Roman" w:hAnsi="Times New Roman"/>
          <w:color w:val="auto"/>
          <w:sz w:val="24"/>
          <w:szCs w:val="24"/>
          <w:u w:val="single"/>
          <w:lang w:bidi="th-TH"/>
        </w:rPr>
      </w:pPr>
      <w:r>
        <w:rPr>
          <w:rFonts w:ascii="Times New Roman" w:hAnsi="Times New Roman"/>
          <w:color w:val="auto"/>
          <w:sz w:val="24"/>
          <w:szCs w:val="24"/>
          <w:lang w:bidi="th-TH"/>
        </w:rPr>
        <w:t>日期</w:t>
      </w:r>
      <w:r>
        <w:rPr>
          <w:rFonts w:ascii="Times New Roman" w:hAnsi="Times New Roman"/>
          <w:color w:val="auto"/>
          <w:sz w:val="21"/>
          <w:szCs w:val="21"/>
          <w:lang w:bidi="th-TH"/>
        </w:rPr>
        <w:t>：</w:t>
      </w:r>
      <w:r>
        <w:rPr>
          <w:rFonts w:hint="eastAsia" w:ascii="Times New Roman" w:hAnsi="Times New Roman"/>
          <w:color w:val="auto"/>
          <w:sz w:val="21"/>
          <w:szCs w:val="21"/>
          <w:u w:val="single"/>
          <w:lang w:bidi="th-TH"/>
        </w:rPr>
        <w:t xml:space="preserve">     </w:t>
      </w:r>
      <w:r>
        <w:rPr>
          <w:rFonts w:ascii="Times New Roman" w:hAnsi="Times New Roman"/>
          <w:color w:val="auto"/>
          <w:sz w:val="21"/>
          <w:szCs w:val="21"/>
          <w:u w:val="single"/>
          <w:lang w:bidi="th-TH"/>
        </w:rPr>
        <w:t>年</w:t>
      </w:r>
      <w:r>
        <w:rPr>
          <w:rFonts w:hint="eastAsia" w:ascii="Times New Roman" w:hAnsi="Times New Roman"/>
          <w:color w:val="auto"/>
          <w:sz w:val="21"/>
          <w:szCs w:val="21"/>
          <w:u w:val="single"/>
          <w:lang w:bidi="th-TH"/>
        </w:rPr>
        <w:t xml:space="preserve">   </w:t>
      </w:r>
      <w:r>
        <w:rPr>
          <w:rFonts w:ascii="Times New Roman" w:hAnsi="Times New Roman"/>
          <w:color w:val="auto"/>
          <w:sz w:val="21"/>
          <w:szCs w:val="21"/>
          <w:u w:val="single"/>
          <w:lang w:bidi="th-TH"/>
        </w:rPr>
        <w:t>月</w:t>
      </w:r>
      <w:r>
        <w:rPr>
          <w:rFonts w:hint="eastAsia" w:ascii="Times New Roman" w:hAnsi="Times New Roman"/>
          <w:color w:val="auto"/>
          <w:sz w:val="21"/>
          <w:szCs w:val="21"/>
          <w:u w:val="single"/>
          <w:lang w:bidi="th-TH"/>
        </w:rPr>
        <w:t xml:space="preserve">    </w:t>
      </w:r>
      <w:r>
        <w:rPr>
          <w:rFonts w:ascii="Times New Roman" w:hAnsi="Times New Roman"/>
          <w:color w:val="auto"/>
          <w:sz w:val="21"/>
          <w:szCs w:val="21"/>
          <w:u w:val="single"/>
          <w:lang w:bidi="th-TH"/>
        </w:rPr>
        <w:t>日</w:t>
      </w:r>
    </w:p>
    <w:p>
      <w:pPr>
        <w:spacing w:line="480" w:lineRule="exact"/>
        <w:rPr>
          <w:color w:val="auto"/>
          <w:sz w:val="24"/>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widowControl/>
        <w:jc w:val="center"/>
        <w:rPr>
          <w:rFonts w:ascii="宋体" w:hAnsi="宋体" w:cs="仿宋_GB2312"/>
          <w:b/>
          <w:color w:val="auto"/>
          <w:kern w:val="0"/>
          <w:sz w:val="24"/>
          <w:lang w:bidi="ar"/>
        </w:rPr>
      </w:pPr>
    </w:p>
    <w:p>
      <w:pPr>
        <w:pStyle w:val="13"/>
        <w:snapToGrid w:val="0"/>
        <w:spacing w:before="120" w:after="120" w:line="460" w:lineRule="exact"/>
        <w:jc w:val="both"/>
        <w:rPr>
          <w:rFonts w:hint="eastAsia" w:ascii="Times New Roman" w:hAnsi="Times New Roman"/>
          <w:b/>
          <w:color w:val="auto"/>
          <w:szCs w:val="28"/>
        </w:rPr>
      </w:pPr>
      <w:r>
        <w:rPr>
          <w:rFonts w:hint="eastAsia" w:ascii="宋体" w:hAnsi="宋体"/>
          <w:color w:val="auto"/>
          <w:sz w:val="24"/>
          <w:highlight w:val="none"/>
        </w:rPr>
        <w:t>格式</w:t>
      </w:r>
      <w:r>
        <w:rPr>
          <w:rFonts w:hint="eastAsia" w:hAnsi="宋体"/>
          <w:color w:val="auto"/>
          <w:sz w:val="24"/>
          <w:highlight w:val="none"/>
          <w:lang w:val="en-US" w:eastAsia="zh-CN"/>
        </w:rPr>
        <w:t>七</w:t>
      </w:r>
      <w:r>
        <w:rPr>
          <w:rFonts w:hint="eastAsia" w:ascii="宋体" w:hAnsi="宋体"/>
          <w:color w:val="auto"/>
          <w:sz w:val="24"/>
          <w:highlight w:val="none"/>
        </w:rPr>
        <w:t>：</w:t>
      </w:r>
    </w:p>
    <w:p>
      <w:pPr>
        <w:pStyle w:val="13"/>
        <w:snapToGrid w:val="0"/>
        <w:spacing w:before="120" w:after="120" w:line="460" w:lineRule="exact"/>
        <w:jc w:val="center"/>
        <w:rPr>
          <w:rFonts w:ascii="Times New Roman" w:hAnsi="Times New Roman"/>
          <w:b/>
          <w:color w:val="auto"/>
          <w:szCs w:val="28"/>
        </w:rPr>
      </w:pPr>
      <w:r>
        <w:rPr>
          <w:rFonts w:hint="eastAsia" w:ascii="Times New Roman" w:hAnsi="Times New Roman"/>
          <w:b/>
          <w:color w:val="auto"/>
          <w:szCs w:val="28"/>
        </w:rPr>
        <w:t>书面声明</w:t>
      </w:r>
    </w:p>
    <w:p>
      <w:pPr>
        <w:widowControl/>
        <w:spacing w:line="480" w:lineRule="exact"/>
        <w:jc w:val="center"/>
        <w:rPr>
          <w:rFonts w:ascii="宋体" w:hAnsi="宋体" w:cs="仿宋_GB2312"/>
          <w:b/>
          <w:color w:val="auto"/>
          <w:kern w:val="0"/>
          <w:sz w:val="24"/>
          <w:lang w:bidi="ar"/>
        </w:rPr>
      </w:pPr>
    </w:p>
    <w:p>
      <w:pPr>
        <w:pStyle w:val="45"/>
        <w:adjustRightInd w:val="0"/>
        <w:spacing w:before="60" w:beforeLines="25" w:beforeAutospacing="0" w:after="60" w:afterLines="25" w:afterAutospacing="0" w:line="480" w:lineRule="exact"/>
        <w:ind w:firstLine="480" w:firstLineChars="200"/>
        <w:jc w:val="both"/>
        <w:rPr>
          <w:rFonts w:ascii="宋体" w:hAnsi="宋体" w:cs="宋体"/>
          <w:color w:val="auto"/>
          <w:kern w:val="2"/>
        </w:rPr>
      </w:pPr>
      <w:r>
        <w:rPr>
          <w:rFonts w:hint="eastAsia" w:ascii="宋体" w:hAnsi="宋体" w:cs="宋体"/>
          <w:color w:val="auto"/>
          <w:kern w:val="2"/>
        </w:rPr>
        <w:t>我单位具备《中华人民共和国政府采购法》第二十二条第(一)至(六)项条件。</w:t>
      </w:r>
    </w:p>
    <w:p>
      <w:pPr>
        <w:pStyle w:val="45"/>
        <w:adjustRightInd w:val="0"/>
        <w:spacing w:before="60" w:beforeLines="25" w:beforeAutospacing="0" w:after="60" w:afterLines="25" w:afterAutospacing="0" w:line="480" w:lineRule="exact"/>
        <w:ind w:firstLine="720" w:firstLineChars="300"/>
        <w:jc w:val="both"/>
        <w:rPr>
          <w:rFonts w:ascii="宋体" w:hAnsi="宋体" w:cs="宋体"/>
          <w:color w:val="auto"/>
          <w:kern w:val="2"/>
        </w:rPr>
      </w:pPr>
      <w:r>
        <w:rPr>
          <w:rFonts w:hint="eastAsia" w:ascii="宋体" w:hAnsi="宋体" w:cs="宋体"/>
          <w:color w:val="auto"/>
          <w:kern w:val="2"/>
        </w:rPr>
        <w:t>特此声明，如有虚假，贵方可取消我方参与本次项目投标资格。</w:t>
      </w:r>
    </w:p>
    <w:p>
      <w:pPr>
        <w:tabs>
          <w:tab w:val="left" w:pos="2814"/>
        </w:tabs>
        <w:spacing w:line="480" w:lineRule="exact"/>
        <w:ind w:firstLine="1646" w:firstLineChars="686"/>
        <w:rPr>
          <w:rFonts w:ascii="宋体" w:hAnsi="宋体" w:cs="宋体"/>
          <w:color w:val="auto"/>
          <w:sz w:val="24"/>
        </w:rPr>
      </w:pPr>
    </w:p>
    <w:p>
      <w:pPr>
        <w:tabs>
          <w:tab w:val="left" w:pos="2814"/>
        </w:tabs>
        <w:spacing w:line="480" w:lineRule="exact"/>
        <w:ind w:firstLine="1646" w:firstLineChars="686"/>
        <w:rPr>
          <w:rFonts w:ascii="宋体" w:hAnsi="宋体" w:cs="宋体"/>
          <w:color w:val="auto"/>
          <w:sz w:val="24"/>
        </w:rPr>
      </w:pPr>
      <w:r>
        <w:rPr>
          <w:rFonts w:hint="eastAsia" w:ascii="宋体" w:hAnsi="宋体" w:cs="宋体"/>
          <w:color w:val="auto"/>
          <w:sz w:val="24"/>
        </w:rPr>
        <w:t>投标人(盖章)：</w:t>
      </w:r>
    </w:p>
    <w:p>
      <w:pPr>
        <w:tabs>
          <w:tab w:val="left" w:pos="2814"/>
        </w:tabs>
        <w:spacing w:line="480" w:lineRule="exact"/>
        <w:ind w:left="-357" w:leftChars="-170" w:firstLine="2311" w:firstLineChars="1070"/>
        <w:rPr>
          <w:rFonts w:ascii="宋体" w:hAnsi="宋体" w:cs="宋体"/>
          <w:color w:val="auto"/>
          <w:w w:val="90"/>
          <w:sz w:val="24"/>
        </w:rPr>
      </w:pPr>
    </w:p>
    <w:p>
      <w:pPr>
        <w:tabs>
          <w:tab w:val="left" w:pos="2814"/>
        </w:tabs>
        <w:spacing w:line="480" w:lineRule="exact"/>
        <w:ind w:firstLine="1646" w:firstLineChars="686"/>
        <w:rPr>
          <w:rFonts w:ascii="宋体" w:hAnsi="宋体" w:cs="宋体"/>
          <w:color w:val="auto"/>
          <w:sz w:val="24"/>
        </w:rPr>
      </w:pPr>
      <w:r>
        <w:rPr>
          <w:rFonts w:hint="eastAsia" w:ascii="宋体" w:hAnsi="宋体" w:cs="宋体"/>
          <w:color w:val="auto"/>
          <w:sz w:val="24"/>
        </w:rPr>
        <w:t>法定代表人或其授权委托人 (签字或盖章)：</w:t>
      </w:r>
    </w:p>
    <w:p>
      <w:pPr>
        <w:adjustRightInd w:val="0"/>
        <w:snapToGrid w:val="0"/>
        <w:spacing w:line="460" w:lineRule="exact"/>
        <w:ind w:firstLine="2970" w:firstLineChars="1100"/>
        <w:jc w:val="right"/>
        <w:rPr>
          <w:rFonts w:ascii="宋体" w:hAnsi="宋体" w:cs="宋体"/>
          <w:color w:val="auto"/>
          <w:w w:val="90"/>
          <w:sz w:val="30"/>
          <w:szCs w:val="30"/>
        </w:rPr>
      </w:pPr>
    </w:p>
    <w:p>
      <w:pPr>
        <w:adjustRightInd w:val="0"/>
        <w:snapToGrid w:val="0"/>
        <w:spacing w:line="460" w:lineRule="exact"/>
        <w:ind w:firstLine="2970" w:firstLineChars="1100"/>
        <w:jc w:val="center"/>
        <w:rPr>
          <w:rFonts w:ascii="宋体" w:hAnsi="宋体" w:cs="宋体"/>
          <w:color w:val="auto"/>
          <w:w w:val="90"/>
          <w:sz w:val="30"/>
          <w:szCs w:val="30"/>
          <w:u w:val="single"/>
        </w:rPr>
      </w:pPr>
      <w:r>
        <w:rPr>
          <w:rFonts w:hint="eastAsia" w:ascii="宋体" w:hAnsi="宋体" w:cs="宋体"/>
          <w:color w:val="auto"/>
          <w:w w:val="90"/>
          <w:sz w:val="30"/>
          <w:szCs w:val="30"/>
        </w:rPr>
        <w:t xml:space="preserve">       时间：    年   月   日</w:t>
      </w:r>
    </w:p>
    <w:p>
      <w:pPr>
        <w:pStyle w:val="11"/>
        <w:rPr>
          <w:color w:val="auto"/>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p>
    <w:p>
      <w:pPr>
        <w:pStyle w:val="11"/>
        <w:rPr>
          <w:rFonts w:hint="eastAsia"/>
          <w:color w:val="auto"/>
        </w:rPr>
      </w:pPr>
    </w:p>
    <w:p>
      <w:pPr>
        <w:spacing w:line="440" w:lineRule="exact"/>
        <w:jc w:val="left"/>
        <w:rPr>
          <w:rFonts w:hint="eastAsia" w:ascii="宋体" w:hAnsi="宋体"/>
          <w:color w:val="auto"/>
          <w:sz w:val="24"/>
          <w:highlight w:val="none"/>
        </w:rPr>
      </w:pPr>
    </w:p>
    <w:p>
      <w:pPr>
        <w:spacing w:line="440" w:lineRule="exact"/>
        <w:jc w:val="left"/>
        <w:rPr>
          <w:rFonts w:hint="eastAsia" w:ascii="宋体" w:hAnsi="宋体"/>
          <w:color w:val="auto"/>
          <w:sz w:val="24"/>
          <w:highlight w:val="none"/>
        </w:rPr>
      </w:pPr>
      <w:r>
        <w:rPr>
          <w:rFonts w:hint="eastAsia" w:ascii="宋体" w:hAnsi="宋体"/>
          <w:color w:val="auto"/>
          <w:sz w:val="24"/>
          <w:highlight w:val="none"/>
        </w:rPr>
        <w:t>格式</w:t>
      </w:r>
      <w:r>
        <w:rPr>
          <w:rFonts w:hint="eastAsia" w:ascii="宋体" w:hAnsi="宋体"/>
          <w:color w:val="auto"/>
          <w:sz w:val="24"/>
          <w:highlight w:val="none"/>
          <w:lang w:val="en-US" w:eastAsia="zh-CN"/>
        </w:rPr>
        <w:t>八</w:t>
      </w:r>
      <w:r>
        <w:rPr>
          <w:rFonts w:hint="eastAsia" w:ascii="宋体" w:hAnsi="宋体"/>
          <w:color w:val="auto"/>
          <w:sz w:val="24"/>
          <w:highlight w:val="none"/>
        </w:rPr>
        <w:t>：</w:t>
      </w:r>
    </w:p>
    <w:p>
      <w:pPr>
        <w:pStyle w:val="13"/>
        <w:snapToGrid w:val="0"/>
        <w:spacing w:line="480" w:lineRule="exact"/>
        <w:jc w:val="left"/>
        <w:rPr>
          <w:rFonts w:hAnsi="宋体" w:cs="Angsana New"/>
          <w:color w:val="auto"/>
          <w:sz w:val="24"/>
          <w:szCs w:val="24"/>
          <w:highlight w:val="none"/>
          <w:lang w:bidi="th-TH"/>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盐城市大丰区政府招标采购供应商承诺书</w:t>
      </w:r>
    </w:p>
    <w:p>
      <w:pPr>
        <w:spacing w:line="400" w:lineRule="exact"/>
        <w:ind w:firstLine="600" w:firstLineChars="200"/>
        <w:rPr>
          <w:color w:val="auto"/>
          <w:sz w:val="30"/>
          <w:szCs w:val="30"/>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为营造公开、公平、公正、诚实守信的政府招标采购交易环境，树立诚信守法的投标人形象，本单位参加政府招标采购项目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的招标采购活动，本人代表本单位作出以下承诺：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（三）严格依照国家和省、市关于政府招标采购的法律、法规、规章、规范性文件，参加政府招标采购的投标活动；积极履行社会责任，促进廉政建设；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（四）严格遵守即时信息公示规定，及时维护和更新盐城市政府采购网、公共资源交易平台中与本单位相关的信息；</w:t>
      </w:r>
    </w:p>
    <w:p>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（六）自觉接受政府、行业组织、社会公众、新闻舆论的监督；</w:t>
      </w:r>
    </w:p>
    <w:p>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（八）本人已认真阅读了上述承诺，并向本单位员工作了宣传教育。</w:t>
      </w:r>
    </w:p>
    <w:p>
      <w:pPr>
        <w:pStyle w:val="36"/>
        <w:rPr>
          <w:rFonts w:asciiTheme="minorEastAsia" w:hAnsiTheme="minorEastAsia" w:eastAsiaTheme="minorEastAsia" w:cstheme="minorEastAsia"/>
          <w:color w:val="auto"/>
          <w:highlight w:val="none"/>
        </w:rPr>
      </w:pPr>
    </w:p>
    <w:p>
      <w:pPr>
        <w:pStyle w:val="36"/>
        <w:rPr>
          <w:rFonts w:asciiTheme="minorEastAsia" w:hAnsiTheme="minorEastAsia" w:eastAsiaTheme="minorEastAsia" w:cstheme="minorEastAsia"/>
          <w:color w:val="auto"/>
          <w:highlight w:val="none"/>
        </w:rPr>
      </w:pPr>
    </w:p>
    <w:p>
      <w:pPr>
        <w:spacing w:line="340" w:lineRule="exact"/>
        <w:ind w:firstLine="480" w:firstLineChars="200"/>
        <w:rPr>
          <w:rFonts w:asciiTheme="minorEastAsia" w:hAnsiTheme="minorEastAsia" w:eastAsiaTheme="minorEastAsia" w:cstheme="minorEastAsia"/>
          <w:color w:val="auto"/>
          <w:sz w:val="24"/>
          <w:highlight w:val="none"/>
        </w:rPr>
      </w:pPr>
    </w:p>
    <w:p>
      <w:pPr>
        <w:spacing w:line="3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法定代表人签名：                     单位名称（盖章）：</w:t>
      </w:r>
    </w:p>
    <w:p>
      <w:pPr>
        <w:spacing w:line="340" w:lineRule="exact"/>
        <w:rPr>
          <w:rFonts w:asciiTheme="minorEastAsia" w:hAnsiTheme="minorEastAsia" w:eastAsiaTheme="minorEastAsia" w:cstheme="minorEastAsia"/>
          <w:color w:val="auto"/>
          <w:sz w:val="24"/>
          <w:highlight w:val="none"/>
        </w:rPr>
      </w:pPr>
    </w:p>
    <w:p>
      <w:pPr>
        <w:pStyle w:val="13"/>
        <w:snapToGrid w:val="0"/>
        <w:spacing w:line="480" w:lineRule="exact"/>
        <w:jc w:val="righ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pacing w:line="440" w:lineRule="exact"/>
        <w:jc w:val="left"/>
        <w:rPr>
          <w:rFonts w:hint="eastAsia" w:hAnsi="宋体"/>
          <w:b/>
          <w:color w:val="auto"/>
          <w:szCs w:val="28"/>
          <w:highlight w:val="none"/>
        </w:rPr>
      </w:pPr>
      <w:r>
        <w:rPr>
          <w:rFonts w:hint="eastAsia" w:ascii="宋体" w:hAnsi="宋体"/>
          <w:color w:val="auto"/>
          <w:sz w:val="24"/>
          <w:highlight w:val="none"/>
        </w:rPr>
        <w:t>格式</w:t>
      </w:r>
      <w:r>
        <w:rPr>
          <w:rFonts w:hint="eastAsia" w:ascii="宋体" w:hAnsi="宋体"/>
          <w:color w:val="auto"/>
          <w:sz w:val="24"/>
          <w:highlight w:val="none"/>
          <w:lang w:val="en-US" w:eastAsia="zh-CN"/>
        </w:rPr>
        <w:t>九</w:t>
      </w:r>
      <w:r>
        <w:rPr>
          <w:rFonts w:hint="eastAsia" w:ascii="宋体" w:hAnsi="宋体"/>
          <w:color w:val="auto"/>
          <w:sz w:val="24"/>
          <w:highlight w:val="none"/>
        </w:rPr>
        <w:t>：</w:t>
      </w:r>
    </w:p>
    <w:p>
      <w:pPr>
        <w:pStyle w:val="13"/>
        <w:snapToGrid w:val="0"/>
        <w:spacing w:before="120" w:after="120" w:line="460" w:lineRule="exact"/>
        <w:jc w:val="center"/>
        <w:rPr>
          <w:rFonts w:hAnsi="宋体"/>
          <w:b/>
          <w:color w:val="auto"/>
          <w:szCs w:val="28"/>
          <w:highlight w:val="none"/>
        </w:rPr>
      </w:pPr>
      <w:r>
        <w:rPr>
          <w:rFonts w:hint="eastAsia" w:hAnsi="宋体"/>
          <w:b/>
          <w:color w:val="auto"/>
          <w:szCs w:val="28"/>
          <w:highlight w:val="none"/>
        </w:rPr>
        <w:t>开标一览表</w:t>
      </w:r>
    </w:p>
    <w:tbl>
      <w:tblPr>
        <w:tblStyle w:val="20"/>
        <w:tblW w:w="995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40"/>
        <w:gridCol w:w="71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Align w:val="center"/>
          </w:tcPr>
          <w:p>
            <w:pPr>
              <w:spacing w:line="480" w:lineRule="exact"/>
              <w:jc w:val="center"/>
              <w:rPr>
                <w:rFonts w:ascii="宋体" w:hAnsi="宋体" w:cs="Angsana New"/>
                <w:color w:val="auto"/>
                <w:sz w:val="24"/>
                <w:highlight w:val="none"/>
                <w:lang w:bidi="th-TH"/>
              </w:rPr>
            </w:pPr>
            <w:r>
              <w:rPr>
                <w:rFonts w:hint="eastAsia" w:ascii="宋体" w:hAnsi="宋体" w:cs="Angsana New"/>
                <w:color w:val="auto"/>
                <w:sz w:val="24"/>
                <w:highlight w:val="none"/>
                <w:lang w:bidi="th-TH"/>
              </w:rPr>
              <w:t>招标项目名称</w:t>
            </w:r>
          </w:p>
        </w:tc>
        <w:tc>
          <w:tcPr>
            <w:tcW w:w="7116" w:type="dxa"/>
            <w:vAlign w:val="center"/>
          </w:tcPr>
          <w:p>
            <w:pPr>
              <w:spacing w:line="480" w:lineRule="exact"/>
              <w:jc w:val="center"/>
              <w:rPr>
                <w:rFonts w:ascii="宋体" w:hAnsi="宋体" w:cs="Angsana New"/>
                <w:color w:val="auto"/>
                <w:sz w:val="24"/>
                <w:highlight w:val="none"/>
                <w:lang w:bidi="th-TH"/>
              </w:rPr>
            </w:pPr>
            <w:r>
              <w:rPr>
                <w:rFonts w:hint="eastAsia" w:ascii="宋体" w:hAnsi="宋体" w:cs="Angsana New"/>
                <w:color w:val="auto"/>
                <w:sz w:val="24"/>
                <w:highlight w:val="none"/>
                <w:lang w:bidi="th-TH"/>
              </w:rPr>
              <w:t>大丰港区蒸汽管道运维服务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2840" w:type="dxa"/>
            <w:vAlign w:val="center"/>
          </w:tcPr>
          <w:p>
            <w:pPr>
              <w:spacing w:line="480" w:lineRule="exact"/>
              <w:jc w:val="center"/>
              <w:rPr>
                <w:rFonts w:ascii="宋体" w:hAnsi="宋体" w:cs="Angsana New"/>
                <w:color w:val="auto"/>
                <w:sz w:val="24"/>
                <w:highlight w:val="none"/>
                <w:lang w:bidi="th-TH"/>
              </w:rPr>
            </w:pPr>
            <w:r>
              <w:rPr>
                <w:rFonts w:ascii="宋体" w:hAnsi="宋体" w:cs="Angsana New"/>
                <w:color w:val="auto"/>
                <w:sz w:val="24"/>
                <w:highlight w:val="none"/>
                <w:lang w:bidi="th-TH"/>
              </w:rPr>
              <w:t>合同履行期限</w:t>
            </w:r>
          </w:p>
        </w:tc>
        <w:tc>
          <w:tcPr>
            <w:tcW w:w="7116" w:type="dxa"/>
            <w:vAlign w:val="center"/>
          </w:tcPr>
          <w:p>
            <w:pPr>
              <w:spacing w:line="480" w:lineRule="exact"/>
              <w:jc w:val="center"/>
              <w:rPr>
                <w:rFonts w:ascii="宋体" w:hAnsi="宋体" w:cs="Angsana New"/>
                <w:color w:val="auto"/>
                <w:sz w:val="24"/>
                <w:highlight w:val="none"/>
                <w:lang w:bidi="th-TH"/>
              </w:rPr>
            </w:pPr>
            <w:r>
              <w:rPr>
                <w:rFonts w:hint="eastAsia" w:ascii="宋体" w:hAnsi="宋体" w:cs="Angsana New"/>
                <w:color w:val="auto"/>
                <w:sz w:val="24"/>
                <w:highlight w:val="none"/>
                <w:lang w:bidi="th-TH"/>
              </w:rPr>
              <w:t>自合同签订之日起1年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9" w:hRule="atLeast"/>
          <w:jc w:val="center"/>
        </w:trPr>
        <w:tc>
          <w:tcPr>
            <w:tcW w:w="2840" w:type="dxa"/>
            <w:vAlign w:val="center"/>
          </w:tcPr>
          <w:p>
            <w:pPr>
              <w:spacing w:line="480" w:lineRule="exact"/>
              <w:jc w:val="center"/>
              <w:rPr>
                <w:rFonts w:ascii="宋体" w:hAnsi="宋体" w:cs="Angsana New"/>
                <w:color w:val="auto"/>
                <w:sz w:val="24"/>
                <w:highlight w:val="none"/>
                <w:lang w:bidi="th-TH"/>
              </w:rPr>
            </w:pPr>
            <w:r>
              <w:rPr>
                <w:rFonts w:hint="eastAsia" w:ascii="宋体" w:hAnsi="宋体" w:cs="Angsana New"/>
                <w:color w:val="auto"/>
                <w:sz w:val="24"/>
                <w:highlight w:val="none"/>
                <w:lang w:bidi="th-TH"/>
              </w:rPr>
              <w:t>投标报价</w:t>
            </w:r>
          </w:p>
        </w:tc>
        <w:tc>
          <w:tcPr>
            <w:tcW w:w="7116" w:type="dxa"/>
            <w:vAlign w:val="center"/>
          </w:tcPr>
          <w:p>
            <w:pPr>
              <w:spacing w:line="480" w:lineRule="exact"/>
              <w:jc w:val="left"/>
              <w:rPr>
                <w:rFonts w:ascii="宋体" w:hAnsi="宋体" w:cs="Angsana New"/>
                <w:color w:val="auto"/>
                <w:sz w:val="24"/>
                <w:highlight w:val="none"/>
                <w:lang w:bidi="th-TH"/>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Align w:val="center"/>
          </w:tcPr>
          <w:p>
            <w:pPr>
              <w:spacing w:line="480" w:lineRule="exact"/>
              <w:jc w:val="center"/>
              <w:rPr>
                <w:rFonts w:ascii="宋体" w:hAnsi="宋体" w:cs="Angsana New"/>
                <w:color w:val="auto"/>
                <w:sz w:val="24"/>
                <w:highlight w:val="none"/>
                <w:lang w:bidi="th-TH"/>
              </w:rPr>
            </w:pPr>
            <w:r>
              <w:rPr>
                <w:rFonts w:hint="eastAsia" w:ascii="宋体" w:hAnsi="宋体" w:cs="Angsana New"/>
                <w:color w:val="auto"/>
                <w:sz w:val="24"/>
                <w:highlight w:val="none"/>
                <w:lang w:bidi="th-TH"/>
              </w:rPr>
              <w:t>项目负责人</w:t>
            </w:r>
          </w:p>
        </w:tc>
        <w:tc>
          <w:tcPr>
            <w:tcW w:w="7116" w:type="dxa"/>
            <w:vAlign w:val="center"/>
          </w:tcPr>
          <w:p>
            <w:pPr>
              <w:spacing w:line="480" w:lineRule="exact"/>
              <w:jc w:val="center"/>
              <w:rPr>
                <w:rFonts w:ascii="宋体" w:hAnsi="宋体" w:cs="Angsana New"/>
                <w:color w:val="auto"/>
                <w:sz w:val="24"/>
                <w:highlight w:val="none"/>
                <w:lang w:bidi="th-TH"/>
              </w:rPr>
            </w:pPr>
          </w:p>
        </w:tc>
      </w:tr>
    </w:tbl>
    <w:p>
      <w:pPr>
        <w:pStyle w:val="13"/>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注: 1、报价一经涂改，应在涂改处加盖单位公章或者由法定代表人或授权委托人签字或盖章，否则其投标作无效标处理。</w:t>
      </w:r>
    </w:p>
    <w:p>
      <w:pPr>
        <w:pStyle w:val="13"/>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2、投标费用包括本项目招标文件规定的一切费用。</w:t>
      </w:r>
    </w:p>
    <w:p>
      <w:pPr>
        <w:pStyle w:val="13"/>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3、以上报价应与投标函中、投标报价</w:t>
      </w:r>
      <w:r>
        <w:rPr>
          <w:rFonts w:hint="eastAsia" w:hAnsi="宋体" w:cs="Angsana New"/>
          <w:color w:val="auto"/>
          <w:sz w:val="24"/>
          <w:szCs w:val="24"/>
          <w:highlight w:val="none"/>
          <w:lang w:val="en-US" w:eastAsia="zh-CN" w:bidi="th-TH"/>
        </w:rPr>
        <w:t>明细</w:t>
      </w:r>
      <w:r>
        <w:rPr>
          <w:rFonts w:hint="eastAsia" w:hAnsi="宋体" w:cs="Angsana New"/>
          <w:color w:val="auto"/>
          <w:sz w:val="24"/>
          <w:szCs w:val="24"/>
          <w:highlight w:val="none"/>
          <w:lang w:bidi="th-TH"/>
        </w:rPr>
        <w:t>表中的价格相一致。</w:t>
      </w:r>
    </w:p>
    <w:p>
      <w:pPr>
        <w:pStyle w:val="13"/>
        <w:snapToGrid w:val="0"/>
        <w:spacing w:line="480" w:lineRule="exact"/>
        <w:jc w:val="left"/>
        <w:rPr>
          <w:rFonts w:hAnsi="宋体" w:cs="Angsana New"/>
          <w:color w:val="auto"/>
          <w:sz w:val="24"/>
          <w:szCs w:val="24"/>
          <w:highlight w:val="none"/>
          <w:lang w:bidi="th-TH"/>
        </w:rPr>
      </w:pPr>
    </w:p>
    <w:p>
      <w:pPr>
        <w:pStyle w:val="13"/>
        <w:snapToGrid w:val="0"/>
        <w:spacing w:line="48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pPr>
        <w:pStyle w:val="13"/>
        <w:snapToGrid w:val="0"/>
        <w:spacing w:line="48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法定代表人（签字或盖章）：</w:t>
      </w:r>
      <w:r>
        <w:rPr>
          <w:rFonts w:hint="eastAsia" w:hAnsi="宋体" w:cs="Angsana New"/>
          <w:color w:val="auto"/>
          <w:sz w:val="24"/>
          <w:szCs w:val="24"/>
          <w:highlight w:val="none"/>
          <w:u w:val="single"/>
          <w:lang w:bidi="th-TH"/>
        </w:rPr>
        <w:t xml:space="preserve">                </w:t>
      </w:r>
    </w:p>
    <w:p>
      <w:pPr>
        <w:pStyle w:val="13"/>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授权委托人（签字或盖章）：</w:t>
      </w:r>
      <w:r>
        <w:rPr>
          <w:rFonts w:hint="eastAsia" w:hAnsi="宋体" w:cs="Angsana New"/>
          <w:color w:val="auto"/>
          <w:sz w:val="24"/>
          <w:szCs w:val="24"/>
          <w:highlight w:val="none"/>
          <w:u w:val="single"/>
          <w:lang w:bidi="th-TH"/>
        </w:rPr>
        <w:t xml:space="preserve">                </w:t>
      </w:r>
    </w:p>
    <w:p>
      <w:pPr>
        <w:pStyle w:val="13"/>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年</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月</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日</w:t>
      </w:r>
    </w:p>
    <w:p>
      <w:pPr>
        <w:spacing w:line="360" w:lineRule="auto"/>
        <w:rPr>
          <w:rFonts w:asciiTheme="minorEastAsia" w:hAnsiTheme="minorEastAsia" w:eastAsiaTheme="minorEastAsia" w:cstheme="minorEastAsia"/>
          <w:color w:val="auto"/>
          <w:sz w:val="24"/>
          <w:highlight w:val="none"/>
        </w:rPr>
      </w:pPr>
    </w:p>
    <w:p>
      <w:pPr>
        <w:pStyle w:val="19"/>
        <w:ind w:firstLine="0" w:firstLineChars="0"/>
        <w:rPr>
          <w:rFonts w:ascii="宋体" w:hAnsi="宋体" w:cs="宋体"/>
          <w:color w:val="auto"/>
          <w:highlight w:val="none"/>
        </w:rPr>
      </w:pPr>
    </w:p>
    <w:sectPr>
      <w:headerReference r:id="rId7" w:type="default"/>
      <w:footerReference r:id="rId8" w:type="default"/>
      <w:pgSz w:w="11905" w:h="16838"/>
      <w:pgMar w:top="1134" w:right="1304" w:bottom="1134" w:left="1304" w:header="850"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Hilda Sonnenschein"/>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0" w:csb1="00000000"/>
  </w:font>
  <w:font w:name="PMingLiU">
    <w:altName w:val="Microsoft JhengHei"/>
    <w:panose1 w:val="02010601000101010101"/>
    <w:charset w:val="88"/>
    <w:family w:val="auto"/>
    <w:pitch w:val="default"/>
    <w:sig w:usb0="00000000" w:usb1="00000000" w:usb2="00000010" w:usb3="00000000" w:csb0="00100000" w:csb1="00000000"/>
  </w:font>
  <w:font w:name="FangSong_GB2312-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4"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2qvAEAAFcDAAAOAAAAZHJzL2Uyb0RvYy54bWysU81O3DAQviPxDpbv3YQVtFG0WdQKgZBQ&#10;iwQ8gNexN5b8J4/ZZF+gfQNOvfTOc+1zMPYmC4Ib6sWZ8cx8nu+byeJ8MJpsRADlbENPZiUlwnLX&#10;Krtu6MP95ZeKEojMtkw7Kxq6FUDPl8dHi97XYu46p1sRCIJYqHvf0C5GXxcF8E4YBjPnhcWgdMGw&#10;iG5YF21gPaIbXczL8mvRu9D64LgAwNuLfZAuM76UgsdfUoKIRDcUe4v5DPlcpbNYLli9Dsx3io9t&#10;sE90YZiy+OgB6oJFRh6D+gBlFA8OnIwz7kzhpFRcZA7I5qR8x+auY15kLigO+INM8P9g+c/NbSCq&#10;begpJZYZHNHu6c/u7/Pu329ymuTpPdSYdecxLw4/3IBjnu4BLxPrQQaTvsiHYByF3h7EFUMkPBVV&#10;86oqMcQxNjmIX7yW+wDxSjhDktHQgNPLorLNDcR96pSSXrPuUmmdJ6gt6RH1rPp2lisOIUTXNiWL&#10;vAwjTuK07z1ZcVgNI9GVa7fIs8eFaKjFjaVEX1vUO+3OZITJWI1Gwgf//TFiQ7nPhLqHQn7Jwell&#10;puOmpfV46+es1/9h+QIAAP//AwBQSwMEFAAGAAgAAAAhAKqKCxzYAAAABQEAAA8AAABkcnMvZG93&#10;bnJldi54bWxMj0FLw0AQhe+C/2EZwUuxG4tIjNkUFXpTsFXwOs2OSWp2Nuxu0+ivd5SCXoZ5vOHN&#10;98rl5Ho1UoidZwOX8wwUce1tx42B15fVRQ4qJmSLvWcy8EkRltXpSYmF9Qde07hJjZIQjgUaaFMa&#10;Cq1j3ZLDOPcDsXjvPjhMIkOjbcCDhLteL7LsWjvsWD60ONBDS/XHZu8MvD1+Ea3z+9lsvNrtQra6&#10;ea71kzHnZ9PdLahEU/o7hh98QYdKmLZ+zzaq3oAUSb9TvEWei9weF12V+j999Q0AAP//AwBQSwEC&#10;LQAUAAYACAAAACEAtoM4kv4AAADhAQAAEwAAAAAAAAAAAAAAAAAAAAAAW0NvbnRlbnRfVHlwZXNd&#10;LnhtbFBLAQItABQABgAIAAAAIQA4/SH/1gAAAJQBAAALAAAAAAAAAAAAAAAAAC8BAABfcmVscy8u&#10;cmVsc1BLAQItABQABgAIAAAAIQAk582qvAEAAFcDAAAOAAAAAAAAAAAAAAAAAC4CAABkcnMvZTJv&#10;RG9jLnhtbFBLAQItABQABgAIAAAAIQCqigsc2AAAAAUBAAAPAAAAAAAAAAAAAAAAABYEAABkcnMv&#10;ZG93bnJldi54bWxQSwUGAAAAAAQABADzAAAAGwUAAAAA&#10;">
          <v:path/>
          <v:fill on="f" focussize="0,0"/>
          <v:stroke on="f" weight="1.2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42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2080"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ppuQEAAFMDAAAOAAAAZHJzL2Uyb0RvYy54bWysU8GO0zAQvSPxD5bvNNlKhShqugKtFiEh&#10;QFr2A1zHbizZHsvjbdIfgD/gxIU739XvYOy2KYIb4uLMeMZv5r2ZrG8nZ9leRTTgO36zqDlTXkJv&#10;/K7jj5/vXzScYRK+Fxa86vhBIb/dPH+2HkOrljCA7VVkBOKxHUPHh5RCW1UoB+UELiAoT0EN0YlE&#10;btxVfRQjoTtbLev6ZTVC7EMEqRDp9u4U5JuCr7WS6aPWqBKzHafeUjljObf5rDZr0e6iCIOR5zbE&#10;P3ThhPFUdIa6E0mwp2j+gnJGRkDQaSHBVaC1kapwIDY39R9sHgYRVOFC4mCYZcL/Bys/7D9FZvqO&#10;rzjzwtGIjt++Hr//PP74wpZ1UxQaA7aU+BAoNU1vYKJJZ+XyPdJlJj7p6PKXKDGKk9aHWV81JSbz&#10;o2bZNDWFJMUuDuFU1+chYnqrwLFsdDzSAIuuYv8e0yn1kpKrebg31pYhWs9GQl01r1blxRwidOup&#10;yLXbbKVpOxXeM5Mt9AciONIydNzTtnJm33nSOu/NxYgXY3s2chcYXj8l6qQ0mMFPUOeaNLlC8bxl&#10;eTV+90vW9V/Y/AI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AAJdppuQEAAFMDAAAOAAAAAAAAAAAAAAAAAC4CAABkcnMvZTJvRG9j&#10;LnhtbFBLAQItABQABgAIAAAAIQCqigsc2AAAAAUBAAAPAAAAAAAAAAAAAAAAABMEAABkcnMvZG93&#10;bnJldi54bWxQSwUGAAAAAAQABADzAAAAGAUAAAAA&#10;">
          <v:path/>
          <v:fill on="f" focussize="0,0"/>
          <v:stroke on="f" weight="1.2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48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6C2CD"/>
    <w:multiLevelType w:val="singleLevel"/>
    <w:tmpl w:val="8356C2CD"/>
    <w:lvl w:ilvl="0" w:tentative="0">
      <w:start w:val="7"/>
      <w:numFmt w:val="chineseCounting"/>
      <w:suff w:val="nothing"/>
      <w:lvlText w:val="%1、"/>
      <w:lvlJc w:val="left"/>
      <w:rPr>
        <w:rFonts w:hint="eastAsia"/>
      </w:rPr>
    </w:lvl>
  </w:abstractNum>
  <w:abstractNum w:abstractNumId="1">
    <w:nsid w:val="87B54199"/>
    <w:multiLevelType w:val="singleLevel"/>
    <w:tmpl w:val="87B54199"/>
    <w:lvl w:ilvl="0" w:tentative="0">
      <w:start w:val="12"/>
      <w:numFmt w:val="chineseCounting"/>
      <w:suff w:val="space"/>
      <w:lvlText w:val="%1."/>
      <w:lvlJc w:val="left"/>
      <w:rPr>
        <w:rFonts w:hint="eastAsia"/>
      </w:rPr>
    </w:lvl>
  </w:abstractNum>
  <w:abstractNum w:abstractNumId="2">
    <w:nsid w:val="B8206DBC"/>
    <w:multiLevelType w:val="singleLevel"/>
    <w:tmpl w:val="B8206DBC"/>
    <w:lvl w:ilvl="0" w:tentative="0">
      <w:start w:val="2"/>
      <w:numFmt w:val="chineseCounting"/>
      <w:suff w:val="space"/>
      <w:lvlText w:val="第%1部分"/>
      <w:lvlJc w:val="left"/>
      <w:rPr>
        <w:rFonts w:hint="eastAsia"/>
      </w:rPr>
    </w:lvl>
  </w:abstractNum>
  <w:abstractNum w:abstractNumId="3">
    <w:nsid w:val="D070E3FC"/>
    <w:multiLevelType w:val="singleLevel"/>
    <w:tmpl w:val="D070E3FC"/>
    <w:lvl w:ilvl="0" w:tentative="0">
      <w:start w:val="3"/>
      <w:numFmt w:val="decimal"/>
      <w:suff w:val="nothing"/>
      <w:lvlText w:val="%1、"/>
      <w:lvlJc w:val="left"/>
    </w:lvl>
  </w:abstractNum>
  <w:abstractNum w:abstractNumId="4">
    <w:nsid w:val="E23E913E"/>
    <w:multiLevelType w:val="singleLevel"/>
    <w:tmpl w:val="E23E913E"/>
    <w:lvl w:ilvl="0" w:tentative="0">
      <w:start w:val="1"/>
      <w:numFmt w:val="chineseCounting"/>
      <w:suff w:val="nothing"/>
      <w:lvlText w:val="%1、"/>
      <w:lvlJc w:val="left"/>
      <w:pPr>
        <w:ind w:left="525" w:firstLine="0"/>
      </w:pPr>
      <w:rPr>
        <w:rFonts w:hint="eastAsia"/>
      </w:rPr>
    </w:lvl>
  </w:abstractNum>
  <w:abstractNum w:abstractNumId="5">
    <w:nsid w:val="E48F846A"/>
    <w:multiLevelType w:val="singleLevel"/>
    <w:tmpl w:val="E48F846A"/>
    <w:lvl w:ilvl="0" w:tentative="0">
      <w:start w:val="1"/>
      <w:numFmt w:val="chineseCounting"/>
      <w:suff w:val="space"/>
      <w:lvlText w:val="第%1部分"/>
      <w:lvlJc w:val="left"/>
      <w:rPr>
        <w:rFonts w:hint="eastAsia"/>
        <w:b w:val="0"/>
        <w:bCs w:val="0"/>
      </w:rPr>
    </w:lvl>
  </w:abstractNum>
  <w:abstractNum w:abstractNumId="6">
    <w:nsid w:val="16E945AC"/>
    <w:multiLevelType w:val="singleLevel"/>
    <w:tmpl w:val="16E945AC"/>
    <w:lvl w:ilvl="0" w:tentative="0">
      <w:start w:val="1"/>
      <w:numFmt w:val="decimal"/>
      <w:suff w:val="nothing"/>
      <w:lvlText w:val="%1、"/>
      <w:lvlJc w:val="left"/>
    </w:lvl>
  </w:abstractNum>
  <w:abstractNum w:abstractNumId="7">
    <w:nsid w:val="282489CC"/>
    <w:multiLevelType w:val="singleLevel"/>
    <w:tmpl w:val="282489CC"/>
    <w:lvl w:ilvl="0" w:tentative="0">
      <w:start w:val="1"/>
      <w:numFmt w:val="decimal"/>
      <w:suff w:val="nothing"/>
      <w:lvlText w:val="%1、"/>
      <w:lvlJc w:val="left"/>
    </w:lvl>
  </w:abstractNum>
  <w:abstractNum w:abstractNumId="8">
    <w:nsid w:val="5FE6558A"/>
    <w:multiLevelType w:val="singleLevel"/>
    <w:tmpl w:val="5FE6558A"/>
    <w:lvl w:ilvl="0" w:tentative="0">
      <w:start w:val="1"/>
      <w:numFmt w:val="decimal"/>
      <w:suff w:val="nothing"/>
      <w:lvlText w:val="%1、"/>
      <w:lvlJc w:val="left"/>
    </w:lvl>
  </w:abstractNum>
  <w:num w:numId="1">
    <w:abstractNumId w:val="3"/>
  </w:num>
  <w:num w:numId="2">
    <w:abstractNumId w:val="7"/>
  </w:num>
  <w:num w:numId="3">
    <w:abstractNumId w:val="5"/>
  </w:num>
  <w:num w:numId="4">
    <w:abstractNumId w:val="2"/>
  </w:num>
  <w:num w:numId="5">
    <w:abstractNumId w:val="0"/>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xNjFmZTA4ZDUwN2Q5NDEwNjcwZjQ2Nzc0NjNkOWQifQ=="/>
  </w:docVars>
  <w:rsids>
    <w:rsidRoot w:val="748B5574"/>
    <w:rsid w:val="00004AED"/>
    <w:rsid w:val="000219AD"/>
    <w:rsid w:val="00035D80"/>
    <w:rsid w:val="0005140F"/>
    <w:rsid w:val="00064907"/>
    <w:rsid w:val="00080FB8"/>
    <w:rsid w:val="000821A6"/>
    <w:rsid w:val="0008680F"/>
    <w:rsid w:val="00097FFE"/>
    <w:rsid w:val="000B18EE"/>
    <w:rsid w:val="000B2153"/>
    <w:rsid w:val="000B732F"/>
    <w:rsid w:val="000C7589"/>
    <w:rsid w:val="000E1B69"/>
    <w:rsid w:val="000E58F2"/>
    <w:rsid w:val="000F18F7"/>
    <w:rsid w:val="000F74CE"/>
    <w:rsid w:val="00111028"/>
    <w:rsid w:val="00113D19"/>
    <w:rsid w:val="001357B2"/>
    <w:rsid w:val="001549A5"/>
    <w:rsid w:val="00157A6A"/>
    <w:rsid w:val="00185F57"/>
    <w:rsid w:val="001A63E9"/>
    <w:rsid w:val="001B2A77"/>
    <w:rsid w:val="001B44F8"/>
    <w:rsid w:val="001B5ABA"/>
    <w:rsid w:val="001B674E"/>
    <w:rsid w:val="001D4173"/>
    <w:rsid w:val="0020410A"/>
    <w:rsid w:val="0020554A"/>
    <w:rsid w:val="002062B6"/>
    <w:rsid w:val="00207840"/>
    <w:rsid w:val="00273E88"/>
    <w:rsid w:val="00281D52"/>
    <w:rsid w:val="002B302D"/>
    <w:rsid w:val="002C488F"/>
    <w:rsid w:val="002C511F"/>
    <w:rsid w:val="002C573A"/>
    <w:rsid w:val="002D3CDD"/>
    <w:rsid w:val="002D63EE"/>
    <w:rsid w:val="002E191B"/>
    <w:rsid w:val="0030377B"/>
    <w:rsid w:val="003109DD"/>
    <w:rsid w:val="00315DB6"/>
    <w:rsid w:val="00317EF1"/>
    <w:rsid w:val="003271A9"/>
    <w:rsid w:val="00334BE8"/>
    <w:rsid w:val="00335B22"/>
    <w:rsid w:val="00342E79"/>
    <w:rsid w:val="003616DA"/>
    <w:rsid w:val="003665F5"/>
    <w:rsid w:val="00387F0F"/>
    <w:rsid w:val="003971A3"/>
    <w:rsid w:val="003976DE"/>
    <w:rsid w:val="003D0DE2"/>
    <w:rsid w:val="003E3D58"/>
    <w:rsid w:val="003F2CA0"/>
    <w:rsid w:val="003F5D18"/>
    <w:rsid w:val="0040654B"/>
    <w:rsid w:val="004246CA"/>
    <w:rsid w:val="00463A4E"/>
    <w:rsid w:val="00485754"/>
    <w:rsid w:val="004A48C2"/>
    <w:rsid w:val="004C00E3"/>
    <w:rsid w:val="004D2947"/>
    <w:rsid w:val="004D3AFC"/>
    <w:rsid w:val="004D5890"/>
    <w:rsid w:val="004E0B5B"/>
    <w:rsid w:val="005243DB"/>
    <w:rsid w:val="00535FCB"/>
    <w:rsid w:val="005404D7"/>
    <w:rsid w:val="005563D3"/>
    <w:rsid w:val="0056191C"/>
    <w:rsid w:val="00567B98"/>
    <w:rsid w:val="00575660"/>
    <w:rsid w:val="00597D74"/>
    <w:rsid w:val="005A12F9"/>
    <w:rsid w:val="005A66FE"/>
    <w:rsid w:val="005D0D34"/>
    <w:rsid w:val="0060314E"/>
    <w:rsid w:val="00633410"/>
    <w:rsid w:val="00633F32"/>
    <w:rsid w:val="00652F9C"/>
    <w:rsid w:val="00660581"/>
    <w:rsid w:val="00673196"/>
    <w:rsid w:val="00675306"/>
    <w:rsid w:val="00680478"/>
    <w:rsid w:val="006D2E58"/>
    <w:rsid w:val="006D34D1"/>
    <w:rsid w:val="007053B8"/>
    <w:rsid w:val="00727E41"/>
    <w:rsid w:val="007300BF"/>
    <w:rsid w:val="007359DF"/>
    <w:rsid w:val="007426B7"/>
    <w:rsid w:val="00744030"/>
    <w:rsid w:val="0075472C"/>
    <w:rsid w:val="0078523F"/>
    <w:rsid w:val="0079046F"/>
    <w:rsid w:val="00797A74"/>
    <w:rsid w:val="007A03AC"/>
    <w:rsid w:val="007A1580"/>
    <w:rsid w:val="007A58ED"/>
    <w:rsid w:val="007C5B8D"/>
    <w:rsid w:val="007D1986"/>
    <w:rsid w:val="007D37B9"/>
    <w:rsid w:val="007E31D4"/>
    <w:rsid w:val="008008B3"/>
    <w:rsid w:val="008114E7"/>
    <w:rsid w:val="00812F94"/>
    <w:rsid w:val="00816F22"/>
    <w:rsid w:val="00820642"/>
    <w:rsid w:val="008269D2"/>
    <w:rsid w:val="008317E8"/>
    <w:rsid w:val="008371CD"/>
    <w:rsid w:val="0085338B"/>
    <w:rsid w:val="0088465A"/>
    <w:rsid w:val="00885664"/>
    <w:rsid w:val="008861AD"/>
    <w:rsid w:val="008B2B2F"/>
    <w:rsid w:val="008C45B7"/>
    <w:rsid w:val="008F5D89"/>
    <w:rsid w:val="00900761"/>
    <w:rsid w:val="0091182D"/>
    <w:rsid w:val="00924445"/>
    <w:rsid w:val="00926D56"/>
    <w:rsid w:val="00931FE0"/>
    <w:rsid w:val="00942798"/>
    <w:rsid w:val="00943BA8"/>
    <w:rsid w:val="009509F8"/>
    <w:rsid w:val="00950B08"/>
    <w:rsid w:val="009562EE"/>
    <w:rsid w:val="00956994"/>
    <w:rsid w:val="009840D5"/>
    <w:rsid w:val="009A0373"/>
    <w:rsid w:val="009A1DF1"/>
    <w:rsid w:val="009D0EA8"/>
    <w:rsid w:val="009E7456"/>
    <w:rsid w:val="009F3428"/>
    <w:rsid w:val="009F57F7"/>
    <w:rsid w:val="00A16655"/>
    <w:rsid w:val="00A201EB"/>
    <w:rsid w:val="00A23BCB"/>
    <w:rsid w:val="00A257BE"/>
    <w:rsid w:val="00A3102C"/>
    <w:rsid w:val="00A44F26"/>
    <w:rsid w:val="00A648D6"/>
    <w:rsid w:val="00A65829"/>
    <w:rsid w:val="00A672AB"/>
    <w:rsid w:val="00A779C9"/>
    <w:rsid w:val="00A80516"/>
    <w:rsid w:val="00A92686"/>
    <w:rsid w:val="00A93E09"/>
    <w:rsid w:val="00AC526E"/>
    <w:rsid w:val="00AD52C4"/>
    <w:rsid w:val="00AF265B"/>
    <w:rsid w:val="00AF4854"/>
    <w:rsid w:val="00B036FC"/>
    <w:rsid w:val="00B302FF"/>
    <w:rsid w:val="00B35245"/>
    <w:rsid w:val="00B44B01"/>
    <w:rsid w:val="00B52FB9"/>
    <w:rsid w:val="00B55E18"/>
    <w:rsid w:val="00B678EB"/>
    <w:rsid w:val="00B75370"/>
    <w:rsid w:val="00BA6DB6"/>
    <w:rsid w:val="00BA767C"/>
    <w:rsid w:val="00BB4500"/>
    <w:rsid w:val="00BB690E"/>
    <w:rsid w:val="00BC07EE"/>
    <w:rsid w:val="00BC0EE0"/>
    <w:rsid w:val="00BD1732"/>
    <w:rsid w:val="00BD5F89"/>
    <w:rsid w:val="00BE1162"/>
    <w:rsid w:val="00BE2A17"/>
    <w:rsid w:val="00C0647D"/>
    <w:rsid w:val="00C10F82"/>
    <w:rsid w:val="00C17B02"/>
    <w:rsid w:val="00C2167D"/>
    <w:rsid w:val="00C225D8"/>
    <w:rsid w:val="00C3000B"/>
    <w:rsid w:val="00C31EF4"/>
    <w:rsid w:val="00C34C8A"/>
    <w:rsid w:val="00C5567A"/>
    <w:rsid w:val="00C92F2D"/>
    <w:rsid w:val="00CB2EA1"/>
    <w:rsid w:val="00CC65FC"/>
    <w:rsid w:val="00CE444E"/>
    <w:rsid w:val="00CF0A0D"/>
    <w:rsid w:val="00CF2882"/>
    <w:rsid w:val="00D328D1"/>
    <w:rsid w:val="00D50345"/>
    <w:rsid w:val="00D571BE"/>
    <w:rsid w:val="00D64BEC"/>
    <w:rsid w:val="00D6585A"/>
    <w:rsid w:val="00D94CA1"/>
    <w:rsid w:val="00D94E89"/>
    <w:rsid w:val="00D977FA"/>
    <w:rsid w:val="00DA5FA6"/>
    <w:rsid w:val="00DA6C71"/>
    <w:rsid w:val="00DC38E6"/>
    <w:rsid w:val="00DD2FC0"/>
    <w:rsid w:val="00DD4236"/>
    <w:rsid w:val="00DD49BB"/>
    <w:rsid w:val="00DE11F5"/>
    <w:rsid w:val="00E16D8C"/>
    <w:rsid w:val="00E26858"/>
    <w:rsid w:val="00E52035"/>
    <w:rsid w:val="00E67F28"/>
    <w:rsid w:val="00E73006"/>
    <w:rsid w:val="00E76686"/>
    <w:rsid w:val="00E91196"/>
    <w:rsid w:val="00E93E16"/>
    <w:rsid w:val="00EB4B9E"/>
    <w:rsid w:val="00ED4F9F"/>
    <w:rsid w:val="00ED6566"/>
    <w:rsid w:val="00ED6CC2"/>
    <w:rsid w:val="00EF0A95"/>
    <w:rsid w:val="00EF5EAF"/>
    <w:rsid w:val="00F02B69"/>
    <w:rsid w:val="00F319D4"/>
    <w:rsid w:val="00F3519F"/>
    <w:rsid w:val="00F52512"/>
    <w:rsid w:val="00F55341"/>
    <w:rsid w:val="00F67E25"/>
    <w:rsid w:val="00F82B86"/>
    <w:rsid w:val="00F82C8F"/>
    <w:rsid w:val="00F84811"/>
    <w:rsid w:val="00F91F96"/>
    <w:rsid w:val="00FA75F2"/>
    <w:rsid w:val="00FC2FA8"/>
    <w:rsid w:val="00FD14EF"/>
    <w:rsid w:val="00FD1ED2"/>
    <w:rsid w:val="00FD3EDA"/>
    <w:rsid w:val="00FF60DF"/>
    <w:rsid w:val="01264F70"/>
    <w:rsid w:val="01437C9C"/>
    <w:rsid w:val="017468FC"/>
    <w:rsid w:val="023870D5"/>
    <w:rsid w:val="02775E4F"/>
    <w:rsid w:val="02A36C44"/>
    <w:rsid w:val="02BE3A7E"/>
    <w:rsid w:val="02C154D6"/>
    <w:rsid w:val="02C57C70"/>
    <w:rsid w:val="030B2A3C"/>
    <w:rsid w:val="03224796"/>
    <w:rsid w:val="038B1487"/>
    <w:rsid w:val="042E0790"/>
    <w:rsid w:val="045A1E78"/>
    <w:rsid w:val="0544184A"/>
    <w:rsid w:val="05A56D05"/>
    <w:rsid w:val="05FD48BE"/>
    <w:rsid w:val="06175254"/>
    <w:rsid w:val="074E526F"/>
    <w:rsid w:val="07A5520D"/>
    <w:rsid w:val="07F06F31"/>
    <w:rsid w:val="083B347B"/>
    <w:rsid w:val="086C7AD9"/>
    <w:rsid w:val="087B32CA"/>
    <w:rsid w:val="08867D7A"/>
    <w:rsid w:val="08B24906"/>
    <w:rsid w:val="093323A4"/>
    <w:rsid w:val="0A243521"/>
    <w:rsid w:val="0A7B4003"/>
    <w:rsid w:val="0B725F69"/>
    <w:rsid w:val="0C8A49D1"/>
    <w:rsid w:val="0CA3638A"/>
    <w:rsid w:val="0CAC0DEC"/>
    <w:rsid w:val="0D4D0D34"/>
    <w:rsid w:val="0D5648B3"/>
    <w:rsid w:val="0D5B032D"/>
    <w:rsid w:val="0D705975"/>
    <w:rsid w:val="0E972CD7"/>
    <w:rsid w:val="0EC216F0"/>
    <w:rsid w:val="0ED31F30"/>
    <w:rsid w:val="0F087E2F"/>
    <w:rsid w:val="0F144A26"/>
    <w:rsid w:val="0F2509CA"/>
    <w:rsid w:val="0FCC240F"/>
    <w:rsid w:val="1034712E"/>
    <w:rsid w:val="104E0E73"/>
    <w:rsid w:val="106935D0"/>
    <w:rsid w:val="10DA6A96"/>
    <w:rsid w:val="10EC7BDB"/>
    <w:rsid w:val="11B5604C"/>
    <w:rsid w:val="11E15B8A"/>
    <w:rsid w:val="11E56582"/>
    <w:rsid w:val="11EC785A"/>
    <w:rsid w:val="12072620"/>
    <w:rsid w:val="121511E1"/>
    <w:rsid w:val="125F149F"/>
    <w:rsid w:val="13394A5B"/>
    <w:rsid w:val="135A4867"/>
    <w:rsid w:val="141A24AA"/>
    <w:rsid w:val="142D3B72"/>
    <w:rsid w:val="147307B8"/>
    <w:rsid w:val="14B00D4D"/>
    <w:rsid w:val="14D8469C"/>
    <w:rsid w:val="15000D6C"/>
    <w:rsid w:val="15076514"/>
    <w:rsid w:val="154A4485"/>
    <w:rsid w:val="15D90AF3"/>
    <w:rsid w:val="165B47AF"/>
    <w:rsid w:val="16662142"/>
    <w:rsid w:val="16F2564D"/>
    <w:rsid w:val="179C573F"/>
    <w:rsid w:val="17EA0A1A"/>
    <w:rsid w:val="184B14B9"/>
    <w:rsid w:val="18702CCD"/>
    <w:rsid w:val="19AB7F01"/>
    <w:rsid w:val="1A82124F"/>
    <w:rsid w:val="1B495A57"/>
    <w:rsid w:val="1C4A5F2B"/>
    <w:rsid w:val="1CAB73AE"/>
    <w:rsid w:val="1CC50B01"/>
    <w:rsid w:val="1CE75528"/>
    <w:rsid w:val="1D2547F1"/>
    <w:rsid w:val="1DC8415C"/>
    <w:rsid w:val="1DED4DC0"/>
    <w:rsid w:val="1E5B0EB4"/>
    <w:rsid w:val="1E945438"/>
    <w:rsid w:val="1E9F5123"/>
    <w:rsid w:val="1F1D7927"/>
    <w:rsid w:val="202F346E"/>
    <w:rsid w:val="220628F4"/>
    <w:rsid w:val="22080C80"/>
    <w:rsid w:val="22AD2D70"/>
    <w:rsid w:val="2355143D"/>
    <w:rsid w:val="23716BDD"/>
    <w:rsid w:val="2432085F"/>
    <w:rsid w:val="245065D5"/>
    <w:rsid w:val="25237319"/>
    <w:rsid w:val="25B629DE"/>
    <w:rsid w:val="25C41613"/>
    <w:rsid w:val="26215F4F"/>
    <w:rsid w:val="265267D7"/>
    <w:rsid w:val="26D11221"/>
    <w:rsid w:val="27F82CDF"/>
    <w:rsid w:val="286E29F4"/>
    <w:rsid w:val="28D34CE1"/>
    <w:rsid w:val="29654D2F"/>
    <w:rsid w:val="296A5517"/>
    <w:rsid w:val="29E35EDF"/>
    <w:rsid w:val="29F47AC1"/>
    <w:rsid w:val="2A703001"/>
    <w:rsid w:val="2AF7102C"/>
    <w:rsid w:val="2BAB4F30"/>
    <w:rsid w:val="2C1B3732"/>
    <w:rsid w:val="2D4B38B1"/>
    <w:rsid w:val="2DDD481F"/>
    <w:rsid w:val="2DEA131C"/>
    <w:rsid w:val="2EA13929"/>
    <w:rsid w:val="2ECE52A9"/>
    <w:rsid w:val="2F487956"/>
    <w:rsid w:val="2F8E3B91"/>
    <w:rsid w:val="309D4424"/>
    <w:rsid w:val="30B31E99"/>
    <w:rsid w:val="313A6116"/>
    <w:rsid w:val="317E24A7"/>
    <w:rsid w:val="31AB2B70"/>
    <w:rsid w:val="32145C5B"/>
    <w:rsid w:val="33686F6B"/>
    <w:rsid w:val="337376BE"/>
    <w:rsid w:val="339B284D"/>
    <w:rsid w:val="33BB0DD6"/>
    <w:rsid w:val="3478011E"/>
    <w:rsid w:val="34F518C3"/>
    <w:rsid w:val="35B04BF9"/>
    <w:rsid w:val="36FD79CA"/>
    <w:rsid w:val="37533A8E"/>
    <w:rsid w:val="379508A6"/>
    <w:rsid w:val="382E67DC"/>
    <w:rsid w:val="38520284"/>
    <w:rsid w:val="38B6444F"/>
    <w:rsid w:val="38B90269"/>
    <w:rsid w:val="3950297B"/>
    <w:rsid w:val="395A1104"/>
    <w:rsid w:val="3A4470E2"/>
    <w:rsid w:val="3AB111F7"/>
    <w:rsid w:val="3B102E3D"/>
    <w:rsid w:val="3B1A40FD"/>
    <w:rsid w:val="3B6A44C3"/>
    <w:rsid w:val="3BB72291"/>
    <w:rsid w:val="3C08753D"/>
    <w:rsid w:val="3CB160DD"/>
    <w:rsid w:val="3E2F09E5"/>
    <w:rsid w:val="3E886713"/>
    <w:rsid w:val="3F277CDA"/>
    <w:rsid w:val="3F3146B5"/>
    <w:rsid w:val="3F717B95"/>
    <w:rsid w:val="404B79F8"/>
    <w:rsid w:val="40E34D35"/>
    <w:rsid w:val="40EE20C5"/>
    <w:rsid w:val="415077B3"/>
    <w:rsid w:val="41566655"/>
    <w:rsid w:val="419453CF"/>
    <w:rsid w:val="42086201"/>
    <w:rsid w:val="42136F01"/>
    <w:rsid w:val="423F64BD"/>
    <w:rsid w:val="42682DE7"/>
    <w:rsid w:val="4269060A"/>
    <w:rsid w:val="42985759"/>
    <w:rsid w:val="42D769E9"/>
    <w:rsid w:val="445350CD"/>
    <w:rsid w:val="446E63AB"/>
    <w:rsid w:val="44D77AAC"/>
    <w:rsid w:val="44E30949"/>
    <w:rsid w:val="45412714"/>
    <w:rsid w:val="4607616F"/>
    <w:rsid w:val="462443E2"/>
    <w:rsid w:val="47637D1D"/>
    <w:rsid w:val="47DA71B8"/>
    <w:rsid w:val="48142DC6"/>
    <w:rsid w:val="48A759E8"/>
    <w:rsid w:val="492F6D49"/>
    <w:rsid w:val="49744407"/>
    <w:rsid w:val="49B8603F"/>
    <w:rsid w:val="49BA6D38"/>
    <w:rsid w:val="4AA3643F"/>
    <w:rsid w:val="4C51330E"/>
    <w:rsid w:val="4C6C55F2"/>
    <w:rsid w:val="4D0C49B3"/>
    <w:rsid w:val="4DBA1964"/>
    <w:rsid w:val="4E9F6505"/>
    <w:rsid w:val="4ED5067D"/>
    <w:rsid w:val="4F934FCA"/>
    <w:rsid w:val="4FC357FD"/>
    <w:rsid w:val="4FE974BD"/>
    <w:rsid w:val="503E3B83"/>
    <w:rsid w:val="51165E00"/>
    <w:rsid w:val="51586419"/>
    <w:rsid w:val="519F5DF6"/>
    <w:rsid w:val="51F577C4"/>
    <w:rsid w:val="538C0837"/>
    <w:rsid w:val="547846DC"/>
    <w:rsid w:val="54C6369A"/>
    <w:rsid w:val="54E029AD"/>
    <w:rsid w:val="54E57FC4"/>
    <w:rsid w:val="54FC6634"/>
    <w:rsid w:val="553A2CA1"/>
    <w:rsid w:val="555A14B3"/>
    <w:rsid w:val="556F4202"/>
    <w:rsid w:val="5697353F"/>
    <w:rsid w:val="56AB2E5F"/>
    <w:rsid w:val="57EF59A3"/>
    <w:rsid w:val="581F37ED"/>
    <w:rsid w:val="583829FC"/>
    <w:rsid w:val="58807F2D"/>
    <w:rsid w:val="58A77FC3"/>
    <w:rsid w:val="59360B38"/>
    <w:rsid w:val="593E7CA2"/>
    <w:rsid w:val="596C0CB3"/>
    <w:rsid w:val="59AD2D8B"/>
    <w:rsid w:val="5A1629CD"/>
    <w:rsid w:val="5B4D345E"/>
    <w:rsid w:val="5B871DD5"/>
    <w:rsid w:val="5B917C3D"/>
    <w:rsid w:val="5BAB142D"/>
    <w:rsid w:val="5C645C72"/>
    <w:rsid w:val="5CC02A08"/>
    <w:rsid w:val="5D301FF8"/>
    <w:rsid w:val="5EA14BF5"/>
    <w:rsid w:val="608C39E9"/>
    <w:rsid w:val="611F1A53"/>
    <w:rsid w:val="62190688"/>
    <w:rsid w:val="637413C6"/>
    <w:rsid w:val="6395290E"/>
    <w:rsid w:val="63A6660B"/>
    <w:rsid w:val="644C3BBB"/>
    <w:rsid w:val="64E672C2"/>
    <w:rsid w:val="66C043ED"/>
    <w:rsid w:val="66D439F4"/>
    <w:rsid w:val="676C3E30"/>
    <w:rsid w:val="68237191"/>
    <w:rsid w:val="688C26E5"/>
    <w:rsid w:val="690A7BA1"/>
    <w:rsid w:val="694766FF"/>
    <w:rsid w:val="6961756C"/>
    <w:rsid w:val="6A42336B"/>
    <w:rsid w:val="6A893059"/>
    <w:rsid w:val="6A94006A"/>
    <w:rsid w:val="6AAE7672"/>
    <w:rsid w:val="6B013226"/>
    <w:rsid w:val="6B564A55"/>
    <w:rsid w:val="6BF3491C"/>
    <w:rsid w:val="6C327B3B"/>
    <w:rsid w:val="6C420F1F"/>
    <w:rsid w:val="6D8F2D6B"/>
    <w:rsid w:val="6DDE18C1"/>
    <w:rsid w:val="6E6326D4"/>
    <w:rsid w:val="6F1129A8"/>
    <w:rsid w:val="6F1A48B6"/>
    <w:rsid w:val="6FA80114"/>
    <w:rsid w:val="71573B9F"/>
    <w:rsid w:val="71CD79BE"/>
    <w:rsid w:val="71DC48C4"/>
    <w:rsid w:val="71E957AE"/>
    <w:rsid w:val="72D0088C"/>
    <w:rsid w:val="72F53670"/>
    <w:rsid w:val="735F6D3B"/>
    <w:rsid w:val="737F2DBB"/>
    <w:rsid w:val="73AA6208"/>
    <w:rsid w:val="73F43927"/>
    <w:rsid w:val="742F6AF6"/>
    <w:rsid w:val="74307AE6"/>
    <w:rsid w:val="744972D2"/>
    <w:rsid w:val="74745BFC"/>
    <w:rsid w:val="748B5574"/>
    <w:rsid w:val="74BF03A7"/>
    <w:rsid w:val="75551397"/>
    <w:rsid w:val="762B540C"/>
    <w:rsid w:val="769E5DCD"/>
    <w:rsid w:val="782C46BF"/>
    <w:rsid w:val="78882AE5"/>
    <w:rsid w:val="78BC17EA"/>
    <w:rsid w:val="79462067"/>
    <w:rsid w:val="79F84CED"/>
    <w:rsid w:val="7A884DCA"/>
    <w:rsid w:val="7A940B75"/>
    <w:rsid w:val="7A9419C0"/>
    <w:rsid w:val="7B1962DE"/>
    <w:rsid w:val="7B32404B"/>
    <w:rsid w:val="7C3F3BAE"/>
    <w:rsid w:val="7CA1149C"/>
    <w:rsid w:val="7EF939F5"/>
    <w:rsid w:val="7FA93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0"/>
    <w:pPr>
      <w:keepNext/>
      <w:keepLines/>
      <w:spacing w:before="340" w:after="330" w:line="576" w:lineRule="auto"/>
      <w:jc w:val="center"/>
      <w:outlineLvl w:val="0"/>
    </w:pPr>
    <w:rPr>
      <w:b/>
      <w:bCs/>
      <w:kern w:val="44"/>
      <w:sz w:val="44"/>
      <w:szCs w:val="44"/>
    </w:rPr>
  </w:style>
  <w:style w:type="paragraph" w:styleId="7">
    <w:name w:val="heading 2"/>
    <w:basedOn w:val="1"/>
    <w:next w:val="5"/>
    <w:link w:val="43"/>
    <w:autoRedefine/>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autoRedefine/>
    <w:qFormat/>
    <w:uiPriority w:val="99"/>
    <w:pPr>
      <w:keepNext/>
      <w:keepLines/>
      <w:spacing w:before="20" w:after="20" w:line="415" w:lineRule="auto"/>
      <w:ind w:firstLine="137" w:firstLineChars="49"/>
      <w:outlineLvl w:val="2"/>
    </w:pPr>
    <w:rPr>
      <w:rFonts w:hAnsi="黑体" w:eastAsia="黑体"/>
      <w:sz w:val="24"/>
      <w:szCs w:val="20"/>
    </w:rPr>
  </w:style>
  <w:style w:type="paragraph" w:styleId="9">
    <w:name w:val="heading 6"/>
    <w:basedOn w:val="1"/>
    <w:next w:val="1"/>
    <w:link w:val="48"/>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0"/>
    <w:pPr>
      <w:spacing w:line="240" w:lineRule="auto"/>
      <w:ind w:left="420" w:leftChars="200" w:firstLine="200" w:firstLineChars="200"/>
    </w:pPr>
    <w:rPr>
      <w:rFonts w:ascii="仿宋_GB2312" w:eastAsia="仿宋_GB2312"/>
    </w:rPr>
  </w:style>
  <w:style w:type="paragraph" w:styleId="3">
    <w:name w:val="Body Text Indent"/>
    <w:basedOn w:val="1"/>
    <w:next w:val="4"/>
    <w:qFormat/>
    <w:uiPriority w:val="0"/>
    <w:pPr>
      <w:spacing w:line="360" w:lineRule="auto"/>
      <w:ind w:firstLine="420"/>
    </w:pPr>
    <w:rPr>
      <w:rFonts w:ascii="宋体"/>
      <w:sz w:val="24"/>
      <w:szCs w:val="20"/>
    </w:rPr>
  </w:style>
  <w:style w:type="paragraph" w:styleId="4">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5">
    <w:name w:val="Normal Indent"/>
    <w:basedOn w:val="1"/>
    <w:link w:val="49"/>
    <w:autoRedefine/>
    <w:qFormat/>
    <w:uiPriority w:val="0"/>
    <w:pPr>
      <w:ind w:firstLine="420"/>
    </w:pPr>
    <w:rPr>
      <w:b/>
      <w:sz w:val="24"/>
      <w:szCs w:val="20"/>
    </w:rPr>
  </w:style>
  <w:style w:type="paragraph" w:styleId="10">
    <w:name w:val="annotation text"/>
    <w:basedOn w:val="1"/>
    <w:autoRedefine/>
    <w:qFormat/>
    <w:uiPriority w:val="0"/>
    <w:pPr>
      <w:jc w:val="left"/>
    </w:pPr>
  </w:style>
  <w:style w:type="paragraph" w:styleId="11">
    <w:name w:val="Body Text"/>
    <w:basedOn w:val="1"/>
    <w:autoRedefine/>
    <w:qFormat/>
    <w:uiPriority w:val="0"/>
    <w:pPr>
      <w:spacing w:after="120"/>
    </w:pPr>
  </w:style>
  <w:style w:type="paragraph" w:styleId="12">
    <w:name w:val="Block Text"/>
    <w:basedOn w:val="1"/>
    <w:autoRedefine/>
    <w:qFormat/>
    <w:uiPriority w:val="0"/>
    <w:pPr>
      <w:adjustRightInd w:val="0"/>
      <w:ind w:left="420" w:right="33"/>
      <w:jc w:val="left"/>
      <w:textAlignment w:val="baseline"/>
    </w:pPr>
    <w:rPr>
      <w:sz w:val="24"/>
      <w:szCs w:val="24"/>
    </w:rPr>
  </w:style>
  <w:style w:type="paragraph" w:styleId="13">
    <w:name w:val="Plain Text"/>
    <w:basedOn w:val="1"/>
    <w:link w:val="50"/>
    <w:autoRedefine/>
    <w:qFormat/>
    <w:uiPriority w:val="99"/>
    <w:rPr>
      <w:rFonts w:ascii="宋体" w:hAnsi="Courier New"/>
      <w:sz w:val="28"/>
      <w:szCs w:val="20"/>
    </w:rPr>
  </w:style>
  <w:style w:type="paragraph" w:styleId="14">
    <w:name w:val="Balloon Text"/>
    <w:basedOn w:val="1"/>
    <w:link w:val="47"/>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sz w:val="18"/>
      <w:szCs w:val="20"/>
    </w:rPr>
  </w:style>
  <w:style w:type="paragraph" w:styleId="16">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index 1"/>
    <w:basedOn w:val="1"/>
    <w:next w:val="1"/>
    <w:autoRedefine/>
    <w:qFormat/>
    <w:uiPriority w:val="0"/>
    <w:pPr>
      <w:ind w:left="210" w:hanging="210"/>
      <w:jc w:val="left"/>
    </w:pPr>
    <w:rPr>
      <w:szCs w:val="21"/>
    </w:rPr>
  </w:style>
  <w:style w:type="paragraph" w:styleId="19">
    <w:name w:val="Body Text First Indent"/>
    <w:basedOn w:val="11"/>
    <w:autoRedefine/>
    <w:unhideWhenUsed/>
    <w:qFormat/>
    <w:uiPriority w:val="99"/>
    <w:pPr>
      <w:ind w:firstLine="420" w:firstLineChars="1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FollowedHyperlink"/>
    <w:basedOn w:val="22"/>
    <w:uiPriority w:val="0"/>
    <w:rPr>
      <w:color w:val="800080"/>
      <w:u w:val="none"/>
    </w:rPr>
  </w:style>
  <w:style w:type="character" w:styleId="25">
    <w:name w:val="Emphasis"/>
    <w:basedOn w:val="22"/>
    <w:qFormat/>
    <w:uiPriority w:val="0"/>
    <w:rPr>
      <w:b/>
      <w:bCs/>
    </w:rPr>
  </w:style>
  <w:style w:type="character" w:styleId="26">
    <w:name w:val="HTML Definition"/>
    <w:basedOn w:val="22"/>
    <w:uiPriority w:val="0"/>
  </w:style>
  <w:style w:type="character" w:styleId="27">
    <w:name w:val="HTML Typewriter"/>
    <w:basedOn w:val="22"/>
    <w:uiPriority w:val="0"/>
    <w:rPr>
      <w:rFonts w:ascii="monospace" w:hAnsi="monospace" w:eastAsia="monospace" w:cs="monospace"/>
      <w:sz w:val="20"/>
    </w:rPr>
  </w:style>
  <w:style w:type="character" w:styleId="28">
    <w:name w:val="HTML Acronym"/>
    <w:basedOn w:val="22"/>
    <w:uiPriority w:val="0"/>
  </w:style>
  <w:style w:type="character" w:styleId="29">
    <w:name w:val="HTML Variable"/>
    <w:basedOn w:val="22"/>
    <w:uiPriority w:val="0"/>
  </w:style>
  <w:style w:type="character" w:styleId="30">
    <w:name w:val="Hyperlink"/>
    <w:autoRedefine/>
    <w:qFormat/>
    <w:uiPriority w:val="99"/>
    <w:rPr>
      <w:color w:val="0000FF"/>
      <w:u w:val="none"/>
    </w:rPr>
  </w:style>
  <w:style w:type="character" w:styleId="31">
    <w:name w:val="HTML Code"/>
    <w:basedOn w:val="22"/>
    <w:uiPriority w:val="0"/>
    <w:rPr>
      <w:rFonts w:hint="default" w:ascii="monospace" w:hAnsi="monospace" w:eastAsia="monospace" w:cs="monospace"/>
      <w:sz w:val="20"/>
    </w:rPr>
  </w:style>
  <w:style w:type="character" w:styleId="32">
    <w:name w:val="annotation reference"/>
    <w:basedOn w:val="22"/>
    <w:autoRedefine/>
    <w:qFormat/>
    <w:uiPriority w:val="0"/>
    <w:rPr>
      <w:sz w:val="21"/>
      <w:szCs w:val="21"/>
    </w:rPr>
  </w:style>
  <w:style w:type="character" w:styleId="33">
    <w:name w:val="HTML Cite"/>
    <w:basedOn w:val="22"/>
    <w:uiPriority w:val="0"/>
  </w:style>
  <w:style w:type="character" w:styleId="34">
    <w:name w:val="HTML Keyboard"/>
    <w:basedOn w:val="22"/>
    <w:uiPriority w:val="0"/>
    <w:rPr>
      <w:rFonts w:hint="default" w:ascii="monospace" w:hAnsi="monospace" w:eastAsia="monospace" w:cs="monospace"/>
      <w:sz w:val="20"/>
    </w:rPr>
  </w:style>
  <w:style w:type="character" w:styleId="35">
    <w:name w:val="HTML Sample"/>
    <w:basedOn w:val="22"/>
    <w:uiPriority w:val="0"/>
    <w:rPr>
      <w:rFonts w:hint="default" w:ascii="monospace" w:hAnsi="monospace" w:eastAsia="monospace" w:cs="monospace"/>
    </w:rPr>
  </w:style>
  <w:style w:type="paragraph" w:customStyle="1" w:styleId="36">
    <w:name w:val="首行缩进"/>
    <w:basedOn w:val="1"/>
    <w:autoRedefine/>
    <w:qFormat/>
    <w:uiPriority w:val="0"/>
    <w:pPr>
      <w:spacing w:line="360" w:lineRule="auto"/>
      <w:ind w:firstLine="480" w:firstLineChars="200"/>
      <w:jc w:val="left"/>
    </w:pPr>
    <w:rPr>
      <w:rFonts w:ascii="宋体" w:hAnsi="宋体"/>
      <w:sz w:val="24"/>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customStyle="1" w:styleId="38">
    <w:name w:val="样式 标题 2 + 黑色 行距: 1.5 倍行距"/>
    <w:basedOn w:val="7"/>
    <w:autoRedefine/>
    <w:qFormat/>
    <w:uiPriority w:val="0"/>
    <w:pPr>
      <w:spacing w:line="360" w:lineRule="auto"/>
    </w:pPr>
    <w:rPr>
      <w:rFonts w:eastAsia="宋体" w:cs="宋体"/>
      <w:color w:val="000000"/>
    </w:rPr>
  </w:style>
  <w:style w:type="table" w:customStyle="1" w:styleId="39">
    <w:name w:val="Table Normal"/>
    <w:autoRedefine/>
    <w:unhideWhenUsed/>
    <w:qFormat/>
    <w:uiPriority w:val="0"/>
    <w:tblPr>
      <w:tblCellMar>
        <w:top w:w="0" w:type="dxa"/>
        <w:left w:w="0" w:type="dxa"/>
        <w:bottom w:w="0" w:type="dxa"/>
        <w:right w:w="0" w:type="dxa"/>
      </w:tblCellMar>
    </w:tblPr>
  </w:style>
  <w:style w:type="paragraph" w:customStyle="1" w:styleId="40">
    <w:name w:val="Body text|1"/>
    <w:basedOn w:val="1"/>
    <w:autoRedefine/>
    <w:qFormat/>
    <w:uiPriority w:val="0"/>
    <w:pPr>
      <w:spacing w:line="430" w:lineRule="auto"/>
      <w:ind w:firstLine="400"/>
    </w:pPr>
    <w:rPr>
      <w:rFonts w:ascii="宋体" w:hAnsi="宋体" w:cs="宋体"/>
      <w:sz w:val="20"/>
      <w:szCs w:val="20"/>
      <w:lang w:val="zh-TW" w:eastAsia="zh-TW" w:bidi="zh-TW"/>
    </w:rPr>
  </w:style>
  <w:style w:type="paragraph" w:customStyle="1" w:styleId="41">
    <w:name w:val="Table caption|1"/>
    <w:basedOn w:val="1"/>
    <w:autoRedefine/>
    <w:qFormat/>
    <w:uiPriority w:val="0"/>
    <w:pPr>
      <w:spacing w:line="442" w:lineRule="exact"/>
      <w:ind w:firstLine="440"/>
    </w:pPr>
    <w:rPr>
      <w:rFonts w:ascii="宋体" w:hAnsi="宋体" w:cs="宋体"/>
      <w:sz w:val="20"/>
      <w:szCs w:val="20"/>
      <w:lang w:val="zh-TW" w:eastAsia="zh-TW" w:bidi="zh-TW"/>
    </w:rPr>
  </w:style>
  <w:style w:type="paragraph" w:customStyle="1" w:styleId="42">
    <w:name w:val="Other|1"/>
    <w:basedOn w:val="1"/>
    <w:autoRedefine/>
    <w:qFormat/>
    <w:uiPriority w:val="0"/>
    <w:pPr>
      <w:jc w:val="center"/>
    </w:pPr>
    <w:rPr>
      <w:rFonts w:ascii="宋体" w:hAnsi="宋体" w:cs="宋体"/>
      <w:lang w:val="zh-TW" w:eastAsia="zh-TW" w:bidi="zh-TW"/>
    </w:rPr>
  </w:style>
  <w:style w:type="character" w:customStyle="1" w:styleId="43">
    <w:name w:val="标题 2 Char"/>
    <w:link w:val="7"/>
    <w:autoRedefine/>
    <w:qFormat/>
    <w:uiPriority w:val="0"/>
    <w:rPr>
      <w:rFonts w:ascii="Arial" w:hAnsi="Arial" w:eastAsia="黑体"/>
      <w:b/>
      <w:bCs/>
      <w:sz w:val="32"/>
      <w:szCs w:val="32"/>
    </w:rPr>
  </w:style>
  <w:style w:type="paragraph" w:customStyle="1" w:styleId="44">
    <w:name w:val="纯文本1"/>
    <w:basedOn w:val="1"/>
    <w:autoRedefine/>
    <w:qFormat/>
    <w:uiPriority w:val="0"/>
    <w:rPr>
      <w:rFonts w:ascii="宋体" w:hAnsi="Courier New"/>
      <w:sz w:val="28"/>
    </w:rPr>
  </w:style>
  <w:style w:type="paragraph" w:customStyle="1" w:styleId="45">
    <w:name w:val="普通(Web)4"/>
    <w:basedOn w:val="1"/>
    <w:autoRedefine/>
    <w:qFormat/>
    <w:uiPriority w:val="0"/>
    <w:pPr>
      <w:widowControl/>
      <w:spacing w:before="100" w:beforeAutospacing="1" w:after="100" w:afterAutospacing="1" w:line="375" w:lineRule="atLeast"/>
      <w:jc w:val="left"/>
    </w:pPr>
    <w:rPr>
      <w:rFonts w:ascii="ˎ̥" w:hAnsi="ˎ̥"/>
      <w:kern w:val="0"/>
      <w:sz w:val="24"/>
    </w:rPr>
  </w:style>
  <w:style w:type="paragraph" w:customStyle="1" w:styleId="46">
    <w:name w:val="中等深浅网格 1 - 强调文字颜色 21"/>
    <w:basedOn w:val="1"/>
    <w:autoRedefine/>
    <w:qFormat/>
    <w:uiPriority w:val="0"/>
    <w:pPr>
      <w:ind w:firstLine="420" w:firstLineChars="200"/>
    </w:pPr>
  </w:style>
  <w:style w:type="character" w:customStyle="1" w:styleId="47">
    <w:name w:val="批注框文本 Char"/>
    <w:basedOn w:val="22"/>
    <w:link w:val="14"/>
    <w:autoRedefine/>
    <w:qFormat/>
    <w:uiPriority w:val="0"/>
    <w:rPr>
      <w:kern w:val="2"/>
      <w:sz w:val="18"/>
      <w:szCs w:val="18"/>
    </w:rPr>
  </w:style>
  <w:style w:type="character" w:customStyle="1" w:styleId="48">
    <w:name w:val="标题 6 Char"/>
    <w:basedOn w:val="22"/>
    <w:link w:val="9"/>
    <w:autoRedefine/>
    <w:qFormat/>
    <w:uiPriority w:val="0"/>
    <w:rPr>
      <w:rFonts w:asciiTheme="majorHAnsi" w:hAnsiTheme="majorHAnsi" w:eastAsiaTheme="majorEastAsia" w:cstheme="majorBidi"/>
      <w:b/>
      <w:bCs/>
      <w:kern w:val="2"/>
      <w:sz w:val="24"/>
      <w:szCs w:val="24"/>
    </w:rPr>
  </w:style>
  <w:style w:type="character" w:customStyle="1" w:styleId="49">
    <w:name w:val="正文缩进 Char"/>
    <w:link w:val="5"/>
    <w:autoRedefine/>
    <w:qFormat/>
    <w:uiPriority w:val="0"/>
    <w:rPr>
      <w:b/>
      <w:kern w:val="2"/>
      <w:sz w:val="24"/>
    </w:rPr>
  </w:style>
  <w:style w:type="character" w:customStyle="1" w:styleId="50">
    <w:name w:val="纯文本 Char"/>
    <w:link w:val="13"/>
    <w:autoRedefine/>
    <w:qFormat/>
    <w:uiPriority w:val="99"/>
    <w:rPr>
      <w:rFonts w:ascii="宋体" w:hAnsi="Courier New"/>
      <w:kern w:val="2"/>
      <w:sz w:val="28"/>
    </w:rPr>
  </w:style>
  <w:style w:type="paragraph" w:customStyle="1" w:styleId="51">
    <w:name w:val="表格"/>
    <w:basedOn w:val="1"/>
    <w:autoRedefine/>
    <w:qFormat/>
    <w:uiPriority w:val="0"/>
    <w:pPr>
      <w:jc w:val="center"/>
      <w:textAlignment w:val="center"/>
    </w:pPr>
    <w:rPr>
      <w:rFonts w:ascii="华文细黑" w:hAnsi="华文细黑"/>
      <w:kern w:val="0"/>
    </w:rPr>
  </w:style>
  <w:style w:type="character" w:customStyle="1" w:styleId="52">
    <w:name w:val="NormalCharacter"/>
    <w:autoRedefine/>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26459</Words>
  <Characters>28924</Characters>
  <Lines>260</Lines>
  <Paragraphs>73</Paragraphs>
  <TotalTime>0</TotalTime>
  <ScaleCrop>false</ScaleCrop>
  <LinksUpToDate>false</LinksUpToDate>
  <CharactersWithSpaces>30907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2023-06-28T09:13:00Z</dcterms:created>
  <dc:creator>莉莉</dc:creator>
  <cp:lastModifiedBy>stx</cp:lastModifiedBy>
  <cp:lastPrinted>2024-05-28T02:13:00Z</cp:lastPrinted>
  <dcterms:modified xsi:type="dcterms:W3CDTF">2024-05-31T03:47:10Z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6A4131A9E9AB46E4B5B93DFAFC04C790</vt:lpwstr>
  </property>
</Properties>
</file>