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89"/>
        </w:tabs>
        <w:spacing w:line="360" w:lineRule="auto"/>
        <w:ind w:left="40"/>
        <w:jc w:val="center"/>
        <w:rPr>
          <w:rFonts w:hint="eastAsia"/>
          <w:b/>
          <w:color w:val="auto"/>
          <w:spacing w:val="-10"/>
          <w:sz w:val="36"/>
          <w:szCs w:val="48"/>
        </w:rPr>
      </w:pPr>
    </w:p>
    <w:p>
      <w:pPr>
        <w:pStyle w:val="6"/>
        <w:jc w:val="center"/>
        <w:rPr>
          <w:rFonts w:hint="eastAsia"/>
          <w:color w:val="auto"/>
          <w:sz w:val="32"/>
          <w:szCs w:val="24"/>
        </w:rPr>
      </w:pPr>
      <w:r>
        <w:rPr>
          <w:rFonts w:hint="eastAsia"/>
          <w:b/>
          <w:color w:val="auto"/>
          <w:spacing w:val="-10"/>
          <w:sz w:val="44"/>
          <w:szCs w:val="44"/>
          <w:lang w:eastAsia="zh-CN"/>
        </w:rPr>
        <w:t>2022年大丰区刘庄镇农村公路维修工程</w:t>
      </w:r>
    </w:p>
    <w:p>
      <w:pPr>
        <w:pStyle w:val="6"/>
        <w:rPr>
          <w:rFonts w:hint="eastAsia"/>
          <w:color w:val="auto"/>
          <w:sz w:val="30"/>
        </w:rPr>
      </w:pPr>
    </w:p>
    <w:p>
      <w:pPr>
        <w:pStyle w:val="6"/>
        <w:spacing w:before="7"/>
        <w:rPr>
          <w:rFonts w:hint="eastAsia"/>
          <w:color w:val="auto"/>
          <w:sz w:val="28"/>
        </w:rPr>
      </w:pPr>
    </w:p>
    <w:p>
      <w:pPr>
        <w:pStyle w:val="6"/>
        <w:spacing w:before="7"/>
        <w:rPr>
          <w:rFonts w:hint="eastAsia"/>
          <w:color w:val="auto"/>
          <w:sz w:val="28"/>
        </w:rPr>
      </w:pPr>
    </w:p>
    <w:p>
      <w:pPr>
        <w:ind w:left="1098" w:right="1061"/>
        <w:jc w:val="center"/>
        <w:rPr>
          <w:rFonts w:hint="eastAsia"/>
          <w:color w:val="auto"/>
          <w:sz w:val="110"/>
          <w:szCs w:val="110"/>
        </w:rPr>
      </w:pPr>
    </w:p>
    <w:p>
      <w:pPr>
        <w:pStyle w:val="2"/>
        <w:rPr>
          <w:rFonts w:hint="eastAsia"/>
        </w:rPr>
      </w:pPr>
    </w:p>
    <w:p>
      <w:pPr>
        <w:ind w:left="1098" w:right="1061"/>
        <w:jc w:val="center"/>
        <w:rPr>
          <w:rFonts w:hint="eastAsia"/>
          <w:b/>
          <w:color w:val="auto"/>
          <w:sz w:val="96"/>
          <w:szCs w:val="110"/>
        </w:rPr>
      </w:pPr>
      <w:r>
        <w:rPr>
          <w:rFonts w:hint="eastAsia"/>
          <w:b/>
          <w:color w:val="auto"/>
          <w:sz w:val="96"/>
          <w:szCs w:val="110"/>
        </w:rPr>
        <w:t>招 标 文 件</w:t>
      </w:r>
    </w:p>
    <w:p>
      <w:pPr>
        <w:pStyle w:val="6"/>
        <w:rPr>
          <w:rFonts w:hint="eastAsia"/>
          <w:color w:val="auto"/>
          <w:sz w:val="50"/>
        </w:rPr>
      </w:pPr>
    </w:p>
    <w:p>
      <w:pPr>
        <w:pStyle w:val="6"/>
        <w:rPr>
          <w:rFonts w:hint="eastAsia"/>
          <w:color w:val="auto"/>
          <w:sz w:val="50"/>
        </w:rPr>
      </w:pPr>
    </w:p>
    <w:p>
      <w:pPr>
        <w:pStyle w:val="6"/>
        <w:rPr>
          <w:rFonts w:hint="eastAsia"/>
          <w:color w:val="auto"/>
          <w:sz w:val="50"/>
        </w:rPr>
      </w:pPr>
    </w:p>
    <w:p>
      <w:pPr>
        <w:pStyle w:val="6"/>
        <w:rPr>
          <w:rFonts w:hint="eastAsia"/>
          <w:color w:val="auto"/>
          <w:sz w:val="50"/>
        </w:rPr>
      </w:pPr>
    </w:p>
    <w:p>
      <w:pPr>
        <w:rPr>
          <w:rFonts w:hint="eastAsia"/>
        </w:rPr>
      </w:pPr>
    </w:p>
    <w:p>
      <w:pPr>
        <w:rPr>
          <w:rFonts w:hint="eastAsia"/>
        </w:rPr>
      </w:pPr>
    </w:p>
    <w:p>
      <w:pPr>
        <w:spacing w:line="1100" w:lineRule="exact"/>
        <w:ind w:right="99" w:rightChars="45"/>
        <w:jc w:val="distribute"/>
        <w:rPr>
          <w:b/>
          <w:bCs/>
          <w:color w:val="auto"/>
          <w:sz w:val="32"/>
          <w:szCs w:val="36"/>
        </w:rPr>
      </w:pPr>
      <w:r>
        <w:rPr>
          <w:rFonts w:hint="eastAsia"/>
          <w:b/>
          <w:bCs/>
          <w:color w:val="auto"/>
          <w:sz w:val="32"/>
          <w:szCs w:val="36"/>
        </w:rPr>
        <w:t xml:space="preserve">招 </w:t>
      </w:r>
      <w:r>
        <w:rPr>
          <w:rFonts w:hint="eastAsia"/>
          <w:b/>
          <w:bCs/>
          <w:color w:val="auto"/>
          <w:sz w:val="32"/>
          <w:szCs w:val="36"/>
          <w:lang w:val="en-US"/>
        </w:rPr>
        <w:t xml:space="preserve"> </w:t>
      </w:r>
      <w:r>
        <w:rPr>
          <w:rFonts w:hint="eastAsia"/>
          <w:b/>
          <w:bCs/>
          <w:color w:val="auto"/>
          <w:sz w:val="32"/>
          <w:szCs w:val="36"/>
        </w:rPr>
        <w:t xml:space="preserve"> 标  人：</w:t>
      </w:r>
      <w:r>
        <w:rPr>
          <w:rFonts w:hint="eastAsia"/>
          <w:b/>
          <w:bCs/>
          <w:color w:val="auto"/>
          <w:sz w:val="32"/>
          <w:szCs w:val="36"/>
          <w:u w:val="single"/>
          <w:lang w:eastAsia="zh-CN"/>
        </w:rPr>
        <w:t xml:space="preserve">盐城市大丰区刘庄镇人民政府 </w:t>
      </w:r>
      <w:r>
        <w:rPr>
          <w:rFonts w:hint="eastAsia"/>
          <w:b/>
          <w:bCs/>
          <w:color w:val="auto"/>
          <w:sz w:val="32"/>
          <w:szCs w:val="36"/>
          <w:u w:val="single"/>
        </w:rPr>
        <w:t>（盖章）</w:t>
      </w:r>
    </w:p>
    <w:p>
      <w:pPr>
        <w:tabs>
          <w:tab w:val="left" w:pos="8580"/>
        </w:tabs>
        <w:spacing w:line="1100" w:lineRule="exact"/>
        <w:ind w:right="-339" w:rightChars="-154"/>
        <w:jc w:val="distribute"/>
        <w:rPr>
          <w:rFonts w:hint="eastAsia"/>
          <w:b/>
          <w:bCs/>
          <w:color w:val="auto"/>
          <w:sz w:val="36"/>
          <w:szCs w:val="36"/>
        </w:rPr>
      </w:pPr>
      <w:r>
        <w:rPr>
          <w:rFonts w:hint="eastAsia"/>
          <w:b/>
          <w:bCs/>
          <w:color w:val="auto"/>
          <w:sz w:val="32"/>
          <w:szCs w:val="36"/>
        </w:rPr>
        <w:t>招标代理机构：</w:t>
      </w:r>
      <w:r>
        <w:rPr>
          <w:rFonts w:hint="eastAsia"/>
          <w:b/>
          <w:bCs/>
          <w:color w:val="auto"/>
          <w:sz w:val="32"/>
          <w:szCs w:val="36"/>
          <w:u w:val="single"/>
          <w:lang w:eastAsia="zh-CN"/>
        </w:rPr>
        <w:t>盐城市同洲工程咨询有限公司</w:t>
      </w:r>
      <w:r>
        <w:rPr>
          <w:rFonts w:hint="eastAsia"/>
          <w:b/>
          <w:bCs/>
          <w:color w:val="auto"/>
          <w:sz w:val="32"/>
          <w:szCs w:val="36"/>
          <w:u w:val="single"/>
        </w:rPr>
        <w:t>（盖章）</w:t>
      </w:r>
      <w:r>
        <w:rPr>
          <w:rFonts w:hint="eastAsia"/>
          <w:b/>
          <w:bCs/>
          <w:color w:val="auto"/>
          <w:sz w:val="36"/>
          <w:szCs w:val="36"/>
          <w:u w:val="single"/>
        </w:rPr>
        <w:t xml:space="preserve"> </w:t>
      </w:r>
    </w:p>
    <w:p>
      <w:pPr>
        <w:spacing w:line="1100" w:lineRule="exact"/>
        <w:jc w:val="center"/>
        <w:rPr>
          <w:rFonts w:hint="eastAsia"/>
          <w:color w:val="auto"/>
          <w:sz w:val="36"/>
          <w:szCs w:val="36"/>
        </w:rPr>
      </w:pPr>
      <w:r>
        <w:rPr>
          <w:rFonts w:hint="eastAsia"/>
          <w:color w:val="auto"/>
          <w:sz w:val="36"/>
          <w:szCs w:val="36"/>
        </w:rPr>
        <w:t>二〇二</w:t>
      </w:r>
      <w:r>
        <w:rPr>
          <w:rFonts w:hint="eastAsia"/>
          <w:color w:val="auto"/>
          <w:sz w:val="36"/>
          <w:szCs w:val="36"/>
          <w:lang w:eastAsia="zh-CN"/>
        </w:rPr>
        <w:t>二</w:t>
      </w:r>
      <w:r>
        <w:rPr>
          <w:rFonts w:hint="eastAsia"/>
          <w:color w:val="auto"/>
          <w:sz w:val="36"/>
          <w:szCs w:val="36"/>
        </w:rPr>
        <w:t>年</w:t>
      </w:r>
      <w:r>
        <w:rPr>
          <w:rFonts w:hint="eastAsia"/>
          <w:color w:val="auto"/>
          <w:sz w:val="36"/>
          <w:szCs w:val="36"/>
          <w:lang w:eastAsia="zh-CN"/>
        </w:rPr>
        <w:t>九</w:t>
      </w:r>
      <w:r>
        <w:rPr>
          <w:rFonts w:hint="eastAsia"/>
          <w:color w:val="auto"/>
          <w:sz w:val="36"/>
          <w:szCs w:val="36"/>
        </w:rPr>
        <w:t>月</w:t>
      </w:r>
    </w:p>
    <w:p>
      <w:pPr>
        <w:keepNext w:val="0"/>
        <w:keepLines w:val="0"/>
        <w:widowControl/>
        <w:suppressLineNumbers w:val="0"/>
        <w:jc w:val="center"/>
        <w:rPr>
          <w:rFonts w:hint="eastAsia" w:ascii="宋体" w:hAnsi="宋体" w:eastAsia="宋体" w:cs="宋体"/>
          <w:b/>
          <w:bCs/>
          <w:color w:val="000000"/>
          <w:kern w:val="0"/>
          <w:sz w:val="36"/>
          <w:szCs w:val="36"/>
          <w:lang w:val="en-US" w:eastAsia="zh-CN" w:bidi="ar"/>
        </w:rPr>
      </w:pPr>
    </w:p>
    <w:p>
      <w:pPr>
        <w:keepNext w:val="0"/>
        <w:keepLines w:val="0"/>
        <w:widowControl/>
        <w:suppressLineNumbers w:val="0"/>
        <w:jc w:val="center"/>
        <w:rPr>
          <w:rFonts w:hint="eastAsia" w:ascii="宋体" w:hAnsi="宋体" w:eastAsia="宋体" w:cs="宋体"/>
          <w:b/>
          <w:bCs/>
          <w:color w:val="000000"/>
          <w:kern w:val="0"/>
          <w:sz w:val="36"/>
          <w:szCs w:val="36"/>
          <w:lang w:val="en-US" w:eastAsia="zh-CN" w:bidi="ar"/>
        </w:rPr>
      </w:pPr>
    </w:p>
    <w:p>
      <w:pPr>
        <w:keepNext w:val="0"/>
        <w:keepLines w:val="0"/>
        <w:widowControl/>
        <w:suppressLineNumbers w:val="0"/>
        <w:jc w:val="center"/>
        <w:rPr>
          <w:rFonts w:hint="eastAsia" w:ascii="宋体" w:hAnsi="宋体" w:eastAsia="宋体" w:cs="宋体"/>
          <w:b/>
          <w:bCs/>
          <w:color w:val="000000"/>
          <w:kern w:val="0"/>
          <w:sz w:val="36"/>
          <w:szCs w:val="36"/>
          <w:lang w:val="en-US" w:eastAsia="zh-CN" w:bidi="ar"/>
        </w:rPr>
      </w:pPr>
    </w:p>
    <w:p>
      <w:pPr>
        <w:rPr>
          <w:rFonts w:hint="eastAsia"/>
        </w:rPr>
      </w:pPr>
      <w:r>
        <w:rPr>
          <w:rFonts w:hint="eastAsia"/>
        </w:rPr>
        <w:drawing>
          <wp:inline distT="0" distB="0" distL="114300" distR="114300">
            <wp:extent cx="5642610" cy="7554595"/>
            <wp:effectExtent l="0" t="0" r="15240" b="8255"/>
            <wp:docPr id="16" name="图片 16" descr="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诚信承诺书"/>
                    <pic:cNvPicPr>
                      <a:picLocks noChangeAspect="1"/>
                    </pic:cNvPicPr>
                  </pic:nvPicPr>
                  <pic:blipFill>
                    <a:blip r:embed="rId16"/>
                    <a:stretch>
                      <a:fillRect/>
                    </a:stretch>
                  </pic:blipFill>
                  <pic:spPr>
                    <a:xfrm>
                      <a:off x="0" y="0"/>
                      <a:ext cx="5642610" cy="7554595"/>
                    </a:xfrm>
                    <a:prstGeom prst="rect">
                      <a:avLst/>
                    </a:prstGeom>
                  </pic:spPr>
                </pic:pic>
              </a:graphicData>
            </a:graphic>
          </wp:inline>
        </w:drawing>
      </w:r>
    </w:p>
    <w:p>
      <w:pPr>
        <w:pStyle w:val="2"/>
        <w:rPr>
          <w:rFonts w:hint="eastAsia"/>
        </w:rPr>
      </w:pPr>
    </w:p>
    <w:p>
      <w:pPr>
        <w:rPr>
          <w:rFonts w:hint="eastAsia"/>
        </w:rPr>
      </w:pPr>
    </w:p>
    <w:p>
      <w:pPr>
        <w:keepNext w:val="0"/>
        <w:keepLines w:val="0"/>
        <w:widowControl/>
        <w:suppressLineNumbers w:val="0"/>
        <w:jc w:val="center"/>
      </w:pPr>
      <w:r>
        <w:rPr>
          <w:rFonts w:hint="eastAsia" w:ascii="宋体" w:hAnsi="宋体" w:eastAsia="宋体" w:cs="宋体"/>
          <w:color w:val="000000"/>
          <w:kern w:val="0"/>
          <w:sz w:val="31"/>
          <w:szCs w:val="31"/>
          <w:lang w:val="en-US" w:eastAsia="zh-CN" w:bidi="ar"/>
        </w:rPr>
        <w:t>不见面开标须知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各潜在投标单位：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1、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结合当前疫情防控要求，本项目开标方式为不见面电子文件开标。开标当日，投标人无需到达开标现场，仅需在任意地点通过PC端或移动端的“腾讯会议”及相应的配套硬件设备参加开标会议。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lang w:val="en-US" w:eastAsia="zh-CN" w:bidi="ar"/>
        </w:rPr>
        <w:t>参加会议的方法（必选）：电脑或智能手机可以搜索下载并安装“腾讯会议”，注册完成后点击“加入会议”，输入会议</w:t>
      </w:r>
      <w:r>
        <w:rPr>
          <w:rFonts w:hint="eastAsia" w:ascii="宋体" w:hAnsi="宋体" w:eastAsia="宋体" w:cs="宋体"/>
          <w:color w:val="000000"/>
          <w:kern w:val="0"/>
          <w:sz w:val="22"/>
          <w:szCs w:val="22"/>
          <w:highlight w:val="none"/>
          <w:lang w:val="en-US" w:eastAsia="zh-CN" w:bidi="ar"/>
        </w:rPr>
        <w:t>号“</w:t>
      </w:r>
      <w:r>
        <w:rPr>
          <w:rFonts w:hint="eastAsia" w:cs="宋体"/>
          <w:color w:val="000000"/>
          <w:kern w:val="0"/>
          <w:sz w:val="22"/>
          <w:szCs w:val="22"/>
          <w:highlight w:val="none"/>
          <w:u w:val="single"/>
          <w:lang w:val="en-US" w:eastAsia="zh-CN" w:bidi="ar"/>
        </w:rPr>
        <w:t>359395914</w:t>
      </w:r>
      <w:r>
        <w:rPr>
          <w:rFonts w:hint="eastAsia" w:cs="宋体"/>
          <w:color w:val="000000"/>
          <w:kern w:val="0"/>
          <w:sz w:val="22"/>
          <w:szCs w:val="22"/>
          <w:highlight w:val="none"/>
          <w:lang w:val="en-US" w:eastAsia="zh-CN" w:bidi="ar"/>
        </w:rPr>
        <w:t xml:space="preserve"> </w:t>
      </w:r>
      <w:r>
        <w:rPr>
          <w:rFonts w:hint="eastAsia" w:ascii="宋体" w:hAnsi="宋体" w:eastAsia="宋体" w:cs="宋体"/>
          <w:color w:val="000000"/>
          <w:kern w:val="0"/>
          <w:sz w:val="22"/>
          <w:szCs w:val="22"/>
          <w:highlight w:val="none"/>
          <w:lang w:val="en-US" w:eastAsia="zh-CN" w:bidi="ar"/>
        </w:rPr>
        <w:t>”，“您的姓名”按“单位简称+授权 委托人姓名+手机号”格式填写，然后点击“加入会议”。会议系统将在投标截止时间前10分钟开放。</w:t>
      </w:r>
    </w:p>
    <w:p>
      <w:pPr>
        <w:keepNext w:val="0"/>
        <w:keepLines w:val="0"/>
        <w:pageBreakBefore w:val="0"/>
        <w:widowControl/>
        <w:suppressLineNumbers w:val="0"/>
        <w:kinsoku/>
        <w:wordWrap/>
        <w:overflowPunct/>
        <w:topLinePunct w:val="0"/>
        <w:bidi w:val="0"/>
        <w:adjustRightInd/>
        <w:snapToGrid/>
        <w:spacing w:line="360" w:lineRule="auto"/>
        <w:ind w:firstLine="440" w:firstLineChars="200"/>
        <w:jc w:val="left"/>
        <w:textAlignment w:val="auto"/>
        <w:rPr>
          <w:rFonts w:hint="eastAsia"/>
          <w:highlight w:val="none"/>
          <w:lang w:val="en-US" w:eastAsia="zh-CN"/>
        </w:rPr>
      </w:pPr>
      <w:r>
        <w:rPr>
          <w:highlight w:val="none"/>
        </w:rPr>
        <w:t>电子投标文件递交地点：</w:t>
      </w:r>
      <w:r>
        <w:rPr>
          <w:rFonts w:hint="eastAsia"/>
          <w:highlight w:val="none"/>
          <w:lang w:val="en-US"/>
        </w:rPr>
        <w:t>投标人于投标截止时间止将</w:t>
      </w:r>
      <w:r>
        <w:rPr>
          <w:rFonts w:hint="eastAsia"/>
          <w:highlight w:val="none"/>
          <w:lang w:val="en-US" w:eastAsia="zh-CN"/>
        </w:rPr>
        <w:t>加盖投标单位公章的投标文件扫描件电子档压缩包发送至指定邮箱：</w:t>
      </w:r>
      <w:r>
        <w:rPr>
          <w:rFonts w:hint="eastAsia"/>
          <w:highlight w:val="none"/>
          <w:lang w:val="en-US" w:eastAsia="zh-CN"/>
        </w:rPr>
        <w:fldChar w:fldCharType="begin"/>
      </w:r>
      <w:r>
        <w:rPr>
          <w:rFonts w:hint="eastAsia"/>
          <w:highlight w:val="none"/>
          <w:lang w:val="en-US" w:eastAsia="zh-CN"/>
        </w:rPr>
        <w:instrText xml:space="preserve"> HYPERLINK "mailto:384166500@qq.com，以邮箱收到邮件时间为准，为防止网络延时，建议投标人提前发送邮件，逾期收到的邮件视为投标文件未按时送达。" </w:instrText>
      </w:r>
      <w:r>
        <w:rPr>
          <w:rFonts w:hint="eastAsia"/>
          <w:highlight w:val="none"/>
          <w:lang w:val="en-US" w:eastAsia="zh-CN"/>
        </w:rPr>
        <w:fldChar w:fldCharType="separate"/>
      </w:r>
      <w:r>
        <w:rPr>
          <w:rStyle w:val="16"/>
          <w:rFonts w:hint="eastAsia"/>
          <w:highlight w:val="none"/>
          <w:lang w:val="en-US" w:eastAsia="zh-CN"/>
        </w:rPr>
        <w:t>1071193060</w:t>
      </w:r>
      <w:r>
        <w:rPr>
          <w:rStyle w:val="16"/>
          <w:rFonts w:hint="eastAsia"/>
          <w:highlight w:val="none"/>
          <w:lang w:val="en-US"/>
        </w:rPr>
        <w:t>@qq.com</w:t>
      </w:r>
      <w:r>
        <w:rPr>
          <w:rStyle w:val="16"/>
          <w:rFonts w:hint="eastAsia"/>
          <w:highlight w:val="none"/>
          <w:lang w:val="en-US" w:eastAsia="zh-CN"/>
        </w:rPr>
        <w:t>，以邮箱收到邮件时间为准，为防止网络延时，建议投标人提前发送邮件，逾期收到的邮件视为投标文件未按时送达。</w:t>
      </w:r>
      <w:r>
        <w:rPr>
          <w:rFonts w:hint="eastAsia"/>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sz w:val="24"/>
          <w:szCs w:val="24"/>
          <w:highlight w:val="none"/>
          <w:lang w:val="zh-CN" w:eastAsia="zh-CN" w:bidi="zh-CN"/>
        </w:rPr>
      </w:pPr>
      <w:r>
        <w:rPr>
          <w:rFonts w:hint="eastAsia" w:ascii="宋体" w:hAnsi="宋体" w:eastAsia="宋体" w:cs="宋体"/>
          <w:b/>
          <w:bCs/>
          <w:sz w:val="24"/>
          <w:szCs w:val="24"/>
          <w:highlight w:val="none"/>
          <w:lang w:val="en-US" w:eastAsia="zh-CN" w:bidi="zh-CN"/>
        </w:rPr>
        <w:t>各投标单位需将投标文件电子压缩包加密，密码自行保管，开标当天在腾讯会议系统中提供给开标现场负责解密的工作人员。</w:t>
      </w:r>
      <w:r>
        <w:rPr>
          <w:rFonts w:hint="eastAsia" w:ascii="宋体" w:hAnsi="宋体" w:eastAsia="宋体" w:cs="宋体"/>
          <w:sz w:val="24"/>
          <w:szCs w:val="24"/>
          <w:highlight w:val="none"/>
          <w:lang w:val="en-US" w:eastAsia="zh-CN" w:bidi="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招标代理联系人：</w:t>
      </w:r>
      <w:r>
        <w:rPr>
          <w:rFonts w:hint="eastAsia" w:cs="宋体"/>
          <w:color w:val="000000"/>
          <w:kern w:val="0"/>
          <w:sz w:val="22"/>
          <w:szCs w:val="22"/>
          <w:highlight w:val="none"/>
          <w:lang w:val="en-US" w:eastAsia="zh-CN" w:bidi="ar"/>
        </w:rPr>
        <w:t>乔军</w:t>
      </w:r>
      <w:r>
        <w:rPr>
          <w:rFonts w:hint="eastAsia" w:ascii="宋体" w:hAnsi="宋体" w:eastAsia="宋体" w:cs="宋体"/>
          <w:color w:val="000000"/>
          <w:kern w:val="0"/>
          <w:sz w:val="22"/>
          <w:szCs w:val="22"/>
          <w:highlight w:val="none"/>
          <w:lang w:val="en-US" w:eastAsia="zh-CN" w:bidi="ar"/>
        </w:rPr>
        <w:t xml:space="preserve"> </w:t>
      </w:r>
      <w:r>
        <w:rPr>
          <w:rFonts w:hint="eastAsia" w:ascii="宋体" w:hAnsi="宋体" w:cs="宋体"/>
          <w:color w:val="000000"/>
          <w:kern w:val="0"/>
          <w:sz w:val="22"/>
          <w:szCs w:val="22"/>
          <w:highlight w:val="none"/>
          <w:lang w:val="en-US" w:eastAsia="zh-CN" w:bidi="ar"/>
        </w:rPr>
        <w:t xml:space="preserve">   </w:t>
      </w:r>
      <w:r>
        <w:rPr>
          <w:rFonts w:hint="eastAsia" w:ascii="宋体" w:hAnsi="宋体" w:eastAsia="宋体" w:cs="宋体"/>
          <w:color w:val="000000"/>
          <w:kern w:val="0"/>
          <w:sz w:val="22"/>
          <w:szCs w:val="22"/>
          <w:highlight w:val="none"/>
          <w:lang w:val="en-US" w:eastAsia="zh-CN" w:bidi="ar"/>
        </w:rPr>
        <w:t>联系电话：</w:t>
      </w:r>
      <w:r>
        <w:rPr>
          <w:rFonts w:hint="eastAsia" w:cs="宋体"/>
          <w:color w:val="000000"/>
          <w:kern w:val="0"/>
          <w:sz w:val="22"/>
          <w:szCs w:val="22"/>
          <w:highlight w:val="none"/>
          <w:lang w:val="en-US" w:eastAsia="zh-CN" w:bidi="ar"/>
        </w:rPr>
        <w:t>13645100506</w:t>
      </w:r>
      <w:r>
        <w:rPr>
          <w:rFonts w:hint="eastAsia" w:ascii="宋体" w:hAnsi="宋体" w:eastAsia="宋体" w:cs="宋体"/>
          <w:color w:val="000000"/>
          <w:kern w:val="0"/>
          <w:sz w:val="22"/>
          <w:szCs w:val="22"/>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2.1投标文件提交截止时间：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cs="宋体"/>
          <w:color w:val="000000"/>
          <w:kern w:val="0"/>
          <w:sz w:val="22"/>
          <w:szCs w:val="22"/>
          <w:highlight w:val="none"/>
          <w:lang w:val="en-US" w:eastAsia="zh-CN" w:bidi="ar"/>
        </w:rPr>
        <w:t>电子投标文件</w:t>
      </w:r>
      <w:r>
        <w:rPr>
          <w:rFonts w:hint="eastAsia" w:ascii="宋体" w:hAnsi="宋体" w:eastAsia="宋体" w:cs="宋体"/>
          <w:color w:val="000000"/>
          <w:kern w:val="0"/>
          <w:sz w:val="22"/>
          <w:szCs w:val="22"/>
          <w:highlight w:val="none"/>
          <w:lang w:val="en-US" w:eastAsia="zh-CN" w:bidi="ar"/>
        </w:rPr>
        <w:t>的递交截止时间：2022年</w:t>
      </w:r>
      <w:r>
        <w:rPr>
          <w:rFonts w:hint="eastAsia" w:cs="宋体"/>
          <w:color w:val="000000"/>
          <w:kern w:val="0"/>
          <w:sz w:val="22"/>
          <w:szCs w:val="22"/>
          <w:highlight w:val="none"/>
          <w:lang w:val="en-US" w:eastAsia="zh-CN" w:bidi="ar"/>
        </w:rPr>
        <w:t>10</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13</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9</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分，逾期发送的投标文件拒绝接受。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开标时间：2022年</w:t>
      </w:r>
      <w:r>
        <w:rPr>
          <w:rFonts w:hint="eastAsia" w:cs="宋体"/>
          <w:color w:val="000000"/>
          <w:kern w:val="0"/>
          <w:sz w:val="22"/>
          <w:szCs w:val="22"/>
          <w:highlight w:val="none"/>
          <w:lang w:val="en-US" w:eastAsia="zh-CN" w:bidi="ar"/>
        </w:rPr>
        <w:t>10</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13</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9</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3、开标程序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3.1 招标人按下列程序进行开标：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（1）宣布开标纪律；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（2）宣布招标人、招标代理机构、招投标监管部门出席开标会的有关人员；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（3）公布投标人数量并检查投标文件的密封情况；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（4）工作人员当众启封有效投标文件及修改文件，宣读投标文件的主要内容；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（5）开标结束。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4、因本项目采用不见面电子开标模式，故招标人特别说明如下：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4.1投标人投标文件的编制和递交，应依照招标文件的规定进行。如未按招标文件要求编制、递交投标文件，将可能导致废标，其后果由投标人自负。</w:t>
      </w:r>
      <w:r>
        <w:rPr>
          <w:rFonts w:hint="eastAsia" w:ascii="宋体" w:hAnsi="宋体" w:eastAsia="宋体" w:cs="宋体"/>
          <w:b/>
          <w:bCs/>
          <w:color w:val="000000"/>
          <w:kern w:val="0"/>
          <w:sz w:val="22"/>
          <w:szCs w:val="22"/>
          <w:lang w:val="en-US" w:eastAsia="zh-CN" w:bidi="ar"/>
        </w:rPr>
        <w:t>特别说明：由于本项目时间紧、任务重，又恰逢防控新型冠状病毒肺炎疫情期，因某种原因无法在规定的时间内递交投标文件的，视同放弃此次投标机会，不得向招标人、监管部门、招标代理机构等所有相关部门追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4.2开标当日，不需要到开标现场参加开标会，开标会议视频按第1条方法进行。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4.3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4.4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4.5为顺利实现本项目开评标的远程交互，建议投标人配置能够实现远程音视频通话的高配置笔记本电脑、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sz w:val="22"/>
          <w:szCs w:val="22"/>
        </w:rPr>
      </w:pPr>
      <w:r>
        <w:rPr>
          <w:rFonts w:hint="eastAsia" w:ascii="宋体" w:hAnsi="宋体" w:eastAsia="宋体" w:cs="宋体"/>
          <w:color w:val="000000"/>
          <w:kern w:val="0"/>
          <w:sz w:val="22"/>
          <w:szCs w:val="22"/>
          <w:lang w:val="en-US" w:eastAsia="zh-CN" w:bidi="ar"/>
        </w:rPr>
        <w:t xml:space="preserve">5、友情提醒：投标人如对上述腾讯会议软件等有疑问的，请尽早和软件公司的服务人员或其他专业人员联系，他们会根据投标人要求，提供必要的培训和技术支持。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腾讯客服联系方式：0755-83765566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招标代理业务技术支持联系人：</w:t>
      </w:r>
      <w:r>
        <w:rPr>
          <w:rFonts w:hint="eastAsia" w:cs="宋体"/>
          <w:color w:val="000000"/>
          <w:kern w:val="0"/>
          <w:sz w:val="22"/>
          <w:szCs w:val="22"/>
          <w:lang w:val="en-US" w:eastAsia="zh-CN" w:bidi="ar"/>
        </w:rPr>
        <w:t>乔军</w:t>
      </w:r>
      <w:r>
        <w:rPr>
          <w:rFonts w:hint="eastAsia" w:ascii="宋体" w:hAnsi="宋体" w:eastAsia="宋体" w:cs="宋体"/>
          <w:color w:val="000000"/>
          <w:kern w:val="0"/>
          <w:sz w:val="22"/>
          <w:szCs w:val="22"/>
          <w:lang w:val="en-US" w:eastAsia="zh-CN" w:bidi="ar"/>
        </w:rPr>
        <w:t xml:space="preserve"> </w:t>
      </w:r>
      <w:r>
        <w:rPr>
          <w:rFonts w:hint="eastAsia" w:ascii="宋体" w:hAnsi="宋体" w:cs="宋体"/>
          <w:color w:val="000000"/>
          <w:kern w:val="0"/>
          <w:sz w:val="22"/>
          <w:szCs w:val="22"/>
          <w:lang w:val="en-US" w:eastAsia="zh-CN" w:bidi="ar"/>
        </w:rPr>
        <w:t xml:space="preserve">       </w:t>
      </w:r>
      <w:r>
        <w:rPr>
          <w:rFonts w:hint="eastAsia" w:ascii="宋体" w:hAnsi="宋体" w:eastAsia="宋体" w:cs="宋体"/>
          <w:color w:val="000000"/>
          <w:kern w:val="0"/>
          <w:sz w:val="22"/>
          <w:szCs w:val="22"/>
          <w:lang w:val="en-US" w:eastAsia="zh-CN" w:bidi="ar"/>
        </w:rPr>
        <w:t>联系电话：</w:t>
      </w:r>
      <w:r>
        <w:rPr>
          <w:rFonts w:hint="eastAsia" w:cs="宋体"/>
          <w:color w:val="000000"/>
          <w:kern w:val="0"/>
          <w:sz w:val="22"/>
          <w:szCs w:val="22"/>
          <w:lang w:val="en-US" w:eastAsia="zh-CN" w:bidi="ar"/>
        </w:rPr>
        <w:t>13645100506</w:t>
      </w:r>
      <w:r>
        <w:rPr>
          <w:rFonts w:hint="eastAsia" w:ascii="宋体" w:hAnsi="宋体" w:eastAsia="宋体" w:cs="宋体"/>
          <w:color w:val="000000"/>
          <w:kern w:val="0"/>
          <w:sz w:val="22"/>
          <w:szCs w:val="22"/>
          <w:lang w:val="en-US" w:eastAsia="zh-CN" w:bidi="ar"/>
        </w:rPr>
        <w:t xml:space="preserve"> </w:t>
      </w:r>
    </w:p>
    <w:p>
      <w:pPr>
        <w:keepNext w:val="0"/>
        <w:keepLines w:val="0"/>
        <w:pageBreakBefore w:val="0"/>
        <w:kinsoku/>
        <w:wordWrap/>
        <w:overflowPunct/>
        <w:topLinePunct w:val="0"/>
        <w:bidi w:val="0"/>
        <w:adjustRightInd/>
        <w:snapToGrid/>
        <w:spacing w:line="360" w:lineRule="auto"/>
        <w:textAlignment w:val="auto"/>
        <w:rPr>
          <w:rFonts w:hint="eastAsia"/>
          <w:sz w:val="22"/>
          <w:szCs w:val="22"/>
          <w:lang w:val="en-US" w:eastAsia="zh-CN"/>
        </w:rPr>
      </w:pPr>
    </w:p>
    <w:p>
      <w:pPr>
        <w:spacing w:before="26"/>
        <w:ind w:right="22"/>
        <w:jc w:val="center"/>
        <w:rPr>
          <w:rFonts w:hint="eastAsia"/>
          <w:color w:val="auto"/>
          <w:w w:val="105"/>
          <w:sz w:val="42"/>
        </w:rPr>
      </w:pPr>
    </w:p>
    <w:p>
      <w:pPr>
        <w:pStyle w:val="6"/>
        <w:rPr>
          <w:rFonts w:hint="eastAsia"/>
          <w:color w:val="auto"/>
          <w:w w:val="105"/>
          <w:sz w:val="42"/>
        </w:rPr>
      </w:pPr>
    </w:p>
    <w:p>
      <w:pPr>
        <w:rPr>
          <w:rFonts w:hint="eastAsia"/>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lang w:eastAsia="zh-CN"/>
        </w:rPr>
        <w:t>一</w:t>
      </w:r>
      <w:r>
        <w:rPr>
          <w:rFonts w:hint="eastAsia" w:ascii="黑体" w:eastAsia="黑体"/>
          <w:color w:val="auto"/>
          <w:sz w:val="76"/>
        </w:rPr>
        <w:tab/>
      </w:r>
      <w:r>
        <w:rPr>
          <w:rFonts w:hint="eastAsia" w:ascii="黑体" w:eastAsia="黑体"/>
          <w:color w:val="auto"/>
          <w:sz w:val="76"/>
        </w:rPr>
        <w:t>卷</w:t>
      </w:r>
    </w:p>
    <w:p>
      <w:pPr>
        <w:spacing w:before="26"/>
        <w:ind w:right="22"/>
        <w:jc w:val="center"/>
        <w:rPr>
          <w:rFonts w:hint="eastAsia"/>
          <w:color w:val="auto"/>
          <w:w w:val="105"/>
          <w:sz w:val="42"/>
        </w:rPr>
      </w:pPr>
    </w:p>
    <w:p>
      <w:pPr>
        <w:tabs>
          <w:tab w:val="left" w:pos="3570"/>
        </w:tabs>
        <w:spacing w:before="26"/>
        <w:ind w:right="22"/>
        <w:rPr>
          <w:rFonts w:hint="eastAsia"/>
          <w:color w:val="auto"/>
          <w:w w:val="105"/>
          <w:sz w:val="42"/>
        </w:rPr>
      </w:pPr>
      <w:r>
        <w:rPr>
          <w:color w:val="auto"/>
          <w:w w:val="105"/>
          <w:sz w:val="42"/>
        </w:rPr>
        <w:tab/>
      </w: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pStyle w:val="2"/>
        <w:rPr>
          <w:rFonts w:hint="eastAsia"/>
          <w:color w:val="auto"/>
          <w:w w:val="105"/>
          <w:sz w:val="42"/>
        </w:rPr>
      </w:pPr>
    </w:p>
    <w:p>
      <w:pPr>
        <w:rPr>
          <w:rFonts w:hint="eastAsia"/>
          <w:color w:val="auto"/>
          <w:w w:val="105"/>
          <w:sz w:val="42"/>
        </w:rPr>
      </w:pPr>
    </w:p>
    <w:p>
      <w:pPr>
        <w:rPr>
          <w:rFonts w:hint="eastAsia"/>
          <w:color w:val="auto"/>
          <w:w w:val="105"/>
          <w:sz w:val="42"/>
        </w:rPr>
      </w:pPr>
    </w:p>
    <w:p>
      <w:pPr>
        <w:rPr>
          <w:rFonts w:hint="eastAsia"/>
          <w:color w:val="auto"/>
          <w:w w:val="105"/>
          <w:sz w:val="42"/>
        </w:rPr>
      </w:pPr>
    </w:p>
    <w:p>
      <w:pPr>
        <w:numPr>
          <w:ilvl w:val="0"/>
          <w:numId w:val="1"/>
        </w:numPr>
        <w:tabs>
          <w:tab w:val="left" w:pos="2762"/>
        </w:tabs>
        <w:spacing w:beforeAutospacing="0" w:afterAutospacing="0"/>
        <w:ind w:left="3057" w:leftChars="0" w:firstLine="0" w:firstLineChars="0"/>
        <w:jc w:val="left"/>
        <w:rPr>
          <w:rFonts w:hint="eastAsia"/>
          <w:b/>
          <w:color w:val="auto"/>
          <w:sz w:val="42"/>
        </w:rPr>
      </w:pPr>
      <w:r>
        <w:rPr>
          <w:rFonts w:hint="eastAsia"/>
          <w:b/>
          <w:color w:val="auto"/>
          <w:sz w:val="42"/>
        </w:rPr>
        <w:t>招标公告</w:t>
      </w:r>
    </w:p>
    <w:p>
      <w:pPr>
        <w:pStyle w:val="12"/>
        <w:keepNext w:val="0"/>
        <w:keepLines w:val="0"/>
        <w:widowControl/>
        <w:suppressLineNumbers w:val="0"/>
        <w:autoSpaceDE w:val="0"/>
        <w:autoSpaceDN/>
        <w:adjustRightInd w:val="0"/>
        <w:snapToGrid w:val="0"/>
        <w:spacing w:before="105" w:beforeLines="35" w:beforeAutospacing="0" w:afterAutospacing="0" w:line="360" w:lineRule="auto"/>
        <w:ind w:left="0" w:right="0" w:firstLine="400" w:firstLineChars="200"/>
        <w:jc w:val="both"/>
        <w:rPr>
          <w:rFonts w:hint="eastAsia"/>
          <w:sz w:val="22"/>
          <w:szCs w:val="22"/>
        </w:rPr>
      </w:pPr>
      <w:r>
        <w:rPr>
          <w:rFonts w:hint="eastAsia" w:ascii="宋体" w:hAnsi="宋体" w:eastAsia="宋体" w:cs="宋体"/>
          <w:color w:val="auto"/>
          <w:sz w:val="20"/>
          <w:szCs w:val="20"/>
          <w:lang w:val="zh-CN" w:eastAsia="zh-CN" w:bidi="zh-CN"/>
        </w:rPr>
        <w:t>重要提醒：本项目请各潜在投标人在进行项目招标文件下载时必须以“项目管理身份登入”，无该身份类别的按http://221.231.122.12/dfweb/InfoDetail/?InfoID=3a30e7e6-cfa6-463e-80c4-47d00d776b7d&amp;CategoryNum=029添加身份，添加身份完成后须完善企业诚信库，完善信息后提交自动审核通过，之后重新登录系统下载招标文件。</w:t>
      </w:r>
    </w:p>
    <w:p>
      <w:pPr>
        <w:numPr>
          <w:ilvl w:val="0"/>
          <w:numId w:val="2"/>
        </w:numPr>
        <w:tabs>
          <w:tab w:val="left" w:pos="718"/>
        </w:tabs>
        <w:autoSpaceDE/>
        <w:autoSpaceDN/>
        <w:adjustRightInd w:val="0"/>
        <w:snapToGrid w:val="0"/>
        <w:spacing w:beforeAutospacing="0" w:line="420" w:lineRule="exact"/>
        <w:ind w:left="0" w:firstLine="422" w:firstLineChars="200"/>
        <w:rPr>
          <w:rFonts w:hint="eastAsia"/>
          <w:b/>
          <w:color w:val="auto"/>
          <w:sz w:val="21"/>
          <w:szCs w:val="21"/>
        </w:rPr>
      </w:pPr>
      <w:bookmarkStart w:id="0" w:name="_bookmark1"/>
      <w:bookmarkEnd w:id="0"/>
      <w:r>
        <w:rPr>
          <w:rFonts w:hint="eastAsia"/>
          <w:b/>
          <w:color w:val="auto"/>
          <w:sz w:val="21"/>
          <w:szCs w:val="21"/>
        </w:rPr>
        <w:t>招标条件</w:t>
      </w:r>
    </w:p>
    <w:p>
      <w:pPr>
        <w:pStyle w:val="6"/>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本招标项目为</w:t>
      </w:r>
      <w:r>
        <w:rPr>
          <w:rFonts w:hint="eastAsia"/>
          <w:color w:val="auto"/>
          <w:sz w:val="21"/>
          <w:szCs w:val="21"/>
          <w:u w:val="single"/>
          <w:lang w:val="en-US"/>
        </w:rPr>
        <w:t xml:space="preserve"> </w:t>
      </w:r>
      <w:r>
        <w:rPr>
          <w:rFonts w:hint="eastAsia"/>
          <w:b/>
          <w:color w:val="auto"/>
          <w:sz w:val="21"/>
          <w:szCs w:val="21"/>
          <w:u w:val="single"/>
          <w:lang w:eastAsia="zh-CN"/>
        </w:rPr>
        <w:t>2022年大丰区刘庄镇农村公路维修工程</w:t>
      </w:r>
      <w:r>
        <w:rPr>
          <w:rFonts w:hint="eastAsia"/>
          <w:color w:val="auto"/>
          <w:sz w:val="21"/>
          <w:szCs w:val="21"/>
        </w:rPr>
        <w:t>，已由</w:t>
      </w:r>
      <w:r>
        <w:rPr>
          <w:rFonts w:hint="eastAsia"/>
          <w:color w:val="auto"/>
          <w:sz w:val="21"/>
          <w:szCs w:val="21"/>
          <w:u w:val="single"/>
        </w:rPr>
        <w:t xml:space="preserve"> </w:t>
      </w:r>
      <w:r>
        <w:rPr>
          <w:rFonts w:hint="eastAsia"/>
          <w:b/>
          <w:bCs/>
          <w:color w:val="auto"/>
          <w:sz w:val="21"/>
          <w:szCs w:val="21"/>
          <w:u w:val="single"/>
        </w:rPr>
        <w:t>上级主管部门</w:t>
      </w:r>
      <w:r>
        <w:rPr>
          <w:rFonts w:hint="eastAsia"/>
          <w:color w:val="auto"/>
          <w:sz w:val="21"/>
          <w:szCs w:val="21"/>
        </w:rPr>
        <w:t>批准建设，建设资金已落实，招标人为</w:t>
      </w:r>
      <w:r>
        <w:rPr>
          <w:rFonts w:hint="eastAsia"/>
          <w:b/>
          <w:bCs/>
          <w:color w:val="auto"/>
          <w:sz w:val="21"/>
          <w:szCs w:val="21"/>
          <w:u w:val="single"/>
          <w:lang w:eastAsia="zh-CN"/>
        </w:rPr>
        <w:t xml:space="preserve">盐城市大丰区刘庄镇人民政府 </w:t>
      </w:r>
      <w:r>
        <w:rPr>
          <w:rFonts w:hint="eastAsia"/>
          <w:color w:val="auto"/>
          <w:sz w:val="21"/>
          <w:szCs w:val="21"/>
          <w:u w:val="single"/>
        </w:rPr>
        <w:t xml:space="preserve"> </w:t>
      </w:r>
      <w:r>
        <w:rPr>
          <w:rFonts w:hint="eastAsia"/>
          <w:color w:val="auto"/>
          <w:sz w:val="21"/>
          <w:szCs w:val="21"/>
        </w:rPr>
        <w:t>，委托</w:t>
      </w:r>
      <w:r>
        <w:rPr>
          <w:rFonts w:hint="eastAsia"/>
          <w:color w:val="auto"/>
          <w:sz w:val="21"/>
          <w:szCs w:val="21"/>
          <w:u w:val="single"/>
          <w:lang w:val="en-US"/>
        </w:rPr>
        <w:t xml:space="preserve"> </w:t>
      </w:r>
      <w:r>
        <w:rPr>
          <w:rFonts w:hint="eastAsia"/>
          <w:b/>
          <w:color w:val="auto"/>
          <w:sz w:val="21"/>
          <w:szCs w:val="21"/>
          <w:u w:val="single"/>
          <w:lang w:eastAsia="zh-CN"/>
        </w:rPr>
        <w:t>盐城市同洲工程咨询有限公司</w:t>
      </w:r>
      <w:r>
        <w:rPr>
          <w:rFonts w:hint="eastAsia"/>
          <w:color w:val="auto"/>
          <w:sz w:val="21"/>
          <w:szCs w:val="21"/>
        </w:rPr>
        <w:t>组织对</w:t>
      </w:r>
      <w:r>
        <w:rPr>
          <w:rFonts w:hint="eastAsia"/>
          <w:color w:val="auto"/>
          <w:sz w:val="21"/>
          <w:szCs w:val="21"/>
          <w:u w:val="single"/>
        </w:rPr>
        <w:t>该项目施工</w:t>
      </w:r>
      <w:r>
        <w:rPr>
          <w:rFonts w:hint="eastAsia"/>
          <w:color w:val="auto"/>
          <w:sz w:val="21"/>
          <w:szCs w:val="21"/>
        </w:rPr>
        <w:t>进行公开招标，采用资格后审方式，邀请符合本项目招标公告实质性要求的单位参加相应标段的投标。</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1" w:name="_bookmark2"/>
      <w:bookmarkEnd w:id="1"/>
      <w:r>
        <w:rPr>
          <w:rFonts w:hint="eastAsia"/>
          <w:b/>
          <w:color w:val="auto"/>
          <w:sz w:val="21"/>
          <w:szCs w:val="21"/>
        </w:rPr>
        <w:t>项目概况与招标范围</w:t>
      </w:r>
    </w:p>
    <w:p>
      <w:pPr>
        <w:pStyle w:val="6"/>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2.1项目概况</w:t>
      </w:r>
    </w:p>
    <w:p>
      <w:pPr>
        <w:pStyle w:val="6"/>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（1）建设规模：</w:t>
      </w:r>
      <w:r>
        <w:rPr>
          <w:color w:val="auto"/>
          <w:sz w:val="21"/>
          <w:szCs w:val="21"/>
        </w:rPr>
        <w:t>工程总造价约</w:t>
      </w:r>
      <w:r>
        <w:rPr>
          <w:rFonts w:hint="eastAsia"/>
          <w:color w:val="auto"/>
          <w:sz w:val="21"/>
          <w:szCs w:val="21"/>
          <w:u w:val="single"/>
          <w:lang w:val="en-US" w:eastAsia="zh-CN"/>
        </w:rPr>
        <w:t xml:space="preserve">  187.18万元</w:t>
      </w:r>
      <w:r>
        <w:rPr>
          <w:color w:val="auto"/>
          <w:sz w:val="21"/>
          <w:szCs w:val="21"/>
        </w:rPr>
        <w:t>。</w:t>
      </w:r>
    </w:p>
    <w:p>
      <w:pPr>
        <w:pStyle w:val="6"/>
        <w:tabs>
          <w:tab w:val="left" w:pos="1929"/>
        </w:tabs>
        <w:autoSpaceDE/>
        <w:autoSpaceDN/>
        <w:adjustRightInd w:val="0"/>
        <w:snapToGrid w:val="0"/>
        <w:spacing w:line="420" w:lineRule="exact"/>
        <w:ind w:firstLine="420" w:firstLineChars="200"/>
        <w:rPr>
          <w:rFonts w:hint="eastAsia" w:ascii="宋体" w:hAnsi="宋体" w:eastAsia="宋体" w:cs="宋体"/>
          <w:b w:val="0"/>
          <w:bCs w:val="0"/>
          <w:i w:val="0"/>
          <w:iCs w:val="0"/>
          <w:smallCaps w:val="0"/>
          <w:strike w:val="0"/>
          <w:color w:val="auto"/>
          <w:spacing w:val="0"/>
          <w:w w:val="100"/>
          <w:position w:val="0"/>
          <w:sz w:val="20"/>
          <w:szCs w:val="20"/>
          <w:highlight w:val="none"/>
          <w:u w:val="single" w:color="auto"/>
          <w:shd w:val="clear" w:color="auto" w:fill="auto"/>
          <w:lang w:val="zh-TW" w:eastAsia="zh-CN" w:bidi="zh-TW"/>
        </w:rPr>
      </w:pPr>
      <w:r>
        <w:rPr>
          <w:rFonts w:hint="eastAsia"/>
          <w:color w:val="auto"/>
          <w:sz w:val="21"/>
          <w:szCs w:val="21"/>
        </w:rPr>
        <w:t>（2）工期要求：</w:t>
      </w:r>
      <w:r>
        <w:rPr>
          <w:rFonts w:hint="eastAsia" w:ascii="宋体" w:hAnsi="宋体" w:cs="宋体"/>
          <w:b w:val="0"/>
          <w:bCs w:val="0"/>
          <w:i w:val="0"/>
          <w:iCs w:val="0"/>
          <w:smallCaps w:val="0"/>
          <w:strike w:val="0"/>
          <w:color w:val="auto"/>
          <w:spacing w:val="0"/>
          <w:w w:val="100"/>
          <w:position w:val="0"/>
          <w:sz w:val="20"/>
          <w:szCs w:val="20"/>
          <w:highlight w:val="none"/>
          <w:u w:val="single"/>
          <w:shd w:val="clear" w:color="auto" w:fill="auto"/>
          <w:lang w:val="en-US" w:eastAsia="zh-CN" w:bidi="zh-TW"/>
        </w:rPr>
        <w:t>90</w:t>
      </w:r>
      <w:r>
        <w:rPr>
          <w:rFonts w:hint="eastAsia" w:ascii="宋体" w:hAnsi="宋体" w:eastAsia="宋体" w:cs="宋体"/>
          <w:b w:val="0"/>
          <w:bCs w:val="0"/>
          <w:i w:val="0"/>
          <w:iCs w:val="0"/>
          <w:smallCaps w:val="0"/>
          <w:strike w:val="0"/>
          <w:color w:val="auto"/>
          <w:spacing w:val="0"/>
          <w:w w:val="100"/>
          <w:position w:val="0"/>
          <w:sz w:val="20"/>
          <w:szCs w:val="20"/>
          <w:highlight w:val="none"/>
          <w:u w:val="single" w:color="auto"/>
          <w:shd w:val="clear" w:color="auto" w:fill="auto"/>
          <w:lang w:val="zh-TW" w:eastAsia="zh-CN" w:bidi="zh-TW"/>
        </w:rPr>
        <w:t>日历天，具体以监理发岀的书面开工令时间为准。</w:t>
      </w:r>
    </w:p>
    <w:p>
      <w:pPr>
        <w:pStyle w:val="6"/>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（3）缺陷责任期为：</w:t>
      </w:r>
      <w:r>
        <w:rPr>
          <w:rFonts w:hint="eastAsia"/>
          <w:color w:val="auto"/>
          <w:sz w:val="21"/>
          <w:szCs w:val="21"/>
          <w:u w:val="single"/>
        </w:rPr>
        <w:t>24个月</w:t>
      </w:r>
      <w:r>
        <w:rPr>
          <w:rFonts w:hint="eastAsia"/>
          <w:color w:val="auto"/>
          <w:sz w:val="21"/>
          <w:szCs w:val="21"/>
        </w:rPr>
        <w:t>。</w:t>
      </w:r>
    </w:p>
    <w:p>
      <w:pPr>
        <w:pStyle w:val="6"/>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（4）质量要求：合格</w:t>
      </w:r>
    </w:p>
    <w:p>
      <w:pPr>
        <w:pStyle w:val="6"/>
        <w:tabs>
          <w:tab w:val="left" w:pos="1929"/>
        </w:tabs>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rPr>
        <w:t>（5）资金来源：</w:t>
      </w:r>
      <w:r>
        <w:rPr>
          <w:rFonts w:hint="eastAsia"/>
          <w:color w:val="auto"/>
          <w:sz w:val="21"/>
          <w:szCs w:val="21"/>
          <w:lang w:eastAsia="zh-CN"/>
        </w:rPr>
        <w:t>财政资金</w:t>
      </w:r>
    </w:p>
    <w:p>
      <w:pPr>
        <w:pStyle w:val="6"/>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2.2招标范围及标段划分：本招标项目共分1个标段，标段编号、标段名称、建设地点、招标范围、投资额如下：</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6"/>
        <w:gridCol w:w="1876"/>
        <w:gridCol w:w="1502"/>
        <w:gridCol w:w="2276"/>
        <w:gridCol w:w="1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4"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标段编号</w:t>
            </w:r>
          </w:p>
        </w:tc>
        <w:tc>
          <w:tcPr>
            <w:tcW w:w="2006"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标段名称</w:t>
            </w:r>
          </w:p>
        </w:tc>
        <w:tc>
          <w:tcPr>
            <w:tcW w:w="1615"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建设地点</w:t>
            </w:r>
          </w:p>
        </w:tc>
        <w:tc>
          <w:tcPr>
            <w:tcW w:w="2448"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招标范围</w:t>
            </w:r>
          </w:p>
        </w:tc>
        <w:tc>
          <w:tcPr>
            <w:tcW w:w="1873"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投资额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4" w:type="dxa"/>
            <w:noWrap w:val="0"/>
            <w:vAlign w:val="center"/>
          </w:tcPr>
          <w:p>
            <w:pPr>
              <w:pStyle w:val="6"/>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 xml:space="preserve">DFGC2022009302 </w:t>
            </w:r>
          </w:p>
        </w:tc>
        <w:tc>
          <w:tcPr>
            <w:tcW w:w="2006" w:type="dxa"/>
            <w:noWrap w:val="0"/>
            <w:vAlign w:val="center"/>
          </w:tcPr>
          <w:p>
            <w:pPr>
              <w:pStyle w:val="6"/>
              <w:tabs>
                <w:tab w:val="left" w:pos="1929"/>
              </w:tabs>
              <w:autoSpaceDE/>
              <w:autoSpaceDN/>
              <w:adjustRightInd w:val="0"/>
              <w:snapToGrid w:val="0"/>
              <w:spacing w:line="240" w:lineRule="auto"/>
              <w:jc w:val="center"/>
              <w:rPr>
                <w:rFonts w:hint="default"/>
                <w:color w:val="auto"/>
                <w:sz w:val="21"/>
                <w:szCs w:val="21"/>
                <w:lang w:val="en-US" w:eastAsia="zh-CN"/>
              </w:rPr>
            </w:pPr>
            <w:r>
              <w:rPr>
                <w:rFonts w:hint="eastAsia"/>
                <w:color w:val="auto"/>
                <w:sz w:val="21"/>
                <w:szCs w:val="21"/>
                <w:lang w:eastAsia="zh-CN"/>
              </w:rPr>
              <w:t>2022年大丰区刘庄镇农村公路维修工程</w:t>
            </w:r>
          </w:p>
        </w:tc>
        <w:tc>
          <w:tcPr>
            <w:tcW w:w="1615" w:type="dxa"/>
            <w:noWrap w:val="0"/>
            <w:vAlign w:val="center"/>
          </w:tcPr>
          <w:p>
            <w:pPr>
              <w:pStyle w:val="6"/>
              <w:tabs>
                <w:tab w:val="left" w:pos="1929"/>
              </w:tabs>
              <w:autoSpaceDE/>
              <w:autoSpaceDN/>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刘庄镇光荣西中心路</w:t>
            </w:r>
          </w:p>
        </w:tc>
        <w:tc>
          <w:tcPr>
            <w:tcW w:w="2448" w:type="dxa"/>
            <w:noWrap w:val="0"/>
            <w:vAlign w:val="center"/>
          </w:tcPr>
          <w:p>
            <w:pPr>
              <w:pStyle w:val="6"/>
              <w:tabs>
                <w:tab w:val="left" w:pos="1929"/>
              </w:tabs>
              <w:autoSpaceDE/>
              <w:autoSpaceDN/>
              <w:adjustRightInd w:val="0"/>
              <w:snapToGrid w:val="0"/>
              <w:spacing w:line="240" w:lineRule="auto"/>
              <w:jc w:val="center"/>
              <w:rPr>
                <w:rFonts w:hint="eastAsia"/>
                <w:color w:val="auto"/>
                <w:sz w:val="21"/>
                <w:szCs w:val="21"/>
                <w:lang w:eastAsia="zh-CN"/>
              </w:rPr>
            </w:pPr>
            <w:r>
              <w:rPr>
                <w:rFonts w:hint="eastAsia"/>
                <w:color w:val="auto"/>
                <w:sz w:val="21"/>
                <w:szCs w:val="21"/>
                <w:lang w:val="en-US" w:eastAsia="zh-CN"/>
              </w:rPr>
              <w:t>刘庄镇光荣西中心路维修</w:t>
            </w:r>
            <w:r>
              <w:rPr>
                <w:rFonts w:hint="eastAsia"/>
                <w:color w:val="auto"/>
                <w:sz w:val="21"/>
                <w:szCs w:val="21"/>
                <w:lang w:eastAsia="zh-CN"/>
              </w:rPr>
              <w:t>，具体内容详见招标人提供的工程量清单及施工图纸。</w:t>
            </w:r>
          </w:p>
        </w:tc>
        <w:tc>
          <w:tcPr>
            <w:tcW w:w="1873" w:type="dxa"/>
            <w:noWrap w:val="0"/>
            <w:vAlign w:val="center"/>
          </w:tcPr>
          <w:p>
            <w:pPr>
              <w:pStyle w:val="6"/>
              <w:tabs>
                <w:tab w:val="left" w:pos="1929"/>
              </w:tabs>
              <w:autoSpaceDE/>
              <w:autoSpaceDN/>
              <w:adjustRightInd w:val="0"/>
              <w:snapToGrid w:val="0"/>
              <w:spacing w:line="420" w:lineRule="exact"/>
              <w:jc w:val="center"/>
              <w:rPr>
                <w:rFonts w:hint="eastAsia" w:eastAsia="宋体"/>
                <w:color w:val="auto"/>
                <w:sz w:val="21"/>
                <w:szCs w:val="21"/>
                <w:lang w:val="en-US" w:eastAsia="zh-CN"/>
              </w:rPr>
            </w:pPr>
            <w:r>
              <w:rPr>
                <w:rFonts w:hint="eastAsia"/>
                <w:color w:val="auto"/>
                <w:sz w:val="21"/>
                <w:szCs w:val="21"/>
                <w:u w:val="single"/>
                <w:lang w:val="en-US" w:eastAsia="zh-CN"/>
              </w:rPr>
              <w:t xml:space="preserve"> 187.18 </w:t>
            </w:r>
            <w:r>
              <w:rPr>
                <w:rFonts w:hint="eastAsia" w:eastAsia="宋体"/>
                <w:color w:val="auto"/>
                <w:sz w:val="21"/>
                <w:szCs w:val="21"/>
                <w:lang w:val="en-US" w:eastAsia="zh-CN"/>
              </w:rPr>
              <w:t>万元</w:t>
            </w:r>
          </w:p>
        </w:tc>
      </w:tr>
    </w:tbl>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2" w:name="_bookmark3"/>
      <w:bookmarkEnd w:id="2"/>
      <w:r>
        <w:rPr>
          <w:rFonts w:hint="eastAsia"/>
          <w:b/>
          <w:color w:val="auto"/>
          <w:sz w:val="21"/>
          <w:szCs w:val="21"/>
        </w:rPr>
        <w:t>投标人资格要求</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3.1 投标人应具备承担本次招标项目标段施工的资质条件、能力和信誉要求为：</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（1）企业资质：</w:t>
      </w:r>
      <w:r>
        <w:rPr>
          <w:rFonts w:hint="eastAsia"/>
          <w:color w:val="auto"/>
          <w:sz w:val="21"/>
          <w:szCs w:val="21"/>
        </w:rPr>
        <w:t>中华人民共和国境内独立法人企业，营业执照合法有效,具有建设行政主管部门核发的公路工程施工总承包三级及以上资质；具有合法有效的省级及以上建设行政主管部门核发的安全生产许可证</w:t>
      </w:r>
      <w:r>
        <w:rPr>
          <w:rFonts w:hint="eastAsia"/>
          <w:color w:val="auto"/>
          <w:sz w:val="21"/>
          <w:szCs w:val="21"/>
          <w:lang w:val="en-US" w:eastAsia="zh-CN"/>
        </w:rPr>
        <w:t>，</w:t>
      </w:r>
      <w:r>
        <w:rPr>
          <w:rFonts w:hint="eastAsia"/>
          <w:color w:val="auto"/>
          <w:sz w:val="21"/>
          <w:szCs w:val="21"/>
        </w:rPr>
        <w:t>并在人员、设备、资金等方面具有相应的施工能力。且投标当日至本工程中标候选人公示期满上述资质动态核查均处于合格状态。</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2</w:t>
      </w:r>
      <w:r>
        <w:rPr>
          <w:rFonts w:hint="eastAsia"/>
          <w:b/>
          <w:color w:val="auto"/>
          <w:sz w:val="21"/>
          <w:szCs w:val="21"/>
        </w:rPr>
        <w:t>）财务要求</w:t>
      </w:r>
      <w:r>
        <w:rPr>
          <w:rFonts w:hint="eastAsia"/>
          <w:color w:val="auto"/>
          <w:sz w:val="21"/>
          <w:szCs w:val="21"/>
        </w:rPr>
        <w:t>：投标人须具有良好的商业信誉和健全的财务会计制度。</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3</w:t>
      </w:r>
      <w:r>
        <w:rPr>
          <w:rFonts w:hint="eastAsia"/>
          <w:b/>
          <w:color w:val="auto"/>
          <w:sz w:val="21"/>
          <w:szCs w:val="21"/>
        </w:rPr>
        <w:t>）信誉要求：</w:t>
      </w:r>
      <w:r>
        <w:rPr>
          <w:rFonts w:hint="eastAsia"/>
          <w:color w:val="auto"/>
          <w:sz w:val="21"/>
          <w:szCs w:val="21"/>
        </w:rPr>
        <w:t>投标人在江苏省交通厅最新信用等级考核（以递交投标文件截止当日为准）为 A 级（含暂 A）及以上。</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在国家企业信用信息公示系统中被列入严重违法失信企业的投标人、“信用中国”网站（</w:t>
      </w:r>
      <w:r>
        <w:rPr>
          <w:rFonts w:hint="eastAsia"/>
          <w:color w:val="auto"/>
          <w:sz w:val="21"/>
          <w:szCs w:val="21"/>
        </w:rPr>
        <w:fldChar w:fldCharType="begin"/>
      </w:r>
      <w:r>
        <w:rPr>
          <w:rFonts w:hint="eastAsia"/>
          <w:color w:val="auto"/>
          <w:sz w:val="21"/>
          <w:szCs w:val="21"/>
        </w:rPr>
        <w:instrText xml:space="preserve"> HYPERLINK "http://www.creditchina.gov.cn/" \h </w:instrText>
      </w:r>
      <w:r>
        <w:rPr>
          <w:rFonts w:hint="eastAsia"/>
          <w:color w:val="auto"/>
          <w:sz w:val="21"/>
          <w:szCs w:val="21"/>
        </w:rPr>
        <w:fldChar w:fldCharType="separate"/>
      </w:r>
      <w:r>
        <w:rPr>
          <w:rStyle w:val="16"/>
          <w:rFonts w:hint="eastAsia"/>
          <w:color w:val="auto"/>
          <w:sz w:val="21"/>
          <w:szCs w:val="21"/>
        </w:rPr>
        <w:t>http://www.creditchina.gov.cn/</w:t>
      </w:r>
      <w:r>
        <w:rPr>
          <w:rFonts w:hint="eastAsia"/>
          <w:color w:val="auto"/>
          <w:sz w:val="21"/>
          <w:szCs w:val="21"/>
        </w:rPr>
        <w:fldChar w:fldCharType="end"/>
      </w:r>
      <w:r>
        <w:rPr>
          <w:rFonts w:hint="eastAsia"/>
          <w:color w:val="auto"/>
          <w:sz w:val="21"/>
          <w:szCs w:val="21"/>
        </w:rPr>
        <w:t>）中被列入失信被执行人名单的投标人，不得参加投标。投标人或者中标候选人因正被列为失信被执行人，导致其被取消中标候选人资格、中标人资格的，不因其之后失信信息被撤销或更正而改变已经作出的决定。</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w:t>
      </w:r>
      <w:r>
        <w:rPr>
          <w:rFonts w:hint="eastAsia"/>
          <w:b/>
          <w:color w:val="auto"/>
          <w:sz w:val="21"/>
          <w:szCs w:val="21"/>
          <w:lang w:val="en-US" w:eastAsia="zh-CN"/>
        </w:rPr>
        <w:t>4</w:t>
      </w:r>
      <w:r>
        <w:rPr>
          <w:rFonts w:hint="eastAsia"/>
          <w:b/>
          <w:color w:val="auto"/>
          <w:sz w:val="21"/>
          <w:szCs w:val="21"/>
        </w:rPr>
        <w:t>）项目经理和技术负责人（项目总工）要求：</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①项目经理：</w:t>
      </w:r>
      <w:r>
        <w:rPr>
          <w:rFonts w:hint="eastAsia"/>
          <w:color w:val="auto"/>
          <w:sz w:val="21"/>
          <w:szCs w:val="21"/>
        </w:rPr>
        <w:t>必须是投标人本单位正式职工，具有公路工程专业二级注册建造师证书，且具有省级及以上交通运输主管部门核发的《公路水运工程施工企业主要负责人和安全生产管理人员安全生产考核合格证书》(B证)，且未发生重大质量事故、安全事故。</w:t>
      </w:r>
      <w:r>
        <w:rPr>
          <w:rFonts w:hint="eastAsia"/>
          <w:b/>
          <w:color w:val="auto"/>
          <w:sz w:val="21"/>
          <w:szCs w:val="21"/>
        </w:rPr>
        <w:t>从本工程投标文件递交截止之日起无在建工程，如目前仍在其他项目上任职，则投标人在投标时应提供由该项目发包人出具的、承诺上述人员能够从该项目撤离的书面证明材料原件。</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②项目总工：</w:t>
      </w:r>
      <w:r>
        <w:rPr>
          <w:rFonts w:hint="eastAsia"/>
          <w:color w:val="auto"/>
          <w:sz w:val="21"/>
          <w:szCs w:val="21"/>
        </w:rPr>
        <w:t>必须是投标人本单位正式职工，具有交通工程及相关专业中级及以上职称，且具有省级及以上交通运输主管部门核发的《公路水运工程施工企业主要负责人和安全生产管理人员安全生产考核合格证书》(B证)，且未发生重大质量事故、安全事故。</w:t>
      </w:r>
      <w:r>
        <w:rPr>
          <w:rFonts w:hint="eastAsia"/>
          <w:b/>
          <w:color w:val="auto"/>
          <w:sz w:val="21"/>
          <w:szCs w:val="21"/>
        </w:rPr>
        <w:t>从本工程投标文件递交截止之日起无在建工程，如目前仍在其他项目上任职，则投标人在投标时应提供由该项目发包人出具的、承诺上述人员能够从该项目撤离的书面证明材料原件。</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5</w:t>
      </w:r>
      <w:r>
        <w:rPr>
          <w:rFonts w:hint="eastAsia"/>
          <w:b/>
          <w:color w:val="auto"/>
          <w:sz w:val="21"/>
          <w:szCs w:val="21"/>
        </w:rPr>
        <w:t>）安全员资格：</w:t>
      </w:r>
      <w:r>
        <w:rPr>
          <w:rFonts w:hint="eastAsia"/>
          <w:color w:val="auto"/>
          <w:sz w:val="21"/>
          <w:szCs w:val="21"/>
        </w:rPr>
        <w:t>拟投入的专职安全生产管理人员数量必须满足《公路水运工程安全生产监督管理办法》规定的要求（施工合同额按不含暂定金认定）；具有省级及以上交通运输主管部门核发的《公路水运工程施工企业主要负责人和安全生产管理人员安全生产考核合格证书》（C证）。</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注：交通工程相关专业包括公路工程、桥梁工程、公路与桥梁工程、交通土建、隧道（地下结构）工程、交通工程等专业职称。</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招标人不接受投标人的企业法定代表人或总经理担任本项目的项目经理、技术负责人及其他任何职务，否则资格审查不予通过。</w:t>
      </w:r>
    </w:p>
    <w:p>
      <w:pPr>
        <w:autoSpaceDE/>
        <w:autoSpaceDN/>
        <w:adjustRightInd w:val="0"/>
        <w:snapToGrid w:val="0"/>
        <w:spacing w:line="420" w:lineRule="exact"/>
        <w:ind w:firstLine="420" w:firstLineChars="200"/>
        <w:rPr>
          <w:color w:val="auto"/>
        </w:rPr>
      </w:pPr>
      <w:r>
        <w:rPr>
          <w:rFonts w:hint="eastAsia"/>
          <w:color w:val="auto"/>
          <w:sz w:val="21"/>
          <w:szCs w:val="21"/>
        </w:rPr>
        <w:t>（</w:t>
      </w:r>
      <w:r>
        <w:rPr>
          <w:rFonts w:hint="eastAsia"/>
          <w:color w:val="auto"/>
          <w:sz w:val="21"/>
          <w:szCs w:val="21"/>
          <w:lang w:val="en-US" w:eastAsia="zh-CN"/>
        </w:rPr>
        <w:t>6</w:t>
      </w:r>
      <w:r>
        <w:rPr>
          <w:rFonts w:hint="eastAsia"/>
          <w:color w:val="auto"/>
          <w:sz w:val="21"/>
          <w:szCs w:val="21"/>
        </w:rPr>
        <w:t>）投标申请人须保证项目部主要组成人员（包括项目经理、项目总工、专职安全员）及</w:t>
      </w:r>
      <w:r>
        <w:rPr>
          <w:rFonts w:hint="eastAsia"/>
          <w:b/>
          <w:color w:val="auto"/>
          <w:sz w:val="21"/>
          <w:szCs w:val="21"/>
        </w:rPr>
        <w:t>授权委托人</w:t>
      </w:r>
      <w:r>
        <w:rPr>
          <w:rFonts w:hint="eastAsia"/>
          <w:color w:val="auto"/>
          <w:sz w:val="21"/>
          <w:szCs w:val="21"/>
        </w:rPr>
        <w:t>（可为项目部主要组成人员）均为本单位的正式职工，并</w:t>
      </w:r>
      <w:r>
        <w:rPr>
          <w:color w:val="auto"/>
        </w:rPr>
        <w:t>确保</w:t>
      </w:r>
      <w:r>
        <w:rPr>
          <w:rFonts w:hint="eastAsia"/>
          <w:color w:val="auto"/>
          <w:sz w:val="21"/>
          <w:szCs w:val="21"/>
        </w:rPr>
        <w:t>自</w:t>
      </w:r>
      <w:r>
        <w:rPr>
          <w:rFonts w:hint="eastAsia"/>
          <w:color w:val="auto"/>
          <w:sz w:val="21"/>
          <w:szCs w:val="21"/>
          <w:lang w:val="en-US" w:eastAsia="zh-CN"/>
        </w:rPr>
        <w:t>2022</w:t>
      </w:r>
      <w:r>
        <w:rPr>
          <w:color w:val="auto"/>
          <w:sz w:val="21"/>
          <w:szCs w:val="21"/>
        </w:rPr>
        <w:t>年</w:t>
      </w:r>
      <w:r>
        <w:rPr>
          <w:rFonts w:hint="eastAsia"/>
          <w:color w:val="auto"/>
          <w:sz w:val="21"/>
          <w:szCs w:val="21"/>
          <w:lang w:val="en-US" w:eastAsia="zh-CN"/>
        </w:rPr>
        <w:t>2</w:t>
      </w:r>
      <w:r>
        <w:rPr>
          <w:color w:val="auto"/>
          <w:sz w:val="21"/>
          <w:szCs w:val="21"/>
        </w:rPr>
        <w:t>月份（含</w:t>
      </w:r>
      <w:r>
        <w:rPr>
          <w:rFonts w:hint="eastAsia"/>
          <w:color w:val="auto"/>
          <w:sz w:val="21"/>
          <w:szCs w:val="21"/>
          <w:lang w:val="en-US" w:eastAsia="zh-CN"/>
        </w:rPr>
        <w:t>2</w:t>
      </w:r>
      <w:r>
        <w:rPr>
          <w:color w:val="auto"/>
          <w:sz w:val="21"/>
          <w:szCs w:val="21"/>
        </w:rPr>
        <w:t>月份）以来任意连续6 个月均已在本单位缴纳养老</w:t>
      </w:r>
      <w:r>
        <w:rPr>
          <w:rFonts w:hint="eastAsia"/>
          <w:color w:val="auto"/>
          <w:sz w:val="21"/>
          <w:szCs w:val="21"/>
        </w:rPr>
        <w:t>保险。投标时无需提供缴费记录证明，中标候选人公示前、异议（投诉）提出时相关单位需提供缴费记录证明原件（事业单位需提供人社部门出具的该单位及项目组人员事业性质证明原件）给招标人核验</w:t>
      </w:r>
      <w:r>
        <w:rPr>
          <w:color w:val="auto"/>
        </w:rPr>
        <w:t>。</w:t>
      </w:r>
    </w:p>
    <w:p>
      <w:pPr>
        <w:autoSpaceDE/>
        <w:autoSpaceDN/>
        <w:adjustRightInd w:val="0"/>
        <w:snapToGrid w:val="0"/>
        <w:spacing w:line="420" w:lineRule="exact"/>
        <w:ind w:firstLine="440" w:firstLineChars="200"/>
        <w:rPr>
          <w:rFonts w:hint="eastAsia"/>
          <w:b/>
          <w:color w:val="auto"/>
          <w:sz w:val="21"/>
          <w:szCs w:val="21"/>
        </w:rPr>
      </w:pPr>
      <w:r>
        <w:rPr>
          <w:rFonts w:hint="eastAsia"/>
          <w:color w:val="auto"/>
        </w:rPr>
        <w:t>注：</w:t>
      </w:r>
      <w:r>
        <w:rPr>
          <w:color w:val="auto"/>
          <w:sz w:val="21"/>
          <w:szCs w:val="21"/>
        </w:rPr>
        <w:t>投标申请人通过补交养老保险等方式使得</w:t>
      </w:r>
      <w:r>
        <w:rPr>
          <w:rFonts w:hint="eastAsia"/>
          <w:color w:val="auto"/>
          <w:sz w:val="21"/>
          <w:szCs w:val="21"/>
        </w:rPr>
        <w:t>项目部主要组成人员（至少包括项目经理、项目总工、专职安全员）及授权委托人</w:t>
      </w:r>
      <w:r>
        <w:rPr>
          <w:color w:val="auto"/>
          <w:sz w:val="21"/>
          <w:szCs w:val="21"/>
        </w:rPr>
        <w:t>的参保符合</w:t>
      </w:r>
      <w:r>
        <w:rPr>
          <w:rFonts w:hint="eastAsia"/>
          <w:color w:val="auto"/>
          <w:sz w:val="21"/>
          <w:szCs w:val="21"/>
        </w:rPr>
        <w:t>招标文件</w:t>
      </w:r>
      <w:r>
        <w:rPr>
          <w:color w:val="auto"/>
          <w:sz w:val="21"/>
          <w:szCs w:val="21"/>
        </w:rPr>
        <w:t>要求的不予认可。如申请人注册所在地人力资源和社会保障部门明确的最大查询期与招标公告、招标文件规定的月份不一</w:t>
      </w:r>
      <w:r>
        <w:rPr>
          <w:rFonts w:hint="eastAsia"/>
          <w:color w:val="auto"/>
          <w:sz w:val="21"/>
          <w:szCs w:val="21"/>
        </w:rPr>
        <w:t>致时，须提供相应的文件规定。</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3.2本次招标不接受联合体投标。</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3.3与招标人存在利害关系可能影响招标公正性的单位，不得参加投标,具体情况如下：</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a.为招标人不具有独立法人资格的附属机构（单位）；</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b.与招标人存在利害关系且可能影响招标公正性；</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c.与本标段的其他投标人同为一个单位负责人；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d.与本标段的其他投标人存在控股、管理关系；</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e.为本标段前期准备提供设计或咨询服务的法人或其任何附属机构（单位）；</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f.为本标段的监理人；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g.为本标段的代建人；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h.为本标段的招标代理机构；</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i.与本标段的监理人或代建人或招标代理机构同为一个法定代表人；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j.与本标段的监理人或代建人或招标代理机构存在控股或参股关系；</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k.法律法规或投标人须知前附表规定的其他情形。</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否则，其申请均无效，投标文件不予接收（接收的文件也不参加审查）。</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3.4评标前由招标人对照省政府第 120 号令要求，进行评标准备工作，并核实投标人和项目负责人的资质和资格、经历和业绩、在建工程和信用状况等方面的情况。</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3.5盐城市招投标及标后履约不良行为系统已启用，投标承诺的人员不到场以及其他履约不良记录，将会被系统记录，影响后续参加我市招投标活动，请各投标人慎重选派项目人员，诚信投标、确保履约。</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3" w:name="_bookmark4"/>
      <w:bookmarkEnd w:id="3"/>
      <w:r>
        <w:rPr>
          <w:rFonts w:hint="eastAsia"/>
          <w:b/>
          <w:color w:val="auto"/>
          <w:sz w:val="21"/>
          <w:szCs w:val="21"/>
        </w:rPr>
        <w:t>资格审查方式</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本次招标采用资格后审。投标时必须提供下列资格审查资料：</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（1）投标人有效的营业执照（副本）。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（2）投标人有效的施工资质证书（副本）。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（3）投标人有效的企业安全生产许可证（副本）。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（4）符合招标公告约定要求的项目经理的建造师注册证书、投标项目经理有效的安全生产考核合格证（B类）。</w:t>
      </w:r>
    </w:p>
    <w:p>
      <w:pPr>
        <w:widowControl/>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（5）拟投标项目部成员的相关证书，其中：技术负责人（项目总工）需提供符合招标公告要求的职称证书、安全生产考核合格证（B类），专职安全员提供符合招标公告要求的安全生产C类考核合格证书。</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rPr>
        <w:t>6</w:t>
      </w:r>
      <w:r>
        <w:rPr>
          <w:rFonts w:hint="eastAsia"/>
          <w:color w:val="auto"/>
          <w:sz w:val="21"/>
          <w:szCs w:val="21"/>
        </w:rPr>
        <w:t>）投标文件递交截止日当天，投标企业在最近一次江苏交通项目的信用档案等级评定中被评为 A 级（含 A 级暂定）及以上的相关证明材料或网上查询结果证明（可以是网上截图的打印件）。</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rPr>
        <w:t>7</w:t>
      </w:r>
      <w:r>
        <w:rPr>
          <w:rFonts w:hint="eastAsia"/>
          <w:color w:val="auto"/>
          <w:sz w:val="21"/>
          <w:szCs w:val="21"/>
        </w:rPr>
        <w:t>）投标文件递交截止日当天，没有在“国家企业信用信息公示系统”中被列入严重违法失信企业、“信用中国”网站（</w:t>
      </w:r>
      <w:r>
        <w:rPr>
          <w:rFonts w:hint="eastAsia"/>
          <w:color w:val="auto"/>
          <w:sz w:val="21"/>
          <w:szCs w:val="21"/>
        </w:rPr>
        <w:fldChar w:fldCharType="begin"/>
      </w:r>
      <w:r>
        <w:rPr>
          <w:rFonts w:hint="eastAsia"/>
          <w:color w:val="auto"/>
          <w:sz w:val="21"/>
          <w:szCs w:val="21"/>
        </w:rPr>
        <w:instrText xml:space="preserve"> HYPERLINK "http://www.creditchina.gov.cn/" \h </w:instrText>
      </w:r>
      <w:r>
        <w:rPr>
          <w:rFonts w:hint="eastAsia"/>
          <w:color w:val="auto"/>
          <w:sz w:val="21"/>
          <w:szCs w:val="21"/>
        </w:rPr>
        <w:fldChar w:fldCharType="separate"/>
      </w:r>
      <w:r>
        <w:rPr>
          <w:rFonts w:hint="eastAsia"/>
          <w:color w:val="auto"/>
          <w:sz w:val="21"/>
          <w:szCs w:val="21"/>
        </w:rPr>
        <w:t>http://www.creditchina.gov.cn/</w:t>
      </w:r>
      <w:r>
        <w:rPr>
          <w:rFonts w:hint="eastAsia"/>
          <w:color w:val="auto"/>
          <w:sz w:val="21"/>
          <w:szCs w:val="21"/>
        </w:rPr>
        <w:fldChar w:fldCharType="end"/>
      </w:r>
      <w:r>
        <w:rPr>
          <w:rFonts w:hint="eastAsia"/>
          <w:color w:val="auto"/>
          <w:sz w:val="21"/>
          <w:szCs w:val="21"/>
        </w:rPr>
        <w:t>）中被列入失信被执行人名单的相关证明材料或网上查询结果证明（可以是网上截图的打印件）。投标人提供距开标截止日3日之内的相关证明材料或查询结果，如投标文件递交截止日当天被评标委员会查询到在上述网站中被列入严重违法失信企业或失信被执行人名单的按废标处理。</w:t>
      </w:r>
    </w:p>
    <w:p>
      <w:pPr>
        <w:autoSpaceDE/>
        <w:autoSpaceDN/>
        <w:adjustRightInd w:val="0"/>
        <w:snapToGrid w:val="0"/>
        <w:spacing w:line="420" w:lineRule="exact"/>
        <w:ind w:firstLine="420" w:firstLineChars="200"/>
        <w:rPr>
          <w:rFonts w:hint="eastAsia"/>
        </w:rPr>
      </w:pPr>
      <w:r>
        <w:rPr>
          <w:rFonts w:hint="eastAsia"/>
          <w:color w:val="auto"/>
          <w:sz w:val="21"/>
          <w:szCs w:val="21"/>
        </w:rPr>
        <w:t>（</w:t>
      </w:r>
      <w:r>
        <w:rPr>
          <w:rFonts w:hint="eastAsia"/>
          <w:color w:val="auto"/>
          <w:sz w:val="21"/>
          <w:szCs w:val="21"/>
          <w:lang w:val="en-US" w:eastAsia="zh-CN"/>
        </w:rPr>
        <w:t>8</w:t>
      </w:r>
      <w:r>
        <w:rPr>
          <w:rFonts w:hint="eastAsia"/>
          <w:color w:val="auto"/>
          <w:sz w:val="21"/>
          <w:szCs w:val="21"/>
        </w:rPr>
        <w:t>）招标文件要求提供的其他材料。</w:t>
      </w:r>
    </w:p>
    <w:p>
      <w:pPr>
        <w:widowControl/>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以上资料提供带可识别二维码</w:t>
      </w:r>
      <w:r>
        <w:rPr>
          <w:rFonts w:hint="eastAsia"/>
          <w:color w:val="auto"/>
          <w:sz w:val="21"/>
          <w:szCs w:val="21"/>
          <w:lang w:eastAsia="zh-CN"/>
        </w:rPr>
        <w:t>的</w:t>
      </w:r>
      <w:r>
        <w:rPr>
          <w:rFonts w:hint="eastAsia"/>
          <w:color w:val="auto"/>
          <w:sz w:val="21"/>
          <w:szCs w:val="21"/>
          <w:lang w:val="en-US" w:eastAsia="zh-CN"/>
        </w:rPr>
        <w:t>原件彩色扫描件</w:t>
      </w:r>
      <w:r>
        <w:rPr>
          <w:rFonts w:hint="eastAsia"/>
          <w:color w:val="auto"/>
          <w:sz w:val="21"/>
          <w:szCs w:val="21"/>
        </w:rPr>
        <w:t>。</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招标文件的获取</w:t>
      </w:r>
    </w:p>
    <w:p>
      <w:pPr>
        <w:pageBreakBefore w:val="0"/>
        <w:widowControl/>
        <w:kinsoku/>
        <w:wordWrap/>
        <w:overflowPunct/>
        <w:topLinePunct w:val="0"/>
        <w:autoSpaceDE/>
        <w:autoSpaceDN/>
        <w:bidi w:val="0"/>
        <w:adjustRightInd w:val="0"/>
        <w:snapToGrid w:val="0"/>
        <w:spacing w:line="420" w:lineRule="exact"/>
        <w:ind w:left="0" w:leftChars="0" w:firstLine="420" w:firstLineChars="200"/>
        <w:textAlignment w:val="auto"/>
        <w:rPr>
          <w:rFonts w:hint="eastAsia"/>
          <w:color w:val="auto"/>
          <w:sz w:val="21"/>
          <w:szCs w:val="21"/>
        </w:rPr>
      </w:pPr>
      <w:r>
        <w:rPr>
          <w:rFonts w:hint="eastAsia"/>
          <w:color w:val="auto"/>
          <w:sz w:val="21"/>
          <w:szCs w:val="21"/>
        </w:rPr>
        <w:t>（1）本公告发布之日起至投标截止时间止，凡有意参加投标者，请登录盐城市招投标会员网上交易系统大丰平台购买招标文件。（投标人合理选择下载招标文件时间，逾期未下载造成无法提出答疑、无法投标等情形的，责任自负）。</w:t>
      </w:r>
    </w:p>
    <w:p>
      <w:pPr>
        <w:pageBreakBefore w:val="0"/>
        <w:widowControl/>
        <w:kinsoku/>
        <w:wordWrap/>
        <w:overflowPunct/>
        <w:topLinePunct w:val="0"/>
        <w:autoSpaceDE/>
        <w:autoSpaceDN/>
        <w:bidi w:val="0"/>
        <w:adjustRightInd w:val="0"/>
        <w:snapToGrid w:val="0"/>
        <w:spacing w:line="420" w:lineRule="exact"/>
        <w:ind w:left="0" w:leftChars="0" w:firstLine="420" w:firstLineChars="200"/>
        <w:textAlignment w:val="auto"/>
        <w:rPr>
          <w:rFonts w:hint="eastAsia"/>
          <w:color w:val="auto"/>
          <w:spacing w:val="-3"/>
          <w:sz w:val="21"/>
          <w:szCs w:val="21"/>
        </w:rPr>
      </w:pPr>
      <w:r>
        <w:rPr>
          <w:rFonts w:hint="eastAsia"/>
          <w:color w:val="auto"/>
          <w:sz w:val="21"/>
          <w:szCs w:val="21"/>
        </w:rPr>
        <w:t>（2）</w:t>
      </w:r>
      <w:r>
        <w:rPr>
          <w:rFonts w:hint="eastAsia"/>
          <w:color w:val="auto"/>
          <w:spacing w:val="-3"/>
          <w:sz w:val="21"/>
          <w:szCs w:val="21"/>
        </w:rPr>
        <w:t>招标文件获取方式：投标人使用“CA 数字证书”登录“电子招标投标交易平台”获取。本招标公告及招标文件中“电子招标投标交易平台”是指：“盐城市招投标会员网上交易系统大丰平台”（网址： http://221.231.4.242:81/yanchenghuiyuan/login.aspx）</w:t>
      </w:r>
    </w:p>
    <w:p>
      <w:pPr>
        <w:pageBreakBefore w:val="0"/>
        <w:kinsoku/>
        <w:wordWrap/>
        <w:overflowPunct/>
        <w:topLinePunct w:val="0"/>
        <w:autoSpaceDE/>
        <w:autoSpaceDN/>
        <w:bidi w:val="0"/>
        <w:adjustRightInd w:val="0"/>
        <w:snapToGrid w:val="0"/>
        <w:spacing w:line="420" w:lineRule="exact"/>
        <w:ind w:left="0" w:leftChars="0" w:firstLine="420" w:firstLineChars="200"/>
        <w:textAlignment w:val="auto"/>
        <w:rPr>
          <w:rFonts w:hint="eastAsia"/>
          <w:color w:val="auto"/>
          <w:sz w:val="21"/>
          <w:szCs w:val="21"/>
        </w:rPr>
      </w:pPr>
      <w:r>
        <w:rPr>
          <w:rFonts w:hint="eastAsia"/>
          <w:color w:val="auto"/>
          <w:sz w:val="21"/>
          <w:szCs w:val="21"/>
        </w:rPr>
        <w:t>（3）招标文件每套售价</w:t>
      </w:r>
      <w:r>
        <w:rPr>
          <w:rFonts w:hint="eastAsia"/>
          <w:color w:val="auto"/>
          <w:sz w:val="21"/>
          <w:szCs w:val="21"/>
          <w:lang w:val="en-US" w:eastAsia="zh-CN"/>
        </w:rPr>
        <w:t>250</w:t>
      </w:r>
      <w:r>
        <w:rPr>
          <w:rFonts w:hint="eastAsia"/>
          <w:color w:val="auto"/>
          <w:sz w:val="21"/>
          <w:szCs w:val="21"/>
        </w:rPr>
        <w:t>元，售后不退。</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4" w:name="_bookmark5"/>
      <w:bookmarkEnd w:id="4"/>
      <w:r>
        <w:rPr>
          <w:rFonts w:hint="eastAsia"/>
          <w:b/>
          <w:color w:val="auto"/>
          <w:sz w:val="21"/>
          <w:szCs w:val="21"/>
        </w:rPr>
        <w:t>标前会和现场踏勘</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招标人不统一组织标前会和现场踏勘。投标人可自行调查，如需招标人协助，请提前通知，招标人将给予协助。</w:t>
      </w:r>
    </w:p>
    <w:p>
      <w:pPr>
        <w:numPr>
          <w:ilvl w:val="0"/>
          <w:numId w:val="2"/>
        </w:numPr>
        <w:tabs>
          <w:tab w:val="left" w:pos="718"/>
        </w:tabs>
        <w:autoSpaceDE/>
        <w:autoSpaceDN/>
        <w:adjustRightInd w:val="0"/>
        <w:snapToGrid w:val="0"/>
        <w:spacing w:line="420" w:lineRule="exact"/>
        <w:ind w:left="0" w:firstLine="420" w:firstLineChars="200"/>
        <w:rPr>
          <w:rFonts w:hint="eastAsia" w:ascii="宋体" w:hAnsi="宋体" w:eastAsia="宋体" w:cs="宋体"/>
          <w:b/>
          <w:color w:val="auto"/>
          <w:sz w:val="21"/>
          <w:szCs w:val="21"/>
          <w:lang w:val="en-US" w:eastAsia="zh-CN"/>
        </w:rPr>
      </w:pPr>
      <w:r>
        <w:rPr>
          <w:rFonts w:hint="eastAsia"/>
          <w:color w:val="auto"/>
          <w:sz w:val="21"/>
          <w:szCs w:val="21"/>
        </w:rPr>
        <w:t>本次招标采用</w:t>
      </w:r>
      <w:r>
        <w:rPr>
          <w:rFonts w:hint="eastAsia" w:ascii="宋体" w:hAnsi="宋体" w:cs="宋体"/>
          <w:b/>
          <w:bCs/>
          <w:color w:val="auto"/>
          <w:sz w:val="21"/>
          <w:szCs w:val="21"/>
          <w:u w:val="single"/>
          <w:lang w:eastAsia="zh-CN"/>
        </w:rPr>
        <w:t>经评审的最低投标价法</w:t>
      </w:r>
      <w:r>
        <w:rPr>
          <w:rFonts w:hint="eastAsia"/>
          <w:color w:val="auto"/>
          <w:sz w:val="21"/>
          <w:szCs w:val="21"/>
        </w:rPr>
        <w:t>确定中标人法，评标标准和方法详见招标文件第三章。</w:t>
      </w:r>
    </w:p>
    <w:p>
      <w:pPr>
        <w:autoSpaceDE/>
        <w:autoSpaceDN/>
        <w:adjustRightInd w:val="0"/>
        <w:snapToGrid w:val="0"/>
        <w:spacing w:line="420" w:lineRule="exact"/>
        <w:ind w:firstLine="420" w:firstLineChars="200"/>
        <w:rPr>
          <w:rFonts w:hint="default" w:eastAsia="宋体"/>
          <w:color w:val="auto"/>
          <w:sz w:val="21"/>
          <w:szCs w:val="21"/>
          <w:u w:val="none"/>
          <w:lang w:val="en-US" w:eastAsia="zh-CN"/>
        </w:rPr>
      </w:pPr>
      <w:r>
        <w:rPr>
          <w:rFonts w:hint="eastAsia"/>
          <w:color w:val="auto"/>
          <w:sz w:val="21"/>
          <w:szCs w:val="21"/>
          <w:lang w:val="en-US"/>
        </w:rPr>
        <w:t>7</w:t>
      </w:r>
      <w:r>
        <w:rPr>
          <w:rFonts w:hint="eastAsia"/>
          <w:color w:val="auto"/>
          <w:sz w:val="21"/>
          <w:szCs w:val="21"/>
        </w:rPr>
        <w:t>.1</w:t>
      </w:r>
      <w:r>
        <w:rPr>
          <w:rFonts w:hint="eastAsia"/>
          <w:color w:val="auto"/>
          <w:szCs w:val="21"/>
        </w:rPr>
        <w:t>投标文件递交</w:t>
      </w:r>
      <w:r>
        <w:rPr>
          <w:rFonts w:hint="eastAsia"/>
          <w:color w:val="auto"/>
          <w:kern w:val="2"/>
        </w:rPr>
        <w:t>截止</w:t>
      </w:r>
      <w:r>
        <w:rPr>
          <w:rFonts w:hint="eastAsia"/>
          <w:color w:val="auto"/>
          <w:szCs w:val="21"/>
        </w:rPr>
        <w:t>时间：</w:t>
      </w:r>
      <w:r>
        <w:rPr>
          <w:rFonts w:hint="eastAsia"/>
          <w:color w:val="auto"/>
          <w:szCs w:val="21"/>
          <w:u w:val="single"/>
        </w:rPr>
        <w:t>202</w:t>
      </w:r>
      <w:r>
        <w:rPr>
          <w:rFonts w:hint="eastAsia"/>
          <w:color w:val="auto"/>
          <w:szCs w:val="21"/>
          <w:u w:val="single"/>
          <w:lang w:val="en-US" w:eastAsia="zh-CN"/>
        </w:rPr>
        <w:t>2</w:t>
      </w:r>
      <w:r>
        <w:rPr>
          <w:rFonts w:hint="eastAsia"/>
          <w:color w:val="auto"/>
          <w:szCs w:val="21"/>
        </w:rPr>
        <w:t>年</w:t>
      </w:r>
      <w:r>
        <w:rPr>
          <w:rFonts w:hint="eastAsia"/>
          <w:color w:val="auto"/>
          <w:szCs w:val="21"/>
          <w:lang w:val="en-US" w:eastAsia="zh-CN"/>
        </w:rPr>
        <w:t>10</w:t>
      </w:r>
      <w:r>
        <w:rPr>
          <w:rFonts w:hint="eastAsia"/>
          <w:color w:val="auto"/>
          <w:szCs w:val="21"/>
        </w:rPr>
        <w:t>月</w:t>
      </w:r>
      <w:r>
        <w:rPr>
          <w:rFonts w:hint="eastAsia"/>
          <w:color w:val="auto"/>
          <w:szCs w:val="21"/>
          <w:lang w:val="en-US" w:eastAsia="zh-CN"/>
        </w:rPr>
        <w:t>13</w:t>
      </w:r>
      <w:r>
        <w:rPr>
          <w:rFonts w:hint="eastAsia"/>
          <w:color w:val="auto"/>
          <w:szCs w:val="21"/>
        </w:rPr>
        <w:t>日</w:t>
      </w:r>
      <w:r>
        <w:rPr>
          <w:rFonts w:hint="eastAsia"/>
          <w:color w:val="auto"/>
          <w:szCs w:val="21"/>
          <w:u w:val="single"/>
          <w:lang w:val="en-US" w:eastAsia="zh-CN"/>
        </w:rPr>
        <w:t>9</w:t>
      </w:r>
      <w:r>
        <w:rPr>
          <w:rFonts w:hint="eastAsia"/>
          <w:color w:val="auto"/>
          <w:szCs w:val="21"/>
        </w:rPr>
        <w:t>时</w:t>
      </w:r>
      <w:r>
        <w:rPr>
          <w:rFonts w:hint="eastAsia"/>
          <w:color w:val="auto"/>
          <w:szCs w:val="21"/>
          <w:u w:val="single"/>
          <w:lang w:val="en-US" w:eastAsia="zh-CN"/>
        </w:rPr>
        <w:t>00</w:t>
      </w:r>
      <w:r>
        <w:rPr>
          <w:rFonts w:hint="eastAsia"/>
          <w:color w:val="auto"/>
          <w:szCs w:val="21"/>
          <w:u w:val="none"/>
          <w:lang w:val="en-US" w:eastAsia="zh-CN"/>
        </w:rPr>
        <w:t>分</w:t>
      </w:r>
    </w:p>
    <w:p>
      <w:pPr>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lang w:val="en-US"/>
        </w:rPr>
        <w:t>7.2 电子投标文件提交地点：投标人于投标截止时间止将</w:t>
      </w:r>
      <w:r>
        <w:rPr>
          <w:rFonts w:hint="eastAsia"/>
          <w:color w:val="auto"/>
          <w:sz w:val="21"/>
          <w:szCs w:val="21"/>
          <w:lang w:val="en-US" w:eastAsia="zh-CN"/>
        </w:rPr>
        <w:t>加盖投标单位公章的投标文件扫描件电子档压缩包发送至指定邮箱：1071193060</w:t>
      </w:r>
      <w:r>
        <w:rPr>
          <w:rFonts w:hint="eastAsia"/>
          <w:color w:val="auto"/>
          <w:sz w:val="21"/>
          <w:szCs w:val="21"/>
          <w:lang w:val="en-US"/>
        </w:rPr>
        <w:t>@qq.com</w:t>
      </w:r>
      <w:r>
        <w:rPr>
          <w:rFonts w:hint="eastAsia"/>
          <w:color w:val="auto"/>
          <w:sz w:val="21"/>
          <w:szCs w:val="21"/>
          <w:lang w:val="en-US" w:eastAsia="zh-CN"/>
        </w:rPr>
        <w:t>，以邮箱收到邮件时间为准，为防止网络延时，建议投标人提前发送邮件，逾期收到的邮件视为投标文件未按时送达。</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lang w:val="en-US"/>
        </w:rPr>
        <w:t xml:space="preserve">7.3 </w:t>
      </w:r>
      <w:r>
        <w:rPr>
          <w:rFonts w:hint="eastAsia"/>
          <w:color w:val="auto"/>
          <w:sz w:val="21"/>
          <w:szCs w:val="21"/>
        </w:rPr>
        <w:t>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结合当前疫情防控要求，本项目开标方式为</w:t>
      </w:r>
      <w:r>
        <w:rPr>
          <w:rFonts w:hint="eastAsia"/>
          <w:color w:val="auto"/>
          <w:sz w:val="21"/>
          <w:szCs w:val="21"/>
          <w:lang w:eastAsia="zh-CN"/>
        </w:rPr>
        <w:t>不见面开标</w:t>
      </w:r>
      <w:r>
        <w:rPr>
          <w:rFonts w:hint="eastAsia"/>
          <w:color w:val="auto"/>
          <w:sz w:val="21"/>
          <w:szCs w:val="21"/>
        </w:rPr>
        <w:t>。投标人无需到达开标现场，仅需在任意地点通过 PC端或移动端的“腾讯会议”及相应的配套硬件设备参加开标会议。具体内容详见招标文件不见面开标须知。</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发布公告的媒介</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本次招标公告同时在江苏建设工程招标网、</w:t>
      </w:r>
      <w:r>
        <w:rPr>
          <w:rFonts w:hint="eastAsia"/>
          <w:color w:val="auto"/>
          <w:sz w:val="21"/>
          <w:szCs w:val="21"/>
          <w:lang w:eastAsia="zh-CN"/>
        </w:rPr>
        <w:t>盐城市公共资源交易平台、</w:t>
      </w:r>
      <w:r>
        <w:rPr>
          <w:rFonts w:hint="eastAsia"/>
          <w:color w:val="auto"/>
          <w:sz w:val="21"/>
          <w:szCs w:val="21"/>
        </w:rPr>
        <w:t>大丰公共资源电子交易平台上会员系统上发布。</w:t>
      </w:r>
    </w:p>
    <w:p>
      <w:pPr>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rPr>
        <w:t>投标前请及时关注发布公告媒介上的“补充答疑”栏目，及时了解到项目的“补充答疑”等情况。</w:t>
      </w:r>
    </w:p>
    <w:p>
      <w:pPr>
        <w:numPr>
          <w:ilvl w:val="0"/>
          <w:numId w:val="2"/>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联系方式</w:t>
      </w:r>
    </w:p>
    <w:p>
      <w:pPr>
        <w:autoSpaceDE/>
        <w:autoSpaceDN/>
        <w:adjustRightInd w:val="0"/>
        <w:snapToGrid w:val="0"/>
        <w:spacing w:line="420" w:lineRule="exact"/>
        <w:ind w:left="774"/>
        <w:rPr>
          <w:rFonts w:hint="eastAsia" w:eastAsia="宋体"/>
          <w:color w:val="auto"/>
          <w:sz w:val="21"/>
          <w:szCs w:val="21"/>
          <w:lang w:eastAsia="zh-CN"/>
        </w:rPr>
      </w:pPr>
      <w:r>
        <w:rPr>
          <w:rFonts w:hint="eastAsia"/>
          <w:color w:val="auto"/>
          <w:sz w:val="21"/>
          <w:szCs w:val="21"/>
        </w:rPr>
        <w:t>招标人：</w:t>
      </w:r>
      <w:r>
        <w:rPr>
          <w:rFonts w:hint="eastAsia"/>
          <w:color w:val="auto"/>
          <w:sz w:val="21"/>
          <w:szCs w:val="21"/>
          <w:lang w:eastAsia="zh-CN"/>
        </w:rPr>
        <w:t xml:space="preserve">盐城市大丰区刘庄镇人民政府 </w:t>
      </w:r>
    </w:p>
    <w:p>
      <w:pPr>
        <w:autoSpaceDE/>
        <w:autoSpaceDN/>
        <w:adjustRightInd w:val="0"/>
        <w:snapToGrid w:val="0"/>
        <w:spacing w:line="420" w:lineRule="exact"/>
        <w:ind w:left="774"/>
        <w:rPr>
          <w:rFonts w:hint="eastAsia"/>
          <w:color w:val="auto"/>
          <w:sz w:val="21"/>
          <w:szCs w:val="21"/>
        </w:rPr>
      </w:pPr>
      <w:r>
        <w:rPr>
          <w:rFonts w:hint="eastAsia"/>
          <w:color w:val="auto"/>
          <w:sz w:val="21"/>
          <w:szCs w:val="21"/>
        </w:rPr>
        <w:t>联系人：</w:t>
      </w:r>
      <w:r>
        <w:rPr>
          <w:rFonts w:hint="eastAsia"/>
          <w:color w:val="auto"/>
          <w:sz w:val="21"/>
          <w:szCs w:val="21"/>
          <w:lang w:eastAsia="zh-CN"/>
        </w:rPr>
        <w:t xml:space="preserve">胡先生 </w:t>
      </w:r>
      <w:r>
        <w:rPr>
          <w:rFonts w:hint="eastAsia"/>
          <w:color w:val="auto"/>
          <w:sz w:val="21"/>
          <w:szCs w:val="21"/>
        </w:rPr>
        <w:t xml:space="preserve"> </w:t>
      </w:r>
    </w:p>
    <w:p>
      <w:pPr>
        <w:autoSpaceDE/>
        <w:autoSpaceDN/>
        <w:adjustRightInd w:val="0"/>
        <w:snapToGrid w:val="0"/>
        <w:spacing w:line="420" w:lineRule="exact"/>
        <w:ind w:left="774"/>
        <w:rPr>
          <w:rFonts w:hint="eastAsia" w:eastAsia="宋体"/>
          <w:color w:val="auto"/>
          <w:sz w:val="21"/>
          <w:szCs w:val="21"/>
          <w:lang w:eastAsia="zh-CN"/>
        </w:rPr>
      </w:pPr>
      <w:r>
        <w:rPr>
          <w:rFonts w:hint="eastAsia"/>
          <w:color w:val="auto"/>
          <w:sz w:val="21"/>
          <w:szCs w:val="21"/>
        </w:rPr>
        <w:t>电  话：</w:t>
      </w:r>
      <w:r>
        <w:rPr>
          <w:rFonts w:hint="eastAsia"/>
          <w:color w:val="auto"/>
          <w:sz w:val="21"/>
          <w:szCs w:val="21"/>
          <w:lang w:eastAsia="zh-CN"/>
        </w:rPr>
        <w:t>13357982566</w:t>
      </w:r>
    </w:p>
    <w:p>
      <w:pPr>
        <w:autoSpaceDE/>
        <w:autoSpaceDN/>
        <w:adjustRightInd w:val="0"/>
        <w:snapToGrid w:val="0"/>
        <w:spacing w:line="420" w:lineRule="exact"/>
        <w:ind w:left="774"/>
        <w:rPr>
          <w:rFonts w:hint="eastAsia"/>
          <w:color w:val="auto"/>
          <w:sz w:val="21"/>
          <w:szCs w:val="21"/>
        </w:rPr>
      </w:pPr>
      <w:r>
        <w:rPr>
          <w:rFonts w:hint="eastAsia"/>
          <w:color w:val="auto"/>
          <w:sz w:val="21"/>
          <w:szCs w:val="21"/>
        </w:rPr>
        <w:t>招标代理机构：</w:t>
      </w:r>
      <w:r>
        <w:rPr>
          <w:rFonts w:hint="eastAsia"/>
          <w:color w:val="auto"/>
          <w:sz w:val="21"/>
          <w:szCs w:val="21"/>
          <w:lang w:eastAsia="zh-CN"/>
        </w:rPr>
        <w:t>盐城市同洲工程咨询有限公司</w:t>
      </w:r>
      <w:r>
        <w:rPr>
          <w:rFonts w:hint="eastAsia"/>
          <w:color w:val="auto"/>
          <w:sz w:val="21"/>
          <w:szCs w:val="21"/>
        </w:rPr>
        <w:t xml:space="preserve">  </w:t>
      </w:r>
    </w:p>
    <w:p>
      <w:pPr>
        <w:autoSpaceDE/>
        <w:autoSpaceDN/>
        <w:adjustRightInd w:val="0"/>
        <w:snapToGrid w:val="0"/>
        <w:spacing w:line="420" w:lineRule="exact"/>
        <w:ind w:left="774"/>
        <w:rPr>
          <w:rFonts w:hint="eastAsia"/>
          <w:color w:val="auto"/>
          <w:sz w:val="21"/>
          <w:szCs w:val="21"/>
        </w:rPr>
      </w:pPr>
      <w:r>
        <w:rPr>
          <w:rFonts w:hint="eastAsia"/>
          <w:color w:val="auto"/>
          <w:sz w:val="21"/>
          <w:szCs w:val="21"/>
        </w:rPr>
        <w:t>联系人：</w:t>
      </w:r>
      <w:r>
        <w:rPr>
          <w:rFonts w:hint="eastAsia"/>
          <w:color w:val="auto"/>
          <w:sz w:val="21"/>
          <w:szCs w:val="21"/>
          <w:lang w:val="en-US" w:eastAsia="zh-CN"/>
        </w:rPr>
        <w:t>乔军</w:t>
      </w:r>
      <w:r>
        <w:rPr>
          <w:rFonts w:hint="eastAsia"/>
          <w:color w:val="auto"/>
          <w:sz w:val="21"/>
          <w:szCs w:val="21"/>
          <w:lang w:val="en-US"/>
        </w:rPr>
        <w:t xml:space="preserve">  </w:t>
      </w:r>
      <w:r>
        <w:rPr>
          <w:rFonts w:hint="eastAsia"/>
          <w:color w:val="auto"/>
          <w:sz w:val="21"/>
          <w:szCs w:val="21"/>
        </w:rPr>
        <w:t xml:space="preserve"> </w:t>
      </w:r>
    </w:p>
    <w:p>
      <w:pPr>
        <w:autoSpaceDE/>
        <w:autoSpaceDN/>
        <w:adjustRightInd w:val="0"/>
        <w:snapToGrid w:val="0"/>
        <w:spacing w:line="420" w:lineRule="exact"/>
        <w:ind w:left="774"/>
        <w:rPr>
          <w:rFonts w:hint="eastAsia"/>
          <w:color w:val="auto"/>
          <w:sz w:val="21"/>
          <w:szCs w:val="21"/>
          <w:lang w:val="en-US" w:eastAsia="zh-CN"/>
        </w:rPr>
      </w:pPr>
      <w:r>
        <w:rPr>
          <w:rFonts w:hint="eastAsia"/>
          <w:color w:val="auto"/>
          <w:sz w:val="21"/>
          <w:szCs w:val="21"/>
        </w:rPr>
        <w:t>电话：</w:t>
      </w:r>
      <w:r>
        <w:rPr>
          <w:rFonts w:hint="eastAsia"/>
          <w:color w:val="auto"/>
          <w:sz w:val="21"/>
          <w:szCs w:val="21"/>
          <w:lang w:val="en-US" w:eastAsia="zh-CN"/>
        </w:rPr>
        <w:t>13645100506</w:t>
      </w:r>
    </w:p>
    <w:p>
      <w:pPr>
        <w:autoSpaceDE/>
        <w:autoSpaceDN/>
        <w:adjustRightInd w:val="0"/>
        <w:snapToGrid w:val="0"/>
        <w:spacing w:line="420" w:lineRule="exact"/>
        <w:ind w:left="774"/>
        <w:rPr>
          <w:rFonts w:hint="eastAsia" w:eastAsia="宋体"/>
          <w:color w:val="auto"/>
          <w:sz w:val="21"/>
          <w:szCs w:val="21"/>
          <w:lang w:eastAsia="zh-CN"/>
        </w:rPr>
        <w:sectPr>
          <w:headerReference r:id="rId3" w:type="default"/>
          <w:footerReference r:id="rId4" w:type="default"/>
          <w:pgSz w:w="12240" w:h="15840"/>
          <w:pgMar w:top="1400" w:right="1660" w:bottom="280" w:left="1680" w:header="720" w:footer="720" w:gutter="0"/>
          <w:pgNumType w:start="0"/>
          <w:cols w:space="720" w:num="1"/>
          <w:titlePg/>
          <w:docGrid w:linePitch="299" w:charSpace="0"/>
        </w:sectPr>
      </w:pPr>
      <w:r>
        <w:rPr>
          <w:rFonts w:hint="eastAsia"/>
          <w:color w:val="auto"/>
          <w:sz w:val="21"/>
          <w:szCs w:val="21"/>
        </w:rPr>
        <w:t>地址：</w:t>
      </w:r>
      <w:r>
        <w:rPr>
          <w:rFonts w:hint="eastAsia"/>
          <w:color w:val="auto"/>
          <w:sz w:val="21"/>
          <w:szCs w:val="21"/>
          <w:lang w:eastAsia="zh-CN"/>
        </w:rPr>
        <w:t>盐城市大丰区上海花园18幢104室</w:t>
      </w:r>
    </w:p>
    <w:p>
      <w:pPr>
        <w:tabs>
          <w:tab w:val="left" w:pos="4552"/>
        </w:tabs>
        <w:spacing w:before="41"/>
        <w:jc w:val="center"/>
        <w:rPr>
          <w:rFonts w:ascii="黑体" w:eastAsia="黑体"/>
          <w:b/>
          <w:color w:val="auto"/>
          <w:sz w:val="42"/>
        </w:rPr>
      </w:pPr>
      <w:r>
        <w:rPr>
          <w:rFonts w:hint="eastAsia" w:ascii="黑体" w:eastAsia="黑体"/>
          <w:b/>
          <w:color w:val="auto"/>
          <w:sz w:val="42"/>
        </w:rPr>
        <w:t>第二章 投标人须知</w:t>
      </w:r>
    </w:p>
    <w:p>
      <w:pPr>
        <w:spacing w:before="70"/>
        <w:ind w:left="369"/>
        <w:jc w:val="center"/>
        <w:rPr>
          <w:rFonts w:ascii="黑体" w:hAnsi="黑体" w:eastAsia="黑体"/>
          <w:b/>
          <w:color w:val="auto"/>
          <w:sz w:val="14"/>
        </w:rPr>
      </w:pPr>
      <w:r>
        <w:rPr>
          <w:rFonts w:hint="eastAsia" w:ascii="黑体" w:hAnsi="黑体" w:eastAsia="黑体"/>
          <w:b/>
          <w:color w:val="auto"/>
          <w:sz w:val="28"/>
        </w:rPr>
        <w:t>投标人须知前附表</w:t>
      </w:r>
    </w:p>
    <w:p>
      <w:pPr>
        <w:pStyle w:val="6"/>
        <w:spacing w:before="1"/>
        <w:rPr>
          <w:rFonts w:ascii="黑体"/>
          <w:b/>
          <w:color w:val="auto"/>
          <w:sz w:val="19"/>
        </w:rPr>
      </w:pPr>
    </w:p>
    <w:tbl>
      <w:tblPr>
        <w:tblStyle w:val="13"/>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7"/>
        <w:gridCol w:w="2682"/>
        <w:gridCol w:w="5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37" w:type="dxa"/>
            <w:noWrap w:val="0"/>
            <w:vAlign w:val="top"/>
          </w:tcPr>
          <w:p>
            <w:pPr>
              <w:pStyle w:val="17"/>
              <w:spacing w:before="89" w:line="250" w:lineRule="exact"/>
              <w:ind w:right="191"/>
              <w:jc w:val="right"/>
              <w:rPr>
                <w:b/>
                <w:color w:val="auto"/>
                <w:sz w:val="21"/>
                <w:szCs w:val="21"/>
              </w:rPr>
            </w:pPr>
            <w:r>
              <w:rPr>
                <w:b/>
                <w:color w:val="auto"/>
                <w:sz w:val="21"/>
                <w:szCs w:val="21"/>
              </w:rPr>
              <w:t>条款号</w:t>
            </w:r>
          </w:p>
        </w:tc>
        <w:tc>
          <w:tcPr>
            <w:tcW w:w="2682" w:type="dxa"/>
            <w:noWrap w:val="0"/>
            <w:vAlign w:val="top"/>
          </w:tcPr>
          <w:p>
            <w:pPr>
              <w:pStyle w:val="17"/>
              <w:tabs>
                <w:tab w:val="left" w:pos="423"/>
                <w:tab w:val="left" w:pos="844"/>
                <w:tab w:val="left" w:pos="1266"/>
              </w:tabs>
              <w:spacing w:before="89" w:line="250" w:lineRule="exact"/>
              <w:ind w:left="1"/>
              <w:jc w:val="center"/>
              <w:rPr>
                <w:b/>
                <w:color w:val="auto"/>
                <w:sz w:val="21"/>
                <w:szCs w:val="21"/>
              </w:rPr>
            </w:pPr>
            <w:r>
              <w:rPr>
                <w:b/>
                <w:color w:val="auto"/>
                <w:sz w:val="21"/>
                <w:szCs w:val="21"/>
              </w:rPr>
              <w:t>条</w:t>
            </w:r>
            <w:r>
              <w:rPr>
                <w:b/>
                <w:color w:val="auto"/>
                <w:sz w:val="21"/>
                <w:szCs w:val="21"/>
              </w:rPr>
              <w:tab/>
            </w:r>
            <w:r>
              <w:rPr>
                <w:b/>
                <w:color w:val="auto"/>
                <w:sz w:val="21"/>
                <w:szCs w:val="21"/>
              </w:rPr>
              <w:t>款</w:t>
            </w:r>
            <w:r>
              <w:rPr>
                <w:b/>
                <w:color w:val="auto"/>
                <w:sz w:val="21"/>
                <w:szCs w:val="21"/>
              </w:rPr>
              <w:tab/>
            </w:r>
            <w:r>
              <w:rPr>
                <w:b/>
                <w:color w:val="auto"/>
                <w:sz w:val="21"/>
                <w:szCs w:val="21"/>
              </w:rPr>
              <w:t>名</w:t>
            </w:r>
            <w:r>
              <w:rPr>
                <w:b/>
                <w:color w:val="auto"/>
                <w:sz w:val="21"/>
                <w:szCs w:val="21"/>
              </w:rPr>
              <w:tab/>
            </w:r>
            <w:r>
              <w:rPr>
                <w:b/>
                <w:color w:val="auto"/>
                <w:sz w:val="21"/>
                <w:szCs w:val="21"/>
              </w:rPr>
              <w:t>称</w:t>
            </w:r>
          </w:p>
        </w:tc>
        <w:tc>
          <w:tcPr>
            <w:tcW w:w="5288" w:type="dxa"/>
            <w:noWrap w:val="0"/>
            <w:vAlign w:val="top"/>
          </w:tcPr>
          <w:p>
            <w:pPr>
              <w:pStyle w:val="17"/>
              <w:tabs>
                <w:tab w:val="left" w:pos="427"/>
                <w:tab w:val="left" w:pos="847"/>
                <w:tab w:val="left" w:pos="1270"/>
              </w:tabs>
              <w:spacing w:before="89" w:line="250" w:lineRule="exact"/>
              <w:ind w:left="5"/>
              <w:jc w:val="center"/>
              <w:rPr>
                <w:b/>
                <w:color w:val="auto"/>
                <w:sz w:val="21"/>
                <w:szCs w:val="21"/>
              </w:rPr>
            </w:pPr>
            <w:r>
              <w:rPr>
                <w:b/>
                <w:color w:val="auto"/>
                <w:sz w:val="21"/>
                <w:szCs w:val="21"/>
              </w:rPr>
              <w:t>编</w:t>
            </w:r>
            <w:r>
              <w:rPr>
                <w:b/>
                <w:color w:val="auto"/>
                <w:sz w:val="21"/>
                <w:szCs w:val="21"/>
              </w:rPr>
              <w:tab/>
            </w:r>
            <w:r>
              <w:rPr>
                <w:b/>
                <w:color w:val="auto"/>
                <w:sz w:val="21"/>
                <w:szCs w:val="21"/>
              </w:rPr>
              <w:t>列</w:t>
            </w:r>
            <w:r>
              <w:rPr>
                <w:b/>
                <w:color w:val="auto"/>
                <w:sz w:val="21"/>
                <w:szCs w:val="21"/>
              </w:rPr>
              <w:tab/>
            </w:r>
            <w:r>
              <w:rPr>
                <w:b/>
                <w:color w:val="auto"/>
                <w:sz w:val="21"/>
                <w:szCs w:val="21"/>
              </w:rPr>
              <w:t>内</w:t>
            </w:r>
            <w:r>
              <w:rPr>
                <w:b/>
                <w:color w:val="auto"/>
                <w:sz w:val="21"/>
                <w:szCs w:val="21"/>
              </w:rPr>
              <w:tab/>
            </w:r>
            <w:r>
              <w:rPr>
                <w:b/>
                <w:color w:val="auto"/>
                <w:sz w:val="21"/>
                <w:szCs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1037" w:type="dxa"/>
            <w:noWrap w:val="0"/>
            <w:vAlign w:val="top"/>
          </w:tcPr>
          <w:p>
            <w:pPr>
              <w:pStyle w:val="17"/>
              <w:rPr>
                <w:rFonts w:ascii="黑体"/>
                <w:b/>
                <w:color w:val="auto"/>
                <w:sz w:val="21"/>
                <w:szCs w:val="21"/>
              </w:rPr>
            </w:pPr>
          </w:p>
          <w:p>
            <w:pPr>
              <w:pStyle w:val="17"/>
              <w:spacing w:before="12"/>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1.1.2</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spacing w:before="1"/>
              <w:ind w:left="3"/>
              <w:jc w:val="center"/>
              <w:rPr>
                <w:color w:val="auto"/>
                <w:sz w:val="21"/>
                <w:szCs w:val="21"/>
              </w:rPr>
            </w:pPr>
            <w:r>
              <w:rPr>
                <w:color w:val="auto"/>
                <w:sz w:val="21"/>
                <w:szCs w:val="21"/>
              </w:rPr>
              <w:t>招标人</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cs="宋体"/>
                <w:color w:val="auto"/>
                <w:sz w:val="21"/>
                <w:szCs w:val="21"/>
                <w:lang w:eastAsia="zh-CN"/>
              </w:rPr>
              <w:t xml:space="preserve">盐城市大丰区刘庄镇人民政府 </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cs="宋体"/>
                <w:color w:val="auto"/>
                <w:sz w:val="21"/>
                <w:szCs w:val="21"/>
                <w:lang w:eastAsia="zh-CN"/>
              </w:rPr>
              <w:t>盐城市大丰区刘庄镇</w:t>
            </w:r>
          </w:p>
          <w:p>
            <w:pPr>
              <w:pStyle w:val="17"/>
              <w:spacing w:before="92"/>
              <w:ind w:left="107"/>
              <w:rPr>
                <w:rFonts w:hint="eastAsia" w:ascii="宋体" w:hAnsi="宋体" w:eastAsia="宋体" w:cs="宋体"/>
                <w:color w:val="auto"/>
                <w:sz w:val="21"/>
                <w:szCs w:val="21"/>
              </w:rPr>
            </w:pPr>
            <w:r>
              <w:rPr>
                <w:rFonts w:hint="eastAsia" w:ascii="宋体" w:hAnsi="宋体" w:eastAsia="宋体" w:cs="宋体"/>
                <w:color w:val="auto"/>
                <w:sz w:val="21"/>
                <w:szCs w:val="21"/>
              </w:rPr>
              <w:t>联系人：</w:t>
            </w:r>
            <w:r>
              <w:rPr>
                <w:rFonts w:hint="eastAsia" w:cs="宋体"/>
                <w:color w:val="auto"/>
                <w:sz w:val="21"/>
                <w:szCs w:val="21"/>
                <w:lang w:eastAsia="zh-CN"/>
              </w:rPr>
              <w:t xml:space="preserve">胡先生 </w:t>
            </w:r>
            <w:r>
              <w:rPr>
                <w:rFonts w:hint="eastAsia" w:ascii="宋体" w:hAnsi="宋体" w:eastAsia="宋体" w:cs="宋体"/>
                <w:color w:val="auto"/>
                <w:sz w:val="21"/>
                <w:szCs w:val="21"/>
                <w:lang w:val="en-US"/>
              </w:rPr>
              <w:t xml:space="preserve"> </w:t>
            </w:r>
          </w:p>
          <w:p>
            <w:pPr>
              <w:pStyle w:val="17"/>
              <w:spacing w:before="92"/>
              <w:ind w:left="107"/>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cs="宋体"/>
                <w:color w:val="auto"/>
                <w:sz w:val="21"/>
                <w:szCs w:val="21"/>
                <w:lang w:eastAsia="zh-CN"/>
              </w:rPr>
              <w:t>13357982566</w:t>
            </w:r>
            <w:r>
              <w:rPr>
                <w:rFonts w:hint="eastAsia" w:ascii="宋体" w:hAnsi="宋体" w:eastAsia="宋体" w:cs="宋体"/>
                <w:color w:val="auto"/>
                <w:sz w:val="21"/>
                <w:szCs w:val="21"/>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37" w:type="dxa"/>
            <w:noWrap w:val="0"/>
            <w:vAlign w:val="top"/>
          </w:tcPr>
          <w:p>
            <w:pPr>
              <w:pStyle w:val="17"/>
              <w:rPr>
                <w:rFonts w:ascii="黑体"/>
                <w:b/>
                <w:color w:val="auto"/>
                <w:sz w:val="21"/>
                <w:szCs w:val="21"/>
              </w:rPr>
            </w:pPr>
          </w:p>
          <w:p>
            <w:pPr>
              <w:pStyle w:val="17"/>
              <w:spacing w:before="12"/>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1.1.3</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spacing w:before="1"/>
              <w:ind w:left="3"/>
              <w:jc w:val="center"/>
              <w:rPr>
                <w:color w:val="auto"/>
                <w:sz w:val="21"/>
                <w:szCs w:val="21"/>
              </w:rPr>
            </w:pPr>
            <w:r>
              <w:rPr>
                <w:color w:val="auto"/>
                <w:sz w:val="21"/>
                <w:szCs w:val="21"/>
              </w:rPr>
              <w:t>招标代理机构</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cs="宋体"/>
                <w:color w:val="auto"/>
                <w:sz w:val="21"/>
                <w:szCs w:val="21"/>
                <w:lang w:eastAsia="zh-CN"/>
              </w:rPr>
              <w:t>盐城市同洲工程咨询有限公司</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cs="宋体"/>
                <w:color w:val="auto"/>
                <w:sz w:val="21"/>
                <w:szCs w:val="21"/>
                <w:lang w:eastAsia="zh-CN"/>
              </w:rPr>
              <w:t>盐城市大丰区上海花园18幢104室</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联系人：</w:t>
            </w:r>
            <w:r>
              <w:rPr>
                <w:rFonts w:hint="eastAsia" w:cs="宋体"/>
                <w:color w:val="auto"/>
                <w:sz w:val="21"/>
                <w:szCs w:val="21"/>
                <w:lang w:eastAsia="zh-CN"/>
              </w:rPr>
              <w:t>乔军</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cs="宋体"/>
                <w:color w:val="auto"/>
                <w:sz w:val="21"/>
                <w:szCs w:val="21"/>
                <w:lang w:eastAsia="zh-CN"/>
              </w:rPr>
              <w:t>13645100506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37" w:type="dxa"/>
            <w:noWrap w:val="0"/>
            <w:vAlign w:val="top"/>
          </w:tcPr>
          <w:p>
            <w:pPr>
              <w:pStyle w:val="17"/>
              <w:spacing w:before="102" w:line="226" w:lineRule="exact"/>
              <w:ind w:right="295"/>
              <w:jc w:val="right"/>
              <w:rPr>
                <w:rFonts w:ascii="Times New Roman"/>
                <w:color w:val="auto"/>
                <w:sz w:val="21"/>
                <w:szCs w:val="21"/>
              </w:rPr>
            </w:pPr>
            <w:r>
              <w:rPr>
                <w:rFonts w:ascii="Times New Roman"/>
                <w:color w:val="auto"/>
                <w:sz w:val="21"/>
                <w:szCs w:val="21"/>
              </w:rPr>
              <w:t>1.1.4</w:t>
            </w:r>
          </w:p>
        </w:tc>
        <w:tc>
          <w:tcPr>
            <w:tcW w:w="2682" w:type="dxa"/>
            <w:noWrap w:val="0"/>
            <w:vAlign w:val="top"/>
          </w:tcPr>
          <w:p>
            <w:pPr>
              <w:pStyle w:val="17"/>
              <w:spacing w:before="78" w:line="250" w:lineRule="exact"/>
              <w:ind w:left="3"/>
              <w:jc w:val="center"/>
              <w:rPr>
                <w:color w:val="auto"/>
                <w:sz w:val="21"/>
                <w:szCs w:val="21"/>
              </w:rPr>
            </w:pPr>
            <w:r>
              <w:rPr>
                <w:color w:val="auto"/>
                <w:sz w:val="21"/>
                <w:szCs w:val="21"/>
              </w:rPr>
              <w:t>招标项目</w:t>
            </w:r>
            <w:r>
              <w:rPr>
                <w:rFonts w:hint="eastAsia"/>
                <w:color w:val="auto"/>
                <w:sz w:val="21"/>
                <w:szCs w:val="21"/>
                <w:lang w:eastAsia="zh-CN"/>
              </w:rPr>
              <w:t>标段</w:t>
            </w:r>
            <w:r>
              <w:rPr>
                <w:color w:val="auto"/>
                <w:sz w:val="21"/>
                <w:szCs w:val="21"/>
              </w:rPr>
              <w:t>名称</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cs="宋体"/>
                <w:color w:val="auto"/>
                <w:sz w:val="21"/>
                <w:szCs w:val="21"/>
                <w:lang w:val="en-US" w:eastAsia="zh-CN"/>
              </w:rPr>
              <w:t>2022年大丰区刘庄镇农村公路维修工程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1.1.5</w:t>
            </w:r>
          </w:p>
        </w:tc>
        <w:tc>
          <w:tcPr>
            <w:tcW w:w="2682" w:type="dxa"/>
            <w:noWrap w:val="0"/>
            <w:vAlign w:val="top"/>
          </w:tcPr>
          <w:p>
            <w:pPr>
              <w:pStyle w:val="17"/>
              <w:spacing w:before="90" w:line="250" w:lineRule="exact"/>
              <w:ind w:left="3"/>
              <w:jc w:val="center"/>
              <w:rPr>
                <w:color w:val="auto"/>
                <w:sz w:val="21"/>
                <w:szCs w:val="21"/>
              </w:rPr>
            </w:pPr>
            <w:r>
              <w:rPr>
                <w:color w:val="auto"/>
                <w:sz w:val="21"/>
                <w:szCs w:val="21"/>
              </w:rPr>
              <w:t>标段建设地点</w:t>
            </w:r>
          </w:p>
        </w:tc>
        <w:tc>
          <w:tcPr>
            <w:tcW w:w="5288" w:type="dxa"/>
            <w:noWrap w:val="0"/>
            <w:vAlign w:val="center"/>
          </w:tcPr>
          <w:p>
            <w:pPr>
              <w:pStyle w:val="17"/>
              <w:spacing w:before="92"/>
              <w:ind w:left="107"/>
              <w:rPr>
                <w:rFonts w:ascii="宋体" w:hAnsi="宋体" w:eastAsia="宋体" w:cs="宋体"/>
                <w:color w:val="auto"/>
                <w:sz w:val="21"/>
                <w:szCs w:val="21"/>
              </w:rPr>
            </w:pPr>
            <w:r>
              <w:rPr>
                <w:rFonts w:hint="eastAsia" w:cs="宋体"/>
                <w:color w:val="auto"/>
                <w:sz w:val="21"/>
                <w:szCs w:val="21"/>
                <w:lang w:val="en-US" w:eastAsia="zh-CN"/>
              </w:rPr>
              <w:t>盐城市大丰区刘庄镇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37" w:type="dxa"/>
            <w:noWrap w:val="0"/>
            <w:vAlign w:val="top"/>
          </w:tcPr>
          <w:p>
            <w:pPr>
              <w:pStyle w:val="17"/>
              <w:spacing w:before="115" w:line="226" w:lineRule="exact"/>
              <w:ind w:right="295"/>
              <w:jc w:val="right"/>
              <w:rPr>
                <w:rFonts w:ascii="Times New Roman"/>
                <w:color w:val="auto"/>
                <w:sz w:val="21"/>
                <w:szCs w:val="21"/>
              </w:rPr>
            </w:pPr>
            <w:r>
              <w:rPr>
                <w:rFonts w:ascii="Times New Roman"/>
                <w:color w:val="auto"/>
                <w:sz w:val="21"/>
                <w:szCs w:val="21"/>
              </w:rPr>
              <w:t>1.2.1</w:t>
            </w:r>
          </w:p>
        </w:tc>
        <w:tc>
          <w:tcPr>
            <w:tcW w:w="2682" w:type="dxa"/>
            <w:noWrap w:val="0"/>
            <w:vAlign w:val="top"/>
          </w:tcPr>
          <w:p>
            <w:pPr>
              <w:pStyle w:val="17"/>
              <w:spacing w:before="92" w:line="250" w:lineRule="exact"/>
              <w:ind w:left="3"/>
              <w:jc w:val="center"/>
              <w:rPr>
                <w:color w:val="auto"/>
                <w:sz w:val="21"/>
                <w:szCs w:val="21"/>
              </w:rPr>
            </w:pPr>
            <w:r>
              <w:rPr>
                <w:color w:val="auto"/>
                <w:sz w:val="21"/>
                <w:szCs w:val="21"/>
              </w:rPr>
              <w:t>资金来源及比例</w:t>
            </w:r>
          </w:p>
        </w:tc>
        <w:tc>
          <w:tcPr>
            <w:tcW w:w="5288" w:type="dxa"/>
            <w:noWrap w:val="0"/>
            <w:vAlign w:val="center"/>
          </w:tcPr>
          <w:p>
            <w:pPr>
              <w:pStyle w:val="17"/>
              <w:spacing w:before="92"/>
              <w:ind w:left="107"/>
              <w:rPr>
                <w:rFonts w:hint="eastAsia" w:ascii="宋体" w:hAnsi="宋体" w:eastAsia="宋体" w:cs="宋体"/>
                <w:color w:val="auto"/>
                <w:sz w:val="21"/>
                <w:szCs w:val="21"/>
              </w:rPr>
            </w:pPr>
            <w:r>
              <w:rPr>
                <w:rFonts w:hint="eastAsia" w:cs="宋体"/>
                <w:color w:val="auto"/>
                <w:sz w:val="21"/>
                <w:szCs w:val="21"/>
                <w:lang w:eastAsia="zh-CN"/>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1.2.2</w:t>
            </w:r>
          </w:p>
        </w:tc>
        <w:tc>
          <w:tcPr>
            <w:tcW w:w="2682" w:type="dxa"/>
            <w:noWrap w:val="0"/>
            <w:vAlign w:val="top"/>
          </w:tcPr>
          <w:p>
            <w:pPr>
              <w:pStyle w:val="17"/>
              <w:spacing w:before="90" w:line="250" w:lineRule="exact"/>
              <w:ind w:left="3"/>
              <w:jc w:val="center"/>
              <w:rPr>
                <w:color w:val="auto"/>
                <w:sz w:val="21"/>
                <w:szCs w:val="21"/>
              </w:rPr>
            </w:pPr>
            <w:r>
              <w:rPr>
                <w:color w:val="auto"/>
                <w:sz w:val="21"/>
                <w:szCs w:val="21"/>
              </w:rPr>
              <w:t>资金落实情况</w:t>
            </w:r>
          </w:p>
        </w:tc>
        <w:tc>
          <w:tcPr>
            <w:tcW w:w="5288" w:type="dxa"/>
            <w:noWrap w:val="0"/>
            <w:vAlign w:val="center"/>
          </w:tcPr>
          <w:p>
            <w:pPr>
              <w:pStyle w:val="17"/>
              <w:spacing w:before="92"/>
              <w:ind w:left="107"/>
              <w:rPr>
                <w:rFonts w:ascii="宋体" w:hAnsi="宋体" w:eastAsia="宋体" w:cs="宋体"/>
                <w:color w:val="auto"/>
                <w:sz w:val="21"/>
                <w:szCs w:val="21"/>
              </w:rPr>
            </w:pPr>
            <w:r>
              <w:rPr>
                <w:rFonts w:ascii="宋体" w:hAnsi="宋体" w:eastAsia="宋体" w:cs="宋体"/>
                <w:color w:val="auto"/>
                <w:sz w:val="21"/>
                <w:szCs w:val="21"/>
              </w:rPr>
              <w:t>资金来源已落实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1.3.1</w:t>
            </w:r>
          </w:p>
        </w:tc>
        <w:tc>
          <w:tcPr>
            <w:tcW w:w="2682" w:type="dxa"/>
            <w:noWrap w:val="0"/>
            <w:vAlign w:val="top"/>
          </w:tcPr>
          <w:p>
            <w:pPr>
              <w:pStyle w:val="17"/>
              <w:spacing w:before="89" w:line="250" w:lineRule="exact"/>
              <w:ind w:left="5"/>
              <w:jc w:val="center"/>
              <w:rPr>
                <w:color w:val="auto"/>
                <w:sz w:val="21"/>
                <w:szCs w:val="21"/>
              </w:rPr>
            </w:pPr>
            <w:r>
              <w:rPr>
                <w:color w:val="auto"/>
                <w:sz w:val="21"/>
                <w:szCs w:val="21"/>
              </w:rPr>
              <w:t>招标范围</w:t>
            </w:r>
          </w:p>
        </w:tc>
        <w:tc>
          <w:tcPr>
            <w:tcW w:w="5288" w:type="dxa"/>
            <w:noWrap w:val="0"/>
            <w:vAlign w:val="top"/>
          </w:tcPr>
          <w:p>
            <w:pPr>
              <w:pStyle w:val="17"/>
              <w:spacing w:before="92"/>
              <w:ind w:left="107"/>
              <w:rPr>
                <w:rFonts w:ascii="宋体" w:hAnsi="宋体" w:eastAsia="宋体" w:cs="宋体"/>
                <w:color w:val="auto"/>
                <w:sz w:val="21"/>
                <w:szCs w:val="21"/>
              </w:rPr>
            </w:pPr>
            <w:r>
              <w:rPr>
                <w:rFonts w:hint="eastAsia" w:cs="宋体"/>
                <w:color w:val="auto"/>
                <w:sz w:val="21"/>
                <w:szCs w:val="21"/>
                <w:lang w:val="en-US" w:eastAsia="zh-CN"/>
              </w:rPr>
              <w:t>2022年大丰区刘庄镇农村公路维修工程</w:t>
            </w:r>
            <w:r>
              <w:rPr>
                <w:rFonts w:hint="eastAsia" w:ascii="宋体" w:hAnsi="宋体" w:eastAsia="宋体" w:cs="宋体"/>
                <w:color w:val="auto"/>
                <w:sz w:val="21"/>
                <w:szCs w:val="21"/>
                <w:lang w:val="en-US" w:eastAsia="zh-CN"/>
              </w:rPr>
              <w:t>，详见招标人提供的施工图纸、工程量清单。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037" w:type="dxa"/>
            <w:noWrap w:val="0"/>
            <w:vAlign w:val="top"/>
          </w:tcPr>
          <w:p>
            <w:pPr>
              <w:pStyle w:val="17"/>
              <w:rPr>
                <w:rFonts w:ascii="黑体"/>
                <w:b/>
                <w:color w:val="auto"/>
                <w:sz w:val="21"/>
                <w:szCs w:val="21"/>
              </w:rPr>
            </w:pPr>
          </w:p>
          <w:p>
            <w:pPr>
              <w:pStyle w:val="17"/>
              <w:spacing w:before="191"/>
              <w:ind w:right="295"/>
              <w:jc w:val="right"/>
              <w:rPr>
                <w:rFonts w:ascii="Times New Roman"/>
                <w:color w:val="auto"/>
                <w:sz w:val="21"/>
                <w:szCs w:val="21"/>
              </w:rPr>
            </w:pPr>
            <w:r>
              <w:rPr>
                <w:rFonts w:ascii="Times New Roman"/>
                <w:color w:val="auto"/>
                <w:sz w:val="21"/>
                <w:szCs w:val="21"/>
              </w:rPr>
              <w:t>1.3.2</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ind w:left="5"/>
              <w:jc w:val="center"/>
              <w:rPr>
                <w:color w:val="auto"/>
                <w:sz w:val="21"/>
                <w:szCs w:val="21"/>
              </w:rPr>
            </w:pPr>
            <w:r>
              <w:rPr>
                <w:color w:val="auto"/>
                <w:sz w:val="21"/>
                <w:szCs w:val="21"/>
              </w:rPr>
              <w:t>计划工期</w:t>
            </w:r>
          </w:p>
        </w:tc>
        <w:tc>
          <w:tcPr>
            <w:tcW w:w="5288" w:type="dxa"/>
            <w:noWrap w:val="0"/>
            <w:vAlign w:val="top"/>
          </w:tcPr>
          <w:p>
            <w:pPr>
              <w:pStyle w:val="17"/>
              <w:tabs>
                <w:tab w:val="left" w:pos="1998"/>
              </w:tabs>
              <w:spacing w:before="90"/>
              <w:ind w:left="107"/>
              <w:rPr>
                <w:color w:val="auto"/>
                <w:sz w:val="21"/>
                <w:szCs w:val="21"/>
              </w:rPr>
            </w:pPr>
            <w:r>
              <w:rPr>
                <w:color w:val="auto"/>
                <w:sz w:val="21"/>
                <w:szCs w:val="21"/>
              </w:rPr>
              <w:t>计划</w:t>
            </w:r>
            <w:r>
              <w:rPr>
                <w:color w:val="auto"/>
                <w:spacing w:val="-3"/>
                <w:sz w:val="21"/>
                <w:szCs w:val="21"/>
              </w:rPr>
              <w:t>工</w:t>
            </w:r>
            <w:r>
              <w:rPr>
                <w:color w:val="auto"/>
                <w:sz w:val="21"/>
                <w:szCs w:val="21"/>
              </w:rPr>
              <w:t>期</w:t>
            </w:r>
            <w:r>
              <w:rPr>
                <w:color w:val="auto"/>
                <w:spacing w:val="-3"/>
                <w:sz w:val="21"/>
                <w:szCs w:val="21"/>
              </w:rPr>
              <w:t>：</w:t>
            </w:r>
            <w:r>
              <w:rPr>
                <w:rFonts w:hint="eastAsia"/>
                <w:color w:val="auto"/>
                <w:spacing w:val="-3"/>
                <w:sz w:val="21"/>
                <w:szCs w:val="21"/>
                <w:u w:val="single"/>
                <w:lang w:val="en-US"/>
              </w:rPr>
              <w:t xml:space="preserve">  </w:t>
            </w:r>
            <w:r>
              <w:rPr>
                <w:rFonts w:hint="eastAsia"/>
                <w:color w:val="auto"/>
                <w:spacing w:val="-3"/>
                <w:sz w:val="21"/>
                <w:szCs w:val="21"/>
                <w:u w:val="single"/>
                <w:lang w:val="en-US" w:eastAsia="zh-CN"/>
              </w:rPr>
              <w:t>90</w:t>
            </w:r>
            <w:r>
              <w:rPr>
                <w:rFonts w:hint="eastAsia"/>
                <w:color w:val="auto"/>
                <w:spacing w:val="-3"/>
                <w:sz w:val="21"/>
                <w:szCs w:val="21"/>
                <w:u w:val="single"/>
                <w:lang w:val="en-US"/>
              </w:rPr>
              <w:t xml:space="preserve">   </w:t>
            </w:r>
            <w:r>
              <w:rPr>
                <w:color w:val="auto"/>
                <w:sz w:val="21"/>
                <w:szCs w:val="21"/>
              </w:rPr>
              <w:t>日</w:t>
            </w:r>
            <w:r>
              <w:rPr>
                <w:color w:val="auto"/>
                <w:spacing w:val="-3"/>
                <w:sz w:val="21"/>
                <w:szCs w:val="21"/>
              </w:rPr>
              <w:t>历</w:t>
            </w:r>
            <w:r>
              <w:rPr>
                <w:color w:val="auto"/>
                <w:sz w:val="21"/>
                <w:szCs w:val="21"/>
              </w:rPr>
              <w:t>天</w:t>
            </w:r>
          </w:p>
          <w:p>
            <w:pPr>
              <w:pStyle w:val="17"/>
              <w:tabs>
                <w:tab w:val="left" w:pos="1998"/>
                <w:tab w:val="left" w:pos="2838"/>
                <w:tab w:val="left" w:pos="3468"/>
              </w:tabs>
              <w:spacing w:line="360" w:lineRule="atLeast"/>
              <w:ind w:left="107" w:right="196"/>
              <w:rPr>
                <w:rFonts w:hint="eastAsia"/>
                <w:color w:val="auto"/>
                <w:sz w:val="21"/>
                <w:szCs w:val="21"/>
              </w:rPr>
            </w:pPr>
            <w:r>
              <w:rPr>
                <w:color w:val="auto"/>
                <w:sz w:val="21"/>
                <w:szCs w:val="21"/>
              </w:rPr>
              <w:t>计划</w:t>
            </w:r>
            <w:r>
              <w:rPr>
                <w:color w:val="auto"/>
                <w:spacing w:val="-3"/>
                <w:sz w:val="21"/>
                <w:szCs w:val="21"/>
              </w:rPr>
              <w:t>开</w:t>
            </w:r>
            <w:r>
              <w:rPr>
                <w:color w:val="auto"/>
                <w:sz w:val="21"/>
                <w:szCs w:val="21"/>
              </w:rPr>
              <w:t>工</w:t>
            </w:r>
            <w:r>
              <w:rPr>
                <w:color w:val="auto"/>
                <w:spacing w:val="-3"/>
                <w:sz w:val="21"/>
                <w:szCs w:val="21"/>
              </w:rPr>
              <w:t>日</w:t>
            </w:r>
            <w:r>
              <w:rPr>
                <w:color w:val="auto"/>
                <w:sz w:val="21"/>
                <w:szCs w:val="21"/>
              </w:rPr>
              <w:t>期</w:t>
            </w:r>
            <w:r>
              <w:rPr>
                <w:color w:val="auto"/>
                <w:spacing w:val="-3"/>
                <w:sz w:val="21"/>
                <w:szCs w:val="21"/>
              </w:rPr>
              <w:t>：</w:t>
            </w:r>
            <w:r>
              <w:rPr>
                <w:color w:val="auto"/>
                <w:spacing w:val="-3"/>
                <w:sz w:val="21"/>
                <w:szCs w:val="21"/>
                <w:u w:val="single"/>
              </w:rPr>
              <w:t xml:space="preserve"> </w:t>
            </w:r>
            <w:r>
              <w:rPr>
                <w:rFonts w:hint="eastAsia"/>
                <w:color w:val="auto"/>
                <w:spacing w:val="-3"/>
                <w:sz w:val="21"/>
                <w:szCs w:val="21"/>
                <w:u w:val="single"/>
              </w:rPr>
              <w:t>202</w:t>
            </w:r>
            <w:r>
              <w:rPr>
                <w:rFonts w:hint="eastAsia"/>
                <w:color w:val="auto"/>
                <w:spacing w:val="-3"/>
                <w:sz w:val="21"/>
                <w:szCs w:val="21"/>
                <w:u w:val="single"/>
                <w:lang w:val="en-US" w:eastAsia="zh-CN"/>
              </w:rPr>
              <w:t>2</w:t>
            </w:r>
            <w:r>
              <w:rPr>
                <w:color w:val="auto"/>
                <w:sz w:val="21"/>
                <w:szCs w:val="21"/>
              </w:rPr>
              <w:t>年</w:t>
            </w:r>
            <w:r>
              <w:rPr>
                <w:rFonts w:hint="eastAsia"/>
                <w:color w:val="auto"/>
                <w:sz w:val="21"/>
                <w:szCs w:val="21"/>
                <w:u w:val="single"/>
                <w:lang w:val="en-US"/>
              </w:rPr>
              <w:t xml:space="preserve"> </w:t>
            </w:r>
            <w:r>
              <w:rPr>
                <w:rFonts w:hint="eastAsia"/>
                <w:color w:val="auto"/>
                <w:sz w:val="21"/>
                <w:szCs w:val="21"/>
                <w:u w:val="single"/>
                <w:lang w:val="en-US" w:eastAsia="zh-CN"/>
              </w:rPr>
              <w:t xml:space="preserve">   </w:t>
            </w:r>
            <w:r>
              <w:rPr>
                <w:color w:val="auto"/>
                <w:sz w:val="21"/>
                <w:szCs w:val="21"/>
              </w:rPr>
              <w:t>月</w:t>
            </w:r>
            <w:r>
              <w:rPr>
                <w:rFonts w:hint="eastAsia"/>
                <w:color w:val="auto"/>
                <w:sz w:val="21"/>
                <w:szCs w:val="21"/>
                <w:u w:val="single"/>
                <w:lang w:val="en-US" w:eastAsia="zh-CN"/>
              </w:rPr>
              <w:t xml:space="preserve">  </w:t>
            </w:r>
            <w:r>
              <w:rPr>
                <w:rFonts w:hint="eastAsia"/>
                <w:color w:val="auto"/>
                <w:sz w:val="21"/>
                <w:szCs w:val="21"/>
                <w:u w:val="single"/>
                <w:lang w:val="en-US"/>
              </w:rPr>
              <w:t xml:space="preserve"> </w:t>
            </w:r>
            <w:r>
              <w:rPr>
                <w:color w:val="auto"/>
                <w:sz w:val="21"/>
                <w:szCs w:val="21"/>
              </w:rPr>
              <w:t>日</w:t>
            </w:r>
          </w:p>
          <w:p>
            <w:pPr>
              <w:pStyle w:val="17"/>
              <w:tabs>
                <w:tab w:val="left" w:pos="1998"/>
                <w:tab w:val="left" w:pos="2838"/>
                <w:tab w:val="left" w:pos="3468"/>
              </w:tabs>
              <w:spacing w:line="360" w:lineRule="atLeast"/>
              <w:ind w:left="107" w:right="196"/>
              <w:rPr>
                <w:rFonts w:hint="eastAsia"/>
                <w:color w:val="auto"/>
                <w:spacing w:val="-3"/>
                <w:sz w:val="21"/>
                <w:szCs w:val="21"/>
              </w:rPr>
            </w:pPr>
            <w:r>
              <w:rPr>
                <w:color w:val="auto"/>
                <w:sz w:val="21"/>
                <w:szCs w:val="21"/>
              </w:rPr>
              <w:t>计划</w:t>
            </w:r>
            <w:r>
              <w:rPr>
                <w:color w:val="auto"/>
                <w:spacing w:val="-3"/>
                <w:sz w:val="21"/>
                <w:szCs w:val="21"/>
              </w:rPr>
              <w:t>交</w:t>
            </w:r>
            <w:r>
              <w:rPr>
                <w:color w:val="auto"/>
                <w:sz w:val="21"/>
                <w:szCs w:val="21"/>
              </w:rPr>
              <w:t>工</w:t>
            </w:r>
            <w:r>
              <w:rPr>
                <w:color w:val="auto"/>
                <w:spacing w:val="-3"/>
                <w:sz w:val="21"/>
                <w:szCs w:val="21"/>
              </w:rPr>
              <w:t>日</w:t>
            </w:r>
            <w:r>
              <w:rPr>
                <w:color w:val="auto"/>
                <w:sz w:val="21"/>
                <w:szCs w:val="21"/>
              </w:rPr>
              <w:t>期</w:t>
            </w:r>
            <w:r>
              <w:rPr>
                <w:color w:val="auto"/>
                <w:spacing w:val="-3"/>
                <w:sz w:val="21"/>
                <w:szCs w:val="21"/>
              </w:rPr>
              <w:t>：</w:t>
            </w:r>
            <w:r>
              <w:rPr>
                <w:color w:val="auto"/>
                <w:spacing w:val="-3"/>
                <w:sz w:val="21"/>
                <w:szCs w:val="21"/>
                <w:u w:val="single"/>
              </w:rPr>
              <w:t xml:space="preserve"> </w:t>
            </w:r>
            <w:r>
              <w:rPr>
                <w:rFonts w:hint="eastAsia"/>
                <w:color w:val="auto"/>
                <w:spacing w:val="-3"/>
                <w:sz w:val="21"/>
                <w:szCs w:val="21"/>
                <w:u w:val="single"/>
              </w:rPr>
              <w:t>202</w:t>
            </w:r>
            <w:r>
              <w:rPr>
                <w:rFonts w:hint="eastAsia"/>
                <w:color w:val="auto"/>
                <w:spacing w:val="-3"/>
                <w:sz w:val="21"/>
                <w:szCs w:val="21"/>
                <w:u w:val="single"/>
                <w:lang w:val="en-US" w:eastAsia="zh-CN"/>
              </w:rPr>
              <w:t>2</w:t>
            </w:r>
            <w:r>
              <w:rPr>
                <w:color w:val="auto"/>
                <w:sz w:val="21"/>
                <w:szCs w:val="21"/>
              </w:rPr>
              <w:t>年</w:t>
            </w:r>
            <w:r>
              <w:rPr>
                <w:rFonts w:hint="eastAsia"/>
                <w:color w:val="auto"/>
                <w:sz w:val="21"/>
                <w:szCs w:val="21"/>
                <w:u w:val="single"/>
              </w:rPr>
              <w:t xml:space="preserve"> </w:t>
            </w:r>
            <w:r>
              <w:rPr>
                <w:rFonts w:hint="eastAsia"/>
                <w:color w:val="auto"/>
                <w:sz w:val="21"/>
                <w:szCs w:val="21"/>
                <w:u w:val="single"/>
                <w:lang w:val="en-US" w:eastAsia="zh-CN"/>
              </w:rPr>
              <w:t xml:space="preserve">  </w:t>
            </w:r>
            <w:r>
              <w:rPr>
                <w:rFonts w:hint="eastAsia"/>
                <w:color w:val="auto"/>
                <w:sz w:val="21"/>
                <w:szCs w:val="21"/>
                <w:u w:val="single"/>
              </w:rPr>
              <w:t xml:space="preserve"> </w:t>
            </w:r>
            <w:r>
              <w:rPr>
                <w:color w:val="auto"/>
                <w:sz w:val="21"/>
                <w:szCs w:val="21"/>
              </w:rPr>
              <w:t>月</w:t>
            </w:r>
            <w:r>
              <w:rPr>
                <w:rFonts w:hint="eastAsia"/>
                <w:color w:val="auto"/>
                <w:sz w:val="21"/>
                <w:szCs w:val="21"/>
                <w:u w:val="single"/>
                <w:lang w:val="en-US"/>
              </w:rPr>
              <w:t xml:space="preserve"> </w:t>
            </w:r>
            <w:r>
              <w:rPr>
                <w:rFonts w:hint="eastAsia"/>
                <w:color w:val="auto"/>
                <w:sz w:val="21"/>
                <w:szCs w:val="21"/>
                <w:u w:val="single"/>
                <w:lang w:val="en-US" w:eastAsia="zh-CN"/>
              </w:rPr>
              <w:t xml:space="preserve"> </w:t>
            </w:r>
            <w:r>
              <w:rPr>
                <w:rFonts w:hint="eastAsia"/>
                <w:color w:val="auto"/>
                <w:sz w:val="21"/>
                <w:szCs w:val="21"/>
                <w:u w:val="single"/>
              </w:rPr>
              <w:t xml:space="preserve"> </w:t>
            </w:r>
            <w:r>
              <w:rPr>
                <w:color w:val="auto"/>
                <w:spacing w:val="-3"/>
                <w:sz w:val="21"/>
                <w:szCs w:val="21"/>
              </w:rPr>
              <w:t>日</w:t>
            </w:r>
          </w:p>
          <w:p>
            <w:pPr>
              <w:pStyle w:val="17"/>
              <w:tabs>
                <w:tab w:val="left" w:pos="1998"/>
                <w:tab w:val="left" w:pos="2838"/>
                <w:tab w:val="left" w:pos="3468"/>
              </w:tabs>
              <w:spacing w:line="360" w:lineRule="atLeast"/>
              <w:ind w:left="107" w:right="196"/>
              <w:rPr>
                <w:color w:val="auto"/>
                <w:sz w:val="21"/>
                <w:szCs w:val="21"/>
              </w:rPr>
            </w:pPr>
            <w:r>
              <w:rPr>
                <w:rFonts w:hint="eastAsia"/>
                <w:color w:val="auto"/>
                <w:sz w:val="21"/>
                <w:szCs w:val="21"/>
              </w:rPr>
              <w:t>缺陷责任期为</w:t>
            </w:r>
            <w:r>
              <w:rPr>
                <w:rFonts w:hint="eastAsia"/>
                <w:color w:val="auto"/>
                <w:sz w:val="21"/>
                <w:szCs w:val="21"/>
                <w:lang w:val="en-US"/>
              </w:rPr>
              <w:t>24个月</w:t>
            </w:r>
            <w:r>
              <w:rPr>
                <w:rFonts w:hint="eastAsia"/>
                <w:color w:val="auto"/>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37" w:type="dxa"/>
            <w:noWrap w:val="0"/>
            <w:vAlign w:val="top"/>
          </w:tcPr>
          <w:p>
            <w:pPr>
              <w:pStyle w:val="17"/>
              <w:spacing w:before="11"/>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1.3.3</w:t>
            </w:r>
          </w:p>
        </w:tc>
        <w:tc>
          <w:tcPr>
            <w:tcW w:w="2682" w:type="dxa"/>
            <w:noWrap w:val="0"/>
            <w:vAlign w:val="top"/>
          </w:tcPr>
          <w:p>
            <w:pPr>
              <w:pStyle w:val="17"/>
              <w:rPr>
                <w:rFonts w:ascii="黑体"/>
                <w:b/>
                <w:color w:val="auto"/>
                <w:sz w:val="21"/>
                <w:szCs w:val="21"/>
              </w:rPr>
            </w:pPr>
          </w:p>
          <w:p>
            <w:pPr>
              <w:pStyle w:val="17"/>
              <w:ind w:left="5"/>
              <w:jc w:val="center"/>
              <w:rPr>
                <w:color w:val="auto"/>
                <w:sz w:val="21"/>
                <w:szCs w:val="21"/>
              </w:rPr>
            </w:pPr>
            <w:r>
              <w:rPr>
                <w:color w:val="auto"/>
                <w:sz w:val="21"/>
                <w:szCs w:val="21"/>
              </w:rPr>
              <w:t>质量要求</w:t>
            </w:r>
          </w:p>
        </w:tc>
        <w:tc>
          <w:tcPr>
            <w:tcW w:w="5288" w:type="dxa"/>
            <w:noWrap w:val="0"/>
            <w:vAlign w:val="top"/>
          </w:tcPr>
          <w:p>
            <w:pPr>
              <w:pStyle w:val="17"/>
              <w:tabs>
                <w:tab w:val="left" w:pos="2675"/>
                <w:tab w:val="left" w:pos="3518"/>
              </w:tabs>
              <w:spacing w:before="11" w:line="360" w:lineRule="exact"/>
              <w:ind w:left="107" w:right="1486"/>
              <w:rPr>
                <w:rFonts w:hint="eastAsia" w:ascii="Times New Roman"/>
                <w:color w:val="auto"/>
                <w:sz w:val="21"/>
                <w:szCs w:val="21"/>
              </w:rPr>
            </w:pPr>
            <w:r>
              <w:rPr>
                <w:color w:val="auto"/>
                <w:sz w:val="21"/>
                <w:szCs w:val="21"/>
              </w:rPr>
              <w:t>标段</w:t>
            </w:r>
            <w:r>
              <w:rPr>
                <w:color w:val="auto"/>
                <w:spacing w:val="-3"/>
                <w:sz w:val="21"/>
                <w:szCs w:val="21"/>
              </w:rPr>
              <w:t>工</w:t>
            </w:r>
            <w:r>
              <w:rPr>
                <w:color w:val="auto"/>
                <w:sz w:val="21"/>
                <w:szCs w:val="21"/>
              </w:rPr>
              <w:t>程</w:t>
            </w:r>
            <w:r>
              <w:rPr>
                <w:color w:val="auto"/>
                <w:spacing w:val="-3"/>
                <w:sz w:val="21"/>
                <w:szCs w:val="21"/>
              </w:rPr>
              <w:t>交</w:t>
            </w:r>
            <w:r>
              <w:rPr>
                <w:color w:val="auto"/>
                <w:sz w:val="21"/>
                <w:szCs w:val="21"/>
              </w:rPr>
              <w:t>工</w:t>
            </w:r>
            <w:r>
              <w:rPr>
                <w:color w:val="auto"/>
                <w:spacing w:val="-3"/>
                <w:sz w:val="21"/>
                <w:szCs w:val="21"/>
              </w:rPr>
              <w:t>验</w:t>
            </w:r>
            <w:r>
              <w:rPr>
                <w:color w:val="auto"/>
                <w:sz w:val="21"/>
                <w:szCs w:val="21"/>
              </w:rPr>
              <w:t>收</w:t>
            </w:r>
            <w:r>
              <w:rPr>
                <w:color w:val="auto"/>
                <w:spacing w:val="-3"/>
                <w:sz w:val="21"/>
                <w:szCs w:val="21"/>
              </w:rPr>
              <w:t>的</w:t>
            </w:r>
            <w:r>
              <w:rPr>
                <w:color w:val="auto"/>
                <w:sz w:val="21"/>
                <w:szCs w:val="21"/>
              </w:rPr>
              <w:t>质</w:t>
            </w:r>
            <w:r>
              <w:rPr>
                <w:color w:val="auto"/>
                <w:spacing w:val="-3"/>
                <w:sz w:val="21"/>
                <w:szCs w:val="21"/>
              </w:rPr>
              <w:t>量</w:t>
            </w:r>
            <w:r>
              <w:rPr>
                <w:color w:val="auto"/>
                <w:sz w:val="21"/>
                <w:szCs w:val="21"/>
              </w:rPr>
              <w:t>评定</w:t>
            </w:r>
            <w:r>
              <w:rPr>
                <w:color w:val="auto"/>
                <w:spacing w:val="-3"/>
                <w:sz w:val="21"/>
                <w:szCs w:val="21"/>
              </w:rPr>
              <w:t>：</w:t>
            </w:r>
            <w:r>
              <w:rPr>
                <w:rFonts w:hint="eastAsia"/>
                <w:color w:val="auto"/>
                <w:spacing w:val="-3"/>
                <w:sz w:val="21"/>
                <w:szCs w:val="21"/>
                <w:u w:val="single"/>
              </w:rPr>
              <w:t>合格</w:t>
            </w:r>
            <w:r>
              <w:rPr>
                <w:color w:val="auto"/>
                <w:spacing w:val="-1"/>
                <w:sz w:val="21"/>
                <w:szCs w:val="21"/>
                <w:u w:val="single"/>
              </w:rPr>
              <w:t xml:space="preserve">  </w:t>
            </w:r>
            <w:r>
              <w:rPr>
                <w:color w:val="auto"/>
                <w:spacing w:val="1"/>
                <w:sz w:val="21"/>
                <w:szCs w:val="21"/>
                <w:u w:val="single"/>
              </w:rPr>
              <w:t xml:space="preserve"> </w:t>
            </w:r>
            <w:r>
              <w:rPr>
                <w:color w:val="auto"/>
                <w:spacing w:val="-1"/>
                <w:sz w:val="21"/>
                <w:szCs w:val="21"/>
              </w:rPr>
              <w:t>竣</w:t>
            </w:r>
            <w:r>
              <w:rPr>
                <w:color w:val="auto"/>
                <w:sz w:val="21"/>
                <w:szCs w:val="21"/>
              </w:rPr>
              <w:t>工</w:t>
            </w:r>
            <w:r>
              <w:rPr>
                <w:color w:val="auto"/>
                <w:spacing w:val="-3"/>
                <w:sz w:val="21"/>
                <w:szCs w:val="21"/>
              </w:rPr>
              <w:t>验</w:t>
            </w:r>
            <w:r>
              <w:rPr>
                <w:color w:val="auto"/>
                <w:sz w:val="21"/>
                <w:szCs w:val="21"/>
              </w:rPr>
              <w:t>收</w:t>
            </w:r>
            <w:r>
              <w:rPr>
                <w:color w:val="auto"/>
                <w:spacing w:val="-3"/>
                <w:sz w:val="21"/>
                <w:szCs w:val="21"/>
              </w:rPr>
              <w:t>的</w:t>
            </w:r>
            <w:r>
              <w:rPr>
                <w:color w:val="auto"/>
                <w:sz w:val="21"/>
                <w:szCs w:val="21"/>
              </w:rPr>
              <w:t>质</w:t>
            </w:r>
            <w:r>
              <w:rPr>
                <w:color w:val="auto"/>
                <w:spacing w:val="-3"/>
                <w:sz w:val="21"/>
                <w:szCs w:val="21"/>
              </w:rPr>
              <w:t>量</w:t>
            </w:r>
            <w:r>
              <w:rPr>
                <w:color w:val="auto"/>
                <w:sz w:val="21"/>
                <w:szCs w:val="21"/>
              </w:rPr>
              <w:t>评</w:t>
            </w:r>
            <w:r>
              <w:rPr>
                <w:color w:val="auto"/>
                <w:spacing w:val="-3"/>
                <w:sz w:val="21"/>
                <w:szCs w:val="21"/>
              </w:rPr>
              <w:t>定</w:t>
            </w:r>
            <w:r>
              <w:rPr>
                <w:color w:val="auto"/>
                <w:sz w:val="21"/>
                <w:szCs w:val="21"/>
              </w:rPr>
              <w:t>：</w:t>
            </w:r>
            <w:r>
              <w:rPr>
                <w:rFonts w:ascii="Times New Roman" w:eastAsia="Times New Roman"/>
                <w:color w:val="auto"/>
                <w:sz w:val="21"/>
                <w:szCs w:val="21"/>
                <w:u w:val="single"/>
              </w:rPr>
              <w:t xml:space="preserve"> </w:t>
            </w:r>
            <w:r>
              <w:rPr>
                <w:rFonts w:hint="eastAsia" w:ascii="Times New Roman"/>
                <w:color w:val="auto"/>
                <w:sz w:val="21"/>
                <w:szCs w:val="21"/>
                <w:u w:val="single"/>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37" w:type="dxa"/>
            <w:noWrap w:val="0"/>
            <w:vAlign w:val="top"/>
          </w:tcPr>
          <w:p>
            <w:pPr>
              <w:pStyle w:val="17"/>
              <w:spacing w:before="102" w:line="226" w:lineRule="exact"/>
              <w:ind w:right="295"/>
              <w:jc w:val="right"/>
              <w:rPr>
                <w:rFonts w:ascii="Times New Roman"/>
                <w:color w:val="auto"/>
                <w:sz w:val="21"/>
                <w:szCs w:val="21"/>
              </w:rPr>
            </w:pPr>
            <w:r>
              <w:rPr>
                <w:rFonts w:ascii="Times New Roman"/>
                <w:color w:val="auto"/>
                <w:sz w:val="21"/>
                <w:szCs w:val="21"/>
              </w:rPr>
              <w:t>1.3.4</w:t>
            </w:r>
          </w:p>
        </w:tc>
        <w:tc>
          <w:tcPr>
            <w:tcW w:w="2682" w:type="dxa"/>
            <w:noWrap w:val="0"/>
            <w:vAlign w:val="top"/>
          </w:tcPr>
          <w:p>
            <w:pPr>
              <w:pStyle w:val="17"/>
              <w:tabs>
                <w:tab w:val="left" w:pos="1963"/>
                <w:tab w:val="left" w:pos="2675"/>
                <w:tab w:val="left" w:pos="3518"/>
              </w:tabs>
              <w:spacing w:before="11" w:line="360" w:lineRule="exact"/>
              <w:ind w:left="108" w:leftChars="49" w:right="140"/>
              <w:jc w:val="center"/>
              <w:rPr>
                <w:color w:val="auto"/>
                <w:sz w:val="21"/>
                <w:szCs w:val="21"/>
              </w:rPr>
            </w:pPr>
            <w:r>
              <w:rPr>
                <w:color w:val="auto"/>
                <w:sz w:val="21"/>
                <w:szCs w:val="21"/>
              </w:rPr>
              <w:t>安全目标</w:t>
            </w:r>
          </w:p>
        </w:tc>
        <w:tc>
          <w:tcPr>
            <w:tcW w:w="5288" w:type="dxa"/>
            <w:noWrap w:val="0"/>
            <w:vAlign w:val="top"/>
          </w:tcPr>
          <w:p>
            <w:pPr>
              <w:pStyle w:val="17"/>
              <w:tabs>
                <w:tab w:val="left" w:pos="2675"/>
                <w:tab w:val="left" w:pos="3518"/>
              </w:tabs>
              <w:spacing w:before="11" w:line="360" w:lineRule="exact"/>
              <w:ind w:left="107" w:right="1486"/>
              <w:rPr>
                <w:color w:val="auto"/>
                <w:sz w:val="21"/>
                <w:szCs w:val="21"/>
              </w:rPr>
            </w:pPr>
            <w:r>
              <w:rPr>
                <w:rFonts w:hint="eastAsia"/>
                <w:color w:val="auto"/>
                <w:sz w:val="21"/>
                <w:szCs w:val="21"/>
              </w:rPr>
              <w:t>无安全生产责任事故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1037" w:type="dxa"/>
            <w:noWrap w:val="0"/>
            <w:vAlign w:val="top"/>
          </w:tcPr>
          <w:p>
            <w:pPr>
              <w:pStyle w:val="17"/>
              <w:rPr>
                <w:rFonts w:ascii="黑体"/>
                <w:b/>
                <w:color w:val="auto"/>
                <w:sz w:val="21"/>
                <w:szCs w:val="21"/>
              </w:rPr>
            </w:pPr>
          </w:p>
          <w:p>
            <w:pPr>
              <w:pStyle w:val="17"/>
              <w:rPr>
                <w:rFonts w:ascii="黑体"/>
                <w:b/>
                <w:color w:val="auto"/>
                <w:sz w:val="21"/>
                <w:szCs w:val="21"/>
              </w:rPr>
            </w:pPr>
          </w:p>
          <w:p>
            <w:pPr>
              <w:pStyle w:val="17"/>
              <w:spacing w:before="3"/>
              <w:rPr>
                <w:rFonts w:ascii="黑体"/>
                <w:b/>
                <w:color w:val="auto"/>
                <w:sz w:val="21"/>
                <w:szCs w:val="21"/>
              </w:rPr>
            </w:pPr>
          </w:p>
          <w:p>
            <w:pPr>
              <w:pStyle w:val="17"/>
              <w:ind w:right="242"/>
              <w:jc w:val="right"/>
              <w:rPr>
                <w:color w:val="auto"/>
                <w:sz w:val="21"/>
                <w:szCs w:val="21"/>
              </w:rPr>
            </w:pPr>
            <w:r>
              <w:rPr>
                <w:rFonts w:ascii="Times New Roman" w:hAnsi="Times New Roman"/>
                <w:color w:val="auto"/>
                <w:sz w:val="21"/>
                <w:szCs w:val="21"/>
              </w:rPr>
              <w:t>1.4.1</w:t>
            </w:r>
          </w:p>
        </w:tc>
        <w:tc>
          <w:tcPr>
            <w:tcW w:w="2682" w:type="dxa"/>
            <w:noWrap w:val="0"/>
            <w:vAlign w:val="top"/>
          </w:tcPr>
          <w:p>
            <w:pPr>
              <w:pStyle w:val="17"/>
              <w:rPr>
                <w:rFonts w:ascii="黑体"/>
                <w:b/>
                <w:color w:val="auto"/>
                <w:sz w:val="21"/>
                <w:szCs w:val="21"/>
              </w:rPr>
            </w:pPr>
          </w:p>
          <w:p>
            <w:pPr>
              <w:pStyle w:val="17"/>
              <w:rPr>
                <w:rFonts w:ascii="黑体"/>
                <w:b/>
                <w:color w:val="auto"/>
                <w:sz w:val="21"/>
                <w:szCs w:val="21"/>
              </w:rPr>
            </w:pPr>
          </w:p>
          <w:p>
            <w:pPr>
              <w:pStyle w:val="17"/>
              <w:rPr>
                <w:rFonts w:ascii="黑体"/>
                <w:b/>
                <w:color w:val="auto"/>
                <w:sz w:val="21"/>
                <w:szCs w:val="21"/>
              </w:rPr>
            </w:pPr>
          </w:p>
          <w:p>
            <w:pPr>
              <w:pStyle w:val="17"/>
              <w:spacing w:before="6"/>
              <w:rPr>
                <w:rFonts w:ascii="黑体"/>
                <w:b/>
                <w:color w:val="auto"/>
                <w:sz w:val="21"/>
                <w:szCs w:val="21"/>
              </w:rPr>
            </w:pPr>
          </w:p>
          <w:p>
            <w:pPr>
              <w:pStyle w:val="17"/>
              <w:ind w:left="6"/>
              <w:jc w:val="center"/>
              <w:rPr>
                <w:color w:val="auto"/>
                <w:sz w:val="21"/>
                <w:szCs w:val="21"/>
              </w:rPr>
            </w:pPr>
            <w:r>
              <w:rPr>
                <w:color w:val="auto"/>
                <w:sz w:val="21"/>
                <w:szCs w:val="21"/>
              </w:rPr>
              <w:t>投标人资质条件、能力和信誉</w:t>
            </w:r>
          </w:p>
        </w:tc>
        <w:tc>
          <w:tcPr>
            <w:tcW w:w="5288" w:type="dxa"/>
            <w:noWrap w:val="0"/>
            <w:vAlign w:val="top"/>
          </w:tcPr>
          <w:p>
            <w:pPr>
              <w:pStyle w:val="17"/>
              <w:spacing w:before="92"/>
              <w:ind w:left="107"/>
              <w:rPr>
                <w:rFonts w:ascii="Times New Roman" w:eastAsia="Times New Roman"/>
                <w:color w:val="auto"/>
                <w:sz w:val="21"/>
                <w:szCs w:val="21"/>
              </w:rPr>
            </w:pPr>
            <w:r>
              <w:rPr>
                <w:color w:val="auto"/>
                <w:sz w:val="21"/>
                <w:szCs w:val="21"/>
              </w:rPr>
              <w:t>资质要求：</w:t>
            </w:r>
            <w:r>
              <w:rPr>
                <w:rFonts w:hint="eastAsia"/>
                <w:color w:val="auto"/>
                <w:sz w:val="21"/>
                <w:szCs w:val="21"/>
              </w:rPr>
              <w:t>见附录1</w:t>
            </w:r>
          </w:p>
          <w:p>
            <w:pPr>
              <w:pStyle w:val="17"/>
              <w:spacing w:before="91"/>
              <w:ind w:left="107"/>
              <w:rPr>
                <w:rFonts w:ascii="Times New Roman" w:eastAsia="Times New Roman"/>
                <w:color w:val="auto"/>
                <w:sz w:val="21"/>
                <w:szCs w:val="21"/>
              </w:rPr>
            </w:pPr>
            <w:r>
              <w:rPr>
                <w:color w:val="auto"/>
                <w:sz w:val="21"/>
                <w:szCs w:val="21"/>
              </w:rPr>
              <w:t>财务要求：</w:t>
            </w:r>
            <w:r>
              <w:rPr>
                <w:rFonts w:hint="eastAsia"/>
                <w:color w:val="auto"/>
                <w:sz w:val="21"/>
                <w:szCs w:val="21"/>
              </w:rPr>
              <w:t>见附录2</w:t>
            </w:r>
          </w:p>
          <w:p>
            <w:pPr>
              <w:pStyle w:val="17"/>
              <w:spacing w:before="91"/>
              <w:ind w:left="107"/>
              <w:rPr>
                <w:rFonts w:ascii="Times New Roman" w:eastAsia="Times New Roman"/>
                <w:color w:val="auto"/>
                <w:sz w:val="21"/>
                <w:szCs w:val="21"/>
              </w:rPr>
            </w:pPr>
            <w:r>
              <w:rPr>
                <w:color w:val="auto"/>
                <w:sz w:val="21"/>
                <w:szCs w:val="21"/>
              </w:rPr>
              <w:t>业绩要求：</w:t>
            </w:r>
            <w:r>
              <w:rPr>
                <w:rFonts w:hint="eastAsia"/>
                <w:color w:val="auto"/>
                <w:sz w:val="21"/>
                <w:szCs w:val="21"/>
              </w:rPr>
              <w:t>见附录3</w:t>
            </w:r>
          </w:p>
          <w:p>
            <w:pPr>
              <w:pStyle w:val="17"/>
              <w:spacing w:before="91"/>
              <w:ind w:left="107"/>
              <w:rPr>
                <w:rFonts w:ascii="Times New Roman" w:eastAsia="Times New Roman"/>
                <w:color w:val="auto"/>
                <w:sz w:val="21"/>
                <w:szCs w:val="21"/>
              </w:rPr>
            </w:pPr>
            <w:r>
              <w:rPr>
                <w:color w:val="auto"/>
                <w:sz w:val="21"/>
                <w:szCs w:val="21"/>
              </w:rPr>
              <w:t>信誉要求：</w:t>
            </w:r>
            <w:r>
              <w:rPr>
                <w:rFonts w:hint="eastAsia"/>
                <w:color w:val="auto"/>
                <w:sz w:val="21"/>
                <w:szCs w:val="21"/>
              </w:rPr>
              <w:t>见附录4</w:t>
            </w:r>
          </w:p>
          <w:p>
            <w:pPr>
              <w:pStyle w:val="17"/>
              <w:spacing w:before="91"/>
              <w:ind w:left="107"/>
              <w:rPr>
                <w:rFonts w:ascii="Times New Roman" w:eastAsia="Times New Roman"/>
                <w:color w:val="auto"/>
                <w:sz w:val="21"/>
                <w:szCs w:val="21"/>
              </w:rPr>
            </w:pPr>
            <w:r>
              <w:rPr>
                <w:color w:val="auto"/>
                <w:sz w:val="21"/>
                <w:szCs w:val="21"/>
              </w:rPr>
              <w:t>项目经理资格：</w:t>
            </w:r>
            <w:r>
              <w:rPr>
                <w:rFonts w:hint="eastAsia"/>
                <w:color w:val="auto"/>
                <w:sz w:val="21"/>
                <w:szCs w:val="21"/>
              </w:rPr>
              <w:t>见附录5</w:t>
            </w:r>
          </w:p>
          <w:p>
            <w:pPr>
              <w:pStyle w:val="17"/>
              <w:spacing w:before="91" w:line="250" w:lineRule="exact"/>
              <w:ind w:left="107"/>
              <w:rPr>
                <w:rFonts w:ascii="黑体" w:hAnsi="黑体" w:eastAsia="黑体"/>
                <w:color w:val="auto"/>
                <w:sz w:val="21"/>
                <w:szCs w:val="21"/>
              </w:rPr>
            </w:pPr>
            <w:r>
              <w:rPr>
                <w:rFonts w:hint="eastAsia"/>
                <w:color w:val="auto"/>
                <w:sz w:val="21"/>
                <w:szCs w:val="21"/>
              </w:rPr>
              <w:t>其他要求：见附录6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037" w:type="dxa"/>
            <w:noWrap w:val="0"/>
            <w:vAlign w:val="center"/>
          </w:tcPr>
          <w:p>
            <w:pPr>
              <w:pStyle w:val="17"/>
              <w:spacing w:before="211"/>
              <w:ind w:right="305"/>
              <w:jc w:val="center"/>
              <w:rPr>
                <w:color w:val="auto"/>
                <w:sz w:val="21"/>
                <w:szCs w:val="21"/>
              </w:rPr>
            </w:pPr>
            <w:r>
              <w:rPr>
                <w:rFonts w:hint="eastAsia" w:ascii="Times New Roman" w:hAnsi="Times New Roman"/>
                <w:color w:val="auto"/>
                <w:sz w:val="21"/>
                <w:szCs w:val="21"/>
              </w:rPr>
              <w:t xml:space="preserve">   </w:t>
            </w:r>
            <w:r>
              <w:rPr>
                <w:rFonts w:ascii="Times New Roman" w:hAnsi="Times New Roman"/>
                <w:color w:val="auto"/>
                <w:sz w:val="21"/>
                <w:szCs w:val="21"/>
              </w:rPr>
              <w:t>1.4.2</w:t>
            </w:r>
          </w:p>
        </w:tc>
        <w:tc>
          <w:tcPr>
            <w:tcW w:w="2682" w:type="dxa"/>
            <w:noWrap w:val="0"/>
            <w:vAlign w:val="center"/>
          </w:tcPr>
          <w:p>
            <w:pPr>
              <w:pStyle w:val="17"/>
              <w:spacing w:before="1"/>
              <w:jc w:val="center"/>
              <w:rPr>
                <w:color w:val="auto"/>
                <w:sz w:val="21"/>
                <w:szCs w:val="21"/>
              </w:rPr>
            </w:pPr>
            <w:r>
              <w:rPr>
                <w:color w:val="auto"/>
                <w:sz w:val="21"/>
                <w:szCs w:val="21"/>
              </w:rPr>
              <w:t>是否接受联合体投标</w:t>
            </w:r>
          </w:p>
        </w:tc>
        <w:tc>
          <w:tcPr>
            <w:tcW w:w="5288" w:type="dxa"/>
            <w:noWrap w:val="0"/>
            <w:vAlign w:val="center"/>
          </w:tcPr>
          <w:p>
            <w:pPr>
              <w:pStyle w:val="17"/>
              <w:spacing w:line="359" w:lineRule="exact"/>
              <w:ind w:left="107"/>
              <w:jc w:val="both"/>
              <w:rPr>
                <w:bCs/>
                <w:color w:val="auto"/>
                <w:sz w:val="21"/>
                <w:szCs w:val="21"/>
              </w:rPr>
            </w:pPr>
            <w:r>
              <w:rPr>
                <w:rFonts w:ascii="Times New Roman" w:hAnsi="Times New Roman" w:eastAsia="Times New Roman" w:cs="Times New Roman"/>
                <w:bCs/>
                <w:color w:val="auto"/>
                <w:sz w:val="21"/>
                <w:szCs w:val="21"/>
              </w:rPr>
              <w:t>√</w:t>
            </w:r>
            <w:r>
              <w:rPr>
                <w:bCs/>
                <w:color w:val="auto"/>
                <w:sz w:val="21"/>
                <w:szCs w:val="21"/>
              </w:rPr>
              <w:t>不接受</w:t>
            </w:r>
          </w:p>
          <w:p>
            <w:pPr>
              <w:pStyle w:val="17"/>
              <w:spacing w:line="368" w:lineRule="exact"/>
              <w:ind w:left="107"/>
              <w:jc w:val="both"/>
              <w:rPr>
                <w:rFonts w:hint="eastAsia"/>
                <w:color w:val="auto"/>
                <w:sz w:val="21"/>
                <w:szCs w:val="21"/>
              </w:rPr>
            </w:pPr>
            <w:r>
              <w:rPr>
                <w:rFonts w:hint="eastAsia" w:ascii="Times New Roman" w:hAnsi="Times New Roman" w:cs="Times New Roman"/>
                <w:bCs/>
                <w:color w:val="auto"/>
                <w:sz w:val="21"/>
                <w:szCs w:val="21"/>
              </w:rPr>
              <w:t>□</w:t>
            </w:r>
            <w:r>
              <w:rPr>
                <w:bCs/>
                <w:color w:val="auto"/>
                <w:sz w:val="21"/>
                <w:szCs w:val="21"/>
              </w:rPr>
              <w:t>接受</w:t>
            </w:r>
            <w:r>
              <w:rPr>
                <w:rFonts w:hint="eastAsia"/>
                <w:bCs/>
                <w:color w:val="auto"/>
                <w:sz w:val="21"/>
                <w:szCs w:val="21"/>
              </w:rPr>
              <w:t>，应满足下列要求：</w:t>
            </w:r>
          </w:p>
        </w:tc>
      </w:tr>
    </w:tbl>
    <w:p>
      <w:pPr>
        <w:rPr>
          <w:color w:val="auto"/>
        </w:rPr>
        <w:sectPr>
          <w:headerReference r:id="rId7" w:type="first"/>
          <w:footerReference r:id="rId10" w:type="first"/>
          <w:headerReference r:id="rId5" w:type="default"/>
          <w:footerReference r:id="rId8" w:type="default"/>
          <w:headerReference r:id="rId6" w:type="even"/>
          <w:footerReference r:id="rId9" w:type="even"/>
          <w:pgSz w:w="11910" w:h="16850"/>
          <w:pgMar w:top="1480" w:right="1200" w:bottom="1040" w:left="1220" w:header="876" w:footer="794" w:gutter="0"/>
          <w:pgNumType w:start="7" w:chapStyle="1"/>
          <w:cols w:space="720" w:num="1"/>
          <w:docGrid w:linePitch="299" w:charSpace="0"/>
        </w:sectPr>
      </w:pPr>
    </w:p>
    <w:tbl>
      <w:tblPr>
        <w:tblStyle w:val="13"/>
        <w:tblW w:w="9354"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2408"/>
        <w:gridCol w:w="5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136" w:type="dxa"/>
            <w:noWrap w:val="0"/>
            <w:vAlign w:val="top"/>
          </w:tcPr>
          <w:p>
            <w:pPr>
              <w:pStyle w:val="17"/>
              <w:spacing w:before="90" w:line="250" w:lineRule="exact"/>
              <w:ind w:right="191"/>
              <w:jc w:val="right"/>
              <w:rPr>
                <w:b/>
                <w:color w:val="auto"/>
                <w:sz w:val="21"/>
              </w:rPr>
            </w:pPr>
            <w:r>
              <w:rPr>
                <w:b/>
                <w:color w:val="auto"/>
                <w:sz w:val="21"/>
              </w:rPr>
              <w:t>条款号</w:t>
            </w:r>
          </w:p>
        </w:tc>
        <w:tc>
          <w:tcPr>
            <w:tcW w:w="2408" w:type="dxa"/>
            <w:noWrap w:val="0"/>
            <w:vAlign w:val="top"/>
          </w:tcPr>
          <w:p>
            <w:pPr>
              <w:pStyle w:val="17"/>
              <w:tabs>
                <w:tab w:val="left" w:pos="423"/>
                <w:tab w:val="left" w:pos="844"/>
                <w:tab w:val="left" w:pos="1266"/>
              </w:tabs>
              <w:spacing w:before="90" w:line="250" w:lineRule="exact"/>
              <w:ind w:left="1"/>
              <w:jc w:val="center"/>
              <w:rPr>
                <w:b/>
                <w:color w:val="auto"/>
                <w:sz w:val="21"/>
              </w:rPr>
            </w:pPr>
            <w:r>
              <w:rPr>
                <w:b/>
                <w:color w:val="auto"/>
                <w:sz w:val="21"/>
              </w:rPr>
              <w:t>条</w:t>
            </w:r>
            <w:r>
              <w:rPr>
                <w:b/>
                <w:color w:val="auto"/>
                <w:sz w:val="21"/>
              </w:rPr>
              <w:tab/>
            </w:r>
            <w:r>
              <w:rPr>
                <w:b/>
                <w:color w:val="auto"/>
                <w:sz w:val="21"/>
              </w:rPr>
              <w:t>款</w:t>
            </w:r>
            <w:r>
              <w:rPr>
                <w:b/>
                <w:color w:val="auto"/>
                <w:sz w:val="21"/>
              </w:rPr>
              <w:tab/>
            </w:r>
            <w:r>
              <w:rPr>
                <w:b/>
                <w:color w:val="auto"/>
                <w:sz w:val="21"/>
              </w:rPr>
              <w:t>名</w:t>
            </w:r>
            <w:r>
              <w:rPr>
                <w:b/>
                <w:color w:val="auto"/>
                <w:sz w:val="21"/>
              </w:rPr>
              <w:tab/>
            </w:r>
            <w:r>
              <w:rPr>
                <w:b/>
                <w:color w:val="auto"/>
                <w:sz w:val="21"/>
              </w:rPr>
              <w:t>称</w:t>
            </w:r>
          </w:p>
        </w:tc>
        <w:tc>
          <w:tcPr>
            <w:tcW w:w="5810" w:type="dxa"/>
            <w:noWrap w:val="0"/>
            <w:vAlign w:val="top"/>
          </w:tcPr>
          <w:p>
            <w:pPr>
              <w:pStyle w:val="17"/>
              <w:tabs>
                <w:tab w:val="left" w:pos="427"/>
                <w:tab w:val="left" w:pos="847"/>
                <w:tab w:val="left" w:pos="1270"/>
              </w:tabs>
              <w:spacing w:before="90" w:line="250" w:lineRule="exact"/>
              <w:ind w:left="5"/>
              <w:jc w:val="center"/>
              <w:rPr>
                <w:b/>
                <w:color w:val="auto"/>
                <w:sz w:val="21"/>
              </w:rPr>
            </w:pPr>
            <w:r>
              <w:rPr>
                <w:b/>
                <w:color w:val="auto"/>
                <w:sz w:val="21"/>
              </w:rPr>
              <w:t>编</w:t>
            </w:r>
            <w:r>
              <w:rPr>
                <w:b/>
                <w:color w:val="auto"/>
                <w:sz w:val="21"/>
              </w:rPr>
              <w:tab/>
            </w:r>
            <w:r>
              <w:rPr>
                <w:b/>
                <w:color w:val="auto"/>
                <w:sz w:val="21"/>
              </w:rPr>
              <w:t>列</w:t>
            </w:r>
            <w:r>
              <w:rPr>
                <w:b/>
                <w:color w:val="auto"/>
                <w:sz w:val="21"/>
              </w:rPr>
              <w:tab/>
            </w:r>
            <w:r>
              <w:rPr>
                <w:b/>
                <w:color w:val="auto"/>
                <w:sz w:val="21"/>
              </w:rPr>
              <w:t>内</w:t>
            </w:r>
            <w:r>
              <w:rPr>
                <w:b/>
                <w:color w:val="auto"/>
                <w:sz w:val="21"/>
              </w:rPr>
              <w:tab/>
            </w:r>
            <w:r>
              <w:rPr>
                <w:b/>
                <w:color w:val="auto"/>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noWrap w:val="0"/>
            <w:vAlign w:val="center"/>
          </w:tcPr>
          <w:p>
            <w:pPr>
              <w:pStyle w:val="17"/>
              <w:jc w:val="center"/>
              <w:rPr>
                <w:rFonts w:ascii="Times New Roman"/>
                <w:color w:val="auto"/>
                <w:sz w:val="21"/>
              </w:rPr>
            </w:pPr>
            <w:r>
              <w:rPr>
                <w:rFonts w:hint="eastAsia" w:ascii="Times New Roman"/>
                <w:color w:val="auto"/>
                <w:sz w:val="21"/>
              </w:rPr>
              <w:t>1.4.3</w:t>
            </w:r>
          </w:p>
        </w:tc>
        <w:tc>
          <w:tcPr>
            <w:tcW w:w="2408" w:type="dxa"/>
            <w:noWrap w:val="0"/>
            <w:vAlign w:val="center"/>
          </w:tcPr>
          <w:p>
            <w:pPr>
              <w:pStyle w:val="17"/>
              <w:tabs>
                <w:tab w:val="left" w:pos="423"/>
                <w:tab w:val="left" w:pos="844"/>
                <w:tab w:val="left" w:pos="1266"/>
              </w:tabs>
              <w:ind w:left="1"/>
              <w:jc w:val="center"/>
              <w:rPr>
                <w:rFonts w:ascii="Times New Roman"/>
                <w:color w:val="auto"/>
                <w:sz w:val="21"/>
              </w:rPr>
            </w:pPr>
            <w:r>
              <w:rPr>
                <w:rFonts w:hint="eastAsia" w:ascii="Times New Roman"/>
                <w:color w:val="auto"/>
                <w:sz w:val="21"/>
              </w:rPr>
              <w:t>投标人不得存在的其他关联情况</w:t>
            </w:r>
          </w:p>
        </w:tc>
        <w:tc>
          <w:tcPr>
            <w:tcW w:w="5810" w:type="dxa"/>
            <w:noWrap w:val="0"/>
            <w:vAlign w:val="center"/>
          </w:tcPr>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本款补充第（12 条）：</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（12）出现《中华人民共和国招标投标法实施条例》（中华人民共和国国务院令第 613 号）规定的属于投标人相互串通投标的下列情形之一的：</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a、投标人之间协商投标报价等投标文件的实质性内容；</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b、投标人之间约定中标人；</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c、投标人之间约定部分投标人放弃投标或者中标；</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d、属于同一集团、协会、商会等组织成员的投标人按照该组织要求协同投标；</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e、投标人之间为谋取中标或者排斥特定投标人而采取的其他联合行动；</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f、不同投标人的投标文件由同一单位或者个人编制；</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g、不同投标人委托同一单位或者个人办理投标事宜；</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h、不同投标人的投标文件载明的项目管理成员为同一人；</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i、不同投标人的投标文件异常一致或者投标报价呈规律性差异；</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j、不同投标人的投标文件相互混装；</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k、不同投标人的投标保证金从同一单位或者个人的账户转出；</w:t>
            </w:r>
          </w:p>
          <w:p>
            <w:pPr>
              <w:pStyle w:val="17"/>
              <w:spacing w:before="92"/>
              <w:ind w:left="107"/>
              <w:rPr>
                <w:rFonts w:ascii="Times New Roman"/>
                <w:color w:val="auto"/>
                <w:sz w:val="21"/>
              </w:rPr>
            </w:pPr>
            <w:r>
              <w:rPr>
                <w:rFonts w:hint="eastAsia" w:ascii="宋体" w:hAnsi="宋体" w:eastAsia="宋体" w:cs="宋体"/>
                <w:color w:val="auto"/>
                <w:sz w:val="21"/>
                <w:szCs w:val="21"/>
                <w:lang w:val="en-US"/>
              </w:rPr>
              <w:t>l、其他经查实的串标行为。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noWrap w:val="0"/>
            <w:vAlign w:val="center"/>
          </w:tcPr>
          <w:p>
            <w:pPr>
              <w:pStyle w:val="17"/>
              <w:jc w:val="center"/>
              <w:rPr>
                <w:rFonts w:ascii="Times New Roman"/>
                <w:color w:val="auto"/>
                <w:sz w:val="21"/>
              </w:rPr>
            </w:pPr>
            <w:r>
              <w:rPr>
                <w:rFonts w:hint="eastAsia" w:ascii="Times New Roman"/>
                <w:color w:val="auto"/>
                <w:sz w:val="21"/>
              </w:rPr>
              <w:t>1.4.4</w:t>
            </w:r>
          </w:p>
        </w:tc>
        <w:tc>
          <w:tcPr>
            <w:tcW w:w="2408" w:type="dxa"/>
            <w:noWrap w:val="0"/>
            <w:vAlign w:val="center"/>
          </w:tcPr>
          <w:p>
            <w:pPr>
              <w:pStyle w:val="17"/>
              <w:tabs>
                <w:tab w:val="left" w:pos="423"/>
                <w:tab w:val="left" w:pos="844"/>
                <w:tab w:val="left" w:pos="1266"/>
              </w:tabs>
              <w:ind w:left="1"/>
              <w:jc w:val="center"/>
              <w:rPr>
                <w:rFonts w:ascii="Times New Roman"/>
                <w:color w:val="auto"/>
                <w:sz w:val="21"/>
              </w:rPr>
            </w:pPr>
            <w:r>
              <w:rPr>
                <w:rFonts w:hint="eastAsia" w:ascii="Times New Roman"/>
                <w:color w:val="auto"/>
                <w:sz w:val="21"/>
              </w:rPr>
              <w:t>投标人不得存在的其他不良状况或不良信用记录</w:t>
            </w:r>
          </w:p>
        </w:tc>
        <w:tc>
          <w:tcPr>
            <w:tcW w:w="5810" w:type="dxa"/>
            <w:noWrap w:val="0"/>
            <w:vAlign w:val="center"/>
          </w:tcPr>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1、投标人没有被国家、江苏省省级有关部门及盐城市（含各县、区、市）有关部门暂停招投标或市场准入资格且在公示处罚期内。</w:t>
            </w:r>
          </w:p>
          <w:p>
            <w:pPr>
              <w:pStyle w:val="17"/>
              <w:spacing w:before="92"/>
              <w:ind w:left="107"/>
              <w:rPr>
                <w:rFonts w:ascii="Times New Roman"/>
                <w:b/>
                <w:color w:val="auto"/>
                <w:sz w:val="21"/>
              </w:rPr>
            </w:pPr>
            <w:r>
              <w:rPr>
                <w:rFonts w:hint="eastAsia" w:ascii="宋体" w:hAnsi="宋体" w:eastAsia="宋体" w:cs="宋体"/>
                <w:color w:val="auto"/>
                <w:sz w:val="21"/>
                <w:szCs w:val="21"/>
                <w:lang w:val="en-US"/>
              </w:rPr>
              <w:t>2、投标人属于江苏省法院确定的失信被执行人的按《关于在公共资源交易领域的招标投标活动中建立对失信被执行人联合惩戒机制的实施意见》（苏信用办〔2018〕23号）文件精神执行。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136" w:type="dxa"/>
            <w:noWrap w:val="0"/>
            <w:vAlign w:val="top"/>
          </w:tcPr>
          <w:p>
            <w:pPr>
              <w:pStyle w:val="17"/>
              <w:spacing w:before="12"/>
              <w:rPr>
                <w:color w:val="auto"/>
                <w:sz w:val="21"/>
              </w:rPr>
            </w:pPr>
          </w:p>
          <w:p>
            <w:pPr>
              <w:pStyle w:val="17"/>
              <w:ind w:right="295"/>
              <w:jc w:val="right"/>
              <w:rPr>
                <w:rFonts w:ascii="Times New Roman"/>
                <w:color w:val="auto"/>
                <w:sz w:val="21"/>
              </w:rPr>
            </w:pPr>
            <w:r>
              <w:rPr>
                <w:rFonts w:ascii="Times New Roman"/>
                <w:color w:val="auto"/>
                <w:sz w:val="21"/>
              </w:rPr>
              <w:t>1.</w:t>
            </w:r>
            <w:r>
              <w:rPr>
                <w:rFonts w:hint="eastAsia" w:ascii="Times New Roman"/>
                <w:color w:val="auto"/>
                <w:sz w:val="21"/>
              </w:rPr>
              <w:t>9.1</w:t>
            </w:r>
          </w:p>
        </w:tc>
        <w:tc>
          <w:tcPr>
            <w:tcW w:w="2408" w:type="dxa"/>
            <w:noWrap w:val="0"/>
            <w:vAlign w:val="center"/>
          </w:tcPr>
          <w:p>
            <w:pPr>
              <w:pStyle w:val="17"/>
              <w:spacing w:before="1"/>
              <w:jc w:val="center"/>
              <w:rPr>
                <w:color w:val="auto"/>
                <w:sz w:val="21"/>
              </w:rPr>
            </w:pPr>
            <w:r>
              <w:rPr>
                <w:rFonts w:hint="eastAsia"/>
                <w:color w:val="auto"/>
                <w:sz w:val="21"/>
              </w:rPr>
              <w:t>踏勘现场</w:t>
            </w:r>
          </w:p>
        </w:tc>
        <w:tc>
          <w:tcPr>
            <w:tcW w:w="5810" w:type="dxa"/>
            <w:noWrap w:val="0"/>
            <w:vAlign w:val="top"/>
          </w:tcPr>
          <w:p>
            <w:pPr>
              <w:pStyle w:val="17"/>
              <w:spacing w:line="359" w:lineRule="exact"/>
              <w:ind w:left="107"/>
              <w:jc w:val="both"/>
              <w:rPr>
                <w:color w:val="auto"/>
                <w:sz w:val="21"/>
              </w:rPr>
            </w:pPr>
            <w:r>
              <w:rPr>
                <w:rFonts w:hint="eastAsia"/>
                <w:b/>
                <w:color w:val="auto"/>
                <w:sz w:val="21"/>
              </w:rPr>
              <w:t>√不组织，</w:t>
            </w:r>
            <w:r>
              <w:rPr>
                <w:rFonts w:hint="eastAsia"/>
                <w:color w:val="auto"/>
                <w:sz w:val="21"/>
              </w:rPr>
              <w:t>投标人可自行调查，如需招标人协助，请提前通知，招标人将给予协助。（投标人无权因为现场勘察不周，情况不了解不细或因素考虑不全面而提出修改投标、调整报价或提出赔偿等要求。）</w:t>
            </w:r>
          </w:p>
          <w:p>
            <w:pPr>
              <w:pStyle w:val="17"/>
              <w:spacing w:line="359" w:lineRule="exact"/>
              <w:ind w:left="107"/>
              <w:jc w:val="both"/>
              <w:rPr>
                <w:color w:val="auto"/>
                <w:sz w:val="21"/>
              </w:rPr>
            </w:pPr>
            <w:r>
              <w:rPr>
                <w:rFonts w:hint="eastAsia"/>
                <w:color w:val="auto"/>
                <w:sz w:val="21"/>
              </w:rPr>
              <w:t>口组织，踏勘时间：/    踏勘集中地点：/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136" w:type="dxa"/>
            <w:noWrap w:val="0"/>
            <w:vAlign w:val="center"/>
          </w:tcPr>
          <w:p>
            <w:pPr>
              <w:pStyle w:val="17"/>
              <w:jc w:val="center"/>
              <w:rPr>
                <w:rFonts w:ascii="Times New Roman"/>
                <w:color w:val="auto"/>
                <w:sz w:val="21"/>
              </w:rPr>
            </w:pPr>
            <w:r>
              <w:rPr>
                <w:rFonts w:ascii="Times New Roman"/>
                <w:color w:val="auto"/>
                <w:sz w:val="21"/>
              </w:rPr>
              <w:t>1.10.</w:t>
            </w:r>
            <w:r>
              <w:rPr>
                <w:rFonts w:hint="eastAsia" w:ascii="Times New Roman"/>
                <w:color w:val="auto"/>
                <w:sz w:val="21"/>
              </w:rPr>
              <w:t>1</w:t>
            </w:r>
          </w:p>
        </w:tc>
        <w:tc>
          <w:tcPr>
            <w:tcW w:w="2408" w:type="dxa"/>
            <w:noWrap w:val="0"/>
            <w:vAlign w:val="center"/>
          </w:tcPr>
          <w:p>
            <w:pPr>
              <w:pStyle w:val="17"/>
              <w:spacing w:before="4" w:line="360" w:lineRule="exact"/>
              <w:ind w:left="1368" w:right="99" w:hanging="1261"/>
              <w:jc w:val="center"/>
              <w:rPr>
                <w:color w:val="auto"/>
                <w:sz w:val="21"/>
              </w:rPr>
            </w:pPr>
            <w:r>
              <w:rPr>
                <w:color w:val="auto"/>
                <w:sz w:val="21"/>
              </w:rPr>
              <w:t>投标预备会</w:t>
            </w:r>
          </w:p>
        </w:tc>
        <w:tc>
          <w:tcPr>
            <w:tcW w:w="5810" w:type="dxa"/>
            <w:noWrap w:val="0"/>
            <w:vAlign w:val="center"/>
          </w:tcPr>
          <w:p>
            <w:pPr>
              <w:pStyle w:val="17"/>
              <w:spacing w:before="77" w:line="250" w:lineRule="exact"/>
              <w:ind w:left="107"/>
              <w:jc w:val="both"/>
              <w:rPr>
                <w:rFonts w:hint="eastAsia"/>
                <w:b/>
                <w:color w:val="auto"/>
                <w:sz w:val="21"/>
              </w:rPr>
            </w:pPr>
            <w:r>
              <w:rPr>
                <w:rFonts w:hint="eastAsia"/>
                <w:b/>
                <w:color w:val="auto"/>
                <w:sz w:val="21"/>
              </w:rPr>
              <w:t>√不召开</w:t>
            </w:r>
          </w:p>
          <w:p>
            <w:pPr>
              <w:pStyle w:val="17"/>
              <w:spacing w:before="77" w:line="250" w:lineRule="exact"/>
              <w:ind w:left="107"/>
              <w:jc w:val="both"/>
              <w:rPr>
                <w:color w:val="auto"/>
                <w:sz w:val="21"/>
              </w:rPr>
            </w:pPr>
            <w:r>
              <w:rPr>
                <w:rFonts w:hint="eastAsia"/>
                <w:color w:val="auto"/>
                <w:sz w:val="21"/>
              </w:rPr>
              <w:t>口召开，召开时间：/ 召开地点：/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4" w:hRule="atLeast"/>
        </w:trPr>
        <w:tc>
          <w:tcPr>
            <w:tcW w:w="1136" w:type="dxa"/>
            <w:noWrap w:val="0"/>
            <w:vAlign w:val="center"/>
          </w:tcPr>
          <w:p>
            <w:pPr>
              <w:pStyle w:val="17"/>
              <w:jc w:val="center"/>
              <w:rPr>
                <w:rFonts w:ascii="Times New Roman"/>
                <w:color w:val="auto"/>
                <w:sz w:val="21"/>
              </w:rPr>
            </w:pPr>
            <w:r>
              <w:rPr>
                <w:rFonts w:ascii="Times New Roman"/>
                <w:color w:val="auto"/>
                <w:sz w:val="21"/>
              </w:rPr>
              <w:t>1.10.2</w:t>
            </w:r>
          </w:p>
        </w:tc>
        <w:tc>
          <w:tcPr>
            <w:tcW w:w="2408" w:type="dxa"/>
            <w:noWrap w:val="0"/>
            <w:vAlign w:val="center"/>
          </w:tcPr>
          <w:p>
            <w:pPr>
              <w:pStyle w:val="17"/>
              <w:spacing w:before="4" w:line="360" w:lineRule="exact"/>
              <w:ind w:right="99"/>
              <w:jc w:val="center"/>
              <w:rPr>
                <w:color w:val="auto"/>
                <w:sz w:val="21"/>
              </w:rPr>
            </w:pPr>
            <w:r>
              <w:rPr>
                <w:color w:val="auto"/>
                <w:sz w:val="21"/>
              </w:rPr>
              <w:t>投标人在投标预备会前提出问题</w:t>
            </w:r>
          </w:p>
        </w:tc>
        <w:tc>
          <w:tcPr>
            <w:tcW w:w="5810" w:type="dxa"/>
            <w:noWrap w:val="0"/>
            <w:vAlign w:val="center"/>
          </w:tcPr>
          <w:p>
            <w:pPr>
              <w:pStyle w:val="17"/>
              <w:spacing w:before="77" w:line="250" w:lineRule="exact"/>
              <w:ind w:left="107"/>
              <w:jc w:val="both"/>
              <w:rPr>
                <w:rFonts w:hint="eastAsia"/>
                <w:color w:val="auto"/>
                <w:sz w:val="21"/>
              </w:rPr>
            </w:pPr>
            <w:r>
              <w:rPr>
                <w:rFonts w:hint="eastAsia"/>
                <w:color w:val="auto"/>
                <w:sz w:val="21"/>
              </w:rPr>
              <w:t>时间：/</w:t>
            </w:r>
          </w:p>
          <w:p>
            <w:pPr>
              <w:pStyle w:val="17"/>
              <w:spacing w:before="77" w:line="250" w:lineRule="exact"/>
              <w:ind w:left="107"/>
              <w:jc w:val="both"/>
              <w:rPr>
                <w:color w:val="auto"/>
                <w:sz w:val="21"/>
              </w:rPr>
            </w:pPr>
            <w:r>
              <w:rPr>
                <w:rFonts w:hint="eastAsia"/>
                <w:color w:val="auto"/>
                <w:sz w:val="21"/>
              </w:rPr>
              <w:t>形式：</w:t>
            </w:r>
            <w:r>
              <w:rPr>
                <w:color w:val="auto"/>
                <w:sz w:val="21"/>
              </w:rPr>
              <w:t>使用 CA 数字证书登录“电子交易平台”在“投标人异议(含澄清)”菜单以书面形式将提出的问题送达招标人。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0" w:hRule="atLeast"/>
        </w:trPr>
        <w:tc>
          <w:tcPr>
            <w:tcW w:w="1136" w:type="dxa"/>
            <w:noWrap w:val="0"/>
            <w:vAlign w:val="center"/>
          </w:tcPr>
          <w:p>
            <w:pPr>
              <w:pStyle w:val="17"/>
              <w:ind w:right="22"/>
              <w:jc w:val="center"/>
              <w:rPr>
                <w:rFonts w:ascii="Times New Roman"/>
                <w:color w:val="auto"/>
                <w:sz w:val="21"/>
              </w:rPr>
            </w:pPr>
            <w:r>
              <w:rPr>
                <w:rFonts w:ascii="Times New Roman"/>
                <w:color w:val="auto"/>
                <w:sz w:val="21"/>
              </w:rPr>
              <w:t>1.11.1</w:t>
            </w:r>
          </w:p>
        </w:tc>
        <w:tc>
          <w:tcPr>
            <w:tcW w:w="2408" w:type="dxa"/>
            <w:noWrap w:val="0"/>
            <w:vAlign w:val="center"/>
          </w:tcPr>
          <w:p>
            <w:pPr>
              <w:pStyle w:val="17"/>
              <w:tabs>
                <w:tab w:val="left" w:pos="426"/>
              </w:tabs>
              <w:jc w:val="center"/>
              <w:rPr>
                <w:color w:val="auto"/>
                <w:sz w:val="21"/>
              </w:rPr>
            </w:pPr>
            <w:r>
              <w:rPr>
                <w:color w:val="auto"/>
                <w:sz w:val="21"/>
              </w:rPr>
              <w:t>分</w:t>
            </w:r>
            <w:r>
              <w:rPr>
                <w:color w:val="auto"/>
                <w:sz w:val="21"/>
              </w:rPr>
              <w:tab/>
            </w:r>
            <w:r>
              <w:rPr>
                <w:color w:val="auto"/>
                <w:sz w:val="21"/>
              </w:rPr>
              <w:t>包</w:t>
            </w:r>
          </w:p>
        </w:tc>
        <w:tc>
          <w:tcPr>
            <w:tcW w:w="5810" w:type="dxa"/>
            <w:noWrap w:val="0"/>
            <w:vAlign w:val="center"/>
          </w:tcPr>
          <w:p>
            <w:pPr>
              <w:pStyle w:val="17"/>
              <w:spacing w:line="352" w:lineRule="exact"/>
              <w:ind w:left="107"/>
              <w:jc w:val="both"/>
              <w:rPr>
                <w:b/>
                <w:color w:val="auto"/>
                <w:sz w:val="21"/>
              </w:rPr>
            </w:pPr>
            <w:r>
              <w:rPr>
                <w:rFonts w:ascii="Times New Roman" w:hAnsi="Times New Roman" w:eastAsia="Times New Roman" w:cs="Times New Roman"/>
                <w:b/>
                <w:color w:val="auto"/>
                <w:sz w:val="32"/>
              </w:rPr>
              <w:t>√</w:t>
            </w:r>
            <w:r>
              <w:rPr>
                <w:b/>
                <w:color w:val="auto"/>
                <w:sz w:val="21"/>
              </w:rPr>
              <w:t>不允许</w:t>
            </w:r>
          </w:p>
          <w:p>
            <w:pPr>
              <w:pStyle w:val="17"/>
              <w:spacing w:before="1"/>
              <w:ind w:left="107"/>
              <w:jc w:val="both"/>
              <w:rPr>
                <w:color w:val="auto"/>
                <w:sz w:val="21"/>
              </w:rPr>
            </w:pPr>
            <w:r>
              <w:rPr>
                <w:rFonts w:ascii="Times New Roman" w:hAnsi="Times New Roman" w:eastAsia="Times New Roman"/>
                <w:color w:val="auto"/>
                <w:sz w:val="32"/>
              </w:rPr>
              <w:t>□</w:t>
            </w:r>
            <w:r>
              <w:rPr>
                <w:color w:val="auto"/>
                <w:sz w:val="21"/>
              </w:rPr>
              <w:t>允许，允许分包的专项工程（或不允许分包的专项工程</w:t>
            </w:r>
            <w:r>
              <w:rPr>
                <w:color w:val="auto"/>
                <w:spacing w:val="-108"/>
                <w:sz w:val="21"/>
              </w:rPr>
              <w:t>）</w:t>
            </w:r>
            <w:r>
              <w:rPr>
                <w:color w:val="auto"/>
                <w:sz w:val="21"/>
              </w:rPr>
              <w:t>：</w:t>
            </w:r>
            <w:r>
              <w:rPr>
                <w:rFonts w:hint="eastAsia"/>
                <w:color w:val="auto"/>
                <w:spacing w:val="-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0" w:hRule="atLeast"/>
        </w:trPr>
        <w:tc>
          <w:tcPr>
            <w:tcW w:w="1136" w:type="dxa"/>
            <w:noWrap w:val="0"/>
            <w:vAlign w:val="top"/>
          </w:tcPr>
          <w:p>
            <w:pPr>
              <w:pStyle w:val="17"/>
              <w:spacing w:before="113" w:line="226" w:lineRule="exact"/>
              <w:ind w:left="181" w:right="172"/>
              <w:jc w:val="center"/>
              <w:rPr>
                <w:rFonts w:ascii="Times New Roman"/>
                <w:color w:val="auto"/>
                <w:sz w:val="21"/>
              </w:rPr>
            </w:pPr>
            <w:r>
              <w:rPr>
                <w:rFonts w:ascii="Times New Roman"/>
                <w:color w:val="auto"/>
                <w:sz w:val="21"/>
              </w:rPr>
              <w:t>2.1</w:t>
            </w:r>
          </w:p>
        </w:tc>
        <w:tc>
          <w:tcPr>
            <w:tcW w:w="2408" w:type="dxa"/>
            <w:noWrap w:val="0"/>
            <w:vAlign w:val="center"/>
          </w:tcPr>
          <w:p>
            <w:pPr>
              <w:pStyle w:val="17"/>
              <w:spacing w:before="90" w:line="250" w:lineRule="exact"/>
              <w:ind w:left="3"/>
              <w:jc w:val="center"/>
              <w:rPr>
                <w:color w:val="auto"/>
                <w:sz w:val="21"/>
              </w:rPr>
            </w:pPr>
            <w:r>
              <w:rPr>
                <w:color w:val="auto"/>
                <w:sz w:val="21"/>
              </w:rPr>
              <w:t>构成招标文件的其他资料</w:t>
            </w:r>
          </w:p>
        </w:tc>
        <w:tc>
          <w:tcPr>
            <w:tcW w:w="5810" w:type="dxa"/>
            <w:noWrap w:val="0"/>
            <w:vAlign w:val="top"/>
          </w:tcPr>
          <w:p>
            <w:pPr>
              <w:pStyle w:val="17"/>
              <w:spacing w:before="77" w:line="250" w:lineRule="exact"/>
              <w:ind w:left="107"/>
              <w:jc w:val="both"/>
              <w:rPr>
                <w:rFonts w:hint="eastAsia" w:eastAsia="宋体"/>
                <w:color w:val="auto"/>
                <w:sz w:val="21"/>
                <w:lang w:eastAsia="zh-CN"/>
              </w:rPr>
            </w:pPr>
            <w:r>
              <w:rPr>
                <w:color w:val="auto"/>
                <w:sz w:val="21"/>
              </w:rPr>
              <w:t>本招标文件包括《公路工程标准文件》及项目专用本：</w:t>
            </w:r>
          </w:p>
          <w:p>
            <w:pPr>
              <w:pStyle w:val="17"/>
              <w:spacing w:before="77" w:line="250" w:lineRule="exact"/>
              <w:ind w:left="107"/>
              <w:jc w:val="both"/>
              <w:rPr>
                <w:rFonts w:hint="eastAsia"/>
                <w:color w:val="auto"/>
                <w:sz w:val="21"/>
              </w:rPr>
            </w:pPr>
            <w:r>
              <w:rPr>
                <w:rFonts w:hint="eastAsia"/>
                <w:color w:val="auto"/>
                <w:sz w:val="21"/>
              </w:rPr>
              <w:t>（1）招标公告（2）投标人须知（3）评标办法（4）合同条款及格式（5）工程量清单（6）图纸（7）技术规范（8）工程量清单计量规则（9）投标文件格式（</w:t>
            </w:r>
            <w:r>
              <w:rPr>
                <w:rFonts w:hint="eastAsia"/>
                <w:color w:val="auto"/>
                <w:sz w:val="21"/>
                <w:lang w:val="en-US"/>
              </w:rPr>
              <w:t>10</w:t>
            </w:r>
            <w:r>
              <w:rPr>
                <w:rFonts w:hint="eastAsia"/>
                <w:color w:val="auto"/>
                <w:sz w:val="21"/>
              </w:rPr>
              <w:t>）招标文件附件</w:t>
            </w:r>
          </w:p>
          <w:p>
            <w:pPr>
              <w:pStyle w:val="17"/>
              <w:spacing w:before="77" w:line="250" w:lineRule="exact"/>
              <w:ind w:left="107"/>
              <w:jc w:val="both"/>
              <w:rPr>
                <w:rFonts w:hint="eastAsia" w:eastAsia="宋体"/>
                <w:color w:val="auto"/>
                <w:sz w:val="21"/>
                <w:lang w:eastAsia="zh-CN"/>
              </w:rPr>
            </w:pPr>
            <w:r>
              <w:rPr>
                <w:color w:val="auto"/>
                <w:sz w:val="21"/>
              </w:rPr>
              <w:t>根据本章第1.10款、第2.2款和第2.</w:t>
            </w:r>
            <w:r>
              <w:rPr>
                <w:rFonts w:hint="eastAsia"/>
                <w:color w:val="auto"/>
                <w:sz w:val="21"/>
                <w:lang w:val="en-US"/>
              </w:rPr>
              <w:t>3</w:t>
            </w:r>
            <w:r>
              <w:rPr>
                <w:color w:val="auto"/>
                <w:sz w:val="21"/>
              </w:rPr>
              <w:t>款对招标文件所作的澄清、修改，构成招标文件的组成部分。</w:t>
            </w:r>
          </w:p>
          <w:p>
            <w:pPr>
              <w:pStyle w:val="17"/>
              <w:spacing w:before="77" w:line="250" w:lineRule="exact"/>
              <w:ind w:left="107"/>
              <w:jc w:val="both"/>
              <w:rPr>
                <w:color w:val="auto"/>
                <w:sz w:val="21"/>
              </w:rPr>
            </w:pPr>
            <w:r>
              <w:rPr>
                <w:color w:val="auto"/>
                <w:sz w:val="21"/>
              </w:rPr>
              <w:t xml:space="preserve">当招标文件、招标文件的澄清或修改等在同一内容的表述上不一致时，以最后发出的书面文件为准。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136" w:type="dxa"/>
            <w:vMerge w:val="restart"/>
            <w:noWrap w:val="0"/>
            <w:vAlign w:val="center"/>
          </w:tcPr>
          <w:p>
            <w:pPr>
              <w:pStyle w:val="17"/>
              <w:ind w:right="22"/>
              <w:jc w:val="center"/>
              <w:rPr>
                <w:rFonts w:ascii="Times New Roman"/>
                <w:color w:val="auto"/>
                <w:sz w:val="21"/>
              </w:rPr>
            </w:pPr>
            <w:r>
              <w:rPr>
                <w:rFonts w:ascii="Times New Roman"/>
                <w:color w:val="auto"/>
                <w:sz w:val="21"/>
              </w:rPr>
              <w:t>2.2.1</w:t>
            </w:r>
          </w:p>
        </w:tc>
        <w:tc>
          <w:tcPr>
            <w:tcW w:w="2408" w:type="dxa"/>
            <w:vMerge w:val="restart"/>
            <w:noWrap w:val="0"/>
            <w:vAlign w:val="center"/>
          </w:tcPr>
          <w:p>
            <w:pPr>
              <w:pStyle w:val="17"/>
              <w:spacing w:before="1"/>
              <w:jc w:val="center"/>
              <w:rPr>
                <w:color w:val="auto"/>
                <w:sz w:val="21"/>
              </w:rPr>
            </w:pPr>
            <w:r>
              <w:rPr>
                <w:color w:val="auto"/>
                <w:sz w:val="21"/>
              </w:rPr>
              <w:t>投标人要求澄清招标文件</w:t>
            </w:r>
          </w:p>
        </w:tc>
        <w:tc>
          <w:tcPr>
            <w:tcW w:w="5810" w:type="dxa"/>
            <w:noWrap w:val="0"/>
            <w:vAlign w:val="top"/>
          </w:tcPr>
          <w:p>
            <w:pPr>
              <w:pStyle w:val="17"/>
              <w:spacing w:line="431" w:lineRule="exact"/>
              <w:ind w:left="108"/>
              <w:rPr>
                <w:rFonts w:ascii="微软雅黑" w:eastAsia="微软雅黑"/>
                <w:b/>
                <w:color w:val="auto"/>
                <w:sz w:val="28"/>
              </w:rPr>
            </w:pPr>
            <w:r>
              <w:rPr>
                <w:color w:val="auto"/>
                <w:sz w:val="21"/>
              </w:rPr>
              <w:t>时间：</w:t>
            </w:r>
            <w:r>
              <w:rPr>
                <w:rFonts w:hint="eastAsia"/>
                <w:color w:val="auto"/>
                <w:sz w:val="21"/>
              </w:rPr>
              <w:t>递交投标文件截止之日</w:t>
            </w:r>
            <w:r>
              <w:rPr>
                <w:rFonts w:hint="eastAsia"/>
                <w:color w:val="auto"/>
                <w:sz w:val="21"/>
                <w:u w:val="single"/>
              </w:rPr>
              <w:t xml:space="preserve"> </w:t>
            </w:r>
            <w:r>
              <w:rPr>
                <w:rFonts w:hint="eastAsia"/>
                <w:color w:val="auto"/>
                <w:sz w:val="21"/>
                <w:u w:val="single"/>
                <w:lang w:val="en-US"/>
              </w:rPr>
              <w:t>3</w:t>
            </w:r>
            <w:r>
              <w:rPr>
                <w:rFonts w:hint="eastAsia"/>
                <w:color w:val="auto"/>
                <w:sz w:val="21"/>
                <w:u w:val="single"/>
              </w:rPr>
              <w:t xml:space="preserve"> </w:t>
            </w:r>
            <w:r>
              <w:rPr>
                <w:rFonts w:hint="eastAsia"/>
                <w:color w:val="auto"/>
                <w:sz w:val="21"/>
              </w:rPr>
              <w:t>天前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2" w:hRule="atLeast"/>
        </w:trPr>
        <w:tc>
          <w:tcPr>
            <w:tcW w:w="1136" w:type="dxa"/>
            <w:vMerge w:val="continue"/>
            <w:tcBorders>
              <w:top w:val="nil"/>
            </w:tcBorders>
            <w:noWrap w:val="0"/>
            <w:vAlign w:val="top"/>
          </w:tcPr>
          <w:p>
            <w:pPr>
              <w:rPr>
                <w:color w:val="auto"/>
                <w:sz w:val="2"/>
                <w:szCs w:val="2"/>
              </w:rPr>
            </w:pPr>
          </w:p>
        </w:tc>
        <w:tc>
          <w:tcPr>
            <w:tcW w:w="2408" w:type="dxa"/>
            <w:vMerge w:val="continue"/>
            <w:tcBorders>
              <w:top w:val="nil"/>
            </w:tcBorders>
            <w:noWrap w:val="0"/>
            <w:vAlign w:val="center"/>
          </w:tcPr>
          <w:p>
            <w:pPr>
              <w:jc w:val="center"/>
              <w:rPr>
                <w:color w:val="auto"/>
                <w:sz w:val="2"/>
                <w:szCs w:val="2"/>
              </w:rPr>
            </w:pPr>
          </w:p>
        </w:tc>
        <w:tc>
          <w:tcPr>
            <w:tcW w:w="5810" w:type="dxa"/>
            <w:noWrap w:val="0"/>
            <w:vAlign w:val="top"/>
          </w:tcPr>
          <w:p>
            <w:pPr>
              <w:pStyle w:val="17"/>
              <w:spacing w:before="92" w:line="250" w:lineRule="exact"/>
              <w:ind w:left="107"/>
              <w:rPr>
                <w:color w:val="auto"/>
                <w:sz w:val="21"/>
              </w:rPr>
            </w:pPr>
            <w:r>
              <w:rPr>
                <w:rFonts w:hint="eastAsia"/>
                <w:color w:val="auto"/>
                <w:sz w:val="21"/>
              </w:rPr>
              <w:t>形式：书面形式，扫描件发送至邮箱</w:t>
            </w:r>
            <w:r>
              <w:rPr>
                <w:rFonts w:hint="eastAsia"/>
                <w:color w:val="auto"/>
                <w:sz w:val="21"/>
                <w:lang w:val="en-US" w:eastAsia="zh-CN"/>
              </w:rPr>
              <w:t>1071193060</w:t>
            </w:r>
            <w:r>
              <w:rPr>
                <w:rFonts w:hint="eastAsia"/>
                <w:color w:val="auto"/>
                <w:sz w:val="21"/>
              </w:rPr>
              <w:t>@qq.com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1136" w:type="dxa"/>
            <w:noWrap w:val="0"/>
            <w:vAlign w:val="top"/>
          </w:tcPr>
          <w:p>
            <w:pPr>
              <w:pStyle w:val="17"/>
              <w:spacing w:before="113" w:line="226" w:lineRule="exact"/>
              <w:ind w:right="400"/>
              <w:jc w:val="right"/>
              <w:rPr>
                <w:rFonts w:ascii="Times New Roman"/>
                <w:color w:val="auto"/>
                <w:sz w:val="21"/>
              </w:rPr>
            </w:pPr>
            <w:r>
              <w:rPr>
                <w:rFonts w:ascii="Times New Roman"/>
                <w:color w:val="auto"/>
                <w:sz w:val="21"/>
              </w:rPr>
              <w:t>2.2.2</w:t>
            </w:r>
          </w:p>
        </w:tc>
        <w:tc>
          <w:tcPr>
            <w:tcW w:w="2408" w:type="dxa"/>
            <w:noWrap w:val="0"/>
            <w:vAlign w:val="center"/>
          </w:tcPr>
          <w:p>
            <w:pPr>
              <w:pStyle w:val="17"/>
              <w:spacing w:before="92" w:line="250" w:lineRule="exact"/>
              <w:ind w:left="107"/>
              <w:jc w:val="center"/>
              <w:rPr>
                <w:color w:val="auto"/>
                <w:sz w:val="21"/>
              </w:rPr>
            </w:pPr>
            <w:r>
              <w:rPr>
                <w:color w:val="auto"/>
                <w:sz w:val="21"/>
              </w:rPr>
              <w:t>招标文件澄清发出的形式</w:t>
            </w:r>
          </w:p>
        </w:tc>
        <w:tc>
          <w:tcPr>
            <w:tcW w:w="5810" w:type="dxa"/>
            <w:noWrap w:val="0"/>
            <w:vAlign w:val="center"/>
          </w:tcPr>
          <w:p>
            <w:pPr>
              <w:pStyle w:val="17"/>
              <w:spacing w:before="92" w:line="250" w:lineRule="exact"/>
              <w:ind w:left="107"/>
              <w:jc w:val="both"/>
              <w:rPr>
                <w:color w:val="auto"/>
                <w:sz w:val="21"/>
              </w:rPr>
            </w:pPr>
            <w:r>
              <w:rPr>
                <w:rFonts w:hint="eastAsia"/>
                <w:color w:val="auto"/>
                <w:sz w:val="21"/>
              </w:rPr>
              <w:t>上传至</w:t>
            </w:r>
            <w:r>
              <w:rPr>
                <w:rFonts w:hint="eastAsia"/>
                <w:color w:val="auto"/>
                <w:spacing w:val="-3"/>
                <w:sz w:val="21"/>
                <w:szCs w:val="21"/>
                <w:lang w:eastAsia="zh-CN"/>
              </w:rPr>
              <w:t>大丰</w:t>
            </w:r>
            <w:r>
              <w:rPr>
                <w:rFonts w:hint="eastAsia"/>
                <w:color w:val="auto"/>
                <w:spacing w:val="-3"/>
                <w:sz w:val="21"/>
                <w:szCs w:val="21"/>
              </w:rPr>
              <w:t>公共资源</w:t>
            </w:r>
            <w:r>
              <w:rPr>
                <w:rFonts w:hint="eastAsia"/>
                <w:color w:val="auto"/>
                <w:spacing w:val="-3"/>
                <w:sz w:val="21"/>
                <w:szCs w:val="21"/>
                <w:lang w:eastAsia="zh-CN"/>
              </w:rPr>
              <w:t>电子</w:t>
            </w:r>
            <w:r>
              <w:rPr>
                <w:rFonts w:hint="eastAsia"/>
                <w:color w:val="auto"/>
                <w:spacing w:val="-3"/>
                <w:sz w:val="21"/>
                <w:szCs w:val="21"/>
              </w:rPr>
              <w:t>交易平台</w:t>
            </w:r>
            <w:r>
              <w:rPr>
                <w:rFonts w:hint="eastAsia"/>
                <w:color w:val="auto"/>
                <w:sz w:val="21"/>
              </w:rPr>
              <w:t>，请投标人自行下载。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136" w:type="dxa"/>
            <w:noWrap w:val="0"/>
            <w:vAlign w:val="center"/>
          </w:tcPr>
          <w:p>
            <w:pPr>
              <w:pStyle w:val="17"/>
              <w:jc w:val="center"/>
              <w:rPr>
                <w:rFonts w:ascii="Times New Roman"/>
                <w:color w:val="auto"/>
                <w:sz w:val="21"/>
              </w:rPr>
            </w:pPr>
            <w:r>
              <w:rPr>
                <w:rFonts w:ascii="Times New Roman"/>
                <w:color w:val="auto"/>
                <w:sz w:val="21"/>
              </w:rPr>
              <w:t>2.2.3</w:t>
            </w:r>
          </w:p>
        </w:tc>
        <w:tc>
          <w:tcPr>
            <w:tcW w:w="2408" w:type="dxa"/>
            <w:noWrap w:val="0"/>
            <w:vAlign w:val="center"/>
          </w:tcPr>
          <w:p>
            <w:pPr>
              <w:pStyle w:val="17"/>
              <w:jc w:val="center"/>
              <w:rPr>
                <w:color w:val="auto"/>
                <w:sz w:val="21"/>
              </w:rPr>
            </w:pPr>
            <w:r>
              <w:rPr>
                <w:color w:val="auto"/>
                <w:sz w:val="21"/>
              </w:rPr>
              <w:t>投标人确认收到招标文件澄清</w:t>
            </w:r>
          </w:p>
        </w:tc>
        <w:tc>
          <w:tcPr>
            <w:tcW w:w="5810" w:type="dxa"/>
            <w:noWrap w:val="0"/>
            <w:vAlign w:val="center"/>
          </w:tcPr>
          <w:p>
            <w:pPr>
              <w:pStyle w:val="17"/>
              <w:tabs>
                <w:tab w:val="left" w:pos="2209"/>
              </w:tabs>
              <w:spacing w:before="89" w:line="250" w:lineRule="exact"/>
              <w:ind w:left="107"/>
              <w:jc w:val="both"/>
              <w:rPr>
                <w:color w:val="auto"/>
                <w:sz w:val="21"/>
              </w:rPr>
            </w:pPr>
            <w:r>
              <w:rPr>
                <w:color w:val="auto"/>
                <w:sz w:val="21"/>
              </w:rPr>
              <w:t>时间</w:t>
            </w:r>
            <w:r>
              <w:rPr>
                <w:color w:val="auto"/>
                <w:spacing w:val="-3"/>
                <w:sz w:val="21"/>
              </w:rPr>
              <w:t>：</w:t>
            </w:r>
            <w:r>
              <w:rPr>
                <w:color w:val="auto"/>
                <w:sz w:val="21"/>
              </w:rPr>
              <w:t>收</w:t>
            </w:r>
            <w:r>
              <w:rPr>
                <w:color w:val="auto"/>
                <w:spacing w:val="-3"/>
                <w:sz w:val="21"/>
              </w:rPr>
              <w:t>到</w:t>
            </w:r>
            <w:r>
              <w:rPr>
                <w:color w:val="auto"/>
                <w:sz w:val="21"/>
              </w:rPr>
              <w:t>澄</w:t>
            </w:r>
            <w:r>
              <w:rPr>
                <w:color w:val="auto"/>
                <w:spacing w:val="-3"/>
                <w:sz w:val="21"/>
              </w:rPr>
              <w:t>清</w:t>
            </w:r>
            <w:r>
              <w:rPr>
                <w:color w:val="auto"/>
                <w:sz w:val="21"/>
              </w:rPr>
              <w:t>后</w:t>
            </w:r>
            <w:r>
              <w:rPr>
                <w:color w:val="auto"/>
                <w:sz w:val="21"/>
                <w:u w:val="single"/>
              </w:rPr>
              <w:t xml:space="preserve"> </w:t>
            </w:r>
            <w:r>
              <w:rPr>
                <w:rFonts w:hint="eastAsia"/>
                <w:color w:val="auto"/>
                <w:sz w:val="21"/>
                <w:u w:val="single"/>
              </w:rPr>
              <w:t>24</w:t>
            </w:r>
            <w:r>
              <w:rPr>
                <w:color w:val="auto"/>
                <w:spacing w:val="-3"/>
                <w:sz w:val="21"/>
              </w:rPr>
              <w:t>小</w:t>
            </w:r>
            <w:r>
              <w:rPr>
                <w:color w:val="auto"/>
                <w:sz w:val="21"/>
              </w:rPr>
              <w:t>时内</w:t>
            </w:r>
            <w:r>
              <w:rPr>
                <w:color w:val="auto"/>
                <w:spacing w:val="-3"/>
                <w:sz w:val="21"/>
              </w:rPr>
              <w:t>（</w:t>
            </w:r>
            <w:r>
              <w:rPr>
                <w:color w:val="auto"/>
                <w:sz w:val="21"/>
              </w:rPr>
              <w:t>以</w:t>
            </w:r>
            <w:r>
              <w:rPr>
                <w:color w:val="auto"/>
                <w:spacing w:val="-3"/>
                <w:sz w:val="21"/>
              </w:rPr>
              <w:t>发</w:t>
            </w:r>
            <w:r>
              <w:rPr>
                <w:color w:val="auto"/>
                <w:sz w:val="21"/>
              </w:rPr>
              <w:t>出</w:t>
            </w:r>
            <w:r>
              <w:rPr>
                <w:color w:val="auto"/>
                <w:spacing w:val="-3"/>
                <w:sz w:val="21"/>
              </w:rPr>
              <w:t>时</w:t>
            </w:r>
            <w:r>
              <w:rPr>
                <w:color w:val="auto"/>
                <w:sz w:val="21"/>
              </w:rPr>
              <w:t>间</w:t>
            </w:r>
            <w:r>
              <w:rPr>
                <w:color w:val="auto"/>
                <w:spacing w:val="-3"/>
                <w:sz w:val="21"/>
              </w:rPr>
              <w:t>为</w:t>
            </w:r>
            <w:r>
              <w:rPr>
                <w:color w:val="auto"/>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36" w:type="dxa"/>
            <w:tcBorders>
              <w:bottom w:val="single" w:color="auto" w:sz="4" w:space="0"/>
            </w:tcBorders>
            <w:noWrap w:val="0"/>
            <w:vAlign w:val="center"/>
          </w:tcPr>
          <w:p>
            <w:pPr>
              <w:pStyle w:val="17"/>
              <w:tabs>
                <w:tab w:val="left" w:pos="2209"/>
              </w:tabs>
              <w:spacing w:before="89" w:line="250" w:lineRule="exact"/>
              <w:ind w:left="107"/>
              <w:jc w:val="center"/>
              <w:rPr>
                <w:color w:val="auto"/>
                <w:sz w:val="21"/>
              </w:rPr>
            </w:pPr>
            <w:r>
              <w:rPr>
                <w:rFonts w:hint="eastAsia"/>
                <w:color w:val="auto"/>
                <w:sz w:val="21"/>
              </w:rPr>
              <w:t>2.3.1</w:t>
            </w:r>
          </w:p>
        </w:tc>
        <w:tc>
          <w:tcPr>
            <w:tcW w:w="2408" w:type="dxa"/>
            <w:tcBorders>
              <w:bottom w:val="single" w:color="auto" w:sz="4" w:space="0"/>
            </w:tcBorders>
            <w:noWrap w:val="0"/>
            <w:vAlign w:val="center"/>
          </w:tcPr>
          <w:p>
            <w:pPr>
              <w:pStyle w:val="17"/>
              <w:spacing w:before="92" w:line="250" w:lineRule="exact"/>
              <w:rPr>
                <w:color w:val="auto"/>
                <w:sz w:val="21"/>
              </w:rPr>
            </w:pPr>
            <w:r>
              <w:rPr>
                <w:color w:val="auto"/>
                <w:sz w:val="21"/>
              </w:rPr>
              <w:t>招标文件</w:t>
            </w:r>
            <w:r>
              <w:rPr>
                <w:rFonts w:hint="eastAsia"/>
                <w:color w:val="auto"/>
                <w:sz w:val="21"/>
              </w:rPr>
              <w:t>修改</w:t>
            </w:r>
            <w:r>
              <w:rPr>
                <w:color w:val="auto"/>
                <w:sz w:val="21"/>
              </w:rPr>
              <w:t>发出的形式</w:t>
            </w:r>
          </w:p>
        </w:tc>
        <w:tc>
          <w:tcPr>
            <w:tcW w:w="5810" w:type="dxa"/>
            <w:tcBorders>
              <w:bottom w:val="single" w:color="auto" w:sz="4" w:space="0"/>
            </w:tcBorders>
            <w:noWrap w:val="0"/>
            <w:vAlign w:val="top"/>
          </w:tcPr>
          <w:p>
            <w:pPr>
              <w:pStyle w:val="17"/>
              <w:spacing w:before="92" w:line="250" w:lineRule="exact"/>
              <w:ind w:left="107"/>
              <w:rPr>
                <w:color w:val="auto"/>
                <w:sz w:val="21"/>
              </w:rPr>
            </w:pPr>
            <w:r>
              <w:rPr>
                <w:rFonts w:hint="eastAsia"/>
                <w:color w:val="auto"/>
                <w:sz w:val="21"/>
              </w:rPr>
              <w:t>上传至</w:t>
            </w:r>
            <w:r>
              <w:rPr>
                <w:rFonts w:hint="eastAsia"/>
                <w:color w:val="auto"/>
                <w:spacing w:val="-3"/>
                <w:sz w:val="21"/>
                <w:szCs w:val="21"/>
                <w:lang w:eastAsia="zh-CN"/>
              </w:rPr>
              <w:t>大丰</w:t>
            </w:r>
            <w:r>
              <w:rPr>
                <w:rFonts w:hint="eastAsia"/>
                <w:color w:val="auto"/>
                <w:spacing w:val="-3"/>
                <w:sz w:val="21"/>
                <w:szCs w:val="21"/>
              </w:rPr>
              <w:t>公共资源</w:t>
            </w:r>
            <w:r>
              <w:rPr>
                <w:rFonts w:hint="eastAsia"/>
                <w:color w:val="auto"/>
                <w:spacing w:val="-3"/>
                <w:sz w:val="21"/>
                <w:szCs w:val="21"/>
                <w:lang w:eastAsia="zh-CN"/>
              </w:rPr>
              <w:t>电子</w:t>
            </w:r>
            <w:r>
              <w:rPr>
                <w:rFonts w:hint="eastAsia"/>
                <w:color w:val="auto"/>
                <w:spacing w:val="-3"/>
                <w:sz w:val="21"/>
                <w:szCs w:val="21"/>
              </w:rPr>
              <w:t>交易平台</w:t>
            </w:r>
            <w:r>
              <w:rPr>
                <w:rFonts w:hint="eastAsia"/>
                <w:color w:val="auto"/>
                <w:sz w:val="21"/>
              </w:rPr>
              <w:t>，请投标人自行下载。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36" w:type="dxa"/>
            <w:vMerge w:val="restart"/>
            <w:tcBorders>
              <w:top w:val="single" w:color="auto" w:sz="4" w:space="0"/>
            </w:tcBorders>
            <w:noWrap w:val="0"/>
            <w:vAlign w:val="center"/>
          </w:tcPr>
          <w:p>
            <w:pPr>
              <w:pStyle w:val="17"/>
              <w:tabs>
                <w:tab w:val="left" w:pos="2209"/>
              </w:tabs>
              <w:spacing w:before="89" w:line="250" w:lineRule="exact"/>
              <w:ind w:left="107"/>
              <w:jc w:val="center"/>
              <w:rPr>
                <w:color w:val="auto"/>
                <w:sz w:val="21"/>
              </w:rPr>
            </w:pPr>
            <w:r>
              <w:rPr>
                <w:color w:val="auto"/>
                <w:sz w:val="21"/>
              </w:rPr>
              <w:t>2.3.2</w:t>
            </w:r>
          </w:p>
        </w:tc>
        <w:tc>
          <w:tcPr>
            <w:tcW w:w="2408" w:type="dxa"/>
            <w:vMerge w:val="restart"/>
            <w:tcBorders>
              <w:top w:val="single" w:color="auto" w:sz="4" w:space="0"/>
            </w:tcBorders>
            <w:noWrap w:val="0"/>
            <w:vAlign w:val="center"/>
          </w:tcPr>
          <w:p>
            <w:pPr>
              <w:pStyle w:val="17"/>
              <w:tabs>
                <w:tab w:val="left" w:pos="2209"/>
              </w:tabs>
              <w:spacing w:before="89" w:line="250" w:lineRule="exact"/>
              <w:ind w:left="107"/>
              <w:jc w:val="center"/>
              <w:rPr>
                <w:color w:val="auto"/>
                <w:sz w:val="21"/>
              </w:rPr>
            </w:pPr>
            <w:r>
              <w:rPr>
                <w:color w:val="auto"/>
                <w:sz w:val="21"/>
              </w:rPr>
              <w:t>投标人确认收到招标文件修改</w:t>
            </w:r>
          </w:p>
        </w:tc>
        <w:tc>
          <w:tcPr>
            <w:tcW w:w="5810" w:type="dxa"/>
            <w:tcBorders>
              <w:top w:val="single" w:color="auto" w:sz="4" w:space="0"/>
            </w:tcBorders>
            <w:noWrap w:val="0"/>
            <w:vAlign w:val="center"/>
          </w:tcPr>
          <w:p>
            <w:pPr>
              <w:pStyle w:val="17"/>
              <w:tabs>
                <w:tab w:val="left" w:pos="2209"/>
              </w:tabs>
              <w:spacing w:before="89" w:line="250" w:lineRule="exact"/>
              <w:ind w:left="107"/>
              <w:rPr>
                <w:color w:val="auto"/>
                <w:sz w:val="21"/>
              </w:rPr>
            </w:pPr>
            <w:r>
              <w:rPr>
                <w:color w:val="auto"/>
                <w:sz w:val="21"/>
              </w:rPr>
              <w:t xml:space="preserve">时间：收到修改后 </w:t>
            </w:r>
            <w:r>
              <w:rPr>
                <w:rFonts w:hint="eastAsia"/>
                <w:color w:val="auto"/>
                <w:sz w:val="21"/>
              </w:rPr>
              <w:t>24</w:t>
            </w:r>
            <w:r>
              <w:rPr>
                <w:color w:val="auto"/>
                <w:sz w:val="21"/>
              </w:rPr>
              <w:t>小时内（以发出时间为准）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vMerge w:val="continue"/>
            <w:tcBorders>
              <w:top w:val="nil"/>
            </w:tcBorders>
            <w:noWrap w:val="0"/>
            <w:vAlign w:val="center"/>
          </w:tcPr>
          <w:p>
            <w:pPr>
              <w:pStyle w:val="17"/>
              <w:tabs>
                <w:tab w:val="left" w:pos="2209"/>
              </w:tabs>
              <w:spacing w:before="89" w:line="250" w:lineRule="exact"/>
              <w:ind w:left="107"/>
              <w:rPr>
                <w:color w:val="auto"/>
                <w:sz w:val="21"/>
              </w:rPr>
            </w:pPr>
          </w:p>
        </w:tc>
        <w:tc>
          <w:tcPr>
            <w:tcW w:w="2408" w:type="dxa"/>
            <w:vMerge w:val="continue"/>
            <w:tcBorders>
              <w:top w:val="nil"/>
            </w:tcBorders>
            <w:noWrap w:val="0"/>
            <w:vAlign w:val="center"/>
          </w:tcPr>
          <w:p>
            <w:pPr>
              <w:pStyle w:val="17"/>
              <w:tabs>
                <w:tab w:val="left" w:pos="2209"/>
              </w:tabs>
              <w:spacing w:before="89" w:line="250" w:lineRule="exact"/>
              <w:ind w:left="107"/>
              <w:rPr>
                <w:color w:val="auto"/>
                <w:sz w:val="21"/>
              </w:rPr>
            </w:pPr>
          </w:p>
        </w:tc>
        <w:tc>
          <w:tcPr>
            <w:tcW w:w="5810" w:type="dxa"/>
            <w:noWrap w:val="0"/>
            <w:vAlign w:val="top"/>
          </w:tcPr>
          <w:p>
            <w:pPr>
              <w:pStyle w:val="17"/>
              <w:tabs>
                <w:tab w:val="left" w:pos="2209"/>
              </w:tabs>
              <w:spacing w:before="89" w:line="250" w:lineRule="exact"/>
              <w:ind w:left="107"/>
              <w:rPr>
                <w:color w:val="auto"/>
                <w:sz w:val="21"/>
              </w:rPr>
            </w:pPr>
            <w:r>
              <w:rPr>
                <w:color w:val="auto"/>
                <w:sz w:val="21"/>
              </w:rPr>
              <w:t>形式：</w:t>
            </w:r>
            <w:r>
              <w:rPr>
                <w:rFonts w:hint="eastAsia"/>
                <w:color w:val="auto"/>
                <w:sz w:val="21"/>
              </w:rPr>
              <w:t>传真或电邮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136" w:type="dxa"/>
            <w:noWrap w:val="0"/>
            <w:vAlign w:val="center"/>
          </w:tcPr>
          <w:p>
            <w:pPr>
              <w:pStyle w:val="17"/>
              <w:tabs>
                <w:tab w:val="left" w:pos="1114"/>
              </w:tabs>
              <w:ind w:right="22"/>
              <w:jc w:val="center"/>
              <w:rPr>
                <w:rFonts w:ascii="Times New Roman"/>
                <w:color w:val="auto"/>
                <w:sz w:val="21"/>
              </w:rPr>
            </w:pPr>
            <w:r>
              <w:rPr>
                <w:rFonts w:ascii="Times New Roman"/>
                <w:color w:val="auto"/>
                <w:sz w:val="21"/>
              </w:rPr>
              <w:t>3.1.1</w:t>
            </w:r>
          </w:p>
        </w:tc>
        <w:tc>
          <w:tcPr>
            <w:tcW w:w="2408" w:type="dxa"/>
            <w:noWrap w:val="0"/>
            <w:vAlign w:val="center"/>
          </w:tcPr>
          <w:p>
            <w:pPr>
              <w:pStyle w:val="17"/>
              <w:jc w:val="center"/>
              <w:rPr>
                <w:color w:val="auto"/>
                <w:sz w:val="21"/>
              </w:rPr>
            </w:pPr>
            <w:r>
              <w:rPr>
                <w:color w:val="auto"/>
                <w:sz w:val="21"/>
              </w:rPr>
              <w:t>投标文件密封形式</w:t>
            </w:r>
          </w:p>
        </w:tc>
        <w:tc>
          <w:tcPr>
            <w:tcW w:w="5810" w:type="dxa"/>
            <w:noWrap w:val="0"/>
            <w:vAlign w:val="top"/>
          </w:tcPr>
          <w:p>
            <w:pPr>
              <w:pStyle w:val="17"/>
              <w:spacing w:line="360" w:lineRule="exact"/>
              <w:ind w:left="107"/>
              <w:rPr>
                <w:color w:val="auto"/>
                <w:sz w:val="21"/>
              </w:rPr>
            </w:pPr>
            <w:r>
              <w:rPr>
                <w:rFonts w:ascii="Times New Roman" w:hAnsi="Times New Roman" w:eastAsia="Times New Roman"/>
                <w:color w:val="auto"/>
                <w:sz w:val="32"/>
              </w:rPr>
              <w:t>□</w:t>
            </w:r>
            <w:r>
              <w:rPr>
                <w:color w:val="auto"/>
                <w:sz w:val="21"/>
              </w:rPr>
              <w:t>双信封</w:t>
            </w:r>
          </w:p>
          <w:p>
            <w:pPr>
              <w:pStyle w:val="17"/>
              <w:spacing w:line="355" w:lineRule="exact"/>
              <w:ind w:left="107"/>
              <w:rPr>
                <w:color w:val="auto"/>
                <w:sz w:val="21"/>
              </w:rPr>
            </w:pPr>
            <w:r>
              <w:rPr>
                <w:rFonts w:ascii="Times New Roman" w:hAnsi="Times New Roman" w:eastAsia="Times New Roman" w:cs="Times New Roman"/>
                <w:b/>
                <w:color w:val="auto"/>
                <w:sz w:val="32"/>
              </w:rPr>
              <w:t>√</w:t>
            </w:r>
            <w:r>
              <w:rPr>
                <w:color w:val="auto"/>
                <w:sz w:val="21"/>
              </w:rPr>
              <w:t>单信封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noWrap w:val="0"/>
            <w:vAlign w:val="center"/>
          </w:tcPr>
          <w:p>
            <w:pPr>
              <w:pStyle w:val="17"/>
              <w:spacing w:before="115" w:line="226" w:lineRule="exact"/>
              <w:ind w:right="22"/>
              <w:jc w:val="center"/>
              <w:rPr>
                <w:rFonts w:ascii="Times New Roman"/>
                <w:color w:val="auto"/>
                <w:sz w:val="21"/>
              </w:rPr>
            </w:pPr>
            <w:r>
              <w:rPr>
                <w:rFonts w:ascii="Times New Roman"/>
                <w:color w:val="auto"/>
                <w:sz w:val="21"/>
              </w:rPr>
              <w:t>3.1.1</w:t>
            </w:r>
          </w:p>
        </w:tc>
        <w:tc>
          <w:tcPr>
            <w:tcW w:w="2408" w:type="dxa"/>
            <w:noWrap w:val="0"/>
            <w:vAlign w:val="center"/>
          </w:tcPr>
          <w:p>
            <w:pPr>
              <w:pStyle w:val="17"/>
              <w:spacing w:before="92" w:line="250" w:lineRule="exact"/>
              <w:jc w:val="center"/>
              <w:rPr>
                <w:color w:val="auto"/>
                <w:sz w:val="21"/>
              </w:rPr>
            </w:pPr>
            <w:r>
              <w:rPr>
                <w:color w:val="auto"/>
                <w:sz w:val="21"/>
              </w:rPr>
              <w:t>构成投标文件的其他资料</w:t>
            </w:r>
          </w:p>
        </w:tc>
        <w:tc>
          <w:tcPr>
            <w:tcW w:w="5810" w:type="dxa"/>
            <w:noWrap w:val="0"/>
            <w:vAlign w:val="top"/>
          </w:tcPr>
          <w:p>
            <w:pPr>
              <w:pStyle w:val="17"/>
              <w:spacing w:before="92"/>
              <w:ind w:left="107"/>
              <w:rPr>
                <w:rFonts w:hint="eastAsia"/>
                <w:color w:val="auto"/>
                <w:sz w:val="21"/>
              </w:rPr>
            </w:pPr>
            <w:r>
              <w:rPr>
                <w:rFonts w:hint="eastAsia"/>
                <w:color w:val="auto"/>
                <w:sz w:val="21"/>
              </w:rPr>
              <w:t>详见招标文件“第九章投标文件格式”。投标人须按招标文件</w:t>
            </w:r>
          </w:p>
          <w:p>
            <w:pPr>
              <w:pStyle w:val="17"/>
              <w:spacing w:before="92"/>
              <w:ind w:left="107"/>
              <w:rPr>
                <w:color w:val="auto"/>
                <w:sz w:val="21"/>
              </w:rPr>
            </w:pPr>
            <w:r>
              <w:rPr>
                <w:rFonts w:hint="eastAsia"/>
                <w:color w:val="auto"/>
                <w:sz w:val="21"/>
              </w:rPr>
              <w:t>“第九章投标文件格式”规定的格式和内容编制投标文件。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noWrap w:val="0"/>
            <w:vAlign w:val="center"/>
          </w:tcPr>
          <w:p>
            <w:pPr>
              <w:pStyle w:val="17"/>
              <w:spacing w:before="115" w:line="226" w:lineRule="exact"/>
              <w:ind w:right="22"/>
              <w:jc w:val="center"/>
              <w:rPr>
                <w:rFonts w:ascii="Times New Roman"/>
                <w:color w:val="auto"/>
                <w:sz w:val="21"/>
              </w:rPr>
            </w:pPr>
            <w:r>
              <w:rPr>
                <w:rFonts w:hint="eastAsia" w:ascii="Times New Roman"/>
                <w:color w:val="auto"/>
                <w:sz w:val="21"/>
              </w:rPr>
              <w:t>3.2.1</w:t>
            </w:r>
          </w:p>
        </w:tc>
        <w:tc>
          <w:tcPr>
            <w:tcW w:w="2408" w:type="dxa"/>
            <w:noWrap w:val="0"/>
            <w:vAlign w:val="top"/>
          </w:tcPr>
          <w:p>
            <w:pPr>
              <w:pStyle w:val="17"/>
              <w:spacing w:before="92"/>
              <w:ind w:left="107"/>
              <w:rPr>
                <w:color w:val="auto"/>
                <w:sz w:val="21"/>
              </w:rPr>
            </w:pPr>
            <w:r>
              <w:rPr>
                <w:rFonts w:hint="eastAsia"/>
                <w:color w:val="auto"/>
                <w:sz w:val="21"/>
              </w:rPr>
              <w:t>增值税税金的计算方法</w:t>
            </w:r>
          </w:p>
        </w:tc>
        <w:tc>
          <w:tcPr>
            <w:tcW w:w="5810" w:type="dxa"/>
            <w:noWrap w:val="0"/>
            <w:vAlign w:val="center"/>
          </w:tcPr>
          <w:p>
            <w:pPr>
              <w:ind w:left="107"/>
              <w:rPr>
                <w:color w:val="auto"/>
                <w:sz w:val="21"/>
              </w:rPr>
            </w:pPr>
            <w:r>
              <w:rPr>
                <w:rFonts w:hint="eastAsia"/>
                <w:color w:val="auto"/>
                <w:sz w:val="21"/>
              </w:rPr>
              <w:t>按增值税一般计税方法计算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36" w:type="dxa"/>
            <w:noWrap w:val="0"/>
            <w:vAlign w:val="center"/>
          </w:tcPr>
          <w:p>
            <w:pPr>
              <w:pStyle w:val="17"/>
              <w:tabs>
                <w:tab w:val="left" w:pos="1114"/>
              </w:tabs>
              <w:ind w:right="22"/>
              <w:jc w:val="center"/>
              <w:rPr>
                <w:rFonts w:ascii="Times New Roman"/>
                <w:color w:val="auto"/>
                <w:sz w:val="21"/>
              </w:rPr>
            </w:pPr>
            <w:r>
              <w:rPr>
                <w:rFonts w:ascii="Times New Roman"/>
                <w:color w:val="auto"/>
                <w:sz w:val="21"/>
              </w:rPr>
              <w:t>3.2.1</w:t>
            </w:r>
          </w:p>
        </w:tc>
        <w:tc>
          <w:tcPr>
            <w:tcW w:w="2408" w:type="dxa"/>
            <w:noWrap w:val="0"/>
            <w:vAlign w:val="center"/>
          </w:tcPr>
          <w:p>
            <w:pPr>
              <w:pStyle w:val="17"/>
              <w:jc w:val="center"/>
              <w:rPr>
                <w:color w:val="auto"/>
                <w:sz w:val="21"/>
              </w:rPr>
            </w:pPr>
            <w:r>
              <w:rPr>
                <w:color w:val="auto"/>
                <w:sz w:val="21"/>
              </w:rPr>
              <w:t>工程量清单的填写方式</w:t>
            </w:r>
          </w:p>
        </w:tc>
        <w:tc>
          <w:tcPr>
            <w:tcW w:w="5810" w:type="dxa"/>
            <w:noWrap w:val="0"/>
            <w:vAlign w:val="center"/>
          </w:tcPr>
          <w:p>
            <w:pPr>
              <w:pStyle w:val="17"/>
              <w:tabs>
                <w:tab w:val="left" w:pos="2209"/>
              </w:tabs>
              <w:spacing w:before="89" w:line="250" w:lineRule="exact"/>
              <w:ind w:left="107"/>
              <w:jc w:val="both"/>
              <w:rPr>
                <w:color w:val="auto"/>
                <w:sz w:val="21"/>
              </w:rPr>
            </w:pPr>
            <w:r>
              <w:rPr>
                <w:rFonts w:hint="eastAsia"/>
                <w:color w:val="auto"/>
                <w:sz w:val="21"/>
              </w:rPr>
              <w:t>投标人按照招标人提供的工程量清单电子文件填写工程量清单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2" w:hRule="atLeast"/>
        </w:trPr>
        <w:tc>
          <w:tcPr>
            <w:tcW w:w="1136" w:type="dxa"/>
            <w:noWrap w:val="0"/>
            <w:vAlign w:val="center"/>
          </w:tcPr>
          <w:p>
            <w:pPr>
              <w:pStyle w:val="17"/>
              <w:spacing w:before="1"/>
              <w:ind w:right="295"/>
              <w:jc w:val="center"/>
              <w:rPr>
                <w:rFonts w:ascii="Times New Roman"/>
                <w:color w:val="auto"/>
                <w:sz w:val="21"/>
              </w:rPr>
            </w:pPr>
            <w:r>
              <w:rPr>
                <w:rFonts w:ascii="Times New Roman"/>
                <w:color w:val="auto"/>
                <w:sz w:val="21"/>
              </w:rPr>
              <w:t>3.2.3</w:t>
            </w:r>
          </w:p>
        </w:tc>
        <w:tc>
          <w:tcPr>
            <w:tcW w:w="2408" w:type="dxa"/>
            <w:noWrap w:val="0"/>
            <w:vAlign w:val="center"/>
          </w:tcPr>
          <w:p>
            <w:pPr>
              <w:pStyle w:val="17"/>
              <w:spacing w:before="1"/>
              <w:jc w:val="center"/>
              <w:rPr>
                <w:color w:val="auto"/>
                <w:sz w:val="21"/>
              </w:rPr>
            </w:pPr>
            <w:r>
              <w:rPr>
                <w:color w:val="auto"/>
                <w:sz w:val="21"/>
              </w:rPr>
              <w:t>报价方式</w:t>
            </w:r>
          </w:p>
        </w:tc>
        <w:tc>
          <w:tcPr>
            <w:tcW w:w="5810" w:type="dxa"/>
            <w:noWrap w:val="0"/>
            <w:vAlign w:val="center"/>
          </w:tcPr>
          <w:p>
            <w:pPr>
              <w:pStyle w:val="17"/>
              <w:spacing w:line="359" w:lineRule="exact"/>
              <w:ind w:left="107"/>
              <w:rPr>
                <w:color w:val="auto"/>
                <w:sz w:val="21"/>
              </w:rPr>
            </w:pPr>
            <w:r>
              <w:rPr>
                <w:rFonts w:ascii="Times New Roman" w:hAnsi="Times New Roman" w:eastAsia="Times New Roman" w:cs="Times New Roman"/>
                <w:color w:val="auto"/>
                <w:sz w:val="32"/>
              </w:rPr>
              <w:t>√</w:t>
            </w:r>
            <w:r>
              <w:rPr>
                <w:color w:val="auto"/>
                <w:sz w:val="21"/>
              </w:rPr>
              <w:t>单价</w:t>
            </w:r>
          </w:p>
          <w:p>
            <w:pPr>
              <w:pStyle w:val="17"/>
              <w:spacing w:line="357" w:lineRule="exact"/>
              <w:ind w:left="107"/>
              <w:rPr>
                <w:color w:val="auto"/>
                <w:sz w:val="21"/>
              </w:rPr>
            </w:pPr>
            <w:r>
              <w:rPr>
                <w:rFonts w:ascii="Times New Roman" w:hAnsi="Times New Roman" w:eastAsia="Times New Roman"/>
                <w:color w:val="auto"/>
                <w:sz w:val="32"/>
              </w:rPr>
              <w:t>□</w:t>
            </w:r>
            <w:r>
              <w:rPr>
                <w:color w:val="auto"/>
                <w:sz w:val="21"/>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36" w:type="dxa"/>
            <w:noWrap w:val="0"/>
            <w:vAlign w:val="center"/>
          </w:tcPr>
          <w:p>
            <w:pPr>
              <w:pStyle w:val="17"/>
              <w:spacing w:before="1"/>
              <w:ind w:right="295"/>
              <w:jc w:val="center"/>
              <w:rPr>
                <w:rFonts w:ascii="Times New Roman"/>
                <w:color w:val="auto"/>
                <w:sz w:val="21"/>
              </w:rPr>
            </w:pPr>
            <w:r>
              <w:rPr>
                <w:rFonts w:ascii="Times New Roman"/>
                <w:color w:val="auto"/>
                <w:sz w:val="21"/>
              </w:rPr>
              <w:t>3.2.6</w:t>
            </w:r>
          </w:p>
        </w:tc>
        <w:tc>
          <w:tcPr>
            <w:tcW w:w="2408" w:type="dxa"/>
            <w:noWrap w:val="0"/>
            <w:vAlign w:val="center"/>
          </w:tcPr>
          <w:p>
            <w:pPr>
              <w:pStyle w:val="17"/>
              <w:spacing w:before="1"/>
              <w:jc w:val="center"/>
              <w:rPr>
                <w:color w:val="auto"/>
                <w:sz w:val="11"/>
              </w:rPr>
            </w:pPr>
            <w:r>
              <w:rPr>
                <w:color w:val="auto"/>
                <w:sz w:val="21"/>
              </w:rPr>
              <w:t>是否接受调价函</w:t>
            </w:r>
          </w:p>
        </w:tc>
        <w:tc>
          <w:tcPr>
            <w:tcW w:w="5810" w:type="dxa"/>
            <w:noWrap w:val="0"/>
            <w:vAlign w:val="center"/>
          </w:tcPr>
          <w:p>
            <w:pPr>
              <w:pStyle w:val="17"/>
              <w:spacing w:line="359" w:lineRule="exact"/>
              <w:ind w:left="107"/>
              <w:rPr>
                <w:color w:val="auto"/>
                <w:sz w:val="21"/>
              </w:rPr>
            </w:pPr>
            <w:r>
              <w:rPr>
                <w:rFonts w:ascii="Times New Roman" w:hAnsi="Times New Roman" w:eastAsia="Times New Roman"/>
                <w:color w:val="auto"/>
                <w:sz w:val="32"/>
              </w:rPr>
              <w:t>□</w:t>
            </w:r>
            <w:r>
              <w:rPr>
                <w:color w:val="auto"/>
                <w:sz w:val="21"/>
              </w:rPr>
              <w:t>是</w:t>
            </w:r>
          </w:p>
          <w:p>
            <w:pPr>
              <w:pStyle w:val="17"/>
              <w:spacing w:line="355" w:lineRule="exact"/>
              <w:ind w:left="107"/>
              <w:rPr>
                <w:color w:val="auto"/>
                <w:sz w:val="21"/>
              </w:rPr>
            </w:pPr>
            <w:r>
              <w:rPr>
                <w:rFonts w:ascii="Times New Roman" w:hAnsi="Times New Roman" w:eastAsia="Times New Roman" w:cs="Times New Roman"/>
                <w:color w:val="auto"/>
                <w:sz w:val="32"/>
              </w:rPr>
              <w:t>√</w:t>
            </w:r>
            <w:r>
              <w:rPr>
                <w:color w:val="auto"/>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1136" w:type="dxa"/>
            <w:noWrap w:val="0"/>
            <w:vAlign w:val="center"/>
          </w:tcPr>
          <w:p>
            <w:pPr>
              <w:pStyle w:val="17"/>
              <w:ind w:right="295"/>
              <w:jc w:val="center"/>
              <w:rPr>
                <w:rFonts w:ascii="Times New Roman"/>
                <w:color w:val="auto"/>
                <w:sz w:val="21"/>
              </w:rPr>
            </w:pPr>
            <w:r>
              <w:rPr>
                <w:rFonts w:ascii="Times New Roman"/>
                <w:color w:val="auto"/>
                <w:sz w:val="21"/>
              </w:rPr>
              <w:t>3.2.8</w:t>
            </w:r>
          </w:p>
        </w:tc>
        <w:tc>
          <w:tcPr>
            <w:tcW w:w="2408" w:type="dxa"/>
            <w:noWrap w:val="0"/>
            <w:vAlign w:val="center"/>
          </w:tcPr>
          <w:p>
            <w:pPr>
              <w:pStyle w:val="17"/>
              <w:jc w:val="center"/>
              <w:rPr>
                <w:color w:val="auto"/>
                <w:sz w:val="21"/>
              </w:rPr>
            </w:pPr>
            <w:r>
              <w:rPr>
                <w:color w:val="auto"/>
                <w:sz w:val="21"/>
              </w:rPr>
              <w:t>最高投标限价</w:t>
            </w:r>
          </w:p>
        </w:tc>
        <w:tc>
          <w:tcPr>
            <w:tcW w:w="5810" w:type="dxa"/>
            <w:noWrap w:val="0"/>
            <w:vAlign w:val="center"/>
          </w:tcPr>
          <w:p>
            <w:pPr>
              <w:pStyle w:val="17"/>
              <w:spacing w:line="361" w:lineRule="exact"/>
              <w:ind w:left="107"/>
              <w:rPr>
                <w:color w:val="auto"/>
                <w:sz w:val="21"/>
              </w:rPr>
            </w:pPr>
            <w:r>
              <w:rPr>
                <w:rFonts w:ascii="Times New Roman" w:hAnsi="Times New Roman" w:eastAsia="Times New Roman"/>
                <w:color w:val="auto"/>
                <w:sz w:val="32"/>
              </w:rPr>
              <w:t>□</w:t>
            </w:r>
            <w:r>
              <w:rPr>
                <w:color w:val="auto"/>
                <w:sz w:val="21"/>
              </w:rPr>
              <w:t>无</w:t>
            </w:r>
          </w:p>
          <w:p>
            <w:pPr>
              <w:pStyle w:val="17"/>
              <w:tabs>
                <w:tab w:val="left" w:pos="2341"/>
                <w:tab w:val="left" w:pos="4593"/>
              </w:tabs>
              <w:spacing w:line="355" w:lineRule="exact"/>
              <w:ind w:left="107" w:right="-15"/>
              <w:rPr>
                <w:rFonts w:hint="eastAsia" w:eastAsia="宋体"/>
                <w:color w:val="auto"/>
                <w:sz w:val="21"/>
                <w:lang w:eastAsia="zh-CN"/>
              </w:rPr>
            </w:pPr>
            <w:r>
              <w:rPr>
                <w:rFonts w:ascii="Times New Roman" w:hAnsi="Times New Roman" w:eastAsia="Times New Roman" w:cs="Times New Roman"/>
                <w:color w:val="auto"/>
                <w:sz w:val="32"/>
              </w:rPr>
              <w:t>√</w:t>
            </w:r>
            <w:r>
              <w:rPr>
                <w:b/>
                <w:color w:val="auto"/>
                <w:sz w:val="21"/>
              </w:rPr>
              <w:t>有</w:t>
            </w:r>
            <w:r>
              <w:rPr>
                <w:b/>
                <w:color w:val="auto"/>
                <w:spacing w:val="-60"/>
                <w:sz w:val="21"/>
              </w:rPr>
              <w:t>，</w:t>
            </w:r>
            <w:r>
              <w:rPr>
                <w:b/>
                <w:color w:val="auto"/>
                <w:sz w:val="21"/>
              </w:rPr>
              <w:t>最</w:t>
            </w:r>
            <w:r>
              <w:rPr>
                <w:b/>
                <w:color w:val="auto"/>
                <w:spacing w:val="-3"/>
                <w:sz w:val="21"/>
              </w:rPr>
              <w:t>高</w:t>
            </w:r>
            <w:r>
              <w:rPr>
                <w:b/>
                <w:color w:val="auto"/>
                <w:sz w:val="21"/>
                <w:highlight w:val="none"/>
              </w:rPr>
              <w:t>投</w:t>
            </w:r>
            <w:r>
              <w:rPr>
                <w:b/>
                <w:color w:val="auto"/>
                <w:spacing w:val="-3"/>
                <w:sz w:val="21"/>
                <w:highlight w:val="none"/>
              </w:rPr>
              <w:t>标</w:t>
            </w:r>
            <w:r>
              <w:rPr>
                <w:b/>
                <w:color w:val="auto"/>
                <w:sz w:val="21"/>
                <w:highlight w:val="none"/>
              </w:rPr>
              <w:t>限</w:t>
            </w:r>
            <w:r>
              <w:rPr>
                <w:b/>
                <w:color w:val="auto"/>
                <w:spacing w:val="-3"/>
                <w:sz w:val="21"/>
                <w:highlight w:val="none"/>
              </w:rPr>
              <w:t>价</w:t>
            </w:r>
            <w:r>
              <w:rPr>
                <w:rFonts w:hint="eastAsia"/>
                <w:b/>
                <w:color w:val="auto"/>
                <w:spacing w:val="-3"/>
                <w:sz w:val="21"/>
                <w:highlight w:val="none"/>
                <w:u w:val="single"/>
                <w:lang w:val="en-US"/>
              </w:rPr>
              <w:t xml:space="preserve"> </w:t>
            </w:r>
            <w:r>
              <w:rPr>
                <w:rFonts w:hint="eastAsia"/>
                <w:b/>
                <w:color w:val="auto"/>
                <w:spacing w:val="-3"/>
                <w:sz w:val="21"/>
                <w:highlight w:val="none"/>
                <w:u w:val="single"/>
                <w:lang w:val="en-US" w:eastAsia="zh-CN"/>
              </w:rPr>
              <w:t xml:space="preserve">150 </w:t>
            </w:r>
            <w:r>
              <w:rPr>
                <w:rFonts w:hint="eastAsia"/>
                <w:b/>
                <w:color w:val="auto"/>
                <w:sz w:val="21"/>
                <w:szCs w:val="21"/>
                <w:highlight w:val="none"/>
              </w:rPr>
              <w:t>万</w:t>
            </w:r>
            <w:r>
              <w:rPr>
                <w:rFonts w:hint="eastAsia"/>
                <w:b/>
                <w:color w:val="auto"/>
                <w:sz w:val="21"/>
                <w:highlight w:val="none"/>
              </w:rPr>
              <w:t>元</w:t>
            </w:r>
            <w:r>
              <w:rPr>
                <w:rFonts w:hint="eastAsia"/>
                <w:b/>
                <w:bCs w:val="0"/>
                <w:color w:val="auto"/>
                <w:sz w:val="21"/>
                <w:highlight w:val="none"/>
                <w:lang w:eastAsia="zh-CN"/>
              </w:rPr>
              <w:t>（预算价为</w:t>
            </w:r>
            <w:r>
              <w:rPr>
                <w:rFonts w:hint="eastAsia"/>
                <w:b/>
                <w:bCs w:val="0"/>
                <w:color w:val="auto"/>
                <w:sz w:val="21"/>
                <w:highlight w:val="none"/>
                <w:u w:val="single"/>
                <w:lang w:val="en-US" w:eastAsia="zh-CN"/>
              </w:rPr>
              <w:t xml:space="preserve"> 187.18</w:t>
            </w:r>
            <w:r>
              <w:rPr>
                <w:rFonts w:hint="eastAsia"/>
                <w:b/>
                <w:bCs w:val="0"/>
                <w:color w:val="auto"/>
                <w:sz w:val="21"/>
                <w:highlight w:val="none"/>
                <w:lang w:val="en-US" w:eastAsia="zh-CN"/>
              </w:rPr>
              <w:t>万元</w:t>
            </w:r>
            <w:r>
              <w:rPr>
                <w:rFonts w:hint="eastAsia"/>
                <w:b/>
                <w:bCs w:val="0"/>
                <w:color w:val="auto"/>
                <w:sz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36" w:type="dxa"/>
            <w:noWrap w:val="0"/>
            <w:vAlign w:val="center"/>
          </w:tcPr>
          <w:p>
            <w:pPr>
              <w:pStyle w:val="17"/>
              <w:ind w:right="295"/>
              <w:jc w:val="center"/>
              <w:rPr>
                <w:rFonts w:ascii="Times New Roman"/>
                <w:color w:val="auto"/>
                <w:sz w:val="21"/>
              </w:rPr>
            </w:pPr>
            <w:r>
              <w:rPr>
                <w:rFonts w:hint="eastAsia" w:ascii="Times New Roman"/>
                <w:color w:val="auto"/>
                <w:sz w:val="21"/>
              </w:rPr>
              <w:t>3.2.9</w:t>
            </w:r>
          </w:p>
        </w:tc>
        <w:tc>
          <w:tcPr>
            <w:tcW w:w="2408" w:type="dxa"/>
            <w:noWrap w:val="0"/>
            <w:vAlign w:val="center"/>
          </w:tcPr>
          <w:p>
            <w:pPr>
              <w:pStyle w:val="17"/>
              <w:jc w:val="center"/>
              <w:rPr>
                <w:color w:val="auto"/>
                <w:sz w:val="21"/>
              </w:rPr>
            </w:pPr>
            <w:r>
              <w:rPr>
                <w:rFonts w:hint="eastAsia"/>
                <w:color w:val="auto"/>
                <w:sz w:val="21"/>
              </w:rPr>
              <w:t>投标报价的其他要求</w:t>
            </w:r>
          </w:p>
        </w:tc>
        <w:tc>
          <w:tcPr>
            <w:tcW w:w="5810" w:type="dxa"/>
            <w:noWrap w:val="0"/>
            <w:vAlign w:val="center"/>
          </w:tcPr>
          <w:p>
            <w:pPr>
              <w:pStyle w:val="17"/>
              <w:spacing w:line="361" w:lineRule="exact"/>
              <w:ind w:left="107"/>
              <w:rPr>
                <w:rFonts w:hint="eastAsia" w:ascii="Times New Roman" w:hAnsi="Times New Roman"/>
                <w:color w:val="auto"/>
                <w:sz w:val="21"/>
                <w:szCs w:val="21"/>
              </w:rPr>
            </w:pPr>
            <w:r>
              <w:rPr>
                <w:rFonts w:hint="eastAsia"/>
                <w:color w:val="auto"/>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116" w:line="226" w:lineRule="exact"/>
              <w:ind w:right="295"/>
              <w:jc w:val="center"/>
              <w:rPr>
                <w:rFonts w:ascii="Times New Roman"/>
                <w:color w:val="auto"/>
                <w:sz w:val="21"/>
              </w:rPr>
            </w:pPr>
            <w:r>
              <w:rPr>
                <w:rFonts w:ascii="Times New Roman"/>
                <w:color w:val="auto"/>
                <w:sz w:val="21"/>
              </w:rPr>
              <w:t>3.3.1</w:t>
            </w:r>
          </w:p>
        </w:tc>
        <w:tc>
          <w:tcPr>
            <w:tcW w:w="2408" w:type="dxa"/>
            <w:noWrap w:val="0"/>
            <w:vAlign w:val="center"/>
          </w:tcPr>
          <w:p>
            <w:pPr>
              <w:pStyle w:val="17"/>
              <w:spacing w:before="92" w:line="250" w:lineRule="exact"/>
              <w:ind w:left="5"/>
              <w:jc w:val="center"/>
              <w:rPr>
                <w:color w:val="auto"/>
                <w:sz w:val="21"/>
              </w:rPr>
            </w:pPr>
            <w:r>
              <w:rPr>
                <w:color w:val="auto"/>
                <w:sz w:val="21"/>
              </w:rPr>
              <w:t>投标有效期</w:t>
            </w:r>
          </w:p>
        </w:tc>
        <w:tc>
          <w:tcPr>
            <w:tcW w:w="5810" w:type="dxa"/>
            <w:noWrap w:val="0"/>
            <w:vAlign w:val="center"/>
          </w:tcPr>
          <w:p>
            <w:pPr>
              <w:pStyle w:val="17"/>
              <w:tabs>
                <w:tab w:val="left" w:pos="3996"/>
              </w:tabs>
              <w:spacing w:before="92" w:line="250" w:lineRule="exact"/>
              <w:ind w:left="107"/>
              <w:rPr>
                <w:color w:val="auto"/>
                <w:sz w:val="21"/>
              </w:rPr>
            </w:pPr>
            <w:r>
              <w:rPr>
                <w:color w:val="auto"/>
                <w:sz w:val="21"/>
              </w:rPr>
              <w:t>自投</w:t>
            </w:r>
            <w:r>
              <w:rPr>
                <w:color w:val="auto"/>
                <w:spacing w:val="-3"/>
                <w:sz w:val="21"/>
              </w:rPr>
              <w:t>标</w:t>
            </w:r>
            <w:r>
              <w:rPr>
                <w:color w:val="auto"/>
                <w:sz w:val="21"/>
              </w:rPr>
              <w:t>人</w:t>
            </w:r>
            <w:r>
              <w:rPr>
                <w:color w:val="auto"/>
                <w:spacing w:val="-3"/>
                <w:sz w:val="21"/>
              </w:rPr>
              <w:t>提</w:t>
            </w:r>
            <w:r>
              <w:rPr>
                <w:color w:val="auto"/>
                <w:sz w:val="21"/>
              </w:rPr>
              <w:t>交</w:t>
            </w:r>
            <w:r>
              <w:rPr>
                <w:color w:val="auto"/>
                <w:spacing w:val="-3"/>
                <w:sz w:val="21"/>
              </w:rPr>
              <w:t>投</w:t>
            </w:r>
            <w:r>
              <w:rPr>
                <w:color w:val="auto"/>
                <w:sz w:val="21"/>
              </w:rPr>
              <w:t>标</w:t>
            </w:r>
            <w:r>
              <w:rPr>
                <w:color w:val="auto"/>
                <w:spacing w:val="-3"/>
                <w:sz w:val="21"/>
              </w:rPr>
              <w:t>文</w:t>
            </w:r>
            <w:r>
              <w:rPr>
                <w:color w:val="auto"/>
                <w:sz w:val="21"/>
              </w:rPr>
              <w:t>件</w:t>
            </w:r>
            <w:r>
              <w:rPr>
                <w:color w:val="auto"/>
                <w:spacing w:val="-3"/>
                <w:sz w:val="21"/>
              </w:rPr>
              <w:t>截</w:t>
            </w:r>
            <w:r>
              <w:rPr>
                <w:color w:val="auto"/>
                <w:sz w:val="21"/>
              </w:rPr>
              <w:t>止之</w:t>
            </w:r>
            <w:r>
              <w:rPr>
                <w:color w:val="auto"/>
                <w:spacing w:val="-3"/>
                <w:sz w:val="21"/>
              </w:rPr>
              <w:t>日</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lang w:val="en-US" w:eastAsia="zh-CN"/>
              </w:rPr>
              <w:t>6</w:t>
            </w:r>
            <w:r>
              <w:rPr>
                <w:rFonts w:hint="eastAsia"/>
                <w:color w:val="auto"/>
                <w:sz w:val="21"/>
                <w:u w:val="single"/>
              </w:rPr>
              <w:t xml:space="preserve">0 </w:t>
            </w:r>
            <w:r>
              <w:rPr>
                <w:color w:val="auto"/>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146"/>
              <w:ind w:right="295"/>
              <w:jc w:val="center"/>
              <w:rPr>
                <w:rFonts w:ascii="Times New Roman"/>
                <w:color w:val="auto"/>
                <w:sz w:val="21"/>
              </w:rPr>
            </w:pPr>
            <w:r>
              <w:rPr>
                <w:rFonts w:ascii="Times New Roman"/>
                <w:color w:val="auto"/>
                <w:sz w:val="21"/>
              </w:rPr>
              <w:t>3.4.1</w:t>
            </w:r>
          </w:p>
        </w:tc>
        <w:tc>
          <w:tcPr>
            <w:tcW w:w="2408" w:type="dxa"/>
            <w:noWrap w:val="0"/>
            <w:vAlign w:val="center"/>
          </w:tcPr>
          <w:p>
            <w:pPr>
              <w:pStyle w:val="17"/>
              <w:jc w:val="center"/>
              <w:rPr>
                <w:rFonts w:hint="eastAsia" w:eastAsia="宋体"/>
                <w:color w:val="auto"/>
                <w:sz w:val="21"/>
                <w:lang w:eastAsia="zh-CN"/>
              </w:rPr>
            </w:pPr>
            <w:r>
              <w:rPr>
                <w:color w:val="auto"/>
                <w:sz w:val="21"/>
              </w:rPr>
              <w:t>投标保证金</w:t>
            </w:r>
            <w:r>
              <w:rPr>
                <w:rFonts w:hint="eastAsia"/>
                <w:color w:val="auto"/>
                <w:sz w:val="21"/>
                <w:lang w:eastAsia="zh-CN"/>
              </w:rPr>
              <w:t>、差额履约担保</w:t>
            </w:r>
          </w:p>
        </w:tc>
        <w:tc>
          <w:tcPr>
            <w:tcW w:w="5810" w:type="dxa"/>
            <w:noWrap w:val="0"/>
            <w:vAlign w:val="center"/>
          </w:tcPr>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lang w:val="en-US" w:eastAsia="zh-CN"/>
              </w:rPr>
              <w:t>1、</w:t>
            </w:r>
            <w:r>
              <w:rPr>
                <w:rFonts w:hint="eastAsia" w:ascii="宋体" w:hAnsi="宋体" w:eastAsia="宋体" w:cs="宋体"/>
                <w:color w:val="auto"/>
                <w:sz w:val="21"/>
              </w:rPr>
              <w:t>投标保证金</w:t>
            </w:r>
          </w:p>
          <w:p>
            <w:pPr>
              <w:pStyle w:val="17"/>
              <w:spacing w:line="431" w:lineRule="exact"/>
              <w:ind w:left="108"/>
              <w:rPr>
                <w:rFonts w:hint="eastAsia" w:ascii="宋体" w:hAnsi="宋体" w:eastAsia="宋体" w:cs="宋体"/>
                <w:color w:val="auto"/>
                <w:sz w:val="21"/>
                <w:szCs w:val="21"/>
              </w:rPr>
            </w:pPr>
            <w:r>
              <w:rPr>
                <w:rFonts w:hint="eastAsia" w:ascii="宋体" w:hAnsi="宋体" w:eastAsia="宋体" w:cs="宋体"/>
                <w:color w:val="auto"/>
                <w:sz w:val="21"/>
                <w:szCs w:val="21"/>
              </w:rPr>
              <w:t>投标保证金的形式：</w:t>
            </w:r>
            <w:r>
              <w:rPr>
                <w:rFonts w:hint="eastAsia" w:cs="宋体"/>
                <w:color w:val="auto"/>
                <w:sz w:val="21"/>
                <w:szCs w:val="21"/>
                <w:lang w:eastAsia="zh-CN"/>
              </w:rPr>
              <w:t>现金（</w:t>
            </w:r>
            <w:r>
              <w:rPr>
                <w:rFonts w:hint="eastAsia" w:ascii="宋体" w:hAnsi="宋体" w:eastAsia="宋体" w:cs="宋体"/>
                <w:color w:val="auto"/>
                <w:sz w:val="21"/>
                <w:szCs w:val="21"/>
                <w:lang w:eastAsia="zh-CN"/>
              </w:rPr>
              <w:t>转账</w:t>
            </w:r>
            <w:r>
              <w:rPr>
                <w:rFonts w:hint="eastAsia" w:cs="宋体"/>
                <w:color w:val="auto"/>
                <w:sz w:val="21"/>
                <w:szCs w:val="21"/>
                <w:lang w:eastAsia="zh-CN"/>
              </w:rPr>
              <w:t>）</w:t>
            </w:r>
            <w:r>
              <w:rPr>
                <w:rFonts w:hint="eastAsia" w:ascii="宋体" w:hAnsi="宋体" w:eastAsia="宋体" w:cs="宋体"/>
                <w:color w:val="auto"/>
                <w:sz w:val="21"/>
                <w:szCs w:val="21"/>
              </w:rPr>
              <w:t>、电子保函（保单）或银行保函</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投标保证金：</w:t>
            </w:r>
            <w:r>
              <w:rPr>
                <w:rFonts w:hint="eastAsia" w:cs="宋体"/>
                <w:color w:val="auto"/>
                <w:sz w:val="21"/>
                <w:u w:val="single"/>
                <w:lang w:val="en-US" w:eastAsia="zh-CN"/>
              </w:rPr>
              <w:t>贰万元整</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转账保证金缴纳方式：招标人委托盐城市大丰区公共资源交易中心负责保证金的管理，投标单位缴纳的投标保证金必须从其基本户转出，并确保在投标文件递交截止时间前到达（以实际到账时间为准）</w:t>
            </w:r>
            <w:r>
              <w:rPr>
                <w:rFonts w:hint="eastAsia" w:ascii="宋体" w:hAnsi="宋体" w:eastAsia="宋体" w:cs="宋体"/>
                <w:color w:val="auto"/>
                <w:sz w:val="21"/>
                <w:lang w:eastAsia="zh-CN"/>
              </w:rPr>
              <w:t>。</w:t>
            </w:r>
            <w:r>
              <w:rPr>
                <w:rFonts w:hint="eastAsia" w:ascii="宋体" w:hAnsi="宋体" w:eastAsia="宋体" w:cs="宋体"/>
                <w:color w:val="auto"/>
                <w:sz w:val="21"/>
              </w:rPr>
              <w:t>盐城市大丰区公共资源交易中心投标保证金专用帐户（收款单位：盐城市大丰区公共资</w:t>
            </w:r>
            <w:r>
              <w:rPr>
                <w:rFonts w:hint="eastAsia" w:ascii="宋体" w:hAnsi="宋体" w:eastAsia="宋体" w:cs="宋体"/>
                <w:color w:val="auto"/>
                <w:sz w:val="21"/>
                <w:highlight w:val="none"/>
              </w:rPr>
              <w:t>源交易中心，开户银行：江苏大丰农村商业银行创业支行，账号：3209820531010000123248）。 账户信息</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指</w:t>
            </w:r>
            <w:r>
              <w:rPr>
                <w:rFonts w:hint="eastAsia" w:ascii="宋体" w:hAnsi="宋体" w:eastAsia="宋体" w:cs="宋体"/>
                <w:color w:val="auto"/>
                <w:sz w:val="21"/>
              </w:rPr>
              <w:t>定子账号</w:t>
            </w:r>
            <w:r>
              <w:rPr>
                <w:rFonts w:hint="eastAsia" w:ascii="宋体" w:hAnsi="宋体" w:eastAsia="宋体" w:cs="宋体"/>
                <w:color w:val="auto"/>
                <w:sz w:val="21"/>
                <w:lang w:eastAsia="zh-CN"/>
              </w:rPr>
              <w:t>的</w:t>
            </w:r>
            <w:r>
              <w:rPr>
                <w:rFonts w:hint="eastAsia" w:ascii="宋体" w:hAnsi="宋体" w:eastAsia="宋体" w:cs="宋体"/>
                <w:color w:val="auto"/>
                <w:sz w:val="21"/>
              </w:rPr>
              <w:t>获取方法</w:t>
            </w:r>
            <w:r>
              <w:rPr>
                <w:rFonts w:hint="eastAsia" w:ascii="宋体" w:hAnsi="宋体" w:eastAsia="宋体" w:cs="宋体"/>
                <w:color w:val="auto"/>
                <w:sz w:val="21"/>
                <w:lang w:eastAsia="zh-CN"/>
              </w:rPr>
              <w:t>、</w:t>
            </w:r>
            <w:r>
              <w:rPr>
                <w:rFonts w:hint="eastAsia" w:ascii="宋体" w:hAnsi="宋体" w:eastAsia="宋体" w:cs="宋体"/>
                <w:color w:val="auto"/>
                <w:sz w:val="21"/>
              </w:rPr>
              <w:t>注意事项</w:t>
            </w:r>
            <w:r>
              <w:rPr>
                <w:rFonts w:hint="eastAsia" w:ascii="宋体" w:hAnsi="宋体" w:eastAsia="宋体" w:cs="宋体"/>
                <w:color w:val="auto"/>
                <w:sz w:val="21"/>
                <w:lang w:eastAsia="zh-CN"/>
              </w:rPr>
              <w:t>及</w:t>
            </w:r>
            <w:r>
              <w:rPr>
                <w:rFonts w:hint="eastAsia" w:ascii="宋体" w:hAnsi="宋体" w:eastAsia="宋体" w:cs="宋体"/>
                <w:color w:val="auto"/>
                <w:sz w:val="21"/>
              </w:rPr>
              <w:t>操作流程</w:t>
            </w:r>
            <w:r>
              <w:rPr>
                <w:rFonts w:hint="eastAsia" w:ascii="宋体" w:hAnsi="宋体" w:eastAsia="宋体" w:cs="宋体"/>
                <w:color w:val="auto"/>
                <w:sz w:val="21"/>
                <w:lang w:eastAsia="zh-CN"/>
              </w:rPr>
              <w:t>详</w:t>
            </w:r>
            <w:r>
              <w:rPr>
                <w:rFonts w:hint="eastAsia" w:ascii="宋体" w:hAnsi="宋体" w:eastAsia="宋体" w:cs="宋体"/>
                <w:color w:val="auto"/>
                <w:sz w:val="21"/>
              </w:rPr>
              <w:t>见</w:t>
            </w:r>
            <w:r>
              <w:rPr>
                <w:rFonts w:hint="eastAsia" w:ascii="宋体" w:hAnsi="宋体" w:eastAsia="宋体" w:cs="宋体"/>
                <w:color w:val="auto"/>
                <w:sz w:val="21"/>
                <w:lang w:eastAsia="zh-CN"/>
              </w:rPr>
              <w:t>大丰公共资源电子交易网站“常见问题”栏目“【</w:t>
            </w:r>
            <w:r>
              <w:rPr>
                <w:rFonts w:hint="eastAsia" w:ascii="宋体" w:hAnsi="宋体" w:eastAsia="宋体" w:cs="宋体"/>
                <w:color w:val="auto"/>
                <w:sz w:val="21"/>
                <w:lang w:val="en-US" w:eastAsia="zh-CN"/>
              </w:rPr>
              <w:t>20</w:t>
            </w:r>
            <w:r>
              <w:rPr>
                <w:rFonts w:hint="eastAsia" w:ascii="宋体" w:hAnsi="宋体" w:eastAsia="宋体" w:cs="宋体"/>
                <w:color w:val="auto"/>
                <w:sz w:val="21"/>
                <w:lang w:eastAsia="zh-CN"/>
              </w:rPr>
              <w:t>】”【投标人】盐城大丰项目投标保证金缴纳及退回操作流程，登录地址（http://ggzy.dafeng.gov.cn/dfweb/infodetail/?infoid=32a20e4c-51c8-4acd-b156-40a158efa2a6&amp;categoryNum=029）。</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电子保函（保单）保证金缴纳方式：电子保函（保单）保证金缴纳方式按照“一标段一保函”的原则，投标人必须在投标文件递交截止时间前一日17时前通过建设工程保函平台（登录地址：http://www.ycsggzy.com:9922/ycfinanceplatform）办理完成，确保保险起始时间在开标时间前，否则将视为无效，按无效投标文件处理。</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投标人采用电子保函（保单）形式缴纳投标保证金的，在投标截止日之前须到建设工程保函平台中确认是否生效。在使用过程中发现问题请及时与相关技术保障人员联系解决。</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以银行保函方式提交保证金的：投标人必须在投标文件递交截止时间前出具从本单位基本账户缴纳的纸质银行保函原件彩色扫描件，直接放到投标</w:t>
            </w:r>
            <w:r>
              <w:rPr>
                <w:rFonts w:hint="eastAsia" w:ascii="宋体" w:hAnsi="宋体" w:eastAsia="宋体" w:cs="宋体"/>
                <w:color w:val="auto"/>
                <w:sz w:val="21"/>
                <w:lang w:eastAsia="zh-CN"/>
              </w:rPr>
              <w:t>文件</w:t>
            </w:r>
            <w:r>
              <w:rPr>
                <w:rFonts w:hint="eastAsia" w:ascii="宋体" w:hAnsi="宋体" w:eastAsia="宋体" w:cs="宋体"/>
                <w:color w:val="auto"/>
                <w:sz w:val="21"/>
              </w:rPr>
              <w:t>中，无需上传到诚信库。</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根据盐政发〔2020〕57号精神，只要获得我市</w:t>
            </w:r>
            <w:r>
              <w:rPr>
                <w:rFonts w:hint="eastAsia" w:cs="宋体"/>
                <w:color w:val="auto"/>
                <w:sz w:val="21"/>
                <w:lang w:eastAsia="zh-CN"/>
              </w:rPr>
              <w:t>近两年</w:t>
            </w:r>
            <w:r>
              <w:rPr>
                <w:rFonts w:hint="eastAsia" w:ascii="宋体" w:hAnsi="宋体" w:eastAsia="宋体" w:cs="宋体"/>
                <w:color w:val="auto"/>
                <w:sz w:val="21"/>
              </w:rPr>
              <w:t>建筑业星级企业或建筑业发展先进企业之一表彰的</w:t>
            </w:r>
            <w:r>
              <w:rPr>
                <w:rFonts w:hint="eastAsia" w:cs="宋体"/>
                <w:color w:val="auto"/>
                <w:sz w:val="21"/>
                <w:lang w:eastAsia="zh-CN"/>
              </w:rPr>
              <w:t>，</w:t>
            </w:r>
            <w:r>
              <w:rPr>
                <w:rFonts w:hint="eastAsia" w:ascii="宋体" w:hAnsi="宋体" w:eastAsia="宋体" w:cs="宋体"/>
                <w:color w:val="auto"/>
                <w:sz w:val="21"/>
              </w:rPr>
              <w:t>可免交本项目投标保证金、履约保证金等由</w:t>
            </w:r>
            <w:r>
              <w:rPr>
                <w:rFonts w:hint="eastAsia" w:ascii="宋体" w:hAnsi="宋体" w:eastAsia="宋体" w:cs="宋体"/>
                <w:color w:val="auto"/>
                <w:sz w:val="21"/>
                <w:lang w:eastAsia="zh-CN"/>
              </w:rPr>
              <w:t>投标</w:t>
            </w:r>
            <w:r>
              <w:rPr>
                <w:rFonts w:hint="eastAsia" w:ascii="宋体" w:hAnsi="宋体" w:eastAsia="宋体" w:cs="宋体"/>
                <w:color w:val="auto"/>
                <w:sz w:val="21"/>
              </w:rPr>
              <w:t>企业缴纳的相关保证金。</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如投标人属于上述免交情形的，为便于本项目开标活动顺利开展，投标人须从其基本账户缴纳1元至本项目投标保证金子账户，开、评标结束后即可退回。</w:t>
            </w:r>
          </w:p>
          <w:p>
            <w:pPr>
              <w:pStyle w:val="17"/>
              <w:spacing w:line="431" w:lineRule="exact"/>
              <w:ind w:left="108"/>
              <w:rPr>
                <w:rFonts w:hint="eastAsia" w:ascii="宋体" w:hAnsi="宋体" w:eastAsia="宋体" w:cs="宋体"/>
                <w:color w:val="auto"/>
                <w:sz w:val="21"/>
              </w:rPr>
            </w:pPr>
            <w:r>
              <w:rPr>
                <w:rFonts w:hint="eastAsia" w:cs="宋体"/>
                <w:color w:val="auto"/>
                <w:sz w:val="21"/>
                <w:lang w:val="en-US" w:eastAsia="zh-CN"/>
              </w:rPr>
              <w:t>2、</w:t>
            </w:r>
            <w:r>
              <w:rPr>
                <w:rFonts w:hint="eastAsia" w:ascii="宋体" w:hAnsi="宋体" w:eastAsia="宋体" w:cs="宋体"/>
                <w:color w:val="auto"/>
                <w:sz w:val="21"/>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投标人均需缴纳差额履约担保，获得盐城市近 2 年建筑业星级企业或建筑业发展先进企业表彰的企业，无需提供有关证明材料，免交各类保证金。差额履约担保缴纳账号同投标保证金账号。</w:t>
            </w:r>
          </w:p>
          <w:p>
            <w:pPr>
              <w:pStyle w:val="17"/>
              <w:spacing w:line="431" w:lineRule="exact"/>
              <w:ind w:left="108"/>
              <w:rPr>
                <w:rFonts w:hint="eastAsia"/>
                <w:color w:val="auto"/>
                <w:szCs w:val="21"/>
                <w:lang w:val="en-US"/>
              </w:rPr>
            </w:pPr>
            <w:r>
              <w:rPr>
                <w:rFonts w:hint="eastAsia" w:cs="宋体"/>
                <w:color w:val="auto"/>
                <w:sz w:val="21"/>
                <w:lang w:val="en-US" w:eastAsia="zh-CN"/>
              </w:rPr>
              <w:t>3</w:t>
            </w:r>
            <w:r>
              <w:rPr>
                <w:rFonts w:hint="eastAsia" w:ascii="宋体" w:hAnsi="宋体" w:eastAsia="宋体" w:cs="宋体"/>
                <w:color w:val="auto"/>
                <w:sz w:val="21"/>
                <w:lang w:val="en-US" w:eastAsia="zh-CN"/>
              </w:rPr>
              <w:t>、</w:t>
            </w:r>
            <w:r>
              <w:rPr>
                <w:rFonts w:hint="eastAsia" w:ascii="宋体" w:hAnsi="宋体" w:eastAsia="宋体" w:cs="宋体"/>
                <w:color w:val="auto"/>
                <w:sz w:val="21"/>
              </w:rPr>
              <w:t>差额履约担保证明材料：（1）以银行保函缴纳的，</w:t>
            </w:r>
            <w:r>
              <w:rPr>
                <w:rFonts w:hint="default" w:ascii="宋体" w:hAnsi="宋体" w:eastAsia="宋体" w:cs="宋体"/>
                <w:color w:val="auto"/>
                <w:sz w:val="21"/>
              </w:rPr>
              <w:t>投标时提供投标人基本帐户开户行出具的无条件银行保函</w:t>
            </w:r>
            <w:r>
              <w:rPr>
                <w:rFonts w:hint="eastAsia" w:ascii="宋体" w:hAnsi="宋体" w:eastAsia="宋体" w:cs="宋体"/>
                <w:color w:val="auto"/>
                <w:sz w:val="21"/>
              </w:rPr>
              <w:t>原件彩色扫描件</w:t>
            </w:r>
            <w:r>
              <w:rPr>
                <w:rFonts w:hint="eastAsia" w:ascii="宋体" w:hAnsi="宋体" w:eastAsia="宋体" w:cs="宋体"/>
                <w:color w:val="auto"/>
                <w:sz w:val="21"/>
                <w:lang w:eastAsia="zh-CN"/>
              </w:rPr>
              <w:t>，</w:t>
            </w:r>
            <w:r>
              <w:rPr>
                <w:rFonts w:hint="default" w:ascii="宋体" w:hAnsi="宋体" w:eastAsia="宋体" w:cs="宋体"/>
                <w:color w:val="auto"/>
                <w:sz w:val="21"/>
              </w:rPr>
              <w:t>未提供的视为未缴纳差额履约担保，投标文件按无效标处理</w:t>
            </w:r>
            <w:r>
              <w:rPr>
                <w:rFonts w:hint="eastAsia" w:ascii="宋体" w:hAnsi="宋体" w:eastAsia="宋体" w:cs="宋体"/>
                <w:color w:val="auto"/>
                <w:sz w:val="21"/>
              </w:rPr>
              <w:t>；（2）以转账方式缴纳的，无需提供材料</w:t>
            </w:r>
            <w:r>
              <w:rPr>
                <w:rFonts w:hint="eastAsia" w:ascii="宋体" w:hAnsi="宋体" w:eastAsia="宋体" w:cs="宋体"/>
                <w:color w:val="auto"/>
                <w:sz w:val="21"/>
                <w:lang w:eastAsia="zh-CN"/>
              </w:rPr>
              <w:t>，</w:t>
            </w:r>
            <w:r>
              <w:rPr>
                <w:rFonts w:hint="default" w:ascii="宋体" w:hAnsi="宋体" w:eastAsia="宋体" w:cs="宋体"/>
                <w:color w:val="auto"/>
                <w:sz w:val="21"/>
              </w:rPr>
              <w:t>评标时以开评标系统查询结果为准</w:t>
            </w:r>
            <w:r>
              <w:rPr>
                <w:rFonts w:hint="eastAsia" w:ascii="宋体" w:hAnsi="宋体" w:eastAsia="宋体" w:cs="宋体"/>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spacing w:before="146"/>
              <w:ind w:right="295"/>
              <w:jc w:val="center"/>
              <w:rPr>
                <w:rFonts w:ascii="Times New Roman"/>
                <w:color w:val="auto"/>
                <w:sz w:val="21"/>
              </w:rPr>
            </w:pPr>
            <w:r>
              <w:rPr>
                <w:rFonts w:hint="eastAsia"/>
                <w:color w:val="auto"/>
                <w:lang w:val="en-US" w:eastAsia="zh-CN"/>
              </w:rPr>
              <w:t xml:space="preserve">  </w:t>
            </w:r>
            <w:r>
              <w:rPr>
                <w:rFonts w:hint="eastAsia"/>
                <w:color w:val="auto"/>
              </w:rPr>
              <w:t>3.4.3</w:t>
            </w:r>
          </w:p>
        </w:tc>
        <w:tc>
          <w:tcPr>
            <w:tcW w:w="2408" w:type="dxa"/>
            <w:noWrap w:val="0"/>
            <w:vAlign w:val="center"/>
          </w:tcPr>
          <w:p>
            <w:pPr>
              <w:jc w:val="center"/>
              <w:rPr>
                <w:color w:val="auto"/>
                <w:sz w:val="21"/>
              </w:rPr>
            </w:pPr>
            <w:r>
              <w:rPr>
                <w:rFonts w:hint="eastAsia"/>
                <w:color w:val="auto"/>
                <w:sz w:val="21"/>
              </w:rPr>
              <w:t>投标保证金的利息计算原则</w:t>
            </w:r>
          </w:p>
        </w:tc>
        <w:tc>
          <w:tcPr>
            <w:tcW w:w="5810" w:type="dxa"/>
            <w:noWrap w:val="0"/>
            <w:vAlign w:val="center"/>
          </w:tcPr>
          <w:p>
            <w:pPr>
              <w:spacing w:line="268" w:lineRule="exact"/>
              <w:ind w:right="299" w:rightChars="136"/>
              <w:jc w:val="both"/>
              <w:rPr>
                <w:rFonts w:hint="eastAsia"/>
                <w:b/>
                <w:bCs/>
                <w:color w:val="auto"/>
                <w:spacing w:val="-3"/>
                <w:sz w:val="21"/>
                <w:szCs w:val="21"/>
              </w:rPr>
            </w:pPr>
            <w:r>
              <w:rPr>
                <w:rFonts w:hint="eastAsia" w:ascii="宋体" w:hAnsi="宋体" w:eastAsia="宋体" w:cs="宋体"/>
                <w:color w:val="auto"/>
                <w:sz w:val="21"/>
                <w:szCs w:val="22"/>
                <w:lang w:val="zh-CN" w:eastAsia="zh-CN" w:bidi="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rFonts w:ascii="Times New Roman"/>
                <w:color w:val="auto"/>
                <w:sz w:val="21"/>
              </w:rPr>
            </w:pPr>
            <w:r>
              <w:rPr>
                <w:color w:val="auto"/>
                <w:sz w:val="21"/>
              </w:rPr>
              <w:t>3.4.4</w:t>
            </w:r>
          </w:p>
        </w:tc>
        <w:tc>
          <w:tcPr>
            <w:tcW w:w="2408" w:type="dxa"/>
            <w:noWrap w:val="0"/>
            <w:vAlign w:val="center"/>
          </w:tcPr>
          <w:p>
            <w:pPr>
              <w:pStyle w:val="17"/>
              <w:spacing w:before="12" w:line="360" w:lineRule="exact"/>
              <w:ind w:left="107" w:right="99"/>
              <w:jc w:val="center"/>
              <w:rPr>
                <w:color w:val="auto"/>
                <w:sz w:val="21"/>
              </w:rPr>
            </w:pPr>
            <w:r>
              <w:rPr>
                <w:color w:val="auto"/>
                <w:sz w:val="21"/>
              </w:rPr>
              <w:t>其他可以不予退还投标保证金的情形</w:t>
            </w:r>
          </w:p>
        </w:tc>
        <w:tc>
          <w:tcPr>
            <w:tcW w:w="5810" w:type="dxa"/>
            <w:noWrap w:val="0"/>
            <w:vAlign w:val="top"/>
          </w:tcPr>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在第 3.4.4 项中补充（5）：</w:t>
            </w:r>
          </w:p>
          <w:p>
            <w:pPr>
              <w:pStyle w:val="17"/>
              <w:spacing w:line="431" w:lineRule="exact"/>
              <w:ind w:left="108"/>
              <w:rPr>
                <w:color w:val="auto"/>
                <w:spacing w:val="-4"/>
                <w:sz w:val="21"/>
              </w:rPr>
            </w:pPr>
            <w:r>
              <w:rPr>
                <w:rFonts w:hint="eastAsia" w:ascii="宋体" w:hAnsi="宋体" w:eastAsia="宋体" w:cs="宋体"/>
                <w:color w:val="auto"/>
                <w:sz w:val="21"/>
              </w:rPr>
              <w:t>（5）投标人有串标、围标、“挂靠”其他单位参与投标，贿赂评标专家或招标人工作人员，以及其他违反国家招投标管理有关规定的行为。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rFonts w:hint="eastAsia"/>
                <w:color w:val="auto"/>
                <w:sz w:val="21"/>
              </w:rPr>
              <w:t>3.5</w:t>
            </w:r>
          </w:p>
        </w:tc>
        <w:tc>
          <w:tcPr>
            <w:tcW w:w="2408" w:type="dxa"/>
            <w:noWrap w:val="0"/>
            <w:vAlign w:val="center"/>
          </w:tcPr>
          <w:p>
            <w:pPr>
              <w:pStyle w:val="17"/>
              <w:spacing w:line="361" w:lineRule="exact"/>
              <w:ind w:left="107"/>
              <w:jc w:val="center"/>
              <w:rPr>
                <w:color w:val="auto"/>
                <w:sz w:val="21"/>
              </w:rPr>
            </w:pPr>
            <w:r>
              <w:rPr>
                <w:rFonts w:hint="eastAsia"/>
                <w:color w:val="auto"/>
                <w:sz w:val="21"/>
              </w:rPr>
              <w:t>资格审查资料的特殊要求</w:t>
            </w:r>
          </w:p>
        </w:tc>
        <w:tc>
          <w:tcPr>
            <w:tcW w:w="5810" w:type="dxa"/>
            <w:noWrap w:val="0"/>
            <w:vAlign w:val="top"/>
          </w:tcPr>
          <w:p>
            <w:pPr>
              <w:pStyle w:val="17"/>
              <w:spacing w:line="361" w:lineRule="exact"/>
              <w:ind w:left="107"/>
              <w:rPr>
                <w:color w:val="auto"/>
                <w:sz w:val="21"/>
              </w:rPr>
            </w:pPr>
            <w:r>
              <w:rPr>
                <w:color w:val="auto"/>
                <w:sz w:val="21"/>
              </w:rPr>
              <w:t>□无</w:t>
            </w:r>
          </w:p>
          <w:p>
            <w:pPr>
              <w:pStyle w:val="17"/>
              <w:spacing w:line="361" w:lineRule="exact"/>
              <w:ind w:left="108" w:hanging="108"/>
              <w:rPr>
                <w:rFonts w:hint="eastAsia"/>
                <w:color w:val="auto"/>
                <w:sz w:val="21"/>
              </w:rPr>
            </w:pPr>
            <w:r>
              <w:rPr>
                <w:rFonts w:ascii="Times New Roman" w:hAnsi="Times New Roman" w:eastAsia="Times New Roman" w:cs="Times New Roman"/>
                <w:b/>
                <w:color w:val="auto"/>
                <w:sz w:val="32"/>
              </w:rPr>
              <w:t>√</w:t>
            </w:r>
            <w:r>
              <w:rPr>
                <w:color w:val="auto"/>
                <w:sz w:val="21"/>
              </w:rPr>
              <w:t>有，详见第九章投标文件格式“资格审查资料”。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top"/>
          </w:tcPr>
          <w:p>
            <w:pPr>
              <w:pStyle w:val="17"/>
              <w:spacing w:before="92" w:line="250" w:lineRule="exact"/>
              <w:ind w:left="5"/>
              <w:jc w:val="center"/>
              <w:rPr>
                <w:rFonts w:hint="eastAsia"/>
                <w:color w:val="auto"/>
                <w:sz w:val="21"/>
              </w:rPr>
            </w:pPr>
            <w:r>
              <w:rPr>
                <w:rFonts w:hint="eastAsia"/>
                <w:color w:val="auto"/>
                <w:sz w:val="21"/>
              </w:rPr>
              <w:t>3.5.2</w:t>
            </w:r>
          </w:p>
        </w:tc>
        <w:tc>
          <w:tcPr>
            <w:tcW w:w="2408" w:type="dxa"/>
            <w:noWrap w:val="0"/>
            <w:vAlign w:val="top"/>
          </w:tcPr>
          <w:p>
            <w:pPr>
              <w:pStyle w:val="17"/>
              <w:spacing w:before="89" w:line="250" w:lineRule="exact"/>
              <w:ind w:left="3"/>
              <w:jc w:val="center"/>
              <w:rPr>
                <w:color w:val="auto"/>
                <w:sz w:val="21"/>
              </w:rPr>
            </w:pPr>
            <w:r>
              <w:rPr>
                <w:color w:val="auto"/>
                <w:sz w:val="21"/>
              </w:rPr>
              <w:t>近年财务状况的年份要求</w:t>
            </w:r>
          </w:p>
        </w:tc>
        <w:tc>
          <w:tcPr>
            <w:tcW w:w="5810" w:type="dxa"/>
            <w:noWrap w:val="0"/>
            <w:vAlign w:val="center"/>
          </w:tcPr>
          <w:p>
            <w:pPr>
              <w:pStyle w:val="17"/>
              <w:tabs>
                <w:tab w:val="left" w:pos="529"/>
                <w:tab w:val="left" w:pos="1369"/>
              </w:tabs>
              <w:spacing w:before="89" w:line="250" w:lineRule="exact"/>
              <w:ind w:left="107"/>
              <w:jc w:val="both"/>
              <w:rPr>
                <w:color w:val="auto"/>
                <w:sz w:val="21"/>
              </w:rPr>
            </w:pPr>
            <w:r>
              <w:rPr>
                <w:rFonts w:hint="eastAsia"/>
                <w:color w:val="auto"/>
                <w:sz w:val="21"/>
                <w:lang w:val="en-US"/>
              </w:rPr>
              <w:t>/</w:t>
            </w:r>
            <w:r>
              <w:rPr>
                <w:color w:val="auto"/>
                <w:sz w:val="21"/>
              </w:rPr>
              <w:t>年~</w:t>
            </w:r>
            <w:r>
              <w:rPr>
                <w:rFonts w:hint="eastAsia"/>
                <w:color w:val="auto"/>
                <w:sz w:val="21"/>
                <w:lang w:val="en-US"/>
              </w:rPr>
              <w:t>/</w:t>
            </w:r>
            <w:r>
              <w:rPr>
                <w:color w:val="auto"/>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top"/>
          </w:tcPr>
          <w:p>
            <w:pPr>
              <w:pStyle w:val="17"/>
              <w:spacing w:before="92" w:line="250" w:lineRule="exact"/>
              <w:ind w:left="5"/>
              <w:jc w:val="center"/>
              <w:rPr>
                <w:rFonts w:hint="eastAsia"/>
                <w:color w:val="auto"/>
                <w:sz w:val="21"/>
              </w:rPr>
            </w:pPr>
            <w:r>
              <w:rPr>
                <w:rFonts w:hint="eastAsia"/>
                <w:color w:val="auto"/>
                <w:sz w:val="21"/>
              </w:rPr>
              <w:t>3.5.3</w:t>
            </w:r>
          </w:p>
        </w:tc>
        <w:tc>
          <w:tcPr>
            <w:tcW w:w="2408" w:type="dxa"/>
            <w:noWrap w:val="0"/>
            <w:vAlign w:val="top"/>
          </w:tcPr>
          <w:p>
            <w:pPr>
              <w:pStyle w:val="17"/>
              <w:spacing w:before="92" w:line="250" w:lineRule="exact"/>
              <w:ind w:left="6"/>
              <w:jc w:val="center"/>
              <w:rPr>
                <w:color w:val="auto"/>
                <w:sz w:val="21"/>
              </w:rPr>
            </w:pPr>
            <w:r>
              <w:rPr>
                <w:color w:val="auto"/>
                <w:sz w:val="21"/>
              </w:rPr>
              <w:t>近年完成的类似项目情况的时间要求</w:t>
            </w:r>
          </w:p>
        </w:tc>
        <w:tc>
          <w:tcPr>
            <w:tcW w:w="5810" w:type="dxa"/>
            <w:noWrap w:val="0"/>
            <w:vAlign w:val="center"/>
          </w:tcPr>
          <w:p>
            <w:pPr>
              <w:pStyle w:val="17"/>
              <w:tabs>
                <w:tab w:val="left" w:pos="529"/>
                <w:tab w:val="left" w:pos="1369"/>
              </w:tabs>
              <w:spacing w:before="89" w:line="250" w:lineRule="exact"/>
              <w:ind w:left="107"/>
              <w:jc w:val="both"/>
              <w:rPr>
                <w:rFonts w:ascii="Times New Roman"/>
                <w:color w:val="auto"/>
                <w:sz w:val="21"/>
              </w:rPr>
            </w:pPr>
            <w:r>
              <w:rPr>
                <w:rFonts w:hint="eastAsia"/>
                <w:color w:val="auto"/>
                <w:sz w:val="21"/>
                <w:lang w:val="en-US"/>
              </w:rPr>
              <w:t>/</w:t>
            </w:r>
            <w:r>
              <w:rPr>
                <w:rFonts w:hint="eastAsia"/>
                <w:color w:val="auto"/>
                <w:sz w:val="21"/>
              </w:rPr>
              <w:t>年～</w:t>
            </w:r>
            <w:r>
              <w:rPr>
                <w:rFonts w:hint="eastAsia"/>
                <w:color w:val="auto"/>
                <w:sz w:val="21"/>
                <w:lang w:val="en-US"/>
              </w:rPr>
              <w:t>/</w:t>
            </w:r>
            <w:r>
              <w:rPr>
                <w:rFonts w:hint="eastAsia"/>
                <w:color w:val="auto"/>
                <w:sz w:val="21"/>
              </w:rPr>
              <w:t xml:space="preserve">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5" w:hRule="atLeast"/>
        </w:trPr>
        <w:tc>
          <w:tcPr>
            <w:tcW w:w="1136" w:type="dxa"/>
            <w:noWrap w:val="0"/>
            <w:vAlign w:val="center"/>
          </w:tcPr>
          <w:p>
            <w:pPr>
              <w:pStyle w:val="17"/>
              <w:spacing w:before="92" w:line="250" w:lineRule="exact"/>
              <w:ind w:left="5"/>
              <w:jc w:val="center"/>
              <w:rPr>
                <w:rFonts w:hint="eastAsia"/>
                <w:color w:val="auto"/>
                <w:sz w:val="21"/>
              </w:rPr>
            </w:pPr>
            <w:r>
              <w:rPr>
                <w:rFonts w:hint="eastAsia"/>
                <w:color w:val="auto"/>
                <w:sz w:val="21"/>
              </w:rPr>
              <w:t>3.6.1</w:t>
            </w:r>
          </w:p>
        </w:tc>
        <w:tc>
          <w:tcPr>
            <w:tcW w:w="2408" w:type="dxa"/>
            <w:noWrap w:val="0"/>
            <w:vAlign w:val="center"/>
          </w:tcPr>
          <w:p>
            <w:pPr>
              <w:pStyle w:val="17"/>
              <w:spacing w:before="1"/>
              <w:jc w:val="center"/>
              <w:rPr>
                <w:color w:val="auto"/>
                <w:sz w:val="21"/>
              </w:rPr>
            </w:pPr>
            <w:r>
              <w:rPr>
                <w:color w:val="auto"/>
                <w:sz w:val="21"/>
              </w:rPr>
              <w:t>是否允许递交备选投标方案</w:t>
            </w:r>
          </w:p>
        </w:tc>
        <w:tc>
          <w:tcPr>
            <w:tcW w:w="5810" w:type="dxa"/>
            <w:noWrap w:val="0"/>
            <w:vAlign w:val="top"/>
          </w:tcPr>
          <w:p>
            <w:pPr>
              <w:pStyle w:val="17"/>
              <w:spacing w:line="359" w:lineRule="exact"/>
              <w:ind w:left="107"/>
              <w:rPr>
                <w:color w:val="auto"/>
                <w:sz w:val="21"/>
              </w:rPr>
            </w:pPr>
            <w:r>
              <w:rPr>
                <w:rFonts w:ascii="Times New Roman" w:hAnsi="Times New Roman" w:eastAsia="Times New Roman" w:cs="Times New Roman"/>
                <w:color w:val="auto"/>
                <w:sz w:val="32"/>
              </w:rPr>
              <w:t>√</w:t>
            </w:r>
            <w:r>
              <w:rPr>
                <w:color w:val="auto"/>
                <w:sz w:val="21"/>
              </w:rPr>
              <w:t>不允许</w:t>
            </w:r>
          </w:p>
          <w:p>
            <w:pPr>
              <w:pStyle w:val="17"/>
              <w:spacing w:line="357" w:lineRule="exact"/>
              <w:ind w:left="107"/>
              <w:rPr>
                <w:color w:val="auto"/>
                <w:sz w:val="21"/>
              </w:rPr>
            </w:pPr>
            <w:r>
              <w:rPr>
                <w:rFonts w:ascii="Times New Roman" w:hAnsi="Times New Roman" w:eastAsia="Times New Roman"/>
                <w:color w:val="auto"/>
                <w:sz w:val="32"/>
              </w:rPr>
              <w:t>□</w:t>
            </w:r>
            <w:r>
              <w:rPr>
                <w:color w:val="auto"/>
                <w:sz w:val="21"/>
              </w:rPr>
              <w:t>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92" w:line="250" w:lineRule="exact"/>
              <w:ind w:left="5"/>
              <w:jc w:val="center"/>
              <w:rPr>
                <w:color w:val="auto"/>
                <w:sz w:val="21"/>
                <w:lang w:val="en-US"/>
              </w:rPr>
            </w:pPr>
            <w:r>
              <w:rPr>
                <w:rFonts w:hint="eastAsia"/>
                <w:color w:val="auto"/>
                <w:sz w:val="21"/>
                <w:lang w:val="en-US"/>
              </w:rPr>
              <w:t>4.2.1</w:t>
            </w:r>
          </w:p>
        </w:tc>
        <w:tc>
          <w:tcPr>
            <w:tcW w:w="2408" w:type="dxa"/>
            <w:noWrap w:val="0"/>
            <w:vAlign w:val="center"/>
          </w:tcPr>
          <w:p>
            <w:pPr>
              <w:pStyle w:val="17"/>
              <w:jc w:val="center"/>
              <w:rPr>
                <w:rFonts w:hint="eastAsia"/>
                <w:color w:val="auto"/>
                <w:sz w:val="21"/>
              </w:rPr>
            </w:pPr>
            <w:r>
              <w:rPr>
                <w:rFonts w:hint="eastAsia"/>
                <w:color w:val="auto"/>
                <w:sz w:val="21"/>
              </w:rPr>
              <w:t>投标文件递交截止时间及地点</w:t>
            </w:r>
          </w:p>
        </w:tc>
        <w:tc>
          <w:tcPr>
            <w:tcW w:w="5810" w:type="dxa"/>
            <w:noWrap w:val="0"/>
            <w:vAlign w:val="top"/>
          </w:tcPr>
          <w:p>
            <w:pPr>
              <w:pStyle w:val="17"/>
              <w:spacing w:line="431" w:lineRule="exact"/>
              <w:ind w:left="108"/>
              <w:rPr>
                <w:rFonts w:hint="eastAsia"/>
                <w:color w:val="auto"/>
                <w:sz w:val="21"/>
              </w:rPr>
            </w:pPr>
            <w:r>
              <w:rPr>
                <w:rFonts w:hint="eastAsia"/>
                <w:color w:val="auto"/>
                <w:sz w:val="21"/>
                <w:lang w:eastAsia="zh-CN"/>
              </w:rPr>
              <w:t>电子投标文件</w:t>
            </w:r>
            <w:r>
              <w:rPr>
                <w:rFonts w:hint="eastAsia"/>
                <w:color w:val="auto"/>
                <w:sz w:val="21"/>
              </w:rPr>
              <w:t>的递交截止时间：202</w:t>
            </w:r>
            <w:r>
              <w:rPr>
                <w:rFonts w:hint="eastAsia"/>
                <w:color w:val="auto"/>
                <w:sz w:val="21"/>
                <w:lang w:val="en-US" w:eastAsia="zh-CN"/>
              </w:rPr>
              <w:t>2</w:t>
            </w:r>
            <w:r>
              <w:rPr>
                <w:rFonts w:hint="eastAsia"/>
                <w:color w:val="auto"/>
                <w:sz w:val="21"/>
              </w:rPr>
              <w:t>年</w:t>
            </w:r>
            <w:r>
              <w:rPr>
                <w:rFonts w:hint="eastAsia"/>
                <w:color w:val="auto"/>
                <w:sz w:val="21"/>
                <w:lang w:val="en-US" w:eastAsia="zh-CN"/>
              </w:rPr>
              <w:t>10</w:t>
            </w:r>
            <w:r>
              <w:rPr>
                <w:rFonts w:hint="eastAsia"/>
                <w:color w:val="auto"/>
                <w:sz w:val="21"/>
              </w:rPr>
              <w:t>月</w:t>
            </w:r>
            <w:r>
              <w:rPr>
                <w:rFonts w:hint="eastAsia"/>
                <w:color w:val="auto"/>
                <w:sz w:val="21"/>
                <w:lang w:val="en-US" w:eastAsia="zh-CN"/>
              </w:rPr>
              <w:t>13</w:t>
            </w:r>
            <w:r>
              <w:rPr>
                <w:rFonts w:hint="eastAsia"/>
                <w:color w:val="auto"/>
                <w:sz w:val="21"/>
              </w:rPr>
              <w:t>日</w:t>
            </w:r>
            <w:r>
              <w:rPr>
                <w:rFonts w:hint="eastAsia"/>
                <w:color w:val="auto"/>
                <w:sz w:val="21"/>
                <w:u w:val="single"/>
                <w:lang w:val="en-US" w:eastAsia="zh-CN"/>
              </w:rPr>
              <w:t>9</w:t>
            </w:r>
            <w:r>
              <w:rPr>
                <w:rFonts w:hint="eastAsia"/>
                <w:color w:val="auto"/>
                <w:sz w:val="21"/>
              </w:rPr>
              <w:t>时</w:t>
            </w:r>
            <w:r>
              <w:rPr>
                <w:rFonts w:hint="eastAsia"/>
                <w:color w:val="auto"/>
                <w:sz w:val="21"/>
                <w:u w:val="single"/>
                <w:lang w:val="en-US" w:eastAsia="zh-CN"/>
              </w:rPr>
              <w:t>00</w:t>
            </w:r>
            <w:r>
              <w:rPr>
                <w:rFonts w:hint="eastAsia"/>
                <w:color w:val="auto"/>
                <w:sz w:val="21"/>
              </w:rPr>
              <w:t>分</w:t>
            </w:r>
          </w:p>
          <w:p>
            <w:pPr>
              <w:pStyle w:val="17"/>
              <w:spacing w:line="431" w:lineRule="exact"/>
              <w:ind w:left="108"/>
              <w:rPr>
                <w:rFonts w:hint="eastAsia"/>
                <w:color w:val="auto"/>
                <w:sz w:val="21"/>
              </w:rPr>
            </w:pPr>
            <w:r>
              <w:rPr>
                <w:rFonts w:hint="eastAsia"/>
                <w:color w:val="auto"/>
                <w:sz w:val="21"/>
                <w:lang w:val="en-US" w:eastAsia="zh-CN"/>
              </w:rPr>
              <w:t>投标人于投标截止时间止将加盖投标单位公章的投标文件扫描件电子档压缩包发送至指定邮箱：</w:t>
            </w:r>
            <w:r>
              <w:rPr>
                <w:rFonts w:hint="eastAsia"/>
                <w:color w:val="auto"/>
                <w:sz w:val="21"/>
              </w:rPr>
              <w:t xml:space="preserve"> </w:t>
            </w:r>
            <w:r>
              <w:rPr>
                <w:rFonts w:hint="eastAsia"/>
                <w:color w:val="auto"/>
                <w:sz w:val="21"/>
              </w:rPr>
              <w:fldChar w:fldCharType="begin"/>
            </w:r>
            <w:r>
              <w:rPr>
                <w:rFonts w:hint="eastAsia"/>
                <w:color w:val="auto"/>
                <w:sz w:val="21"/>
              </w:rPr>
              <w:instrText xml:space="preserve"> HYPERLINK "mailto:903813993@qq.com" \h </w:instrText>
            </w:r>
            <w:r>
              <w:rPr>
                <w:rFonts w:hint="eastAsia"/>
                <w:color w:val="auto"/>
                <w:sz w:val="21"/>
              </w:rPr>
              <w:fldChar w:fldCharType="separate"/>
            </w:r>
            <w:r>
              <w:rPr>
                <w:rFonts w:hint="eastAsia"/>
                <w:color w:val="auto"/>
                <w:sz w:val="21"/>
                <w:lang w:val="en-US" w:eastAsia="zh-CN"/>
              </w:rPr>
              <w:t>1071193060</w:t>
            </w:r>
            <w:r>
              <w:rPr>
                <w:rFonts w:hint="eastAsia"/>
                <w:color w:val="auto"/>
                <w:sz w:val="21"/>
              </w:rPr>
              <w:t xml:space="preserve">@qq.com </w:t>
            </w:r>
            <w:r>
              <w:rPr>
                <w:rFonts w:hint="eastAsia"/>
                <w:color w:val="auto"/>
                <w:sz w:val="21"/>
              </w:rPr>
              <w:fldChar w:fldCharType="end"/>
            </w:r>
            <w:r>
              <w:rPr>
                <w:rFonts w:hint="eastAsia"/>
                <w:color w:val="auto"/>
                <w:sz w:val="21"/>
              </w:rPr>
              <w:t>。</w:t>
            </w:r>
            <w:r>
              <w:rPr>
                <w:rFonts w:hint="eastAsia"/>
                <w:color w:val="auto"/>
                <w:sz w:val="21"/>
                <w:lang w:eastAsia="zh-CN"/>
              </w:rPr>
              <w:t>（详见不见面开标须知）</w:t>
            </w:r>
            <w:r>
              <w:rPr>
                <w:rFonts w:hint="eastAsia"/>
                <w:color w:val="auto"/>
                <w:sz w:val="21"/>
              </w:rPr>
              <w:t>。逾期送达的投标文件，招标人不予受理。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92" w:line="250" w:lineRule="exact"/>
              <w:ind w:left="5"/>
              <w:jc w:val="center"/>
              <w:rPr>
                <w:rFonts w:ascii="Times New Roman"/>
                <w:color w:val="auto"/>
                <w:sz w:val="21"/>
              </w:rPr>
            </w:pPr>
            <w:r>
              <w:rPr>
                <w:color w:val="auto"/>
                <w:sz w:val="21"/>
              </w:rPr>
              <w:t>4.2.3</w:t>
            </w:r>
          </w:p>
        </w:tc>
        <w:tc>
          <w:tcPr>
            <w:tcW w:w="2408" w:type="dxa"/>
            <w:noWrap w:val="0"/>
            <w:vAlign w:val="center"/>
          </w:tcPr>
          <w:p>
            <w:pPr>
              <w:pStyle w:val="17"/>
              <w:jc w:val="center"/>
              <w:rPr>
                <w:color w:val="auto"/>
                <w:sz w:val="21"/>
              </w:rPr>
            </w:pPr>
            <w:r>
              <w:rPr>
                <w:color w:val="auto"/>
                <w:sz w:val="21"/>
              </w:rPr>
              <w:t>是否退还投标文件</w:t>
            </w:r>
          </w:p>
        </w:tc>
        <w:tc>
          <w:tcPr>
            <w:tcW w:w="5810" w:type="dxa"/>
            <w:noWrap w:val="0"/>
            <w:vAlign w:val="top"/>
          </w:tcPr>
          <w:p>
            <w:pPr>
              <w:pStyle w:val="17"/>
              <w:spacing w:before="90"/>
              <w:ind w:left="107"/>
              <w:rPr>
                <w:color w:val="auto"/>
                <w:sz w:val="21"/>
              </w:rPr>
            </w:pPr>
            <w:r>
              <w:rPr>
                <w:rFonts w:hint="eastAsia"/>
                <w:color w:val="auto"/>
                <w:sz w:val="21"/>
              </w:rPr>
              <w:t>√</w:t>
            </w:r>
            <w:r>
              <w:rPr>
                <w:color w:val="auto"/>
                <w:sz w:val="21"/>
              </w:rPr>
              <w:t>否</w:t>
            </w:r>
          </w:p>
          <w:p>
            <w:pPr>
              <w:pStyle w:val="17"/>
              <w:spacing w:before="90" w:line="250" w:lineRule="exact"/>
              <w:ind w:left="107"/>
              <w:rPr>
                <w:color w:val="auto"/>
                <w:sz w:val="21"/>
              </w:rPr>
            </w:pPr>
            <w:r>
              <w:rPr>
                <w:color w:val="auto"/>
                <w:sz w:val="21"/>
              </w:rPr>
              <w:t>□是，退还时间：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1136" w:type="dxa"/>
            <w:vMerge w:val="restart"/>
            <w:noWrap w:val="0"/>
            <w:vAlign w:val="center"/>
          </w:tcPr>
          <w:p>
            <w:pPr>
              <w:pStyle w:val="17"/>
              <w:spacing w:before="92" w:line="250" w:lineRule="exact"/>
              <w:ind w:left="5"/>
              <w:jc w:val="center"/>
              <w:rPr>
                <w:color w:val="auto"/>
                <w:sz w:val="21"/>
              </w:rPr>
            </w:pPr>
            <w:r>
              <w:rPr>
                <w:color w:val="auto"/>
                <w:sz w:val="21"/>
              </w:rPr>
              <w:t>5.1</w:t>
            </w:r>
          </w:p>
        </w:tc>
        <w:tc>
          <w:tcPr>
            <w:tcW w:w="2408" w:type="dxa"/>
            <w:vMerge w:val="restart"/>
            <w:noWrap w:val="0"/>
            <w:vAlign w:val="center"/>
          </w:tcPr>
          <w:p>
            <w:pPr>
              <w:pStyle w:val="17"/>
              <w:spacing w:before="92" w:line="250" w:lineRule="exact"/>
              <w:ind w:left="5"/>
              <w:jc w:val="center"/>
              <w:rPr>
                <w:color w:val="auto"/>
                <w:sz w:val="21"/>
              </w:rPr>
            </w:pPr>
            <w:r>
              <w:rPr>
                <w:color w:val="auto"/>
                <w:sz w:val="21"/>
              </w:rPr>
              <w:t>开标时间和地点</w:t>
            </w:r>
          </w:p>
        </w:tc>
        <w:tc>
          <w:tcPr>
            <w:tcW w:w="5810" w:type="dxa"/>
            <w:tcBorders>
              <w:bottom w:val="single" w:color="auto" w:sz="4" w:space="0"/>
            </w:tcBorders>
            <w:noWrap w:val="0"/>
            <w:vAlign w:val="top"/>
          </w:tcPr>
          <w:p>
            <w:pPr>
              <w:pStyle w:val="17"/>
              <w:spacing w:line="431" w:lineRule="exact"/>
              <w:ind w:left="108"/>
              <w:rPr>
                <w:color w:val="auto"/>
                <w:sz w:val="21"/>
                <w:lang w:val="en-US"/>
              </w:rPr>
            </w:pPr>
            <w:r>
              <w:rPr>
                <w:rFonts w:hint="eastAsia"/>
                <w:color w:val="auto"/>
                <w:sz w:val="21"/>
              </w:rPr>
              <w:t>202</w:t>
            </w:r>
            <w:r>
              <w:rPr>
                <w:rFonts w:hint="eastAsia"/>
                <w:color w:val="auto"/>
                <w:sz w:val="21"/>
                <w:lang w:val="en-US" w:eastAsia="zh-CN"/>
              </w:rPr>
              <w:t>2</w:t>
            </w:r>
            <w:r>
              <w:rPr>
                <w:rFonts w:hint="eastAsia"/>
                <w:color w:val="auto"/>
                <w:sz w:val="21"/>
              </w:rPr>
              <w:t>年</w:t>
            </w:r>
            <w:r>
              <w:rPr>
                <w:rFonts w:hint="eastAsia"/>
                <w:color w:val="auto"/>
                <w:sz w:val="21"/>
                <w:lang w:val="en-US" w:eastAsia="zh-CN"/>
              </w:rPr>
              <w:t>10</w:t>
            </w:r>
            <w:r>
              <w:rPr>
                <w:rFonts w:hint="eastAsia"/>
                <w:color w:val="auto"/>
                <w:sz w:val="21"/>
              </w:rPr>
              <w:t>月</w:t>
            </w:r>
            <w:r>
              <w:rPr>
                <w:rFonts w:hint="eastAsia"/>
                <w:color w:val="auto"/>
                <w:sz w:val="21"/>
                <w:lang w:val="en-US" w:eastAsia="zh-CN"/>
              </w:rPr>
              <w:t>13</w:t>
            </w:r>
            <w:r>
              <w:rPr>
                <w:rFonts w:hint="eastAsia"/>
                <w:color w:val="auto"/>
                <w:sz w:val="21"/>
              </w:rPr>
              <w:t>日</w:t>
            </w:r>
            <w:r>
              <w:rPr>
                <w:rFonts w:hint="eastAsia"/>
                <w:color w:val="auto"/>
                <w:sz w:val="21"/>
                <w:u w:val="single"/>
                <w:lang w:val="en-US" w:eastAsia="zh-CN"/>
              </w:rPr>
              <w:t>9</w:t>
            </w:r>
            <w:r>
              <w:rPr>
                <w:rFonts w:hint="eastAsia"/>
                <w:color w:val="auto"/>
                <w:sz w:val="21"/>
              </w:rPr>
              <w:t>时</w:t>
            </w:r>
            <w:r>
              <w:rPr>
                <w:rFonts w:hint="eastAsia"/>
                <w:color w:val="auto"/>
                <w:sz w:val="21"/>
                <w:u w:val="single"/>
                <w:lang w:val="en-US" w:eastAsia="zh-CN"/>
              </w:rPr>
              <w:t>00</w:t>
            </w:r>
            <w:r>
              <w:rPr>
                <w:rFonts w:hint="eastAsia"/>
                <w:color w:val="auto"/>
                <w:sz w:val="21"/>
              </w:rPr>
              <w:t>分</w:t>
            </w:r>
            <w:r>
              <w:rPr>
                <w:color w:val="auto"/>
                <w:sz w:val="21"/>
                <w:lang w:val="en-US"/>
              </w:rPr>
              <w:t>（同投标截止时间）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36" w:type="dxa"/>
            <w:vMerge w:val="continue"/>
            <w:noWrap w:val="0"/>
            <w:vAlign w:val="center"/>
          </w:tcPr>
          <w:p>
            <w:pPr>
              <w:pStyle w:val="17"/>
              <w:spacing w:before="92" w:line="250" w:lineRule="exact"/>
              <w:ind w:left="5"/>
              <w:jc w:val="center"/>
              <w:rPr>
                <w:color w:val="auto"/>
                <w:sz w:val="21"/>
              </w:rPr>
            </w:pPr>
          </w:p>
        </w:tc>
        <w:tc>
          <w:tcPr>
            <w:tcW w:w="2408" w:type="dxa"/>
            <w:vMerge w:val="continue"/>
            <w:noWrap w:val="0"/>
            <w:vAlign w:val="center"/>
          </w:tcPr>
          <w:p>
            <w:pPr>
              <w:pStyle w:val="17"/>
              <w:spacing w:before="92" w:line="250" w:lineRule="exact"/>
              <w:ind w:left="5"/>
              <w:jc w:val="center"/>
              <w:rPr>
                <w:color w:val="auto"/>
                <w:sz w:val="21"/>
              </w:rPr>
            </w:pPr>
          </w:p>
        </w:tc>
        <w:tc>
          <w:tcPr>
            <w:tcW w:w="5810" w:type="dxa"/>
            <w:tcBorders>
              <w:top w:val="single" w:color="auto" w:sz="4" w:space="0"/>
            </w:tcBorders>
            <w:noWrap w:val="0"/>
            <w:vAlign w:val="top"/>
          </w:tcPr>
          <w:p>
            <w:pPr>
              <w:pStyle w:val="17"/>
              <w:spacing w:before="93" w:line="321" w:lineRule="auto"/>
              <w:ind w:left="107" w:right="92"/>
              <w:rPr>
                <w:rFonts w:hint="eastAsia"/>
                <w:color w:val="auto"/>
                <w:sz w:val="21"/>
              </w:rPr>
            </w:pPr>
            <w:r>
              <w:rPr>
                <w:rFonts w:hint="eastAsia"/>
                <w:color w:val="auto"/>
                <w:sz w:val="21"/>
              </w:rPr>
              <w:t>开标地点：投标人自行选择任意地点参加不见面开标会议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36" w:type="dxa"/>
            <w:noWrap w:val="0"/>
            <w:vAlign w:val="center"/>
          </w:tcPr>
          <w:p>
            <w:pPr>
              <w:pStyle w:val="17"/>
              <w:spacing w:before="92" w:line="250" w:lineRule="exact"/>
              <w:ind w:left="5"/>
              <w:jc w:val="center"/>
              <w:rPr>
                <w:color w:val="auto"/>
                <w:sz w:val="21"/>
                <w:lang w:val="en-US"/>
              </w:rPr>
            </w:pPr>
            <w:r>
              <w:rPr>
                <w:rFonts w:hint="eastAsia"/>
                <w:color w:val="auto"/>
                <w:sz w:val="21"/>
                <w:lang w:val="en-US"/>
              </w:rPr>
              <w:t>5.2.1</w:t>
            </w:r>
          </w:p>
        </w:tc>
        <w:tc>
          <w:tcPr>
            <w:tcW w:w="2408" w:type="dxa"/>
            <w:noWrap w:val="0"/>
            <w:vAlign w:val="center"/>
          </w:tcPr>
          <w:p>
            <w:pPr>
              <w:pStyle w:val="17"/>
              <w:spacing w:before="92" w:line="250" w:lineRule="exact"/>
              <w:ind w:left="5"/>
              <w:jc w:val="center"/>
              <w:rPr>
                <w:color w:val="auto"/>
                <w:sz w:val="21"/>
              </w:rPr>
            </w:pPr>
            <w:r>
              <w:rPr>
                <w:rFonts w:hint="eastAsia"/>
                <w:color w:val="auto"/>
                <w:sz w:val="21"/>
              </w:rPr>
              <w:t>开标程序</w:t>
            </w:r>
          </w:p>
        </w:tc>
        <w:tc>
          <w:tcPr>
            <w:tcW w:w="5810" w:type="dxa"/>
            <w:tcBorders>
              <w:top w:val="single" w:color="auto" w:sz="4" w:space="0"/>
            </w:tcBorders>
            <w:noWrap w:val="0"/>
            <w:vAlign w:val="top"/>
          </w:tcPr>
          <w:p>
            <w:pPr>
              <w:pStyle w:val="17"/>
              <w:spacing w:before="93" w:line="321" w:lineRule="auto"/>
              <w:ind w:left="107" w:right="92"/>
              <w:rPr>
                <w:rFonts w:hint="eastAsia"/>
                <w:color w:val="auto"/>
                <w:sz w:val="21"/>
              </w:rPr>
            </w:pPr>
            <w:r>
              <w:rPr>
                <w:rFonts w:hint="eastAsia"/>
                <w:color w:val="auto"/>
                <w:sz w:val="21"/>
              </w:rPr>
              <w:t>（5）开标顺序： 随机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color w:val="auto"/>
                <w:sz w:val="21"/>
              </w:rPr>
              <w:t>6.1.1</w:t>
            </w:r>
          </w:p>
        </w:tc>
        <w:tc>
          <w:tcPr>
            <w:tcW w:w="2408" w:type="dxa"/>
            <w:noWrap w:val="0"/>
            <w:vAlign w:val="center"/>
          </w:tcPr>
          <w:p>
            <w:pPr>
              <w:pStyle w:val="17"/>
              <w:spacing w:before="92" w:line="250" w:lineRule="exact"/>
              <w:ind w:left="5"/>
              <w:jc w:val="center"/>
              <w:rPr>
                <w:color w:val="auto"/>
                <w:sz w:val="21"/>
              </w:rPr>
            </w:pPr>
            <w:r>
              <w:rPr>
                <w:color w:val="auto"/>
                <w:sz w:val="21"/>
              </w:rPr>
              <w:t>评标委员会的组建</w:t>
            </w:r>
          </w:p>
        </w:tc>
        <w:tc>
          <w:tcPr>
            <w:tcW w:w="5810" w:type="dxa"/>
            <w:noWrap w:val="0"/>
            <w:vAlign w:val="top"/>
          </w:tcPr>
          <w:p>
            <w:pPr>
              <w:pStyle w:val="17"/>
              <w:spacing w:before="93" w:line="321" w:lineRule="auto"/>
              <w:ind w:left="107" w:right="92"/>
              <w:rPr>
                <w:rFonts w:hint="eastAsia"/>
                <w:color w:val="auto"/>
                <w:sz w:val="21"/>
              </w:rPr>
            </w:pPr>
            <w:r>
              <w:rPr>
                <w:rFonts w:hint="eastAsia"/>
                <w:color w:val="auto"/>
                <w:sz w:val="21"/>
              </w:rPr>
              <w:t>评标委员会构成：3人或3人以上；</w:t>
            </w:r>
          </w:p>
          <w:p>
            <w:pPr>
              <w:pStyle w:val="17"/>
              <w:spacing w:before="93" w:line="321" w:lineRule="auto"/>
              <w:ind w:left="107" w:right="92"/>
              <w:rPr>
                <w:rFonts w:hint="eastAsia"/>
                <w:color w:val="auto"/>
                <w:sz w:val="21"/>
              </w:rPr>
            </w:pPr>
            <w:r>
              <w:rPr>
                <w:rFonts w:hint="eastAsia"/>
                <w:color w:val="auto"/>
                <w:sz w:val="21"/>
              </w:rPr>
              <w:t xml:space="preserve">其中招标人评委： </w:t>
            </w:r>
            <w:r>
              <w:rPr>
                <w:rFonts w:hint="eastAsia"/>
                <w:color w:val="auto"/>
                <w:sz w:val="21"/>
                <w:u w:val="single"/>
              </w:rPr>
              <w:t xml:space="preserve"> 0 </w:t>
            </w:r>
            <w:r>
              <w:rPr>
                <w:rFonts w:hint="eastAsia"/>
                <w:color w:val="auto"/>
                <w:sz w:val="21"/>
              </w:rPr>
              <w:t xml:space="preserve"> 人，专家：3人或3人以上；</w:t>
            </w:r>
          </w:p>
          <w:p>
            <w:pPr>
              <w:pStyle w:val="17"/>
              <w:spacing w:before="93" w:line="321" w:lineRule="auto"/>
              <w:ind w:left="107" w:right="92"/>
              <w:rPr>
                <w:rFonts w:ascii="微软雅黑" w:eastAsia="微软雅黑"/>
                <w:b/>
                <w:color w:val="auto"/>
                <w:sz w:val="28"/>
              </w:rPr>
            </w:pPr>
            <w:r>
              <w:rPr>
                <w:rFonts w:hint="eastAsia"/>
                <w:color w:val="auto"/>
                <w:sz w:val="21"/>
              </w:rPr>
              <w:t>评标专家确定方式：电脑随机抽取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92" w:line="250" w:lineRule="exact"/>
              <w:jc w:val="center"/>
              <w:rPr>
                <w:rFonts w:ascii="Times New Roman"/>
                <w:color w:val="auto"/>
                <w:sz w:val="21"/>
              </w:rPr>
            </w:pPr>
            <w:r>
              <w:rPr>
                <w:color w:val="auto"/>
                <w:sz w:val="21"/>
              </w:rPr>
              <w:t>6.3.2</w:t>
            </w:r>
          </w:p>
        </w:tc>
        <w:tc>
          <w:tcPr>
            <w:tcW w:w="2408" w:type="dxa"/>
            <w:noWrap w:val="0"/>
            <w:vAlign w:val="center"/>
          </w:tcPr>
          <w:p>
            <w:pPr>
              <w:pStyle w:val="17"/>
              <w:spacing w:before="78"/>
              <w:ind w:left="107"/>
              <w:jc w:val="center"/>
              <w:rPr>
                <w:color w:val="auto"/>
                <w:sz w:val="21"/>
              </w:rPr>
            </w:pPr>
            <w:r>
              <w:rPr>
                <w:color w:val="auto"/>
                <w:sz w:val="21"/>
              </w:rPr>
              <w:t>评标委员会推荐中标候选人的人数</w:t>
            </w:r>
          </w:p>
        </w:tc>
        <w:tc>
          <w:tcPr>
            <w:tcW w:w="5810" w:type="dxa"/>
            <w:noWrap w:val="0"/>
            <w:vAlign w:val="center"/>
          </w:tcPr>
          <w:p>
            <w:pPr>
              <w:pStyle w:val="17"/>
              <w:spacing w:before="78"/>
              <w:ind w:left="107"/>
              <w:jc w:val="both"/>
              <w:rPr>
                <w:color w:val="auto"/>
                <w:sz w:val="21"/>
              </w:rPr>
            </w:pPr>
            <w:r>
              <w:rPr>
                <w:rFonts w:hint="eastAsia"/>
                <w:color w:val="auto"/>
                <w:sz w:val="21"/>
              </w:rPr>
              <w:t>推荐的中标候选人数为</w:t>
            </w:r>
            <w:r>
              <w:rPr>
                <w:color w:val="auto"/>
                <w:sz w:val="21"/>
              </w:rPr>
              <w:t xml:space="preserve"> 1名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spacing w:before="92" w:line="250" w:lineRule="exact"/>
              <w:jc w:val="center"/>
              <w:rPr>
                <w:rFonts w:ascii="Times New Roman"/>
                <w:color w:val="auto"/>
                <w:sz w:val="21"/>
              </w:rPr>
            </w:pPr>
            <w:r>
              <w:rPr>
                <w:color w:val="auto"/>
                <w:sz w:val="21"/>
              </w:rPr>
              <w:t>7.1</w:t>
            </w:r>
          </w:p>
        </w:tc>
        <w:tc>
          <w:tcPr>
            <w:tcW w:w="2408" w:type="dxa"/>
            <w:noWrap w:val="0"/>
            <w:vAlign w:val="center"/>
          </w:tcPr>
          <w:p>
            <w:pPr>
              <w:pStyle w:val="17"/>
              <w:jc w:val="center"/>
              <w:rPr>
                <w:color w:val="auto"/>
                <w:sz w:val="21"/>
              </w:rPr>
            </w:pPr>
            <w:r>
              <w:rPr>
                <w:color w:val="auto"/>
                <w:sz w:val="21"/>
              </w:rPr>
              <w:t>中标候选人公示媒介及期限</w:t>
            </w:r>
          </w:p>
        </w:tc>
        <w:tc>
          <w:tcPr>
            <w:tcW w:w="5810" w:type="dxa"/>
            <w:noWrap w:val="0"/>
            <w:vAlign w:val="center"/>
          </w:tcPr>
          <w:p>
            <w:pPr>
              <w:pStyle w:val="17"/>
              <w:spacing w:before="78"/>
              <w:ind w:left="107"/>
              <w:jc w:val="both"/>
              <w:rPr>
                <w:rFonts w:hint="eastAsia"/>
                <w:color w:val="auto"/>
                <w:sz w:val="21"/>
              </w:rPr>
            </w:pPr>
            <w:r>
              <w:rPr>
                <w:rFonts w:hint="eastAsia"/>
                <w:color w:val="auto"/>
                <w:sz w:val="21"/>
              </w:rPr>
              <w:t>公示媒介：江苏建设工程招标网、</w:t>
            </w:r>
            <w:r>
              <w:rPr>
                <w:rFonts w:hint="eastAsia"/>
                <w:color w:val="auto"/>
                <w:sz w:val="21"/>
                <w:lang w:eastAsia="zh-CN"/>
              </w:rPr>
              <w:t>盐城市公共资源交易平台、</w:t>
            </w:r>
            <w:r>
              <w:rPr>
                <w:rFonts w:hint="eastAsia"/>
                <w:color w:val="auto"/>
                <w:spacing w:val="-3"/>
                <w:sz w:val="21"/>
                <w:szCs w:val="21"/>
                <w:lang w:eastAsia="zh-CN"/>
              </w:rPr>
              <w:t>大丰公共资源电子交易</w:t>
            </w:r>
            <w:r>
              <w:rPr>
                <w:rFonts w:hint="eastAsia"/>
                <w:color w:val="auto"/>
                <w:spacing w:val="-3"/>
                <w:sz w:val="21"/>
                <w:szCs w:val="21"/>
              </w:rPr>
              <w:t>平台</w:t>
            </w:r>
            <w:r>
              <w:rPr>
                <w:rFonts w:hint="eastAsia"/>
                <w:color w:val="auto"/>
                <w:sz w:val="21"/>
              </w:rPr>
              <w:t>上发布</w:t>
            </w:r>
          </w:p>
          <w:p>
            <w:pPr>
              <w:pStyle w:val="17"/>
              <w:tabs>
                <w:tab w:val="left" w:pos="2104"/>
              </w:tabs>
              <w:spacing w:before="91"/>
              <w:ind w:left="107"/>
              <w:jc w:val="both"/>
              <w:rPr>
                <w:rFonts w:hint="eastAsia"/>
                <w:color w:val="auto"/>
                <w:spacing w:val="-3"/>
                <w:sz w:val="21"/>
                <w:u w:val="single"/>
              </w:rPr>
            </w:pPr>
            <w:r>
              <w:rPr>
                <w:color w:val="auto"/>
                <w:sz w:val="21"/>
              </w:rPr>
              <w:t>公示</w:t>
            </w:r>
            <w:r>
              <w:rPr>
                <w:color w:val="auto"/>
                <w:spacing w:val="-3"/>
                <w:sz w:val="21"/>
              </w:rPr>
              <w:t>期</w:t>
            </w:r>
            <w:r>
              <w:rPr>
                <w:color w:val="auto"/>
                <w:sz w:val="21"/>
              </w:rPr>
              <w:t>限</w:t>
            </w:r>
            <w:r>
              <w:rPr>
                <w:color w:val="auto"/>
                <w:spacing w:val="-3"/>
                <w:sz w:val="21"/>
              </w:rPr>
              <w:t>：</w:t>
            </w:r>
            <w:r>
              <w:rPr>
                <w:rFonts w:hint="eastAsia"/>
                <w:color w:val="auto"/>
                <w:spacing w:val="-3"/>
                <w:sz w:val="21"/>
                <w:u w:val="single"/>
              </w:rPr>
              <w:t>3日</w:t>
            </w:r>
          </w:p>
          <w:p>
            <w:pPr>
              <w:pStyle w:val="17"/>
              <w:tabs>
                <w:tab w:val="left" w:pos="2104"/>
              </w:tabs>
              <w:spacing w:before="91"/>
              <w:ind w:left="107"/>
              <w:jc w:val="both"/>
              <w:rPr>
                <w:color w:val="auto"/>
                <w:sz w:val="21"/>
              </w:rPr>
            </w:pPr>
            <w:r>
              <w:rPr>
                <w:rFonts w:hint="eastAsia"/>
                <w:color w:val="auto"/>
                <w:sz w:val="21"/>
              </w:rPr>
              <w:t>公示的其他内容：</w:t>
            </w:r>
            <w:bookmarkStart w:id="221" w:name="_GoBack"/>
            <w:bookmarkEnd w:id="221"/>
            <w:r>
              <w:rPr>
                <w:color w:val="auto"/>
                <w:sz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pStyle w:val="17"/>
              <w:jc w:val="center"/>
              <w:rPr>
                <w:color w:val="auto"/>
              </w:rPr>
            </w:pPr>
            <w:r>
              <w:rPr>
                <w:rFonts w:hint="eastAsia"/>
                <w:color w:val="auto"/>
              </w:rPr>
              <w:t>7.4</w:t>
            </w:r>
          </w:p>
        </w:tc>
        <w:tc>
          <w:tcPr>
            <w:tcW w:w="2408" w:type="dxa"/>
            <w:noWrap w:val="0"/>
            <w:vAlign w:val="center"/>
          </w:tcPr>
          <w:p>
            <w:pPr>
              <w:pStyle w:val="17"/>
              <w:jc w:val="center"/>
              <w:rPr>
                <w:color w:val="auto"/>
                <w:sz w:val="21"/>
              </w:rPr>
            </w:pPr>
            <w:r>
              <w:rPr>
                <w:rFonts w:hint="eastAsia"/>
                <w:color w:val="auto"/>
                <w:sz w:val="21"/>
              </w:rPr>
              <w:t>是否授权评标委员会确定中标人</w:t>
            </w:r>
          </w:p>
        </w:tc>
        <w:tc>
          <w:tcPr>
            <w:tcW w:w="5810" w:type="dxa"/>
            <w:noWrap w:val="0"/>
            <w:vAlign w:val="center"/>
          </w:tcPr>
          <w:p>
            <w:pPr>
              <w:pStyle w:val="17"/>
              <w:spacing w:before="78"/>
              <w:ind w:left="107"/>
              <w:jc w:val="both"/>
              <w:rPr>
                <w:rFonts w:hint="eastAsia" w:ascii="宋体" w:hAnsi="宋体" w:eastAsia="宋体" w:cs="宋体"/>
                <w:color w:val="auto"/>
                <w:sz w:val="21"/>
              </w:rPr>
            </w:pPr>
            <w:r>
              <w:rPr>
                <w:rFonts w:hint="eastAsia" w:ascii="宋体" w:hAnsi="宋体" w:eastAsia="宋体" w:cs="宋体"/>
                <w:color w:val="auto"/>
                <w:sz w:val="21"/>
              </w:rPr>
              <w:t>□是</w:t>
            </w:r>
          </w:p>
          <w:p>
            <w:pPr>
              <w:pStyle w:val="17"/>
              <w:spacing w:before="78"/>
              <w:ind w:left="107"/>
              <w:jc w:val="both"/>
              <w:rPr>
                <w:color w:val="auto"/>
                <w:sz w:val="21"/>
              </w:rPr>
            </w:pPr>
            <w:r>
              <w:rPr>
                <w:rFonts w:hint="eastAsia" w:ascii="宋体" w:hAnsi="宋体" w:eastAsia="宋体" w:cs="宋体"/>
                <w:color w:val="auto"/>
                <w:sz w:val="21"/>
              </w:rPr>
              <w:t>√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jc w:val="center"/>
              <w:rPr>
                <w:color w:val="auto"/>
                <w:lang w:val="en-US"/>
              </w:rPr>
            </w:pPr>
            <w:r>
              <w:rPr>
                <w:rFonts w:hint="eastAsia"/>
                <w:color w:val="auto"/>
                <w:lang w:val="en-US"/>
              </w:rPr>
              <w:t>7.5</w:t>
            </w:r>
          </w:p>
        </w:tc>
        <w:tc>
          <w:tcPr>
            <w:tcW w:w="2408" w:type="dxa"/>
            <w:noWrap w:val="0"/>
            <w:vAlign w:val="center"/>
          </w:tcPr>
          <w:p>
            <w:pPr>
              <w:pStyle w:val="17"/>
              <w:jc w:val="center"/>
              <w:rPr>
                <w:rFonts w:hint="eastAsia"/>
                <w:color w:val="auto"/>
                <w:sz w:val="21"/>
              </w:rPr>
            </w:pPr>
            <w:r>
              <w:rPr>
                <w:rFonts w:hint="eastAsia"/>
                <w:color w:val="auto"/>
                <w:sz w:val="21"/>
              </w:rPr>
              <w:t>中标通知书和中标结果通</w:t>
            </w:r>
          </w:p>
          <w:p>
            <w:pPr>
              <w:pStyle w:val="17"/>
              <w:jc w:val="center"/>
              <w:rPr>
                <w:rFonts w:hint="eastAsia"/>
                <w:color w:val="auto"/>
                <w:sz w:val="21"/>
              </w:rPr>
            </w:pPr>
            <w:r>
              <w:rPr>
                <w:rFonts w:hint="eastAsia"/>
                <w:color w:val="auto"/>
                <w:sz w:val="21"/>
              </w:rPr>
              <w:t>知发出的形式</w:t>
            </w:r>
          </w:p>
        </w:tc>
        <w:tc>
          <w:tcPr>
            <w:tcW w:w="5810" w:type="dxa"/>
            <w:noWrap w:val="0"/>
            <w:vAlign w:val="center"/>
          </w:tcPr>
          <w:p>
            <w:pPr>
              <w:pStyle w:val="17"/>
              <w:spacing w:before="78"/>
              <w:ind w:left="107"/>
              <w:jc w:val="both"/>
              <w:rPr>
                <w:rFonts w:hint="eastAsia"/>
                <w:color w:val="auto"/>
              </w:rPr>
            </w:pPr>
            <w:r>
              <w:rPr>
                <w:rFonts w:hint="eastAsia"/>
                <w:color w:val="auto"/>
                <w:sz w:val="21"/>
              </w:rPr>
              <w:t>招标人以书面形式向中标人发出中标通知书，同时将中标结果通知未中标的投标人。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jc w:val="center"/>
              <w:rPr>
                <w:color w:val="auto"/>
              </w:rPr>
            </w:pPr>
            <w:r>
              <w:rPr>
                <w:rFonts w:hint="eastAsia"/>
                <w:color w:val="auto"/>
              </w:rPr>
              <w:t>7.6</w:t>
            </w:r>
          </w:p>
        </w:tc>
        <w:tc>
          <w:tcPr>
            <w:tcW w:w="2408" w:type="dxa"/>
            <w:noWrap w:val="0"/>
            <w:vAlign w:val="center"/>
          </w:tcPr>
          <w:p>
            <w:pPr>
              <w:pStyle w:val="17"/>
              <w:spacing w:before="11" w:line="360" w:lineRule="exact"/>
              <w:ind w:right="99"/>
              <w:jc w:val="center"/>
              <w:rPr>
                <w:color w:val="auto"/>
                <w:sz w:val="21"/>
              </w:rPr>
            </w:pPr>
            <w:r>
              <w:rPr>
                <w:rFonts w:hint="eastAsia"/>
                <w:color w:val="auto"/>
                <w:sz w:val="21"/>
              </w:rPr>
              <w:t>中标结果公告媒介</w:t>
            </w:r>
          </w:p>
        </w:tc>
        <w:tc>
          <w:tcPr>
            <w:tcW w:w="5810" w:type="dxa"/>
            <w:noWrap w:val="0"/>
            <w:vAlign w:val="center"/>
          </w:tcPr>
          <w:p>
            <w:pPr>
              <w:pStyle w:val="17"/>
              <w:tabs>
                <w:tab w:val="left" w:pos="2104"/>
              </w:tabs>
              <w:spacing w:before="91"/>
              <w:ind w:left="107"/>
              <w:jc w:val="both"/>
              <w:rPr>
                <w:rFonts w:hint="eastAsia"/>
                <w:color w:val="auto"/>
                <w:sz w:val="21"/>
              </w:rPr>
            </w:pPr>
            <w:r>
              <w:rPr>
                <w:color w:val="auto"/>
                <w:sz w:val="21"/>
              </w:rPr>
              <w:t>公示媒介：</w:t>
            </w:r>
            <w:r>
              <w:rPr>
                <w:rFonts w:hint="eastAsia"/>
                <w:color w:val="auto"/>
                <w:sz w:val="21"/>
              </w:rPr>
              <w:t>江苏建设工程招标网、</w:t>
            </w:r>
            <w:r>
              <w:rPr>
                <w:rFonts w:hint="eastAsia"/>
                <w:color w:val="auto"/>
                <w:sz w:val="21"/>
                <w:lang w:eastAsia="zh-CN"/>
              </w:rPr>
              <w:t>盐城市公共资源交易平台、</w:t>
            </w:r>
            <w:r>
              <w:rPr>
                <w:rFonts w:hint="eastAsia"/>
                <w:color w:val="auto"/>
                <w:spacing w:val="-3"/>
                <w:sz w:val="21"/>
                <w:szCs w:val="21"/>
                <w:lang w:eastAsia="zh-CN"/>
              </w:rPr>
              <w:t>大丰公共资源电子交易</w:t>
            </w:r>
            <w:r>
              <w:rPr>
                <w:rFonts w:hint="eastAsia"/>
                <w:color w:val="auto"/>
                <w:spacing w:val="-3"/>
                <w:sz w:val="21"/>
                <w:szCs w:val="21"/>
              </w:rPr>
              <w:t>平台</w:t>
            </w:r>
            <w:r>
              <w:rPr>
                <w:rFonts w:hint="eastAsia"/>
                <w:color w:val="auto"/>
                <w:sz w:val="21"/>
              </w:rPr>
              <w:t>上发布</w:t>
            </w:r>
          </w:p>
          <w:p>
            <w:pPr>
              <w:pStyle w:val="17"/>
              <w:tabs>
                <w:tab w:val="left" w:pos="2104"/>
              </w:tabs>
              <w:spacing w:before="91"/>
              <w:jc w:val="both"/>
              <w:rPr>
                <w:color w:val="auto"/>
                <w:sz w:val="21"/>
              </w:rPr>
            </w:pPr>
            <w:r>
              <w:rPr>
                <w:rFonts w:hint="eastAsia"/>
                <w:color w:val="auto"/>
                <w:sz w:val="21"/>
              </w:rPr>
              <w:t>公示的其他内容：</w:t>
            </w:r>
            <w:r>
              <w:rPr>
                <w:color w:val="auto"/>
                <w:sz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rFonts w:ascii="Times New Roman"/>
                <w:color w:val="auto"/>
                <w:sz w:val="21"/>
              </w:rPr>
              <w:t>7.7.1</w:t>
            </w:r>
          </w:p>
        </w:tc>
        <w:tc>
          <w:tcPr>
            <w:tcW w:w="2408" w:type="dxa"/>
            <w:noWrap w:val="0"/>
            <w:vAlign w:val="center"/>
          </w:tcPr>
          <w:p>
            <w:pPr>
              <w:pStyle w:val="17"/>
              <w:spacing w:before="92" w:line="250" w:lineRule="exact"/>
              <w:ind w:left="5"/>
              <w:jc w:val="center"/>
              <w:rPr>
                <w:color w:val="auto"/>
                <w:sz w:val="21"/>
              </w:rPr>
            </w:pPr>
            <w:r>
              <w:rPr>
                <w:color w:val="auto"/>
                <w:sz w:val="21"/>
              </w:rPr>
              <w:t>履约保证金</w:t>
            </w:r>
          </w:p>
        </w:tc>
        <w:tc>
          <w:tcPr>
            <w:tcW w:w="5810" w:type="dxa"/>
            <w:noWrap w:val="0"/>
            <w:vAlign w:val="top"/>
          </w:tcPr>
          <w:p>
            <w:pPr>
              <w:pStyle w:val="17"/>
              <w:spacing w:before="89" w:line="265" w:lineRule="exact"/>
              <w:ind w:left="107"/>
              <w:rPr>
                <w:color w:val="auto"/>
                <w:sz w:val="21"/>
              </w:rPr>
            </w:pPr>
            <w:r>
              <w:rPr>
                <w:color w:val="auto"/>
                <w:sz w:val="21"/>
              </w:rPr>
              <w:t>是否要求中标人提交履约保证金：</w:t>
            </w:r>
          </w:p>
          <w:p>
            <w:pPr>
              <w:pStyle w:val="17"/>
              <w:spacing w:line="364" w:lineRule="exact"/>
              <w:ind w:left="107"/>
              <w:rPr>
                <w:color w:val="auto"/>
                <w:sz w:val="21"/>
              </w:rPr>
            </w:pPr>
            <w:r>
              <w:rPr>
                <w:rFonts w:hint="eastAsia" w:ascii="宋体" w:hAnsi="宋体" w:eastAsia="宋体" w:cs="宋体"/>
                <w:color w:val="auto"/>
                <w:sz w:val="21"/>
              </w:rPr>
              <w:t xml:space="preserve">√ </w:t>
            </w:r>
            <w:r>
              <w:rPr>
                <w:color w:val="auto"/>
                <w:sz w:val="21"/>
              </w:rPr>
              <w:t>要求，履约保证金的形式：</w:t>
            </w:r>
            <w:r>
              <w:rPr>
                <w:rFonts w:hint="eastAsia"/>
                <w:b/>
                <w:bCs/>
                <w:color w:val="auto"/>
                <w:sz w:val="21"/>
                <w:u w:val="single"/>
                <w:lang w:eastAsia="zh-CN"/>
              </w:rPr>
              <w:t>转账</w:t>
            </w:r>
            <w:r>
              <w:rPr>
                <w:rFonts w:hint="eastAsia"/>
                <w:b/>
                <w:bCs/>
                <w:color w:val="auto"/>
                <w:sz w:val="21"/>
                <w:u w:val="single"/>
              </w:rPr>
              <w:t>、履约担保或者投标人基本账户开户行出具的保函、保险公司保险单</w:t>
            </w:r>
            <w:r>
              <w:rPr>
                <w:rFonts w:hint="eastAsia"/>
                <w:color w:val="auto"/>
                <w:sz w:val="21"/>
                <w:u w:val="single"/>
              </w:rPr>
              <w:t>。</w:t>
            </w:r>
          </w:p>
          <w:p>
            <w:pPr>
              <w:pStyle w:val="17"/>
              <w:tabs>
                <w:tab w:val="left" w:pos="2104"/>
              </w:tabs>
              <w:spacing w:before="91"/>
              <w:ind w:left="107"/>
              <w:jc w:val="both"/>
              <w:rPr>
                <w:rFonts w:hint="eastAsia"/>
                <w:color w:val="auto"/>
                <w:spacing w:val="-4"/>
                <w:sz w:val="21"/>
              </w:rPr>
            </w:pPr>
            <w:r>
              <w:rPr>
                <w:color w:val="auto"/>
                <w:spacing w:val="-4"/>
                <w:sz w:val="21"/>
              </w:rPr>
              <w:t>履约</w:t>
            </w:r>
            <w:r>
              <w:rPr>
                <w:rFonts w:hint="eastAsia" w:ascii="宋体" w:hAnsi="宋体" w:eastAsia="宋体" w:cs="宋体"/>
                <w:color w:val="auto"/>
                <w:sz w:val="21"/>
              </w:rPr>
              <w:t>保证金</w:t>
            </w:r>
            <w:r>
              <w:rPr>
                <w:color w:val="auto"/>
                <w:spacing w:val="-4"/>
                <w:sz w:val="21"/>
              </w:rPr>
              <w:t>的金额：</w:t>
            </w:r>
            <w:r>
              <w:rPr>
                <w:rFonts w:hint="eastAsia"/>
                <w:color w:val="auto"/>
                <w:spacing w:val="7"/>
                <w:sz w:val="21"/>
                <w:u w:val="single"/>
              </w:rPr>
              <w:t>10</w:t>
            </w:r>
            <w:r>
              <w:rPr>
                <w:color w:val="auto"/>
                <w:spacing w:val="-4"/>
                <w:sz w:val="21"/>
              </w:rPr>
              <w:t>％签约合同价</w:t>
            </w:r>
            <w:r>
              <w:rPr>
                <w:rFonts w:hint="eastAsia"/>
                <w:color w:val="auto"/>
                <w:spacing w:val="-4"/>
                <w:sz w:val="21"/>
              </w:rPr>
              <w:t>，投标人在收到中标通知书后，须在7日内向招标人足额提交履约保证金，否则招标人可以取消其中标资格。</w:t>
            </w:r>
          </w:p>
          <w:p>
            <w:pPr>
              <w:pStyle w:val="17"/>
              <w:tabs>
                <w:tab w:val="left" w:pos="2104"/>
              </w:tabs>
              <w:spacing w:before="91"/>
              <w:ind w:left="107"/>
              <w:jc w:val="both"/>
              <w:rPr>
                <w:rFonts w:hint="eastAsia"/>
                <w:b/>
                <w:bCs/>
                <w:color w:val="auto"/>
                <w:spacing w:val="-4"/>
                <w:sz w:val="21"/>
              </w:rPr>
            </w:pPr>
            <w:r>
              <w:rPr>
                <w:rFonts w:hint="eastAsia"/>
                <w:b/>
                <w:bCs/>
                <w:color w:val="auto"/>
                <w:spacing w:val="-4"/>
                <w:sz w:val="21"/>
              </w:rPr>
              <w:t>注：获得盐城市近 2 年建筑业星级企业或建筑业发展先进企业表彰的企业，无需提供有关证明材料，免交各类保证金，名单详见本招标文件附件 A；</w:t>
            </w:r>
          </w:p>
          <w:p>
            <w:pPr>
              <w:pStyle w:val="17"/>
              <w:tabs>
                <w:tab w:val="left" w:pos="949"/>
                <w:tab w:val="left" w:pos="2209"/>
                <w:tab w:val="left" w:pos="4521"/>
              </w:tabs>
              <w:spacing w:before="89" w:line="321" w:lineRule="auto"/>
              <w:ind w:left="107" w:right="65"/>
              <w:rPr>
                <w:color w:val="auto"/>
                <w:sz w:val="21"/>
              </w:rPr>
            </w:pPr>
            <w:r>
              <w:rPr>
                <w:rFonts w:ascii="Times New Roman" w:hAnsi="Times New Roman" w:eastAsia="Times New Roman"/>
                <w:color w:val="auto"/>
                <w:sz w:val="32"/>
              </w:rPr>
              <w:t>□</w:t>
            </w:r>
            <w:r>
              <w:rPr>
                <w:color w:val="auto"/>
                <w:sz w:val="21"/>
              </w:rPr>
              <w:t>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
              <w:ind w:right="172"/>
              <w:jc w:val="center"/>
              <w:rPr>
                <w:rFonts w:ascii="Times New Roman"/>
                <w:color w:val="auto"/>
                <w:sz w:val="21"/>
              </w:rPr>
            </w:pPr>
            <w:r>
              <w:rPr>
                <w:rFonts w:ascii="Times New Roman"/>
                <w:color w:val="auto"/>
                <w:sz w:val="21"/>
              </w:rPr>
              <w:t>8.5.1</w:t>
            </w:r>
          </w:p>
        </w:tc>
        <w:tc>
          <w:tcPr>
            <w:tcW w:w="2408" w:type="dxa"/>
            <w:noWrap w:val="0"/>
            <w:vAlign w:val="center"/>
          </w:tcPr>
          <w:p>
            <w:pPr>
              <w:pStyle w:val="17"/>
              <w:jc w:val="center"/>
              <w:rPr>
                <w:color w:val="auto"/>
                <w:sz w:val="21"/>
              </w:rPr>
            </w:pPr>
            <w:r>
              <w:rPr>
                <w:color w:val="auto"/>
                <w:sz w:val="21"/>
              </w:rPr>
              <w:t>监督部门</w:t>
            </w:r>
          </w:p>
        </w:tc>
        <w:tc>
          <w:tcPr>
            <w:tcW w:w="5810" w:type="dxa"/>
            <w:noWrap w:val="0"/>
            <w:vAlign w:val="top"/>
          </w:tcPr>
          <w:p>
            <w:pPr>
              <w:pStyle w:val="17"/>
              <w:spacing w:before="89" w:line="265" w:lineRule="exact"/>
              <w:ind w:left="107"/>
              <w:rPr>
                <w:rFonts w:ascii="Times New Roman" w:eastAsia="Times New Roman"/>
                <w:color w:val="auto"/>
                <w:sz w:val="21"/>
              </w:rPr>
            </w:pPr>
            <w:r>
              <w:rPr>
                <w:rFonts w:hint="eastAsia" w:ascii="宋体" w:hAnsi="宋体" w:eastAsia="宋体" w:cs="宋体"/>
                <w:color w:val="auto"/>
                <w:spacing w:val="-4"/>
                <w:sz w:val="21"/>
                <w:szCs w:val="22"/>
                <w:lang w:val="zh-CN" w:eastAsia="zh-CN" w:bidi="zh-CN"/>
              </w:rPr>
              <w:t>本项目的招标投标活动及其相关当事人应当接受行业主管部门或上级主管单位依法实施的监督</w:t>
            </w:r>
            <w:r>
              <w:rPr>
                <w:rFonts w:hint="eastAsia" w:eastAsia="宋体" w:cs="宋体"/>
                <w:color w:val="auto"/>
                <w:spacing w:val="-4"/>
                <w:sz w:val="21"/>
                <w:szCs w:val="22"/>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
              <w:ind w:right="172"/>
              <w:jc w:val="center"/>
              <w:rPr>
                <w:rFonts w:hint="eastAsia" w:ascii="Times New Roman"/>
                <w:color w:val="auto"/>
                <w:sz w:val="21"/>
              </w:rPr>
            </w:pPr>
            <w:r>
              <w:rPr>
                <w:rFonts w:hint="eastAsia" w:ascii="Times New Roman"/>
                <w:color w:val="auto"/>
                <w:sz w:val="21"/>
              </w:rPr>
              <w:t>9</w:t>
            </w:r>
          </w:p>
        </w:tc>
        <w:tc>
          <w:tcPr>
            <w:tcW w:w="2408" w:type="dxa"/>
            <w:noWrap w:val="0"/>
            <w:vAlign w:val="center"/>
          </w:tcPr>
          <w:p>
            <w:pPr>
              <w:pStyle w:val="17"/>
              <w:jc w:val="center"/>
              <w:rPr>
                <w:color w:val="auto"/>
                <w:sz w:val="21"/>
              </w:rPr>
            </w:pPr>
            <w:r>
              <w:rPr>
                <w:rFonts w:hint="eastAsia"/>
                <w:color w:val="auto"/>
                <w:sz w:val="21"/>
              </w:rPr>
              <w:t>是否采用电子招标投标</w:t>
            </w:r>
          </w:p>
        </w:tc>
        <w:tc>
          <w:tcPr>
            <w:tcW w:w="5810" w:type="dxa"/>
            <w:noWrap w:val="0"/>
            <w:vAlign w:val="top"/>
          </w:tcPr>
          <w:p>
            <w:pPr>
              <w:pStyle w:val="17"/>
              <w:spacing w:before="89" w:line="265" w:lineRule="exact"/>
              <w:ind w:left="107"/>
              <w:rPr>
                <w:rFonts w:hint="eastAsia"/>
                <w:color w:val="auto"/>
                <w:sz w:val="21"/>
              </w:rPr>
            </w:pPr>
            <w:r>
              <w:rPr>
                <w:color w:val="auto"/>
                <w:sz w:val="21"/>
              </w:rPr>
              <w:sym w:font="Wingdings" w:char="00A8"/>
            </w:r>
            <w:r>
              <w:rPr>
                <w:color w:val="auto"/>
                <w:sz w:val="21"/>
              </w:rPr>
              <w:t>是</w:t>
            </w:r>
          </w:p>
          <w:p>
            <w:pPr>
              <w:pStyle w:val="17"/>
              <w:spacing w:before="89" w:line="265" w:lineRule="exact"/>
              <w:ind w:left="107"/>
              <w:rPr>
                <w:rFonts w:hint="eastAsia"/>
                <w:color w:val="auto"/>
                <w:sz w:val="21"/>
              </w:rPr>
            </w:pPr>
            <w:r>
              <w:rPr>
                <w:rFonts w:hint="eastAsia"/>
                <w:color w:val="auto"/>
                <w:sz w:val="21"/>
              </w:rPr>
              <w:sym w:font="Wingdings" w:char="00FE"/>
            </w:r>
            <w:r>
              <w:rPr>
                <w:rFonts w:hint="eastAsia"/>
                <w:color w:val="auto"/>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9354" w:type="dxa"/>
            <w:gridSpan w:val="3"/>
            <w:noWrap w:val="0"/>
            <w:vAlign w:val="center"/>
          </w:tcPr>
          <w:p>
            <w:pPr>
              <w:rPr>
                <w:rFonts w:hint="eastAsia"/>
                <w:color w:val="auto"/>
              </w:rPr>
            </w:pPr>
            <w:r>
              <w:rPr>
                <w:rFonts w:hint="eastAsia"/>
                <w:b/>
                <w:color w:val="auto"/>
                <w:sz w:val="21"/>
              </w:rPr>
              <w:t>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136" w:type="dxa"/>
            <w:noWrap w:val="0"/>
            <w:vAlign w:val="center"/>
          </w:tcPr>
          <w:p>
            <w:pPr>
              <w:pStyle w:val="17"/>
              <w:jc w:val="center"/>
              <w:rPr>
                <w:rFonts w:hint="eastAsia" w:ascii="Times New Roman"/>
                <w:color w:val="auto"/>
                <w:sz w:val="21"/>
              </w:rPr>
            </w:pPr>
            <w:r>
              <w:rPr>
                <w:rFonts w:hint="eastAsia" w:ascii="Times New Roman"/>
                <w:color w:val="auto"/>
                <w:sz w:val="21"/>
              </w:rPr>
              <w:t>10.2</w:t>
            </w:r>
          </w:p>
        </w:tc>
        <w:tc>
          <w:tcPr>
            <w:tcW w:w="8218" w:type="dxa"/>
            <w:gridSpan w:val="2"/>
            <w:noWrap w:val="0"/>
            <w:vAlign w:val="center"/>
          </w:tcPr>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补充第10.2款：</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本项目招标人设定投标控制价上限，本项目最高投标限价为</w:t>
            </w:r>
            <w:r>
              <w:rPr>
                <w:rFonts w:hint="eastAsia"/>
                <w:b/>
                <w:color w:val="auto"/>
                <w:sz w:val="21"/>
                <w:szCs w:val="21"/>
                <w:u w:val="single"/>
                <w:lang w:val="en-US"/>
              </w:rPr>
              <w:t xml:space="preserve"> </w:t>
            </w:r>
            <w:r>
              <w:rPr>
                <w:rFonts w:hint="eastAsia"/>
                <w:b/>
                <w:color w:val="auto"/>
                <w:sz w:val="21"/>
                <w:szCs w:val="21"/>
                <w:u w:val="single"/>
                <w:lang w:val="en-US" w:eastAsia="zh-CN"/>
              </w:rPr>
              <w:t xml:space="preserve">150 </w:t>
            </w:r>
            <w:r>
              <w:rPr>
                <w:rFonts w:hint="eastAsia"/>
                <w:b/>
                <w:color w:val="auto"/>
                <w:sz w:val="21"/>
                <w:szCs w:val="21"/>
              </w:rPr>
              <w:t>万元。投标报价超出招标人设定的投标控制价上限的，其投标文件按无效标书处理。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136" w:type="dxa"/>
            <w:noWrap w:val="0"/>
            <w:vAlign w:val="center"/>
          </w:tcPr>
          <w:p>
            <w:pPr>
              <w:jc w:val="center"/>
              <w:rPr>
                <w:rFonts w:hint="eastAsia"/>
                <w:color w:val="auto"/>
              </w:rPr>
            </w:pPr>
            <w:r>
              <w:rPr>
                <w:rFonts w:hint="eastAsia"/>
                <w:color w:val="auto"/>
              </w:rPr>
              <w:t>10.3</w:t>
            </w:r>
          </w:p>
        </w:tc>
        <w:tc>
          <w:tcPr>
            <w:tcW w:w="8218" w:type="dxa"/>
            <w:gridSpan w:val="2"/>
            <w:noWrap w:val="0"/>
            <w:vAlign w:val="top"/>
          </w:tcPr>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补充第10.3款：</w:t>
            </w:r>
          </w:p>
          <w:p>
            <w:pPr>
              <w:tabs>
                <w:tab w:val="left" w:pos="7938"/>
              </w:tabs>
              <w:spacing w:line="360" w:lineRule="exact"/>
              <w:ind w:right="196" w:rightChars="89" w:firstLine="422" w:firstLineChars="200"/>
              <w:rPr>
                <w:rFonts w:hint="eastAsia"/>
                <w:color w:val="auto"/>
              </w:rPr>
            </w:pPr>
            <w:r>
              <w:rPr>
                <w:rFonts w:hint="eastAsia"/>
                <w:b/>
                <w:color w:val="auto"/>
                <w:sz w:val="21"/>
                <w:szCs w:val="21"/>
              </w:rPr>
              <w:t>本工程的税金及费用标准参照交通运输部公告2019年第26号。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jc w:val="center"/>
              <w:rPr>
                <w:rFonts w:hint="eastAsia"/>
                <w:color w:val="auto"/>
              </w:rPr>
            </w:pPr>
            <w:r>
              <w:rPr>
                <w:rFonts w:hint="eastAsia"/>
                <w:color w:val="auto"/>
              </w:rPr>
              <w:t>10.4</w:t>
            </w:r>
          </w:p>
        </w:tc>
        <w:tc>
          <w:tcPr>
            <w:tcW w:w="8218" w:type="dxa"/>
            <w:gridSpan w:val="2"/>
            <w:noWrap w:val="0"/>
            <w:vAlign w:val="top"/>
          </w:tcPr>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补充第10.4款：</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（1）合同约定的开工日期7日前，承包人组织进场施工，经验收具备开工条件，发包人向承包人支付合同价款的10%作为工程预付款；</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（2）工程竣工验收合格后付至</w:t>
            </w:r>
            <w:r>
              <w:rPr>
                <w:rFonts w:hint="eastAsia"/>
                <w:b/>
                <w:color w:val="auto"/>
                <w:sz w:val="21"/>
                <w:szCs w:val="21"/>
                <w:lang w:val="en-US" w:eastAsia="zh-CN"/>
              </w:rPr>
              <w:t>已完成工程量价款</w:t>
            </w:r>
            <w:r>
              <w:rPr>
                <w:rFonts w:hint="eastAsia"/>
                <w:b/>
                <w:color w:val="auto"/>
                <w:sz w:val="21"/>
                <w:szCs w:val="21"/>
              </w:rPr>
              <w:t>的</w:t>
            </w:r>
            <w:r>
              <w:rPr>
                <w:rFonts w:hint="eastAsia"/>
                <w:b/>
                <w:color w:val="auto"/>
                <w:sz w:val="21"/>
                <w:szCs w:val="21"/>
                <w:lang w:val="en-US" w:eastAsia="zh-CN"/>
              </w:rPr>
              <w:t>80</w:t>
            </w:r>
            <w:r>
              <w:rPr>
                <w:rFonts w:hint="eastAsia"/>
                <w:b/>
                <w:color w:val="auto"/>
                <w:sz w:val="21"/>
                <w:szCs w:val="21"/>
              </w:rPr>
              <w:t>%；</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（3）工程竣工验收合格满一年付至审定结算价款的</w:t>
            </w:r>
            <w:r>
              <w:rPr>
                <w:rFonts w:hint="eastAsia"/>
                <w:b/>
                <w:color w:val="auto"/>
                <w:sz w:val="21"/>
                <w:szCs w:val="21"/>
                <w:lang w:val="en-US" w:eastAsia="zh-CN"/>
              </w:rPr>
              <w:t>97</w:t>
            </w:r>
            <w:r>
              <w:rPr>
                <w:rFonts w:hint="eastAsia"/>
                <w:b/>
                <w:color w:val="auto"/>
                <w:sz w:val="21"/>
                <w:szCs w:val="21"/>
              </w:rPr>
              <w:t>%；</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（4）余款作为质量保证金，待缺陷责任期满后无质量问题一次性结清（但不免除承包人的保修责任）</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按以上付款进度，无任何利息补偿。</w:t>
            </w:r>
          </w:p>
        </w:tc>
      </w:tr>
    </w:tbl>
    <w:p>
      <w:pPr>
        <w:rPr>
          <w:rFonts w:ascii="黑体" w:eastAsia="黑体"/>
          <w:color w:val="auto"/>
          <w:sz w:val="56"/>
        </w:rPr>
        <w:sectPr>
          <w:headerReference r:id="rId11" w:type="default"/>
          <w:footerReference r:id="rId12" w:type="default"/>
          <w:pgSz w:w="11910" w:h="16850"/>
          <w:pgMar w:top="1276" w:right="1200" w:bottom="280" w:left="1220" w:header="850" w:footer="850" w:gutter="0"/>
          <w:pgNumType w:start="8"/>
          <w:cols w:space="720" w:num="1"/>
          <w:docGrid w:linePitch="299" w:charSpace="0"/>
        </w:sectPr>
      </w:pPr>
    </w:p>
    <w:p>
      <w:pPr>
        <w:tabs>
          <w:tab w:val="left" w:pos="1095"/>
        </w:tabs>
        <w:spacing w:before="69"/>
        <w:ind w:left="39"/>
        <w:jc w:val="center"/>
        <w:rPr>
          <w:rFonts w:hint="eastAsia" w:ascii="黑体" w:hAnsi="黑体" w:eastAsia="黑体"/>
          <w:b/>
          <w:color w:val="auto"/>
          <w:sz w:val="28"/>
        </w:rPr>
      </w:pPr>
      <w:bookmarkStart w:id="5" w:name="_bookmark19"/>
      <w:bookmarkEnd w:id="5"/>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1</w:t>
      </w:r>
      <w:r>
        <w:rPr>
          <w:rFonts w:hint="eastAsia" w:ascii="黑体" w:hAnsi="黑体" w:eastAsia="黑体"/>
          <w:b/>
          <w:color w:val="auto"/>
          <w:sz w:val="28"/>
        </w:rPr>
        <w:tab/>
      </w:r>
      <w:r>
        <w:rPr>
          <w:rFonts w:hint="eastAsia" w:ascii="黑体" w:hAnsi="黑体" w:eastAsia="黑体"/>
          <w:b/>
          <w:color w:val="auto"/>
          <w:sz w:val="28"/>
        </w:rPr>
        <w:t>资格审查条件（资质最低要求）</w:t>
      </w:r>
    </w:p>
    <w:p>
      <w:pPr>
        <w:pStyle w:val="6"/>
        <w:spacing w:before="2"/>
        <w:rPr>
          <w:rFonts w:hint="eastAsia" w:ascii="黑体"/>
          <w:b/>
          <w:color w:val="auto"/>
        </w:r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9706" w:type="dxa"/>
            <w:noWrap w:val="0"/>
            <w:vAlign w:val="center"/>
          </w:tcPr>
          <w:p>
            <w:pPr>
              <w:pStyle w:val="6"/>
              <w:spacing w:before="2"/>
              <w:jc w:val="center"/>
              <w:rPr>
                <w:rFonts w:ascii="黑体"/>
                <w:b/>
                <w:color w:val="auto"/>
                <w:lang w:eastAsia="zh-CN"/>
              </w:rPr>
            </w:pPr>
            <w:r>
              <w:rPr>
                <w:color w:val="auto"/>
                <w:sz w:val="21"/>
                <w:lang w:eastAsia="zh-CN"/>
              </w:rPr>
              <w:t>施工企业资质等级要求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9706" w:type="dxa"/>
            <w:noWrap w:val="0"/>
            <w:vAlign w:val="top"/>
          </w:tcPr>
          <w:p>
            <w:pPr>
              <w:pStyle w:val="12"/>
              <w:spacing w:line="440" w:lineRule="exact"/>
              <w:ind w:firstLine="420" w:firstLineChars="200"/>
              <w:rPr>
                <w:rFonts w:hint="eastAsia" w:eastAsia="宋体"/>
                <w:b/>
                <w:bCs/>
                <w:color w:val="auto"/>
                <w:sz w:val="21"/>
                <w:szCs w:val="21"/>
                <w:lang w:eastAsia="zh-CN"/>
              </w:rPr>
            </w:pPr>
            <w:r>
              <w:rPr>
                <w:rFonts w:hint="eastAsia"/>
                <w:color w:val="auto"/>
                <w:sz w:val="21"/>
                <w:szCs w:val="21"/>
              </w:rPr>
              <w:t>中华人民共和国境内独立法人企业，营业执照合法有效；具有建设行政主管部门核发的公路工程施工总承包三级及以上资质；具有合法有效的省级及以上建设行政主管部门核发的安全生产许可证；</w:t>
            </w:r>
          </w:p>
        </w:tc>
      </w:tr>
    </w:tbl>
    <w:p>
      <w:pPr>
        <w:spacing w:before="1"/>
        <w:ind w:left="1098" w:right="1056"/>
        <w:jc w:val="center"/>
        <w:rPr>
          <w:color w:val="auto"/>
          <w:sz w:val="21"/>
        </w:rPr>
      </w:pPr>
    </w:p>
    <w:p>
      <w:pPr>
        <w:tabs>
          <w:tab w:val="left" w:pos="3254"/>
        </w:tabs>
        <w:spacing w:before="109"/>
        <w:ind w:left="2198"/>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2</w:t>
      </w:r>
      <w:r>
        <w:rPr>
          <w:rFonts w:hint="eastAsia" w:ascii="黑体" w:hAnsi="黑体" w:eastAsia="黑体"/>
          <w:b/>
          <w:color w:val="auto"/>
          <w:sz w:val="28"/>
        </w:rPr>
        <w:tab/>
      </w:r>
      <w:r>
        <w:rPr>
          <w:rFonts w:hint="eastAsia" w:ascii="黑体" w:hAnsi="黑体" w:eastAsia="黑体"/>
          <w:b/>
          <w:color w:val="auto"/>
          <w:sz w:val="28"/>
        </w:rPr>
        <w:t>资格审查条件（财务最低要求）</w:t>
      </w:r>
    </w:p>
    <w:p>
      <w:pPr>
        <w:tabs>
          <w:tab w:val="left" w:pos="3254"/>
        </w:tabs>
        <w:spacing w:before="109"/>
        <w:rPr>
          <w:rFonts w:hint="eastAsia" w:ascii="黑体" w:hAnsi="黑体" w:eastAsia="黑体"/>
          <w:b/>
          <w:color w:val="auto"/>
          <w:sz w:val="28"/>
        </w:rPr>
      </w:pPr>
    </w:p>
    <w:tbl>
      <w:tblPr>
        <w:tblStyle w:val="13"/>
        <w:tblW w:w="0" w:type="auto"/>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40" w:type="dxa"/>
            <w:noWrap w:val="0"/>
            <w:vAlign w:val="center"/>
          </w:tcPr>
          <w:p>
            <w:pPr>
              <w:pStyle w:val="6"/>
              <w:spacing w:before="2"/>
              <w:jc w:val="center"/>
              <w:rPr>
                <w:rFonts w:hint="eastAsia"/>
                <w:color w:val="auto"/>
                <w:sz w:val="21"/>
                <w:lang w:eastAsia="zh-CN"/>
              </w:rPr>
            </w:pPr>
            <w:r>
              <w:rPr>
                <w:rFonts w:hint="eastAsia"/>
                <w:color w:val="auto"/>
                <w:sz w:val="21"/>
                <w:lang w:eastAsia="zh-CN"/>
              </w:rPr>
              <w:t>财务要求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640" w:type="dxa"/>
            <w:noWrap w:val="0"/>
            <w:vAlign w:val="center"/>
          </w:tcPr>
          <w:p>
            <w:pPr>
              <w:spacing w:line="360" w:lineRule="exact"/>
              <w:ind w:right="418" w:rightChars="190" w:firstLine="420" w:firstLineChars="200"/>
              <w:rPr>
                <w:rFonts w:hint="eastAsia"/>
                <w:color w:val="auto"/>
                <w:sz w:val="21"/>
                <w:szCs w:val="21"/>
              </w:rPr>
            </w:pPr>
            <w:r>
              <w:rPr>
                <w:rFonts w:hint="eastAsia"/>
                <w:color w:val="auto"/>
                <w:sz w:val="21"/>
                <w:szCs w:val="21"/>
              </w:rPr>
              <w:t>投标人须具有良好的商业信誉和健全的财务会计制度。</w:t>
            </w:r>
          </w:p>
        </w:tc>
      </w:tr>
    </w:tbl>
    <w:p>
      <w:pPr>
        <w:pStyle w:val="6"/>
        <w:rPr>
          <w:rFonts w:hint="eastAsia"/>
          <w:color w:val="auto"/>
          <w:sz w:val="20"/>
          <w:lang w:eastAsia="zh-CN"/>
        </w:rPr>
      </w:pPr>
    </w:p>
    <w:p>
      <w:pPr>
        <w:pStyle w:val="6"/>
        <w:rPr>
          <w:color w:val="auto"/>
          <w:sz w:val="20"/>
        </w:rPr>
      </w:pPr>
    </w:p>
    <w:p>
      <w:pPr>
        <w:spacing w:line="242" w:lineRule="auto"/>
        <w:jc w:val="center"/>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3</w:t>
      </w:r>
      <w:r>
        <w:rPr>
          <w:rFonts w:hint="eastAsia" w:ascii="黑体" w:hAnsi="黑体" w:eastAsia="黑体"/>
          <w:b/>
          <w:color w:val="auto"/>
          <w:sz w:val="28"/>
        </w:rPr>
        <w:tab/>
      </w:r>
      <w:r>
        <w:rPr>
          <w:rFonts w:hint="eastAsia" w:ascii="黑体" w:hAnsi="黑体" w:eastAsia="黑体"/>
          <w:b/>
          <w:color w:val="auto"/>
          <w:sz w:val="28"/>
        </w:rPr>
        <w:t>资格审查条件（企业业绩最低要求）</w:t>
      </w:r>
    </w:p>
    <w:p>
      <w:pPr>
        <w:spacing w:line="242" w:lineRule="auto"/>
        <w:jc w:val="center"/>
        <w:rPr>
          <w:rFonts w:hint="eastAsia" w:ascii="黑体" w:hAnsi="黑体" w:eastAsia="黑体"/>
          <w:b/>
          <w:color w:val="auto"/>
          <w:sz w:val="28"/>
        </w:r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9706" w:type="dxa"/>
            <w:noWrap w:val="0"/>
            <w:vAlign w:val="center"/>
          </w:tcPr>
          <w:p>
            <w:pPr>
              <w:spacing w:line="242" w:lineRule="auto"/>
              <w:jc w:val="center"/>
              <w:rPr>
                <w:b/>
                <w:color w:val="auto"/>
                <w:sz w:val="18"/>
              </w:rPr>
            </w:pPr>
            <w:r>
              <w:rPr>
                <w:b/>
                <w:color w:val="auto"/>
                <w:sz w:val="21"/>
              </w:rPr>
              <w:t>业 绩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2" w:hRule="atLeast"/>
        </w:trPr>
        <w:tc>
          <w:tcPr>
            <w:tcW w:w="9706" w:type="dxa"/>
            <w:noWrap w:val="0"/>
            <w:vAlign w:val="center"/>
          </w:tcPr>
          <w:p>
            <w:pPr>
              <w:pStyle w:val="12"/>
              <w:spacing w:line="440" w:lineRule="exact"/>
              <w:ind w:firstLine="420" w:firstLineChars="200"/>
              <w:rPr>
                <w:rFonts w:hint="eastAsia"/>
                <w:color w:val="auto"/>
                <w:sz w:val="21"/>
                <w:szCs w:val="21"/>
              </w:rPr>
            </w:pPr>
            <w:r>
              <w:rPr>
                <w:rFonts w:hint="eastAsia"/>
                <w:color w:val="auto"/>
                <w:sz w:val="21"/>
                <w:szCs w:val="21"/>
              </w:rPr>
              <w:t>/</w:t>
            </w:r>
          </w:p>
        </w:tc>
      </w:tr>
    </w:tbl>
    <w:p>
      <w:pPr>
        <w:pStyle w:val="6"/>
        <w:spacing w:before="5"/>
        <w:rPr>
          <w:color w:val="auto"/>
          <w:sz w:val="8"/>
        </w:rPr>
      </w:pPr>
    </w:p>
    <w:p>
      <w:pPr>
        <w:spacing w:line="242" w:lineRule="auto"/>
        <w:jc w:val="center"/>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4</w:t>
      </w:r>
      <w:r>
        <w:rPr>
          <w:rFonts w:hint="eastAsia" w:ascii="黑体" w:hAnsi="黑体" w:eastAsia="黑体"/>
          <w:b/>
          <w:color w:val="auto"/>
          <w:sz w:val="28"/>
        </w:rPr>
        <w:tab/>
      </w:r>
      <w:r>
        <w:rPr>
          <w:rFonts w:hint="eastAsia" w:ascii="黑体" w:hAnsi="黑体" w:eastAsia="黑体"/>
          <w:b/>
          <w:color w:val="auto"/>
          <w:sz w:val="28"/>
        </w:rPr>
        <w:t>资格审查条件（信誉最低要求）</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9706" w:type="dxa"/>
            <w:noWrap w:val="0"/>
            <w:vAlign w:val="center"/>
          </w:tcPr>
          <w:p>
            <w:pPr>
              <w:spacing w:line="242" w:lineRule="auto"/>
              <w:jc w:val="center"/>
              <w:rPr>
                <w:rFonts w:hint="eastAsia"/>
                <w:b/>
                <w:color w:val="auto"/>
                <w:sz w:val="21"/>
              </w:rPr>
            </w:pPr>
            <w:r>
              <w:rPr>
                <w:b/>
                <w:color w:val="auto"/>
                <w:sz w:val="21"/>
              </w:rPr>
              <w:t>信 誉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trPr>
        <w:tc>
          <w:tcPr>
            <w:tcW w:w="9706" w:type="dxa"/>
            <w:noWrap w:val="0"/>
            <w:vAlign w:val="center"/>
          </w:tcPr>
          <w:p>
            <w:pPr>
              <w:adjustRightInd w:val="0"/>
              <w:snapToGrid w:val="0"/>
              <w:spacing w:line="500" w:lineRule="exact"/>
              <w:ind w:firstLine="420" w:firstLineChars="200"/>
              <w:rPr>
                <w:rFonts w:hint="eastAsia"/>
                <w:color w:val="auto"/>
                <w:lang w:val="en-US"/>
              </w:rPr>
            </w:pPr>
            <w:r>
              <w:rPr>
                <w:rFonts w:hint="eastAsia"/>
                <w:color w:val="auto"/>
                <w:sz w:val="21"/>
                <w:szCs w:val="21"/>
                <w:lang w:val="zh-CN" w:bidi="zh-CN"/>
              </w:rPr>
              <w:t>1、投标人在江苏省交通厅信用等级考核（以递交投标文件截止当日为准）为A级（含暂A）及以上。</w:t>
            </w:r>
            <w:r>
              <w:rPr>
                <w:rFonts w:hint="eastAsia" w:ascii="宋体" w:hAnsi="宋体" w:eastAsia="宋体" w:cs="宋体"/>
                <w:color w:val="auto"/>
                <w:sz w:val="21"/>
                <w:szCs w:val="21"/>
                <w:lang w:val="zh-CN" w:bidi="zh-CN"/>
              </w:rPr>
              <w:t>2、在“国家企业信用信息公示系统”中被列入严重违法失信企业、“信用中国”网站（http://www.creditchina.gov.cn/）中被列入失信被执行人名单的投标人，不得参加投标。</w:t>
            </w:r>
          </w:p>
        </w:tc>
      </w:tr>
    </w:tbl>
    <w:p>
      <w:pPr>
        <w:spacing w:line="242" w:lineRule="auto"/>
        <w:jc w:val="center"/>
        <w:rPr>
          <w:rFonts w:hint="eastAsia" w:ascii="黑体" w:hAnsi="黑体" w:eastAsia="黑体"/>
          <w:b/>
          <w:color w:val="auto"/>
          <w:sz w:val="28"/>
          <w:lang w:val="en-US"/>
        </w:rPr>
      </w:pPr>
    </w:p>
    <w:p>
      <w:pPr>
        <w:pStyle w:val="6"/>
        <w:spacing w:before="10"/>
        <w:rPr>
          <w:rFonts w:hint="eastAsia"/>
          <w:b/>
          <w:color w:val="auto"/>
          <w:sz w:val="21"/>
        </w:rPr>
      </w:pPr>
    </w:p>
    <w:p>
      <w:pPr>
        <w:pStyle w:val="6"/>
        <w:spacing w:before="10"/>
        <w:rPr>
          <w:rFonts w:hint="eastAsia"/>
          <w:b/>
          <w:color w:val="auto"/>
          <w:sz w:val="21"/>
        </w:rPr>
      </w:pPr>
    </w:p>
    <w:p>
      <w:pPr>
        <w:pStyle w:val="6"/>
        <w:spacing w:before="10"/>
        <w:rPr>
          <w:rFonts w:hint="eastAsia"/>
          <w:b/>
          <w:color w:val="auto"/>
          <w:sz w:val="21"/>
        </w:rPr>
      </w:pPr>
    </w:p>
    <w:p>
      <w:pPr>
        <w:pStyle w:val="6"/>
        <w:spacing w:before="10"/>
        <w:rPr>
          <w:rFonts w:hint="eastAsia"/>
          <w:b/>
          <w:color w:val="auto"/>
          <w:sz w:val="21"/>
        </w:rPr>
      </w:pPr>
    </w:p>
    <w:p>
      <w:pPr>
        <w:spacing w:line="242" w:lineRule="auto"/>
        <w:jc w:val="center"/>
        <w:rPr>
          <w:rFonts w:hint="eastAsia"/>
          <w:b/>
          <w:color w:val="auto"/>
          <w:sz w:val="28"/>
        </w:rPr>
      </w:pPr>
      <w:r>
        <w:rPr>
          <w:rFonts w:hint="eastAsia"/>
          <w:b/>
          <w:color w:val="auto"/>
          <w:sz w:val="28"/>
        </w:rPr>
        <w:t>附录</w:t>
      </w:r>
      <w:r>
        <w:rPr>
          <w:rFonts w:hint="eastAsia"/>
          <w:b/>
          <w:color w:val="auto"/>
          <w:spacing w:val="-72"/>
          <w:sz w:val="28"/>
        </w:rPr>
        <w:t xml:space="preserve"> </w:t>
      </w:r>
      <w:r>
        <w:rPr>
          <w:rFonts w:hint="eastAsia"/>
          <w:b/>
          <w:color w:val="auto"/>
          <w:sz w:val="28"/>
        </w:rPr>
        <w:t>5</w:t>
      </w:r>
      <w:r>
        <w:rPr>
          <w:rFonts w:hint="eastAsia"/>
          <w:b/>
          <w:color w:val="auto"/>
          <w:sz w:val="28"/>
        </w:rPr>
        <w:tab/>
      </w:r>
      <w:r>
        <w:rPr>
          <w:rFonts w:hint="eastAsia"/>
          <w:b/>
          <w:color w:val="auto"/>
          <w:sz w:val="28"/>
        </w:rPr>
        <w:t>资格审查条件（项目经理和项目总工最低要求）</w:t>
      </w:r>
    </w:p>
    <w:tbl>
      <w:tblPr>
        <w:tblStyle w:val="13"/>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1558"/>
        <w:gridCol w:w="2890"/>
        <w:gridCol w:w="2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670" w:type="dxa"/>
            <w:noWrap w:val="0"/>
            <w:vAlign w:val="top"/>
          </w:tcPr>
          <w:p>
            <w:pPr>
              <w:pStyle w:val="17"/>
              <w:tabs>
                <w:tab w:val="left" w:pos="432"/>
              </w:tabs>
              <w:spacing w:before="171"/>
              <w:ind w:left="9"/>
              <w:jc w:val="center"/>
              <w:rPr>
                <w:rFonts w:hint="eastAsia"/>
                <w:color w:val="auto"/>
                <w:sz w:val="21"/>
              </w:rPr>
            </w:pPr>
            <w:r>
              <w:rPr>
                <w:rFonts w:hint="eastAsia"/>
                <w:color w:val="auto"/>
                <w:sz w:val="21"/>
              </w:rPr>
              <w:t>人</w:t>
            </w:r>
            <w:r>
              <w:rPr>
                <w:rFonts w:hint="eastAsia"/>
                <w:color w:val="auto"/>
                <w:sz w:val="21"/>
              </w:rPr>
              <w:tab/>
            </w:r>
            <w:r>
              <w:rPr>
                <w:rFonts w:hint="eastAsia"/>
                <w:color w:val="auto"/>
                <w:sz w:val="21"/>
              </w:rPr>
              <w:t>员</w:t>
            </w:r>
          </w:p>
        </w:tc>
        <w:tc>
          <w:tcPr>
            <w:tcW w:w="1558" w:type="dxa"/>
            <w:noWrap w:val="0"/>
            <w:vAlign w:val="top"/>
          </w:tcPr>
          <w:p>
            <w:pPr>
              <w:pStyle w:val="17"/>
              <w:tabs>
                <w:tab w:val="left" w:pos="883"/>
              </w:tabs>
              <w:spacing w:before="171"/>
              <w:ind w:left="460"/>
              <w:rPr>
                <w:rFonts w:hint="eastAsia"/>
                <w:color w:val="auto"/>
                <w:sz w:val="21"/>
              </w:rPr>
            </w:pPr>
            <w:r>
              <w:rPr>
                <w:rFonts w:hint="eastAsia"/>
                <w:color w:val="auto"/>
                <w:sz w:val="21"/>
              </w:rPr>
              <w:t>数</w:t>
            </w:r>
            <w:r>
              <w:rPr>
                <w:rFonts w:hint="eastAsia"/>
                <w:color w:val="auto"/>
                <w:sz w:val="21"/>
              </w:rPr>
              <w:tab/>
            </w:r>
            <w:r>
              <w:rPr>
                <w:rFonts w:hint="eastAsia"/>
                <w:color w:val="auto"/>
                <w:sz w:val="21"/>
              </w:rPr>
              <w:t>量</w:t>
            </w:r>
          </w:p>
        </w:tc>
        <w:tc>
          <w:tcPr>
            <w:tcW w:w="2890" w:type="dxa"/>
            <w:noWrap w:val="0"/>
            <w:vAlign w:val="top"/>
          </w:tcPr>
          <w:p>
            <w:pPr>
              <w:pStyle w:val="17"/>
              <w:spacing w:before="171"/>
              <w:ind w:left="866"/>
              <w:rPr>
                <w:rFonts w:hint="eastAsia"/>
                <w:color w:val="auto"/>
                <w:sz w:val="21"/>
              </w:rPr>
            </w:pPr>
            <w:r>
              <w:rPr>
                <w:rFonts w:hint="eastAsia"/>
                <w:color w:val="auto"/>
                <w:sz w:val="21"/>
              </w:rPr>
              <w:t>资 格 要 求</w:t>
            </w:r>
          </w:p>
        </w:tc>
        <w:tc>
          <w:tcPr>
            <w:tcW w:w="2888" w:type="dxa"/>
            <w:noWrap w:val="0"/>
            <w:vAlign w:val="top"/>
          </w:tcPr>
          <w:p>
            <w:pPr>
              <w:pStyle w:val="17"/>
              <w:spacing w:before="171"/>
              <w:ind w:left="1001" w:right="996"/>
              <w:jc w:val="center"/>
              <w:rPr>
                <w:rFonts w:hint="eastAsia"/>
                <w:color w:val="auto"/>
                <w:sz w:val="21"/>
              </w:rPr>
            </w:pPr>
            <w:r>
              <w:rPr>
                <w:rFonts w:hint="eastAsia"/>
                <w:color w:val="auto"/>
                <w:sz w:val="21"/>
              </w:rPr>
              <w:t>在岗要求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1670" w:type="dxa"/>
            <w:noWrap w:val="0"/>
            <w:vAlign w:val="center"/>
          </w:tcPr>
          <w:p>
            <w:pPr>
              <w:pStyle w:val="17"/>
              <w:spacing w:before="157"/>
              <w:ind w:left="12"/>
              <w:jc w:val="center"/>
              <w:rPr>
                <w:rFonts w:hint="eastAsia"/>
                <w:color w:val="auto"/>
                <w:sz w:val="21"/>
              </w:rPr>
            </w:pPr>
            <w:r>
              <w:rPr>
                <w:rFonts w:hint="eastAsia"/>
                <w:color w:val="auto"/>
                <w:sz w:val="21"/>
              </w:rPr>
              <w:t>项目经理</w:t>
            </w:r>
          </w:p>
        </w:tc>
        <w:tc>
          <w:tcPr>
            <w:tcW w:w="1558" w:type="dxa"/>
            <w:noWrap w:val="0"/>
            <w:vAlign w:val="center"/>
          </w:tcPr>
          <w:p>
            <w:pPr>
              <w:pStyle w:val="17"/>
              <w:jc w:val="center"/>
              <w:rPr>
                <w:rFonts w:hint="eastAsia"/>
                <w:color w:val="auto"/>
                <w:sz w:val="20"/>
              </w:rPr>
            </w:pPr>
            <w:r>
              <w:rPr>
                <w:rFonts w:hint="eastAsia"/>
                <w:color w:val="auto"/>
                <w:sz w:val="20"/>
              </w:rPr>
              <w:t>1</w:t>
            </w:r>
          </w:p>
        </w:tc>
        <w:tc>
          <w:tcPr>
            <w:tcW w:w="2890" w:type="dxa"/>
            <w:noWrap w:val="0"/>
            <w:vAlign w:val="center"/>
          </w:tcPr>
          <w:p>
            <w:pPr>
              <w:pStyle w:val="17"/>
              <w:spacing w:before="157"/>
              <w:ind w:left="12" w:firstLine="420" w:firstLineChars="200"/>
              <w:jc w:val="both"/>
              <w:rPr>
                <w:rFonts w:hint="eastAsia"/>
                <w:color w:val="auto"/>
                <w:sz w:val="21"/>
              </w:rPr>
            </w:pPr>
            <w:r>
              <w:rPr>
                <w:rFonts w:hint="eastAsia"/>
                <w:color w:val="auto"/>
                <w:sz w:val="21"/>
              </w:rPr>
              <w:t>见招标公告</w:t>
            </w:r>
          </w:p>
        </w:tc>
        <w:tc>
          <w:tcPr>
            <w:tcW w:w="2888" w:type="dxa"/>
            <w:vMerge w:val="restart"/>
            <w:noWrap w:val="0"/>
            <w:vAlign w:val="center"/>
          </w:tcPr>
          <w:p>
            <w:pPr>
              <w:pStyle w:val="17"/>
              <w:spacing w:before="1" w:line="302" w:lineRule="auto"/>
              <w:ind w:left="105" w:right="95"/>
              <w:jc w:val="both"/>
              <w:rPr>
                <w:rFonts w:hint="eastAsia"/>
                <w:b/>
                <w:color w:val="auto"/>
                <w:sz w:val="21"/>
              </w:rPr>
            </w:pPr>
            <w:r>
              <w:rPr>
                <w:rFonts w:hint="eastAsia"/>
                <w:b/>
                <w:color w:val="auto"/>
                <w:spacing w:val="-14"/>
                <w:sz w:val="21"/>
              </w:rPr>
              <w:t>无在岗项目</w:t>
            </w:r>
            <w:r>
              <w:rPr>
                <w:rFonts w:hint="eastAsia"/>
                <w:b/>
                <w:color w:val="auto"/>
                <w:sz w:val="21"/>
              </w:rPr>
              <w:t>（</w:t>
            </w:r>
            <w:r>
              <w:rPr>
                <w:rFonts w:hint="eastAsia"/>
                <w:b/>
                <w:color w:val="auto"/>
                <w:spacing w:val="-3"/>
                <w:sz w:val="21"/>
              </w:rPr>
              <w:t>指目前未在其他</w:t>
            </w:r>
            <w:r>
              <w:rPr>
                <w:rFonts w:hint="eastAsia"/>
                <w:b/>
                <w:color w:val="auto"/>
                <w:spacing w:val="-10"/>
                <w:sz w:val="21"/>
              </w:rPr>
              <w:t>项目上任职，或虽在其他项目</w:t>
            </w:r>
            <w:r>
              <w:rPr>
                <w:rFonts w:hint="eastAsia"/>
                <w:b/>
                <w:color w:val="auto"/>
                <w:spacing w:val="8"/>
                <w:sz w:val="21"/>
              </w:rPr>
              <w:t>上任职但本项目中标后能够</w:t>
            </w:r>
            <w:r>
              <w:rPr>
                <w:rFonts w:hint="eastAsia"/>
                <w:b/>
                <w:color w:val="auto"/>
                <w:sz w:val="21"/>
              </w:rPr>
              <w:t>从该项目撤离）。</w:t>
            </w:r>
            <w:r>
              <w:rPr>
                <w:rFonts w:hint="eastAsia"/>
                <w:b/>
                <w:color w:val="auto"/>
                <w:spacing w:val="-14"/>
                <w:sz w:val="21"/>
              </w:rPr>
              <w:t>如项目经理或项目总工目前仍在其他项目上任职，则投标人在投标时应提供由该项目发包人出具的、承诺上述人员能够从该项目撤离的书面证明材料原件。如投标时不提供证明材料原件的，发生有在建工程投诉或反映，作</w:t>
            </w:r>
            <w:r>
              <w:rPr>
                <w:rFonts w:hint="eastAsia"/>
                <w:b/>
                <w:color w:val="auto"/>
                <w:spacing w:val="-14"/>
                <w:sz w:val="21"/>
                <w:lang w:eastAsia="zh-CN"/>
              </w:rPr>
              <w:t>无效标</w:t>
            </w:r>
            <w:r>
              <w:rPr>
                <w:rFonts w:hint="eastAsia"/>
                <w:b/>
                <w:color w:val="auto"/>
                <w:spacing w:val="-14"/>
                <w:sz w:val="21"/>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1670" w:type="dxa"/>
            <w:noWrap w:val="0"/>
            <w:vAlign w:val="center"/>
          </w:tcPr>
          <w:p>
            <w:pPr>
              <w:pStyle w:val="17"/>
              <w:spacing w:before="157"/>
              <w:ind w:left="12"/>
              <w:jc w:val="center"/>
              <w:rPr>
                <w:rFonts w:hint="eastAsia"/>
                <w:color w:val="auto"/>
                <w:sz w:val="21"/>
              </w:rPr>
            </w:pPr>
            <w:r>
              <w:rPr>
                <w:rFonts w:hint="eastAsia"/>
                <w:color w:val="auto"/>
                <w:sz w:val="21"/>
              </w:rPr>
              <w:t>总工</w:t>
            </w:r>
          </w:p>
        </w:tc>
        <w:tc>
          <w:tcPr>
            <w:tcW w:w="1558" w:type="dxa"/>
            <w:noWrap w:val="0"/>
            <w:vAlign w:val="center"/>
          </w:tcPr>
          <w:p>
            <w:pPr>
              <w:pStyle w:val="17"/>
              <w:jc w:val="center"/>
              <w:rPr>
                <w:rFonts w:hint="eastAsia"/>
                <w:color w:val="auto"/>
                <w:sz w:val="20"/>
              </w:rPr>
            </w:pPr>
            <w:r>
              <w:rPr>
                <w:rFonts w:hint="eastAsia"/>
                <w:color w:val="auto"/>
                <w:sz w:val="20"/>
              </w:rPr>
              <w:t>1</w:t>
            </w:r>
          </w:p>
        </w:tc>
        <w:tc>
          <w:tcPr>
            <w:tcW w:w="2890" w:type="dxa"/>
            <w:noWrap w:val="0"/>
            <w:vAlign w:val="center"/>
          </w:tcPr>
          <w:p>
            <w:pPr>
              <w:pStyle w:val="17"/>
              <w:spacing w:before="157"/>
              <w:ind w:left="12" w:firstLine="420" w:firstLineChars="200"/>
              <w:jc w:val="both"/>
              <w:rPr>
                <w:rFonts w:hint="eastAsia"/>
                <w:color w:val="auto"/>
                <w:sz w:val="21"/>
              </w:rPr>
            </w:pPr>
            <w:r>
              <w:rPr>
                <w:rFonts w:hint="eastAsia"/>
                <w:color w:val="auto"/>
                <w:sz w:val="21"/>
              </w:rPr>
              <w:t>见招标公告</w:t>
            </w:r>
          </w:p>
        </w:tc>
        <w:tc>
          <w:tcPr>
            <w:tcW w:w="2888" w:type="dxa"/>
            <w:vMerge w:val="continue"/>
            <w:tcBorders>
              <w:top w:val="nil"/>
            </w:tcBorders>
            <w:noWrap w:val="0"/>
            <w:vAlign w:val="top"/>
          </w:tcPr>
          <w:p>
            <w:pPr>
              <w:rPr>
                <w:rFonts w:hint="eastAsia"/>
                <w:color w:val="auto"/>
                <w:sz w:val="2"/>
                <w:szCs w:val="2"/>
              </w:rPr>
            </w:pPr>
          </w:p>
        </w:tc>
      </w:tr>
    </w:tbl>
    <w:p>
      <w:pPr>
        <w:pStyle w:val="6"/>
        <w:spacing w:before="10"/>
        <w:rPr>
          <w:rFonts w:hint="eastAsia"/>
          <w:b/>
          <w:color w:val="auto"/>
          <w:sz w:val="21"/>
          <w:lang w:eastAsia="zh-CN"/>
        </w:rPr>
      </w:pPr>
      <w:r>
        <w:rPr>
          <w:rFonts w:hint="eastAsia"/>
          <w:b/>
          <w:color w:val="auto"/>
          <w:sz w:val="21"/>
        </w:rPr>
        <w:t>注：</w:t>
      </w:r>
    </w:p>
    <w:p>
      <w:pPr>
        <w:pStyle w:val="6"/>
        <w:spacing w:before="10"/>
        <w:rPr>
          <w:rFonts w:hint="eastAsia"/>
          <w:b/>
          <w:color w:val="auto"/>
          <w:sz w:val="21"/>
        </w:rPr>
      </w:pPr>
      <w:r>
        <w:rPr>
          <w:rFonts w:hint="eastAsia"/>
          <w:b/>
          <w:color w:val="auto"/>
          <w:sz w:val="21"/>
          <w:lang w:eastAsia="zh-CN"/>
        </w:rPr>
        <w:t>1、</w:t>
      </w:r>
      <w:r>
        <w:rPr>
          <w:rFonts w:hint="eastAsia"/>
          <w:b/>
          <w:color w:val="auto"/>
          <w:sz w:val="21"/>
        </w:rPr>
        <w:t>项目经理不得同时在两个或者两个以上单位受聘或者执业：</w:t>
      </w:r>
    </w:p>
    <w:p>
      <w:pPr>
        <w:pStyle w:val="6"/>
        <w:spacing w:before="10"/>
        <w:rPr>
          <w:rFonts w:hint="eastAsia" w:eastAsia="宋体"/>
          <w:b/>
          <w:color w:val="auto"/>
          <w:sz w:val="21"/>
        </w:rPr>
      </w:pPr>
      <w:r>
        <w:rPr>
          <w:rFonts w:hint="eastAsia" w:eastAsia="宋体"/>
          <w:b/>
          <w:color w:val="auto"/>
          <w:sz w:val="21"/>
        </w:rPr>
        <w:t>a.同时在两个及以上单位签订劳动合同或交纳社会保险；</w:t>
      </w:r>
    </w:p>
    <w:p>
      <w:pPr>
        <w:pStyle w:val="6"/>
        <w:spacing w:before="10"/>
        <w:rPr>
          <w:rFonts w:hint="eastAsia" w:eastAsia="宋体"/>
          <w:b/>
          <w:color w:val="auto"/>
          <w:sz w:val="21"/>
        </w:rPr>
      </w:pPr>
      <w:r>
        <w:rPr>
          <w:rFonts w:hint="eastAsia" w:eastAsia="宋体"/>
          <w:b/>
          <w:color w:val="auto"/>
          <w:sz w:val="21"/>
        </w:rPr>
        <w:t>b.将本人执（职）业资格证书同时注册在两个及以上单位（以国家职业资格目录为准）；</w:t>
      </w:r>
    </w:p>
    <w:p>
      <w:pPr>
        <w:pStyle w:val="6"/>
        <w:spacing w:before="10"/>
        <w:rPr>
          <w:rFonts w:hint="eastAsia"/>
          <w:b/>
          <w:color w:val="auto"/>
          <w:sz w:val="21"/>
          <w:lang w:eastAsia="zh-CN"/>
        </w:rPr>
      </w:pPr>
      <w:r>
        <w:rPr>
          <w:rFonts w:hint="eastAsia"/>
          <w:b/>
          <w:color w:val="auto"/>
          <w:sz w:val="21"/>
          <w:szCs w:val="21"/>
        </w:rPr>
        <w:t>否则资格审查不予通过。</w:t>
      </w:r>
    </w:p>
    <w:p>
      <w:pPr>
        <w:pStyle w:val="6"/>
        <w:spacing w:before="10"/>
        <w:rPr>
          <w:rFonts w:hint="eastAsia"/>
          <w:color w:val="auto"/>
          <w:sz w:val="21"/>
          <w:lang w:eastAsia="zh-CN"/>
        </w:rPr>
      </w:pPr>
    </w:p>
    <w:p>
      <w:pPr>
        <w:spacing w:line="312" w:lineRule="auto"/>
        <w:jc w:val="center"/>
        <w:rPr>
          <w:rFonts w:hint="eastAsia"/>
          <w:b/>
          <w:color w:val="auto"/>
          <w:sz w:val="28"/>
        </w:rPr>
      </w:pPr>
      <w:r>
        <w:rPr>
          <w:rFonts w:hint="eastAsia"/>
          <w:b/>
          <w:color w:val="auto"/>
          <w:sz w:val="28"/>
        </w:rPr>
        <w:t>附录</w:t>
      </w:r>
      <w:r>
        <w:rPr>
          <w:rFonts w:hint="eastAsia"/>
          <w:b/>
          <w:color w:val="auto"/>
          <w:spacing w:val="-72"/>
          <w:sz w:val="28"/>
        </w:rPr>
        <w:t xml:space="preserve"> </w:t>
      </w:r>
      <w:r>
        <w:rPr>
          <w:rFonts w:hint="eastAsia"/>
          <w:b/>
          <w:color w:val="auto"/>
          <w:sz w:val="28"/>
        </w:rPr>
        <w:t>6</w:t>
      </w:r>
      <w:r>
        <w:rPr>
          <w:rFonts w:hint="eastAsia"/>
          <w:b/>
          <w:color w:val="auto"/>
          <w:sz w:val="28"/>
        </w:rPr>
        <w:tab/>
      </w:r>
      <w:r>
        <w:rPr>
          <w:rFonts w:hint="eastAsia"/>
          <w:b/>
          <w:color w:val="auto"/>
          <w:sz w:val="28"/>
        </w:rPr>
        <w:t>资格审查条件（其他管理和技术人员最低要求）</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5"/>
        <w:gridCol w:w="2118"/>
        <w:gridCol w:w="4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35" w:type="dxa"/>
            <w:noWrap w:val="0"/>
            <w:vAlign w:val="center"/>
          </w:tcPr>
          <w:p>
            <w:pPr>
              <w:spacing w:line="312" w:lineRule="auto"/>
              <w:jc w:val="center"/>
              <w:rPr>
                <w:rFonts w:hint="eastAsia"/>
                <w:color w:val="auto"/>
                <w:sz w:val="21"/>
                <w:szCs w:val="21"/>
              </w:rPr>
            </w:pPr>
            <w:r>
              <w:rPr>
                <w:rFonts w:hint="eastAsia"/>
                <w:color w:val="auto"/>
                <w:sz w:val="21"/>
                <w:szCs w:val="21"/>
              </w:rPr>
              <w:t>人员</w:t>
            </w:r>
          </w:p>
        </w:tc>
        <w:tc>
          <w:tcPr>
            <w:tcW w:w="2118" w:type="dxa"/>
            <w:noWrap w:val="0"/>
            <w:vAlign w:val="center"/>
          </w:tcPr>
          <w:p>
            <w:pPr>
              <w:spacing w:line="312" w:lineRule="auto"/>
              <w:jc w:val="center"/>
              <w:rPr>
                <w:rFonts w:hint="eastAsia"/>
                <w:color w:val="auto"/>
                <w:sz w:val="21"/>
                <w:szCs w:val="21"/>
              </w:rPr>
            </w:pPr>
            <w:r>
              <w:rPr>
                <w:rFonts w:hint="eastAsia"/>
                <w:color w:val="auto"/>
                <w:sz w:val="21"/>
                <w:szCs w:val="21"/>
              </w:rPr>
              <w:t>数量</w:t>
            </w:r>
          </w:p>
        </w:tc>
        <w:tc>
          <w:tcPr>
            <w:tcW w:w="4353" w:type="dxa"/>
            <w:noWrap w:val="0"/>
            <w:vAlign w:val="center"/>
          </w:tcPr>
          <w:p>
            <w:pPr>
              <w:spacing w:line="312" w:lineRule="auto"/>
              <w:jc w:val="center"/>
              <w:rPr>
                <w:rFonts w:hint="eastAsia"/>
                <w:color w:val="auto"/>
                <w:sz w:val="21"/>
                <w:szCs w:val="21"/>
              </w:rPr>
            </w:pPr>
            <w:r>
              <w:rPr>
                <w:rFonts w:hint="eastAsia"/>
                <w:color w:val="auto"/>
                <w:sz w:val="21"/>
                <w:szCs w:val="21"/>
              </w:rPr>
              <w:t>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35" w:type="dxa"/>
            <w:noWrap w:val="0"/>
            <w:vAlign w:val="center"/>
          </w:tcPr>
          <w:p>
            <w:pPr>
              <w:spacing w:line="312" w:lineRule="auto"/>
              <w:jc w:val="center"/>
              <w:rPr>
                <w:rFonts w:hint="eastAsia"/>
                <w:color w:val="auto"/>
                <w:sz w:val="21"/>
                <w:szCs w:val="21"/>
              </w:rPr>
            </w:pPr>
            <w:r>
              <w:rPr>
                <w:rFonts w:hint="eastAsia"/>
                <w:b/>
                <w:color w:val="auto"/>
              </w:rPr>
              <w:t>安全员</w:t>
            </w:r>
          </w:p>
        </w:tc>
        <w:tc>
          <w:tcPr>
            <w:tcW w:w="2118" w:type="dxa"/>
            <w:noWrap w:val="0"/>
            <w:vAlign w:val="center"/>
          </w:tcPr>
          <w:p>
            <w:pPr>
              <w:spacing w:line="312" w:lineRule="auto"/>
              <w:jc w:val="center"/>
              <w:rPr>
                <w:rFonts w:hint="eastAsia"/>
                <w:color w:val="auto"/>
                <w:sz w:val="21"/>
                <w:szCs w:val="21"/>
              </w:rPr>
            </w:pPr>
            <w:r>
              <w:rPr>
                <w:rFonts w:hint="eastAsia"/>
                <w:color w:val="auto"/>
                <w:sz w:val="21"/>
                <w:szCs w:val="21"/>
              </w:rPr>
              <w:t>≥1</w:t>
            </w:r>
          </w:p>
        </w:tc>
        <w:tc>
          <w:tcPr>
            <w:tcW w:w="4353" w:type="dxa"/>
            <w:noWrap w:val="0"/>
            <w:vAlign w:val="center"/>
          </w:tcPr>
          <w:p>
            <w:pPr>
              <w:spacing w:line="312" w:lineRule="auto"/>
              <w:jc w:val="both"/>
              <w:rPr>
                <w:rFonts w:hint="eastAsia"/>
                <w:color w:val="auto"/>
                <w:sz w:val="21"/>
                <w:szCs w:val="21"/>
              </w:rPr>
            </w:pPr>
            <w:r>
              <w:rPr>
                <w:rFonts w:hint="eastAsia"/>
                <w:color w:val="auto"/>
                <w:sz w:val="21"/>
                <w:szCs w:val="21"/>
              </w:rPr>
              <w:t>必须是投标人本单位正式职工，专职安全管理人员（不少于1名）应具有交通行政主管部门核发的《公路水运工程施工企业主要负责人和安全生产管理人员安全生产考核合格证书》（C类证）。</w:t>
            </w:r>
          </w:p>
        </w:tc>
      </w:tr>
    </w:tbl>
    <w:p>
      <w:pPr>
        <w:rPr>
          <w:rFonts w:hint="eastAsia"/>
          <w:color w:val="auto"/>
          <w:sz w:val="28"/>
        </w:rPr>
      </w:pPr>
      <w:r>
        <w:rPr>
          <w:rFonts w:hint="eastAsia"/>
          <w:b/>
          <w:color w:val="auto"/>
        </w:rPr>
        <w:t>备注：本项目要求投标人投入的专职安全员暂规定为不少于1名。在合同实施阶段，承包人应按照《公路水运工程安全生产监督管理办法》的规定，投入相应数量的专职安全员。</w:t>
      </w:r>
    </w:p>
    <w:p>
      <w:pPr>
        <w:spacing w:line="312" w:lineRule="auto"/>
        <w:jc w:val="center"/>
        <w:rPr>
          <w:rFonts w:hint="eastAsia"/>
          <w:b/>
          <w:color w:val="auto"/>
          <w:sz w:val="28"/>
        </w:rPr>
      </w:pPr>
    </w:p>
    <w:p>
      <w:pPr>
        <w:pStyle w:val="6"/>
        <w:rPr>
          <w:rFonts w:hint="eastAsia"/>
          <w:b/>
          <w:color w:val="auto"/>
          <w:sz w:val="28"/>
        </w:rPr>
      </w:pPr>
    </w:p>
    <w:p>
      <w:pPr>
        <w:rPr>
          <w:rFonts w:hint="eastAsia"/>
          <w:color w:val="auto"/>
        </w:rPr>
      </w:pPr>
    </w:p>
    <w:p>
      <w:pPr>
        <w:spacing w:line="312" w:lineRule="auto"/>
        <w:jc w:val="center"/>
        <w:rPr>
          <w:rFonts w:hint="eastAsia"/>
          <w:b/>
          <w:color w:val="auto"/>
          <w:sz w:val="28"/>
        </w:rPr>
      </w:pPr>
    </w:p>
    <w:p>
      <w:pPr>
        <w:spacing w:line="312" w:lineRule="auto"/>
        <w:jc w:val="center"/>
        <w:rPr>
          <w:rFonts w:hint="eastAsia"/>
          <w:b/>
          <w:color w:val="auto"/>
          <w:sz w:val="28"/>
        </w:rPr>
      </w:pPr>
    </w:p>
    <w:p>
      <w:pPr>
        <w:spacing w:line="312" w:lineRule="auto"/>
        <w:jc w:val="center"/>
        <w:rPr>
          <w:rFonts w:hint="eastAsia"/>
          <w:b/>
          <w:color w:val="auto"/>
          <w:sz w:val="28"/>
        </w:rPr>
      </w:pPr>
      <w:r>
        <w:rPr>
          <w:rFonts w:hint="eastAsia"/>
          <w:b/>
          <w:color w:val="auto"/>
          <w:sz w:val="28"/>
        </w:rPr>
        <w:t>附录7其他要求</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22" w:type="dxa"/>
            <w:noWrap w:val="0"/>
            <w:vAlign w:val="center"/>
          </w:tcPr>
          <w:p>
            <w:pPr>
              <w:pStyle w:val="18"/>
              <w:spacing w:line="360" w:lineRule="exact"/>
              <w:ind w:firstLine="422" w:firstLineChars="200"/>
              <w:jc w:val="both"/>
              <w:rPr>
                <w:rFonts w:hint="eastAsia"/>
                <w:b/>
                <w:color w:val="auto"/>
                <w:sz w:val="21"/>
                <w:szCs w:val="21"/>
              </w:rPr>
            </w:pPr>
            <w:r>
              <w:rPr>
                <w:rFonts w:hint="eastAsia"/>
                <w:b/>
                <w:color w:val="auto"/>
                <w:sz w:val="21"/>
                <w:szCs w:val="21"/>
                <w:lang w:val="zh-CN" w:bidi="zh-CN"/>
              </w:rPr>
              <w:t>1、</w:t>
            </w:r>
            <w:r>
              <w:rPr>
                <w:rFonts w:hint="eastAsia"/>
                <w:b/>
                <w:color w:val="auto"/>
                <w:sz w:val="21"/>
                <w:szCs w:val="21"/>
              </w:rPr>
              <w:t>招标人不接受投标人的企业法定代表人或总经理担任本项目的项目经理、技术负责人及其他任何职务，否则资格审查不予通过。</w:t>
            </w:r>
          </w:p>
          <w:p>
            <w:pPr>
              <w:autoSpaceDE/>
              <w:autoSpaceDN/>
              <w:adjustRightInd w:val="0"/>
              <w:snapToGrid w:val="0"/>
              <w:spacing w:line="420" w:lineRule="exact"/>
              <w:ind w:firstLine="422" w:firstLineChars="200"/>
              <w:rPr>
                <w:rFonts w:hint="eastAsia"/>
                <w:b/>
                <w:color w:val="auto"/>
                <w:sz w:val="21"/>
                <w:szCs w:val="21"/>
                <w:lang w:val="en-US" w:bidi="ar-SA"/>
              </w:rPr>
            </w:pPr>
            <w:r>
              <w:rPr>
                <w:rFonts w:hint="eastAsia"/>
                <w:b/>
                <w:color w:val="auto"/>
                <w:sz w:val="21"/>
                <w:szCs w:val="21"/>
                <w:lang w:val="en-US" w:bidi="ar-SA"/>
              </w:rPr>
              <w:t>2、投标申请人须保证项目部主要组成人员（包括项目经理、项目总工、专职安全员）及授权委托人（可为项目部主要组成人员）均为本单位的正式职工，并确保自202</w:t>
            </w:r>
            <w:r>
              <w:rPr>
                <w:rFonts w:hint="eastAsia"/>
                <w:b/>
                <w:color w:val="auto"/>
                <w:sz w:val="21"/>
                <w:szCs w:val="21"/>
                <w:lang w:val="en-US" w:eastAsia="zh-CN" w:bidi="ar-SA"/>
              </w:rPr>
              <w:t>2</w:t>
            </w:r>
            <w:r>
              <w:rPr>
                <w:rFonts w:hint="eastAsia"/>
                <w:b/>
                <w:color w:val="auto"/>
                <w:sz w:val="21"/>
                <w:szCs w:val="21"/>
                <w:lang w:val="en-US" w:bidi="ar-SA"/>
              </w:rPr>
              <w:t>年</w:t>
            </w:r>
            <w:r>
              <w:rPr>
                <w:rFonts w:hint="eastAsia"/>
                <w:b/>
                <w:color w:val="auto"/>
                <w:sz w:val="21"/>
                <w:szCs w:val="21"/>
                <w:lang w:val="en-US" w:eastAsia="zh-CN" w:bidi="ar-SA"/>
              </w:rPr>
              <w:t>2</w:t>
            </w:r>
            <w:r>
              <w:rPr>
                <w:rFonts w:hint="eastAsia"/>
                <w:b/>
                <w:color w:val="auto"/>
                <w:sz w:val="21"/>
                <w:szCs w:val="21"/>
                <w:lang w:val="en-US" w:bidi="ar-SA"/>
              </w:rPr>
              <w:t>月份（含</w:t>
            </w:r>
            <w:r>
              <w:rPr>
                <w:rFonts w:hint="eastAsia"/>
                <w:b/>
                <w:color w:val="auto"/>
                <w:sz w:val="21"/>
                <w:szCs w:val="21"/>
                <w:lang w:val="en-US" w:eastAsia="zh-CN" w:bidi="ar-SA"/>
              </w:rPr>
              <w:t>2</w:t>
            </w:r>
            <w:r>
              <w:rPr>
                <w:rFonts w:hint="eastAsia"/>
                <w:b/>
                <w:color w:val="auto"/>
                <w:sz w:val="21"/>
                <w:szCs w:val="21"/>
                <w:lang w:val="en-US" w:bidi="ar-SA"/>
              </w:rPr>
              <w:t>月份）以来任意连续6 个月均已在本单位缴纳养老保险。投标时无需提供缴费记录证明，中标候选人公示前、异议（投诉）提出时相关单位需提供缴费记录证明原件（事业单位需提供人社部门出具的该单位及项目组人员事业性质证明原件）给招标人核验。</w:t>
            </w:r>
          </w:p>
          <w:p>
            <w:pPr>
              <w:pStyle w:val="18"/>
              <w:spacing w:line="360" w:lineRule="exact"/>
              <w:ind w:firstLine="422" w:firstLineChars="200"/>
              <w:jc w:val="both"/>
              <w:rPr>
                <w:rFonts w:hint="eastAsia"/>
                <w:b/>
                <w:color w:val="auto"/>
                <w:sz w:val="21"/>
                <w:szCs w:val="21"/>
              </w:rPr>
            </w:pPr>
            <w:r>
              <w:rPr>
                <w:rFonts w:hint="eastAsia"/>
                <w:b/>
                <w:color w:val="auto"/>
                <w:sz w:val="21"/>
                <w:szCs w:val="21"/>
              </w:rPr>
              <w:t>注：投标申请人通过补交养老保险等方式使得项目部主要组成人员（至少包括项目经理、项目总工、专职安全员）及授权委托人的参保符合招标文件要求的不予认可。如申请人注册所在地人力资源和社会保障部门明确的最大查询期与招标公告、招标文件规定的月份不一致时，须提供相应的文件规定。</w:t>
            </w:r>
          </w:p>
          <w:p>
            <w:pPr>
              <w:spacing w:line="312" w:lineRule="auto"/>
              <w:ind w:firstLine="75"/>
              <w:rPr>
                <w:rFonts w:hint="eastAsia"/>
                <w:color w:val="auto"/>
                <w:sz w:val="21"/>
                <w:szCs w:val="21"/>
              </w:rPr>
            </w:pPr>
            <w:r>
              <w:rPr>
                <w:rFonts w:hint="eastAsia"/>
                <w:b/>
                <w:color w:val="auto"/>
                <w:sz w:val="21"/>
                <w:szCs w:val="21"/>
              </w:rPr>
              <w:t xml:space="preserve">   3、与招标人存在利害关系可能影响招标公正性的单位，不得参加投标。a.为招标人不具有独立法人资格的附属机构（单位）；b.与招标人存在利害关系且可能影响招标公正性；c.与本标段的其他投标人同为一个单位负责人；d.与本标段的其他投标人存在控股、管理关系；e.为本标段前期准备提供设计或咨询服务的法人或其任何附属机构（单位）；f.为本标段的监理人；g.为本标段的代建人；a.为本标段的招标代理机构；h.与本标段的监理人或代建人或招标代理机构同为一个法定代表人；i.与本标段的监理人或代建人或招标代理机构存在控股或参股关系；j.法律法规或投标人须知前附表规定的其他情形。</w:t>
            </w:r>
          </w:p>
        </w:tc>
      </w:tr>
    </w:tbl>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spacing w:line="400" w:lineRule="exact"/>
        <w:outlineLvl w:val="1"/>
        <w:rPr>
          <w:rFonts w:eastAsia="黑体"/>
          <w:b/>
          <w:color w:val="auto"/>
          <w:sz w:val="28"/>
        </w:rPr>
      </w:pPr>
      <w:bookmarkStart w:id="6" w:name="_Toc458764402"/>
      <w:bookmarkStart w:id="7" w:name="_Toc406585740"/>
      <w:r>
        <w:rPr>
          <w:rFonts w:eastAsia="黑体"/>
          <w:b/>
          <w:color w:val="auto"/>
          <w:sz w:val="28"/>
        </w:rPr>
        <w:t>1. 总则</w:t>
      </w:r>
      <w:bookmarkEnd w:id="6"/>
      <w:bookmarkEnd w:id="7"/>
      <w:bookmarkStart w:id="8" w:name="_Toc152042306"/>
      <w:bookmarkStart w:id="9" w:name="_Toc179632547"/>
      <w:bookmarkStart w:id="10" w:name="_Toc144974498"/>
      <w:bookmarkStart w:id="11" w:name="_Toc152045530"/>
    </w:p>
    <w:p>
      <w:pPr>
        <w:spacing w:line="400" w:lineRule="exact"/>
        <w:rPr>
          <w:rFonts w:eastAsia="黑体"/>
          <w:color w:val="auto"/>
          <w:sz w:val="21"/>
          <w:szCs w:val="21"/>
        </w:rPr>
      </w:pPr>
      <w:r>
        <w:rPr>
          <w:rFonts w:eastAsia="黑体"/>
          <w:color w:val="auto"/>
          <w:sz w:val="21"/>
          <w:szCs w:val="21"/>
        </w:rPr>
        <w:t>1.1 项目概况</w:t>
      </w:r>
      <w:bookmarkEnd w:id="8"/>
      <w:bookmarkEnd w:id="9"/>
      <w:bookmarkEnd w:id="10"/>
      <w:bookmarkEnd w:id="11"/>
    </w:p>
    <w:p>
      <w:pPr>
        <w:spacing w:line="400" w:lineRule="exact"/>
        <w:ind w:firstLine="420" w:firstLineChars="200"/>
        <w:rPr>
          <w:color w:val="auto"/>
          <w:sz w:val="21"/>
          <w:szCs w:val="21"/>
        </w:rPr>
      </w:pPr>
      <w:r>
        <w:rPr>
          <w:color w:val="auto"/>
          <w:sz w:val="21"/>
          <w:szCs w:val="21"/>
        </w:rPr>
        <w:t>1.1.1根</w:t>
      </w:r>
      <w:r>
        <w:rPr>
          <w:rFonts w:hint="eastAsia"/>
          <w:color w:val="auto"/>
          <w:sz w:val="21"/>
          <w:szCs w:val="21"/>
        </w:rPr>
        <w:t>据《中华人民共和国招标投标法》、《中华人民共和国招标投标法实施条例》、《公路工程建设项目招标投标管理办法》</w:t>
      </w:r>
      <w:r>
        <w:rPr>
          <w:color w:val="auto"/>
          <w:sz w:val="21"/>
          <w:szCs w:val="21"/>
        </w:rPr>
        <w:t>等有关法律、法规和规章的规定，本招标项目已具备招标条件，现对本标段施工进行招标。</w:t>
      </w:r>
    </w:p>
    <w:p>
      <w:pPr>
        <w:spacing w:line="400" w:lineRule="exact"/>
        <w:ind w:firstLine="420" w:firstLineChars="200"/>
        <w:rPr>
          <w:rFonts w:hint="eastAsia"/>
          <w:color w:val="auto"/>
          <w:sz w:val="21"/>
          <w:szCs w:val="21"/>
        </w:rPr>
      </w:pPr>
      <w:r>
        <w:rPr>
          <w:color w:val="auto"/>
          <w:sz w:val="21"/>
          <w:szCs w:val="21"/>
        </w:rPr>
        <w:t>1.1.2 本招标项目招标人：见投标人须知前附表。</w:t>
      </w:r>
    </w:p>
    <w:p>
      <w:pPr>
        <w:spacing w:line="400" w:lineRule="exact"/>
        <w:ind w:firstLine="420" w:firstLineChars="200"/>
        <w:rPr>
          <w:rFonts w:hint="eastAsia"/>
          <w:color w:val="auto"/>
          <w:sz w:val="21"/>
          <w:szCs w:val="21"/>
        </w:rPr>
      </w:pPr>
      <w:r>
        <w:rPr>
          <w:rFonts w:hint="eastAsia"/>
          <w:color w:val="auto"/>
          <w:sz w:val="21"/>
          <w:szCs w:val="21"/>
        </w:rPr>
        <w:t>1.1.3 本招标项目招标代理机构：见投标人须知前附表。</w:t>
      </w:r>
    </w:p>
    <w:p>
      <w:pPr>
        <w:spacing w:line="400" w:lineRule="exact"/>
        <w:ind w:firstLine="420" w:firstLineChars="200"/>
        <w:rPr>
          <w:color w:val="auto"/>
          <w:sz w:val="21"/>
          <w:szCs w:val="21"/>
        </w:rPr>
      </w:pPr>
      <w:r>
        <w:rPr>
          <w:color w:val="auto"/>
          <w:sz w:val="21"/>
          <w:szCs w:val="21"/>
        </w:rPr>
        <w:t>1.1.</w:t>
      </w:r>
      <w:r>
        <w:rPr>
          <w:rFonts w:hint="eastAsia"/>
          <w:color w:val="auto"/>
          <w:sz w:val="21"/>
          <w:szCs w:val="21"/>
        </w:rPr>
        <w:t>4</w:t>
      </w:r>
      <w:r>
        <w:rPr>
          <w:color w:val="auto"/>
          <w:sz w:val="21"/>
          <w:szCs w:val="21"/>
        </w:rPr>
        <w:t xml:space="preserve"> 本招标项目名称：见投标人须知前附表。</w:t>
      </w:r>
    </w:p>
    <w:p>
      <w:pPr>
        <w:spacing w:line="400" w:lineRule="exact"/>
        <w:ind w:firstLine="420" w:firstLineChars="200"/>
        <w:rPr>
          <w:color w:val="auto"/>
          <w:sz w:val="21"/>
          <w:szCs w:val="21"/>
        </w:rPr>
      </w:pPr>
      <w:r>
        <w:rPr>
          <w:color w:val="auto"/>
          <w:sz w:val="21"/>
          <w:szCs w:val="21"/>
        </w:rPr>
        <w:t>1.1.</w:t>
      </w:r>
      <w:r>
        <w:rPr>
          <w:rFonts w:hint="eastAsia"/>
          <w:color w:val="auto"/>
          <w:sz w:val="21"/>
          <w:szCs w:val="21"/>
        </w:rPr>
        <w:t>5</w:t>
      </w:r>
      <w:r>
        <w:rPr>
          <w:color w:val="auto"/>
          <w:sz w:val="21"/>
          <w:szCs w:val="21"/>
        </w:rPr>
        <w:t xml:space="preserve"> 本标段建设地点：见投标人须知前附表。</w:t>
      </w:r>
    </w:p>
    <w:p>
      <w:pPr>
        <w:spacing w:line="400" w:lineRule="exact"/>
        <w:rPr>
          <w:rFonts w:eastAsia="黑体"/>
          <w:color w:val="auto"/>
          <w:sz w:val="21"/>
          <w:szCs w:val="21"/>
        </w:rPr>
      </w:pPr>
      <w:bookmarkStart w:id="12" w:name="_Toc179632548"/>
      <w:bookmarkStart w:id="13" w:name="_Toc152045531"/>
      <w:bookmarkStart w:id="14" w:name="_Toc152042307"/>
      <w:bookmarkStart w:id="15" w:name="_Toc144974499"/>
      <w:r>
        <w:rPr>
          <w:rFonts w:eastAsia="黑体"/>
          <w:color w:val="auto"/>
          <w:sz w:val="21"/>
          <w:szCs w:val="21"/>
        </w:rPr>
        <w:t>1.2 资金来源和落实情况</w:t>
      </w:r>
      <w:bookmarkEnd w:id="12"/>
      <w:bookmarkEnd w:id="13"/>
      <w:bookmarkEnd w:id="14"/>
      <w:bookmarkEnd w:id="15"/>
    </w:p>
    <w:p>
      <w:pPr>
        <w:spacing w:line="400" w:lineRule="exact"/>
        <w:ind w:firstLine="420" w:firstLineChars="200"/>
        <w:rPr>
          <w:rFonts w:hint="eastAsia"/>
          <w:color w:val="auto"/>
          <w:sz w:val="21"/>
          <w:szCs w:val="21"/>
        </w:rPr>
      </w:pPr>
      <w:r>
        <w:rPr>
          <w:color w:val="auto"/>
          <w:sz w:val="21"/>
          <w:szCs w:val="21"/>
        </w:rPr>
        <w:t>1.2.1 本招标项目的资金来源：见投标人须知前附表。</w:t>
      </w:r>
    </w:p>
    <w:p>
      <w:pPr>
        <w:spacing w:line="400" w:lineRule="exact"/>
        <w:ind w:firstLine="420" w:firstLineChars="200"/>
        <w:rPr>
          <w:rFonts w:hint="eastAsia"/>
          <w:color w:val="auto"/>
          <w:sz w:val="21"/>
          <w:szCs w:val="21"/>
        </w:rPr>
      </w:pPr>
      <w:r>
        <w:rPr>
          <w:color w:val="auto"/>
          <w:sz w:val="21"/>
          <w:szCs w:val="21"/>
        </w:rPr>
        <w:t xml:space="preserve">1.2.2 </w:t>
      </w:r>
      <w:r>
        <w:rPr>
          <w:rFonts w:hint="eastAsia"/>
          <w:color w:val="auto"/>
          <w:sz w:val="21"/>
          <w:szCs w:val="21"/>
        </w:rPr>
        <w:t>资金落实情况：见投标人须知前附表。</w:t>
      </w:r>
    </w:p>
    <w:p>
      <w:pPr>
        <w:spacing w:line="400" w:lineRule="exact"/>
        <w:rPr>
          <w:rFonts w:eastAsia="黑体"/>
          <w:color w:val="auto"/>
          <w:sz w:val="21"/>
          <w:szCs w:val="21"/>
        </w:rPr>
      </w:pPr>
      <w:bookmarkStart w:id="16" w:name="_Toc144974500"/>
      <w:bookmarkStart w:id="17" w:name="_Toc152045532"/>
      <w:bookmarkStart w:id="18" w:name="_Toc152042308"/>
      <w:bookmarkStart w:id="19" w:name="_Toc179632549"/>
      <w:r>
        <w:rPr>
          <w:rFonts w:eastAsia="黑体"/>
          <w:color w:val="auto"/>
          <w:sz w:val="21"/>
          <w:szCs w:val="21"/>
        </w:rPr>
        <w:t>1.3 招标范围、计划工期和质量要求</w:t>
      </w:r>
      <w:bookmarkEnd w:id="16"/>
      <w:bookmarkEnd w:id="17"/>
      <w:bookmarkEnd w:id="18"/>
      <w:bookmarkEnd w:id="19"/>
    </w:p>
    <w:p>
      <w:pPr>
        <w:spacing w:line="400" w:lineRule="exact"/>
        <w:ind w:firstLine="420" w:firstLineChars="200"/>
        <w:rPr>
          <w:color w:val="auto"/>
          <w:sz w:val="21"/>
          <w:szCs w:val="21"/>
        </w:rPr>
      </w:pPr>
      <w:r>
        <w:rPr>
          <w:color w:val="auto"/>
          <w:sz w:val="21"/>
          <w:szCs w:val="21"/>
        </w:rPr>
        <w:t>1.3.1 本次招标范围：见投标人须知前附表。</w:t>
      </w:r>
    </w:p>
    <w:p>
      <w:pPr>
        <w:spacing w:line="400" w:lineRule="exact"/>
        <w:ind w:firstLine="420" w:firstLineChars="200"/>
        <w:rPr>
          <w:color w:val="auto"/>
          <w:sz w:val="21"/>
          <w:szCs w:val="21"/>
        </w:rPr>
      </w:pPr>
      <w:r>
        <w:rPr>
          <w:color w:val="auto"/>
          <w:sz w:val="21"/>
          <w:szCs w:val="21"/>
        </w:rPr>
        <w:t>1.3.2 本标段的计划工期：见投标人须知前附表。</w:t>
      </w:r>
    </w:p>
    <w:p>
      <w:pPr>
        <w:spacing w:line="400" w:lineRule="exact"/>
        <w:ind w:firstLine="420" w:firstLineChars="200"/>
        <w:rPr>
          <w:rFonts w:hint="eastAsia"/>
          <w:color w:val="auto"/>
          <w:sz w:val="21"/>
          <w:szCs w:val="21"/>
        </w:rPr>
      </w:pPr>
      <w:r>
        <w:rPr>
          <w:color w:val="auto"/>
          <w:sz w:val="21"/>
          <w:szCs w:val="21"/>
        </w:rPr>
        <w:t>1.3.3 本标段的质量要求：见投标人须知前附表。</w:t>
      </w:r>
      <w:bookmarkStart w:id="20" w:name="_Toc152045533"/>
      <w:bookmarkStart w:id="21" w:name="_Toc144974501"/>
      <w:bookmarkStart w:id="22" w:name="_Toc179632550"/>
      <w:bookmarkStart w:id="23" w:name="_Toc152042309"/>
    </w:p>
    <w:p>
      <w:pPr>
        <w:spacing w:line="400" w:lineRule="exact"/>
        <w:ind w:firstLine="420" w:firstLineChars="200"/>
        <w:rPr>
          <w:rFonts w:hint="eastAsia"/>
          <w:color w:val="auto"/>
          <w:sz w:val="21"/>
          <w:szCs w:val="21"/>
        </w:rPr>
      </w:pPr>
      <w:r>
        <w:rPr>
          <w:color w:val="auto"/>
          <w:sz w:val="21"/>
          <w:szCs w:val="21"/>
        </w:rPr>
        <w:t xml:space="preserve">1.3.4 </w:t>
      </w:r>
      <w:r>
        <w:rPr>
          <w:rFonts w:hint="eastAsia"/>
          <w:color w:val="auto"/>
          <w:sz w:val="21"/>
          <w:szCs w:val="21"/>
        </w:rPr>
        <w:t>本标段的安全目标：见投标人须知前附表。</w:t>
      </w:r>
    </w:p>
    <w:bookmarkEnd w:id="20"/>
    <w:bookmarkEnd w:id="21"/>
    <w:bookmarkEnd w:id="22"/>
    <w:bookmarkEnd w:id="23"/>
    <w:p>
      <w:pPr>
        <w:spacing w:line="400" w:lineRule="exact"/>
        <w:rPr>
          <w:rFonts w:eastAsia="黑体"/>
          <w:color w:val="auto"/>
          <w:sz w:val="21"/>
          <w:szCs w:val="21"/>
        </w:rPr>
      </w:pPr>
      <w:bookmarkStart w:id="24" w:name="_Toc179632551"/>
      <w:bookmarkStart w:id="25" w:name="_Toc152045534"/>
      <w:bookmarkStart w:id="26" w:name="_Toc152042310"/>
      <w:bookmarkStart w:id="27" w:name="_Toc144974502"/>
      <w:r>
        <w:rPr>
          <w:rFonts w:eastAsia="黑体"/>
          <w:color w:val="auto"/>
          <w:sz w:val="21"/>
          <w:szCs w:val="21"/>
        </w:rPr>
        <w:t>1.4 投标人资格要求</w:t>
      </w:r>
      <w:bookmarkEnd w:id="24"/>
      <w:bookmarkEnd w:id="25"/>
      <w:bookmarkEnd w:id="26"/>
      <w:bookmarkEnd w:id="27"/>
    </w:p>
    <w:p>
      <w:pPr>
        <w:spacing w:line="400" w:lineRule="exact"/>
        <w:ind w:firstLine="420" w:firstLineChars="200"/>
        <w:rPr>
          <w:rFonts w:hint="eastAsia"/>
          <w:color w:val="auto"/>
          <w:sz w:val="21"/>
          <w:szCs w:val="21"/>
        </w:rPr>
      </w:pPr>
      <w:bookmarkStart w:id="28" w:name="_Toc152045535"/>
      <w:bookmarkStart w:id="29" w:name="_Toc144974503"/>
      <w:bookmarkStart w:id="30" w:name="_Toc179632552"/>
      <w:bookmarkStart w:id="31" w:name="_Toc152042311"/>
      <w:r>
        <w:rPr>
          <w:rFonts w:hint="eastAsia"/>
          <w:color w:val="auto"/>
          <w:sz w:val="21"/>
          <w:szCs w:val="21"/>
        </w:rPr>
        <w:t>1.4.1 投标人应具备承担本标段施工的资质条件、能力和信誉。见投标人须知前附表。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w:t>
      </w:r>
      <w:r>
        <w:rPr>
          <w:rFonts w:hint="eastAsia"/>
          <w:color w:val="auto"/>
          <w:sz w:val="21"/>
          <w:szCs w:val="21"/>
        </w:rPr>
        <w:t>）资质要求：见投标人须知前附表；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2</w:t>
      </w:r>
      <w:r>
        <w:rPr>
          <w:rFonts w:hint="eastAsia"/>
          <w:color w:val="auto"/>
          <w:sz w:val="21"/>
          <w:szCs w:val="21"/>
        </w:rPr>
        <w:t>）财务要求：见投标人须知前附表；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3</w:t>
      </w:r>
      <w:r>
        <w:rPr>
          <w:rFonts w:hint="eastAsia"/>
          <w:color w:val="auto"/>
          <w:sz w:val="21"/>
          <w:szCs w:val="21"/>
        </w:rPr>
        <w:t>）业绩要求：见投标人须知前附表；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4</w:t>
      </w:r>
      <w:r>
        <w:rPr>
          <w:rFonts w:hint="eastAsia"/>
          <w:color w:val="auto"/>
          <w:sz w:val="21"/>
          <w:szCs w:val="21"/>
        </w:rPr>
        <w:t>）信誉要求：见投标人须知前附表；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5</w:t>
      </w:r>
      <w:r>
        <w:rPr>
          <w:rFonts w:hint="eastAsia"/>
          <w:color w:val="auto"/>
          <w:sz w:val="21"/>
          <w:szCs w:val="21"/>
        </w:rPr>
        <w:t>）项目经理资格：见投标人须知前附表；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6</w:t>
      </w:r>
      <w:r>
        <w:rPr>
          <w:rFonts w:hint="eastAsia"/>
          <w:color w:val="auto"/>
          <w:sz w:val="21"/>
          <w:szCs w:val="21"/>
        </w:rPr>
        <w:t>）其他要求：见投标人须知前附表。</w:t>
      </w:r>
    </w:p>
    <w:p>
      <w:pPr>
        <w:spacing w:line="400" w:lineRule="exact"/>
        <w:ind w:firstLine="420" w:firstLineChars="200"/>
        <w:rPr>
          <w:rFonts w:hint="eastAsia"/>
          <w:color w:val="auto"/>
          <w:sz w:val="21"/>
          <w:szCs w:val="21"/>
        </w:rPr>
      </w:pPr>
      <w:r>
        <w:rPr>
          <w:rFonts w:hint="eastAsia"/>
          <w:color w:val="auto"/>
          <w:sz w:val="21"/>
          <w:szCs w:val="21"/>
        </w:rPr>
        <w:t>需要提交的相关证明材料见本章第</w:t>
      </w:r>
      <w:r>
        <w:rPr>
          <w:color w:val="auto"/>
          <w:sz w:val="21"/>
          <w:szCs w:val="21"/>
        </w:rPr>
        <w:t xml:space="preserve"> 3.5 </w:t>
      </w:r>
      <w:r>
        <w:rPr>
          <w:rFonts w:hint="eastAsia"/>
          <w:color w:val="auto"/>
          <w:sz w:val="21"/>
          <w:szCs w:val="21"/>
        </w:rPr>
        <w:t>款的规定。</w:t>
      </w:r>
    </w:p>
    <w:p>
      <w:pPr>
        <w:spacing w:line="400" w:lineRule="exact"/>
        <w:ind w:firstLine="420" w:firstLineChars="200"/>
        <w:rPr>
          <w:rFonts w:hint="eastAsia"/>
          <w:color w:val="auto"/>
          <w:sz w:val="21"/>
          <w:szCs w:val="21"/>
        </w:rPr>
      </w:pPr>
      <w:r>
        <w:rPr>
          <w:rFonts w:hint="eastAsia"/>
          <w:color w:val="auto"/>
          <w:sz w:val="21"/>
          <w:szCs w:val="21"/>
        </w:rPr>
        <w:t>1.4.2 招标人接受联合体投标。</w:t>
      </w:r>
    </w:p>
    <w:p>
      <w:pPr>
        <w:spacing w:line="400" w:lineRule="exact"/>
        <w:ind w:firstLine="420" w:firstLineChars="200"/>
        <w:rPr>
          <w:rFonts w:hint="eastAsia"/>
          <w:color w:val="auto"/>
          <w:sz w:val="21"/>
          <w:szCs w:val="21"/>
        </w:rPr>
      </w:pPr>
      <w:r>
        <w:rPr>
          <w:rFonts w:hint="eastAsia"/>
          <w:color w:val="auto"/>
          <w:sz w:val="21"/>
          <w:szCs w:val="21"/>
        </w:rPr>
        <w:t>1.4.3 投标人（包括联合体各成员）不得与本标段相关单位存在下列关联关系：</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w:t>
      </w:r>
      <w:r>
        <w:rPr>
          <w:rFonts w:hint="eastAsia"/>
          <w:color w:val="auto"/>
          <w:sz w:val="21"/>
          <w:szCs w:val="21"/>
        </w:rPr>
        <w:t>）为招标人不具有独立法人资格的附属机构（单位）；</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2</w:t>
      </w:r>
      <w:r>
        <w:rPr>
          <w:rFonts w:hint="eastAsia"/>
          <w:color w:val="auto"/>
          <w:sz w:val="21"/>
          <w:szCs w:val="21"/>
        </w:rPr>
        <w:t>）与招标人存在利害关系且可能影响招标公正性；</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3</w:t>
      </w:r>
      <w:r>
        <w:rPr>
          <w:rFonts w:hint="eastAsia"/>
          <w:color w:val="auto"/>
          <w:sz w:val="21"/>
          <w:szCs w:val="21"/>
        </w:rPr>
        <w:t>）与本标段的其他投标人同为一个单位负责人；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4</w:t>
      </w:r>
      <w:r>
        <w:rPr>
          <w:rFonts w:hint="eastAsia"/>
          <w:color w:val="auto"/>
          <w:sz w:val="21"/>
          <w:szCs w:val="21"/>
        </w:rPr>
        <w:t>）与本标段的其他投标人存在控股、管理关系；</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5</w:t>
      </w:r>
      <w:r>
        <w:rPr>
          <w:rFonts w:hint="eastAsia"/>
          <w:color w:val="auto"/>
          <w:sz w:val="21"/>
          <w:szCs w:val="21"/>
        </w:rPr>
        <w:t>）为本标段前期准备提供设计或咨询服务的法人或其任何附属机构（单位）；</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6</w:t>
      </w:r>
      <w:r>
        <w:rPr>
          <w:rFonts w:hint="eastAsia"/>
          <w:color w:val="auto"/>
          <w:sz w:val="21"/>
          <w:szCs w:val="21"/>
        </w:rPr>
        <w:t>）为本标段的监理人；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7</w:t>
      </w:r>
      <w:r>
        <w:rPr>
          <w:rFonts w:hint="eastAsia"/>
          <w:color w:val="auto"/>
          <w:sz w:val="21"/>
          <w:szCs w:val="21"/>
        </w:rPr>
        <w:t>）为本标段的代建人；</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8</w:t>
      </w:r>
      <w:r>
        <w:rPr>
          <w:rFonts w:hint="eastAsia"/>
          <w:color w:val="auto"/>
          <w:sz w:val="21"/>
          <w:szCs w:val="21"/>
        </w:rPr>
        <w:t xml:space="preserve">）为本标段的招标代理机构；  </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9</w:t>
      </w:r>
      <w:r>
        <w:rPr>
          <w:rFonts w:hint="eastAsia"/>
          <w:color w:val="auto"/>
          <w:sz w:val="21"/>
          <w:szCs w:val="21"/>
        </w:rPr>
        <w:t>）与本标段的监理人或代建人或招标代理机构同为一个法定代表人；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10</w:t>
      </w:r>
      <w:r>
        <w:rPr>
          <w:rFonts w:hint="eastAsia"/>
          <w:color w:val="auto"/>
          <w:sz w:val="21"/>
          <w:szCs w:val="21"/>
        </w:rPr>
        <w:t>）与本标段的监理人或代建人或招标代理机构存在控股或参股关系；</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11</w:t>
      </w:r>
      <w:r>
        <w:rPr>
          <w:rFonts w:hint="eastAsia"/>
          <w:color w:val="auto"/>
          <w:sz w:val="21"/>
          <w:szCs w:val="21"/>
        </w:rPr>
        <w:t xml:space="preserve">）法律法规或投标人须知前附表规定的其他情形。  </w:t>
      </w:r>
    </w:p>
    <w:p>
      <w:pPr>
        <w:spacing w:line="400" w:lineRule="exact"/>
        <w:rPr>
          <w:rFonts w:eastAsia="黑体"/>
          <w:color w:val="auto"/>
          <w:sz w:val="21"/>
          <w:szCs w:val="21"/>
        </w:rPr>
      </w:pPr>
      <w:r>
        <w:rPr>
          <w:rFonts w:eastAsia="黑体"/>
          <w:color w:val="auto"/>
          <w:sz w:val="21"/>
          <w:szCs w:val="21"/>
        </w:rPr>
        <w:t>1.5 费用承担</w:t>
      </w:r>
      <w:bookmarkEnd w:id="28"/>
      <w:bookmarkEnd w:id="29"/>
      <w:bookmarkEnd w:id="30"/>
      <w:bookmarkEnd w:id="31"/>
    </w:p>
    <w:p>
      <w:pPr>
        <w:spacing w:line="400" w:lineRule="exact"/>
        <w:ind w:firstLine="420" w:firstLineChars="200"/>
        <w:rPr>
          <w:color w:val="auto"/>
          <w:sz w:val="21"/>
          <w:szCs w:val="21"/>
        </w:rPr>
      </w:pPr>
      <w:r>
        <w:rPr>
          <w:color w:val="auto"/>
          <w:sz w:val="21"/>
          <w:szCs w:val="21"/>
        </w:rPr>
        <w:t>投标人准备和参加投标活动发生的费用自理。</w:t>
      </w:r>
      <w:bookmarkStart w:id="32" w:name="_Toc144974504"/>
      <w:bookmarkStart w:id="33" w:name="_Toc179632553"/>
      <w:bookmarkStart w:id="34" w:name="_Toc152042312"/>
      <w:bookmarkStart w:id="35" w:name="_Toc152045536"/>
    </w:p>
    <w:p>
      <w:pPr>
        <w:spacing w:line="400" w:lineRule="exact"/>
        <w:rPr>
          <w:rFonts w:eastAsia="黑体"/>
          <w:color w:val="auto"/>
          <w:sz w:val="21"/>
          <w:szCs w:val="21"/>
        </w:rPr>
      </w:pPr>
      <w:r>
        <w:rPr>
          <w:rFonts w:eastAsia="黑体"/>
          <w:color w:val="auto"/>
          <w:sz w:val="21"/>
          <w:szCs w:val="21"/>
        </w:rPr>
        <w:t>1.6 保密</w:t>
      </w:r>
      <w:bookmarkEnd w:id="32"/>
      <w:bookmarkEnd w:id="33"/>
      <w:bookmarkEnd w:id="34"/>
      <w:bookmarkEnd w:id="35"/>
    </w:p>
    <w:p>
      <w:pPr>
        <w:spacing w:line="400" w:lineRule="exact"/>
        <w:ind w:firstLine="420" w:firstLineChars="200"/>
        <w:rPr>
          <w:color w:val="auto"/>
          <w:sz w:val="21"/>
          <w:szCs w:val="21"/>
        </w:rPr>
      </w:pPr>
      <w:r>
        <w:rPr>
          <w:color w:val="auto"/>
          <w:sz w:val="21"/>
          <w:szCs w:val="21"/>
        </w:rPr>
        <w:t>参与招标投标活动的各方应对招标文件和投标文件中的商业和技术等秘密保密，违者应对由此造成的后果承担法律责任。</w:t>
      </w:r>
      <w:bookmarkStart w:id="36" w:name="_Toc144974505"/>
      <w:bookmarkStart w:id="37" w:name="_Toc152042313"/>
      <w:bookmarkStart w:id="38" w:name="_Toc179632554"/>
      <w:bookmarkStart w:id="39" w:name="_Toc152045537"/>
    </w:p>
    <w:p>
      <w:pPr>
        <w:spacing w:line="400" w:lineRule="exact"/>
        <w:rPr>
          <w:rFonts w:eastAsia="黑体"/>
          <w:color w:val="auto"/>
          <w:sz w:val="21"/>
          <w:szCs w:val="21"/>
        </w:rPr>
      </w:pPr>
      <w:r>
        <w:rPr>
          <w:rFonts w:eastAsia="黑体"/>
          <w:color w:val="auto"/>
          <w:sz w:val="21"/>
          <w:szCs w:val="21"/>
        </w:rPr>
        <w:t>1.7 语言</w:t>
      </w:r>
      <w:bookmarkEnd w:id="36"/>
      <w:r>
        <w:rPr>
          <w:rFonts w:eastAsia="黑体"/>
          <w:color w:val="auto"/>
          <w:sz w:val="21"/>
          <w:szCs w:val="21"/>
        </w:rPr>
        <w:t>文字</w:t>
      </w:r>
      <w:bookmarkEnd w:id="37"/>
      <w:bookmarkEnd w:id="38"/>
      <w:bookmarkEnd w:id="39"/>
    </w:p>
    <w:p>
      <w:pPr>
        <w:spacing w:line="400" w:lineRule="exact"/>
        <w:ind w:firstLine="420" w:firstLineChars="200"/>
        <w:rPr>
          <w:color w:val="auto"/>
          <w:sz w:val="21"/>
          <w:szCs w:val="21"/>
        </w:rPr>
      </w:pPr>
      <w:r>
        <w:rPr>
          <w:color w:val="auto"/>
          <w:sz w:val="21"/>
          <w:szCs w:val="21"/>
        </w:rPr>
        <w:t>除专用术语外，与招标投标有关的语言均使用中文。必要时专用术语应附有中文注释。</w:t>
      </w:r>
      <w:bookmarkStart w:id="40" w:name="_Toc179632555"/>
      <w:bookmarkStart w:id="41" w:name="_Toc152045538"/>
      <w:bookmarkStart w:id="42" w:name="_Toc152042314"/>
      <w:bookmarkStart w:id="43" w:name="_Toc144974506"/>
    </w:p>
    <w:p>
      <w:pPr>
        <w:spacing w:line="400" w:lineRule="exact"/>
        <w:rPr>
          <w:rFonts w:eastAsia="黑体"/>
          <w:color w:val="auto"/>
          <w:sz w:val="21"/>
          <w:szCs w:val="21"/>
        </w:rPr>
      </w:pPr>
      <w:r>
        <w:rPr>
          <w:rFonts w:eastAsia="黑体"/>
          <w:color w:val="auto"/>
          <w:sz w:val="21"/>
          <w:szCs w:val="21"/>
        </w:rPr>
        <w:t>1.8 计量单位</w:t>
      </w:r>
      <w:bookmarkEnd w:id="40"/>
      <w:bookmarkEnd w:id="41"/>
      <w:bookmarkEnd w:id="42"/>
      <w:bookmarkEnd w:id="43"/>
    </w:p>
    <w:p>
      <w:pPr>
        <w:spacing w:line="400" w:lineRule="exact"/>
        <w:ind w:firstLine="420" w:firstLineChars="200"/>
        <w:rPr>
          <w:color w:val="auto"/>
          <w:sz w:val="21"/>
          <w:szCs w:val="21"/>
        </w:rPr>
      </w:pPr>
      <w:r>
        <w:rPr>
          <w:color w:val="auto"/>
          <w:sz w:val="21"/>
          <w:szCs w:val="21"/>
        </w:rPr>
        <w:t>所有计量均采用中华人民共和国法定计量单位。</w:t>
      </w:r>
      <w:bookmarkStart w:id="44" w:name="_Toc152042315"/>
      <w:bookmarkStart w:id="45" w:name="_Toc179632556"/>
      <w:bookmarkStart w:id="46" w:name="_Toc152045539"/>
      <w:bookmarkStart w:id="47" w:name="_Toc144974507"/>
    </w:p>
    <w:p>
      <w:pPr>
        <w:spacing w:line="400" w:lineRule="exact"/>
        <w:rPr>
          <w:rFonts w:eastAsia="黑体"/>
          <w:color w:val="auto"/>
          <w:sz w:val="21"/>
          <w:szCs w:val="21"/>
        </w:rPr>
      </w:pPr>
      <w:r>
        <w:rPr>
          <w:rFonts w:eastAsia="黑体"/>
          <w:color w:val="auto"/>
          <w:sz w:val="21"/>
          <w:szCs w:val="21"/>
        </w:rPr>
        <w:t>1.9 踏勘现场</w:t>
      </w:r>
      <w:bookmarkEnd w:id="44"/>
      <w:bookmarkEnd w:id="45"/>
      <w:bookmarkEnd w:id="46"/>
      <w:bookmarkEnd w:id="47"/>
    </w:p>
    <w:p>
      <w:pPr>
        <w:spacing w:line="400" w:lineRule="exact"/>
        <w:ind w:firstLine="420" w:firstLineChars="200"/>
        <w:rPr>
          <w:color w:val="auto"/>
          <w:sz w:val="21"/>
          <w:szCs w:val="21"/>
        </w:rPr>
      </w:pPr>
      <w:r>
        <w:rPr>
          <w:color w:val="auto"/>
          <w:sz w:val="21"/>
          <w:szCs w:val="21"/>
        </w:rPr>
        <w:t xml:space="preserve">1.9.1 投标人须知前附表规定组织踏勘现场的，招标人按投标人须知前附表规定的时间、地点组织投标人踏勘项目现场。 </w:t>
      </w:r>
    </w:p>
    <w:p>
      <w:pPr>
        <w:spacing w:line="400" w:lineRule="exact"/>
        <w:ind w:firstLine="420" w:firstLineChars="200"/>
        <w:rPr>
          <w:color w:val="auto"/>
          <w:sz w:val="21"/>
          <w:szCs w:val="21"/>
        </w:rPr>
      </w:pPr>
      <w:r>
        <w:rPr>
          <w:color w:val="auto"/>
          <w:sz w:val="21"/>
          <w:szCs w:val="21"/>
        </w:rPr>
        <w:t>1.9.2 投标人踏勘现场发生的费用自理。</w:t>
      </w:r>
    </w:p>
    <w:p>
      <w:pPr>
        <w:spacing w:line="400" w:lineRule="exact"/>
        <w:ind w:firstLine="420" w:firstLineChars="200"/>
        <w:rPr>
          <w:color w:val="auto"/>
          <w:sz w:val="21"/>
          <w:szCs w:val="21"/>
        </w:rPr>
      </w:pPr>
      <w:r>
        <w:rPr>
          <w:color w:val="auto"/>
          <w:sz w:val="21"/>
          <w:szCs w:val="21"/>
        </w:rPr>
        <w:t>1.9.3 除招标人的原因外，投标人自行负责在踏勘现场中所发生的人员伤亡和财产损失。</w:t>
      </w:r>
    </w:p>
    <w:p>
      <w:pPr>
        <w:spacing w:line="400" w:lineRule="exact"/>
        <w:ind w:firstLine="420" w:firstLineChars="200"/>
        <w:rPr>
          <w:color w:val="auto"/>
          <w:sz w:val="21"/>
          <w:szCs w:val="21"/>
        </w:rPr>
      </w:pPr>
      <w:r>
        <w:rPr>
          <w:color w:val="auto"/>
          <w:sz w:val="21"/>
          <w:szCs w:val="21"/>
        </w:rPr>
        <w:t>1.9.4 招标人在踏勘现场中介绍的工程场地和相关的周边环境情况，供投标人在编制投标文件时参考，招标人不对投标人据此作出的判断和决策负责。</w:t>
      </w:r>
    </w:p>
    <w:p>
      <w:pPr>
        <w:spacing w:line="400" w:lineRule="exact"/>
        <w:ind w:firstLine="420" w:firstLineChars="200"/>
        <w:rPr>
          <w:color w:val="auto"/>
          <w:sz w:val="21"/>
          <w:szCs w:val="21"/>
        </w:rPr>
      </w:pPr>
      <w:r>
        <w:rPr>
          <w:color w:val="auto"/>
          <w:sz w:val="21"/>
          <w:szCs w:val="21"/>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bookmarkStart w:id="48" w:name="_Toc179632557"/>
      <w:bookmarkStart w:id="49" w:name="_Toc144974508"/>
      <w:bookmarkStart w:id="50" w:name="_Toc152042316"/>
      <w:bookmarkStart w:id="51" w:name="_Toc152045540"/>
    </w:p>
    <w:p>
      <w:pPr>
        <w:spacing w:line="400" w:lineRule="exact"/>
        <w:rPr>
          <w:rFonts w:eastAsia="黑体"/>
          <w:color w:val="auto"/>
          <w:sz w:val="21"/>
          <w:szCs w:val="21"/>
        </w:rPr>
      </w:pPr>
      <w:r>
        <w:rPr>
          <w:rFonts w:eastAsia="黑体"/>
          <w:color w:val="auto"/>
          <w:sz w:val="21"/>
          <w:szCs w:val="21"/>
        </w:rPr>
        <w:t>1.10 投标预备会</w:t>
      </w:r>
      <w:bookmarkEnd w:id="48"/>
      <w:bookmarkEnd w:id="49"/>
      <w:bookmarkEnd w:id="50"/>
      <w:bookmarkEnd w:id="51"/>
    </w:p>
    <w:p>
      <w:pPr>
        <w:spacing w:line="400" w:lineRule="exact"/>
        <w:ind w:firstLine="420" w:firstLineChars="200"/>
        <w:rPr>
          <w:color w:val="auto"/>
          <w:sz w:val="21"/>
          <w:szCs w:val="21"/>
        </w:rPr>
      </w:pPr>
      <w:r>
        <w:rPr>
          <w:color w:val="auto"/>
          <w:sz w:val="21"/>
          <w:szCs w:val="21"/>
        </w:rPr>
        <w:t>1.10.1 投标人须知前附表规定召开投标预备会的，招标人按投标人须知前附表规定的时间和地点召开投标预备会，澄清投标人提出的问题。</w:t>
      </w:r>
    </w:p>
    <w:p>
      <w:pPr>
        <w:spacing w:line="400" w:lineRule="exact"/>
        <w:ind w:firstLine="420" w:firstLineChars="200"/>
        <w:rPr>
          <w:color w:val="auto"/>
          <w:sz w:val="21"/>
          <w:szCs w:val="21"/>
        </w:rPr>
      </w:pPr>
      <w:r>
        <w:rPr>
          <w:color w:val="auto"/>
          <w:sz w:val="21"/>
          <w:szCs w:val="21"/>
        </w:rPr>
        <w:t>1.10.2 投标人应在投标人须知前附表规定的时间前，以书面形式将提出的问题送达招标人，以便招标人在会议期间澄清。</w:t>
      </w:r>
    </w:p>
    <w:p>
      <w:pPr>
        <w:spacing w:line="400" w:lineRule="exact"/>
        <w:ind w:firstLine="420" w:firstLineChars="200"/>
        <w:rPr>
          <w:color w:val="auto"/>
          <w:sz w:val="21"/>
          <w:szCs w:val="21"/>
        </w:rPr>
      </w:pPr>
      <w:r>
        <w:rPr>
          <w:color w:val="auto"/>
          <w:sz w:val="21"/>
          <w:szCs w:val="21"/>
        </w:rPr>
        <w:t>1.10.3 投标预备会后，招标人在投标人须知前附表规定的时间内，将对投标人所提问题的澄清，以书面方式通知所有购买招标文件的投标人。该澄清内容为招标文件的组成部分。</w:t>
      </w:r>
      <w:bookmarkStart w:id="52" w:name="_Toc144974509"/>
      <w:bookmarkStart w:id="53" w:name="_Toc152045541"/>
      <w:bookmarkStart w:id="54" w:name="_Toc179632558"/>
      <w:bookmarkStart w:id="55" w:name="_Toc152042317"/>
    </w:p>
    <w:p>
      <w:pPr>
        <w:spacing w:line="400" w:lineRule="exact"/>
        <w:rPr>
          <w:rFonts w:eastAsia="黑体"/>
          <w:color w:val="auto"/>
          <w:sz w:val="21"/>
          <w:szCs w:val="21"/>
        </w:rPr>
      </w:pPr>
      <w:r>
        <w:rPr>
          <w:rFonts w:eastAsia="黑体"/>
          <w:color w:val="auto"/>
          <w:sz w:val="21"/>
          <w:szCs w:val="21"/>
        </w:rPr>
        <w:t>1.11 分包</w:t>
      </w:r>
      <w:bookmarkEnd w:id="52"/>
      <w:bookmarkEnd w:id="53"/>
      <w:bookmarkEnd w:id="54"/>
      <w:bookmarkEnd w:id="55"/>
    </w:p>
    <w:p>
      <w:pPr>
        <w:spacing w:line="400" w:lineRule="exact"/>
        <w:ind w:firstLine="567" w:firstLineChars="270"/>
        <w:rPr>
          <w:color w:val="auto"/>
          <w:sz w:val="21"/>
          <w:szCs w:val="21"/>
        </w:rPr>
      </w:pPr>
      <w:r>
        <w:rPr>
          <w:rFonts w:hint="eastAsia"/>
          <w:color w:val="auto"/>
          <w:sz w:val="21"/>
          <w:szCs w:val="21"/>
        </w:rPr>
        <w:t>本项目不允许分包，严禁转包。</w:t>
      </w:r>
    </w:p>
    <w:p>
      <w:pPr>
        <w:spacing w:line="400" w:lineRule="exact"/>
        <w:rPr>
          <w:rFonts w:eastAsia="黑体"/>
          <w:color w:val="auto"/>
          <w:sz w:val="21"/>
          <w:szCs w:val="21"/>
        </w:rPr>
      </w:pPr>
      <w:bookmarkStart w:id="56" w:name="_Toc179632559"/>
      <w:r>
        <w:rPr>
          <w:rFonts w:eastAsia="黑体"/>
          <w:color w:val="auto"/>
          <w:sz w:val="21"/>
          <w:szCs w:val="21"/>
        </w:rPr>
        <w:t>1.12 偏离</w:t>
      </w:r>
    </w:p>
    <w:p>
      <w:pPr>
        <w:spacing w:line="400" w:lineRule="exact"/>
        <w:ind w:firstLine="359" w:firstLineChars="171"/>
        <w:rPr>
          <w:color w:val="auto"/>
          <w:sz w:val="21"/>
          <w:szCs w:val="21"/>
        </w:rPr>
      </w:pPr>
      <w:r>
        <w:rPr>
          <w:rFonts w:hint="eastAsia"/>
          <w:color w:val="auto"/>
          <w:sz w:val="21"/>
          <w:szCs w:val="21"/>
        </w:rPr>
        <w:t>1.12.1</w:t>
      </w:r>
      <w:r>
        <w:rPr>
          <w:color w:val="auto"/>
          <w:sz w:val="21"/>
          <w:szCs w:val="21"/>
        </w:rPr>
        <w:t>投标人须知前附表允许投标文件偏离招标文件某些要求的，偏离应当符合招标文件规定的偏离范围和幅度。</w:t>
      </w:r>
    </w:p>
    <w:p>
      <w:pPr>
        <w:spacing w:line="400" w:lineRule="exact"/>
        <w:ind w:firstLine="359" w:firstLineChars="171"/>
        <w:rPr>
          <w:color w:val="auto"/>
          <w:sz w:val="21"/>
          <w:szCs w:val="21"/>
        </w:rPr>
      </w:pPr>
      <w:r>
        <w:rPr>
          <w:color w:val="auto"/>
          <w:sz w:val="21"/>
          <w:szCs w:val="21"/>
        </w:rPr>
        <w:t>偏离即偏差，偏差分重大偏差和细微偏差。</w:t>
      </w:r>
    </w:p>
    <w:p>
      <w:pPr>
        <w:spacing w:line="400" w:lineRule="exact"/>
        <w:ind w:firstLine="359" w:firstLineChars="171"/>
        <w:rPr>
          <w:rFonts w:hint="eastAsia"/>
          <w:color w:val="auto"/>
          <w:sz w:val="21"/>
          <w:szCs w:val="21"/>
        </w:rPr>
      </w:pPr>
      <w:r>
        <w:rPr>
          <w:rFonts w:hint="eastAsia"/>
          <w:color w:val="auto"/>
          <w:sz w:val="21"/>
          <w:szCs w:val="21"/>
        </w:rPr>
        <w:t>1.12.2 投标文件应对招标文件的实质性要求和条件作出满足性或更有利于招标人的响应，否则，视为投标文件存在重大偏差，投标人的投标将被否决。</w:t>
      </w:r>
    </w:p>
    <w:p>
      <w:pPr>
        <w:spacing w:line="400" w:lineRule="exact"/>
        <w:ind w:firstLine="359" w:firstLineChars="171"/>
        <w:rPr>
          <w:rFonts w:hint="eastAsia"/>
          <w:color w:val="auto"/>
          <w:sz w:val="21"/>
          <w:szCs w:val="21"/>
        </w:rPr>
      </w:pPr>
      <w:r>
        <w:rPr>
          <w:rFonts w:hint="eastAsia"/>
          <w:color w:val="auto"/>
          <w:sz w:val="21"/>
          <w:szCs w:val="21"/>
        </w:rPr>
        <w:t>投标文件存在第三章“评标办法”中所列任一否决投标情形的，均属于存在重大偏差。</w:t>
      </w:r>
    </w:p>
    <w:p>
      <w:pPr>
        <w:spacing w:line="400" w:lineRule="exact"/>
        <w:ind w:firstLine="359" w:firstLineChars="171"/>
        <w:rPr>
          <w:rFonts w:hint="eastAsia"/>
          <w:color w:val="auto"/>
          <w:sz w:val="21"/>
          <w:szCs w:val="21"/>
        </w:rPr>
      </w:pPr>
      <w:r>
        <w:rPr>
          <w:rFonts w:hint="eastAsia"/>
          <w:color w:val="auto"/>
          <w:sz w:val="21"/>
          <w:szCs w:val="21"/>
        </w:rPr>
        <w:t>1.12.3 投标文件中的下列偏差为细微偏差：</w:t>
      </w:r>
    </w:p>
    <w:p>
      <w:pPr>
        <w:numPr>
          <w:ilvl w:val="0"/>
          <w:numId w:val="3"/>
          <w:numberingChange w:id="0" w:author="作者" w:date="2016-04-14T16:50:00Z" w:original="（%1:1:0:）"/>
        </w:numPr>
        <w:autoSpaceDE/>
        <w:autoSpaceDN/>
        <w:spacing w:line="400" w:lineRule="exact"/>
        <w:ind w:firstLine="359" w:firstLineChars="171"/>
        <w:jc w:val="both"/>
        <w:rPr>
          <w:rFonts w:hint="eastAsia"/>
          <w:color w:val="auto"/>
          <w:sz w:val="21"/>
          <w:szCs w:val="21"/>
        </w:rPr>
      </w:pPr>
      <w:r>
        <w:rPr>
          <w:rFonts w:hint="eastAsia"/>
          <w:color w:val="auto"/>
          <w:sz w:val="21"/>
          <w:szCs w:val="21"/>
        </w:rPr>
        <w:t>在按照第三章“评标办法”第3.1.3款、3.1.4款的规定对投标价进行算术性错误修正及其他错误修正后，最终投标报价未超过投标控制价上限的情况下，出现第三章“评标办法”第3.1.3款、3.1.4款所列的投标报价的算术性错误和投标报价的其他错误；</w:t>
      </w:r>
    </w:p>
    <w:p>
      <w:pPr>
        <w:numPr>
          <w:ilvl w:val="0"/>
          <w:numId w:val="3"/>
        </w:numPr>
        <w:autoSpaceDE/>
        <w:autoSpaceDN/>
        <w:spacing w:line="400" w:lineRule="exact"/>
        <w:ind w:firstLine="359" w:firstLineChars="171"/>
        <w:jc w:val="both"/>
        <w:rPr>
          <w:rFonts w:hint="eastAsia"/>
          <w:color w:val="auto"/>
          <w:sz w:val="21"/>
          <w:szCs w:val="21"/>
        </w:rPr>
      </w:pPr>
      <w:r>
        <w:rPr>
          <w:color w:val="auto"/>
          <w:sz w:val="21"/>
          <w:szCs w:val="21"/>
        </w:rPr>
        <w:t>投标文件页码不连续、个别文字有遗漏错误等不影响投标文件实质性内容的偏差</w:t>
      </w:r>
      <w:r>
        <w:rPr>
          <w:rFonts w:hint="eastAsia"/>
          <w:color w:val="auto"/>
          <w:sz w:val="21"/>
          <w:szCs w:val="21"/>
        </w:rPr>
        <w:t>。</w:t>
      </w:r>
    </w:p>
    <w:p>
      <w:pPr>
        <w:spacing w:line="400" w:lineRule="exact"/>
        <w:rPr>
          <w:rFonts w:hint="eastAsia"/>
          <w:color w:val="auto"/>
          <w:sz w:val="21"/>
          <w:szCs w:val="21"/>
        </w:rPr>
      </w:pPr>
      <w:r>
        <w:rPr>
          <w:color w:val="auto"/>
          <w:sz w:val="21"/>
          <w:szCs w:val="21"/>
        </w:rPr>
        <w:t xml:space="preserve">  </w:t>
      </w:r>
      <w:r>
        <w:rPr>
          <w:rFonts w:hint="eastAsia"/>
          <w:color w:val="auto"/>
          <w:sz w:val="21"/>
          <w:szCs w:val="21"/>
        </w:rPr>
        <w:t xml:space="preserve">  1.12.4 评标委员会对投标文件中的细微偏差按如下规定处理：</w:t>
      </w:r>
    </w:p>
    <w:p>
      <w:pPr>
        <w:spacing w:line="400" w:lineRule="exact"/>
        <w:rPr>
          <w:rFonts w:hint="eastAsia"/>
          <w:color w:val="auto"/>
          <w:sz w:val="21"/>
          <w:szCs w:val="21"/>
        </w:rPr>
      </w:pPr>
      <w:r>
        <w:rPr>
          <w:rFonts w:hint="eastAsia"/>
          <w:color w:val="auto"/>
          <w:sz w:val="21"/>
          <w:szCs w:val="21"/>
        </w:rPr>
        <w:t xml:space="preserve">    （1）对于本章第1.12.3项（1）中所的细微偏差，按照第三章“评标办法”</w:t>
      </w:r>
      <w:r>
        <w:rPr>
          <w:color w:val="auto"/>
          <w:sz w:val="21"/>
          <w:szCs w:val="21"/>
        </w:rPr>
        <w:t>第</w:t>
      </w:r>
      <w:r>
        <w:rPr>
          <w:rFonts w:hint="eastAsia"/>
          <w:color w:val="auto"/>
          <w:sz w:val="21"/>
          <w:szCs w:val="21"/>
        </w:rPr>
        <w:t>3.1.3款</w:t>
      </w:r>
      <w:r>
        <w:rPr>
          <w:color w:val="auto"/>
          <w:sz w:val="21"/>
          <w:szCs w:val="21"/>
        </w:rPr>
        <w:t>、</w:t>
      </w:r>
      <w:r>
        <w:rPr>
          <w:rFonts w:hint="eastAsia"/>
          <w:color w:val="auto"/>
          <w:sz w:val="21"/>
          <w:szCs w:val="21"/>
        </w:rPr>
        <w:t>3.1.4</w:t>
      </w:r>
      <w:r>
        <w:rPr>
          <w:color w:val="auto"/>
          <w:sz w:val="21"/>
          <w:szCs w:val="21"/>
        </w:rPr>
        <w:t>款</w:t>
      </w:r>
      <w:r>
        <w:rPr>
          <w:rFonts w:hint="eastAsia"/>
          <w:color w:val="auto"/>
          <w:sz w:val="21"/>
          <w:szCs w:val="21"/>
        </w:rPr>
        <w:t>的规定予以修正并要求投标人进行澄清；</w:t>
      </w:r>
    </w:p>
    <w:p>
      <w:pPr>
        <w:spacing w:line="400" w:lineRule="exact"/>
        <w:rPr>
          <w:rFonts w:hint="eastAsia"/>
          <w:color w:val="auto"/>
          <w:sz w:val="21"/>
          <w:szCs w:val="21"/>
        </w:rPr>
      </w:pPr>
      <w:r>
        <w:rPr>
          <w:rFonts w:hint="eastAsia"/>
          <w:color w:val="auto"/>
          <w:sz w:val="21"/>
          <w:szCs w:val="21"/>
        </w:rPr>
        <w:t>（2）对于本章第1.12.3项（2）中所的细微偏差，如果采用合理低价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pPr>
        <w:spacing w:line="400" w:lineRule="exact"/>
        <w:rPr>
          <w:rFonts w:hint="eastAsia"/>
          <w:color w:val="auto"/>
          <w:sz w:val="21"/>
          <w:szCs w:val="21"/>
        </w:rPr>
      </w:pPr>
      <w:r>
        <w:rPr>
          <w:rFonts w:hint="eastAsia"/>
          <w:color w:val="auto"/>
          <w:sz w:val="21"/>
          <w:szCs w:val="21"/>
        </w:rPr>
        <w:t>（</w:t>
      </w:r>
      <w:r>
        <w:rPr>
          <w:color w:val="auto"/>
          <w:sz w:val="21"/>
          <w:szCs w:val="21"/>
        </w:rPr>
        <w:t>3</w:t>
      </w:r>
      <w:r>
        <w:rPr>
          <w:rFonts w:hint="eastAsia"/>
          <w:color w:val="auto"/>
          <w:sz w:val="21"/>
          <w:szCs w:val="21"/>
        </w:rPr>
        <w:t>）对于本章第</w:t>
      </w:r>
      <w:r>
        <w:rPr>
          <w:color w:val="auto"/>
          <w:sz w:val="21"/>
          <w:szCs w:val="21"/>
        </w:rPr>
        <w:t xml:space="preserve"> 1.12.3 </w:t>
      </w:r>
      <w:r>
        <w:rPr>
          <w:rFonts w:hint="eastAsia"/>
          <w:color w:val="auto"/>
          <w:sz w:val="21"/>
          <w:szCs w:val="21"/>
        </w:rPr>
        <w:t>项（</w:t>
      </w:r>
      <w:r>
        <w:rPr>
          <w:color w:val="auto"/>
          <w:sz w:val="21"/>
          <w:szCs w:val="21"/>
        </w:rPr>
        <w:t>3</w:t>
      </w:r>
      <w:r>
        <w:rPr>
          <w:rFonts w:hint="eastAsia"/>
          <w:color w:val="auto"/>
          <w:sz w:val="21"/>
          <w:szCs w:val="21"/>
        </w:rPr>
        <w:t>）目所述的细微偏差，可要求投标人对细微偏差进行澄清。</w:t>
      </w:r>
    </w:p>
    <w:p>
      <w:pPr>
        <w:spacing w:line="400" w:lineRule="exact"/>
        <w:rPr>
          <w:rFonts w:hint="eastAsia"/>
          <w:color w:val="auto"/>
          <w:sz w:val="21"/>
          <w:szCs w:val="21"/>
        </w:rPr>
      </w:pPr>
      <w:r>
        <w:rPr>
          <w:rFonts w:hint="eastAsia"/>
          <w:color w:val="auto"/>
          <w:sz w:val="21"/>
          <w:szCs w:val="21"/>
        </w:rPr>
        <w:t xml:space="preserve">1.12.5 </w:t>
      </w:r>
      <w:r>
        <w:rPr>
          <w:color w:val="auto"/>
          <w:sz w:val="21"/>
          <w:szCs w:val="21"/>
        </w:rPr>
        <w:t>投标人应根据招标文件的要求提供施工组织设计等内容以对招标文件作出响应。</w:t>
      </w:r>
    </w:p>
    <w:p>
      <w:pPr>
        <w:spacing w:line="400" w:lineRule="exact"/>
        <w:rPr>
          <w:rFonts w:hint="eastAsia"/>
          <w:color w:val="auto"/>
          <w:sz w:val="21"/>
          <w:szCs w:val="21"/>
        </w:rPr>
      </w:pPr>
      <w:r>
        <w:rPr>
          <w:color w:val="auto"/>
          <w:sz w:val="21"/>
          <w:szCs w:val="21"/>
        </w:rPr>
        <w:t xml:space="preserve">1.12.6 </w:t>
      </w:r>
      <w:r>
        <w:rPr>
          <w:rFonts w:hint="eastAsia"/>
          <w:color w:val="auto"/>
          <w:sz w:val="21"/>
          <w:szCs w:val="21"/>
        </w:rPr>
        <w:t>修正后的最终投标报价仅作为签订合同的一个依据，不参与评标基准价和评标得分的计算。</w:t>
      </w:r>
    </w:p>
    <w:bookmarkEnd w:id="56"/>
    <w:p>
      <w:pPr>
        <w:spacing w:line="400" w:lineRule="exact"/>
        <w:outlineLvl w:val="1"/>
        <w:rPr>
          <w:rFonts w:eastAsia="黑体"/>
          <w:b/>
          <w:color w:val="auto"/>
          <w:sz w:val="28"/>
        </w:rPr>
      </w:pPr>
      <w:bookmarkStart w:id="57" w:name="_Toc398968709"/>
      <w:bookmarkStart w:id="58" w:name="_Toc406585741"/>
      <w:bookmarkStart w:id="59" w:name="_Toc179632560"/>
      <w:bookmarkStart w:id="60" w:name="_Toc144974510"/>
      <w:bookmarkStart w:id="61" w:name="_Toc152045542"/>
      <w:bookmarkStart w:id="62" w:name="_Toc152042318"/>
      <w:bookmarkStart w:id="63" w:name="_Toc458764403"/>
      <w:r>
        <w:rPr>
          <w:rFonts w:eastAsia="黑体"/>
          <w:b/>
          <w:color w:val="auto"/>
          <w:sz w:val="28"/>
        </w:rPr>
        <w:t>2. 招标文件</w:t>
      </w:r>
      <w:bookmarkEnd w:id="57"/>
      <w:bookmarkEnd w:id="58"/>
      <w:bookmarkEnd w:id="59"/>
      <w:bookmarkEnd w:id="60"/>
      <w:bookmarkEnd w:id="61"/>
      <w:bookmarkEnd w:id="62"/>
      <w:bookmarkEnd w:id="63"/>
      <w:bookmarkStart w:id="64" w:name="_Toc179632561"/>
      <w:bookmarkStart w:id="65" w:name="_Toc152042319"/>
      <w:bookmarkStart w:id="66" w:name="_Toc144974511"/>
      <w:bookmarkStart w:id="67" w:name="_Toc152045543"/>
    </w:p>
    <w:p>
      <w:pPr>
        <w:spacing w:line="400" w:lineRule="exact"/>
        <w:rPr>
          <w:rFonts w:eastAsia="黑体"/>
          <w:b/>
          <w:color w:val="auto"/>
          <w:sz w:val="21"/>
          <w:szCs w:val="21"/>
        </w:rPr>
      </w:pPr>
      <w:r>
        <w:rPr>
          <w:rFonts w:eastAsia="黑体"/>
          <w:color w:val="auto"/>
          <w:sz w:val="21"/>
          <w:szCs w:val="21"/>
        </w:rPr>
        <w:t>2.1 招标文件的组成</w:t>
      </w:r>
      <w:bookmarkEnd w:id="64"/>
      <w:bookmarkEnd w:id="65"/>
      <w:bookmarkEnd w:id="66"/>
      <w:bookmarkEnd w:id="67"/>
    </w:p>
    <w:p>
      <w:pPr>
        <w:spacing w:line="400" w:lineRule="exact"/>
        <w:ind w:firstLine="420" w:firstLineChars="200"/>
        <w:rPr>
          <w:color w:val="auto"/>
          <w:sz w:val="21"/>
          <w:szCs w:val="21"/>
        </w:rPr>
      </w:pPr>
      <w:r>
        <w:rPr>
          <w:color w:val="auto"/>
          <w:sz w:val="21"/>
          <w:szCs w:val="21"/>
        </w:rPr>
        <w:t>本招标文件包括：</w:t>
      </w:r>
    </w:p>
    <w:p>
      <w:pPr>
        <w:spacing w:line="400" w:lineRule="exact"/>
        <w:ind w:firstLine="420" w:firstLineChars="200"/>
        <w:rPr>
          <w:color w:val="auto"/>
          <w:sz w:val="21"/>
          <w:szCs w:val="21"/>
        </w:rPr>
      </w:pPr>
      <w:r>
        <w:rPr>
          <w:color w:val="auto"/>
          <w:sz w:val="21"/>
          <w:szCs w:val="21"/>
        </w:rPr>
        <w:t>（1）招标公告（或投标邀请书）；</w:t>
      </w:r>
    </w:p>
    <w:p>
      <w:pPr>
        <w:spacing w:line="400" w:lineRule="exact"/>
        <w:ind w:firstLine="420" w:firstLineChars="200"/>
        <w:rPr>
          <w:color w:val="auto"/>
          <w:sz w:val="21"/>
          <w:szCs w:val="21"/>
        </w:rPr>
      </w:pPr>
      <w:r>
        <w:rPr>
          <w:color w:val="auto"/>
          <w:sz w:val="21"/>
          <w:szCs w:val="21"/>
        </w:rPr>
        <w:t>（2）投标人须知；</w:t>
      </w:r>
    </w:p>
    <w:p>
      <w:pPr>
        <w:spacing w:line="400" w:lineRule="exact"/>
        <w:ind w:firstLine="420" w:firstLineChars="200"/>
        <w:rPr>
          <w:color w:val="auto"/>
          <w:sz w:val="21"/>
          <w:szCs w:val="21"/>
        </w:rPr>
      </w:pPr>
      <w:r>
        <w:rPr>
          <w:color w:val="auto"/>
          <w:sz w:val="21"/>
          <w:szCs w:val="21"/>
        </w:rPr>
        <w:t>（3）评标办法；</w:t>
      </w:r>
    </w:p>
    <w:p>
      <w:pPr>
        <w:spacing w:line="400" w:lineRule="exact"/>
        <w:ind w:firstLine="420" w:firstLineChars="200"/>
        <w:rPr>
          <w:rFonts w:hint="eastAsia"/>
          <w:color w:val="auto"/>
          <w:sz w:val="21"/>
          <w:szCs w:val="21"/>
        </w:rPr>
      </w:pPr>
      <w:r>
        <w:rPr>
          <w:color w:val="auto"/>
          <w:sz w:val="21"/>
          <w:szCs w:val="21"/>
        </w:rPr>
        <w:t>（4）</w:t>
      </w:r>
      <w:r>
        <w:rPr>
          <w:rFonts w:hint="eastAsia"/>
          <w:color w:val="auto"/>
          <w:sz w:val="21"/>
          <w:szCs w:val="21"/>
        </w:rPr>
        <w:t>合同条款</w:t>
      </w:r>
    </w:p>
    <w:p>
      <w:pPr>
        <w:spacing w:line="400" w:lineRule="exact"/>
        <w:ind w:firstLine="420" w:firstLineChars="200"/>
        <w:rPr>
          <w:color w:val="auto"/>
          <w:sz w:val="21"/>
          <w:szCs w:val="21"/>
        </w:rPr>
      </w:pPr>
      <w:r>
        <w:rPr>
          <w:rFonts w:hint="eastAsia"/>
          <w:color w:val="auto"/>
          <w:sz w:val="21"/>
          <w:szCs w:val="21"/>
        </w:rPr>
        <w:t>（5）</w:t>
      </w:r>
      <w:r>
        <w:rPr>
          <w:color w:val="auto"/>
          <w:sz w:val="21"/>
          <w:szCs w:val="21"/>
        </w:rPr>
        <w:t>工程量清单；</w:t>
      </w:r>
    </w:p>
    <w:p>
      <w:pPr>
        <w:spacing w:line="400" w:lineRule="exact"/>
        <w:ind w:firstLine="420" w:firstLineChars="200"/>
        <w:rPr>
          <w:color w:val="auto"/>
          <w:sz w:val="21"/>
          <w:szCs w:val="21"/>
        </w:rPr>
      </w:pPr>
      <w:r>
        <w:rPr>
          <w:color w:val="auto"/>
          <w:sz w:val="21"/>
          <w:szCs w:val="21"/>
        </w:rPr>
        <w:t>（</w:t>
      </w:r>
      <w:r>
        <w:rPr>
          <w:rFonts w:hint="eastAsia"/>
          <w:color w:val="auto"/>
          <w:sz w:val="21"/>
          <w:szCs w:val="21"/>
        </w:rPr>
        <w:t>6</w:t>
      </w:r>
      <w:r>
        <w:rPr>
          <w:color w:val="auto"/>
          <w:sz w:val="21"/>
          <w:szCs w:val="21"/>
        </w:rPr>
        <w:t>）图纸</w:t>
      </w:r>
    </w:p>
    <w:p>
      <w:pPr>
        <w:spacing w:line="400" w:lineRule="exact"/>
        <w:ind w:firstLine="420" w:firstLineChars="200"/>
        <w:rPr>
          <w:rFonts w:hint="eastAsia"/>
          <w:color w:val="auto"/>
          <w:sz w:val="21"/>
          <w:szCs w:val="21"/>
        </w:rPr>
      </w:pPr>
      <w:r>
        <w:rPr>
          <w:color w:val="auto"/>
          <w:sz w:val="21"/>
          <w:szCs w:val="21"/>
        </w:rPr>
        <w:t>（</w:t>
      </w:r>
      <w:r>
        <w:rPr>
          <w:rFonts w:hint="eastAsia"/>
          <w:color w:val="auto"/>
          <w:sz w:val="21"/>
          <w:szCs w:val="21"/>
        </w:rPr>
        <w:t>7</w:t>
      </w:r>
      <w:r>
        <w:rPr>
          <w:color w:val="auto"/>
          <w:sz w:val="21"/>
          <w:szCs w:val="21"/>
        </w:rPr>
        <w:t>）</w:t>
      </w:r>
      <w:r>
        <w:rPr>
          <w:rFonts w:hint="eastAsia"/>
          <w:color w:val="auto"/>
          <w:sz w:val="21"/>
          <w:szCs w:val="21"/>
        </w:rPr>
        <w:t>技术规范</w:t>
      </w:r>
    </w:p>
    <w:p>
      <w:pPr>
        <w:spacing w:line="400" w:lineRule="exact"/>
        <w:ind w:firstLine="420" w:firstLineChars="200"/>
        <w:rPr>
          <w:color w:val="auto"/>
          <w:sz w:val="21"/>
          <w:szCs w:val="21"/>
        </w:rPr>
      </w:pPr>
      <w:r>
        <w:rPr>
          <w:color w:val="auto"/>
          <w:sz w:val="21"/>
          <w:szCs w:val="21"/>
        </w:rPr>
        <w:t>（8）工程量清单计量规则；</w:t>
      </w:r>
    </w:p>
    <w:p>
      <w:pPr>
        <w:spacing w:line="400" w:lineRule="exact"/>
        <w:ind w:firstLine="420" w:firstLineChars="200"/>
        <w:rPr>
          <w:color w:val="auto"/>
          <w:sz w:val="21"/>
          <w:szCs w:val="21"/>
        </w:rPr>
      </w:pPr>
      <w:r>
        <w:rPr>
          <w:color w:val="auto"/>
          <w:sz w:val="21"/>
          <w:szCs w:val="21"/>
        </w:rPr>
        <w:t>（9）投标文件格式；</w:t>
      </w:r>
    </w:p>
    <w:p>
      <w:pPr>
        <w:spacing w:line="400" w:lineRule="exact"/>
        <w:ind w:firstLine="420" w:firstLineChars="200"/>
        <w:rPr>
          <w:rFonts w:hint="eastAsia"/>
          <w:color w:val="auto"/>
          <w:sz w:val="21"/>
          <w:szCs w:val="21"/>
        </w:rPr>
      </w:pPr>
      <w:r>
        <w:rPr>
          <w:color w:val="auto"/>
          <w:sz w:val="21"/>
          <w:szCs w:val="21"/>
        </w:rPr>
        <w:t>（10）投标人须知前附表规定的其他资料。</w:t>
      </w:r>
    </w:p>
    <w:p>
      <w:pPr>
        <w:spacing w:line="400" w:lineRule="exact"/>
        <w:ind w:firstLine="420" w:firstLineChars="200"/>
        <w:rPr>
          <w:color w:val="auto"/>
          <w:sz w:val="21"/>
          <w:szCs w:val="21"/>
        </w:rPr>
      </w:pPr>
      <w:r>
        <w:rPr>
          <w:color w:val="auto"/>
          <w:sz w:val="21"/>
          <w:szCs w:val="21"/>
        </w:rPr>
        <w:t>根据本章第2.2款和第2.3款对招标文件所作的澄清、修改，构成招标文件的组成部分。</w:t>
      </w:r>
    </w:p>
    <w:p>
      <w:pPr>
        <w:spacing w:line="400" w:lineRule="exact"/>
        <w:ind w:firstLine="420" w:firstLineChars="200"/>
        <w:rPr>
          <w:color w:val="auto"/>
          <w:sz w:val="21"/>
          <w:szCs w:val="21"/>
        </w:rPr>
      </w:pPr>
      <w:r>
        <w:rPr>
          <w:color w:val="auto"/>
          <w:sz w:val="21"/>
          <w:szCs w:val="21"/>
        </w:rPr>
        <w:t>当招标文件、招标文件的澄清或修改等在同一内容的表述上不一致时，以最后发出的书面文件为准。</w:t>
      </w:r>
      <w:bookmarkStart w:id="68" w:name="_Toc152045544"/>
      <w:bookmarkStart w:id="69" w:name="_Toc152042320"/>
      <w:bookmarkStart w:id="70" w:name="_Toc179632562"/>
      <w:bookmarkStart w:id="71" w:name="_Toc144974512"/>
    </w:p>
    <w:p>
      <w:pPr>
        <w:spacing w:line="400" w:lineRule="exact"/>
        <w:rPr>
          <w:rFonts w:eastAsia="黑体"/>
          <w:color w:val="auto"/>
          <w:sz w:val="21"/>
          <w:szCs w:val="21"/>
        </w:rPr>
      </w:pPr>
      <w:r>
        <w:rPr>
          <w:rFonts w:eastAsia="黑体"/>
          <w:color w:val="auto"/>
          <w:sz w:val="21"/>
          <w:szCs w:val="21"/>
        </w:rPr>
        <w:t>2.2 招标文件的澄清</w:t>
      </w:r>
      <w:bookmarkEnd w:id="68"/>
      <w:bookmarkEnd w:id="69"/>
      <w:bookmarkEnd w:id="70"/>
      <w:bookmarkEnd w:id="71"/>
    </w:p>
    <w:p>
      <w:pPr>
        <w:spacing w:line="400" w:lineRule="exact"/>
        <w:ind w:firstLine="420" w:firstLineChars="200"/>
        <w:rPr>
          <w:color w:val="auto"/>
          <w:sz w:val="21"/>
          <w:szCs w:val="21"/>
        </w:rPr>
      </w:pPr>
      <w:r>
        <w:rPr>
          <w:color w:val="auto"/>
          <w:sz w:val="21"/>
          <w:szCs w:val="21"/>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spacing w:line="400" w:lineRule="exact"/>
        <w:ind w:firstLine="420" w:firstLineChars="200"/>
        <w:rPr>
          <w:color w:val="auto"/>
          <w:sz w:val="21"/>
          <w:szCs w:val="21"/>
        </w:rPr>
      </w:pPr>
      <w:r>
        <w:rPr>
          <w:color w:val="auto"/>
          <w:sz w:val="21"/>
          <w:szCs w:val="21"/>
        </w:rPr>
        <w:t xml:space="preserve">2.2.2 </w:t>
      </w:r>
      <w:r>
        <w:rPr>
          <w:rFonts w:hint="eastAsia"/>
          <w:color w:val="auto"/>
          <w:sz w:val="21"/>
          <w:szCs w:val="21"/>
        </w:rPr>
        <w:t>招标文件的澄清以投标人须知前附表规定的形式发给所有购买招标文件的投标人，但不指明澄清问题的来源。澄清发出的时间距本章第 4.2.1 项规定的投标截止时间不足3日，且澄清内容可能影响投标文件编制的，将相应延长投标截止时间。</w:t>
      </w:r>
    </w:p>
    <w:p>
      <w:pPr>
        <w:spacing w:line="400" w:lineRule="exact"/>
        <w:ind w:firstLine="420" w:firstLineChars="200"/>
        <w:rPr>
          <w:rFonts w:hint="eastAsia"/>
          <w:color w:val="auto"/>
          <w:sz w:val="21"/>
          <w:szCs w:val="21"/>
        </w:rPr>
      </w:pPr>
      <w:r>
        <w:rPr>
          <w:color w:val="auto"/>
          <w:sz w:val="21"/>
          <w:szCs w:val="21"/>
        </w:rPr>
        <w:t>2.2.3 投标人在收到澄清后，应在投标人须知前附表规定的时间内以书面形式通知招标人，确认已收到该澄清。</w:t>
      </w:r>
      <w:bookmarkStart w:id="72" w:name="_Toc179632563"/>
      <w:bookmarkStart w:id="73" w:name="_Toc152045545"/>
      <w:bookmarkStart w:id="74" w:name="_Toc144974513"/>
      <w:bookmarkStart w:id="75" w:name="_Toc152042321"/>
    </w:p>
    <w:p>
      <w:pPr>
        <w:spacing w:line="400" w:lineRule="exact"/>
        <w:ind w:firstLine="420" w:firstLineChars="200"/>
        <w:rPr>
          <w:color w:val="auto"/>
          <w:sz w:val="21"/>
          <w:szCs w:val="21"/>
        </w:rPr>
      </w:pPr>
      <w:r>
        <w:rPr>
          <w:rFonts w:hint="eastAsia"/>
          <w:color w:val="auto"/>
          <w:sz w:val="21"/>
          <w:szCs w:val="21"/>
        </w:rPr>
        <w:t xml:space="preserve">2.2.4 </w:t>
      </w:r>
      <w:r>
        <w:rPr>
          <w:color w:val="auto"/>
          <w:sz w:val="21"/>
          <w:szCs w:val="21"/>
        </w:rPr>
        <w:t>除非招标人认为确有必要答复，否则，招标人有权拒绝回复投标人在本章第 2.2.1 项规定的时间后提出的任何澄清要求。</w:t>
      </w:r>
    </w:p>
    <w:p>
      <w:pPr>
        <w:spacing w:line="400" w:lineRule="exact"/>
        <w:rPr>
          <w:rFonts w:eastAsia="黑体"/>
          <w:color w:val="auto"/>
          <w:sz w:val="21"/>
          <w:szCs w:val="21"/>
        </w:rPr>
      </w:pPr>
      <w:r>
        <w:rPr>
          <w:rFonts w:eastAsia="黑体"/>
          <w:color w:val="auto"/>
          <w:sz w:val="21"/>
          <w:szCs w:val="21"/>
        </w:rPr>
        <w:t>2.3 招标文件的修改</w:t>
      </w:r>
      <w:bookmarkEnd w:id="72"/>
      <w:bookmarkEnd w:id="73"/>
      <w:bookmarkEnd w:id="74"/>
      <w:bookmarkEnd w:id="75"/>
    </w:p>
    <w:p>
      <w:pPr>
        <w:spacing w:line="400" w:lineRule="exact"/>
        <w:ind w:firstLine="420" w:firstLineChars="200"/>
        <w:rPr>
          <w:rFonts w:hint="eastAsia"/>
          <w:color w:val="auto"/>
          <w:sz w:val="21"/>
          <w:szCs w:val="21"/>
        </w:rPr>
      </w:pPr>
      <w:r>
        <w:rPr>
          <w:color w:val="auto"/>
          <w:sz w:val="21"/>
          <w:szCs w:val="21"/>
        </w:rPr>
        <w:t>2.3.1</w:t>
      </w:r>
      <w:r>
        <w:rPr>
          <w:rFonts w:hint="eastAsia"/>
          <w:color w:val="auto"/>
          <w:sz w:val="21"/>
          <w:szCs w:val="21"/>
        </w:rPr>
        <w:t>招标人以投标人须知前附表规定的形式修改招标文件，并通知所有已购买招标文件的投标人。修改招标文件的时间距本章第4.2.1项规定的投标截止时间不足3日，且修改内容可能影响投标文件编制的，将相应延长投标截止时间。</w:t>
      </w:r>
    </w:p>
    <w:p>
      <w:pPr>
        <w:spacing w:line="400" w:lineRule="exact"/>
        <w:ind w:firstLine="420" w:firstLineChars="200"/>
        <w:rPr>
          <w:rFonts w:hint="eastAsia"/>
          <w:color w:val="auto"/>
          <w:sz w:val="21"/>
          <w:szCs w:val="21"/>
        </w:rPr>
      </w:pPr>
      <w:r>
        <w:rPr>
          <w:color w:val="auto"/>
          <w:sz w:val="21"/>
          <w:szCs w:val="21"/>
        </w:rPr>
        <w:t>2.3.2</w:t>
      </w:r>
      <w:bookmarkStart w:id="76" w:name="_Toc179632564"/>
      <w:bookmarkStart w:id="77" w:name="_Toc144974514"/>
      <w:bookmarkStart w:id="78" w:name="_Toc152045546"/>
      <w:bookmarkStart w:id="79" w:name="_Toc152042322"/>
      <w:r>
        <w:rPr>
          <w:rFonts w:hint="eastAsia"/>
          <w:color w:val="auto"/>
          <w:sz w:val="21"/>
          <w:szCs w:val="21"/>
        </w:rPr>
        <w:t>投标人收到修改内容后，应按投标人须知前附表规定的时间和形式通知招标人，确认已收到该修改。</w:t>
      </w:r>
    </w:p>
    <w:p>
      <w:pPr>
        <w:spacing w:line="400" w:lineRule="exact"/>
        <w:rPr>
          <w:rFonts w:hint="eastAsia" w:eastAsia="黑体"/>
          <w:color w:val="auto"/>
          <w:sz w:val="21"/>
          <w:szCs w:val="21"/>
        </w:rPr>
      </w:pPr>
      <w:r>
        <w:rPr>
          <w:rFonts w:eastAsia="黑体"/>
          <w:color w:val="auto"/>
          <w:sz w:val="21"/>
          <w:szCs w:val="21"/>
        </w:rPr>
        <w:t xml:space="preserve">2.4 </w:t>
      </w:r>
      <w:r>
        <w:rPr>
          <w:rFonts w:hint="eastAsia" w:eastAsia="黑体"/>
          <w:color w:val="auto"/>
          <w:sz w:val="21"/>
          <w:szCs w:val="21"/>
        </w:rPr>
        <w:t>招标文件的异议</w:t>
      </w:r>
    </w:p>
    <w:p>
      <w:pPr>
        <w:spacing w:line="400" w:lineRule="exact"/>
        <w:ind w:firstLine="420" w:firstLineChars="200"/>
        <w:rPr>
          <w:color w:val="auto"/>
        </w:rPr>
      </w:pPr>
      <w:r>
        <w:rPr>
          <w:rFonts w:hint="eastAsia"/>
          <w:color w:val="auto"/>
          <w:sz w:val="21"/>
          <w:szCs w:val="21"/>
        </w:rPr>
        <w:t>投标人或其他利害关系人对招标文件有异议的，应在投标截止时间3日前以书面形式提出。招标人将在收到异议之日起3日内作出答复；作出答复前，将暂停招标投标活动。</w:t>
      </w:r>
    </w:p>
    <w:p>
      <w:pPr>
        <w:spacing w:line="400" w:lineRule="exact"/>
        <w:outlineLvl w:val="1"/>
        <w:rPr>
          <w:rFonts w:eastAsia="黑体"/>
          <w:b/>
          <w:color w:val="auto"/>
          <w:sz w:val="28"/>
        </w:rPr>
      </w:pPr>
      <w:bookmarkStart w:id="80" w:name="_Toc398968710"/>
      <w:bookmarkStart w:id="81" w:name="_Toc458764404"/>
      <w:bookmarkStart w:id="82" w:name="_Toc406585742"/>
      <w:r>
        <w:rPr>
          <w:rFonts w:eastAsia="黑体"/>
          <w:b/>
          <w:color w:val="auto"/>
          <w:sz w:val="28"/>
        </w:rPr>
        <w:t>3. 投标文件</w:t>
      </w:r>
      <w:bookmarkEnd w:id="76"/>
      <w:bookmarkEnd w:id="77"/>
      <w:bookmarkEnd w:id="78"/>
      <w:bookmarkEnd w:id="79"/>
      <w:bookmarkEnd w:id="80"/>
      <w:bookmarkEnd w:id="81"/>
      <w:bookmarkEnd w:id="82"/>
      <w:bookmarkStart w:id="83" w:name="_Toc152045547"/>
      <w:bookmarkStart w:id="84" w:name="_Toc144974515"/>
      <w:bookmarkStart w:id="85" w:name="_Toc152042323"/>
      <w:bookmarkStart w:id="86" w:name="_Toc179632565"/>
    </w:p>
    <w:p>
      <w:pPr>
        <w:spacing w:line="400" w:lineRule="exact"/>
        <w:rPr>
          <w:rFonts w:eastAsia="黑体"/>
          <w:b/>
          <w:color w:val="auto"/>
          <w:sz w:val="21"/>
          <w:szCs w:val="21"/>
        </w:rPr>
      </w:pPr>
      <w:r>
        <w:rPr>
          <w:rFonts w:eastAsia="黑体"/>
          <w:color w:val="auto"/>
          <w:sz w:val="21"/>
          <w:szCs w:val="21"/>
        </w:rPr>
        <w:t>3.1 投标文件的组成</w:t>
      </w:r>
      <w:bookmarkEnd w:id="83"/>
      <w:bookmarkEnd w:id="84"/>
      <w:bookmarkEnd w:id="85"/>
      <w:bookmarkEnd w:id="86"/>
    </w:p>
    <w:p>
      <w:pPr>
        <w:spacing w:line="400" w:lineRule="exact"/>
        <w:ind w:firstLine="420"/>
        <w:rPr>
          <w:color w:val="auto"/>
          <w:sz w:val="21"/>
          <w:szCs w:val="21"/>
        </w:rPr>
      </w:pPr>
      <w:r>
        <w:rPr>
          <w:color w:val="auto"/>
          <w:sz w:val="21"/>
          <w:szCs w:val="21"/>
        </w:rPr>
        <w:t>3.1.1投标文件应包括下列内容：</w:t>
      </w:r>
    </w:p>
    <w:p>
      <w:pPr>
        <w:spacing w:line="400" w:lineRule="exact"/>
        <w:ind w:firstLine="359" w:firstLineChars="171"/>
        <w:rPr>
          <w:rFonts w:hint="eastAsia"/>
          <w:color w:val="auto"/>
          <w:sz w:val="21"/>
          <w:szCs w:val="21"/>
        </w:rPr>
      </w:pPr>
      <w:bookmarkStart w:id="87" w:name="_Toc144974516"/>
      <w:bookmarkStart w:id="88" w:name="_Toc152045548"/>
      <w:bookmarkStart w:id="89" w:name="_Toc179632566"/>
      <w:bookmarkStart w:id="90" w:name="_Toc152042324"/>
      <w:r>
        <w:rPr>
          <w:rFonts w:hint="eastAsia"/>
          <w:color w:val="auto"/>
          <w:sz w:val="21"/>
          <w:szCs w:val="21"/>
        </w:rPr>
        <w:t>（1）投标函及投标函附录；</w:t>
      </w:r>
    </w:p>
    <w:p>
      <w:pPr>
        <w:spacing w:line="400" w:lineRule="exact"/>
        <w:ind w:firstLine="359" w:firstLineChars="171"/>
        <w:rPr>
          <w:rFonts w:hint="eastAsia"/>
          <w:color w:val="auto"/>
          <w:sz w:val="21"/>
          <w:szCs w:val="21"/>
        </w:rPr>
      </w:pPr>
      <w:r>
        <w:rPr>
          <w:rFonts w:hint="eastAsia"/>
          <w:color w:val="auto"/>
          <w:sz w:val="21"/>
          <w:szCs w:val="21"/>
        </w:rPr>
        <w:t>（2）法定代表人身份证明；</w:t>
      </w:r>
    </w:p>
    <w:p>
      <w:pPr>
        <w:spacing w:line="400" w:lineRule="exact"/>
        <w:ind w:firstLine="359" w:firstLineChars="171"/>
        <w:rPr>
          <w:rFonts w:hint="eastAsia"/>
          <w:color w:val="auto"/>
          <w:sz w:val="21"/>
          <w:szCs w:val="21"/>
        </w:rPr>
      </w:pPr>
      <w:r>
        <w:rPr>
          <w:rFonts w:hint="eastAsia"/>
          <w:color w:val="auto"/>
          <w:sz w:val="21"/>
          <w:szCs w:val="21"/>
        </w:rPr>
        <w:t>（3）授权委托书及受托人身份证复印件（如有授权）；</w:t>
      </w:r>
    </w:p>
    <w:p>
      <w:pPr>
        <w:spacing w:line="400" w:lineRule="exact"/>
        <w:ind w:firstLine="359" w:firstLineChars="171"/>
        <w:rPr>
          <w:rFonts w:hint="eastAsia"/>
          <w:color w:val="auto"/>
          <w:sz w:val="21"/>
          <w:szCs w:val="21"/>
        </w:rPr>
      </w:pPr>
      <w:r>
        <w:rPr>
          <w:rFonts w:hint="eastAsia"/>
          <w:color w:val="auto"/>
          <w:sz w:val="21"/>
          <w:szCs w:val="21"/>
        </w:rPr>
        <w:t>（4）已标价工程量清单</w:t>
      </w:r>
      <w:r>
        <w:rPr>
          <w:rFonts w:hint="eastAsia"/>
          <w:color w:val="auto"/>
          <w:sz w:val="21"/>
          <w:szCs w:val="21"/>
          <w:lang w:eastAsia="zh-CN"/>
        </w:rPr>
        <w:t>（含工程量清单说明）</w:t>
      </w:r>
      <w:r>
        <w:rPr>
          <w:rFonts w:hint="eastAsia"/>
          <w:color w:val="auto"/>
          <w:sz w:val="21"/>
          <w:szCs w:val="21"/>
        </w:rPr>
        <w:t>；</w:t>
      </w:r>
    </w:p>
    <w:p>
      <w:pPr>
        <w:spacing w:line="400" w:lineRule="exact"/>
        <w:ind w:firstLine="359" w:firstLineChars="171"/>
        <w:rPr>
          <w:rFonts w:hint="eastAsia"/>
          <w:color w:val="auto"/>
          <w:sz w:val="21"/>
          <w:szCs w:val="21"/>
        </w:rPr>
      </w:pPr>
      <w:r>
        <w:rPr>
          <w:rFonts w:hint="eastAsia"/>
          <w:color w:val="auto"/>
          <w:sz w:val="21"/>
          <w:szCs w:val="21"/>
        </w:rPr>
        <w:t>（5）资格审查资料；</w:t>
      </w:r>
    </w:p>
    <w:p>
      <w:pPr>
        <w:spacing w:line="400" w:lineRule="exact"/>
        <w:ind w:firstLine="359" w:firstLineChars="171"/>
        <w:rPr>
          <w:rFonts w:hint="eastAsia" w:ascii="宋体" w:hAnsi="宋体" w:eastAsia="宋体" w:cs="宋体"/>
          <w:color w:val="auto"/>
          <w:sz w:val="21"/>
          <w:szCs w:val="21"/>
        </w:rPr>
      </w:pPr>
      <w:r>
        <w:rPr>
          <w:rFonts w:hint="eastAsia"/>
          <w:color w:val="auto"/>
          <w:sz w:val="21"/>
          <w:szCs w:val="21"/>
        </w:rPr>
        <w:t>（6）投标承诺书</w:t>
      </w:r>
      <w:r>
        <w:rPr>
          <w:rFonts w:hint="eastAsia" w:ascii="宋体" w:hAnsi="宋体" w:eastAsia="宋体" w:cs="宋体"/>
          <w:color w:val="auto"/>
          <w:sz w:val="21"/>
          <w:szCs w:val="21"/>
          <w:lang w:val="en-US" w:eastAsia="zh-CN"/>
        </w:rPr>
        <w:t>（</w:t>
      </w:r>
      <w:r>
        <w:rPr>
          <w:rFonts w:hint="eastAsia" w:ascii="宋体" w:hAnsi="宋体" w:eastAsia="宋体" w:cs="宋体"/>
          <w:b/>
          <w:bCs/>
          <w:color w:val="auto"/>
          <w:sz w:val="21"/>
          <w:szCs w:val="21"/>
        </w:rPr>
        <w:t>入库信息诚信承诺书</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法定代表人诚信投标承诺书</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盐城市公共资源交易投标信用承诺书</w:t>
      </w:r>
      <w:r>
        <w:rPr>
          <w:rFonts w:hint="eastAsia" w:cs="宋体"/>
          <w:b/>
          <w:bCs/>
          <w:color w:val="auto"/>
          <w:sz w:val="21"/>
          <w:szCs w:val="21"/>
          <w:lang w:eastAsia="zh-CN"/>
        </w:rPr>
        <w:t>）</w:t>
      </w:r>
      <w:r>
        <w:rPr>
          <w:rFonts w:hint="eastAsia" w:ascii="宋体" w:hAnsi="宋体" w:eastAsia="宋体" w:cs="宋体"/>
          <w:color w:val="auto"/>
          <w:sz w:val="21"/>
          <w:szCs w:val="21"/>
        </w:rPr>
        <w:t>；</w:t>
      </w:r>
    </w:p>
    <w:p>
      <w:pPr>
        <w:spacing w:line="400" w:lineRule="exact"/>
        <w:ind w:firstLine="359" w:firstLineChars="171"/>
        <w:rPr>
          <w:rFonts w:hint="eastAsia"/>
          <w:color w:val="auto"/>
          <w:sz w:val="21"/>
          <w:szCs w:val="21"/>
        </w:rPr>
      </w:pPr>
      <w:r>
        <w:rPr>
          <w:rFonts w:hint="eastAsia"/>
          <w:color w:val="auto"/>
          <w:sz w:val="21"/>
          <w:szCs w:val="21"/>
        </w:rPr>
        <w:t>（7）投标人须知前附表规定的其他资料。</w:t>
      </w:r>
    </w:p>
    <w:p>
      <w:pPr>
        <w:spacing w:line="400" w:lineRule="exact"/>
        <w:ind w:firstLine="359" w:firstLineChars="171"/>
        <w:rPr>
          <w:rFonts w:hint="eastAsia"/>
          <w:color w:val="auto"/>
          <w:sz w:val="21"/>
          <w:szCs w:val="21"/>
        </w:rPr>
      </w:pPr>
      <w:r>
        <w:rPr>
          <w:rFonts w:hint="eastAsia"/>
          <w:color w:val="auto"/>
          <w:sz w:val="21"/>
          <w:szCs w:val="21"/>
        </w:rPr>
        <w:t>投标人在评标过程中作出的符合法律法规和招标文件规定的澄清确认，构成投标文件的组成部分。</w:t>
      </w:r>
    </w:p>
    <w:p>
      <w:pPr>
        <w:keepNext w:val="0"/>
        <w:keepLines w:val="0"/>
        <w:widowControl/>
        <w:suppressLineNumbers w:val="0"/>
        <w:ind w:firstLine="440" w:firstLineChars="200"/>
        <w:jc w:val="left"/>
        <w:rPr>
          <w:rFonts w:hint="default" w:eastAsia="黑体"/>
          <w:lang w:val="en-US" w:eastAsia="zh-CN"/>
        </w:rPr>
      </w:pPr>
      <w:r>
        <w:rPr>
          <w:rFonts w:hint="eastAsia"/>
          <w:lang w:val="en-US" w:eastAsia="zh-CN"/>
        </w:rPr>
        <w:t xml:space="preserve">3.1.2 </w:t>
      </w:r>
      <w:r>
        <w:rPr>
          <w:rFonts w:hint="eastAsia" w:ascii="宋体" w:hAnsi="宋体" w:eastAsia="宋体" w:cs="宋体"/>
          <w:color w:val="000000"/>
          <w:kern w:val="0"/>
          <w:sz w:val="20"/>
          <w:szCs w:val="20"/>
          <w:lang w:val="en-US" w:eastAsia="zh-CN" w:bidi="ar"/>
        </w:rPr>
        <w:t>全套加盖章印的PDF投标文件一份，电子邮件加密发送。</w:t>
      </w:r>
    </w:p>
    <w:p>
      <w:pPr>
        <w:spacing w:line="400" w:lineRule="exact"/>
        <w:rPr>
          <w:rFonts w:eastAsia="黑体"/>
          <w:color w:val="auto"/>
          <w:sz w:val="21"/>
          <w:szCs w:val="21"/>
        </w:rPr>
      </w:pPr>
      <w:r>
        <w:rPr>
          <w:rFonts w:eastAsia="黑体"/>
          <w:color w:val="auto"/>
          <w:sz w:val="21"/>
          <w:szCs w:val="21"/>
        </w:rPr>
        <w:t>3.2 投标报价</w:t>
      </w:r>
      <w:bookmarkEnd w:id="87"/>
      <w:bookmarkEnd w:id="88"/>
      <w:bookmarkEnd w:id="89"/>
      <w:bookmarkEnd w:id="90"/>
    </w:p>
    <w:p>
      <w:pPr>
        <w:spacing w:line="400" w:lineRule="exact"/>
        <w:ind w:firstLine="420" w:firstLineChars="200"/>
        <w:rPr>
          <w:color w:val="auto"/>
          <w:sz w:val="21"/>
          <w:szCs w:val="21"/>
        </w:rPr>
      </w:pPr>
      <w:r>
        <w:rPr>
          <w:color w:val="auto"/>
          <w:sz w:val="21"/>
          <w:szCs w:val="21"/>
        </w:rPr>
        <w:t xml:space="preserve">3.2.1 </w:t>
      </w:r>
      <w:r>
        <w:rPr>
          <w:rFonts w:hint="eastAsia"/>
          <w:color w:val="auto"/>
          <w:sz w:val="21"/>
          <w:szCs w:val="21"/>
        </w:rPr>
        <w:t>投标报价应包括国家规定的增值税税金，除投标人须知前附表另有规定外，增值税税金按一般计税方法计算。投标人应按第九章“投标文件格式”的要求在投标函中进行报价并填写工程量清单相应表格。</w:t>
      </w:r>
    </w:p>
    <w:p>
      <w:pPr>
        <w:spacing w:line="400" w:lineRule="exact"/>
        <w:ind w:firstLine="422" w:firstLineChars="200"/>
        <w:rPr>
          <w:b/>
          <w:color w:val="auto"/>
          <w:sz w:val="21"/>
          <w:szCs w:val="21"/>
        </w:rPr>
      </w:pPr>
      <w:r>
        <w:rPr>
          <w:b/>
          <w:color w:val="auto"/>
          <w:sz w:val="21"/>
          <w:szCs w:val="21"/>
        </w:rPr>
        <w:t>投标人应认真仔细阅读“工程量清单说明”，并按其要求作出实质性响应。</w:t>
      </w:r>
    </w:p>
    <w:p>
      <w:pPr>
        <w:spacing w:line="400" w:lineRule="exact"/>
        <w:ind w:firstLine="420" w:firstLineChars="200"/>
        <w:rPr>
          <w:rFonts w:hint="eastAsia"/>
          <w:color w:val="auto"/>
          <w:sz w:val="21"/>
          <w:szCs w:val="21"/>
        </w:rPr>
      </w:pPr>
      <w:bookmarkStart w:id="91" w:name="_Toc152045549"/>
      <w:bookmarkStart w:id="92" w:name="_Toc179632567"/>
      <w:bookmarkStart w:id="93" w:name="_Toc144974517"/>
      <w:bookmarkStart w:id="94" w:name="_Toc152042325"/>
      <w:r>
        <w:rPr>
          <w:rFonts w:hint="eastAsia"/>
          <w:color w:val="auto"/>
          <w:sz w:val="21"/>
          <w:szCs w:val="21"/>
        </w:rPr>
        <w:t>投标人应按投标人须知前附表规定的方式填写工程量清单。</w:t>
      </w:r>
    </w:p>
    <w:p>
      <w:pPr>
        <w:spacing w:line="400" w:lineRule="exact"/>
        <w:ind w:firstLine="420" w:firstLineChars="200"/>
        <w:rPr>
          <w:rFonts w:hint="eastAsia"/>
          <w:color w:val="auto"/>
          <w:sz w:val="21"/>
          <w:szCs w:val="21"/>
        </w:rPr>
      </w:pPr>
      <w:r>
        <w:rPr>
          <w:rFonts w:hint="eastAsia"/>
          <w:color w:val="auto"/>
          <w:sz w:val="21"/>
          <w:szCs w:val="21"/>
        </w:rPr>
        <w:t>招标人将工程量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pPr>
        <w:spacing w:line="400" w:lineRule="exact"/>
        <w:ind w:firstLine="420" w:firstLineChars="200"/>
        <w:rPr>
          <w:rFonts w:hint="eastAsia"/>
          <w:color w:val="auto"/>
          <w:sz w:val="21"/>
          <w:szCs w:val="21"/>
        </w:rPr>
      </w:pPr>
      <w:r>
        <w:rPr>
          <w:rFonts w:hint="eastAsia"/>
          <w:color w:val="auto"/>
          <w:sz w:val="21"/>
          <w:szCs w:val="21"/>
        </w:rPr>
        <w:t>投标人根据招标人提供的工程量清单电子文件填报完成并打印的投标工程量清单中的投标报价</w:t>
      </w:r>
    </w:p>
    <w:p>
      <w:pPr>
        <w:spacing w:line="400" w:lineRule="exact"/>
        <w:rPr>
          <w:color w:val="auto"/>
          <w:sz w:val="21"/>
          <w:szCs w:val="21"/>
        </w:rPr>
      </w:pPr>
      <w:r>
        <w:rPr>
          <w:rFonts w:hint="eastAsia"/>
          <w:color w:val="auto"/>
          <w:sz w:val="21"/>
          <w:szCs w:val="21"/>
        </w:rPr>
        <w:t>和投标函大写金额报价应一致，如果报价金额出现差异，其投标将被否决。</w:t>
      </w:r>
    </w:p>
    <w:p>
      <w:pPr>
        <w:spacing w:line="400" w:lineRule="exact"/>
        <w:ind w:firstLine="420" w:firstLineChars="200"/>
        <w:rPr>
          <w:rFonts w:hint="eastAsia"/>
          <w:color w:val="auto"/>
          <w:sz w:val="21"/>
          <w:szCs w:val="21"/>
        </w:rPr>
      </w:pPr>
      <w:r>
        <w:rPr>
          <w:color w:val="auto"/>
          <w:sz w:val="21"/>
          <w:szCs w:val="21"/>
        </w:rPr>
        <w:t>3.2.</w:t>
      </w:r>
      <w:r>
        <w:rPr>
          <w:rFonts w:hint="eastAsia"/>
          <w:color w:val="auto"/>
          <w:sz w:val="21"/>
          <w:szCs w:val="21"/>
        </w:rPr>
        <w:t>2 投标人应充分了解该项目的总体情况以及影响投标报价的其他要素。</w:t>
      </w:r>
    </w:p>
    <w:p>
      <w:pPr>
        <w:spacing w:line="400" w:lineRule="exact"/>
        <w:ind w:firstLine="420" w:firstLineChars="200"/>
        <w:rPr>
          <w:rFonts w:hint="eastAsia"/>
          <w:color w:val="auto"/>
          <w:sz w:val="21"/>
          <w:szCs w:val="21"/>
        </w:rPr>
      </w:pPr>
      <w:r>
        <w:rPr>
          <w:color w:val="auto"/>
          <w:sz w:val="21"/>
          <w:szCs w:val="21"/>
        </w:rPr>
        <w:t xml:space="preserve">3.2.3 </w:t>
      </w:r>
      <w:r>
        <w:rPr>
          <w:rFonts w:hint="eastAsia"/>
          <w:color w:val="auto"/>
          <w:sz w:val="21"/>
          <w:szCs w:val="21"/>
        </w:rPr>
        <w:t>本项目的报价方式见投标人须知前附表。投标人在投标截止时间前修改投标函中的投标总报价，应同时修改第五章</w:t>
      </w:r>
      <w:r>
        <w:rPr>
          <w:color w:val="auto"/>
          <w:sz w:val="21"/>
          <w:szCs w:val="21"/>
        </w:rPr>
        <w:t>“</w:t>
      </w:r>
      <w:r>
        <w:rPr>
          <w:rFonts w:hint="eastAsia"/>
          <w:color w:val="auto"/>
          <w:sz w:val="21"/>
          <w:szCs w:val="21"/>
        </w:rPr>
        <w:t>工程量清单</w:t>
      </w:r>
      <w:r>
        <w:rPr>
          <w:color w:val="auto"/>
          <w:sz w:val="21"/>
          <w:szCs w:val="21"/>
        </w:rPr>
        <w:t>”</w:t>
      </w:r>
      <w:r>
        <w:rPr>
          <w:rFonts w:hint="eastAsia"/>
          <w:color w:val="auto"/>
          <w:sz w:val="21"/>
          <w:szCs w:val="21"/>
        </w:rPr>
        <w:t>中的相应报价。此修改须符合本章第</w:t>
      </w:r>
      <w:r>
        <w:rPr>
          <w:color w:val="auto"/>
          <w:sz w:val="21"/>
          <w:szCs w:val="21"/>
        </w:rPr>
        <w:t xml:space="preserve">4.3 </w:t>
      </w:r>
      <w:r>
        <w:rPr>
          <w:rFonts w:hint="eastAsia"/>
          <w:color w:val="auto"/>
          <w:sz w:val="21"/>
          <w:szCs w:val="21"/>
        </w:rPr>
        <w:t>款的有关要求。</w:t>
      </w:r>
    </w:p>
    <w:p>
      <w:pPr>
        <w:spacing w:line="400" w:lineRule="exact"/>
        <w:ind w:firstLine="420" w:firstLineChars="200"/>
        <w:rPr>
          <w:rFonts w:hint="eastAsia"/>
          <w:color w:val="auto"/>
          <w:sz w:val="21"/>
          <w:szCs w:val="21"/>
        </w:rPr>
      </w:pPr>
      <w:r>
        <w:rPr>
          <w:rFonts w:hint="eastAsia"/>
          <w:color w:val="auto"/>
          <w:sz w:val="21"/>
          <w:szCs w:val="21"/>
        </w:rPr>
        <w:t>3.2.4投标人如果发现工程量清单中的数量与图纸中数量不一致时，应立即通知招标人核查，除非招标人以书面方式予以更正，否则，应以工程量清单中列出的数量为准。</w:t>
      </w:r>
    </w:p>
    <w:p>
      <w:pPr>
        <w:spacing w:line="400" w:lineRule="exact"/>
        <w:ind w:firstLine="420" w:firstLineChars="200"/>
        <w:rPr>
          <w:rFonts w:hint="eastAsia"/>
          <w:color w:val="auto"/>
          <w:sz w:val="21"/>
          <w:szCs w:val="21"/>
          <w:lang w:val="en-US"/>
        </w:rPr>
      </w:pPr>
      <w:r>
        <w:rPr>
          <w:rFonts w:hint="eastAsia"/>
          <w:color w:val="auto"/>
          <w:sz w:val="21"/>
          <w:szCs w:val="21"/>
        </w:rPr>
        <w:t>3.2.5 投标人应根据《公路水运投标人应根据苏交规</w:t>
      </w:r>
      <w:r>
        <w:rPr>
          <w:color w:val="auto"/>
          <w:sz w:val="21"/>
          <w:szCs w:val="21"/>
        </w:rPr>
        <w:t xml:space="preserve">[2012]9 </w:t>
      </w:r>
      <w:r>
        <w:rPr>
          <w:rFonts w:hint="eastAsia"/>
          <w:color w:val="auto"/>
          <w:sz w:val="21"/>
          <w:szCs w:val="21"/>
        </w:rPr>
        <w:t>号《江苏省公路水运工程安全生产费用管理办法》，在投标总价中计入安全生产费用。投标人的投标报价中必须包含</w:t>
      </w:r>
      <w:r>
        <w:rPr>
          <w:color w:val="auto"/>
          <w:sz w:val="21"/>
          <w:szCs w:val="21"/>
        </w:rPr>
        <w:t>“</w:t>
      </w:r>
      <w:r>
        <w:rPr>
          <w:rFonts w:hint="eastAsia"/>
          <w:color w:val="auto"/>
          <w:sz w:val="21"/>
          <w:szCs w:val="21"/>
        </w:rPr>
        <w:t>安全生产费用”，“安全生产费用”招标人以固定价的形式列入工程量清单中</w:t>
      </w:r>
      <w:r>
        <w:rPr>
          <w:rFonts w:hint="eastAsia"/>
          <w:color w:val="auto"/>
          <w:sz w:val="21"/>
          <w:szCs w:val="21"/>
          <w:lang w:val="en-US"/>
        </w:rPr>
        <w:t>。</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3.2.6 其他未列入清单的项目如环保费、临时工程与设施、承包人驻地建设等费用由承包人自行考虑并摊入相应项目的单价或总价中)竣工结算时不再另行计算。</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3.2.7 部分道路改造维修在街区或周边有老百姓，编制清单需考虑施工过程中的矛盾解决费用，本费用不单独列项由各投标单位在投标时摊入相应项目的单价或总价中。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3.2.8 老路挖除：包括拆除、装卸、建渣处理（符合环保要求）、场地清理平整等所有工作，投标单位需仔细考察现场，投标时需按照招标文件及图纸要求将所有拆除费用考虑在本项目报价中。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3.2.9 投标单位自行全面考察现场，清淤、垫钢板、钢板桩等所有费用由各投标单位在投标时摊入相应项目的单价或总价中。施工图中未标明的软基、水沟、池塘、暗塘等处理及清杂等（在施工图及施工范围内），投标人需按图纸要求或相应规定进行处理，处理所需费用在报价时均应摊入相应工程单价或总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3.2.10 如便道便桥、临时供电、混凝土预制场地、临时用地的租用等临时设施为完成图纸全部工作内容所需发生的各项费用应视为已分摊在本工程的有关子目的单价或总价之中。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3.2.11 工程量清单未列项目（除本招标文件明确不在本次招标范围内的项目）而施工图纸已有的项目由投标人投标时自行摊销，将相应项目费用摊销到其他已列工程量清单的单价和总价中。</w:t>
      </w:r>
    </w:p>
    <w:p>
      <w:pPr>
        <w:spacing w:line="400" w:lineRule="exact"/>
        <w:ind w:firstLine="420" w:firstLineChars="200"/>
        <w:rPr>
          <w:rFonts w:hint="default"/>
          <w:b w:val="0"/>
          <w:bCs w:val="0"/>
          <w:lang w:val="en-US" w:eastAsia="zh-CN"/>
        </w:rPr>
      </w:pPr>
      <w:r>
        <w:rPr>
          <w:rFonts w:hint="eastAsia"/>
          <w:b w:val="0"/>
          <w:bCs w:val="0"/>
          <w:color w:val="auto"/>
          <w:sz w:val="21"/>
          <w:szCs w:val="21"/>
          <w:lang w:val="en-US" w:eastAsia="zh-CN"/>
        </w:rPr>
        <w:t>3.2.12 所有水泥砼全部采用非泵送商品，若中标人施工时采用泵送砼，结算时价格不调整</w:t>
      </w:r>
      <w:r>
        <w:rPr>
          <w:rFonts w:hint="eastAsia" w:hAnsi="Times New Roman"/>
          <w:b w:val="0"/>
          <w:bCs w:val="0"/>
          <w:color w:val="auto"/>
          <w:sz w:val="21"/>
          <w:szCs w:val="21"/>
          <w:lang w:val="en-US" w:eastAsia="zh-CN" w:bidi="ar-SA"/>
        </w:rPr>
        <w:t>。</w:t>
      </w:r>
    </w:p>
    <w:p>
      <w:pPr>
        <w:spacing w:line="400" w:lineRule="exact"/>
        <w:ind w:firstLine="420"/>
        <w:rPr>
          <w:rFonts w:hint="eastAsia"/>
          <w:b/>
          <w:color w:val="auto"/>
          <w:sz w:val="21"/>
          <w:szCs w:val="21"/>
        </w:rPr>
      </w:pPr>
      <w:r>
        <w:rPr>
          <w:rFonts w:hint="eastAsia"/>
          <w:color w:val="auto"/>
          <w:sz w:val="21"/>
          <w:szCs w:val="21"/>
        </w:rPr>
        <w:t>3.2.</w:t>
      </w:r>
      <w:r>
        <w:rPr>
          <w:rFonts w:hint="eastAsia"/>
          <w:color w:val="auto"/>
          <w:sz w:val="21"/>
          <w:szCs w:val="21"/>
          <w:lang w:val="en-US" w:eastAsia="zh-CN"/>
        </w:rPr>
        <w:t xml:space="preserve">13 </w:t>
      </w:r>
      <w:r>
        <w:rPr>
          <w:rFonts w:hint="eastAsia"/>
          <w:color w:val="auto"/>
          <w:sz w:val="21"/>
          <w:szCs w:val="21"/>
        </w:rPr>
        <w:t>招标人不接受调价函</w:t>
      </w:r>
      <w:r>
        <w:rPr>
          <w:rFonts w:hint="eastAsia"/>
          <w:b/>
          <w:color w:val="auto"/>
          <w:sz w:val="21"/>
          <w:szCs w:val="21"/>
        </w:rPr>
        <w:t>。</w:t>
      </w:r>
    </w:p>
    <w:p>
      <w:pPr>
        <w:spacing w:line="400" w:lineRule="exact"/>
        <w:ind w:firstLine="420"/>
        <w:rPr>
          <w:rFonts w:hint="eastAsia"/>
          <w:color w:val="auto"/>
          <w:sz w:val="21"/>
          <w:szCs w:val="21"/>
        </w:rPr>
      </w:pPr>
      <w:r>
        <w:rPr>
          <w:rFonts w:hint="eastAsia"/>
          <w:color w:val="auto"/>
          <w:sz w:val="21"/>
          <w:szCs w:val="21"/>
        </w:rPr>
        <w:t>3.2.</w:t>
      </w:r>
      <w:r>
        <w:rPr>
          <w:rFonts w:hint="eastAsia"/>
          <w:color w:val="auto"/>
          <w:sz w:val="21"/>
          <w:szCs w:val="21"/>
          <w:lang w:val="en-US" w:eastAsia="zh-CN"/>
        </w:rPr>
        <w:t xml:space="preserve">14 </w:t>
      </w:r>
      <w:r>
        <w:rPr>
          <w:rFonts w:hint="eastAsia"/>
          <w:color w:val="auto"/>
          <w:sz w:val="21"/>
          <w:szCs w:val="21"/>
        </w:rPr>
        <w:t>在合同实施期间，投标人填写的单价、合价和总额价是否由于物价波动进行价格调整按合同条款第</w:t>
      </w:r>
      <w:r>
        <w:rPr>
          <w:color w:val="auto"/>
          <w:sz w:val="21"/>
          <w:szCs w:val="21"/>
        </w:rPr>
        <w:t xml:space="preserve">16.1 </w:t>
      </w:r>
      <w:r>
        <w:rPr>
          <w:rFonts w:hint="eastAsia"/>
          <w:color w:val="auto"/>
          <w:sz w:val="21"/>
          <w:szCs w:val="21"/>
        </w:rPr>
        <w:t>款的规定处理。</w:t>
      </w:r>
    </w:p>
    <w:p>
      <w:pPr>
        <w:spacing w:line="400" w:lineRule="exact"/>
        <w:ind w:firstLine="445" w:firstLineChars="196"/>
        <w:rPr>
          <w:rFonts w:hint="eastAsia"/>
          <w:b/>
          <w:color w:val="auto"/>
          <w:sz w:val="21"/>
          <w:szCs w:val="21"/>
        </w:rPr>
      </w:pPr>
      <w:r>
        <w:rPr>
          <w:rFonts w:hint="eastAsia" w:ascii="Arial" w:hAnsi="Arial" w:cs="Arial"/>
          <w:b/>
          <w:color w:val="auto"/>
          <w:spacing w:val="8"/>
          <w:sz w:val="21"/>
          <w:szCs w:val="21"/>
        </w:rPr>
        <w:t>3.2.</w:t>
      </w:r>
      <w:r>
        <w:rPr>
          <w:rFonts w:hint="eastAsia" w:ascii="Arial" w:hAnsi="Arial" w:cs="Arial"/>
          <w:b/>
          <w:color w:val="auto"/>
          <w:spacing w:val="8"/>
          <w:sz w:val="21"/>
          <w:szCs w:val="21"/>
          <w:lang w:val="en-US" w:eastAsia="zh-CN"/>
        </w:rPr>
        <w:t xml:space="preserve">15 </w:t>
      </w:r>
      <w:r>
        <w:rPr>
          <w:rFonts w:hint="eastAsia"/>
          <w:b/>
          <w:color w:val="auto"/>
          <w:sz w:val="21"/>
          <w:szCs w:val="21"/>
        </w:rPr>
        <w:t>招标人设有最高投标限价的，投标人的投标报价不得超过最高投标限价，最高投标限价在投标人须知前附表中载明；投标人不得以低于成本的报价竞标，若评标委员会一致认为投标人以低于成本的报价竞标，将否决其投标。</w:t>
      </w:r>
    </w:p>
    <w:p>
      <w:pPr>
        <w:spacing w:line="400" w:lineRule="exact"/>
        <w:ind w:firstLine="411" w:firstLineChars="196"/>
        <w:rPr>
          <w:rFonts w:hint="eastAsia"/>
          <w:color w:val="auto"/>
          <w:sz w:val="21"/>
          <w:szCs w:val="21"/>
        </w:rPr>
      </w:pPr>
      <w:r>
        <w:rPr>
          <w:color w:val="auto"/>
          <w:sz w:val="21"/>
          <w:szCs w:val="21"/>
        </w:rPr>
        <w:t>3.2.</w:t>
      </w:r>
      <w:r>
        <w:rPr>
          <w:rFonts w:hint="eastAsia"/>
          <w:color w:val="auto"/>
          <w:sz w:val="21"/>
          <w:szCs w:val="21"/>
          <w:lang w:val="en-US" w:eastAsia="zh-CN"/>
        </w:rPr>
        <w:t>16</w:t>
      </w:r>
      <w:r>
        <w:rPr>
          <w:color w:val="auto"/>
          <w:sz w:val="21"/>
          <w:szCs w:val="21"/>
        </w:rPr>
        <w:t xml:space="preserve"> </w:t>
      </w:r>
      <w:r>
        <w:rPr>
          <w:rFonts w:hint="eastAsia"/>
          <w:color w:val="auto"/>
          <w:sz w:val="21"/>
          <w:szCs w:val="21"/>
        </w:rPr>
        <w:t>投标报价的其他要求见投标人须知前附表。</w:t>
      </w:r>
    </w:p>
    <w:p>
      <w:pPr>
        <w:spacing w:line="360" w:lineRule="auto"/>
        <w:rPr>
          <w:rFonts w:eastAsia="黑体"/>
          <w:color w:val="auto"/>
          <w:sz w:val="21"/>
          <w:szCs w:val="21"/>
        </w:rPr>
      </w:pPr>
      <w:r>
        <w:rPr>
          <w:rFonts w:eastAsia="黑体"/>
          <w:color w:val="auto"/>
          <w:sz w:val="21"/>
          <w:szCs w:val="21"/>
        </w:rPr>
        <w:t>3.3 投标有效期</w:t>
      </w:r>
      <w:bookmarkEnd w:id="91"/>
      <w:bookmarkEnd w:id="92"/>
      <w:bookmarkEnd w:id="93"/>
      <w:bookmarkEnd w:id="94"/>
    </w:p>
    <w:p>
      <w:pPr>
        <w:spacing w:line="360" w:lineRule="auto"/>
        <w:ind w:firstLine="420" w:firstLineChars="200"/>
        <w:rPr>
          <w:rFonts w:hint="eastAsia"/>
          <w:color w:val="auto"/>
          <w:sz w:val="21"/>
          <w:szCs w:val="21"/>
        </w:rPr>
      </w:pPr>
      <w:r>
        <w:rPr>
          <w:color w:val="auto"/>
          <w:sz w:val="21"/>
          <w:szCs w:val="21"/>
        </w:rPr>
        <w:t>3.3.1</w:t>
      </w:r>
      <w:r>
        <w:rPr>
          <w:rFonts w:hint="eastAsia"/>
          <w:color w:val="auto"/>
          <w:sz w:val="21"/>
          <w:szCs w:val="21"/>
        </w:rPr>
        <w:t xml:space="preserve"> 除投标人须知前附表另有规定外，投标有效期为</w:t>
      </w:r>
      <w:r>
        <w:rPr>
          <w:rFonts w:hint="eastAsia"/>
          <w:color w:val="auto"/>
          <w:sz w:val="21"/>
          <w:szCs w:val="21"/>
          <w:lang w:val="en-US" w:eastAsia="zh-CN"/>
        </w:rPr>
        <w:t>6</w:t>
      </w:r>
      <w:r>
        <w:rPr>
          <w:color w:val="auto"/>
          <w:sz w:val="21"/>
          <w:szCs w:val="21"/>
        </w:rPr>
        <w:t>0</w:t>
      </w:r>
      <w:r>
        <w:rPr>
          <w:rFonts w:hint="eastAsia"/>
          <w:color w:val="auto"/>
          <w:sz w:val="21"/>
          <w:szCs w:val="21"/>
        </w:rPr>
        <w:t>日。</w:t>
      </w:r>
    </w:p>
    <w:p>
      <w:pPr>
        <w:spacing w:line="360" w:lineRule="auto"/>
        <w:ind w:firstLine="420" w:firstLineChars="200"/>
        <w:rPr>
          <w:color w:val="auto"/>
          <w:sz w:val="21"/>
          <w:szCs w:val="21"/>
        </w:rPr>
      </w:pPr>
      <w:r>
        <w:rPr>
          <w:rFonts w:hint="eastAsia"/>
          <w:color w:val="auto"/>
          <w:sz w:val="21"/>
          <w:szCs w:val="21"/>
        </w:rPr>
        <w:t xml:space="preserve">3.3.2 </w:t>
      </w:r>
      <w:r>
        <w:rPr>
          <w:color w:val="auto"/>
          <w:sz w:val="21"/>
          <w:szCs w:val="21"/>
        </w:rPr>
        <w:t>在投标人须知前附表规定的投标有效期内，投标人不得要求撤销或修改其投标文件。</w:t>
      </w:r>
    </w:p>
    <w:p>
      <w:pPr>
        <w:spacing w:line="360" w:lineRule="auto"/>
        <w:ind w:firstLine="420" w:firstLineChars="200"/>
        <w:rPr>
          <w:color w:val="auto"/>
          <w:sz w:val="21"/>
          <w:szCs w:val="21"/>
        </w:rPr>
      </w:pPr>
      <w:r>
        <w:rPr>
          <w:color w:val="auto"/>
          <w:sz w:val="21"/>
          <w:szCs w:val="21"/>
        </w:rPr>
        <w:t>3.3.</w:t>
      </w:r>
      <w:r>
        <w:rPr>
          <w:rFonts w:hint="eastAsia"/>
          <w:color w:val="auto"/>
          <w:sz w:val="21"/>
          <w:szCs w:val="21"/>
        </w:rPr>
        <w:t>3</w:t>
      </w:r>
      <w:r>
        <w:rPr>
          <w:color w:val="auto"/>
          <w:sz w:val="21"/>
          <w:szCs w:val="21"/>
        </w:rPr>
        <w:t xml:space="preserve">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bookmarkStart w:id="95" w:name="_Toc152042326"/>
      <w:bookmarkStart w:id="96" w:name="_Toc144974518"/>
      <w:bookmarkStart w:id="97" w:name="_Toc179632568"/>
      <w:bookmarkStart w:id="98" w:name="_Toc152045550"/>
    </w:p>
    <w:p>
      <w:pPr>
        <w:spacing w:line="360" w:lineRule="auto"/>
        <w:rPr>
          <w:rFonts w:hint="eastAsia" w:eastAsia="黑体"/>
          <w:color w:val="auto"/>
          <w:sz w:val="21"/>
          <w:szCs w:val="21"/>
          <w:lang w:eastAsia="zh-CN"/>
        </w:rPr>
      </w:pPr>
      <w:r>
        <w:rPr>
          <w:rFonts w:eastAsia="黑体"/>
          <w:color w:val="auto"/>
          <w:sz w:val="21"/>
          <w:szCs w:val="21"/>
        </w:rPr>
        <w:t>3.4 投标保证金</w:t>
      </w:r>
      <w:bookmarkEnd w:id="95"/>
      <w:bookmarkEnd w:id="96"/>
      <w:bookmarkEnd w:id="97"/>
      <w:bookmarkEnd w:id="98"/>
      <w:r>
        <w:rPr>
          <w:rFonts w:hint="eastAsia" w:eastAsia="黑体"/>
          <w:color w:val="auto"/>
          <w:sz w:val="21"/>
          <w:szCs w:val="21"/>
          <w:lang w:eastAsia="zh-CN"/>
        </w:rPr>
        <w:t>、差额履约担保</w:t>
      </w:r>
    </w:p>
    <w:p>
      <w:pPr>
        <w:spacing w:line="360" w:lineRule="auto"/>
        <w:ind w:firstLine="420" w:firstLineChars="200"/>
        <w:rPr>
          <w:color w:val="auto"/>
          <w:sz w:val="21"/>
          <w:szCs w:val="21"/>
        </w:rPr>
      </w:pPr>
      <w:r>
        <w:rPr>
          <w:color w:val="auto"/>
          <w:sz w:val="21"/>
          <w:szCs w:val="21"/>
        </w:rPr>
        <w:t>3.4.1 投标人在递交投标文件的同时，应按“投标人须知前附表”规定的金额、担保形式和第九章“投标文件格式”规定的投标保证金格式递交</w:t>
      </w:r>
      <w:r>
        <w:rPr>
          <w:rFonts w:hint="eastAsia"/>
          <w:color w:val="auto"/>
          <w:sz w:val="21"/>
          <w:szCs w:val="21"/>
        </w:rPr>
        <w:t>有效</w:t>
      </w:r>
      <w:r>
        <w:rPr>
          <w:color w:val="auto"/>
          <w:sz w:val="21"/>
          <w:szCs w:val="21"/>
        </w:rPr>
        <w:t>投标保证金，并作为其投标文件的组成部分。</w:t>
      </w:r>
    </w:p>
    <w:p>
      <w:pPr>
        <w:spacing w:line="360" w:lineRule="auto"/>
        <w:ind w:firstLine="420" w:firstLineChars="200"/>
        <w:rPr>
          <w:rFonts w:hint="eastAsia"/>
          <w:color w:val="auto"/>
          <w:sz w:val="21"/>
          <w:szCs w:val="21"/>
        </w:rPr>
      </w:pPr>
      <w:r>
        <w:rPr>
          <w:rFonts w:hint="eastAsia"/>
          <w:color w:val="auto"/>
          <w:sz w:val="21"/>
          <w:szCs w:val="21"/>
        </w:rPr>
        <w:t>无论采取何种形式递交的投标保证金，投标保证金有效期均应与投标有效期一致。招标人如果按本章第</w:t>
      </w:r>
      <w:r>
        <w:rPr>
          <w:color w:val="auto"/>
          <w:sz w:val="21"/>
          <w:szCs w:val="21"/>
        </w:rPr>
        <w:t xml:space="preserve">3.3.3 </w:t>
      </w:r>
      <w:r>
        <w:rPr>
          <w:rFonts w:hint="eastAsia"/>
          <w:color w:val="auto"/>
          <w:sz w:val="21"/>
          <w:szCs w:val="21"/>
        </w:rPr>
        <w:t>项的规定延长了投标有效期，则投标保证金的有效期也相应延长。</w:t>
      </w:r>
    </w:p>
    <w:p>
      <w:pPr>
        <w:spacing w:line="360" w:lineRule="auto"/>
        <w:ind w:firstLine="420" w:firstLineChars="200"/>
        <w:rPr>
          <w:rFonts w:hint="eastAsia" w:eastAsia="宋体"/>
          <w:b/>
          <w:bCs/>
          <w:color w:val="auto"/>
          <w:sz w:val="21"/>
          <w:szCs w:val="21"/>
        </w:rPr>
      </w:pPr>
      <w:r>
        <w:rPr>
          <w:rFonts w:hint="eastAsia" w:eastAsia="宋体"/>
          <w:color w:val="auto"/>
          <w:sz w:val="21"/>
          <w:szCs w:val="21"/>
        </w:rPr>
        <w:t>3.4.</w:t>
      </w:r>
      <w:r>
        <w:rPr>
          <w:rFonts w:hint="eastAsia"/>
          <w:color w:val="auto"/>
          <w:sz w:val="21"/>
          <w:szCs w:val="21"/>
          <w:lang w:val="en-US" w:eastAsia="zh-CN"/>
        </w:rPr>
        <w:t>2</w:t>
      </w:r>
      <w:r>
        <w:rPr>
          <w:rFonts w:hint="eastAsia" w:eastAsia="宋体"/>
          <w:color w:val="auto"/>
          <w:sz w:val="21"/>
          <w:szCs w:val="21"/>
        </w:rPr>
        <w:t xml:space="preserve"> </w:t>
      </w:r>
      <w:r>
        <w:rPr>
          <w:rFonts w:hint="eastAsia" w:eastAsia="宋体"/>
          <w:b/>
          <w:bCs/>
          <w:color w:val="auto"/>
          <w:sz w:val="21"/>
          <w:szCs w:val="21"/>
        </w:rPr>
        <w:t>投标保证金、差额履约保证金退还时间</w:t>
      </w:r>
    </w:p>
    <w:p>
      <w:pPr>
        <w:spacing w:line="360" w:lineRule="auto"/>
        <w:ind w:firstLine="422" w:firstLineChars="200"/>
        <w:rPr>
          <w:rFonts w:hint="eastAsia" w:eastAsia="宋体"/>
          <w:color w:val="auto"/>
          <w:sz w:val="21"/>
          <w:szCs w:val="21"/>
        </w:rPr>
      </w:pPr>
      <w:r>
        <w:rPr>
          <w:rFonts w:hint="eastAsia" w:eastAsia="宋体"/>
          <w:b/>
          <w:bCs/>
          <w:color w:val="auto"/>
          <w:sz w:val="21"/>
          <w:szCs w:val="21"/>
        </w:rPr>
        <w:t>投标保证金退还时间：</w:t>
      </w:r>
      <w:r>
        <w:rPr>
          <w:rFonts w:hint="eastAsia" w:eastAsia="宋体"/>
          <w:color w:val="auto"/>
          <w:sz w:val="21"/>
          <w:szCs w:val="21"/>
        </w:rPr>
        <w:t>中标结果公示发出后3个工作日内，退还非中标人的投标保证金；中标人合同签订后持招标人同意退还证明、合同复印件及中标通知书复印件到盐城市大丰公共资源交易中心4楼6号窗口办理退还手续。</w:t>
      </w:r>
    </w:p>
    <w:p>
      <w:pPr>
        <w:spacing w:line="360" w:lineRule="auto"/>
        <w:ind w:firstLine="422" w:firstLineChars="200"/>
        <w:rPr>
          <w:rFonts w:hint="eastAsia" w:eastAsia="宋体"/>
          <w:color w:val="auto"/>
          <w:sz w:val="21"/>
          <w:szCs w:val="21"/>
        </w:rPr>
      </w:pPr>
      <w:r>
        <w:rPr>
          <w:rFonts w:hint="eastAsia" w:eastAsia="宋体"/>
          <w:b/>
          <w:bCs/>
          <w:color w:val="auto"/>
          <w:sz w:val="21"/>
          <w:szCs w:val="21"/>
        </w:rPr>
        <w:t>差额履约保证金退还时间：</w:t>
      </w:r>
      <w:r>
        <w:rPr>
          <w:rFonts w:hint="eastAsia" w:eastAsia="宋体"/>
          <w:color w:val="auto"/>
          <w:sz w:val="21"/>
          <w:szCs w:val="21"/>
        </w:rPr>
        <w:t>中标结果公示发出后3个工作日内，退还非中标人的差额履约保证金；中标人待项目竣工后持招标人同意退还证明及相关附件到盐城市大丰公共资源交易中心4楼6号窗口办理退还手续。</w:t>
      </w:r>
    </w:p>
    <w:p>
      <w:pPr>
        <w:spacing w:line="360" w:lineRule="auto"/>
        <w:ind w:firstLine="420" w:firstLineChars="200"/>
        <w:rPr>
          <w:rFonts w:hint="eastAsia" w:eastAsia="宋体"/>
          <w:color w:val="auto"/>
          <w:sz w:val="21"/>
          <w:szCs w:val="21"/>
          <w:lang w:val="en-US"/>
        </w:rPr>
      </w:pPr>
      <w:r>
        <w:rPr>
          <w:rFonts w:hint="eastAsia" w:eastAsia="宋体"/>
          <w:color w:val="auto"/>
          <w:sz w:val="21"/>
          <w:szCs w:val="21"/>
          <w:lang w:val="en-US"/>
        </w:rPr>
        <w:t>以电子保函（保单）、银行保函形式缴纳的保证金按相关协议执行，无需办理退款手续。</w:t>
      </w:r>
    </w:p>
    <w:p>
      <w:pPr>
        <w:spacing w:line="360" w:lineRule="auto"/>
        <w:ind w:firstLine="420" w:firstLineChars="200"/>
        <w:rPr>
          <w:rFonts w:hint="eastAsia" w:eastAsia="宋体"/>
          <w:color w:val="auto"/>
          <w:sz w:val="21"/>
          <w:szCs w:val="21"/>
        </w:rPr>
      </w:pPr>
      <w:r>
        <w:rPr>
          <w:rFonts w:hint="eastAsia" w:eastAsia="宋体"/>
          <w:color w:val="auto"/>
          <w:sz w:val="21"/>
          <w:szCs w:val="21"/>
          <w:lang w:val="en-US"/>
        </w:rPr>
        <w:t>2、</w:t>
      </w:r>
      <w:r>
        <w:rPr>
          <w:rFonts w:hint="eastAsia" w:eastAsia="宋体"/>
          <w:color w:val="auto"/>
          <w:sz w:val="21"/>
          <w:szCs w:val="21"/>
        </w:rPr>
        <w:t>有投诉（异议）的项目，中标候选人及异议人（投诉人）投标保证金在招标项目签订合同后予以退还。</w:t>
      </w:r>
    </w:p>
    <w:p>
      <w:pPr>
        <w:spacing w:line="360" w:lineRule="auto"/>
        <w:ind w:firstLine="420" w:firstLineChars="200"/>
        <w:rPr>
          <w:rFonts w:hint="eastAsia" w:eastAsia="宋体"/>
          <w:color w:val="auto"/>
          <w:sz w:val="21"/>
          <w:szCs w:val="21"/>
        </w:rPr>
      </w:pPr>
      <w:r>
        <w:rPr>
          <w:rFonts w:hint="eastAsia" w:eastAsia="宋体"/>
          <w:color w:val="auto"/>
          <w:sz w:val="21"/>
          <w:szCs w:val="21"/>
        </w:rPr>
        <w:t>因恶意投诉（异议）的、利用保密信息投诉的及投诉（异议）不实的投诉行为被通报的，自通报之日起6个月内，投诉（异议）人所有投标项目的投标保证金在招标项目签订合同后予以退还。</w:t>
      </w:r>
    </w:p>
    <w:p>
      <w:pPr>
        <w:spacing w:line="360" w:lineRule="auto"/>
        <w:ind w:firstLine="420" w:firstLineChars="200"/>
        <w:rPr>
          <w:rFonts w:hint="eastAsia" w:eastAsia="宋体"/>
          <w:color w:val="auto"/>
          <w:sz w:val="21"/>
          <w:szCs w:val="21"/>
        </w:rPr>
      </w:pPr>
      <w:r>
        <w:rPr>
          <w:rFonts w:hint="eastAsia" w:eastAsia="宋体"/>
          <w:color w:val="auto"/>
          <w:sz w:val="21"/>
          <w:szCs w:val="21"/>
        </w:rPr>
        <w:t>投诉人故意捏造事实、伪造证明材料或者以非法手段取得证明材料进行投诉的给他人造成的损失的，投诉人依法承担赔偿责任。招标人直接扣减相应数额，确认应予退还保证金的数额，并经监管机关存档后，办理退款手续。以电子保函（保单）形式提交投标保证金的，由被保险人发起理赔申请；以银行保函形式提供投标保证金的，由开立保函的银行根据招标人通知要求，支付银行保函中</w:t>
      </w:r>
      <w:r>
        <w:rPr>
          <w:rFonts w:hint="eastAsia" w:eastAsia="宋体"/>
          <w:color w:val="auto"/>
          <w:sz w:val="21"/>
          <w:szCs w:val="21"/>
          <w:lang w:val="en-US"/>
        </w:rPr>
        <w:t>相应</w:t>
      </w:r>
      <w:r>
        <w:rPr>
          <w:rFonts w:hint="eastAsia" w:eastAsia="宋体"/>
          <w:color w:val="auto"/>
          <w:sz w:val="21"/>
          <w:szCs w:val="21"/>
        </w:rPr>
        <w:t>的数额给招标人。</w:t>
      </w:r>
    </w:p>
    <w:p>
      <w:pPr>
        <w:spacing w:line="360" w:lineRule="auto"/>
        <w:ind w:firstLine="420" w:firstLineChars="200"/>
        <w:rPr>
          <w:rFonts w:hint="eastAsia" w:eastAsia="宋体"/>
          <w:color w:val="auto"/>
          <w:sz w:val="21"/>
          <w:szCs w:val="21"/>
        </w:rPr>
      </w:pPr>
      <w:r>
        <w:rPr>
          <w:rFonts w:hint="eastAsia" w:eastAsia="宋体"/>
          <w:color w:val="auto"/>
          <w:sz w:val="21"/>
          <w:szCs w:val="21"/>
          <w:lang w:val="en-US"/>
        </w:rPr>
        <w:t>3、</w:t>
      </w:r>
      <w:r>
        <w:rPr>
          <w:rFonts w:hint="eastAsia" w:eastAsia="宋体"/>
          <w:color w:val="auto"/>
          <w:sz w:val="21"/>
          <w:szCs w:val="21"/>
        </w:rPr>
        <w:t>有下列情形之一的，投标保证金将不予退还：</w:t>
      </w:r>
    </w:p>
    <w:p>
      <w:pPr>
        <w:spacing w:line="360" w:lineRule="auto"/>
        <w:ind w:firstLine="420" w:firstLineChars="200"/>
        <w:rPr>
          <w:rFonts w:hint="eastAsia" w:eastAsia="宋体"/>
          <w:color w:val="auto"/>
          <w:sz w:val="21"/>
          <w:szCs w:val="21"/>
        </w:rPr>
      </w:pPr>
      <w:r>
        <w:rPr>
          <w:rFonts w:hint="eastAsia" w:eastAsia="宋体"/>
          <w:color w:val="auto"/>
          <w:sz w:val="21"/>
          <w:szCs w:val="21"/>
        </w:rPr>
        <w:t>（1）投标人在规定的投标有效期内撤销或修改其投标文件的；</w:t>
      </w:r>
    </w:p>
    <w:p>
      <w:pPr>
        <w:spacing w:line="360" w:lineRule="auto"/>
        <w:ind w:firstLine="420" w:firstLineChars="200"/>
        <w:rPr>
          <w:rFonts w:hint="eastAsia" w:eastAsia="宋体"/>
          <w:color w:val="auto"/>
          <w:sz w:val="21"/>
          <w:szCs w:val="21"/>
        </w:rPr>
      </w:pPr>
      <w:r>
        <w:rPr>
          <w:rFonts w:hint="eastAsia" w:eastAsia="宋体"/>
          <w:color w:val="auto"/>
          <w:sz w:val="21"/>
          <w:szCs w:val="21"/>
        </w:rPr>
        <w:t>（2）中标人在收到中标通知书后，无正当理由拒绝签订合同协议书或未按招标文件规定的提交履约担保。</w:t>
      </w:r>
    </w:p>
    <w:p>
      <w:pPr>
        <w:spacing w:line="360" w:lineRule="auto"/>
        <w:ind w:firstLine="420" w:firstLineChars="200"/>
        <w:rPr>
          <w:rFonts w:hint="eastAsia" w:eastAsia="宋体"/>
          <w:color w:val="auto"/>
          <w:sz w:val="21"/>
          <w:szCs w:val="21"/>
        </w:rPr>
      </w:pPr>
      <w:r>
        <w:rPr>
          <w:rFonts w:hint="eastAsia" w:eastAsia="宋体"/>
          <w:color w:val="auto"/>
          <w:sz w:val="21"/>
          <w:szCs w:val="21"/>
        </w:rPr>
        <w:t>（3）中标人在签订合同时向招标人提出附加条件；</w:t>
      </w:r>
    </w:p>
    <w:p>
      <w:pPr>
        <w:spacing w:line="360" w:lineRule="auto"/>
        <w:ind w:firstLine="420" w:firstLineChars="200"/>
        <w:rPr>
          <w:rFonts w:hint="eastAsia" w:eastAsia="宋体"/>
          <w:color w:val="auto"/>
          <w:sz w:val="21"/>
          <w:szCs w:val="21"/>
        </w:rPr>
      </w:pPr>
      <w:r>
        <w:rPr>
          <w:rFonts w:hint="eastAsia" w:eastAsia="宋体"/>
          <w:color w:val="auto"/>
          <w:sz w:val="21"/>
          <w:szCs w:val="21"/>
        </w:rPr>
        <w:t>（4）投标人因串通投标、弄虚作假等违法行为被行政监督部门行政处罚的，投标保证金不予退还，归招标人所有。</w:t>
      </w:r>
    </w:p>
    <w:p>
      <w:pPr>
        <w:spacing w:line="360" w:lineRule="auto"/>
        <w:rPr>
          <w:rFonts w:hint="eastAsia" w:eastAsia="黑体"/>
          <w:color w:val="auto"/>
          <w:sz w:val="21"/>
          <w:szCs w:val="21"/>
        </w:rPr>
      </w:pPr>
      <w:bookmarkStart w:id="99" w:name="_Toc152042328"/>
      <w:bookmarkStart w:id="100" w:name="_Toc179632570"/>
      <w:bookmarkStart w:id="101" w:name="_Toc144974520"/>
      <w:bookmarkStart w:id="102" w:name="_Toc152045552"/>
      <w:r>
        <w:rPr>
          <w:rFonts w:eastAsia="黑体"/>
          <w:color w:val="auto"/>
          <w:sz w:val="21"/>
          <w:szCs w:val="21"/>
        </w:rPr>
        <w:t>3.5 资格审查资料</w:t>
      </w:r>
      <w:bookmarkEnd w:id="99"/>
      <w:bookmarkEnd w:id="100"/>
      <w:bookmarkEnd w:id="101"/>
      <w:bookmarkEnd w:id="102"/>
    </w:p>
    <w:p>
      <w:pPr>
        <w:spacing w:line="360" w:lineRule="auto"/>
        <w:ind w:firstLine="420" w:firstLineChars="200"/>
        <w:rPr>
          <w:rFonts w:hint="eastAsia"/>
          <w:color w:val="auto"/>
          <w:sz w:val="21"/>
          <w:szCs w:val="21"/>
        </w:rPr>
      </w:pPr>
      <w:bookmarkStart w:id="103" w:name="_Toc152045553"/>
      <w:bookmarkStart w:id="104" w:name="_Toc152042329"/>
      <w:bookmarkStart w:id="105" w:name="_Toc144974521"/>
      <w:bookmarkStart w:id="106" w:name="_Toc179632571"/>
      <w:r>
        <w:rPr>
          <w:color w:val="auto"/>
          <w:sz w:val="21"/>
          <w:szCs w:val="21"/>
        </w:rPr>
        <w:t xml:space="preserve">3.5.1 </w:t>
      </w:r>
      <w:r>
        <w:rPr>
          <w:rFonts w:hint="eastAsia"/>
          <w:color w:val="auto"/>
          <w:sz w:val="21"/>
          <w:szCs w:val="21"/>
        </w:rPr>
        <w:t xml:space="preserve"> 投标人应按投标人须知前附表规定提供资格审查资料，以证明其满足本章第</w:t>
      </w:r>
      <w:r>
        <w:rPr>
          <w:color w:val="auto"/>
          <w:sz w:val="21"/>
          <w:szCs w:val="21"/>
        </w:rPr>
        <w:t xml:space="preserve">1.4 </w:t>
      </w:r>
      <w:r>
        <w:rPr>
          <w:rFonts w:hint="eastAsia"/>
          <w:color w:val="auto"/>
          <w:sz w:val="21"/>
          <w:szCs w:val="21"/>
        </w:rPr>
        <w:t>款规定的资质、财务、业绩、信誉等要求。</w:t>
      </w:r>
    </w:p>
    <w:p>
      <w:pPr>
        <w:spacing w:line="360" w:lineRule="auto"/>
        <w:ind w:firstLine="420" w:firstLineChars="200"/>
        <w:rPr>
          <w:rFonts w:hint="eastAsia"/>
          <w:color w:val="auto"/>
          <w:sz w:val="21"/>
          <w:szCs w:val="21"/>
        </w:rPr>
      </w:pPr>
      <w:r>
        <w:rPr>
          <w:color w:val="auto"/>
          <w:sz w:val="21"/>
          <w:szCs w:val="21"/>
        </w:rPr>
        <w:t>3.5.</w:t>
      </w:r>
      <w:r>
        <w:rPr>
          <w:rFonts w:hint="eastAsia"/>
          <w:color w:val="auto"/>
          <w:sz w:val="21"/>
          <w:szCs w:val="21"/>
        </w:rPr>
        <w:t>2</w:t>
      </w:r>
      <w:r>
        <w:rPr>
          <w:color w:val="auto"/>
          <w:sz w:val="21"/>
          <w:szCs w:val="21"/>
        </w:rPr>
        <w:t xml:space="preserve"> </w:t>
      </w:r>
      <w:r>
        <w:rPr>
          <w:rFonts w:hint="eastAsia"/>
          <w:color w:val="auto"/>
          <w:sz w:val="21"/>
          <w:szCs w:val="21"/>
        </w:rPr>
        <w:t xml:space="preserve"> 投标人在投标文件中填报的项目经理不得擅自更换。</w:t>
      </w:r>
    </w:p>
    <w:p>
      <w:pPr>
        <w:spacing w:line="360" w:lineRule="auto"/>
        <w:ind w:firstLine="420" w:firstLineChars="200"/>
        <w:rPr>
          <w:color w:val="auto"/>
          <w:sz w:val="21"/>
          <w:szCs w:val="21"/>
        </w:rPr>
      </w:pPr>
      <w:r>
        <w:rPr>
          <w:rFonts w:hint="eastAsia"/>
          <w:color w:val="auto"/>
          <w:sz w:val="21"/>
          <w:szCs w:val="21"/>
        </w:rPr>
        <w:t>3.5.3  招标人将进一步核查投标人在投标文件中提供的材料，若在评标期间发现投标人提供了虚假资料，招标人有权对投标人的投标文件作废标处理，并没收其投标担保；若在评标结果公示期间发现作为中标候选人的投标人提供了虚假资料，招标人有权取消其中标资格并没收其投标担保；若在合同实施期间发现投标人提供了虚假资料， 招标人有权从工程支付款或履约保证金中扣除不超过10%签约合同价的金额作为违约金。同时招标人将投标人以上弄虚作假行为上报省级交通主管部门，作为不良记录纳入公路建设市场信用信息管理系统。</w:t>
      </w:r>
    </w:p>
    <w:p>
      <w:pPr>
        <w:spacing w:line="360" w:lineRule="auto"/>
        <w:ind w:firstLine="411" w:firstLineChars="196"/>
        <w:rPr>
          <w:rFonts w:hint="eastAsia"/>
          <w:b/>
          <w:color w:val="auto"/>
          <w:sz w:val="21"/>
          <w:szCs w:val="21"/>
        </w:rPr>
      </w:pPr>
      <w:r>
        <w:rPr>
          <w:rFonts w:hint="eastAsia"/>
          <w:color w:val="auto"/>
          <w:sz w:val="21"/>
          <w:szCs w:val="21"/>
        </w:rPr>
        <w:t>3.5.4</w:t>
      </w:r>
      <w:r>
        <w:rPr>
          <w:color w:val="auto"/>
          <w:sz w:val="21"/>
          <w:szCs w:val="21"/>
        </w:rPr>
        <w:t>投标人应仔细阅读招标文件的所有内容，按招标文件的要求编制、提供投标文件，并保证所提供的全部资料</w:t>
      </w:r>
      <w:r>
        <w:rPr>
          <w:rFonts w:hint="eastAsia"/>
          <w:color w:val="auto"/>
          <w:sz w:val="21"/>
          <w:szCs w:val="21"/>
        </w:rPr>
        <w:t>合法有效</w:t>
      </w:r>
      <w:r>
        <w:rPr>
          <w:color w:val="auto"/>
          <w:sz w:val="21"/>
          <w:szCs w:val="21"/>
        </w:rPr>
        <w:t>。</w:t>
      </w:r>
    </w:p>
    <w:p>
      <w:pPr>
        <w:spacing w:line="360" w:lineRule="auto"/>
        <w:rPr>
          <w:rFonts w:eastAsia="黑体"/>
          <w:color w:val="auto"/>
          <w:sz w:val="21"/>
          <w:szCs w:val="21"/>
        </w:rPr>
      </w:pPr>
      <w:r>
        <w:rPr>
          <w:rFonts w:eastAsia="黑体"/>
          <w:color w:val="auto"/>
          <w:sz w:val="21"/>
          <w:szCs w:val="21"/>
        </w:rPr>
        <w:t>3.6 备选投标方案</w:t>
      </w:r>
      <w:bookmarkEnd w:id="103"/>
      <w:bookmarkEnd w:id="104"/>
      <w:bookmarkEnd w:id="105"/>
      <w:bookmarkEnd w:id="106"/>
    </w:p>
    <w:p>
      <w:pPr>
        <w:spacing w:line="360" w:lineRule="auto"/>
        <w:ind w:firstLine="411" w:firstLineChars="196"/>
        <w:rPr>
          <w:color w:val="auto"/>
          <w:sz w:val="21"/>
          <w:szCs w:val="21"/>
        </w:rPr>
      </w:pPr>
      <w:bookmarkStart w:id="107" w:name="_Toc152045554"/>
      <w:bookmarkStart w:id="108" w:name="_Toc179632572"/>
      <w:bookmarkStart w:id="109" w:name="_Toc144974522"/>
      <w:bookmarkStart w:id="110" w:name="_Toc152042330"/>
      <w:r>
        <w:rPr>
          <w:rFonts w:hint="eastAsia"/>
          <w:color w:val="auto"/>
          <w:sz w:val="21"/>
          <w:szCs w:val="21"/>
        </w:rPr>
        <w:t xml:space="preserve">3.6.1 </w:t>
      </w:r>
      <w:r>
        <w:rPr>
          <w:color w:val="auto"/>
          <w:sz w:val="21"/>
          <w:szCs w:val="21"/>
        </w:rPr>
        <w:t>除投标人须知前附表规定允许外，投标人不得递交备选投标方案，否则其投标将被否决。</w:t>
      </w:r>
    </w:p>
    <w:p>
      <w:pPr>
        <w:spacing w:line="360" w:lineRule="auto"/>
        <w:ind w:firstLine="411" w:firstLineChars="196"/>
        <w:rPr>
          <w:color w:val="auto"/>
          <w:sz w:val="21"/>
          <w:szCs w:val="21"/>
        </w:rPr>
      </w:pPr>
      <w:r>
        <w:rPr>
          <w:rFonts w:hint="eastAsia"/>
          <w:color w:val="auto"/>
          <w:sz w:val="21"/>
          <w:szCs w:val="21"/>
        </w:rPr>
        <w:t xml:space="preserve">3.6.2 </w:t>
      </w:r>
      <w:r>
        <w:rPr>
          <w:color w:val="auto"/>
          <w:sz w:val="21"/>
          <w:szCs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ind w:firstLine="411" w:firstLineChars="196"/>
        <w:rPr>
          <w:rFonts w:hint="eastAsia"/>
          <w:color w:val="auto"/>
          <w:sz w:val="21"/>
          <w:szCs w:val="21"/>
        </w:rPr>
      </w:pPr>
      <w:r>
        <w:rPr>
          <w:rFonts w:hint="eastAsia"/>
          <w:color w:val="auto"/>
          <w:sz w:val="21"/>
          <w:szCs w:val="21"/>
        </w:rPr>
        <w:t xml:space="preserve">3.6.3 </w:t>
      </w:r>
      <w:r>
        <w:rPr>
          <w:color w:val="auto"/>
          <w:sz w:val="21"/>
          <w:szCs w:val="21"/>
        </w:rPr>
        <w:t>投标人提供两个或两个以上投标报价，或在投标文件中提供一个报价，但同时提供两个或两个以上施工组织设计的，视为提供备选方案。</w:t>
      </w:r>
    </w:p>
    <w:p>
      <w:pPr>
        <w:spacing w:line="360" w:lineRule="auto"/>
        <w:rPr>
          <w:rFonts w:eastAsia="黑体"/>
          <w:color w:val="auto"/>
          <w:sz w:val="21"/>
          <w:szCs w:val="21"/>
        </w:rPr>
      </w:pPr>
      <w:r>
        <w:rPr>
          <w:rFonts w:eastAsia="黑体"/>
          <w:color w:val="auto"/>
          <w:sz w:val="21"/>
          <w:szCs w:val="21"/>
        </w:rPr>
        <w:t>3.7 投标文件的编制</w:t>
      </w:r>
      <w:bookmarkEnd w:id="107"/>
      <w:bookmarkEnd w:id="108"/>
      <w:bookmarkEnd w:id="109"/>
      <w:bookmarkEnd w:id="110"/>
    </w:p>
    <w:p>
      <w:pPr>
        <w:spacing w:line="360" w:lineRule="auto"/>
        <w:ind w:firstLine="411" w:firstLineChars="196"/>
        <w:rPr>
          <w:color w:val="auto"/>
          <w:sz w:val="21"/>
          <w:szCs w:val="21"/>
        </w:rPr>
      </w:pPr>
      <w:r>
        <w:rPr>
          <w:rFonts w:hint="eastAsia"/>
          <w:color w:val="auto"/>
          <w:sz w:val="21"/>
          <w:szCs w:val="21"/>
          <w:lang w:val="en-US"/>
        </w:rPr>
        <w:t xml:space="preserve">3.7.1 投标文件应按第九章“投标文件格式”进行编写，如有必要，可以增加附页，作为投标文件的组成部分。其中，投标函附录在满足招标文件实质性要求的基础上，可以提出比招标文件要求更有利于招标人的承诺。 </w:t>
      </w:r>
    </w:p>
    <w:p>
      <w:pPr>
        <w:spacing w:line="360" w:lineRule="auto"/>
        <w:ind w:firstLine="411" w:firstLineChars="196"/>
        <w:rPr>
          <w:color w:val="auto"/>
          <w:sz w:val="21"/>
          <w:szCs w:val="21"/>
        </w:rPr>
      </w:pPr>
      <w:r>
        <w:rPr>
          <w:rFonts w:hint="eastAsia"/>
          <w:color w:val="auto"/>
          <w:sz w:val="21"/>
          <w:szCs w:val="21"/>
          <w:lang w:val="en-US"/>
        </w:rPr>
        <w:t xml:space="preserve">3.7.2 投标文件应对招标文件有关工期、投标有效期、质量要求、安全目标、技术标准和要求、招标范围等实质性内容作出响应。 </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3.7.3 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 </w:t>
      </w:r>
    </w:p>
    <w:p>
      <w:pPr>
        <w:spacing w:line="360" w:lineRule="auto"/>
        <w:ind w:firstLine="411" w:firstLineChars="196"/>
        <w:rPr>
          <w:rFonts w:hint="eastAsia"/>
          <w:color w:val="auto"/>
          <w:sz w:val="21"/>
          <w:szCs w:val="21"/>
          <w:lang w:val="en-US"/>
        </w:rPr>
      </w:pPr>
      <w:r>
        <w:rPr>
          <w:rFonts w:hint="eastAsia"/>
          <w:color w:val="auto"/>
          <w:sz w:val="21"/>
          <w:szCs w:val="21"/>
          <w:lang w:val="en-US"/>
        </w:rPr>
        <w:t>如果投标文件由委托代理人签署，则投标人须提交授权委托书，授权委托书应按第九章“投标文件格式”的要求出具，并由法定代表人和委托代理人亲笔签名，不得使用印章、签名章或其他电子制版签名代替。</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如果由投标人的法定代表人亲自签署投标文件，则投标人须提交法定代表人身份证明，身份证明应符合第九章“投标文件格式”的要求。 </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投标文件应尽量避免涂改、行间插字或删除。如果出现上述情况，改动之处应由投标人的法定代表人或其授权的代理人签字或盖单位章。 </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3.7.4 投标文件正本一份, 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 </w:t>
      </w:r>
    </w:p>
    <w:p>
      <w:pPr>
        <w:spacing w:line="360" w:lineRule="auto"/>
        <w:ind w:firstLine="411" w:firstLineChars="196"/>
        <w:rPr>
          <w:rFonts w:hint="eastAsia"/>
          <w:color w:val="auto"/>
          <w:sz w:val="21"/>
          <w:szCs w:val="21"/>
          <w:lang w:val="en-US"/>
        </w:rPr>
      </w:pPr>
      <w:r>
        <w:rPr>
          <w:rFonts w:hint="eastAsia"/>
          <w:color w:val="auto"/>
          <w:sz w:val="21"/>
          <w:szCs w:val="21"/>
          <w:lang w:val="en-US"/>
        </w:rPr>
        <w:t>3.7.5 投标文件的正本与副本应分别装订成册（A4 纸幅）。投标文件不得采用活页夹装订，否则，招标人对由于投标文件装订松散而造成的丢失或其他后果不承担任何责任。装订的其他要求见投标人须知前附表。</w:t>
      </w:r>
    </w:p>
    <w:p>
      <w:pPr>
        <w:spacing w:line="360" w:lineRule="auto"/>
        <w:outlineLvl w:val="1"/>
        <w:rPr>
          <w:rFonts w:eastAsia="黑体"/>
          <w:b/>
          <w:color w:val="auto"/>
          <w:sz w:val="28"/>
        </w:rPr>
      </w:pPr>
      <w:bookmarkStart w:id="111" w:name="_Toc398968711"/>
      <w:bookmarkStart w:id="112" w:name="_Toc406585743"/>
      <w:bookmarkStart w:id="113" w:name="_Toc458764405"/>
      <w:r>
        <w:rPr>
          <w:rFonts w:eastAsia="黑体"/>
          <w:b/>
          <w:color w:val="auto"/>
          <w:sz w:val="28"/>
        </w:rPr>
        <w:t>4. 投标</w:t>
      </w:r>
      <w:bookmarkEnd w:id="111"/>
      <w:bookmarkEnd w:id="112"/>
      <w:bookmarkEnd w:id="113"/>
    </w:p>
    <w:p>
      <w:pPr>
        <w:spacing w:line="360" w:lineRule="auto"/>
        <w:rPr>
          <w:rFonts w:hint="eastAsia" w:eastAsia="黑体"/>
          <w:color w:val="auto"/>
          <w:sz w:val="21"/>
          <w:szCs w:val="21"/>
        </w:rPr>
      </w:pPr>
      <w:r>
        <w:rPr>
          <w:rFonts w:eastAsia="黑体"/>
          <w:color w:val="auto"/>
          <w:sz w:val="21"/>
          <w:szCs w:val="21"/>
        </w:rPr>
        <w:t>4.1</w:t>
      </w:r>
      <w:r>
        <w:rPr>
          <w:rFonts w:hint="eastAsia" w:eastAsia="黑体"/>
          <w:color w:val="auto"/>
          <w:sz w:val="21"/>
          <w:szCs w:val="21"/>
        </w:rPr>
        <w:t xml:space="preserve"> </w:t>
      </w:r>
      <w:r>
        <w:rPr>
          <w:rFonts w:hint="eastAsia" w:eastAsia="黑体"/>
          <w:color w:val="auto"/>
          <w:sz w:val="21"/>
          <w:szCs w:val="21"/>
          <w:lang w:val="en-US"/>
        </w:rPr>
        <w:t>投标文件的密封和标识</w:t>
      </w:r>
    </w:p>
    <w:p>
      <w:pPr>
        <w:spacing w:line="360" w:lineRule="auto"/>
        <w:ind w:firstLine="420" w:firstLineChars="200"/>
        <w:rPr>
          <w:rFonts w:hint="eastAsia" w:eastAsia="宋体"/>
          <w:color w:val="auto"/>
          <w:sz w:val="21"/>
          <w:szCs w:val="21"/>
          <w:lang w:eastAsia="zh-CN"/>
        </w:rPr>
      </w:pPr>
      <w:bookmarkStart w:id="114" w:name="_Toc152045557"/>
      <w:bookmarkStart w:id="115" w:name="_Toc144974525"/>
      <w:bookmarkStart w:id="116" w:name="_Toc179632575"/>
      <w:bookmarkStart w:id="117" w:name="_Toc152042333"/>
      <w:r>
        <w:rPr>
          <w:rFonts w:hint="eastAsia"/>
          <w:color w:val="auto"/>
          <w:sz w:val="21"/>
          <w:szCs w:val="21"/>
          <w:lang w:val="en-US"/>
        </w:rPr>
        <w:t xml:space="preserve">4.1.1 </w:t>
      </w:r>
      <w:r>
        <w:rPr>
          <w:rFonts w:hint="eastAsia"/>
          <w:color w:val="auto"/>
          <w:sz w:val="21"/>
          <w:szCs w:val="21"/>
          <w:lang w:val="en-US" w:eastAsia="zh-CN"/>
        </w:rPr>
        <w:t>投标人应在招标文件规定的投标截止时间前完成投标文件的递交。</w:t>
      </w:r>
    </w:p>
    <w:p>
      <w:pPr>
        <w:spacing w:line="360" w:lineRule="auto"/>
        <w:ind w:firstLine="420" w:firstLineChars="200"/>
        <w:rPr>
          <w:rFonts w:hint="eastAsia"/>
          <w:color w:val="auto"/>
          <w:sz w:val="21"/>
          <w:szCs w:val="21"/>
        </w:rPr>
      </w:pPr>
      <w:r>
        <w:rPr>
          <w:rFonts w:hint="eastAsia"/>
          <w:color w:val="auto"/>
          <w:sz w:val="21"/>
          <w:szCs w:val="21"/>
          <w:lang w:val="en-US"/>
        </w:rPr>
        <w:t xml:space="preserve">4.1.2 投标文件封套上应写明的内容见投标人须知前附表。 </w:t>
      </w:r>
    </w:p>
    <w:p>
      <w:pPr>
        <w:spacing w:line="360" w:lineRule="auto"/>
        <w:ind w:firstLine="420" w:firstLineChars="200"/>
        <w:rPr>
          <w:rFonts w:hint="eastAsia"/>
          <w:color w:val="auto"/>
          <w:sz w:val="21"/>
          <w:szCs w:val="21"/>
        </w:rPr>
      </w:pPr>
      <w:r>
        <w:rPr>
          <w:rFonts w:hint="eastAsia"/>
          <w:color w:val="auto"/>
          <w:sz w:val="21"/>
          <w:szCs w:val="21"/>
          <w:lang w:val="en-US"/>
        </w:rPr>
        <w:t>4.1.3 未按本章第 4.1.1 项要求密封的投标文件，招标人将予以拒收。</w:t>
      </w:r>
    </w:p>
    <w:p>
      <w:pPr>
        <w:spacing w:line="360" w:lineRule="auto"/>
        <w:rPr>
          <w:rFonts w:eastAsia="黑体"/>
          <w:color w:val="auto"/>
          <w:sz w:val="21"/>
          <w:szCs w:val="21"/>
        </w:rPr>
      </w:pPr>
      <w:r>
        <w:rPr>
          <w:rFonts w:eastAsia="黑体"/>
          <w:color w:val="auto"/>
          <w:sz w:val="21"/>
          <w:szCs w:val="21"/>
        </w:rPr>
        <w:t>4.2 投标文件的递交</w:t>
      </w:r>
      <w:bookmarkEnd w:id="114"/>
      <w:bookmarkEnd w:id="115"/>
      <w:bookmarkEnd w:id="116"/>
      <w:bookmarkEnd w:id="117"/>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4.2.1 标人应在投标人须知前附表规定的投标截止时间前递交投标文件。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4.2.2 投标人递交投标文件的地点：见投标人须知前附表。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4.2.3 </w:t>
      </w:r>
      <w:r>
        <w:rPr>
          <w:rFonts w:hint="eastAsia"/>
          <w:color w:val="auto"/>
          <w:sz w:val="21"/>
          <w:szCs w:val="21"/>
          <w:lang w:val="en-US" w:eastAsia="zh-CN"/>
        </w:rPr>
        <w:t>除招标文件另有规定外，投标人所递交的投标文件不予退还。</w:t>
      </w:r>
      <w:r>
        <w:rPr>
          <w:rFonts w:hint="eastAsia"/>
          <w:color w:val="auto"/>
          <w:sz w:val="21"/>
          <w:szCs w:val="21"/>
          <w:lang w:val="en-US"/>
        </w:rPr>
        <w:t xml:space="preserve"> </w:t>
      </w:r>
    </w:p>
    <w:p>
      <w:pPr>
        <w:spacing w:line="360" w:lineRule="auto"/>
        <w:ind w:firstLine="420" w:firstLineChars="200"/>
        <w:rPr>
          <w:rFonts w:hint="eastAsia"/>
          <w:color w:val="auto"/>
          <w:sz w:val="21"/>
          <w:szCs w:val="21"/>
          <w:lang w:val="en-US"/>
        </w:rPr>
      </w:pPr>
      <w:r>
        <w:rPr>
          <w:rFonts w:hint="eastAsia"/>
          <w:color w:val="auto"/>
          <w:sz w:val="21"/>
          <w:szCs w:val="21"/>
          <w:lang w:val="en-US"/>
        </w:rPr>
        <w:t>4.2.5 逾期</w:t>
      </w:r>
      <w:r>
        <w:rPr>
          <w:rFonts w:hint="eastAsia"/>
          <w:color w:val="auto"/>
          <w:sz w:val="21"/>
          <w:szCs w:val="21"/>
          <w:lang w:val="en-US" w:eastAsia="zh-CN"/>
        </w:rPr>
        <w:t>上传</w:t>
      </w:r>
      <w:r>
        <w:rPr>
          <w:rFonts w:hint="eastAsia"/>
          <w:color w:val="auto"/>
          <w:sz w:val="21"/>
          <w:szCs w:val="21"/>
          <w:lang w:val="en-US"/>
        </w:rPr>
        <w:t>的投标文件，招标人将予以拒收。</w:t>
      </w:r>
    </w:p>
    <w:p>
      <w:pPr>
        <w:spacing w:line="360" w:lineRule="auto"/>
        <w:rPr>
          <w:rFonts w:eastAsia="黑体"/>
          <w:color w:val="auto"/>
          <w:sz w:val="21"/>
          <w:szCs w:val="21"/>
        </w:rPr>
      </w:pPr>
      <w:r>
        <w:rPr>
          <w:rFonts w:eastAsia="黑体"/>
          <w:color w:val="auto"/>
          <w:sz w:val="21"/>
          <w:szCs w:val="21"/>
        </w:rPr>
        <w:t xml:space="preserve">4.3 </w:t>
      </w:r>
      <w:r>
        <w:rPr>
          <w:rFonts w:hint="eastAsia" w:eastAsia="黑体"/>
          <w:color w:val="auto"/>
          <w:sz w:val="21"/>
          <w:szCs w:val="21"/>
        </w:rPr>
        <w:t>投标文件的修改与撤回</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4.3.1 在本章第 4.2.1 项规定的投标截止时间前，投标人可以修改或撤回已递交的投标文件，但应以书面形式通知招标人。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4.3.2 投标人修改或撤回已递交投标文件的书面通知应按照本章第3.7.3项的要求签字或盖章。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4.3.3 投标人撤回投标文件的，招标人自收到投标人书面撤回通知之日起5日内 退还已收取的投标保证金。 </w:t>
      </w:r>
    </w:p>
    <w:p>
      <w:pPr>
        <w:spacing w:line="360" w:lineRule="auto"/>
        <w:ind w:firstLine="420" w:firstLineChars="200"/>
        <w:rPr>
          <w:rFonts w:hint="eastAsia"/>
          <w:color w:val="auto"/>
        </w:rPr>
      </w:pPr>
      <w:r>
        <w:rPr>
          <w:rFonts w:hint="eastAsia"/>
          <w:color w:val="auto"/>
          <w:sz w:val="21"/>
          <w:szCs w:val="21"/>
          <w:lang w:val="en-US"/>
        </w:rPr>
        <w:t>4.3.4 修改的内容为投标文件的组成部分。修改的投标文件应按照本章第3条、第4条的规定进行编制、密封、标记和递交，并标明“修改”字样。</w:t>
      </w:r>
      <w:bookmarkStart w:id="118" w:name="_Toc398968712"/>
      <w:bookmarkStart w:id="119" w:name="_Toc144974527"/>
      <w:bookmarkStart w:id="120" w:name="_Toc406585744"/>
      <w:bookmarkStart w:id="121" w:name="_Toc179632577"/>
      <w:bookmarkStart w:id="122" w:name="_Toc152045559"/>
      <w:bookmarkStart w:id="123" w:name="_Toc152042335"/>
    </w:p>
    <w:p>
      <w:pPr>
        <w:spacing w:line="360" w:lineRule="auto"/>
        <w:outlineLvl w:val="1"/>
        <w:rPr>
          <w:rFonts w:eastAsia="黑体"/>
          <w:b/>
          <w:color w:val="auto"/>
          <w:sz w:val="28"/>
        </w:rPr>
      </w:pPr>
      <w:bookmarkStart w:id="124" w:name="_Toc458764406"/>
      <w:r>
        <w:rPr>
          <w:rFonts w:eastAsia="黑体"/>
          <w:b/>
          <w:color w:val="auto"/>
          <w:sz w:val="28"/>
        </w:rPr>
        <w:t>5. 开标</w:t>
      </w:r>
      <w:bookmarkEnd w:id="118"/>
      <w:bookmarkEnd w:id="119"/>
      <w:bookmarkEnd w:id="120"/>
      <w:bookmarkEnd w:id="121"/>
      <w:bookmarkEnd w:id="122"/>
      <w:bookmarkEnd w:id="123"/>
      <w:bookmarkEnd w:id="124"/>
      <w:bookmarkStart w:id="125" w:name="_Toc152045560"/>
      <w:bookmarkStart w:id="126" w:name="_Toc152042336"/>
      <w:bookmarkStart w:id="127" w:name="_Toc179632578"/>
      <w:bookmarkStart w:id="128" w:name="_Toc144974528"/>
    </w:p>
    <w:p>
      <w:pPr>
        <w:spacing w:line="360" w:lineRule="auto"/>
        <w:rPr>
          <w:rFonts w:eastAsia="黑体"/>
          <w:color w:val="auto"/>
          <w:sz w:val="21"/>
          <w:szCs w:val="21"/>
        </w:rPr>
      </w:pPr>
      <w:r>
        <w:rPr>
          <w:rFonts w:eastAsia="黑体"/>
          <w:color w:val="auto"/>
          <w:sz w:val="21"/>
          <w:szCs w:val="21"/>
        </w:rPr>
        <w:t>5.1 开标时间和地点</w:t>
      </w:r>
      <w:bookmarkEnd w:id="125"/>
      <w:bookmarkEnd w:id="126"/>
      <w:bookmarkEnd w:id="127"/>
      <w:bookmarkEnd w:id="128"/>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5.1.1 招标人在本章第4.2.1项规定的投标截止时间（开标时间）和投标人须知前附表规定的地点公开开标。开标时，投标人不需出现在开标现场，仅需在任意地点通过 PC端或移动端的“腾讯会议”及相应的配套硬件设备参加开标会议。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5.1.2 参加开标会议的方法：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⑴投标人投标截止时间前须通过电脑或智能手机搜索下载并安装“腾讯会议”，完成注册。 </w:t>
      </w:r>
    </w:p>
    <w:p>
      <w:pPr>
        <w:spacing w:line="360" w:lineRule="auto"/>
        <w:ind w:firstLine="420" w:firstLineChars="200"/>
        <w:rPr>
          <w:rFonts w:hint="eastAsia"/>
          <w:color w:val="auto"/>
          <w:sz w:val="21"/>
          <w:szCs w:val="21"/>
          <w:lang w:val="en-US"/>
        </w:rPr>
      </w:pPr>
      <w:r>
        <w:rPr>
          <w:rFonts w:hint="eastAsia"/>
          <w:color w:val="auto"/>
          <w:sz w:val="21"/>
          <w:szCs w:val="21"/>
          <w:lang w:val="en-US"/>
        </w:rPr>
        <w:t>⑵投标截止时间前10分钟，招标代理将开启会议系统，各投标人登入腾讯会议后点击“加入会议”，输入会议号“</w:t>
      </w:r>
      <w:r>
        <w:rPr>
          <w:rFonts w:hint="eastAsia"/>
          <w:b/>
          <w:bCs/>
          <w:color w:val="auto"/>
          <w:szCs w:val="21"/>
          <w:u w:val="single"/>
          <w:lang w:val="en-US" w:eastAsia="zh-CN"/>
        </w:rPr>
        <w:t xml:space="preserve">          </w:t>
      </w:r>
      <w:r>
        <w:rPr>
          <w:rFonts w:hint="eastAsia"/>
          <w:color w:val="auto"/>
          <w:sz w:val="21"/>
          <w:szCs w:val="21"/>
          <w:lang w:val="en-US"/>
        </w:rPr>
        <w:t xml:space="preserve">”，“您的姓名”按“单位简称+授权委托人姓名”格式填写，然后点击“加入会议”。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5.1.3 因本工程采用不见面开标模式，故招标人特别说明如下：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⑴投标人投标文件的编制和递交，应依照招标文件的规定进行。如未按招标文件要求编制、递交投标文件，将可能导致废标，其后果由投标人自负。特别说明：由于本项目时间紧、任务重，又恰逢防控新型冠状病毒肺炎疫情期，因某种原因无法在规定的时间内递交投标文件的，视同放弃此次投标机会，不得向招标人、监管部门、招标代理机构等所有相关部门追责。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⑵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⑶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⑷为顺利实现本项目开评标的远程交互，建议投标人配置能够实现远程音视频通话的高配置笔记本电脑或手机，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⑸友情提醒：投标人如对上述腾讯会议软件等有疑问的，请尽早和软件公司的服务人员或其他专业人员联系，他们会根据投标人要求，提供必要的培训和技术支持。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腾讯客服联系方式：0755-83765566 </w:t>
      </w:r>
    </w:p>
    <w:p>
      <w:pPr>
        <w:spacing w:line="360" w:lineRule="auto"/>
        <w:ind w:firstLine="420" w:firstLineChars="200"/>
        <w:rPr>
          <w:rFonts w:hint="eastAsia" w:eastAsia="宋体"/>
          <w:color w:val="auto"/>
          <w:sz w:val="21"/>
          <w:szCs w:val="21"/>
          <w:lang w:eastAsia="zh-CN"/>
        </w:rPr>
      </w:pPr>
      <w:r>
        <w:rPr>
          <w:rFonts w:hint="eastAsia"/>
          <w:color w:val="auto"/>
          <w:sz w:val="21"/>
          <w:szCs w:val="21"/>
          <w:lang w:val="en-US"/>
        </w:rPr>
        <w:t>招标代理业务技术支持联系人：</w:t>
      </w:r>
      <w:r>
        <w:rPr>
          <w:rFonts w:hint="eastAsia"/>
          <w:color w:val="auto"/>
          <w:sz w:val="21"/>
          <w:szCs w:val="21"/>
          <w:lang w:val="en-US" w:eastAsia="zh-CN"/>
        </w:rPr>
        <w:t>乔军</w:t>
      </w:r>
      <w:r>
        <w:rPr>
          <w:rFonts w:hint="eastAsia"/>
          <w:color w:val="auto"/>
          <w:sz w:val="21"/>
          <w:szCs w:val="21"/>
          <w:lang w:val="en-US"/>
        </w:rPr>
        <w:t xml:space="preserve">   联系电话：</w:t>
      </w:r>
      <w:r>
        <w:rPr>
          <w:rFonts w:hint="eastAsia"/>
          <w:color w:val="auto"/>
          <w:sz w:val="21"/>
          <w:szCs w:val="21"/>
          <w:lang w:val="en-US" w:eastAsia="zh-CN"/>
        </w:rPr>
        <w:t>13645100506</w:t>
      </w:r>
    </w:p>
    <w:p>
      <w:pPr>
        <w:spacing w:line="360" w:lineRule="auto"/>
        <w:rPr>
          <w:rFonts w:eastAsia="黑体"/>
          <w:color w:val="auto"/>
          <w:sz w:val="21"/>
          <w:szCs w:val="21"/>
        </w:rPr>
      </w:pPr>
      <w:bookmarkStart w:id="129" w:name="_Toc144974529"/>
      <w:bookmarkStart w:id="130" w:name="_Toc179632579"/>
      <w:bookmarkStart w:id="131" w:name="_Toc152045561"/>
      <w:bookmarkStart w:id="132" w:name="_Toc152042337"/>
      <w:r>
        <w:rPr>
          <w:rFonts w:eastAsia="黑体"/>
          <w:color w:val="auto"/>
          <w:sz w:val="21"/>
          <w:szCs w:val="21"/>
        </w:rPr>
        <w:t>5.2 开标程序</w:t>
      </w:r>
      <w:bookmarkEnd w:id="129"/>
      <w:bookmarkEnd w:id="130"/>
      <w:bookmarkEnd w:id="131"/>
      <w:bookmarkEnd w:id="132"/>
    </w:p>
    <w:p>
      <w:pPr>
        <w:spacing w:line="360" w:lineRule="auto"/>
        <w:ind w:firstLine="420" w:firstLineChars="200"/>
        <w:rPr>
          <w:rFonts w:hint="eastAsia"/>
          <w:color w:val="auto"/>
          <w:sz w:val="21"/>
          <w:szCs w:val="21"/>
        </w:rPr>
      </w:pPr>
      <w:r>
        <w:rPr>
          <w:rFonts w:hint="eastAsia"/>
          <w:color w:val="auto"/>
          <w:sz w:val="21"/>
          <w:szCs w:val="21"/>
        </w:rPr>
        <w:t>5.2.1 </w:t>
      </w:r>
      <w:r>
        <w:rPr>
          <w:rFonts w:hint="eastAsia"/>
          <w:color w:val="auto"/>
          <w:sz w:val="21"/>
          <w:szCs w:val="21"/>
          <w:lang w:val="en-US"/>
        </w:rPr>
        <w:t xml:space="preserve">主持人按下列程序进行开标： </w:t>
      </w:r>
    </w:p>
    <w:p>
      <w:pPr>
        <w:spacing w:line="360" w:lineRule="auto"/>
        <w:ind w:firstLine="420" w:firstLineChars="200"/>
        <w:rPr>
          <w:rFonts w:hint="eastAsia"/>
          <w:color w:val="auto"/>
          <w:sz w:val="21"/>
          <w:szCs w:val="21"/>
        </w:rPr>
      </w:pPr>
      <w:r>
        <w:rPr>
          <w:rFonts w:hint="eastAsia"/>
          <w:color w:val="auto"/>
          <w:sz w:val="21"/>
          <w:szCs w:val="21"/>
          <w:lang w:val="en-US"/>
        </w:rPr>
        <w:t xml:space="preserve">（1）宣布开标纪律； </w:t>
      </w:r>
    </w:p>
    <w:p>
      <w:pPr>
        <w:spacing w:line="360" w:lineRule="auto"/>
        <w:ind w:firstLine="420" w:firstLineChars="200"/>
        <w:rPr>
          <w:rFonts w:hint="eastAsia"/>
          <w:color w:val="auto"/>
          <w:sz w:val="21"/>
          <w:szCs w:val="21"/>
        </w:rPr>
      </w:pPr>
      <w:r>
        <w:rPr>
          <w:rFonts w:hint="eastAsia"/>
          <w:color w:val="auto"/>
          <w:sz w:val="21"/>
          <w:szCs w:val="21"/>
          <w:lang w:val="en-US"/>
        </w:rPr>
        <w:t xml:space="preserve">（2）公布在投标截止时间前递交投标文件的投标人名称； </w:t>
      </w:r>
    </w:p>
    <w:p>
      <w:pPr>
        <w:spacing w:line="360" w:lineRule="auto"/>
        <w:ind w:firstLine="420" w:firstLineChars="200"/>
        <w:rPr>
          <w:rFonts w:hint="eastAsia"/>
          <w:color w:val="auto"/>
          <w:sz w:val="21"/>
          <w:szCs w:val="21"/>
        </w:rPr>
      </w:pPr>
      <w:r>
        <w:rPr>
          <w:rFonts w:hint="eastAsia"/>
          <w:color w:val="auto"/>
          <w:sz w:val="21"/>
          <w:szCs w:val="21"/>
          <w:lang w:val="en-US"/>
        </w:rPr>
        <w:t xml:space="preserve">（3）宣布开标人、唱标人、记录人、监标人等有关人员姓名； </w:t>
      </w:r>
    </w:p>
    <w:p>
      <w:pPr>
        <w:spacing w:line="360" w:lineRule="auto"/>
        <w:ind w:firstLine="420" w:firstLineChars="200"/>
        <w:rPr>
          <w:rFonts w:hint="eastAsia"/>
          <w:color w:val="auto"/>
          <w:sz w:val="21"/>
          <w:szCs w:val="21"/>
        </w:rPr>
      </w:pPr>
      <w:r>
        <w:rPr>
          <w:rFonts w:hint="eastAsia"/>
          <w:color w:val="auto"/>
          <w:sz w:val="21"/>
          <w:szCs w:val="21"/>
          <w:lang w:val="en-US"/>
        </w:rPr>
        <w:t xml:space="preserve">（4）检查投标文件的密封情况，招标人代表抽取本招标文件约定须在开标现场随机抽取的系（不论几个系数，均由同一个招标人代表抽取），当众开标，公布招标项目名称、投标人名称、投标保证金的递交情况、投标报价、工期及其他内容，并记录在案； </w:t>
      </w:r>
    </w:p>
    <w:p>
      <w:pPr>
        <w:spacing w:line="360" w:lineRule="auto"/>
        <w:ind w:firstLine="420" w:firstLineChars="200"/>
        <w:rPr>
          <w:rFonts w:hint="eastAsia"/>
          <w:color w:val="auto"/>
          <w:sz w:val="21"/>
          <w:szCs w:val="21"/>
        </w:rPr>
      </w:pPr>
      <w:r>
        <w:rPr>
          <w:rFonts w:hint="eastAsia"/>
          <w:color w:val="auto"/>
          <w:sz w:val="21"/>
          <w:szCs w:val="21"/>
          <w:lang w:val="en-US"/>
        </w:rPr>
        <w:t xml:space="preserve">（5）招标人代表、监标人、记录人等有关人员在开标记录上签字确认； </w:t>
      </w:r>
    </w:p>
    <w:p>
      <w:pPr>
        <w:spacing w:line="360" w:lineRule="auto"/>
        <w:ind w:firstLine="420" w:firstLineChars="200"/>
        <w:rPr>
          <w:rFonts w:hint="eastAsia"/>
          <w:color w:val="auto"/>
          <w:sz w:val="21"/>
          <w:szCs w:val="21"/>
        </w:rPr>
      </w:pPr>
      <w:r>
        <w:rPr>
          <w:rFonts w:hint="eastAsia"/>
          <w:color w:val="auto"/>
          <w:sz w:val="21"/>
          <w:szCs w:val="21"/>
          <w:lang w:val="en-US"/>
        </w:rPr>
        <w:t xml:space="preserve">（6）投标人对开标有异议的，应当在开标时通过会议系统向招标人提出，由招标人答复并制作记录。未提出书面异议的视为认同； </w:t>
      </w:r>
    </w:p>
    <w:p>
      <w:pPr>
        <w:spacing w:line="360" w:lineRule="auto"/>
        <w:ind w:firstLine="420" w:firstLineChars="200"/>
        <w:rPr>
          <w:rFonts w:hint="eastAsia"/>
          <w:color w:val="auto"/>
          <w:sz w:val="21"/>
          <w:szCs w:val="21"/>
        </w:rPr>
      </w:pPr>
      <w:r>
        <w:rPr>
          <w:rFonts w:hint="eastAsia"/>
          <w:color w:val="auto"/>
          <w:sz w:val="21"/>
          <w:szCs w:val="21"/>
          <w:lang w:val="en-US"/>
        </w:rPr>
        <w:t>（7）开标结束。</w:t>
      </w:r>
    </w:p>
    <w:p>
      <w:pPr>
        <w:spacing w:line="360" w:lineRule="auto"/>
        <w:ind w:firstLine="420" w:firstLineChars="200"/>
        <w:rPr>
          <w:rFonts w:hint="eastAsia"/>
          <w:color w:val="auto"/>
          <w:sz w:val="21"/>
          <w:szCs w:val="21"/>
          <w:lang w:val="en-US"/>
        </w:rPr>
      </w:pPr>
      <w:r>
        <w:rPr>
          <w:rFonts w:hint="eastAsia"/>
          <w:color w:val="auto"/>
          <w:sz w:val="21"/>
          <w:szCs w:val="21"/>
          <w:lang w:val="en-US"/>
        </w:rPr>
        <w:t>5.2.</w:t>
      </w:r>
      <w:r>
        <w:rPr>
          <w:rFonts w:hint="eastAsia"/>
          <w:color w:val="auto"/>
          <w:sz w:val="21"/>
          <w:szCs w:val="21"/>
          <w:lang w:val="en-US" w:eastAsia="zh-CN"/>
        </w:rPr>
        <w:t>2</w:t>
      </w:r>
      <w:r>
        <w:rPr>
          <w:rFonts w:hint="eastAsia"/>
          <w:color w:val="auto"/>
          <w:sz w:val="21"/>
          <w:szCs w:val="21"/>
          <w:lang w:val="en-US"/>
        </w:rPr>
        <w:t xml:space="preserve"> 若招标人宣读的内容与投标文件不符，投标人有权在开标现场提出疑问，经招标人当场 </w:t>
      </w:r>
    </w:p>
    <w:p>
      <w:pPr>
        <w:spacing w:line="360" w:lineRule="auto"/>
        <w:rPr>
          <w:rFonts w:hint="eastAsia"/>
          <w:color w:val="auto"/>
          <w:sz w:val="21"/>
          <w:szCs w:val="21"/>
          <w:lang w:val="en-US"/>
        </w:rPr>
      </w:pPr>
      <w:r>
        <w:rPr>
          <w:rFonts w:hint="eastAsia"/>
          <w:color w:val="auto"/>
          <w:sz w:val="21"/>
          <w:szCs w:val="21"/>
          <w:lang w:val="en-US"/>
        </w:rPr>
        <w:t>核查确认之后，可重新宣读其投标文件。若投标人现场未提出疑问，则认为投标人已确认招标人宣读的内容。</w:t>
      </w:r>
    </w:p>
    <w:p>
      <w:pPr>
        <w:spacing w:line="360" w:lineRule="auto"/>
        <w:rPr>
          <w:rFonts w:ascii="宋体" w:hAnsi="宋体" w:eastAsia="黑体" w:cs="宋体"/>
          <w:color w:val="auto"/>
          <w:sz w:val="21"/>
          <w:szCs w:val="21"/>
        </w:rPr>
      </w:pPr>
      <w:r>
        <w:rPr>
          <w:rFonts w:ascii="宋体" w:hAnsi="宋体" w:eastAsia="黑体" w:cs="宋体"/>
          <w:color w:val="auto"/>
          <w:sz w:val="21"/>
          <w:szCs w:val="21"/>
        </w:rPr>
        <w:t xml:space="preserve">5.4 </w:t>
      </w:r>
      <w:r>
        <w:rPr>
          <w:rFonts w:hint="eastAsia" w:ascii="宋体" w:hAnsi="宋体" w:eastAsia="黑体" w:cs="宋体"/>
          <w:color w:val="auto"/>
          <w:sz w:val="21"/>
          <w:szCs w:val="21"/>
        </w:rPr>
        <w:t>开标异议</w:t>
      </w:r>
    </w:p>
    <w:p>
      <w:pPr>
        <w:spacing w:line="360" w:lineRule="auto"/>
        <w:ind w:firstLine="420" w:firstLineChars="200"/>
        <w:rPr>
          <w:color w:val="auto"/>
        </w:rPr>
      </w:pPr>
      <w:r>
        <w:rPr>
          <w:rFonts w:hint="eastAsia"/>
          <w:color w:val="auto"/>
          <w:sz w:val="21"/>
          <w:szCs w:val="21"/>
        </w:rPr>
        <w:t>投标人对开标有异议的，应在开标现场提出，招标人当场作出答复，并制作记录。</w:t>
      </w:r>
    </w:p>
    <w:p>
      <w:pPr>
        <w:spacing w:line="360" w:lineRule="auto"/>
        <w:outlineLvl w:val="1"/>
        <w:rPr>
          <w:rFonts w:eastAsia="黑体"/>
          <w:b/>
          <w:color w:val="auto"/>
          <w:sz w:val="28"/>
        </w:rPr>
      </w:pPr>
      <w:bookmarkStart w:id="133" w:name="_Toc458764407"/>
      <w:bookmarkStart w:id="134" w:name="_Toc398968713"/>
      <w:bookmarkStart w:id="135" w:name="_Toc152045562"/>
      <w:bookmarkStart w:id="136" w:name="_Toc179632580"/>
      <w:bookmarkStart w:id="137" w:name="_Toc152042338"/>
      <w:bookmarkStart w:id="138" w:name="_Toc144974530"/>
      <w:bookmarkStart w:id="139" w:name="_Toc406585745"/>
      <w:r>
        <w:rPr>
          <w:rFonts w:eastAsia="黑体"/>
          <w:b/>
          <w:color w:val="auto"/>
          <w:sz w:val="28"/>
        </w:rPr>
        <w:t>6. 评标</w:t>
      </w:r>
      <w:bookmarkEnd w:id="133"/>
      <w:bookmarkEnd w:id="134"/>
      <w:bookmarkEnd w:id="135"/>
      <w:bookmarkEnd w:id="136"/>
      <w:bookmarkEnd w:id="137"/>
      <w:bookmarkEnd w:id="138"/>
      <w:bookmarkEnd w:id="139"/>
      <w:bookmarkStart w:id="140" w:name="_Toc179632581"/>
      <w:bookmarkStart w:id="141" w:name="_Toc152042339"/>
      <w:bookmarkStart w:id="142" w:name="_Toc152045563"/>
      <w:bookmarkStart w:id="143" w:name="_Toc144974531"/>
    </w:p>
    <w:p>
      <w:pPr>
        <w:spacing w:line="360" w:lineRule="auto"/>
        <w:rPr>
          <w:rFonts w:eastAsia="黑体"/>
          <w:b/>
          <w:color w:val="auto"/>
          <w:sz w:val="21"/>
          <w:szCs w:val="21"/>
        </w:rPr>
      </w:pPr>
      <w:r>
        <w:rPr>
          <w:rFonts w:eastAsia="黑体"/>
          <w:color w:val="auto"/>
          <w:sz w:val="21"/>
          <w:szCs w:val="21"/>
        </w:rPr>
        <w:t>6.1 评标委员会</w:t>
      </w:r>
      <w:bookmarkEnd w:id="140"/>
      <w:bookmarkEnd w:id="141"/>
      <w:bookmarkEnd w:id="142"/>
      <w:bookmarkEnd w:id="143"/>
    </w:p>
    <w:p>
      <w:pPr>
        <w:spacing w:line="360" w:lineRule="auto"/>
        <w:ind w:firstLine="420" w:firstLineChars="200"/>
        <w:rPr>
          <w:rFonts w:hint="eastAsia"/>
          <w:color w:val="auto"/>
          <w:sz w:val="21"/>
          <w:szCs w:val="21"/>
        </w:rPr>
      </w:pPr>
      <w:r>
        <w:rPr>
          <w:rFonts w:hint="eastAsia"/>
          <w:color w:val="auto"/>
          <w:sz w:val="21"/>
          <w:szCs w:val="21"/>
        </w:rPr>
        <w:t xml:space="preserve">6.1.1 </w:t>
      </w:r>
      <w:r>
        <w:rPr>
          <w:rFonts w:hint="eastAsia"/>
          <w:color w:val="auto"/>
          <w:sz w:val="21"/>
          <w:szCs w:val="21"/>
          <w:lang w:val="en-US"/>
        </w:rPr>
        <w:t>评标由招标人依法组建的评标委员会负责。评标委员会由招标人代表以及有关技术、经济等方面的专家组成。评标委员会成员人数以及确定方式见投标人须知前附表。</w:t>
      </w:r>
    </w:p>
    <w:p>
      <w:pPr>
        <w:spacing w:line="360" w:lineRule="auto"/>
        <w:ind w:firstLine="420" w:firstLineChars="200"/>
        <w:rPr>
          <w:rFonts w:hint="eastAsia"/>
          <w:color w:val="auto"/>
          <w:sz w:val="21"/>
          <w:szCs w:val="21"/>
        </w:rPr>
      </w:pPr>
      <w:r>
        <w:rPr>
          <w:rFonts w:hint="eastAsia"/>
          <w:color w:val="auto"/>
          <w:sz w:val="21"/>
          <w:szCs w:val="21"/>
        </w:rPr>
        <w:t>6.1.2 评标委员会成员有下列情形之一的，应当回避：</w:t>
      </w:r>
    </w:p>
    <w:p>
      <w:pPr>
        <w:spacing w:line="360" w:lineRule="auto"/>
        <w:ind w:firstLine="420" w:firstLineChars="200"/>
        <w:rPr>
          <w:rFonts w:hint="eastAsia"/>
          <w:color w:val="auto"/>
          <w:sz w:val="21"/>
          <w:szCs w:val="21"/>
        </w:rPr>
      </w:pPr>
      <w:r>
        <w:rPr>
          <w:rFonts w:hint="eastAsia"/>
          <w:color w:val="auto"/>
          <w:sz w:val="21"/>
          <w:szCs w:val="21"/>
        </w:rPr>
        <w:t>（1）为负责招标项目监督管理的交通运输主管部门的工作人员；</w:t>
      </w:r>
    </w:p>
    <w:p>
      <w:pPr>
        <w:spacing w:line="360" w:lineRule="auto"/>
        <w:ind w:firstLine="420" w:firstLineChars="200"/>
        <w:rPr>
          <w:rFonts w:hint="eastAsia"/>
          <w:color w:val="auto"/>
          <w:sz w:val="21"/>
          <w:szCs w:val="21"/>
        </w:rPr>
      </w:pPr>
      <w:r>
        <w:rPr>
          <w:rFonts w:hint="eastAsia"/>
          <w:color w:val="auto"/>
          <w:sz w:val="21"/>
          <w:szCs w:val="21"/>
        </w:rPr>
        <w:t>（2）招标人或投标人的主要负责人的近亲属；</w:t>
      </w:r>
    </w:p>
    <w:p>
      <w:pPr>
        <w:spacing w:line="360" w:lineRule="auto"/>
        <w:ind w:firstLine="420" w:firstLineChars="200"/>
        <w:rPr>
          <w:rFonts w:hint="eastAsia"/>
          <w:color w:val="auto"/>
          <w:sz w:val="21"/>
          <w:szCs w:val="21"/>
        </w:rPr>
      </w:pPr>
      <w:r>
        <w:rPr>
          <w:rFonts w:hint="eastAsia"/>
          <w:color w:val="auto"/>
          <w:sz w:val="21"/>
          <w:szCs w:val="21"/>
        </w:rPr>
        <w:t>（3）为投标人的工作人员或退休人员；</w:t>
      </w:r>
    </w:p>
    <w:p>
      <w:pPr>
        <w:spacing w:line="360" w:lineRule="auto"/>
        <w:ind w:firstLine="420" w:firstLineChars="200"/>
        <w:rPr>
          <w:rFonts w:hint="eastAsia"/>
          <w:color w:val="auto"/>
          <w:sz w:val="21"/>
          <w:szCs w:val="21"/>
        </w:rPr>
      </w:pPr>
      <w:r>
        <w:rPr>
          <w:rFonts w:hint="eastAsia"/>
          <w:color w:val="auto"/>
          <w:sz w:val="21"/>
          <w:szCs w:val="21"/>
        </w:rPr>
        <w:t>（4）与投标人有经济利益关系，可能影响对投标公正评审的；</w:t>
      </w:r>
    </w:p>
    <w:p>
      <w:pPr>
        <w:spacing w:line="360" w:lineRule="auto"/>
        <w:ind w:firstLine="420" w:firstLineChars="200"/>
        <w:rPr>
          <w:rFonts w:hint="eastAsia"/>
          <w:color w:val="auto"/>
          <w:sz w:val="21"/>
          <w:szCs w:val="21"/>
        </w:rPr>
      </w:pPr>
      <w:r>
        <w:rPr>
          <w:rFonts w:hint="eastAsia"/>
          <w:color w:val="auto"/>
          <w:sz w:val="21"/>
          <w:szCs w:val="21"/>
        </w:rPr>
        <w:t>（5）曾因在招标、评标以及其他与招标投标有关活动中从事违法行为而受过行政处罚或刑事处罚的。</w:t>
      </w:r>
      <w:bookmarkStart w:id="144" w:name="_Toc144974532"/>
      <w:bookmarkStart w:id="145" w:name="_Toc152045564"/>
      <w:bookmarkStart w:id="146" w:name="_Toc179632582"/>
      <w:bookmarkStart w:id="147" w:name="_Toc152042340"/>
    </w:p>
    <w:p>
      <w:pPr>
        <w:spacing w:line="360" w:lineRule="auto"/>
        <w:ind w:firstLine="420" w:firstLineChars="200"/>
        <w:rPr>
          <w:rFonts w:hint="eastAsia"/>
          <w:color w:val="auto"/>
          <w:sz w:val="21"/>
          <w:szCs w:val="21"/>
        </w:rPr>
      </w:pPr>
      <w:r>
        <w:rPr>
          <w:rFonts w:hint="eastAsia"/>
          <w:color w:val="auto"/>
          <w:sz w:val="21"/>
          <w:szCs w:val="21"/>
        </w:rPr>
        <w:t xml:space="preserve">6.1.3 </w:t>
      </w:r>
      <w:r>
        <w:rPr>
          <w:color w:val="auto"/>
          <w:sz w:val="21"/>
          <w:szCs w:val="21"/>
        </w:rPr>
        <w:t>评标过程中，评标委员会成员有回避事由、擅离职守或因健康等原因不能继续评标的，招标人有权更换。被更换的评标委员会成员作出的评审结论无效，由更换后的评标委员会成员重新进行评审。</w:t>
      </w:r>
    </w:p>
    <w:p>
      <w:pPr>
        <w:spacing w:line="400" w:lineRule="exact"/>
        <w:rPr>
          <w:rFonts w:eastAsia="黑体"/>
          <w:color w:val="auto"/>
          <w:sz w:val="21"/>
          <w:szCs w:val="21"/>
        </w:rPr>
      </w:pPr>
      <w:r>
        <w:rPr>
          <w:rFonts w:eastAsia="黑体"/>
          <w:color w:val="auto"/>
          <w:sz w:val="21"/>
          <w:szCs w:val="21"/>
        </w:rPr>
        <w:t>6.2 评标原则</w:t>
      </w:r>
      <w:bookmarkEnd w:id="144"/>
      <w:bookmarkEnd w:id="145"/>
      <w:bookmarkEnd w:id="146"/>
      <w:bookmarkEnd w:id="147"/>
      <w:r>
        <w:rPr>
          <w:rFonts w:eastAsia="黑体"/>
          <w:color w:val="auto"/>
          <w:sz w:val="21"/>
          <w:szCs w:val="21"/>
        </w:rPr>
        <w:tab/>
      </w:r>
    </w:p>
    <w:p>
      <w:pPr>
        <w:spacing w:line="400" w:lineRule="exact"/>
        <w:ind w:firstLine="420" w:firstLineChars="200"/>
        <w:rPr>
          <w:color w:val="auto"/>
          <w:sz w:val="21"/>
          <w:szCs w:val="21"/>
        </w:rPr>
      </w:pPr>
      <w:r>
        <w:rPr>
          <w:color w:val="auto"/>
          <w:sz w:val="21"/>
          <w:szCs w:val="21"/>
        </w:rPr>
        <w:t>评标活动遵循公平、公正、科学和择优的原则。</w:t>
      </w:r>
      <w:bookmarkStart w:id="148" w:name="_Toc144974533"/>
      <w:bookmarkStart w:id="149" w:name="_Toc152045565"/>
      <w:bookmarkStart w:id="150" w:name="_Toc152042341"/>
      <w:bookmarkStart w:id="151" w:name="_Toc179632583"/>
    </w:p>
    <w:p>
      <w:pPr>
        <w:spacing w:line="360" w:lineRule="auto"/>
        <w:rPr>
          <w:rFonts w:eastAsia="黑体"/>
          <w:color w:val="auto"/>
          <w:sz w:val="21"/>
          <w:szCs w:val="21"/>
        </w:rPr>
      </w:pPr>
      <w:r>
        <w:rPr>
          <w:rFonts w:eastAsia="黑体"/>
          <w:color w:val="auto"/>
          <w:sz w:val="21"/>
          <w:szCs w:val="21"/>
        </w:rPr>
        <w:t>6.3 评</w:t>
      </w:r>
      <w:bookmarkEnd w:id="148"/>
      <w:bookmarkEnd w:id="149"/>
      <w:bookmarkEnd w:id="150"/>
      <w:bookmarkEnd w:id="151"/>
      <w:r>
        <w:rPr>
          <w:rFonts w:eastAsia="黑体"/>
          <w:color w:val="auto"/>
          <w:sz w:val="21"/>
          <w:szCs w:val="21"/>
        </w:rPr>
        <w:t>标</w:t>
      </w:r>
    </w:p>
    <w:p>
      <w:pPr>
        <w:spacing w:line="360" w:lineRule="auto"/>
        <w:ind w:firstLine="420" w:firstLineChars="200"/>
        <w:rPr>
          <w:rFonts w:hint="eastAsia"/>
          <w:color w:val="auto"/>
          <w:sz w:val="21"/>
          <w:szCs w:val="21"/>
        </w:rPr>
      </w:pPr>
      <w:r>
        <w:rPr>
          <w:rFonts w:hint="eastAsia"/>
          <w:color w:val="auto"/>
          <w:sz w:val="21"/>
          <w:szCs w:val="21"/>
        </w:rPr>
        <w:t xml:space="preserve">6.3.1 </w:t>
      </w:r>
      <w:r>
        <w:rPr>
          <w:color w:val="auto"/>
          <w:sz w:val="21"/>
          <w:szCs w:val="21"/>
        </w:rPr>
        <w:t>评标委员会按照第三章“评标办法”规定的方法、评审因素、标准和程序对投标文件进行评审。第三章“评标办法”没有规定的方法、评审因素和标准，不作为评标依据。</w:t>
      </w:r>
      <w:bookmarkStart w:id="152" w:name="_Toc144974534"/>
      <w:bookmarkStart w:id="153" w:name="_Toc152042342"/>
      <w:bookmarkStart w:id="154" w:name="_Toc179632584"/>
      <w:bookmarkStart w:id="155" w:name="_Toc152045566"/>
    </w:p>
    <w:p>
      <w:pPr>
        <w:spacing w:line="360" w:lineRule="auto"/>
        <w:ind w:firstLine="420" w:firstLineChars="200"/>
        <w:rPr>
          <w:color w:val="auto"/>
        </w:rPr>
      </w:pPr>
      <w:r>
        <w:rPr>
          <w:rFonts w:hint="eastAsia"/>
          <w:color w:val="auto"/>
          <w:sz w:val="21"/>
          <w:szCs w:val="21"/>
          <w:lang w:val="en-US"/>
        </w:rPr>
        <w:t>6.3.2 评标完成后，评标委员会应向招标人提交书面评标报告和中标候选人名单。 评标委员会推荐中标候选人的人数见投标人须知前附表。</w:t>
      </w:r>
    </w:p>
    <w:p>
      <w:pPr>
        <w:widowControl/>
        <w:rPr>
          <w:rFonts w:eastAsia="黑体"/>
          <w:color w:val="auto"/>
          <w:sz w:val="21"/>
          <w:szCs w:val="21"/>
        </w:rPr>
      </w:pPr>
      <w:r>
        <w:rPr>
          <w:rFonts w:hint="eastAsia"/>
          <w:color w:val="auto"/>
          <w:sz w:val="20"/>
          <w:szCs w:val="20"/>
          <w:lang w:val="en-US" w:bidi="ar"/>
        </w:rPr>
        <w:t>6.4</w:t>
      </w:r>
      <w:r>
        <w:rPr>
          <w:rFonts w:hint="eastAsia"/>
          <w:b/>
          <w:bCs/>
          <w:color w:val="auto"/>
          <w:sz w:val="20"/>
          <w:szCs w:val="20"/>
          <w:lang w:val="en-US" w:bidi="ar"/>
        </w:rPr>
        <w:t xml:space="preserve"> </w:t>
      </w:r>
      <w:r>
        <w:rPr>
          <w:rFonts w:hint="eastAsia" w:eastAsia="黑体"/>
          <w:color w:val="auto"/>
          <w:sz w:val="21"/>
          <w:szCs w:val="21"/>
          <w:lang w:val="en-US"/>
        </w:rPr>
        <w:t>无效标条款</w:t>
      </w:r>
    </w:p>
    <w:p>
      <w:pPr>
        <w:spacing w:line="360" w:lineRule="auto"/>
        <w:ind w:firstLine="420" w:firstLineChars="200"/>
        <w:rPr>
          <w:rFonts w:hint="eastAsia"/>
          <w:color w:val="auto"/>
          <w:sz w:val="21"/>
          <w:szCs w:val="21"/>
        </w:rPr>
      </w:pPr>
      <w:r>
        <w:rPr>
          <w:rFonts w:hint="eastAsia"/>
          <w:color w:val="auto"/>
          <w:sz w:val="21"/>
          <w:szCs w:val="21"/>
          <w:lang w:val="en-US"/>
        </w:rPr>
        <w:t xml:space="preserve">投标文件出现下列情况之一的，将作为无效投标文件处理： </w:t>
      </w:r>
    </w:p>
    <w:p>
      <w:pPr>
        <w:spacing w:line="360" w:lineRule="auto"/>
        <w:ind w:firstLine="420" w:firstLineChars="200"/>
        <w:rPr>
          <w:rFonts w:hint="eastAsia"/>
          <w:color w:val="auto"/>
          <w:sz w:val="21"/>
          <w:szCs w:val="21"/>
        </w:rPr>
      </w:pPr>
      <w:r>
        <w:rPr>
          <w:rFonts w:hint="eastAsia"/>
          <w:color w:val="auto"/>
          <w:sz w:val="21"/>
          <w:szCs w:val="21"/>
          <w:lang w:val="en-US"/>
        </w:rPr>
        <w:t xml:space="preserve">1、投标文件中的投标函未加盖投标人的公章； </w:t>
      </w:r>
    </w:p>
    <w:p>
      <w:pPr>
        <w:spacing w:line="360" w:lineRule="auto"/>
        <w:ind w:firstLine="420" w:firstLineChars="200"/>
        <w:rPr>
          <w:rFonts w:hint="eastAsia"/>
          <w:color w:val="auto"/>
          <w:sz w:val="21"/>
          <w:szCs w:val="21"/>
        </w:rPr>
      </w:pPr>
      <w:r>
        <w:rPr>
          <w:rFonts w:hint="eastAsia"/>
          <w:color w:val="auto"/>
          <w:sz w:val="21"/>
          <w:szCs w:val="21"/>
          <w:lang w:val="en-US"/>
        </w:rPr>
        <w:t>2、投标文件中的投标函未加盖企业法定代表人（或企业法定代表人委托代理人）印章（或签字）的；</w:t>
      </w:r>
    </w:p>
    <w:p>
      <w:pPr>
        <w:spacing w:line="360" w:lineRule="auto"/>
        <w:ind w:firstLine="420" w:firstLineChars="200"/>
        <w:rPr>
          <w:rFonts w:hint="eastAsia"/>
          <w:color w:val="auto"/>
          <w:sz w:val="21"/>
          <w:szCs w:val="21"/>
        </w:rPr>
      </w:pPr>
      <w:r>
        <w:rPr>
          <w:rFonts w:hint="eastAsia"/>
          <w:color w:val="auto"/>
          <w:sz w:val="21"/>
          <w:szCs w:val="21"/>
          <w:lang w:val="en-US"/>
        </w:rPr>
        <w:t xml:space="preserve">3、如投标函加盖企业法定代表人委托代理人印章（或签字）的，企业法定代表人委托代理人没有合法、有效的委托书的； </w:t>
      </w:r>
    </w:p>
    <w:p>
      <w:pPr>
        <w:spacing w:line="360" w:lineRule="auto"/>
        <w:ind w:firstLine="420" w:firstLineChars="200"/>
        <w:rPr>
          <w:rFonts w:hint="eastAsia"/>
          <w:color w:val="auto"/>
          <w:sz w:val="21"/>
          <w:szCs w:val="21"/>
        </w:rPr>
      </w:pPr>
      <w:r>
        <w:rPr>
          <w:rFonts w:hint="eastAsia"/>
          <w:color w:val="auto"/>
          <w:sz w:val="21"/>
          <w:szCs w:val="21"/>
          <w:lang w:val="en-US"/>
        </w:rPr>
        <w:t xml:space="preserve">4、投标人资格条件不符合国家有关规定或招标文件要求的；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5、投标报价低于工程成本或者高于招标文件设定的招标控制价或者招标人设置的投标限价的； </w:t>
      </w:r>
    </w:p>
    <w:p>
      <w:pPr>
        <w:spacing w:line="360" w:lineRule="auto"/>
        <w:ind w:firstLine="420" w:firstLineChars="200"/>
        <w:rPr>
          <w:rFonts w:hint="eastAsia"/>
          <w:color w:val="auto"/>
          <w:sz w:val="21"/>
          <w:szCs w:val="21"/>
        </w:rPr>
      </w:pPr>
      <w:r>
        <w:rPr>
          <w:rFonts w:hint="eastAsia"/>
          <w:color w:val="auto"/>
          <w:sz w:val="21"/>
          <w:szCs w:val="21"/>
          <w:lang w:val="en-US"/>
        </w:rPr>
        <w:t>6、同一投标人提交两个及以上不同的投标文件或者投标报价，但招标文件要求提交备选投标的除外；</w:t>
      </w:r>
    </w:p>
    <w:p>
      <w:pPr>
        <w:spacing w:line="360" w:lineRule="auto"/>
        <w:ind w:firstLine="420" w:firstLineChars="200"/>
        <w:rPr>
          <w:rFonts w:hint="eastAsia"/>
          <w:color w:val="auto"/>
          <w:sz w:val="21"/>
          <w:szCs w:val="21"/>
        </w:rPr>
      </w:pPr>
      <w:r>
        <w:rPr>
          <w:rFonts w:hint="eastAsia"/>
          <w:color w:val="auto"/>
          <w:sz w:val="21"/>
          <w:szCs w:val="21"/>
          <w:lang w:val="en-US"/>
        </w:rPr>
        <w:t xml:space="preserve">7、与招标文件规定的暂估价、暂列金额及甲供材料价格不一致的； </w:t>
      </w:r>
    </w:p>
    <w:p>
      <w:pPr>
        <w:spacing w:line="360" w:lineRule="auto"/>
        <w:ind w:firstLine="420" w:firstLineChars="200"/>
        <w:rPr>
          <w:rFonts w:hint="eastAsia"/>
          <w:color w:val="auto"/>
          <w:sz w:val="21"/>
          <w:szCs w:val="21"/>
        </w:rPr>
      </w:pPr>
      <w:r>
        <w:rPr>
          <w:rFonts w:hint="eastAsia"/>
          <w:color w:val="auto"/>
          <w:sz w:val="21"/>
          <w:szCs w:val="21"/>
          <w:lang w:val="en-US"/>
        </w:rPr>
        <w:t xml:space="preserve">8、与招标文件明确列出的不可竞争费用项目或费率不一致的； </w:t>
      </w:r>
    </w:p>
    <w:p>
      <w:pPr>
        <w:spacing w:line="360" w:lineRule="auto"/>
        <w:ind w:firstLine="420" w:firstLineChars="200"/>
        <w:rPr>
          <w:rFonts w:hint="eastAsia"/>
          <w:color w:val="auto"/>
          <w:sz w:val="21"/>
          <w:szCs w:val="21"/>
        </w:rPr>
      </w:pPr>
      <w:r>
        <w:rPr>
          <w:rFonts w:hint="eastAsia"/>
          <w:color w:val="auto"/>
          <w:sz w:val="21"/>
          <w:szCs w:val="21"/>
          <w:lang w:val="en-US"/>
        </w:rPr>
        <w:t>9、与招标文件提供的工程量清单中的项目编码、项目名称、项目特征、计量单位、工程量不一致的；</w:t>
      </w:r>
    </w:p>
    <w:p>
      <w:pPr>
        <w:spacing w:line="360" w:lineRule="auto"/>
        <w:ind w:firstLine="420" w:firstLineChars="200"/>
        <w:rPr>
          <w:rFonts w:hint="eastAsia"/>
          <w:color w:val="auto"/>
          <w:sz w:val="21"/>
          <w:szCs w:val="21"/>
        </w:rPr>
      </w:pPr>
      <w:r>
        <w:rPr>
          <w:rFonts w:hint="eastAsia"/>
          <w:color w:val="auto"/>
          <w:sz w:val="21"/>
          <w:szCs w:val="21"/>
          <w:lang w:val="en-US"/>
        </w:rPr>
        <w:t xml:space="preserve">10、未按招标文件要求提供投标保证金的； </w:t>
      </w:r>
    </w:p>
    <w:p>
      <w:pPr>
        <w:spacing w:line="360" w:lineRule="auto"/>
        <w:ind w:firstLine="420" w:firstLineChars="200"/>
        <w:rPr>
          <w:rFonts w:hint="eastAsia"/>
          <w:color w:val="auto"/>
          <w:sz w:val="21"/>
          <w:szCs w:val="21"/>
        </w:rPr>
      </w:pPr>
      <w:r>
        <w:rPr>
          <w:rFonts w:hint="eastAsia"/>
          <w:color w:val="auto"/>
          <w:sz w:val="21"/>
          <w:szCs w:val="21"/>
          <w:lang w:val="en-US"/>
        </w:rPr>
        <w:t xml:space="preserve">11、投标文件载明的招标项目完成期限超过招标文件规定的期限的； </w:t>
      </w:r>
    </w:p>
    <w:p>
      <w:pPr>
        <w:spacing w:line="360" w:lineRule="auto"/>
        <w:ind w:firstLine="420" w:firstLineChars="200"/>
        <w:rPr>
          <w:rFonts w:hint="eastAsia"/>
          <w:color w:val="auto"/>
          <w:sz w:val="21"/>
          <w:szCs w:val="21"/>
        </w:rPr>
      </w:pPr>
      <w:r>
        <w:rPr>
          <w:rFonts w:hint="eastAsia"/>
          <w:color w:val="auto"/>
          <w:sz w:val="21"/>
          <w:szCs w:val="21"/>
          <w:lang w:val="en-US"/>
        </w:rPr>
        <w:t xml:space="preserve">12、明显不符合技术规范、技术标准的要求的；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13、投标文件载明的货物包装方式、检验标准和方法等不符合招标文件的要求的；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14、投标文件提出了不能满足招标文件要求或招标人不能接受的工程验收、计量、价款结算和支付办法的； </w:t>
      </w:r>
    </w:p>
    <w:p>
      <w:pPr>
        <w:spacing w:line="360" w:lineRule="auto"/>
        <w:ind w:firstLine="420" w:firstLineChars="200"/>
        <w:rPr>
          <w:rFonts w:hint="eastAsia"/>
          <w:color w:val="auto"/>
          <w:sz w:val="21"/>
          <w:szCs w:val="21"/>
        </w:rPr>
      </w:pPr>
      <w:r>
        <w:rPr>
          <w:rFonts w:hint="eastAsia"/>
          <w:color w:val="auto"/>
          <w:sz w:val="21"/>
          <w:szCs w:val="21"/>
          <w:lang w:val="en-US"/>
        </w:rPr>
        <w:t xml:space="preserve">15、不同投标人的投标文件以及投标文件制作过程出现了评标委员会认为不应当雷同的情况的；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16、以他人的名义投标、串通投标、以行贿手段谋取中标或者以其他弄虚作假方式投标的； </w:t>
      </w:r>
    </w:p>
    <w:p>
      <w:pPr>
        <w:spacing w:line="360" w:lineRule="auto"/>
        <w:ind w:firstLine="420" w:firstLineChars="200"/>
        <w:rPr>
          <w:rFonts w:hint="eastAsia"/>
          <w:color w:val="auto"/>
          <w:sz w:val="21"/>
          <w:szCs w:val="21"/>
          <w:lang w:val="en-US"/>
        </w:rPr>
      </w:pPr>
      <w:r>
        <w:rPr>
          <w:rFonts w:hint="eastAsia"/>
          <w:color w:val="auto"/>
          <w:sz w:val="21"/>
          <w:szCs w:val="21"/>
          <w:lang w:val="en-US"/>
        </w:rPr>
        <w:t>17、未按招标文件规定的格式填写，未按投标文件编制要求编写，内容不全或关键字迹模糊、无法辨认的；</w:t>
      </w:r>
    </w:p>
    <w:p>
      <w:pPr>
        <w:spacing w:line="360" w:lineRule="auto"/>
        <w:ind w:firstLine="420" w:firstLineChars="200"/>
        <w:rPr>
          <w:rFonts w:hint="eastAsia"/>
          <w:color w:val="auto"/>
          <w:sz w:val="21"/>
          <w:szCs w:val="21"/>
          <w:lang w:val="en-US"/>
        </w:rPr>
      </w:pPr>
      <w:r>
        <w:rPr>
          <w:rFonts w:hint="eastAsia"/>
          <w:color w:val="auto"/>
          <w:sz w:val="21"/>
          <w:szCs w:val="21"/>
          <w:lang w:val="en-US"/>
        </w:rPr>
        <w:t>18、未对招标文件中有关工期、投标有效期、质量要求、</w:t>
      </w:r>
      <w:r>
        <w:rPr>
          <w:rFonts w:hint="eastAsia"/>
          <w:color w:val="auto"/>
          <w:sz w:val="21"/>
          <w:szCs w:val="21"/>
          <w:lang w:val="en-US" w:eastAsia="zh-CN"/>
        </w:rPr>
        <w:t>安全目标、</w:t>
      </w:r>
      <w:r>
        <w:rPr>
          <w:rFonts w:hint="eastAsia"/>
          <w:color w:val="auto"/>
          <w:sz w:val="21"/>
          <w:szCs w:val="21"/>
          <w:lang w:val="en-US"/>
        </w:rPr>
        <w:t xml:space="preserve">技术标准和要求、招标范围等实质性内容作出响应的；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19、不按评标委员会要求澄清、说明或补正的；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20、代理人或项目负责人未按照本招标文件约定的要求在本单位缴纳社会保险的； </w:t>
      </w:r>
    </w:p>
    <w:p>
      <w:pPr>
        <w:spacing w:line="360" w:lineRule="auto"/>
        <w:ind w:firstLine="420" w:firstLineChars="200"/>
        <w:rPr>
          <w:rFonts w:hint="eastAsia"/>
          <w:color w:val="auto"/>
          <w:sz w:val="21"/>
          <w:szCs w:val="21"/>
          <w:lang w:val="en-US"/>
        </w:rPr>
      </w:pPr>
      <w:r>
        <w:rPr>
          <w:rFonts w:hint="eastAsia"/>
          <w:color w:val="auto"/>
          <w:sz w:val="21"/>
          <w:szCs w:val="21"/>
          <w:lang w:val="en-US"/>
        </w:rPr>
        <w:t>21、投标人投标文件中提供的资格审查资料原件涂改未加盖原签发单位公章的、内容不完整（关键信息不齐全）、不清晰(钢印除外)关键信息无法辨认的；提供带有二维码的</w:t>
      </w:r>
      <w:r>
        <w:rPr>
          <w:rFonts w:hint="eastAsia"/>
          <w:color w:val="auto"/>
          <w:sz w:val="21"/>
          <w:szCs w:val="21"/>
          <w:lang w:val="en-US" w:eastAsia="zh-CN"/>
        </w:rPr>
        <w:t>扫描件</w:t>
      </w:r>
      <w:r>
        <w:rPr>
          <w:rFonts w:hint="eastAsia"/>
          <w:color w:val="auto"/>
          <w:sz w:val="21"/>
          <w:szCs w:val="21"/>
          <w:lang w:val="en-US"/>
        </w:rPr>
        <w:t xml:space="preserve">（或电子证照）投标的，扫描二维码不能正确读取有关数据或读取的数据与系统查询不一致的。 </w:t>
      </w:r>
    </w:p>
    <w:p>
      <w:pPr>
        <w:spacing w:line="360" w:lineRule="auto"/>
        <w:ind w:firstLine="420" w:firstLineChars="200"/>
        <w:rPr>
          <w:rFonts w:hint="eastAsia" w:eastAsia="宋体"/>
          <w:color w:val="auto"/>
          <w:sz w:val="21"/>
          <w:szCs w:val="21"/>
          <w:lang w:val="en-US" w:eastAsia="zh-CN"/>
        </w:rPr>
      </w:pPr>
      <w:r>
        <w:rPr>
          <w:rFonts w:hint="eastAsia"/>
          <w:color w:val="auto"/>
          <w:sz w:val="21"/>
          <w:szCs w:val="21"/>
          <w:lang w:val="en-US"/>
        </w:rPr>
        <w:t>22、未按要求提交</w:t>
      </w:r>
      <w:r>
        <w:rPr>
          <w:rFonts w:hint="eastAsia"/>
          <w:b/>
          <w:bCs/>
          <w:color w:val="auto"/>
          <w:sz w:val="21"/>
          <w:szCs w:val="21"/>
          <w:lang w:val="en-US" w:eastAsia="zh-CN"/>
        </w:rPr>
        <w:t>《</w:t>
      </w:r>
      <w:r>
        <w:rPr>
          <w:rFonts w:hint="eastAsia" w:ascii="宋体" w:hAnsi="宋体" w:eastAsia="宋体" w:cs="宋体"/>
          <w:b/>
          <w:bCs/>
          <w:color w:val="auto"/>
          <w:sz w:val="21"/>
          <w:szCs w:val="21"/>
        </w:rPr>
        <w:t>入库信息诚信承诺书</w:t>
      </w:r>
      <w:r>
        <w:rPr>
          <w:rFonts w:hint="eastAsia"/>
          <w:b/>
          <w:bCs/>
          <w:color w:val="auto"/>
          <w:sz w:val="21"/>
          <w:szCs w:val="21"/>
          <w:lang w:val="en-US" w:eastAsia="zh-CN"/>
        </w:rPr>
        <w:t>》</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法定代表人诚信投标承诺书</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盐城市公共资源交易投标信用承诺书</w:t>
      </w:r>
      <w:r>
        <w:rPr>
          <w:rFonts w:hint="eastAsia" w:ascii="宋体" w:hAnsi="宋体" w:eastAsia="宋体" w:cs="宋体"/>
          <w:b/>
          <w:bCs/>
          <w:color w:val="auto"/>
          <w:sz w:val="21"/>
          <w:szCs w:val="21"/>
          <w:lang w:eastAsia="zh-CN"/>
        </w:rPr>
        <w:t>》</w:t>
      </w:r>
      <w:r>
        <w:rPr>
          <w:rFonts w:hint="eastAsia"/>
          <w:color w:val="auto"/>
          <w:sz w:val="21"/>
          <w:szCs w:val="21"/>
          <w:lang w:val="en-US"/>
        </w:rPr>
        <w:t xml:space="preserve">。 </w:t>
      </w:r>
      <w:r>
        <w:rPr>
          <w:rFonts w:hint="eastAsia"/>
          <w:color w:val="auto"/>
          <w:sz w:val="21"/>
          <w:szCs w:val="21"/>
          <w:lang w:val="en-US" w:eastAsia="zh-CN"/>
        </w:rPr>
        <w:t>（范本统一变更的除外）</w:t>
      </w:r>
    </w:p>
    <w:p>
      <w:pPr>
        <w:spacing w:line="360" w:lineRule="auto"/>
        <w:ind w:firstLine="420" w:firstLineChars="200"/>
        <w:rPr>
          <w:rFonts w:hint="eastAsia"/>
          <w:color w:val="auto"/>
        </w:rPr>
      </w:pPr>
      <w:r>
        <w:rPr>
          <w:rFonts w:hint="eastAsia"/>
          <w:color w:val="auto"/>
          <w:sz w:val="21"/>
          <w:szCs w:val="21"/>
          <w:lang w:val="en-US"/>
        </w:rPr>
        <w:t>23、</w:t>
      </w:r>
      <w:r>
        <w:rPr>
          <w:rFonts w:hint="eastAsia" w:ascii="宋体" w:hAnsi="宋体" w:cs="宋体"/>
          <w:b/>
          <w:color w:val="auto"/>
        </w:rPr>
        <w:t>投标人投标时未提供差额履约担保，或提供的差额履约担保不符合本项目招标文件相关要求的</w:t>
      </w:r>
      <w:r>
        <w:rPr>
          <w:rFonts w:hint="eastAsia"/>
          <w:color w:val="auto"/>
        </w:rPr>
        <w:t>；</w:t>
      </w:r>
    </w:p>
    <w:p>
      <w:pPr>
        <w:autoSpaceDE/>
        <w:autoSpaceDN/>
        <w:adjustRightInd w:val="0"/>
        <w:snapToGrid w:val="0"/>
        <w:spacing w:line="420" w:lineRule="exact"/>
        <w:ind w:firstLine="440" w:firstLineChars="200"/>
        <w:rPr>
          <w:rFonts w:hint="eastAsia" w:ascii="宋体" w:hAnsi="宋体" w:cs="宋体"/>
          <w:b/>
          <w:color w:val="auto"/>
        </w:rPr>
      </w:pPr>
      <w:r>
        <w:rPr>
          <w:rFonts w:hint="eastAsia"/>
          <w:color w:val="auto"/>
          <w:lang w:val="en-US"/>
        </w:rPr>
        <w:t>24、</w:t>
      </w:r>
      <w:r>
        <w:rPr>
          <w:rFonts w:hint="eastAsia" w:ascii="宋体" w:hAnsi="宋体" w:cs="宋体"/>
          <w:b/>
          <w:color w:val="auto"/>
        </w:rPr>
        <w:t>评标委员会发现投标人的报价为异常低价，有可能影响合同履行的，要求投标人在合理期限内作书面澄清或者说明，并提供必要的证明材料。投标人不能说明其报价合理性或者不能提供相关证明，导致合同履行风险过高的，评标委员会应当认定该投标人低于成本价竞标并否决其投标。</w:t>
      </w:r>
    </w:p>
    <w:p>
      <w:pPr>
        <w:autoSpaceDE/>
        <w:autoSpaceDN/>
        <w:adjustRightInd w:val="0"/>
        <w:snapToGrid w:val="0"/>
        <w:spacing w:line="420" w:lineRule="exact"/>
        <w:ind w:firstLine="442" w:firstLineChars="200"/>
        <w:rPr>
          <w:rFonts w:hint="eastAsia"/>
          <w:b/>
          <w:color w:val="auto"/>
          <w:sz w:val="21"/>
          <w:szCs w:val="21"/>
        </w:rPr>
      </w:pPr>
      <w:r>
        <w:rPr>
          <w:rFonts w:hint="eastAsia"/>
          <w:b/>
          <w:bCs/>
          <w:color w:val="auto"/>
          <w:lang w:val="en-US" w:eastAsia="zh-CN"/>
        </w:rPr>
        <w:t>25、项目经理和技术负责人（项目总工）</w:t>
      </w:r>
      <w:r>
        <w:rPr>
          <w:rFonts w:hint="eastAsia"/>
          <w:b/>
          <w:bCs/>
          <w:color w:val="auto"/>
          <w:sz w:val="21"/>
          <w:szCs w:val="21"/>
        </w:rPr>
        <w:t>从本工程投标文件递交截止之日起无在建工程，如目前仍在其他项目上任职，则投标人在投标时应提供由该项目发包人出具的、承诺上述人员能够从该项目撤离的书面证明材料原件。如投标时不提供证</w:t>
      </w:r>
      <w:r>
        <w:rPr>
          <w:rFonts w:hint="eastAsia"/>
          <w:b/>
          <w:color w:val="auto"/>
          <w:sz w:val="21"/>
          <w:szCs w:val="21"/>
        </w:rPr>
        <w:t>明材料原件的，发生有在建工程投诉或反映，</w:t>
      </w:r>
      <w:r>
        <w:rPr>
          <w:rFonts w:hint="eastAsia"/>
          <w:b/>
          <w:color w:val="auto"/>
          <w:sz w:val="21"/>
          <w:szCs w:val="21"/>
          <w:lang w:eastAsia="zh-CN"/>
        </w:rPr>
        <w:t>无效标处理</w:t>
      </w:r>
      <w:r>
        <w:rPr>
          <w:rFonts w:hint="eastAsia"/>
          <w:b/>
          <w:color w:val="auto"/>
          <w:sz w:val="21"/>
          <w:szCs w:val="21"/>
        </w:rPr>
        <w:t>。</w:t>
      </w:r>
    </w:p>
    <w:p>
      <w:pPr>
        <w:pStyle w:val="8"/>
        <w:rPr>
          <w:rFonts w:hint="default" w:eastAsia="宋体"/>
          <w:color w:val="auto"/>
          <w:lang w:val="en-US" w:eastAsia="zh-CN"/>
        </w:rPr>
      </w:pPr>
      <w:r>
        <w:rPr>
          <w:rFonts w:hint="eastAsia"/>
          <w:b/>
          <w:color w:val="auto"/>
          <w:sz w:val="21"/>
          <w:szCs w:val="21"/>
          <w:lang w:val="en-US" w:eastAsia="zh-CN"/>
        </w:rPr>
        <w:t>26、</w:t>
      </w:r>
      <w:r>
        <w:rPr>
          <w:rFonts w:hint="eastAsia"/>
          <w:color w:val="auto"/>
          <w:sz w:val="21"/>
          <w:szCs w:val="21"/>
        </w:rPr>
        <w:t>招标人不接受调</w:t>
      </w:r>
      <w:r>
        <w:rPr>
          <w:rFonts w:hint="eastAsia"/>
          <w:b w:val="0"/>
          <w:bCs w:val="0"/>
          <w:color w:val="auto"/>
          <w:sz w:val="21"/>
          <w:szCs w:val="21"/>
        </w:rPr>
        <w:t>价函</w:t>
      </w:r>
      <w:r>
        <w:rPr>
          <w:rFonts w:hint="eastAsia"/>
          <w:b w:val="0"/>
          <w:bCs w:val="0"/>
          <w:color w:val="auto"/>
          <w:sz w:val="21"/>
          <w:szCs w:val="21"/>
          <w:lang w:eastAsia="zh-CN"/>
        </w:rPr>
        <w:t>，</w:t>
      </w:r>
      <w:r>
        <w:rPr>
          <w:rFonts w:hint="eastAsia"/>
          <w:b w:val="0"/>
          <w:bCs w:val="0"/>
          <w:color w:val="auto"/>
          <w:sz w:val="21"/>
          <w:szCs w:val="21"/>
        </w:rPr>
        <w:t>如有按无效标处理</w:t>
      </w:r>
      <w:r>
        <w:rPr>
          <w:rFonts w:hint="eastAsia"/>
          <w:color w:val="auto"/>
          <w:sz w:val="21"/>
          <w:szCs w:val="21"/>
        </w:rPr>
        <w:t>。</w:t>
      </w:r>
    </w:p>
    <w:p>
      <w:pPr>
        <w:spacing w:line="360" w:lineRule="auto"/>
        <w:ind w:firstLine="420" w:firstLineChars="200"/>
        <w:rPr>
          <w:rFonts w:hint="eastAsia"/>
          <w:color w:val="auto"/>
          <w:sz w:val="21"/>
          <w:szCs w:val="21"/>
          <w:lang w:val="en-US"/>
        </w:rPr>
      </w:pPr>
      <w:r>
        <w:rPr>
          <w:rFonts w:hint="eastAsia"/>
          <w:color w:val="auto"/>
          <w:sz w:val="21"/>
          <w:szCs w:val="21"/>
          <w:lang w:val="en-US"/>
        </w:rPr>
        <w:t>凡本招标文件未明确标明无效标的，评标委员会不得作为判定无效标的依据，评标委员会也不得以不符合招标文件中规定的其他实质性要求作为判定无效标的依据。</w:t>
      </w:r>
    </w:p>
    <w:p>
      <w:pPr>
        <w:spacing w:line="360" w:lineRule="auto"/>
        <w:outlineLvl w:val="1"/>
        <w:rPr>
          <w:rFonts w:eastAsia="黑体"/>
          <w:b/>
          <w:color w:val="auto"/>
          <w:sz w:val="28"/>
        </w:rPr>
      </w:pPr>
      <w:bookmarkStart w:id="156" w:name="_Toc458764408"/>
      <w:bookmarkStart w:id="157" w:name="_Toc406585746"/>
      <w:bookmarkStart w:id="158" w:name="_Toc398968714"/>
      <w:r>
        <w:rPr>
          <w:rFonts w:eastAsia="黑体"/>
          <w:b/>
          <w:color w:val="auto"/>
          <w:sz w:val="28"/>
        </w:rPr>
        <w:t>7. 合同授予</w:t>
      </w:r>
      <w:bookmarkEnd w:id="152"/>
      <w:bookmarkEnd w:id="153"/>
      <w:bookmarkEnd w:id="154"/>
      <w:bookmarkEnd w:id="155"/>
      <w:bookmarkEnd w:id="156"/>
      <w:bookmarkEnd w:id="157"/>
      <w:bookmarkEnd w:id="158"/>
      <w:bookmarkStart w:id="159" w:name="_Toc152045567"/>
      <w:bookmarkStart w:id="160" w:name="_Toc179632585"/>
      <w:bookmarkStart w:id="161" w:name="_Toc144974535"/>
      <w:bookmarkStart w:id="162" w:name="_Toc152042343"/>
    </w:p>
    <w:p>
      <w:pPr>
        <w:spacing w:line="360" w:lineRule="auto"/>
        <w:rPr>
          <w:rFonts w:hint="eastAsia" w:eastAsia="黑体"/>
          <w:color w:val="auto"/>
          <w:sz w:val="21"/>
          <w:szCs w:val="21"/>
        </w:rPr>
      </w:pPr>
      <w:r>
        <w:rPr>
          <w:rFonts w:hint="eastAsia" w:eastAsia="黑体"/>
          <w:color w:val="auto"/>
          <w:sz w:val="21"/>
          <w:szCs w:val="21"/>
        </w:rPr>
        <w:t>7.1 中标候选人公示</w:t>
      </w:r>
    </w:p>
    <w:p>
      <w:pPr>
        <w:spacing w:line="360" w:lineRule="auto"/>
        <w:ind w:firstLine="420" w:firstLineChars="200"/>
        <w:rPr>
          <w:rFonts w:hint="eastAsia"/>
          <w:color w:val="auto"/>
          <w:sz w:val="21"/>
          <w:szCs w:val="21"/>
        </w:rPr>
      </w:pPr>
      <w:r>
        <w:rPr>
          <w:color w:val="auto"/>
          <w:sz w:val="21"/>
          <w:szCs w:val="21"/>
        </w:rPr>
        <w:t>招标人在收到评标报告之日起 3 日内，按照投标人须知前附表规定的公示媒介和期限公示中标候选人，公示期不得少于 3 日</w:t>
      </w:r>
      <w:r>
        <w:rPr>
          <w:rFonts w:hint="eastAsia"/>
          <w:color w:val="auto"/>
          <w:sz w:val="21"/>
          <w:szCs w:val="21"/>
        </w:rPr>
        <w:t>。</w:t>
      </w:r>
    </w:p>
    <w:p>
      <w:pPr>
        <w:spacing w:line="360" w:lineRule="auto"/>
        <w:rPr>
          <w:rFonts w:eastAsia="黑体"/>
          <w:color w:val="auto"/>
          <w:sz w:val="21"/>
          <w:szCs w:val="21"/>
        </w:rPr>
      </w:pPr>
      <w:r>
        <w:rPr>
          <w:rFonts w:eastAsia="黑体"/>
          <w:color w:val="auto"/>
          <w:sz w:val="21"/>
          <w:szCs w:val="21"/>
        </w:rPr>
        <w:t xml:space="preserve">7.2 </w:t>
      </w:r>
      <w:r>
        <w:rPr>
          <w:rFonts w:hint="eastAsia" w:eastAsia="黑体"/>
          <w:color w:val="auto"/>
          <w:sz w:val="21"/>
          <w:szCs w:val="21"/>
        </w:rPr>
        <w:t>评标结果异议</w:t>
      </w:r>
    </w:p>
    <w:p>
      <w:pPr>
        <w:spacing w:line="360" w:lineRule="auto"/>
        <w:ind w:firstLine="420" w:firstLineChars="200"/>
        <w:rPr>
          <w:rFonts w:hint="eastAsia"/>
          <w:color w:val="auto"/>
          <w:sz w:val="21"/>
          <w:szCs w:val="21"/>
        </w:rPr>
      </w:pPr>
      <w:r>
        <w:rPr>
          <w:rFonts w:hint="eastAsia"/>
          <w:color w:val="auto"/>
          <w:sz w:val="21"/>
          <w:szCs w:val="21"/>
        </w:rPr>
        <w:t>投标人或其他利害关系人对依法必须进行招标的项目的评标结果有异议的，应在中标候选人公示期间提出。招标人将在收到异议之日起</w:t>
      </w:r>
      <w:r>
        <w:rPr>
          <w:color w:val="auto"/>
          <w:sz w:val="21"/>
          <w:szCs w:val="21"/>
        </w:rPr>
        <w:t xml:space="preserve"> 3 </w:t>
      </w:r>
      <w:r>
        <w:rPr>
          <w:rFonts w:hint="eastAsia"/>
          <w:color w:val="auto"/>
          <w:sz w:val="21"/>
          <w:szCs w:val="21"/>
        </w:rPr>
        <w:t>日内作出答复；作出答复前，将暂停招标投标活动。</w:t>
      </w:r>
    </w:p>
    <w:p>
      <w:pPr>
        <w:spacing w:line="360" w:lineRule="auto"/>
        <w:rPr>
          <w:rFonts w:eastAsia="黑体"/>
          <w:color w:val="auto"/>
          <w:sz w:val="21"/>
          <w:szCs w:val="21"/>
        </w:rPr>
      </w:pPr>
      <w:r>
        <w:rPr>
          <w:rFonts w:eastAsia="黑体"/>
          <w:color w:val="auto"/>
          <w:sz w:val="21"/>
          <w:szCs w:val="21"/>
        </w:rPr>
        <w:t xml:space="preserve">7.3 </w:t>
      </w:r>
      <w:r>
        <w:rPr>
          <w:rFonts w:hint="eastAsia" w:eastAsia="黑体"/>
          <w:color w:val="auto"/>
          <w:sz w:val="21"/>
          <w:szCs w:val="21"/>
        </w:rPr>
        <w:t>中标候选人履约能力审查</w:t>
      </w:r>
    </w:p>
    <w:p>
      <w:pPr>
        <w:spacing w:line="360" w:lineRule="auto"/>
        <w:ind w:firstLine="420" w:firstLineChars="200"/>
        <w:rPr>
          <w:color w:val="auto"/>
          <w:sz w:val="21"/>
          <w:szCs w:val="21"/>
        </w:rPr>
      </w:pPr>
      <w:r>
        <w:rPr>
          <w:rFonts w:hint="eastAsia"/>
          <w:color w:val="auto"/>
          <w:sz w:val="21"/>
          <w:szCs w:val="21"/>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rPr>
          <w:rFonts w:eastAsia="黑体"/>
          <w:color w:val="auto"/>
          <w:sz w:val="21"/>
          <w:szCs w:val="21"/>
        </w:rPr>
      </w:pPr>
      <w:r>
        <w:rPr>
          <w:rFonts w:eastAsia="黑体"/>
          <w:color w:val="auto"/>
          <w:sz w:val="21"/>
          <w:szCs w:val="21"/>
        </w:rPr>
        <w:t xml:space="preserve">7.4 </w:t>
      </w:r>
      <w:r>
        <w:rPr>
          <w:rFonts w:hint="eastAsia" w:eastAsia="黑体"/>
          <w:color w:val="auto"/>
          <w:sz w:val="21"/>
          <w:szCs w:val="21"/>
        </w:rPr>
        <w:t>定标</w:t>
      </w:r>
    </w:p>
    <w:p>
      <w:pPr>
        <w:spacing w:line="360" w:lineRule="auto"/>
        <w:ind w:firstLine="420" w:firstLineChars="200"/>
        <w:rPr>
          <w:rFonts w:hint="eastAsia"/>
          <w:color w:val="auto"/>
          <w:sz w:val="21"/>
          <w:szCs w:val="21"/>
        </w:rPr>
      </w:pPr>
      <w:r>
        <w:rPr>
          <w:rFonts w:hint="eastAsia"/>
          <w:color w:val="auto"/>
          <w:sz w:val="21"/>
          <w:szCs w:val="21"/>
          <w:lang w:val="en-US"/>
        </w:rPr>
        <w:t xml:space="preserve">招标人依据评标委员会推荐的中标候选人确定中标人，评标委员会推荐中标候选人的人数见投 标人须知前附表。 </w:t>
      </w:r>
    </w:p>
    <w:p>
      <w:pPr>
        <w:spacing w:line="360" w:lineRule="auto"/>
        <w:ind w:firstLine="420" w:firstLineChars="200"/>
        <w:rPr>
          <w:rFonts w:hint="eastAsia"/>
          <w:color w:val="auto"/>
          <w:sz w:val="21"/>
          <w:szCs w:val="21"/>
        </w:rPr>
      </w:pPr>
      <w:r>
        <w:rPr>
          <w:rFonts w:hint="eastAsia"/>
          <w:color w:val="auto"/>
          <w:sz w:val="21"/>
          <w:szCs w:val="21"/>
          <w:lang w:val="en-US"/>
        </w:rPr>
        <w:t xml:space="preserve">国有资金占控股或者主导地位的依法必须进行招投标的项目，招标人应当确定排名第一的中标 候选人为中标人。排名第一的中标候选人放弃中标、因不可抗力不能履行合同、不按照招标文件要求提交履约保证金，或者被查实存在影响中标结果的违法行为等情形，不符合中标条件的，本工程直接重新招标，不得确定其他投标人为中标人。 </w:t>
      </w:r>
    </w:p>
    <w:p>
      <w:pPr>
        <w:spacing w:line="360" w:lineRule="auto"/>
        <w:ind w:firstLine="420" w:firstLineChars="20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除上述情形外，其他因存在评委评审或计算错误，导致第一中标候选人排名发生变化的，经复议确认后可重新公示中标候选人。</w:t>
      </w:r>
    </w:p>
    <w:bookmarkEnd w:id="159"/>
    <w:bookmarkEnd w:id="160"/>
    <w:bookmarkEnd w:id="161"/>
    <w:bookmarkEnd w:id="162"/>
    <w:p>
      <w:pPr>
        <w:spacing w:line="400" w:lineRule="exact"/>
        <w:rPr>
          <w:rFonts w:eastAsia="黑体"/>
          <w:color w:val="auto"/>
          <w:sz w:val="21"/>
          <w:szCs w:val="21"/>
        </w:rPr>
      </w:pPr>
      <w:bookmarkStart w:id="163" w:name="_Toc152042344"/>
      <w:bookmarkStart w:id="164" w:name="_Toc152045568"/>
      <w:bookmarkStart w:id="165" w:name="_Toc144974536"/>
      <w:bookmarkStart w:id="166" w:name="_Toc179632586"/>
      <w:r>
        <w:rPr>
          <w:rFonts w:eastAsia="黑体"/>
          <w:color w:val="auto"/>
          <w:sz w:val="21"/>
          <w:szCs w:val="21"/>
        </w:rPr>
        <w:t>7.</w:t>
      </w:r>
      <w:r>
        <w:rPr>
          <w:rFonts w:hint="eastAsia" w:eastAsia="黑体"/>
          <w:color w:val="auto"/>
          <w:sz w:val="21"/>
          <w:szCs w:val="21"/>
        </w:rPr>
        <w:t>5</w:t>
      </w:r>
      <w:r>
        <w:rPr>
          <w:rFonts w:eastAsia="黑体"/>
          <w:color w:val="auto"/>
          <w:sz w:val="21"/>
          <w:szCs w:val="21"/>
        </w:rPr>
        <w:t xml:space="preserve"> 中标通知</w:t>
      </w:r>
      <w:bookmarkEnd w:id="163"/>
      <w:bookmarkEnd w:id="164"/>
      <w:bookmarkEnd w:id="165"/>
      <w:bookmarkEnd w:id="166"/>
    </w:p>
    <w:p>
      <w:pPr>
        <w:spacing w:line="360" w:lineRule="auto"/>
        <w:ind w:firstLine="420" w:firstLineChars="200"/>
        <w:rPr>
          <w:rFonts w:hint="eastAsia"/>
          <w:color w:val="auto"/>
          <w:sz w:val="21"/>
          <w:szCs w:val="21"/>
          <w:lang w:val="en-US"/>
        </w:rPr>
      </w:pPr>
      <w:bookmarkStart w:id="167" w:name="_Toc152045569"/>
      <w:bookmarkStart w:id="168" w:name="_Toc179632587"/>
      <w:bookmarkStart w:id="169" w:name="_Toc152042345"/>
      <w:bookmarkStart w:id="170" w:name="_Toc144974537"/>
      <w:r>
        <w:rPr>
          <w:rFonts w:hint="eastAsia"/>
          <w:color w:val="auto"/>
          <w:sz w:val="21"/>
          <w:szCs w:val="21"/>
          <w:lang w:val="en-US"/>
        </w:rPr>
        <w:t>在本章第3.3款规定的投标有效期内，招标人以投标人须知前附表规定的形式向中标人发出中标通知书，同时将中标结果通知未中标的投标人。</w:t>
      </w:r>
    </w:p>
    <w:p>
      <w:pPr>
        <w:spacing w:line="360" w:lineRule="auto"/>
        <w:ind w:firstLine="422" w:firstLineChars="200"/>
        <w:rPr>
          <w:rFonts w:hint="eastAsia"/>
          <w:b/>
          <w:bCs/>
          <w:color w:val="auto"/>
          <w:sz w:val="21"/>
          <w:szCs w:val="21"/>
          <w:lang w:val="en-US"/>
        </w:rPr>
      </w:pPr>
      <w:r>
        <w:rPr>
          <w:rFonts w:hint="eastAsia"/>
          <w:b/>
          <w:bCs/>
          <w:color w:val="auto"/>
          <w:sz w:val="21"/>
          <w:szCs w:val="21"/>
          <w:lang w:val="en-US"/>
        </w:rPr>
        <w:t>招标人和中标人须在中标结果公示（中标人确定后公示于江苏建设工程招标网</w:t>
      </w:r>
      <w:r>
        <w:rPr>
          <w:rFonts w:hint="eastAsia"/>
          <w:b/>
          <w:bCs/>
          <w:color w:val="auto"/>
          <w:sz w:val="21"/>
          <w:szCs w:val="21"/>
          <w:lang w:val="en-US" w:eastAsia="zh-CN"/>
        </w:rPr>
        <w:t>、盐城市公共资源交易平台</w:t>
      </w:r>
      <w:r>
        <w:rPr>
          <w:rFonts w:hint="eastAsia"/>
          <w:b/>
          <w:bCs/>
          <w:color w:val="auto"/>
          <w:sz w:val="21"/>
          <w:szCs w:val="21"/>
          <w:lang w:val="en-US"/>
        </w:rPr>
        <w:t>和</w:t>
      </w:r>
      <w:r>
        <w:rPr>
          <w:rFonts w:hint="eastAsia"/>
          <w:b/>
          <w:bCs/>
          <w:color w:val="auto"/>
          <w:sz w:val="21"/>
          <w:szCs w:val="21"/>
          <w:lang w:val="en-US" w:eastAsia="zh-CN"/>
        </w:rPr>
        <w:t>大丰公共资源电子交易</w:t>
      </w:r>
      <w:r>
        <w:rPr>
          <w:rFonts w:hint="eastAsia"/>
          <w:b/>
          <w:bCs/>
          <w:color w:val="auto"/>
          <w:sz w:val="21"/>
          <w:szCs w:val="21"/>
          <w:lang w:val="en-US"/>
        </w:rPr>
        <w:t>平台）结束后3日内按苏价服［2017］177 号文件规定缴纳建设工程交易综合服务费后领取中标通知书。</w:t>
      </w:r>
    </w:p>
    <w:p>
      <w:pPr>
        <w:spacing w:line="360" w:lineRule="auto"/>
        <w:ind w:firstLine="422" w:firstLineChars="200"/>
        <w:rPr>
          <w:rFonts w:hint="eastAsia" w:eastAsia="宋体"/>
          <w:b/>
          <w:bCs/>
          <w:color w:val="auto"/>
          <w:sz w:val="21"/>
          <w:szCs w:val="21"/>
          <w:lang w:val="en-US" w:eastAsia="zh-CN"/>
        </w:rPr>
      </w:pPr>
      <w:r>
        <w:rPr>
          <w:rFonts w:hint="eastAsia"/>
          <w:b/>
          <w:bCs/>
          <w:color w:val="auto"/>
          <w:sz w:val="21"/>
          <w:szCs w:val="21"/>
          <w:lang w:val="en-US"/>
        </w:rPr>
        <w:t>本项目招标代理费按照发改价格〔2011〕534号、苏价服[2014]383号及大价发[2015]23号文*40%收费标准计取</w:t>
      </w:r>
      <w:r>
        <w:rPr>
          <w:rFonts w:hint="eastAsia"/>
          <w:b/>
          <w:bCs/>
          <w:color w:val="auto"/>
          <w:sz w:val="21"/>
          <w:szCs w:val="21"/>
          <w:lang w:val="en-US" w:eastAsia="zh-CN"/>
        </w:rPr>
        <w:t>。</w:t>
      </w:r>
    </w:p>
    <w:p>
      <w:pPr>
        <w:spacing w:line="360" w:lineRule="auto"/>
        <w:ind w:firstLine="422" w:firstLineChars="200"/>
        <w:rPr>
          <w:rFonts w:hint="eastAsia"/>
          <w:b/>
          <w:bCs/>
          <w:color w:val="auto"/>
          <w:sz w:val="21"/>
          <w:szCs w:val="21"/>
          <w:lang w:val="en-US"/>
        </w:rPr>
      </w:pPr>
      <w:r>
        <w:rPr>
          <w:rFonts w:hint="eastAsia"/>
          <w:b/>
          <w:bCs/>
          <w:color w:val="auto"/>
          <w:sz w:val="21"/>
          <w:szCs w:val="21"/>
          <w:lang w:val="en-US"/>
        </w:rPr>
        <w:t xml:space="preserve">投标人投标报价时应将上述应由中标人缴纳的建设工程交易服务费用计入投标报价中，但不单列，自行考虑分摊至投标报价的综合单价、合价中。本工程由投标人缴纳的各项费用无论最终工程结算价与前期合同估算价误差多少，建设单位一律不予贴补给中标单位。 </w:t>
      </w:r>
    </w:p>
    <w:p>
      <w:pPr>
        <w:spacing w:line="360" w:lineRule="auto"/>
        <w:ind w:firstLine="422" w:firstLineChars="200"/>
        <w:rPr>
          <w:rFonts w:hint="eastAsia"/>
          <w:b/>
          <w:bCs/>
          <w:color w:val="auto"/>
          <w:sz w:val="21"/>
          <w:szCs w:val="21"/>
          <w:lang w:val="en-US"/>
        </w:rPr>
      </w:pPr>
      <w:r>
        <w:rPr>
          <w:rFonts w:hint="eastAsia"/>
          <w:b/>
          <w:bCs/>
          <w:color w:val="auto"/>
          <w:sz w:val="21"/>
          <w:szCs w:val="21"/>
          <w:lang w:val="en-US"/>
        </w:rPr>
        <w:t>中标人须在中标结果公示结束后3个工作日领取中标通知书，中标人如未能按照招标文件规定的要求缴纳建设工程交易综合服务费及领取中标通知书，招标人有权取消其中标资格，没收投标保证金。</w:t>
      </w:r>
    </w:p>
    <w:p>
      <w:pPr>
        <w:spacing w:line="400" w:lineRule="exact"/>
        <w:rPr>
          <w:rFonts w:hint="eastAsia" w:eastAsia="黑体"/>
          <w:color w:val="auto"/>
          <w:sz w:val="21"/>
          <w:szCs w:val="21"/>
        </w:rPr>
      </w:pPr>
      <w:r>
        <w:rPr>
          <w:rFonts w:eastAsia="黑体"/>
          <w:color w:val="auto"/>
          <w:sz w:val="21"/>
          <w:szCs w:val="21"/>
        </w:rPr>
        <w:t xml:space="preserve">7.6 </w:t>
      </w:r>
      <w:r>
        <w:rPr>
          <w:rFonts w:hint="eastAsia" w:eastAsia="黑体"/>
          <w:color w:val="auto"/>
          <w:sz w:val="21"/>
          <w:szCs w:val="21"/>
        </w:rPr>
        <w:t>中标结果公告</w:t>
      </w:r>
    </w:p>
    <w:p>
      <w:pPr>
        <w:spacing w:line="360" w:lineRule="auto"/>
        <w:ind w:firstLine="420" w:firstLineChars="200"/>
        <w:rPr>
          <w:rFonts w:hint="eastAsia"/>
          <w:color w:val="auto"/>
          <w:sz w:val="21"/>
          <w:szCs w:val="21"/>
        </w:rPr>
      </w:pPr>
      <w:r>
        <w:rPr>
          <w:rFonts w:hint="eastAsia"/>
          <w:color w:val="auto"/>
          <w:sz w:val="21"/>
          <w:szCs w:val="21"/>
        </w:rPr>
        <w:t>招标人在确定中标人之日起</w:t>
      </w:r>
      <w:r>
        <w:rPr>
          <w:color w:val="auto"/>
          <w:sz w:val="21"/>
          <w:szCs w:val="21"/>
        </w:rPr>
        <w:t xml:space="preserve"> 3 </w:t>
      </w:r>
      <w:r>
        <w:rPr>
          <w:rFonts w:hint="eastAsia"/>
          <w:color w:val="auto"/>
          <w:sz w:val="21"/>
          <w:szCs w:val="21"/>
        </w:rPr>
        <w:t>日内，按照投标人须知前附表规定的公告媒介和期限公告中标结果。</w:t>
      </w:r>
    </w:p>
    <w:p>
      <w:pPr>
        <w:spacing w:line="400" w:lineRule="exact"/>
        <w:rPr>
          <w:rFonts w:eastAsia="黑体"/>
          <w:color w:val="auto"/>
          <w:sz w:val="21"/>
          <w:szCs w:val="21"/>
        </w:rPr>
      </w:pPr>
      <w:r>
        <w:rPr>
          <w:rFonts w:eastAsia="黑体"/>
          <w:color w:val="auto"/>
          <w:sz w:val="21"/>
          <w:szCs w:val="21"/>
        </w:rPr>
        <w:t>7.</w:t>
      </w:r>
      <w:r>
        <w:rPr>
          <w:rFonts w:hint="eastAsia" w:eastAsia="黑体"/>
          <w:color w:val="auto"/>
          <w:sz w:val="21"/>
          <w:szCs w:val="21"/>
        </w:rPr>
        <w:t>7</w:t>
      </w:r>
      <w:r>
        <w:rPr>
          <w:rFonts w:eastAsia="黑体"/>
          <w:color w:val="auto"/>
          <w:sz w:val="21"/>
          <w:szCs w:val="21"/>
        </w:rPr>
        <w:t xml:space="preserve"> 履约担保</w:t>
      </w:r>
      <w:bookmarkEnd w:id="167"/>
      <w:bookmarkEnd w:id="168"/>
      <w:bookmarkEnd w:id="169"/>
      <w:bookmarkEnd w:id="170"/>
    </w:p>
    <w:p>
      <w:pPr>
        <w:spacing w:line="360" w:lineRule="auto"/>
        <w:ind w:firstLine="420" w:firstLineChars="200"/>
        <w:rPr>
          <w:rFonts w:hint="eastAsia"/>
          <w:color w:val="auto"/>
          <w:sz w:val="21"/>
          <w:szCs w:val="21"/>
        </w:rPr>
      </w:pPr>
      <w:bookmarkStart w:id="171" w:name="_Toc144974538"/>
      <w:bookmarkStart w:id="172" w:name="_Toc152042346"/>
      <w:bookmarkStart w:id="173" w:name="_Toc179632588"/>
      <w:bookmarkStart w:id="174" w:name="_Toc152045570"/>
      <w:r>
        <w:rPr>
          <w:rFonts w:hint="eastAsia"/>
          <w:color w:val="auto"/>
          <w:sz w:val="21"/>
          <w:szCs w:val="21"/>
          <w:lang w:val="en-US"/>
        </w:rPr>
        <w:t xml:space="preserve">7.7.1 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10%。 </w:t>
      </w:r>
    </w:p>
    <w:p>
      <w:pPr>
        <w:spacing w:line="360" w:lineRule="auto"/>
        <w:ind w:firstLine="420" w:firstLineChars="200"/>
        <w:rPr>
          <w:rFonts w:hint="eastAsia"/>
          <w:color w:val="auto"/>
          <w:sz w:val="21"/>
          <w:szCs w:val="21"/>
        </w:rPr>
      </w:pPr>
      <w:r>
        <w:rPr>
          <w:rFonts w:hint="eastAsia"/>
          <w:color w:val="auto"/>
          <w:sz w:val="21"/>
          <w:szCs w:val="21"/>
          <w:lang w:val="en-US"/>
        </w:rPr>
        <w:t xml:space="preserve">采用履约担保或者承包人基本账户开户行出具的保函、保险公司保险单时，承包人应保证保函、保险单等有效，所需的费用由承包人承担。 </w:t>
      </w:r>
    </w:p>
    <w:p>
      <w:pPr>
        <w:spacing w:line="360" w:lineRule="auto"/>
        <w:ind w:firstLine="422" w:firstLineChars="200"/>
        <w:rPr>
          <w:rFonts w:hint="eastAsia"/>
          <w:color w:val="auto"/>
          <w:sz w:val="21"/>
          <w:szCs w:val="21"/>
        </w:rPr>
      </w:pPr>
      <w:r>
        <w:rPr>
          <w:rFonts w:hint="eastAsia"/>
          <w:b/>
          <w:bCs/>
          <w:color w:val="auto"/>
          <w:sz w:val="21"/>
          <w:szCs w:val="21"/>
          <w:lang w:val="en-US"/>
        </w:rPr>
        <w:t>根据盐政发〔2020〕57号文件精神，获得盐城市近 2 年建筑业星级企业或建筑业发展先进企业表彰的企业，无需提供有关证明材料，免交各类保证金。</w:t>
      </w:r>
      <w:r>
        <w:rPr>
          <w:rFonts w:hint="eastAsia"/>
          <w:color w:val="auto"/>
          <w:sz w:val="21"/>
          <w:szCs w:val="21"/>
          <w:lang w:val="en-US"/>
        </w:rPr>
        <w:t xml:space="preserve">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7.7.2 中标人不能按本章第 7.7.1 项要求提交履约保证金的，视为放弃中标，其投标保证金不予退还，给招标人造成的损失超过投标保证金数额的，中标人还应对超过部分予以赔偿。 </w:t>
      </w:r>
    </w:p>
    <w:p>
      <w:pPr>
        <w:spacing w:line="360" w:lineRule="auto"/>
        <w:ind w:firstLine="422" w:firstLineChars="200"/>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pPr>
        <w:spacing w:line="360" w:lineRule="auto"/>
        <w:ind w:firstLine="422" w:firstLineChars="200"/>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rPr>
        <w:t>投标人均需缴纳差额履约担保，获得盐城市近 2 年建筑业星级企业或建筑业发展先进企业表彰的企业，无需提供有关证明材料，免交各类保证金。差额履约担保缴纳账号同投标保证金账号。</w:t>
      </w:r>
    </w:p>
    <w:p>
      <w:pPr>
        <w:spacing w:line="400" w:lineRule="exact"/>
        <w:rPr>
          <w:rFonts w:eastAsia="黑体"/>
          <w:color w:val="auto"/>
          <w:sz w:val="21"/>
          <w:szCs w:val="21"/>
        </w:rPr>
      </w:pPr>
      <w:r>
        <w:rPr>
          <w:rFonts w:eastAsia="黑体"/>
          <w:color w:val="auto"/>
          <w:sz w:val="21"/>
          <w:szCs w:val="21"/>
        </w:rPr>
        <w:t>7.</w:t>
      </w:r>
      <w:r>
        <w:rPr>
          <w:rFonts w:hint="eastAsia" w:eastAsia="黑体"/>
          <w:color w:val="auto"/>
          <w:sz w:val="21"/>
          <w:szCs w:val="21"/>
        </w:rPr>
        <w:t>8</w:t>
      </w:r>
      <w:r>
        <w:rPr>
          <w:rFonts w:eastAsia="黑体"/>
          <w:color w:val="auto"/>
          <w:sz w:val="21"/>
          <w:szCs w:val="21"/>
        </w:rPr>
        <w:t xml:space="preserve"> 签订合同</w:t>
      </w:r>
      <w:bookmarkEnd w:id="171"/>
      <w:bookmarkEnd w:id="172"/>
      <w:bookmarkEnd w:id="173"/>
      <w:bookmarkEnd w:id="174"/>
    </w:p>
    <w:p>
      <w:pPr>
        <w:spacing w:line="400" w:lineRule="exact"/>
        <w:ind w:firstLine="420" w:firstLineChars="200"/>
        <w:rPr>
          <w:color w:val="auto"/>
          <w:sz w:val="21"/>
          <w:szCs w:val="21"/>
        </w:rPr>
      </w:pPr>
      <w:r>
        <w:rPr>
          <w:color w:val="auto"/>
          <w:sz w:val="21"/>
          <w:szCs w:val="21"/>
        </w:rPr>
        <w:t>7.8.1</w:t>
      </w:r>
      <w:r>
        <w:rPr>
          <w:rFonts w:hint="eastAsia"/>
          <w:color w:val="auto"/>
          <w:sz w:val="21"/>
          <w:szCs w:val="21"/>
        </w:rPr>
        <w:t xml:space="preserve"> </w:t>
      </w:r>
      <w:r>
        <w:rPr>
          <w:color w:val="auto"/>
          <w:sz w:val="21"/>
          <w:szCs w:val="21"/>
        </w:rPr>
        <w:t>招标人和中标人应在中标通知书发出之日起</w:t>
      </w:r>
      <w:r>
        <w:rPr>
          <w:rFonts w:hint="eastAsia"/>
          <w:color w:val="auto"/>
          <w:sz w:val="21"/>
          <w:szCs w:val="21"/>
          <w:lang w:val="en-US" w:eastAsia="zh-CN"/>
        </w:rPr>
        <w:t>7</w:t>
      </w:r>
      <w:r>
        <w:rPr>
          <w:color w:val="auto"/>
          <w:sz w:val="21"/>
          <w:szCs w:val="21"/>
        </w:rPr>
        <w:t>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pPr>
        <w:spacing w:line="400" w:lineRule="exact"/>
        <w:ind w:firstLine="420" w:firstLineChars="200"/>
        <w:rPr>
          <w:color w:val="auto"/>
          <w:sz w:val="21"/>
          <w:szCs w:val="21"/>
        </w:rPr>
      </w:pPr>
      <w:r>
        <w:rPr>
          <w:color w:val="auto"/>
          <w:sz w:val="21"/>
          <w:szCs w:val="21"/>
        </w:rPr>
        <w:t>7.</w:t>
      </w:r>
      <w:r>
        <w:rPr>
          <w:rFonts w:hint="eastAsia"/>
          <w:color w:val="auto"/>
          <w:sz w:val="21"/>
          <w:szCs w:val="21"/>
        </w:rPr>
        <w:t>8</w:t>
      </w:r>
      <w:r>
        <w:rPr>
          <w:color w:val="auto"/>
          <w:sz w:val="21"/>
          <w:szCs w:val="21"/>
        </w:rPr>
        <w:t xml:space="preserve">.2 </w:t>
      </w:r>
      <w:r>
        <w:rPr>
          <w:rFonts w:hint="eastAsia"/>
          <w:color w:val="auto"/>
          <w:sz w:val="21"/>
          <w:szCs w:val="21"/>
        </w:rPr>
        <w:t xml:space="preserve"> </w:t>
      </w:r>
      <w:r>
        <w:rPr>
          <w:color w:val="auto"/>
          <w:sz w:val="21"/>
          <w:szCs w:val="21"/>
        </w:rPr>
        <w:t>发出中标通知书后，招标人无正当理由拒签合同的，</w:t>
      </w:r>
      <w:r>
        <w:rPr>
          <w:rFonts w:hint="eastAsia"/>
          <w:color w:val="auto"/>
          <w:sz w:val="21"/>
          <w:szCs w:val="21"/>
        </w:rPr>
        <w:t>或在签订合同时向中标人提出附加条件的，</w:t>
      </w:r>
      <w:r>
        <w:rPr>
          <w:color w:val="auto"/>
          <w:sz w:val="21"/>
          <w:szCs w:val="21"/>
        </w:rPr>
        <w:t xml:space="preserve">招标人向中标人退还投标保证金；给中标人造成损失的，还应当赔偿损失。 </w:t>
      </w:r>
    </w:p>
    <w:p>
      <w:pPr>
        <w:spacing w:line="360" w:lineRule="auto"/>
        <w:ind w:firstLine="420" w:firstLineChars="200"/>
        <w:rPr>
          <w:color w:val="auto"/>
          <w:sz w:val="21"/>
          <w:szCs w:val="21"/>
        </w:rPr>
      </w:pPr>
      <w:r>
        <w:rPr>
          <w:color w:val="auto"/>
          <w:sz w:val="21"/>
          <w:szCs w:val="21"/>
        </w:rPr>
        <w:t>7.</w:t>
      </w:r>
      <w:r>
        <w:rPr>
          <w:rFonts w:hint="eastAsia"/>
          <w:color w:val="auto"/>
          <w:sz w:val="21"/>
          <w:szCs w:val="21"/>
        </w:rPr>
        <w:t>8</w:t>
      </w:r>
      <w:r>
        <w:rPr>
          <w:color w:val="auto"/>
          <w:sz w:val="21"/>
          <w:szCs w:val="21"/>
        </w:rPr>
        <w:t xml:space="preserve">.3 </w:t>
      </w:r>
      <w:r>
        <w:rPr>
          <w:rFonts w:hint="eastAsia"/>
          <w:color w:val="auto"/>
          <w:sz w:val="21"/>
          <w:szCs w:val="21"/>
        </w:rPr>
        <w:t xml:space="preserve"> </w:t>
      </w:r>
      <w:r>
        <w:rPr>
          <w:color w:val="auto"/>
          <w:sz w:val="21"/>
          <w:szCs w:val="21"/>
        </w:rPr>
        <w:t>签约合同价的确定原则如下：</w:t>
      </w:r>
    </w:p>
    <w:p>
      <w:pPr>
        <w:numPr>
          <w:ilvl w:val="0"/>
          <w:numId w:val="4"/>
          <w:numberingChange w:id="1" w:author="作者" w:date="2016-04-14T16:50:00Z" w:original="（%1:1:0:）"/>
        </w:numPr>
        <w:autoSpaceDE/>
        <w:autoSpaceDN/>
        <w:spacing w:line="360" w:lineRule="auto"/>
        <w:ind w:firstLine="420" w:firstLineChars="200"/>
        <w:jc w:val="both"/>
        <w:rPr>
          <w:color w:val="auto"/>
          <w:sz w:val="21"/>
          <w:szCs w:val="21"/>
        </w:rPr>
      </w:pPr>
      <w:r>
        <w:rPr>
          <w:color w:val="auto"/>
          <w:sz w:val="21"/>
          <w:szCs w:val="21"/>
        </w:rPr>
        <w:t>按照评标办法规定对投标报价进行修正后，若修正后的最终投标报价小于开标时的投标报价函文字报价，则签订合同时以修正后的最终投标报价为准；</w:t>
      </w:r>
    </w:p>
    <w:p>
      <w:pPr>
        <w:numPr>
          <w:ilvl w:val="0"/>
          <w:numId w:val="4"/>
          <w:numberingChange w:id="2" w:author="作者" w:date="2016-04-14T16:50:00Z" w:original="（%1:2:0:）"/>
        </w:numPr>
        <w:autoSpaceDE/>
        <w:autoSpaceDN/>
        <w:spacing w:line="360" w:lineRule="auto"/>
        <w:ind w:firstLine="420" w:firstLineChars="200"/>
        <w:jc w:val="both"/>
        <w:rPr>
          <w:color w:val="auto"/>
          <w:sz w:val="21"/>
          <w:szCs w:val="21"/>
        </w:rPr>
      </w:pPr>
      <w:r>
        <w:rPr>
          <w:color w:val="auto"/>
          <w:sz w:val="21"/>
          <w:szCs w:val="21"/>
        </w:rPr>
        <w:t>按照评标办法规定对投标报价进行修正后，若修正后的最终投标报价大于开标时的投标报价函文字报价，则签订合同时以开标时的投标报价函文字报价为准，同时按比例修正相应的</w:t>
      </w:r>
      <w:r>
        <w:rPr>
          <w:rFonts w:hint="eastAsia"/>
          <w:color w:val="auto"/>
          <w:sz w:val="21"/>
          <w:szCs w:val="21"/>
        </w:rPr>
        <w:t>相应</w:t>
      </w:r>
      <w:r>
        <w:rPr>
          <w:color w:val="auto"/>
          <w:sz w:val="21"/>
          <w:szCs w:val="21"/>
        </w:rPr>
        <w:t>子目的单价或合价；</w:t>
      </w:r>
    </w:p>
    <w:p>
      <w:pPr>
        <w:spacing w:line="360" w:lineRule="auto"/>
        <w:ind w:firstLine="420" w:firstLineChars="200"/>
        <w:rPr>
          <w:color w:val="auto"/>
          <w:sz w:val="21"/>
          <w:szCs w:val="21"/>
        </w:rPr>
      </w:pPr>
      <w:r>
        <w:rPr>
          <w:color w:val="auto"/>
          <w:sz w:val="21"/>
          <w:szCs w:val="21"/>
        </w:rPr>
        <w:t>7.</w:t>
      </w:r>
      <w:r>
        <w:rPr>
          <w:rFonts w:hint="eastAsia"/>
          <w:color w:val="auto"/>
          <w:sz w:val="21"/>
          <w:szCs w:val="21"/>
        </w:rPr>
        <w:t>8</w:t>
      </w:r>
      <w:r>
        <w:rPr>
          <w:color w:val="auto"/>
          <w:sz w:val="21"/>
          <w:szCs w:val="21"/>
        </w:rPr>
        <w:t>.4</w:t>
      </w:r>
      <w:r>
        <w:rPr>
          <w:rFonts w:hint="eastAsia"/>
          <w:color w:val="auto"/>
          <w:sz w:val="21"/>
          <w:szCs w:val="21"/>
        </w:rPr>
        <w:t xml:space="preserve"> 联合体中标的，联合体各方应共同与招标人签订合同，就中标项目向招标人承担连带责任。</w:t>
      </w:r>
      <w:bookmarkStart w:id="175" w:name="_Toc152042347"/>
      <w:bookmarkStart w:id="176" w:name="_Toc179632589"/>
      <w:bookmarkStart w:id="177" w:name="_Toc144974539"/>
      <w:bookmarkStart w:id="178" w:name="_Toc152045571"/>
    </w:p>
    <w:p>
      <w:pPr>
        <w:spacing w:line="360" w:lineRule="auto"/>
        <w:ind w:firstLine="420" w:firstLineChars="200"/>
        <w:rPr>
          <w:color w:val="auto"/>
        </w:rPr>
      </w:pPr>
      <w:r>
        <w:rPr>
          <w:color w:val="auto"/>
          <w:sz w:val="21"/>
          <w:szCs w:val="21"/>
        </w:rPr>
        <w:t>7.</w:t>
      </w:r>
      <w:r>
        <w:rPr>
          <w:rFonts w:hint="eastAsia"/>
          <w:color w:val="auto"/>
          <w:sz w:val="21"/>
          <w:szCs w:val="21"/>
        </w:rPr>
        <w:t>8</w:t>
      </w:r>
      <w:r>
        <w:rPr>
          <w:color w:val="auto"/>
          <w:sz w:val="21"/>
          <w:szCs w:val="21"/>
        </w:rPr>
        <w:t>.5</w:t>
      </w:r>
      <w:r>
        <w:rPr>
          <w:rFonts w:hint="eastAsia"/>
          <w:color w:val="auto"/>
          <w:sz w:val="21"/>
          <w:szCs w:val="21"/>
        </w:rPr>
        <w:t xml:space="preserve"> 招标人和中标人在签订合同协议书的同时，须按照本招标文件规定的格式和要求签订廉政合同及安全生产合同，明确双方在廉政建设和安全生产方面的权利和义务以及应承担的违约责任。</w:t>
      </w:r>
      <w:bookmarkEnd w:id="175"/>
      <w:bookmarkEnd w:id="176"/>
      <w:bookmarkEnd w:id="177"/>
      <w:bookmarkEnd w:id="178"/>
      <w:r>
        <w:rPr>
          <w:color w:val="auto"/>
        </w:rPr>
        <w:t xml:space="preserve"> </w:t>
      </w:r>
      <w:bookmarkStart w:id="179" w:name="_Toc144974542"/>
      <w:bookmarkStart w:id="180" w:name="_Toc179632592"/>
      <w:bookmarkStart w:id="181" w:name="_Toc152045574"/>
      <w:bookmarkStart w:id="182" w:name="_Toc152042350"/>
    </w:p>
    <w:p>
      <w:pPr>
        <w:spacing w:line="400" w:lineRule="exact"/>
        <w:outlineLvl w:val="1"/>
        <w:rPr>
          <w:rFonts w:eastAsia="黑体"/>
          <w:b/>
          <w:color w:val="auto"/>
          <w:sz w:val="28"/>
        </w:rPr>
      </w:pPr>
      <w:bookmarkStart w:id="183" w:name="_Toc458764410"/>
      <w:bookmarkStart w:id="184" w:name="_Toc398968716"/>
      <w:bookmarkStart w:id="185" w:name="_Toc406585748"/>
      <w:r>
        <w:rPr>
          <w:rFonts w:hint="eastAsia" w:eastAsia="黑体"/>
          <w:b/>
          <w:color w:val="auto"/>
          <w:sz w:val="28"/>
        </w:rPr>
        <w:t>8</w:t>
      </w:r>
      <w:r>
        <w:rPr>
          <w:rFonts w:eastAsia="黑体"/>
          <w:b/>
          <w:color w:val="auto"/>
          <w:sz w:val="28"/>
        </w:rPr>
        <w:t>. 纪律和监督</w:t>
      </w:r>
      <w:bookmarkEnd w:id="179"/>
      <w:bookmarkEnd w:id="180"/>
      <w:bookmarkEnd w:id="181"/>
      <w:bookmarkEnd w:id="182"/>
      <w:bookmarkEnd w:id="183"/>
      <w:bookmarkEnd w:id="184"/>
      <w:bookmarkEnd w:id="185"/>
      <w:bookmarkStart w:id="186" w:name="_Toc144974543"/>
      <w:bookmarkStart w:id="187" w:name="_Toc152042351"/>
      <w:bookmarkStart w:id="188" w:name="_Toc179632593"/>
      <w:bookmarkStart w:id="189" w:name="_Toc152045575"/>
    </w:p>
    <w:p>
      <w:pPr>
        <w:spacing w:line="400" w:lineRule="exact"/>
        <w:rPr>
          <w:rFonts w:eastAsia="黑体"/>
          <w:color w:val="auto"/>
          <w:sz w:val="21"/>
          <w:szCs w:val="21"/>
        </w:rPr>
      </w:pPr>
      <w:r>
        <w:rPr>
          <w:rFonts w:hint="eastAsia" w:eastAsia="黑体"/>
          <w:color w:val="auto"/>
          <w:sz w:val="21"/>
          <w:szCs w:val="21"/>
        </w:rPr>
        <w:t>8</w:t>
      </w:r>
      <w:r>
        <w:rPr>
          <w:rFonts w:eastAsia="黑体"/>
          <w:color w:val="auto"/>
          <w:sz w:val="21"/>
          <w:szCs w:val="21"/>
        </w:rPr>
        <w:t>.1 对招标人的纪律要求</w:t>
      </w:r>
      <w:bookmarkEnd w:id="186"/>
      <w:bookmarkEnd w:id="187"/>
      <w:bookmarkEnd w:id="188"/>
      <w:bookmarkEnd w:id="189"/>
    </w:p>
    <w:p>
      <w:pPr>
        <w:spacing w:line="400" w:lineRule="exact"/>
        <w:ind w:firstLine="420" w:firstLineChars="200"/>
        <w:rPr>
          <w:color w:val="auto"/>
          <w:sz w:val="21"/>
          <w:szCs w:val="21"/>
        </w:rPr>
      </w:pPr>
      <w:r>
        <w:rPr>
          <w:color w:val="auto"/>
          <w:sz w:val="21"/>
          <w:szCs w:val="21"/>
        </w:rPr>
        <w:t>招标人不得泄漏招标投标活动中应当保密的情况和资料，不得与投标人串通损害国家利益、社会公共利益或者他人合法权益。</w:t>
      </w:r>
      <w:bookmarkStart w:id="190" w:name="_Toc144974544"/>
      <w:bookmarkStart w:id="191" w:name="_Toc152045576"/>
      <w:bookmarkStart w:id="192" w:name="_Toc179632594"/>
      <w:bookmarkStart w:id="193" w:name="_Toc152042352"/>
    </w:p>
    <w:p>
      <w:pPr>
        <w:spacing w:line="400" w:lineRule="exact"/>
        <w:rPr>
          <w:rFonts w:eastAsia="黑体"/>
          <w:color w:val="auto"/>
          <w:sz w:val="21"/>
          <w:szCs w:val="21"/>
        </w:rPr>
      </w:pPr>
      <w:r>
        <w:rPr>
          <w:rFonts w:hint="eastAsia" w:eastAsia="黑体"/>
          <w:color w:val="auto"/>
          <w:sz w:val="21"/>
          <w:szCs w:val="21"/>
        </w:rPr>
        <w:t>8</w:t>
      </w:r>
      <w:r>
        <w:rPr>
          <w:rFonts w:eastAsia="黑体"/>
          <w:color w:val="auto"/>
          <w:sz w:val="21"/>
          <w:szCs w:val="21"/>
        </w:rPr>
        <w:t>.2 对投标人的纪律要求</w:t>
      </w:r>
      <w:bookmarkEnd w:id="190"/>
      <w:bookmarkEnd w:id="191"/>
      <w:bookmarkEnd w:id="192"/>
      <w:bookmarkEnd w:id="193"/>
    </w:p>
    <w:p>
      <w:pPr>
        <w:spacing w:line="400" w:lineRule="exact"/>
        <w:ind w:firstLine="420" w:firstLineChars="200"/>
        <w:rPr>
          <w:rFonts w:hint="eastAsia"/>
          <w:color w:val="auto"/>
          <w:sz w:val="21"/>
          <w:szCs w:val="21"/>
        </w:rPr>
      </w:pPr>
      <w:bookmarkStart w:id="194" w:name="_Toc179632595"/>
      <w:bookmarkStart w:id="195" w:name="_Toc152042353"/>
      <w:bookmarkStart w:id="196" w:name="_Toc152045577"/>
      <w:bookmarkStart w:id="197" w:name="_Toc144974545"/>
      <w:r>
        <w:rPr>
          <w:color w:val="auto"/>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400" w:lineRule="exact"/>
        <w:rPr>
          <w:rFonts w:eastAsia="黑体"/>
          <w:color w:val="auto"/>
          <w:sz w:val="21"/>
          <w:szCs w:val="21"/>
        </w:rPr>
      </w:pPr>
      <w:r>
        <w:rPr>
          <w:rFonts w:hint="eastAsia" w:eastAsia="黑体"/>
          <w:color w:val="auto"/>
          <w:sz w:val="21"/>
          <w:szCs w:val="21"/>
        </w:rPr>
        <w:t>8</w:t>
      </w:r>
      <w:r>
        <w:rPr>
          <w:rFonts w:eastAsia="黑体"/>
          <w:color w:val="auto"/>
          <w:sz w:val="21"/>
          <w:szCs w:val="21"/>
        </w:rPr>
        <w:t>.3 对评标委员会成员的纪律要求</w:t>
      </w:r>
      <w:bookmarkEnd w:id="194"/>
      <w:bookmarkEnd w:id="195"/>
      <w:bookmarkEnd w:id="196"/>
      <w:bookmarkEnd w:id="197"/>
    </w:p>
    <w:p>
      <w:pPr>
        <w:spacing w:line="400" w:lineRule="exact"/>
        <w:ind w:firstLine="420" w:firstLineChars="200"/>
        <w:rPr>
          <w:color w:val="auto"/>
          <w:sz w:val="21"/>
          <w:szCs w:val="21"/>
        </w:rPr>
      </w:pPr>
      <w:r>
        <w:rPr>
          <w:color w:val="auto"/>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bookmarkStart w:id="198" w:name="_Toc152045578"/>
      <w:bookmarkStart w:id="199" w:name="_Toc152042354"/>
      <w:bookmarkStart w:id="200" w:name="_Toc179632596"/>
      <w:bookmarkStart w:id="201" w:name="_Toc144974546"/>
    </w:p>
    <w:p>
      <w:pPr>
        <w:spacing w:line="400" w:lineRule="exact"/>
        <w:rPr>
          <w:rFonts w:eastAsia="黑体"/>
          <w:color w:val="auto"/>
          <w:sz w:val="21"/>
          <w:szCs w:val="21"/>
        </w:rPr>
      </w:pPr>
      <w:r>
        <w:rPr>
          <w:rFonts w:hint="eastAsia" w:eastAsia="黑体"/>
          <w:color w:val="auto"/>
          <w:sz w:val="21"/>
          <w:szCs w:val="21"/>
        </w:rPr>
        <w:t>8</w:t>
      </w:r>
      <w:r>
        <w:rPr>
          <w:rFonts w:eastAsia="黑体"/>
          <w:color w:val="auto"/>
          <w:sz w:val="21"/>
          <w:szCs w:val="21"/>
        </w:rPr>
        <w:t>.4 对与评标活动有关的工作人员的纪律要求</w:t>
      </w:r>
      <w:bookmarkEnd w:id="198"/>
      <w:bookmarkEnd w:id="199"/>
      <w:bookmarkEnd w:id="200"/>
    </w:p>
    <w:p>
      <w:pPr>
        <w:spacing w:line="400" w:lineRule="exact"/>
        <w:ind w:firstLine="420" w:firstLineChars="200"/>
        <w:rPr>
          <w:color w:val="auto"/>
          <w:sz w:val="21"/>
          <w:szCs w:val="21"/>
        </w:rPr>
      </w:pPr>
      <w:bookmarkStart w:id="202" w:name="_Toc152042355"/>
      <w:r>
        <w:rPr>
          <w:color w:val="auto"/>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202"/>
      <w:bookmarkStart w:id="203" w:name="_Toc152042356"/>
      <w:bookmarkStart w:id="204" w:name="_Toc152045579"/>
      <w:bookmarkStart w:id="205" w:name="_Toc179632597"/>
    </w:p>
    <w:p>
      <w:pPr>
        <w:widowControl/>
        <w:rPr>
          <w:rFonts w:eastAsia="黑体"/>
          <w:color w:val="auto"/>
          <w:sz w:val="21"/>
          <w:szCs w:val="21"/>
        </w:rPr>
      </w:pPr>
      <w:r>
        <w:rPr>
          <w:rFonts w:hint="eastAsia" w:eastAsia="黑体"/>
          <w:color w:val="auto"/>
          <w:sz w:val="21"/>
          <w:szCs w:val="21"/>
        </w:rPr>
        <w:t>8</w:t>
      </w:r>
      <w:r>
        <w:rPr>
          <w:rFonts w:eastAsia="黑体"/>
          <w:color w:val="auto"/>
          <w:sz w:val="21"/>
          <w:szCs w:val="21"/>
        </w:rPr>
        <w:t xml:space="preserve">.5 </w:t>
      </w:r>
      <w:bookmarkEnd w:id="201"/>
      <w:bookmarkEnd w:id="203"/>
      <w:bookmarkEnd w:id="204"/>
      <w:bookmarkEnd w:id="205"/>
      <w:r>
        <w:rPr>
          <w:rFonts w:hint="eastAsia"/>
          <w:b/>
          <w:bCs/>
          <w:color w:val="auto"/>
          <w:sz w:val="20"/>
          <w:szCs w:val="20"/>
          <w:lang w:val="en-US" w:bidi="ar"/>
        </w:rPr>
        <w:t>异议与投诉</w:t>
      </w:r>
    </w:p>
    <w:p>
      <w:pPr>
        <w:spacing w:line="400" w:lineRule="exact"/>
        <w:ind w:firstLine="420" w:firstLineChars="200"/>
        <w:rPr>
          <w:color w:val="auto"/>
          <w:sz w:val="21"/>
          <w:szCs w:val="21"/>
        </w:rPr>
      </w:pPr>
      <w:bookmarkStart w:id="206" w:name="_Toc144974547"/>
      <w:bookmarkStart w:id="207" w:name="_Toc152045580"/>
      <w:bookmarkStart w:id="208" w:name="_Toc179632598"/>
      <w:bookmarkStart w:id="209" w:name="_Toc152042357"/>
      <w:r>
        <w:rPr>
          <w:rFonts w:hint="eastAsia"/>
          <w:color w:val="auto"/>
          <w:sz w:val="21"/>
          <w:szCs w:val="21"/>
          <w:lang w:val="en-US"/>
        </w:rPr>
        <w:t xml:space="preserve">8.5.1异议 </w:t>
      </w:r>
    </w:p>
    <w:p>
      <w:pPr>
        <w:spacing w:line="400" w:lineRule="exact"/>
        <w:ind w:firstLine="420" w:firstLineChars="200"/>
        <w:rPr>
          <w:color w:val="auto"/>
          <w:sz w:val="21"/>
          <w:szCs w:val="21"/>
        </w:rPr>
      </w:pPr>
      <w:r>
        <w:rPr>
          <w:rFonts w:hint="eastAsia"/>
          <w:color w:val="auto"/>
          <w:sz w:val="21"/>
          <w:szCs w:val="21"/>
          <w:lang w:val="en-US"/>
        </w:rPr>
        <w:t xml:space="preserve">投标人或者其他利害关系人对招标文件有异议的，应在投标人须知前附表规定的时间前提出。 招标人应当自收到异议之日起3日内作出答复；作出答复前，应当暂停招标投标活动。 </w:t>
      </w:r>
    </w:p>
    <w:p>
      <w:pPr>
        <w:spacing w:line="400" w:lineRule="exact"/>
        <w:ind w:firstLine="420" w:firstLineChars="200"/>
        <w:rPr>
          <w:color w:val="auto"/>
          <w:sz w:val="21"/>
          <w:szCs w:val="21"/>
        </w:rPr>
      </w:pPr>
      <w:r>
        <w:rPr>
          <w:rFonts w:hint="eastAsia"/>
          <w:color w:val="auto"/>
          <w:sz w:val="21"/>
          <w:szCs w:val="21"/>
          <w:lang w:val="en-US"/>
        </w:rPr>
        <w:t xml:space="preserve">投标人对开标有异议的，应当在开标现场提出，招标人应当当场作出答复，并制作记录。 </w:t>
      </w:r>
    </w:p>
    <w:p>
      <w:pPr>
        <w:spacing w:line="400" w:lineRule="exact"/>
        <w:ind w:firstLine="420" w:firstLineChars="200"/>
        <w:rPr>
          <w:color w:val="auto"/>
          <w:sz w:val="21"/>
          <w:szCs w:val="21"/>
        </w:rPr>
      </w:pPr>
      <w:r>
        <w:rPr>
          <w:rFonts w:hint="eastAsia"/>
          <w:color w:val="auto"/>
          <w:sz w:val="21"/>
          <w:szCs w:val="21"/>
          <w:lang w:val="en-US"/>
        </w:rPr>
        <w:t xml:space="preserve">投标人或者其他利害关系人对依法必须进行招标的项目的评标结果有异议的，应当在中标候选人公示期间提出。 </w:t>
      </w:r>
    </w:p>
    <w:p>
      <w:pPr>
        <w:spacing w:line="400" w:lineRule="exact"/>
        <w:ind w:firstLine="420" w:firstLineChars="200"/>
        <w:rPr>
          <w:color w:val="auto"/>
          <w:sz w:val="21"/>
          <w:szCs w:val="21"/>
        </w:rPr>
      </w:pPr>
      <w:r>
        <w:rPr>
          <w:rFonts w:hint="eastAsia"/>
          <w:color w:val="auto"/>
          <w:sz w:val="21"/>
          <w:szCs w:val="21"/>
          <w:lang w:val="en-US"/>
        </w:rPr>
        <w:t xml:space="preserve">8.5.2投诉 </w:t>
      </w:r>
    </w:p>
    <w:p>
      <w:pPr>
        <w:spacing w:line="400" w:lineRule="exact"/>
        <w:ind w:firstLine="420" w:firstLineChars="200"/>
        <w:rPr>
          <w:color w:val="auto"/>
          <w:sz w:val="21"/>
          <w:szCs w:val="21"/>
        </w:rPr>
      </w:pPr>
      <w:r>
        <w:rPr>
          <w:rFonts w:hint="eastAsia"/>
          <w:color w:val="auto"/>
          <w:sz w:val="21"/>
          <w:szCs w:val="21"/>
          <w:lang w:val="en-US"/>
        </w:rPr>
        <w:t>投标人和其他利害关系人认为本次招标活动违反法律、法规和规章规定的，可以在知道或者应当知道之日起十日内向“投标人须知前附表”明确的招投标监督管理部门提出书面投诉。投诉应当有明确的请求和必要的证明材料。就第8.5.1项规定事项提出投诉的，应先向招标人提出异议。</w:t>
      </w:r>
    </w:p>
    <w:p>
      <w:pPr>
        <w:spacing w:line="400" w:lineRule="exact"/>
        <w:outlineLvl w:val="1"/>
        <w:rPr>
          <w:rFonts w:eastAsia="黑体"/>
          <w:b/>
          <w:color w:val="auto"/>
          <w:sz w:val="28"/>
        </w:rPr>
      </w:pPr>
      <w:r>
        <w:rPr>
          <w:rFonts w:eastAsia="黑体"/>
          <w:b/>
          <w:color w:val="auto"/>
          <w:sz w:val="28"/>
        </w:rPr>
        <w:t>9.</w:t>
      </w:r>
      <w:r>
        <w:rPr>
          <w:rFonts w:hint="eastAsia" w:eastAsia="黑体"/>
          <w:b/>
          <w:color w:val="auto"/>
          <w:sz w:val="28"/>
        </w:rPr>
        <w:t>是否采用电子招标投标</w:t>
      </w:r>
    </w:p>
    <w:p>
      <w:pPr>
        <w:spacing w:line="400" w:lineRule="exact"/>
        <w:ind w:firstLine="420" w:firstLineChars="200"/>
        <w:rPr>
          <w:color w:val="auto"/>
          <w:sz w:val="21"/>
          <w:szCs w:val="21"/>
        </w:rPr>
      </w:pPr>
      <w:r>
        <w:rPr>
          <w:rFonts w:hint="eastAsia"/>
          <w:color w:val="auto"/>
          <w:sz w:val="21"/>
          <w:szCs w:val="21"/>
        </w:rPr>
        <w:t>本招标项目是否采用电子招标投标方式，见投标人须知前附表。</w:t>
      </w:r>
    </w:p>
    <w:p>
      <w:pPr>
        <w:spacing w:line="400" w:lineRule="exact"/>
        <w:outlineLvl w:val="1"/>
        <w:rPr>
          <w:rFonts w:eastAsia="黑体"/>
          <w:b/>
          <w:color w:val="auto"/>
          <w:sz w:val="28"/>
        </w:rPr>
      </w:pPr>
      <w:bookmarkStart w:id="210" w:name="_Toc406585749"/>
      <w:bookmarkStart w:id="211" w:name="_Toc458764411"/>
      <w:bookmarkStart w:id="212" w:name="_Toc398968717"/>
      <w:r>
        <w:rPr>
          <w:rFonts w:eastAsia="黑体"/>
          <w:b/>
          <w:color w:val="auto"/>
          <w:sz w:val="28"/>
        </w:rPr>
        <w:t>10. 需要补充的其他内容</w:t>
      </w:r>
      <w:bookmarkEnd w:id="206"/>
      <w:bookmarkEnd w:id="207"/>
      <w:bookmarkEnd w:id="208"/>
      <w:bookmarkEnd w:id="209"/>
      <w:bookmarkEnd w:id="210"/>
      <w:bookmarkEnd w:id="211"/>
      <w:bookmarkEnd w:id="212"/>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10.1招投标相关单位及个人 在招投标活动中存在以下10.1.1以及10.1.2条失信行为的，在“江苏省建设工程招标网”公示期间，本项目的招标人拒绝其投标。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10.1.1 招投标各方主体及个人在招投标活动中违反法律法规和规章规定受到行政处罚的，公示 </w:t>
      </w:r>
    </w:p>
    <w:p>
      <w:pPr>
        <w:spacing w:line="400" w:lineRule="exact"/>
        <w:rPr>
          <w:rFonts w:hint="eastAsia"/>
          <w:b/>
          <w:bCs/>
          <w:color w:val="auto"/>
          <w:sz w:val="21"/>
          <w:szCs w:val="21"/>
        </w:rPr>
      </w:pPr>
      <w:r>
        <w:rPr>
          <w:rFonts w:hint="eastAsia"/>
          <w:b/>
          <w:bCs/>
          <w:color w:val="auto"/>
          <w:sz w:val="21"/>
          <w:szCs w:val="21"/>
          <w:lang w:val="en-US"/>
        </w:rPr>
        <w:t xml:space="preserve">不少于3个月。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10.1.2投标人在招投标活动中出现如下失信行为，公示1-3个月：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（1）除不可抗力的外，资格预审合格的投标人无故不获取招标文件或者获取招标文件后放弃投标，或者投标人在投标截止后无故撤销投标文件等，公示2个月；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（2）递交无竞争力的投标文件的（无竞争力投标是指不以 中标为目的的投标，包括投标报价畸高、投标文件故意漏项缺项、 施工组织设计文件不符合篇幅要求、以及故意违反招标文件中已醒目标识的无效投标条款且事先未质疑等情形），公示1个月；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（3）企业一年内4次在全省投诉反映情况不属实，缺乏事实 或法律依据的，公示1个月；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（4）投诉人故意捏造事实、伪造证明材料的，或者以非法 手段取得证明材料等进行恶意投诉的，公示3个月。 </w:t>
      </w:r>
    </w:p>
    <w:p>
      <w:pPr>
        <w:spacing w:line="400" w:lineRule="exact"/>
        <w:ind w:firstLine="420" w:firstLineChars="200"/>
        <w:rPr>
          <w:rFonts w:hint="eastAsia"/>
          <w:color w:val="auto"/>
          <w:sz w:val="21"/>
          <w:szCs w:val="21"/>
          <w:lang w:val="en-US"/>
        </w:rPr>
      </w:pPr>
      <w:r>
        <w:rPr>
          <w:rFonts w:hint="eastAsia"/>
          <w:color w:val="auto"/>
          <w:sz w:val="21"/>
          <w:szCs w:val="21"/>
          <w:lang w:val="en-US"/>
        </w:rPr>
        <w:t>需要补充的其他内容：见投标人须知前附表。</w:t>
      </w: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color w:val="auto"/>
          <w:sz w:val="21"/>
          <w:szCs w:val="21"/>
          <w:lang w:val="en-US"/>
        </w:rPr>
      </w:pPr>
    </w:p>
    <w:p>
      <w:pPr>
        <w:rPr>
          <w:rFonts w:hint="eastAsia"/>
          <w:color w:val="auto"/>
          <w:sz w:val="21"/>
          <w:szCs w:val="21"/>
          <w:lang w:val="en-US"/>
        </w:rPr>
      </w:pPr>
    </w:p>
    <w:p>
      <w:pPr>
        <w:pStyle w:val="2"/>
        <w:rPr>
          <w:rFonts w:hint="eastAsia"/>
        </w:rPr>
      </w:pPr>
    </w:p>
    <w:p>
      <w:pPr>
        <w:spacing w:line="400" w:lineRule="exact"/>
        <w:ind w:firstLine="840" w:firstLineChars="200"/>
        <w:rPr>
          <w:rFonts w:hint="eastAsia" w:ascii="黑体" w:hAnsi="黑体" w:eastAsia="黑体"/>
          <w:color w:val="auto"/>
          <w:sz w:val="42"/>
        </w:rPr>
      </w:pPr>
    </w:p>
    <w:p>
      <w:pPr>
        <w:tabs>
          <w:tab w:val="left" w:pos="3184"/>
        </w:tabs>
        <w:spacing w:before="108"/>
        <w:jc w:val="center"/>
        <w:rPr>
          <w:rFonts w:ascii="黑体" w:hAnsi="黑体" w:eastAsia="黑体"/>
          <w:b/>
          <w:color w:val="auto"/>
          <w:sz w:val="21"/>
        </w:rPr>
      </w:pPr>
      <w:r>
        <w:rPr>
          <w:rFonts w:hint="eastAsia" w:ascii="黑体" w:hAnsi="黑体" w:eastAsia="黑体"/>
          <w:color w:val="auto"/>
          <w:sz w:val="42"/>
        </w:rPr>
        <w:t>第三章  评标办法（</w:t>
      </w:r>
      <w:r>
        <w:rPr>
          <w:rFonts w:hint="eastAsia" w:ascii="黑体" w:hAnsi="黑体" w:eastAsia="黑体"/>
          <w:color w:val="auto"/>
          <w:sz w:val="42"/>
          <w:lang w:val="en-US"/>
        </w:rPr>
        <w:t>经评审的最低投标价法</w:t>
      </w:r>
      <w:r>
        <w:rPr>
          <w:rFonts w:hint="eastAsia" w:ascii="黑体" w:hAnsi="黑体" w:eastAsia="黑体"/>
          <w:color w:val="auto"/>
          <w:sz w:val="42"/>
        </w:rPr>
        <w:t>）</w:t>
      </w:r>
    </w:p>
    <w:p>
      <w:pPr>
        <w:pStyle w:val="6"/>
        <w:spacing w:before="1"/>
        <w:ind w:left="424"/>
        <w:jc w:val="center"/>
        <w:rPr>
          <w:b/>
          <w:color w:val="auto"/>
          <w:sz w:val="14"/>
        </w:rPr>
      </w:pPr>
      <w:bookmarkStart w:id="213" w:name="_bookmark94"/>
      <w:bookmarkEnd w:id="213"/>
      <w:r>
        <w:rPr>
          <w:rFonts w:hint="eastAsia" w:ascii="黑体" w:hAnsi="黑体" w:eastAsia="黑体"/>
          <w:color w:val="auto"/>
        </w:rPr>
        <w:t>评标办法前附表</w:t>
      </w:r>
    </w:p>
    <w:tbl>
      <w:tblPr>
        <w:tblStyle w:val="13"/>
        <w:tblW w:w="8641"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797"/>
        <w:gridCol w:w="6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2023" w:type="dxa"/>
            <w:gridSpan w:val="2"/>
            <w:noWrap w:val="0"/>
            <w:vAlign w:val="top"/>
          </w:tcPr>
          <w:p>
            <w:pPr>
              <w:pStyle w:val="17"/>
              <w:spacing w:before="130" w:line="250" w:lineRule="exact"/>
              <w:ind w:left="673" w:right="666"/>
              <w:jc w:val="center"/>
              <w:rPr>
                <w:b/>
                <w:color w:val="auto"/>
                <w:sz w:val="21"/>
              </w:rPr>
            </w:pPr>
            <w:r>
              <w:rPr>
                <w:b/>
                <w:color w:val="auto"/>
                <w:sz w:val="21"/>
              </w:rPr>
              <w:t>条款号</w:t>
            </w:r>
          </w:p>
        </w:tc>
        <w:tc>
          <w:tcPr>
            <w:tcW w:w="6618" w:type="dxa"/>
            <w:noWrap w:val="0"/>
            <w:vAlign w:val="top"/>
          </w:tcPr>
          <w:p>
            <w:pPr>
              <w:pStyle w:val="17"/>
              <w:spacing w:before="130" w:line="250" w:lineRule="exact"/>
              <w:ind w:left="2341" w:right="2329"/>
              <w:jc w:val="center"/>
              <w:rPr>
                <w:b/>
                <w:color w:val="auto"/>
                <w:sz w:val="21"/>
              </w:rPr>
            </w:pPr>
            <w:r>
              <w:rPr>
                <w:b/>
                <w:color w:val="auto"/>
                <w:sz w:val="21"/>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5" w:hRule="atLeast"/>
        </w:trPr>
        <w:tc>
          <w:tcPr>
            <w:tcW w:w="1226" w:type="dxa"/>
            <w:noWrap w:val="0"/>
            <w:vAlign w:val="top"/>
          </w:tcPr>
          <w:p>
            <w:pPr>
              <w:pStyle w:val="17"/>
              <w:rPr>
                <w:b/>
                <w:color w:val="auto"/>
              </w:rPr>
            </w:pPr>
          </w:p>
          <w:p>
            <w:pPr>
              <w:pStyle w:val="17"/>
              <w:rPr>
                <w:b/>
                <w:color w:val="auto"/>
              </w:rPr>
            </w:pPr>
          </w:p>
          <w:p>
            <w:pPr>
              <w:pStyle w:val="17"/>
              <w:spacing w:before="187"/>
              <w:ind w:left="7"/>
              <w:jc w:val="center"/>
              <w:rPr>
                <w:rFonts w:ascii="Times New Roman"/>
                <w:color w:val="auto"/>
                <w:sz w:val="21"/>
              </w:rPr>
            </w:pPr>
            <w:r>
              <w:rPr>
                <w:rFonts w:ascii="Times New Roman"/>
                <w:color w:val="auto"/>
                <w:sz w:val="21"/>
              </w:rPr>
              <w:t>1</w:t>
            </w:r>
          </w:p>
        </w:tc>
        <w:tc>
          <w:tcPr>
            <w:tcW w:w="797" w:type="dxa"/>
            <w:noWrap w:val="0"/>
            <w:vAlign w:val="center"/>
          </w:tcPr>
          <w:p>
            <w:pPr>
              <w:pStyle w:val="17"/>
              <w:jc w:val="center"/>
              <w:rPr>
                <w:rFonts w:hint="eastAsia"/>
                <w:color w:val="auto"/>
                <w:sz w:val="21"/>
              </w:rPr>
            </w:pPr>
            <w:r>
              <w:rPr>
                <w:color w:val="auto"/>
                <w:sz w:val="21"/>
              </w:rPr>
              <w:t>评标</w:t>
            </w:r>
          </w:p>
          <w:p>
            <w:pPr>
              <w:pStyle w:val="17"/>
              <w:jc w:val="center"/>
              <w:rPr>
                <w:color w:val="auto"/>
                <w:sz w:val="21"/>
              </w:rPr>
            </w:pPr>
            <w:r>
              <w:rPr>
                <w:color w:val="auto"/>
                <w:sz w:val="21"/>
              </w:rPr>
              <w:t>方法</w:t>
            </w:r>
          </w:p>
        </w:tc>
        <w:tc>
          <w:tcPr>
            <w:tcW w:w="6618" w:type="dxa"/>
            <w:noWrap w:val="0"/>
            <w:vAlign w:val="top"/>
          </w:tcPr>
          <w:p>
            <w:pPr>
              <w:pStyle w:val="17"/>
              <w:spacing w:line="360" w:lineRule="exact"/>
              <w:ind w:left="108" w:right="91" w:firstLine="420"/>
              <w:rPr>
                <w:rFonts w:hint="eastAsia"/>
                <w:color w:val="auto"/>
                <w:sz w:val="21"/>
                <w:lang w:val="en-US"/>
              </w:rPr>
            </w:pPr>
            <w:r>
              <w:rPr>
                <w:rFonts w:hint="eastAsia"/>
                <w:color w:val="auto"/>
                <w:sz w:val="21"/>
              </w:rPr>
              <w:t>本次评标采用经评审的最低投标价法。评标委员会</w:t>
            </w:r>
            <w:r>
              <w:rPr>
                <w:rFonts w:hint="eastAsia"/>
                <w:color w:val="auto"/>
                <w:sz w:val="21"/>
                <w:lang w:val="en-US"/>
              </w:rPr>
              <w:t>依次按照以下顺序推荐中标候选人或确定中标人：</w:t>
            </w:r>
          </w:p>
          <w:p>
            <w:pPr>
              <w:pStyle w:val="17"/>
              <w:numPr>
                <w:ilvl w:val="0"/>
                <w:numId w:val="5"/>
              </w:numPr>
              <w:spacing w:line="360" w:lineRule="exact"/>
              <w:ind w:left="-200" w:leftChars="0" w:right="91" w:firstLine="420" w:firstLineChars="0"/>
              <w:rPr>
                <w:rFonts w:hint="eastAsia"/>
                <w:color w:val="auto"/>
                <w:sz w:val="21"/>
                <w:lang w:val="en-US"/>
              </w:rPr>
            </w:pPr>
            <w:r>
              <w:rPr>
                <w:rFonts w:hint="eastAsia"/>
                <w:color w:val="auto"/>
                <w:sz w:val="21"/>
                <w:lang w:val="en-US"/>
              </w:rPr>
              <w:t>投标报价低的投标人优先；</w:t>
            </w:r>
          </w:p>
          <w:p>
            <w:pPr>
              <w:pStyle w:val="17"/>
              <w:numPr>
                <w:ilvl w:val="0"/>
                <w:numId w:val="5"/>
              </w:numPr>
              <w:spacing w:line="360" w:lineRule="exact"/>
              <w:ind w:left="-200" w:leftChars="0" w:right="91" w:firstLine="420" w:firstLineChars="0"/>
              <w:rPr>
                <w:rFonts w:hint="eastAsia"/>
                <w:color w:val="auto"/>
                <w:sz w:val="21"/>
              </w:rPr>
            </w:pPr>
            <w:r>
              <w:rPr>
                <w:rFonts w:hint="eastAsia"/>
                <w:color w:val="auto"/>
                <w:sz w:val="21"/>
                <w:lang w:val="en-US"/>
              </w:rPr>
              <w:t>投标报价相同时，被</w:t>
            </w:r>
            <w:r>
              <w:rPr>
                <w:rFonts w:hint="eastAsia"/>
                <w:color w:val="auto"/>
                <w:sz w:val="21"/>
              </w:rPr>
              <w:t>江苏省交通厅</w:t>
            </w:r>
            <w:r>
              <w:rPr>
                <w:rFonts w:hint="eastAsia"/>
                <w:color w:val="auto"/>
                <w:sz w:val="21"/>
                <w:lang w:val="en-US"/>
              </w:rPr>
              <w:t>评为较高</w:t>
            </w:r>
            <w:r>
              <w:rPr>
                <w:rFonts w:hint="eastAsia"/>
                <w:color w:val="auto"/>
                <w:sz w:val="21"/>
              </w:rPr>
              <w:t>信用等级的投标人优先；</w:t>
            </w:r>
          </w:p>
          <w:p>
            <w:pPr>
              <w:pStyle w:val="17"/>
              <w:ind w:left="141"/>
              <w:rPr>
                <w:color w:val="auto"/>
                <w:sz w:val="21"/>
              </w:rPr>
            </w:pPr>
            <w:r>
              <w:rPr>
                <w:rFonts w:hint="eastAsia"/>
                <w:color w:val="auto"/>
                <w:sz w:val="21"/>
                <w:lang w:val="en-US"/>
              </w:rPr>
              <w:t>投标报价和信用等级仍相同的</w:t>
            </w:r>
            <w:r>
              <w:rPr>
                <w:rFonts w:hint="eastAsia"/>
                <w:color w:val="auto"/>
                <w:sz w:val="21"/>
              </w:rPr>
              <w:t>，由</w:t>
            </w:r>
            <w:r>
              <w:rPr>
                <w:rFonts w:hint="eastAsia"/>
                <w:color w:val="auto"/>
                <w:sz w:val="21"/>
                <w:lang w:val="en-US"/>
              </w:rPr>
              <w:t>招标人</w:t>
            </w:r>
            <w:r>
              <w:rPr>
                <w:rFonts w:hint="eastAsia"/>
                <w:color w:val="auto"/>
                <w:sz w:val="21"/>
              </w:rPr>
              <w:t>抽签决定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trPr>
        <w:tc>
          <w:tcPr>
            <w:tcW w:w="1226" w:type="dxa"/>
            <w:noWrap w:val="0"/>
            <w:vAlign w:val="center"/>
          </w:tcPr>
          <w:p>
            <w:pPr>
              <w:pStyle w:val="17"/>
              <w:spacing w:before="151"/>
              <w:jc w:val="center"/>
              <w:rPr>
                <w:rFonts w:hint="eastAsia" w:ascii="Times New Roman"/>
                <w:color w:val="auto"/>
                <w:sz w:val="21"/>
              </w:rPr>
            </w:pPr>
            <w:r>
              <w:rPr>
                <w:rFonts w:ascii="Times New Roman"/>
                <w:color w:val="auto"/>
                <w:sz w:val="21"/>
              </w:rPr>
              <w:t>2.1.1</w:t>
            </w:r>
            <w:r>
              <w:rPr>
                <w:rFonts w:hint="eastAsia" w:ascii="Times New Roman"/>
                <w:color w:val="auto"/>
                <w:sz w:val="21"/>
              </w:rPr>
              <w:t>、</w:t>
            </w:r>
            <w:r>
              <w:rPr>
                <w:rFonts w:ascii="Times New Roman"/>
                <w:color w:val="auto"/>
                <w:sz w:val="21"/>
              </w:rPr>
              <w:t>2.1.</w:t>
            </w:r>
            <w:r>
              <w:rPr>
                <w:rFonts w:hint="eastAsia" w:ascii="Times New Roman"/>
                <w:color w:val="auto"/>
                <w:sz w:val="21"/>
                <w:lang w:val="en-US"/>
              </w:rPr>
              <w:t>3</w:t>
            </w:r>
          </w:p>
          <w:p>
            <w:pPr>
              <w:pStyle w:val="17"/>
              <w:spacing w:before="159"/>
              <w:jc w:val="center"/>
              <w:rPr>
                <w:rFonts w:hint="eastAsia" w:ascii="Times New Roman"/>
                <w:color w:val="auto"/>
                <w:sz w:val="21"/>
              </w:rPr>
            </w:pPr>
            <w:r>
              <w:rPr>
                <w:color w:val="auto"/>
                <w:sz w:val="21"/>
              </w:rPr>
              <w:t>形式评审与响应性评审标准</w:t>
            </w:r>
          </w:p>
        </w:tc>
        <w:tc>
          <w:tcPr>
            <w:tcW w:w="7415" w:type="dxa"/>
            <w:gridSpan w:val="2"/>
            <w:noWrap w:val="0"/>
            <w:vAlign w:val="top"/>
          </w:tcPr>
          <w:p>
            <w:pPr>
              <w:pStyle w:val="17"/>
              <w:spacing w:line="360" w:lineRule="exact"/>
              <w:ind w:firstLine="442" w:firstLineChars="200"/>
              <w:rPr>
                <w:rFonts w:hint="eastAsia"/>
                <w:color w:val="auto"/>
                <w:sz w:val="21"/>
              </w:rPr>
            </w:pPr>
            <w:r>
              <w:rPr>
                <w:rFonts w:hint="eastAsia" w:ascii="新宋体" w:hAnsi="新宋体" w:eastAsia="新宋体"/>
                <w:b/>
                <w:color w:val="auto"/>
                <w:szCs w:val="21"/>
              </w:rPr>
              <w:t>投标文件存在以下情况之一的，以及开标过程发现的其他废标情形，不再进行后续评标：</w:t>
            </w:r>
          </w:p>
          <w:p>
            <w:pPr>
              <w:pStyle w:val="17"/>
              <w:spacing w:line="360" w:lineRule="exact"/>
              <w:ind w:firstLine="420" w:firstLineChars="200"/>
              <w:rPr>
                <w:rFonts w:hint="eastAsia"/>
                <w:color w:val="auto"/>
                <w:sz w:val="21"/>
              </w:rPr>
            </w:pPr>
            <w:r>
              <w:rPr>
                <w:rFonts w:hint="eastAsia"/>
                <w:color w:val="auto"/>
                <w:sz w:val="21"/>
              </w:rPr>
              <w:t>（1）评标委员会对所有参加投标的投标人的资格对照招标文件资格后审要求提供的</w:t>
            </w:r>
            <w:r>
              <w:rPr>
                <w:rFonts w:hint="eastAsia"/>
                <w:color w:val="auto"/>
                <w:sz w:val="21"/>
                <w:lang w:eastAsia="zh-CN"/>
              </w:rPr>
              <w:t>资料</w:t>
            </w:r>
            <w:r>
              <w:rPr>
                <w:rFonts w:hint="eastAsia"/>
                <w:color w:val="auto"/>
                <w:sz w:val="21"/>
              </w:rPr>
              <w:t>进行审查。</w:t>
            </w:r>
          </w:p>
          <w:p>
            <w:pPr>
              <w:pStyle w:val="17"/>
              <w:spacing w:line="360" w:lineRule="exact"/>
              <w:ind w:firstLine="420" w:firstLineChars="200"/>
              <w:rPr>
                <w:rFonts w:hint="eastAsia"/>
                <w:color w:val="auto"/>
                <w:sz w:val="21"/>
              </w:rPr>
            </w:pPr>
            <w:r>
              <w:rPr>
                <w:rFonts w:hint="eastAsia"/>
                <w:color w:val="auto"/>
                <w:sz w:val="21"/>
              </w:rPr>
              <w:t>审查以投标人提供的资格审查资料进行审查，未提交</w:t>
            </w:r>
            <w:r>
              <w:rPr>
                <w:rFonts w:hint="eastAsia"/>
                <w:color w:val="auto"/>
                <w:sz w:val="21"/>
                <w:lang w:val="en-US" w:eastAsia="zh-CN"/>
              </w:rPr>
              <w:t>相关</w:t>
            </w:r>
            <w:r>
              <w:rPr>
                <w:rFonts w:hint="eastAsia"/>
                <w:color w:val="auto"/>
                <w:sz w:val="21"/>
              </w:rPr>
              <w:t>资料或</w:t>
            </w:r>
            <w:r>
              <w:rPr>
                <w:rFonts w:hint="eastAsia"/>
                <w:color w:val="auto"/>
                <w:sz w:val="21"/>
                <w:lang w:val="en-US" w:eastAsia="zh-CN"/>
              </w:rPr>
              <w:t>相关</w:t>
            </w:r>
            <w:r>
              <w:rPr>
                <w:rFonts w:hint="eastAsia"/>
                <w:color w:val="auto"/>
                <w:sz w:val="21"/>
              </w:rPr>
              <w:t>资料不全的，不予通过资格审查。</w:t>
            </w:r>
          </w:p>
          <w:p>
            <w:pPr>
              <w:pStyle w:val="17"/>
              <w:spacing w:line="360" w:lineRule="exact"/>
              <w:ind w:firstLine="420" w:firstLineChars="200"/>
              <w:rPr>
                <w:rFonts w:hint="eastAsia"/>
                <w:color w:val="auto"/>
                <w:sz w:val="21"/>
              </w:rPr>
            </w:pPr>
            <w:r>
              <w:rPr>
                <w:rFonts w:hint="eastAsia"/>
                <w:color w:val="auto"/>
                <w:sz w:val="21"/>
              </w:rPr>
              <w:t>投标人资格条件不符合招标文件规定的，评标委员会应否决其投标。</w:t>
            </w:r>
          </w:p>
          <w:p>
            <w:pPr>
              <w:pStyle w:val="17"/>
              <w:spacing w:line="360" w:lineRule="exact"/>
              <w:ind w:firstLine="420" w:firstLineChars="200"/>
              <w:rPr>
                <w:rFonts w:hint="eastAsia"/>
                <w:color w:val="auto"/>
                <w:sz w:val="21"/>
              </w:rPr>
            </w:pPr>
            <w:r>
              <w:rPr>
                <w:rFonts w:hint="eastAsia"/>
                <w:color w:val="auto"/>
                <w:sz w:val="21"/>
              </w:rPr>
              <w:t>（2）投标文件按照招标文件规定的格式、内容填写，字迹清晰可辨，投标报表根据招标文件要求编制：</w:t>
            </w:r>
          </w:p>
          <w:p>
            <w:pPr>
              <w:pStyle w:val="17"/>
              <w:spacing w:line="360" w:lineRule="exact"/>
              <w:ind w:firstLine="420" w:firstLineChars="200"/>
              <w:rPr>
                <w:rFonts w:hint="eastAsia"/>
                <w:color w:val="auto"/>
                <w:sz w:val="21"/>
              </w:rPr>
            </w:pPr>
            <w:r>
              <w:rPr>
                <w:rFonts w:hint="eastAsia"/>
                <w:color w:val="auto"/>
                <w:sz w:val="21"/>
              </w:rPr>
              <w:t>a.投标函按招标文件规定填报了项目名称、标段号、补遗书编号（如有）、工期、工程质量要求及安全目标、</w:t>
            </w:r>
            <w:r>
              <w:rPr>
                <w:color w:val="auto"/>
                <w:sz w:val="21"/>
              </w:rPr>
              <w:t>投标价（包括大写金额和小写金额）</w:t>
            </w:r>
            <w:r>
              <w:rPr>
                <w:rFonts w:hint="eastAsia"/>
                <w:color w:val="auto"/>
                <w:sz w:val="21"/>
              </w:rPr>
              <w:t>；</w:t>
            </w:r>
          </w:p>
          <w:p>
            <w:pPr>
              <w:pStyle w:val="17"/>
              <w:spacing w:line="360" w:lineRule="exact"/>
              <w:ind w:firstLine="420" w:firstLineChars="200"/>
              <w:rPr>
                <w:rFonts w:hint="eastAsia"/>
                <w:color w:val="auto"/>
                <w:sz w:val="21"/>
              </w:rPr>
            </w:pPr>
            <w:r>
              <w:rPr>
                <w:rFonts w:hint="eastAsia"/>
                <w:color w:val="auto"/>
                <w:sz w:val="21"/>
              </w:rPr>
              <w:t>b.投标函附录的所有数据均符合招标文件规定；</w:t>
            </w:r>
          </w:p>
          <w:p>
            <w:pPr>
              <w:pStyle w:val="17"/>
              <w:spacing w:line="360" w:lineRule="exact"/>
              <w:ind w:firstLine="420" w:firstLineChars="200"/>
              <w:rPr>
                <w:rFonts w:hint="eastAsia"/>
                <w:color w:val="auto"/>
                <w:sz w:val="21"/>
              </w:rPr>
            </w:pPr>
            <w:r>
              <w:rPr>
                <w:color w:val="auto"/>
                <w:sz w:val="21"/>
              </w:rPr>
              <w:t>c. 已标价工程量清单</w:t>
            </w:r>
            <w:r>
              <w:rPr>
                <w:rFonts w:hint="eastAsia"/>
                <w:color w:val="auto"/>
                <w:sz w:val="21"/>
              </w:rPr>
              <w:t>附“第五章 工程量清单”全文的，</w:t>
            </w:r>
            <w:r>
              <w:rPr>
                <w:color w:val="auto"/>
                <w:sz w:val="21"/>
              </w:rPr>
              <w:t>文字与招标文件规定一致，未进行实质性修改和删减</w:t>
            </w:r>
            <w:r>
              <w:rPr>
                <w:rFonts w:hint="eastAsia"/>
                <w:color w:val="auto"/>
                <w:sz w:val="21"/>
              </w:rPr>
              <w:t>，并加盖投标人单位章，或由投标人的法定代表人或其委托代理人签字</w:t>
            </w:r>
            <w:r>
              <w:rPr>
                <w:color w:val="auto"/>
                <w:sz w:val="21"/>
              </w:rPr>
              <w:t>；</w:t>
            </w:r>
          </w:p>
          <w:p>
            <w:pPr>
              <w:pStyle w:val="17"/>
              <w:spacing w:line="360" w:lineRule="exact"/>
              <w:ind w:firstLine="420" w:firstLineChars="200"/>
              <w:rPr>
                <w:rFonts w:hint="eastAsia"/>
                <w:color w:val="auto"/>
                <w:sz w:val="21"/>
              </w:rPr>
            </w:pPr>
            <w:r>
              <w:rPr>
                <w:rFonts w:hint="eastAsia"/>
                <w:color w:val="auto"/>
                <w:sz w:val="21"/>
              </w:rPr>
              <w:t xml:space="preserve">d. </w:t>
            </w:r>
            <w:r>
              <w:rPr>
                <w:color w:val="auto"/>
                <w:sz w:val="21"/>
              </w:rPr>
              <w:t>投标文件组成齐全完整，内容均按规定填写。</w:t>
            </w:r>
          </w:p>
          <w:p>
            <w:pPr>
              <w:pStyle w:val="17"/>
              <w:spacing w:line="360" w:lineRule="exact"/>
              <w:ind w:firstLine="420" w:firstLineChars="200"/>
              <w:rPr>
                <w:rFonts w:hint="eastAsia"/>
                <w:color w:val="auto"/>
                <w:sz w:val="21"/>
              </w:rPr>
            </w:pPr>
            <w:r>
              <w:rPr>
                <w:rFonts w:hint="eastAsia"/>
                <w:color w:val="auto"/>
                <w:sz w:val="21"/>
              </w:rPr>
              <w:t>（3）投标文件上法定代表人或其委托代理人的签字、投标人的单位章盖章齐全，符合招标文件规定。</w:t>
            </w:r>
          </w:p>
          <w:p>
            <w:pPr>
              <w:pStyle w:val="17"/>
              <w:spacing w:line="360" w:lineRule="exact"/>
              <w:ind w:firstLine="420" w:firstLineChars="200"/>
              <w:rPr>
                <w:rFonts w:hint="eastAsia"/>
                <w:color w:val="auto"/>
                <w:sz w:val="21"/>
                <w:lang w:val="en-US"/>
              </w:rPr>
            </w:pPr>
            <w:r>
              <w:rPr>
                <w:rFonts w:hint="eastAsia"/>
                <w:color w:val="auto"/>
                <w:sz w:val="21"/>
              </w:rPr>
              <w:t>（4）投标人按照招标文件的规定提供了投标保证金</w:t>
            </w:r>
            <w:r>
              <w:rPr>
                <w:rFonts w:hint="eastAsia"/>
                <w:color w:val="auto"/>
                <w:sz w:val="21"/>
                <w:lang w:val="en-US"/>
              </w:rPr>
              <w:t>及差额保证金。</w:t>
            </w:r>
          </w:p>
          <w:p>
            <w:pPr>
              <w:pStyle w:val="17"/>
              <w:spacing w:line="360" w:lineRule="exact"/>
              <w:ind w:firstLine="420" w:firstLineChars="200"/>
              <w:rPr>
                <w:rFonts w:hint="eastAsia"/>
                <w:color w:val="auto"/>
                <w:sz w:val="21"/>
              </w:rPr>
            </w:pPr>
            <w:r>
              <w:rPr>
                <w:rFonts w:hint="eastAsia"/>
                <w:color w:val="auto"/>
                <w:sz w:val="21"/>
              </w:rPr>
              <w:t>a.投标保证金、</w:t>
            </w:r>
            <w:r>
              <w:rPr>
                <w:rFonts w:hint="eastAsia"/>
                <w:color w:val="auto"/>
                <w:sz w:val="21"/>
                <w:lang w:val="en-US"/>
              </w:rPr>
              <w:t>履约差额担保</w:t>
            </w:r>
            <w:r>
              <w:rPr>
                <w:rFonts w:hint="eastAsia"/>
                <w:color w:val="auto"/>
                <w:sz w:val="21"/>
              </w:rPr>
              <w:t>金额、缴纳方式符合招标文件规定，且投标保证金有效期不少于投标有效期、</w:t>
            </w:r>
            <w:r>
              <w:rPr>
                <w:rFonts w:hint="eastAsia"/>
                <w:color w:val="auto"/>
                <w:sz w:val="21"/>
                <w:lang w:val="en-US"/>
              </w:rPr>
              <w:t>履约差额担保</w:t>
            </w:r>
            <w:r>
              <w:rPr>
                <w:rFonts w:hint="eastAsia"/>
                <w:color w:val="auto"/>
                <w:sz w:val="21"/>
              </w:rPr>
              <w:t>有效期不少于工程总工期；</w:t>
            </w:r>
          </w:p>
          <w:p>
            <w:pPr>
              <w:pStyle w:val="17"/>
              <w:spacing w:line="360" w:lineRule="exact"/>
              <w:ind w:firstLine="420" w:firstLineChars="200"/>
              <w:rPr>
                <w:rFonts w:hint="eastAsia"/>
                <w:color w:val="auto"/>
                <w:sz w:val="21"/>
              </w:rPr>
            </w:pPr>
            <w:r>
              <w:rPr>
                <w:rFonts w:hint="eastAsia"/>
                <w:color w:val="auto"/>
                <w:sz w:val="21"/>
              </w:rPr>
              <w:t>b.符合投标人须知前附表3.4.1条款；</w:t>
            </w:r>
          </w:p>
          <w:p>
            <w:pPr>
              <w:pStyle w:val="17"/>
              <w:spacing w:line="360" w:lineRule="exact"/>
              <w:ind w:firstLine="420" w:firstLineChars="200"/>
              <w:jc w:val="both"/>
              <w:rPr>
                <w:rFonts w:hint="eastAsia"/>
                <w:color w:val="auto"/>
                <w:sz w:val="21"/>
              </w:rPr>
            </w:pPr>
            <w:r>
              <w:rPr>
                <w:rFonts w:hint="eastAsia"/>
                <w:color w:val="auto"/>
                <w:sz w:val="21"/>
              </w:rPr>
              <w:t>（5）投标人法定代表人授权委托代理人签署投标文件的，须提交授权委托书，且授权人和被授权人均在授权委托书上签名，未使用印章、签名章或其他电子制版签名代替。</w:t>
            </w:r>
          </w:p>
          <w:p>
            <w:pPr>
              <w:pStyle w:val="17"/>
              <w:spacing w:line="360" w:lineRule="exact"/>
              <w:ind w:firstLine="420" w:firstLineChars="200"/>
              <w:jc w:val="both"/>
              <w:rPr>
                <w:rFonts w:hint="eastAsia"/>
                <w:color w:val="auto"/>
                <w:sz w:val="21"/>
              </w:rPr>
            </w:pPr>
            <w:r>
              <w:rPr>
                <w:rFonts w:hint="eastAsia"/>
                <w:color w:val="auto"/>
                <w:sz w:val="21"/>
              </w:rPr>
              <w:t>（6）投标人法定代表人亲自签署投标文件的，提供了法定代表人身份证明，且法定代表人在法定代表人身份证明上签名，未使用印章、签名章或其他电子制版签名代替。</w:t>
            </w:r>
          </w:p>
          <w:p>
            <w:pPr>
              <w:pStyle w:val="17"/>
              <w:spacing w:line="360" w:lineRule="exact"/>
              <w:ind w:firstLine="420" w:firstLineChars="200"/>
              <w:jc w:val="both"/>
              <w:rPr>
                <w:rFonts w:hint="eastAsia"/>
                <w:color w:val="auto"/>
                <w:sz w:val="21"/>
              </w:rPr>
            </w:pPr>
            <w:r>
              <w:rPr>
                <w:rFonts w:hint="eastAsia"/>
                <w:color w:val="auto"/>
                <w:sz w:val="21"/>
              </w:rPr>
              <w:t>（7）同一投标人未提交两个以上不同的投标文件，但招标文件要求提交备选投标的除外。</w:t>
            </w:r>
          </w:p>
          <w:p>
            <w:pPr>
              <w:pStyle w:val="17"/>
              <w:spacing w:line="360" w:lineRule="exact"/>
              <w:ind w:firstLine="420" w:firstLineChars="200"/>
              <w:rPr>
                <w:rFonts w:hint="eastAsia"/>
                <w:color w:val="auto"/>
                <w:sz w:val="21"/>
              </w:rPr>
            </w:pPr>
            <w:r>
              <w:rPr>
                <w:rFonts w:hint="eastAsia"/>
                <w:color w:val="auto"/>
                <w:sz w:val="21"/>
              </w:rPr>
              <w:t>（8）</w:t>
            </w:r>
            <w:r>
              <w:rPr>
                <w:color w:val="auto"/>
                <w:sz w:val="21"/>
              </w:rPr>
              <w:t>投标报价或调价函中的报价未超过招标文件设定的最高投标限价（如有）。</w:t>
            </w:r>
          </w:p>
          <w:p>
            <w:pPr>
              <w:pStyle w:val="17"/>
              <w:spacing w:line="360" w:lineRule="exact"/>
              <w:ind w:firstLine="420" w:firstLineChars="200"/>
              <w:rPr>
                <w:rFonts w:hint="eastAsia"/>
                <w:color w:val="auto"/>
                <w:sz w:val="21"/>
              </w:rPr>
            </w:pPr>
            <w:r>
              <w:rPr>
                <w:color w:val="auto"/>
                <w:sz w:val="21"/>
              </w:rPr>
              <w:t>（</w:t>
            </w:r>
            <w:r>
              <w:rPr>
                <w:rFonts w:hint="eastAsia"/>
                <w:color w:val="auto"/>
                <w:sz w:val="21"/>
              </w:rPr>
              <w:t>9</w:t>
            </w:r>
            <w:r>
              <w:rPr>
                <w:color w:val="auto"/>
                <w:sz w:val="21"/>
              </w:rPr>
              <w:t>）投标报价或调价函中报价的大写金额能够确定具体数值。</w:t>
            </w:r>
          </w:p>
          <w:p>
            <w:pPr>
              <w:pStyle w:val="17"/>
              <w:spacing w:line="360" w:lineRule="exact"/>
              <w:ind w:firstLine="420" w:firstLineChars="200"/>
              <w:rPr>
                <w:rFonts w:hint="eastAsia"/>
                <w:color w:val="auto"/>
                <w:sz w:val="21"/>
              </w:rPr>
            </w:pPr>
            <w:r>
              <w:rPr>
                <w:rFonts w:hint="eastAsia"/>
                <w:color w:val="auto"/>
                <w:sz w:val="21"/>
              </w:rPr>
              <w:t>(10)</w:t>
            </w:r>
            <w:r>
              <w:rPr>
                <w:color w:val="auto"/>
                <w:sz w:val="21"/>
              </w:rPr>
              <w:t>投标人若填写工程量固化清单，填写完毕的工程量固化清单未对工程量固化清单电子文件中的数据、格式和运算定义进行修改； 工程量固化清单中的投标报价和投标函大写金额报价一致。</w:t>
            </w:r>
            <w:r>
              <w:rPr>
                <w:rFonts w:hint="eastAsia"/>
                <w:color w:val="auto"/>
                <w:sz w:val="21"/>
              </w:rPr>
              <w:t>没有改变不可竞争费。</w:t>
            </w:r>
          </w:p>
          <w:p>
            <w:pPr>
              <w:pStyle w:val="17"/>
              <w:spacing w:line="360" w:lineRule="exact"/>
              <w:ind w:firstLine="420" w:firstLineChars="200"/>
              <w:rPr>
                <w:rFonts w:hint="eastAsia"/>
                <w:color w:val="auto"/>
                <w:sz w:val="21"/>
              </w:rPr>
            </w:pPr>
            <w:r>
              <w:rPr>
                <w:rFonts w:hint="eastAsia"/>
                <w:color w:val="auto"/>
                <w:sz w:val="21"/>
              </w:rPr>
              <w:t>(11)</w:t>
            </w:r>
            <w:r>
              <w:rPr>
                <w:color w:val="auto"/>
                <w:sz w:val="21"/>
              </w:rPr>
              <w:t>投标报价中已按规定填报安全生产</w:t>
            </w:r>
            <w:r>
              <w:rPr>
                <w:rFonts w:hint="eastAsia"/>
                <w:color w:val="auto"/>
                <w:sz w:val="21"/>
              </w:rPr>
              <w:t>费、工伤保险费及扬尘污染防治费</w:t>
            </w:r>
            <w:r>
              <w:rPr>
                <w:color w:val="auto"/>
                <w:sz w:val="21"/>
              </w:rPr>
              <w:t>。</w:t>
            </w:r>
          </w:p>
          <w:p>
            <w:pPr>
              <w:pStyle w:val="17"/>
              <w:spacing w:line="360" w:lineRule="exact"/>
              <w:ind w:firstLine="420" w:firstLineChars="200"/>
              <w:rPr>
                <w:rFonts w:hint="eastAsia"/>
                <w:color w:val="auto"/>
                <w:sz w:val="21"/>
              </w:rPr>
            </w:pPr>
            <w:r>
              <w:rPr>
                <w:rFonts w:hint="eastAsia"/>
                <w:color w:val="auto"/>
                <w:sz w:val="21"/>
              </w:rPr>
              <w:t>(12)投标文件载明的招标项目完成期限未超过招标文件规定的时限。</w:t>
            </w:r>
          </w:p>
          <w:p>
            <w:pPr>
              <w:pStyle w:val="17"/>
              <w:spacing w:line="360" w:lineRule="exact"/>
              <w:ind w:firstLine="420" w:firstLineChars="200"/>
              <w:rPr>
                <w:color w:val="auto"/>
                <w:sz w:val="21"/>
              </w:rPr>
            </w:pPr>
            <w:r>
              <w:rPr>
                <w:color w:val="auto"/>
                <w:sz w:val="21"/>
              </w:rPr>
              <w:t>（</w:t>
            </w:r>
            <w:r>
              <w:rPr>
                <w:rFonts w:hint="eastAsia"/>
                <w:color w:val="auto"/>
                <w:sz w:val="21"/>
              </w:rPr>
              <w:t>13</w:t>
            </w:r>
            <w:r>
              <w:rPr>
                <w:color w:val="auto"/>
                <w:sz w:val="21"/>
              </w:rPr>
              <w:t>）投标文件对招标文件的实质性要求和条件作出响应。</w:t>
            </w:r>
          </w:p>
          <w:p>
            <w:pPr>
              <w:pStyle w:val="17"/>
              <w:spacing w:line="360" w:lineRule="exact"/>
              <w:ind w:firstLine="420" w:firstLineChars="200"/>
              <w:rPr>
                <w:rFonts w:hint="eastAsia"/>
                <w:color w:val="auto"/>
                <w:sz w:val="21"/>
              </w:rPr>
            </w:pPr>
            <w:r>
              <w:rPr>
                <w:rFonts w:hint="eastAsia"/>
                <w:color w:val="auto"/>
                <w:sz w:val="21"/>
              </w:rPr>
              <w:t>（14）投标文件未附有招标人不能接受的条件。</w:t>
            </w:r>
          </w:p>
          <w:p>
            <w:pPr>
              <w:pStyle w:val="17"/>
              <w:spacing w:line="360" w:lineRule="exact"/>
              <w:ind w:firstLine="420" w:firstLineChars="200"/>
              <w:rPr>
                <w:color w:val="auto"/>
                <w:sz w:val="21"/>
              </w:rPr>
            </w:pPr>
            <w:r>
              <w:rPr>
                <w:rFonts w:hint="eastAsia"/>
                <w:color w:val="auto"/>
                <w:sz w:val="21"/>
              </w:rPr>
              <w:t>（15）</w:t>
            </w:r>
            <w:r>
              <w:rPr>
                <w:color w:val="auto"/>
                <w:sz w:val="21"/>
              </w:rPr>
              <w:t>权利义务符合招标文件规定：</w:t>
            </w:r>
          </w:p>
          <w:p>
            <w:pPr>
              <w:pStyle w:val="17"/>
              <w:spacing w:line="360" w:lineRule="exact"/>
              <w:ind w:firstLine="420" w:firstLineChars="200"/>
              <w:rPr>
                <w:rFonts w:hint="eastAsia"/>
                <w:color w:val="auto"/>
                <w:sz w:val="21"/>
              </w:rPr>
            </w:pPr>
            <w:r>
              <w:rPr>
                <w:color w:val="auto"/>
                <w:sz w:val="21"/>
              </w:rPr>
              <w:t>a.投标人应接受招标文件规定的风险划分原则，未提出新的风险划分办法；</w:t>
            </w:r>
          </w:p>
          <w:p>
            <w:pPr>
              <w:pStyle w:val="17"/>
              <w:spacing w:line="360" w:lineRule="exact"/>
              <w:ind w:firstLine="420" w:firstLineChars="200"/>
              <w:rPr>
                <w:rFonts w:hint="eastAsia"/>
                <w:color w:val="auto"/>
                <w:sz w:val="21"/>
              </w:rPr>
            </w:pPr>
            <w:r>
              <w:rPr>
                <w:color w:val="auto"/>
                <w:sz w:val="21"/>
              </w:rPr>
              <w:t>b.投标人未增加发包人的责任范围，或减少投标人义务；</w:t>
            </w:r>
          </w:p>
          <w:p>
            <w:pPr>
              <w:pStyle w:val="17"/>
              <w:spacing w:line="360" w:lineRule="exact"/>
              <w:ind w:firstLine="420" w:firstLineChars="200"/>
              <w:rPr>
                <w:color w:val="auto"/>
                <w:sz w:val="21"/>
              </w:rPr>
            </w:pPr>
            <w:r>
              <w:rPr>
                <w:color w:val="auto"/>
                <w:sz w:val="21"/>
              </w:rPr>
              <w:t>c.投标人未提出不同的工程验收、计量、支付办法；</w:t>
            </w:r>
          </w:p>
          <w:p>
            <w:pPr>
              <w:pStyle w:val="17"/>
              <w:spacing w:line="360" w:lineRule="exact"/>
              <w:ind w:firstLine="420" w:firstLineChars="200"/>
              <w:rPr>
                <w:rFonts w:hint="eastAsia"/>
                <w:color w:val="auto"/>
                <w:sz w:val="21"/>
              </w:rPr>
            </w:pPr>
            <w:r>
              <w:rPr>
                <w:color w:val="auto"/>
                <w:sz w:val="21"/>
              </w:rPr>
              <w:t>d.投标人对合同纠纷、事故处理办法未提出异议；</w:t>
            </w:r>
          </w:p>
          <w:p>
            <w:pPr>
              <w:pStyle w:val="17"/>
              <w:spacing w:line="360" w:lineRule="exact"/>
              <w:ind w:firstLine="420" w:firstLineChars="200"/>
              <w:rPr>
                <w:rFonts w:hint="eastAsia"/>
                <w:color w:val="auto"/>
                <w:sz w:val="21"/>
              </w:rPr>
            </w:pPr>
            <w:r>
              <w:rPr>
                <w:color w:val="auto"/>
                <w:sz w:val="21"/>
              </w:rPr>
              <w:t>e.投标人在投标活动中无欺诈行为；</w:t>
            </w:r>
          </w:p>
          <w:p>
            <w:pPr>
              <w:pStyle w:val="17"/>
              <w:spacing w:line="360" w:lineRule="exact"/>
              <w:ind w:firstLine="420" w:firstLineChars="200"/>
              <w:rPr>
                <w:rFonts w:hint="eastAsia"/>
                <w:color w:val="auto"/>
                <w:sz w:val="21"/>
              </w:rPr>
            </w:pPr>
            <w:r>
              <w:rPr>
                <w:color w:val="auto"/>
                <w:sz w:val="21"/>
              </w:rPr>
              <w:t>f.投标人未对合同条款有重要保留。</w:t>
            </w:r>
          </w:p>
          <w:p>
            <w:pPr>
              <w:pStyle w:val="17"/>
              <w:spacing w:line="360" w:lineRule="exact"/>
              <w:ind w:firstLine="420" w:firstLineChars="200"/>
              <w:rPr>
                <w:color w:val="auto"/>
                <w:sz w:val="21"/>
              </w:rPr>
            </w:pPr>
            <w:r>
              <w:rPr>
                <w:rFonts w:hint="eastAsia"/>
                <w:color w:val="auto"/>
                <w:sz w:val="21"/>
              </w:rPr>
              <w:t>（16）</w:t>
            </w:r>
            <w:r>
              <w:rPr>
                <w:color w:val="auto"/>
                <w:sz w:val="21"/>
              </w:rPr>
              <w:t>投标文件正、副本份数符合招标文件第二章“投标人须知” 规定。</w:t>
            </w:r>
          </w:p>
          <w:p>
            <w:pPr>
              <w:pStyle w:val="17"/>
              <w:ind w:firstLine="420" w:firstLineChars="200"/>
              <w:rPr>
                <w:rFonts w:hint="eastAsia" w:hAnsi="Times New Roman"/>
                <w:color w:val="auto"/>
                <w:sz w:val="21"/>
                <w:szCs w:val="21"/>
                <w:lang w:val="en-US" w:bidi="ar-SA"/>
              </w:rPr>
            </w:pPr>
            <w:r>
              <w:rPr>
                <w:rFonts w:hint="eastAsia"/>
                <w:color w:val="auto"/>
                <w:sz w:val="21"/>
              </w:rPr>
              <w:t>（17）</w:t>
            </w:r>
            <w:r>
              <w:rPr>
                <w:rFonts w:hint="eastAsia"/>
                <w:color w:val="auto"/>
                <w:sz w:val="21"/>
                <w:lang w:val="en-US"/>
              </w:rPr>
              <w:t>未提交或</w:t>
            </w:r>
            <w:r>
              <w:rPr>
                <w:rFonts w:hint="eastAsia"/>
                <w:color w:val="auto"/>
                <w:sz w:val="21"/>
              </w:rPr>
              <w:t>未按格式要求提交《入库信息诚信承诺书》、《投标人的法定代表人针对本工程签字盖章的诚信投标承诺书》、《盐城市公共资源交易投标信用承诺书》的。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trPr>
        <w:tc>
          <w:tcPr>
            <w:tcW w:w="1226" w:type="dxa"/>
            <w:noWrap w:val="0"/>
            <w:vAlign w:val="center"/>
          </w:tcPr>
          <w:p>
            <w:pPr>
              <w:widowControl/>
              <w:jc w:val="center"/>
              <w:rPr>
                <w:color w:val="auto"/>
              </w:rPr>
            </w:pPr>
            <w:r>
              <w:rPr>
                <w:rFonts w:hint="eastAsia"/>
                <w:color w:val="auto"/>
                <w:sz w:val="20"/>
                <w:szCs w:val="20"/>
                <w:lang w:val="en-US" w:bidi="ar"/>
              </w:rPr>
              <w:t>2.1.2资格评审标准</w:t>
            </w:r>
          </w:p>
          <w:p>
            <w:pPr>
              <w:widowControl/>
              <w:rPr>
                <w:color w:val="auto"/>
                <w:sz w:val="21"/>
              </w:rPr>
            </w:pPr>
          </w:p>
        </w:tc>
        <w:tc>
          <w:tcPr>
            <w:tcW w:w="7415" w:type="dxa"/>
            <w:gridSpan w:val="2"/>
            <w:noWrap w:val="0"/>
            <w:vAlign w:val="top"/>
          </w:tcPr>
          <w:p>
            <w:pPr>
              <w:pStyle w:val="17"/>
              <w:ind w:left="141"/>
              <w:rPr>
                <w:rFonts w:hint="eastAsia"/>
                <w:color w:val="auto"/>
                <w:sz w:val="21"/>
                <w:lang w:val="en-US"/>
              </w:rPr>
            </w:pPr>
            <w:r>
              <w:rPr>
                <w:rFonts w:hint="eastAsia"/>
                <w:color w:val="auto"/>
                <w:sz w:val="21"/>
                <w:lang w:val="en-US"/>
              </w:rPr>
              <w:t xml:space="preserve">（1）企业资质：见投标人须知1.4.1条及附录； </w:t>
            </w:r>
          </w:p>
          <w:p>
            <w:pPr>
              <w:pStyle w:val="17"/>
              <w:ind w:left="141"/>
              <w:rPr>
                <w:rFonts w:hint="eastAsia"/>
                <w:color w:val="auto"/>
                <w:sz w:val="21"/>
                <w:lang w:val="en-US"/>
              </w:rPr>
            </w:pPr>
            <w:r>
              <w:rPr>
                <w:rFonts w:hint="eastAsia"/>
                <w:color w:val="auto"/>
                <w:sz w:val="21"/>
                <w:lang w:val="en-US"/>
              </w:rPr>
              <w:t xml:space="preserve">（2）业绩要求：见投标人须知1.4.1条及附录； </w:t>
            </w:r>
          </w:p>
          <w:p>
            <w:pPr>
              <w:pStyle w:val="17"/>
              <w:ind w:left="141"/>
              <w:rPr>
                <w:rFonts w:hint="eastAsia"/>
                <w:color w:val="auto"/>
                <w:sz w:val="21"/>
                <w:lang w:val="en-US"/>
              </w:rPr>
            </w:pPr>
            <w:r>
              <w:rPr>
                <w:rFonts w:hint="eastAsia"/>
                <w:color w:val="auto"/>
                <w:sz w:val="21"/>
                <w:lang w:val="en-US"/>
              </w:rPr>
              <w:t xml:space="preserve">（3）财务要求：见投标人须知1.4.1条及附录； </w:t>
            </w:r>
          </w:p>
          <w:p>
            <w:pPr>
              <w:pStyle w:val="17"/>
              <w:ind w:left="141"/>
              <w:rPr>
                <w:rFonts w:hint="eastAsia"/>
                <w:color w:val="auto"/>
                <w:sz w:val="21"/>
                <w:lang w:val="en-US"/>
              </w:rPr>
            </w:pPr>
            <w:r>
              <w:rPr>
                <w:rFonts w:hint="eastAsia"/>
                <w:color w:val="auto"/>
                <w:sz w:val="21"/>
                <w:lang w:val="en-US"/>
              </w:rPr>
              <w:t xml:space="preserve">（4）信誉要求：见投标人须知1.4.1条及附录； </w:t>
            </w:r>
          </w:p>
          <w:p>
            <w:pPr>
              <w:pStyle w:val="17"/>
              <w:ind w:left="141"/>
              <w:rPr>
                <w:rFonts w:hint="eastAsia"/>
                <w:color w:val="auto"/>
                <w:sz w:val="21"/>
                <w:lang w:val="en-US"/>
              </w:rPr>
            </w:pPr>
            <w:r>
              <w:rPr>
                <w:rFonts w:hint="eastAsia"/>
                <w:color w:val="auto"/>
                <w:sz w:val="21"/>
                <w:lang w:val="en-US"/>
              </w:rPr>
              <w:t xml:space="preserve">（5）项目经理要求：见投标人须知1.4.1条及附录； </w:t>
            </w:r>
          </w:p>
          <w:p>
            <w:pPr>
              <w:pStyle w:val="17"/>
              <w:ind w:left="141"/>
              <w:rPr>
                <w:rFonts w:hint="eastAsia"/>
                <w:color w:val="auto"/>
                <w:sz w:val="21"/>
                <w:lang w:val="en-US"/>
              </w:rPr>
            </w:pPr>
            <w:r>
              <w:rPr>
                <w:rFonts w:hint="eastAsia"/>
                <w:color w:val="auto"/>
                <w:sz w:val="21"/>
                <w:lang w:val="en-US"/>
              </w:rPr>
              <w:t xml:space="preserve">（6）其他管理和技术人员最低要求：见投标人须知1.4.1条及附录； </w:t>
            </w:r>
          </w:p>
          <w:p>
            <w:pPr>
              <w:pStyle w:val="17"/>
              <w:ind w:left="141"/>
              <w:rPr>
                <w:rFonts w:hint="eastAsia"/>
                <w:color w:val="auto"/>
                <w:sz w:val="21"/>
                <w:lang w:val="en-US"/>
              </w:rPr>
            </w:pPr>
            <w:r>
              <w:rPr>
                <w:rFonts w:hint="eastAsia"/>
                <w:color w:val="auto"/>
                <w:sz w:val="21"/>
                <w:lang w:val="en-US"/>
              </w:rPr>
              <w:t xml:space="preserve">（7）其他要求：见投标人须知1.4.1条及附录； </w:t>
            </w:r>
          </w:p>
          <w:p>
            <w:pPr>
              <w:pStyle w:val="17"/>
              <w:ind w:left="141"/>
              <w:rPr>
                <w:rFonts w:hint="eastAsia"/>
                <w:color w:val="auto"/>
                <w:sz w:val="21"/>
                <w:lang w:val="en-US"/>
              </w:rPr>
            </w:pPr>
            <w:r>
              <w:rPr>
                <w:rFonts w:hint="eastAsia"/>
                <w:color w:val="auto"/>
                <w:sz w:val="21"/>
                <w:lang w:val="en-US"/>
              </w:rPr>
              <w:t xml:space="preserve">（8）投标人的其他要求符合招标文件规定。 </w:t>
            </w:r>
          </w:p>
          <w:p>
            <w:pPr>
              <w:pStyle w:val="17"/>
              <w:ind w:left="141"/>
              <w:rPr>
                <w:rFonts w:hint="eastAsia" w:eastAsia="宋体"/>
                <w:color w:val="auto"/>
                <w:sz w:val="21"/>
                <w:lang w:val="en-US" w:eastAsia="zh-CN"/>
              </w:rPr>
            </w:pPr>
            <w:r>
              <w:rPr>
                <w:rFonts w:hint="eastAsia"/>
                <w:color w:val="auto"/>
                <w:sz w:val="21"/>
                <w:lang w:val="en-US"/>
              </w:rPr>
              <w:t>（9）投标人不存在第二章“投标人须知”第 1.4.3 项或第 1.4.4 项规定的任何一种情形</w:t>
            </w:r>
            <w:r>
              <w:rPr>
                <w:rFonts w:hint="eastAsia"/>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26" w:type="dxa"/>
            <w:noWrap w:val="0"/>
            <w:vAlign w:val="center"/>
          </w:tcPr>
          <w:p>
            <w:pPr>
              <w:widowControl/>
              <w:rPr>
                <w:color w:val="auto"/>
              </w:rPr>
            </w:pPr>
            <w:r>
              <w:rPr>
                <w:rFonts w:hint="eastAsia"/>
                <w:color w:val="auto"/>
                <w:sz w:val="20"/>
                <w:szCs w:val="20"/>
                <w:lang w:val="en-US" w:bidi="ar"/>
              </w:rPr>
              <w:t>2.2</w:t>
            </w:r>
            <w:r>
              <w:rPr>
                <w:rFonts w:hint="eastAsia"/>
                <w:color w:val="auto"/>
                <w:sz w:val="21"/>
                <w:szCs w:val="21"/>
                <w:lang w:val="en-US"/>
              </w:rPr>
              <w:t>详细评审标准</w:t>
            </w:r>
          </w:p>
          <w:p>
            <w:pPr>
              <w:widowControl/>
              <w:rPr>
                <w:color w:val="auto"/>
                <w:sz w:val="21"/>
              </w:rPr>
            </w:pPr>
          </w:p>
        </w:tc>
        <w:tc>
          <w:tcPr>
            <w:tcW w:w="7415" w:type="dxa"/>
            <w:gridSpan w:val="2"/>
            <w:noWrap w:val="0"/>
            <w:vAlign w:val="top"/>
          </w:tcPr>
          <w:p>
            <w:pPr>
              <w:ind w:firstLine="420" w:firstLineChars="200"/>
              <w:rPr>
                <w:rFonts w:hint="eastAsia"/>
                <w:color w:val="auto"/>
                <w:sz w:val="21"/>
                <w:szCs w:val="21"/>
              </w:rPr>
            </w:pPr>
            <w:r>
              <w:rPr>
                <w:rFonts w:hint="eastAsia"/>
                <w:color w:val="auto"/>
                <w:sz w:val="21"/>
                <w:szCs w:val="21"/>
              </w:rPr>
              <w:t>对通过形式评审与响应性评审、资格评审的所有有效投标报价进行</w:t>
            </w:r>
            <w:r>
              <w:rPr>
                <w:rFonts w:hint="eastAsia"/>
                <w:color w:val="auto"/>
                <w:sz w:val="21"/>
                <w:szCs w:val="21"/>
                <w:lang w:val="en-US"/>
              </w:rPr>
              <w:t>评标价计算：经评审的投标价（评标价）=投标函文字报价-暂估价-暂列金额（不含计日工总额）-</w:t>
            </w:r>
            <w:r>
              <w:rPr>
                <w:rFonts w:hint="eastAsia"/>
                <w:color w:val="auto"/>
                <w:sz w:val="21"/>
                <w:szCs w:val="21"/>
              </w:rPr>
              <w:t>安全生产费、扬尘污染防治费、工伤保险费。</w:t>
            </w:r>
          </w:p>
          <w:p>
            <w:pPr>
              <w:ind w:firstLine="420" w:firstLineChars="200"/>
              <w:rPr>
                <w:rFonts w:hint="eastAsia"/>
                <w:color w:val="auto"/>
                <w:sz w:val="21"/>
                <w:szCs w:val="21"/>
              </w:rPr>
            </w:pPr>
            <w:r>
              <w:rPr>
                <w:rFonts w:hint="eastAsia"/>
                <w:color w:val="auto"/>
                <w:sz w:val="21"/>
                <w:szCs w:val="21"/>
              </w:rPr>
              <w:t>投标人不得以低于成本价报价。对于投标报价(剔除不可竞争部分) 低于所有有效投标报价(剔除不可竞争部分)平均值×95% ，且评标委员会发现该报价为异常低价，有可能影响合同履行的，评标委员会应当要求投标人在合理期限内作书面澄清或者说明，如采取的技术手段、施工方案、材料采购的渠道 、人工工资标准、降低消耗量指标措施等，用以说明自己投标报价未低于企业成本价。评标委员会根据投标人提供材料的权威性、可信度及当地的价格水平、市场供求、竞争状况等判断投标报价是否低于企业成本价。如投标人未能在规定期限内提供书面澄清或者说明，或者提供的书面材料不能有力证明其报价合理性，导致合同履行风险过高的，评标委员会应当认定该投标人低于成本价竞标并否决其投标。</w:t>
            </w:r>
          </w:p>
          <w:p>
            <w:pPr>
              <w:widowControl/>
              <w:rPr>
                <w:rFonts w:hint="eastAsia"/>
                <w:color w:val="auto"/>
                <w:sz w:val="21"/>
                <w:lang w:val="en-US"/>
              </w:rPr>
            </w:pPr>
            <w:r>
              <w:rPr>
                <w:rFonts w:hint="eastAsia"/>
                <w:color w:val="auto"/>
                <w:sz w:val="21"/>
                <w:szCs w:val="21"/>
              </w:rPr>
              <w:t>特别说明：投标人不得以企业积压的材料、闲置机械等因素作为其材料、机械报价明显低于市场行情原因，同时投标人也不得以零管理费、零利润进行报价。如投标人存在以上情形，评标委员会将作出不利于投标人的评审结论。</w:t>
            </w:r>
          </w:p>
        </w:tc>
      </w:tr>
    </w:tbl>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rPr>
          <w:rFonts w:hint="eastAsia" w:ascii="黑体" w:eastAsia="黑体"/>
          <w:color w:val="auto"/>
          <w:sz w:val="28"/>
        </w:rPr>
      </w:pPr>
    </w:p>
    <w:p>
      <w:pPr>
        <w:pStyle w:val="2"/>
        <w:ind w:left="0" w:leftChars="0" w:firstLine="0" w:firstLineChars="0"/>
        <w:rPr>
          <w:rFonts w:hint="eastAsia"/>
        </w:rPr>
        <w:sectPr>
          <w:headerReference r:id="rId13" w:type="default"/>
          <w:footerReference r:id="rId14" w:type="default"/>
          <w:pgSz w:w="11906" w:h="16838"/>
          <w:pgMar w:top="1135" w:right="1416" w:bottom="1134" w:left="1418" w:header="851" w:footer="992" w:gutter="0"/>
          <w:pgNumType w:start="14"/>
          <w:cols w:space="720" w:num="1"/>
          <w:docGrid w:type="lines" w:linePitch="312" w:charSpace="0"/>
        </w:sectPr>
      </w:pPr>
    </w:p>
    <w:p>
      <w:pPr>
        <w:rPr>
          <w:rFonts w:hint="eastAsia"/>
        </w:rPr>
      </w:pPr>
    </w:p>
    <w:p>
      <w:pPr>
        <w:rPr>
          <w:rFonts w:ascii="黑体" w:eastAsia="黑体"/>
          <w:color w:val="auto"/>
          <w:sz w:val="28"/>
        </w:rPr>
      </w:pPr>
      <w:r>
        <w:rPr>
          <w:rFonts w:hint="eastAsia" w:ascii="黑体" w:eastAsia="黑体"/>
          <w:color w:val="auto"/>
          <w:sz w:val="28"/>
          <w:lang w:val="en-US"/>
        </w:rPr>
        <w:t>1、</w:t>
      </w:r>
      <w:r>
        <w:rPr>
          <w:rFonts w:hint="eastAsia" w:ascii="黑体" w:eastAsia="黑体"/>
          <w:color w:val="auto"/>
          <w:sz w:val="28"/>
        </w:rPr>
        <w:t>评标方法</w:t>
      </w:r>
    </w:p>
    <w:p>
      <w:pPr>
        <w:spacing w:line="400" w:lineRule="exact"/>
        <w:ind w:firstLine="420" w:firstLineChars="200"/>
        <w:rPr>
          <w:rFonts w:hint="eastAsia" w:ascii="黑体" w:eastAsia="黑体"/>
          <w:color w:val="auto"/>
          <w:sz w:val="28"/>
        </w:rPr>
      </w:pPr>
      <w:r>
        <w:rPr>
          <w:rFonts w:hint="eastAsia" w:eastAsia="宋体"/>
          <w:color w:val="auto"/>
          <w:sz w:val="21"/>
          <w:szCs w:val="21"/>
          <w:lang w:val="en-US"/>
        </w:rPr>
        <w:t>本次评标采用经评审的最低投标价法。评标委员会对满足招标文件实质性要求的投标文件， 按照本章第 2.2 款规定的评审标准进行评审，并按报价由低到高顺序推荐中标候选人，或根据招标人授权直接确定中标人，但投标报价低于其成本的除外。</w:t>
      </w:r>
      <w:r>
        <w:rPr>
          <w:rFonts w:hint="eastAsia"/>
          <w:color w:val="auto"/>
          <w:sz w:val="21"/>
          <w:szCs w:val="21"/>
          <w:lang w:val="en-US" w:eastAsia="zh-CN"/>
        </w:rPr>
        <w:t>经评审的投标价相等时</w:t>
      </w:r>
      <w:r>
        <w:rPr>
          <w:rFonts w:hint="eastAsia" w:eastAsia="宋体"/>
          <w:color w:val="auto"/>
          <w:sz w:val="21"/>
          <w:szCs w:val="21"/>
          <w:lang w:val="en-US"/>
        </w:rPr>
        <w:t>，评标委员会应按照评标办法前附表规定的优先次序推荐中标候选人或确定中标人。</w:t>
      </w:r>
    </w:p>
    <w:p>
      <w:pPr>
        <w:rPr>
          <w:rFonts w:hint="eastAsia" w:ascii="黑体" w:eastAsia="黑体"/>
          <w:color w:val="auto"/>
          <w:sz w:val="28"/>
        </w:rPr>
      </w:pPr>
      <w:bookmarkStart w:id="214" w:name="_bookmark127"/>
      <w:bookmarkEnd w:id="214"/>
      <w:r>
        <w:rPr>
          <w:rFonts w:hint="eastAsia" w:ascii="黑体" w:eastAsia="黑体"/>
          <w:color w:val="auto"/>
          <w:sz w:val="28"/>
          <w:lang w:val="en-US"/>
        </w:rPr>
        <w:t>2、</w:t>
      </w:r>
      <w:r>
        <w:rPr>
          <w:rFonts w:hint="eastAsia" w:ascii="黑体" w:eastAsia="黑体"/>
          <w:color w:val="auto"/>
          <w:sz w:val="28"/>
        </w:rPr>
        <w:t>评审标准</w:t>
      </w:r>
    </w:p>
    <w:p>
      <w:pPr>
        <w:pStyle w:val="19"/>
        <w:tabs>
          <w:tab w:val="left" w:pos="905"/>
        </w:tabs>
        <w:spacing w:before="246"/>
        <w:ind w:left="0" w:firstLine="420" w:firstLineChars="200"/>
        <w:rPr>
          <w:color w:val="auto"/>
          <w:sz w:val="21"/>
          <w:szCs w:val="21"/>
        </w:rPr>
      </w:pPr>
      <w:bookmarkStart w:id="215" w:name="_bookmark128"/>
      <w:bookmarkEnd w:id="215"/>
      <w:r>
        <w:rPr>
          <w:rFonts w:hint="eastAsia"/>
          <w:color w:val="auto"/>
          <w:sz w:val="21"/>
          <w:szCs w:val="21"/>
          <w:lang w:val="en-US"/>
        </w:rPr>
        <w:t>2.1</w:t>
      </w:r>
      <w:r>
        <w:rPr>
          <w:rFonts w:hint="eastAsia"/>
          <w:color w:val="auto"/>
          <w:sz w:val="21"/>
          <w:szCs w:val="21"/>
        </w:rPr>
        <w:t>初步评审标准</w:t>
      </w:r>
    </w:p>
    <w:p>
      <w:pPr>
        <w:pStyle w:val="6"/>
        <w:spacing w:before="94"/>
        <w:ind w:firstLine="420" w:firstLineChars="200"/>
        <w:rPr>
          <w:rFonts w:hint="eastAsia"/>
          <w:color w:val="auto"/>
          <w:sz w:val="21"/>
          <w:szCs w:val="21"/>
        </w:rPr>
      </w:pPr>
      <w:r>
        <w:rPr>
          <w:color w:val="auto"/>
          <w:sz w:val="21"/>
          <w:szCs w:val="21"/>
        </w:rPr>
        <w:t>2.1.1</w:t>
      </w:r>
      <w:r>
        <w:rPr>
          <w:rFonts w:hint="eastAsia"/>
          <w:color w:val="auto"/>
          <w:sz w:val="21"/>
          <w:szCs w:val="21"/>
        </w:rPr>
        <w:t xml:space="preserve"> 形式评审标准：见评标办法前附表</w:t>
      </w:r>
    </w:p>
    <w:p>
      <w:pPr>
        <w:pStyle w:val="6"/>
        <w:spacing w:before="94"/>
        <w:ind w:firstLine="420" w:firstLineChars="200"/>
        <w:rPr>
          <w:rFonts w:hint="eastAsia"/>
          <w:color w:val="auto"/>
          <w:sz w:val="21"/>
          <w:szCs w:val="21"/>
        </w:rPr>
      </w:pPr>
      <w:r>
        <w:rPr>
          <w:color w:val="auto"/>
          <w:sz w:val="21"/>
          <w:szCs w:val="21"/>
        </w:rPr>
        <w:t>2.1.2</w:t>
      </w:r>
      <w:r>
        <w:rPr>
          <w:rFonts w:hint="eastAsia"/>
          <w:color w:val="auto"/>
          <w:sz w:val="21"/>
          <w:szCs w:val="21"/>
        </w:rPr>
        <w:t xml:space="preserve"> 资格评审标准：见评标办法前附表</w:t>
      </w:r>
    </w:p>
    <w:p>
      <w:pPr>
        <w:pStyle w:val="6"/>
        <w:spacing w:before="94"/>
        <w:ind w:firstLine="420" w:firstLineChars="200"/>
        <w:rPr>
          <w:color w:val="auto"/>
          <w:sz w:val="21"/>
          <w:szCs w:val="21"/>
        </w:rPr>
      </w:pPr>
      <w:r>
        <w:rPr>
          <w:color w:val="auto"/>
          <w:sz w:val="21"/>
          <w:szCs w:val="21"/>
        </w:rPr>
        <w:t>2.1.3</w:t>
      </w:r>
      <w:r>
        <w:rPr>
          <w:rFonts w:hint="eastAsia"/>
          <w:color w:val="auto"/>
          <w:sz w:val="21"/>
          <w:szCs w:val="21"/>
        </w:rPr>
        <w:t xml:space="preserve"> 响应性评审标准</w:t>
      </w:r>
      <w:r>
        <w:rPr>
          <w:rFonts w:hint="eastAsia"/>
          <w:color w:val="auto"/>
          <w:sz w:val="21"/>
          <w:szCs w:val="21"/>
          <w:lang w:eastAsia="zh-CN"/>
        </w:rPr>
        <w:t>：</w:t>
      </w:r>
      <w:r>
        <w:rPr>
          <w:rFonts w:hint="eastAsia"/>
          <w:color w:val="auto"/>
          <w:sz w:val="21"/>
          <w:szCs w:val="21"/>
        </w:rPr>
        <w:t>见评标办法前附表</w:t>
      </w:r>
    </w:p>
    <w:p>
      <w:pPr>
        <w:pStyle w:val="19"/>
        <w:tabs>
          <w:tab w:val="left" w:pos="905"/>
        </w:tabs>
        <w:spacing w:before="246"/>
        <w:ind w:left="0" w:firstLine="420" w:firstLineChars="200"/>
        <w:rPr>
          <w:rFonts w:hint="eastAsia" w:eastAsia="宋体"/>
          <w:color w:val="auto"/>
          <w:sz w:val="21"/>
          <w:szCs w:val="21"/>
          <w:lang w:eastAsia="zh-CN"/>
        </w:rPr>
      </w:pPr>
      <w:bookmarkStart w:id="216" w:name="_bookmark129"/>
      <w:bookmarkEnd w:id="216"/>
      <w:r>
        <w:rPr>
          <w:rFonts w:hint="eastAsia"/>
          <w:color w:val="auto"/>
          <w:sz w:val="21"/>
          <w:szCs w:val="21"/>
          <w:lang w:val="en-US"/>
        </w:rPr>
        <w:t xml:space="preserve">2.2 </w:t>
      </w:r>
      <w:r>
        <w:rPr>
          <w:rFonts w:hint="eastAsia"/>
          <w:color w:val="auto"/>
          <w:sz w:val="21"/>
          <w:szCs w:val="21"/>
          <w:lang w:eastAsia="zh-CN"/>
        </w:rPr>
        <w:t>详细评审标准</w:t>
      </w:r>
    </w:p>
    <w:p>
      <w:pPr>
        <w:pStyle w:val="6"/>
        <w:spacing w:before="94"/>
        <w:ind w:firstLine="420" w:firstLineChars="200"/>
        <w:rPr>
          <w:color w:val="auto"/>
          <w:sz w:val="21"/>
          <w:szCs w:val="21"/>
        </w:rPr>
      </w:pPr>
      <w:r>
        <w:rPr>
          <w:rFonts w:hint="eastAsia"/>
          <w:color w:val="auto"/>
          <w:sz w:val="21"/>
          <w:szCs w:val="21"/>
          <w:lang w:val="en-US"/>
        </w:rPr>
        <w:t>详细评审标准</w:t>
      </w:r>
      <w:r>
        <w:rPr>
          <w:rFonts w:hint="eastAsia"/>
          <w:color w:val="auto"/>
          <w:sz w:val="21"/>
          <w:szCs w:val="21"/>
          <w:lang w:val="en-US" w:eastAsia="zh-CN"/>
        </w:rPr>
        <w:t>：</w:t>
      </w:r>
      <w:r>
        <w:rPr>
          <w:rFonts w:hint="eastAsia"/>
          <w:color w:val="auto"/>
          <w:sz w:val="21"/>
          <w:szCs w:val="21"/>
        </w:rPr>
        <w:t>见评标办法前附表</w:t>
      </w:r>
    </w:p>
    <w:p>
      <w:pPr>
        <w:tabs>
          <w:tab w:val="left" w:pos="845"/>
        </w:tabs>
        <w:rPr>
          <w:rFonts w:hint="eastAsia" w:ascii="黑体" w:eastAsia="黑体"/>
          <w:color w:val="auto"/>
          <w:sz w:val="28"/>
        </w:rPr>
      </w:pPr>
      <w:r>
        <w:rPr>
          <w:rFonts w:hint="eastAsia" w:ascii="黑体" w:eastAsia="黑体"/>
          <w:color w:val="auto"/>
          <w:sz w:val="28"/>
        </w:rPr>
        <w:t>3．评标程序</w:t>
      </w:r>
    </w:p>
    <w:p>
      <w:pPr>
        <w:spacing w:line="400" w:lineRule="exact"/>
        <w:ind w:firstLine="420" w:firstLineChars="200"/>
        <w:rPr>
          <w:rFonts w:hint="eastAsia"/>
          <w:color w:val="auto"/>
          <w:sz w:val="21"/>
          <w:szCs w:val="21"/>
        </w:rPr>
      </w:pPr>
      <w:r>
        <w:rPr>
          <w:rFonts w:hint="eastAsia"/>
          <w:color w:val="auto"/>
          <w:sz w:val="21"/>
          <w:szCs w:val="21"/>
          <w:lang w:val="en-US"/>
        </w:rPr>
        <w:t xml:space="preserve">3.1 初步评审：见评标办法前附表 </w:t>
      </w:r>
    </w:p>
    <w:p>
      <w:pPr>
        <w:spacing w:line="400" w:lineRule="exact"/>
        <w:ind w:firstLine="420" w:firstLineChars="200"/>
        <w:rPr>
          <w:rFonts w:hint="eastAsia" w:eastAsia="宋体"/>
          <w:color w:val="auto"/>
          <w:sz w:val="21"/>
          <w:szCs w:val="21"/>
          <w:lang w:val="en-US" w:eastAsia="zh-CN"/>
        </w:rPr>
      </w:pPr>
      <w:r>
        <w:rPr>
          <w:rFonts w:hint="eastAsia"/>
          <w:color w:val="auto"/>
          <w:sz w:val="21"/>
          <w:szCs w:val="21"/>
          <w:lang w:val="en-US"/>
        </w:rPr>
        <w:t xml:space="preserve">3.2 </w:t>
      </w:r>
      <w:r>
        <w:rPr>
          <w:rFonts w:hint="eastAsia"/>
          <w:color w:val="auto"/>
          <w:sz w:val="21"/>
          <w:szCs w:val="21"/>
          <w:lang w:val="en-US" w:eastAsia="zh-CN"/>
        </w:rPr>
        <w:t>详细评审：</w:t>
      </w:r>
      <w:r>
        <w:rPr>
          <w:rFonts w:hint="eastAsia"/>
          <w:color w:val="auto"/>
          <w:sz w:val="21"/>
          <w:szCs w:val="21"/>
          <w:lang w:val="en-US"/>
        </w:rPr>
        <w:t>见评标办法前附表</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 </w:t>
      </w:r>
      <w:r>
        <w:rPr>
          <w:rFonts w:hint="eastAsia" w:eastAsia="宋体"/>
          <w:color w:val="auto"/>
          <w:sz w:val="21"/>
          <w:szCs w:val="21"/>
          <w:lang w:val="en-US"/>
        </w:rPr>
        <w:t>投标文件相关信息的核查</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3.3.1 </w:t>
      </w:r>
      <w:r>
        <w:rPr>
          <w:rFonts w:hint="eastAsia" w:eastAsia="宋体"/>
          <w:color w:val="auto"/>
          <w:sz w:val="21"/>
          <w:szCs w:val="21"/>
          <w:lang w:val="en-US"/>
        </w:rPr>
        <w:t>在评标过程中，评标委员会对所有参加投标的投标人的资格对照招标文件资格后审要求提供的</w:t>
      </w:r>
      <w:r>
        <w:rPr>
          <w:rFonts w:hint="eastAsia"/>
          <w:color w:val="auto"/>
          <w:sz w:val="21"/>
          <w:szCs w:val="21"/>
          <w:lang w:val="en-US" w:eastAsia="zh-CN"/>
        </w:rPr>
        <w:t>资料</w:t>
      </w:r>
      <w:r>
        <w:rPr>
          <w:rFonts w:hint="eastAsia" w:eastAsia="宋体"/>
          <w:color w:val="auto"/>
          <w:sz w:val="21"/>
          <w:szCs w:val="21"/>
          <w:lang w:val="en-US"/>
        </w:rPr>
        <w:t>进行审查。审查以投标人提供的资格审查资料进行审查，未提交</w:t>
      </w:r>
      <w:r>
        <w:rPr>
          <w:rFonts w:hint="eastAsia" w:eastAsia="宋体"/>
          <w:color w:val="auto"/>
          <w:sz w:val="21"/>
          <w:szCs w:val="21"/>
          <w:lang w:val="en-US" w:eastAsia="zh-CN"/>
        </w:rPr>
        <w:t>相关</w:t>
      </w:r>
      <w:r>
        <w:rPr>
          <w:rFonts w:hint="eastAsia" w:eastAsia="宋体"/>
          <w:color w:val="auto"/>
          <w:sz w:val="21"/>
          <w:szCs w:val="21"/>
          <w:lang w:val="en-US"/>
        </w:rPr>
        <w:t>资料或</w:t>
      </w:r>
      <w:r>
        <w:rPr>
          <w:rFonts w:hint="eastAsia" w:eastAsia="宋体"/>
          <w:color w:val="auto"/>
          <w:sz w:val="21"/>
          <w:szCs w:val="21"/>
          <w:lang w:val="en-US" w:eastAsia="zh-CN"/>
        </w:rPr>
        <w:t>相关</w:t>
      </w:r>
      <w:r>
        <w:rPr>
          <w:rFonts w:hint="eastAsia" w:eastAsia="宋体"/>
          <w:color w:val="auto"/>
          <w:sz w:val="21"/>
          <w:szCs w:val="21"/>
          <w:lang w:val="en-US"/>
        </w:rPr>
        <w:t>资料不全的，不予通过资格审查。投标人的资格条件不符合招标文件规定的，评标委员会应否决其投标。</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3.3.2 </w:t>
      </w:r>
      <w:r>
        <w:rPr>
          <w:rFonts w:hint="eastAsia" w:eastAsia="宋体"/>
          <w:color w:val="auto"/>
          <w:sz w:val="21"/>
          <w:szCs w:val="21"/>
          <w:lang w:val="en-US"/>
        </w:rPr>
        <w:t>评标委员会应对在评标过程中发现的投标人与投标人之间、投标人与招标人之间存在的串通投标的情形进行评审和认定。投标人存在串通投标、弄虚作假、行贿等违法行为的，评标委员会应否决其投标。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（1）有下列情形之一的，属于投标人相互串通投标：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a.投标人之间协商投标报价等投标文件的实质性内容；</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b.投标人之间约定中标人；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c.投标人之间约定部分投标人放弃投标或中标；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d.属于同一集团、协会、商会等组织成员的投标人按照该组织要求协同投标；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e.投标人之间为谋取中标或排斥特定投标人而采取的其他联合行动。</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（2）有下列情形之一的，视为投标人相互串通投标：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 xml:space="preserve">a.不同投标人的投标文件由同一单位或个人编制； </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b.不同投标人委托同一单位或个人办理投标事宜；</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c.不同投标人的投标文件载明的项目管理成员为同一人；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d.不同投标人的投标文件异常一致或投标报价呈规律性差异；</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e.不同投标人的投标文件相互混装；</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f.不同投标人的投标保证金从同一单位或个人的账户转出。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（3）有下列情形之一的，属于招标人与投标人串通投标：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a.招标人在开标前开启投标文件并将有关信息泄露给其他投标人;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b.招标人直接或间接向投标人泄露标底、评标委员会成员等信息；</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c.招标人明示或暗示投标人压低或抬高投标报价；</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d.招标人授意投标人撤换、修改投标文件；</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e.招标人明示或暗示投标人为特定投标人中标提供方便；</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f.招标人与投标人为谋求特定投标人中标而采取的其他串通行为。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（4）投标人有下列情形之一的，属于弄虚作假的行为：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a.使用通过受让或租借等方式获取的资格、资质证书投标；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b.使用伪造、变造的许可证件；</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c.提供虚假的财务状况或业绩；</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d.提供虚假的项目负责人或主要技术人员简历、劳动关系证明；</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e.提供虚假的信用状况；</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f.其他弄虚作假的行为。</w:t>
      </w:r>
    </w:p>
    <w:p>
      <w:pPr>
        <w:spacing w:line="400" w:lineRule="exact"/>
        <w:ind w:firstLine="420" w:firstLineChars="200"/>
        <w:rPr>
          <w:rFonts w:hint="eastAsia" w:ascii="宋体" w:hAnsi="宋体" w:eastAsia="宋体" w:cs="宋体"/>
          <w:color w:val="auto"/>
          <w:sz w:val="21"/>
          <w:szCs w:val="21"/>
          <w:lang w:val="en-US"/>
        </w:rPr>
      </w:pPr>
      <w:r>
        <w:rPr>
          <w:rFonts w:hint="eastAsia"/>
          <w:color w:val="auto"/>
          <w:sz w:val="21"/>
          <w:szCs w:val="21"/>
          <w:lang w:val="en-US" w:eastAsia="zh-CN"/>
        </w:rPr>
        <w:t xml:space="preserve">3.4 </w:t>
      </w:r>
      <w:r>
        <w:rPr>
          <w:rFonts w:hint="eastAsia"/>
          <w:color w:val="auto"/>
          <w:sz w:val="21"/>
          <w:szCs w:val="21"/>
          <w:lang w:val="en-US"/>
        </w:rPr>
        <w:t>投标文件的</w:t>
      </w:r>
      <w:r>
        <w:rPr>
          <w:rFonts w:hint="eastAsia" w:ascii="宋体" w:hAnsi="宋体" w:eastAsia="宋体" w:cs="宋体"/>
          <w:color w:val="auto"/>
          <w:sz w:val="21"/>
          <w:szCs w:val="21"/>
          <w:lang w:val="en-US"/>
        </w:rPr>
        <w:t>澄清</w:t>
      </w:r>
      <w:r>
        <w:rPr>
          <w:rFonts w:hint="eastAsia" w:ascii="宋体" w:hAnsi="宋体" w:eastAsia="宋体" w:cs="宋体"/>
          <w:color w:val="auto"/>
          <w:sz w:val="21"/>
          <w:szCs w:val="21"/>
          <w:lang w:val="en-US" w:eastAsia="zh-CN"/>
        </w:rPr>
        <w:t>和说明</w:t>
      </w:r>
      <w:r>
        <w:rPr>
          <w:rFonts w:hint="eastAsia" w:ascii="宋体" w:hAnsi="宋体" w:eastAsia="宋体" w:cs="宋体"/>
          <w:color w:val="auto"/>
          <w:sz w:val="21"/>
          <w:szCs w:val="21"/>
          <w:lang w:val="en-US"/>
        </w:rPr>
        <w:t xml:space="preserve"> </w:t>
      </w:r>
    </w:p>
    <w:p>
      <w:pPr>
        <w:spacing w:line="400" w:lineRule="exact"/>
        <w:ind w:firstLine="420" w:firstLineChars="200"/>
        <w:rPr>
          <w:rFonts w:hint="eastAsia"/>
          <w:color w:val="auto"/>
          <w:sz w:val="21"/>
          <w:szCs w:val="21"/>
          <w:lang w:val="en-US"/>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.1 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.2 澄清和说明不得超出投标文件的范围或改变投标文件的实质性内容。投标人的书面澄清、说明属于投标文件的组成部分。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.3 评标委员会不得暗示或诱导投标人作出澄清、说明，对投标人提交的澄清、说明或有疑问的，可以要求投标人进一步澄清或说明，直至满足评标委员会的要求。 </w:t>
      </w:r>
    </w:p>
    <w:p>
      <w:pPr>
        <w:spacing w:line="400" w:lineRule="exact"/>
        <w:ind w:firstLine="420" w:firstLineChars="200"/>
        <w:rPr>
          <w:rFonts w:hint="default" w:ascii="宋体" w:hAnsi="宋体" w:eastAsia="宋体" w:cs="宋体"/>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sz w:val="21"/>
          <w:szCs w:val="21"/>
          <w:lang w:val="en-US" w:eastAsia="zh-CN"/>
        </w:rPr>
        <w:t>.5 不得否决投标的情形</w:t>
      </w:r>
    </w:p>
    <w:p>
      <w:pPr>
        <w:spacing w:line="400" w:lineRule="exact"/>
        <w:ind w:firstLine="420" w:firstLineChars="200"/>
        <w:rPr>
          <w:rFonts w:hint="eastAsia"/>
          <w:color w:val="auto"/>
          <w:sz w:val="21"/>
          <w:szCs w:val="21"/>
        </w:rPr>
      </w:pPr>
      <w:r>
        <w:rPr>
          <w:rFonts w:hint="eastAsia"/>
          <w:color w:val="auto"/>
          <w:sz w:val="21"/>
          <w:szCs w:val="21"/>
          <w:lang w:val="en-US"/>
        </w:rPr>
        <w:t xml:space="preserve">投标文件存在第二章“投标人须知”第1.12.3项所列情形的，均视为细微偏差，评标委员会不得否决投标人的投标，应按照第二章“投标人须知”第1.12.4项规定的原则处理。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6</w:t>
      </w:r>
      <w:r>
        <w:rPr>
          <w:rFonts w:hint="eastAsia"/>
          <w:color w:val="auto"/>
          <w:sz w:val="21"/>
          <w:szCs w:val="21"/>
          <w:lang w:val="en-US"/>
        </w:rPr>
        <w:t xml:space="preserve"> 评标结果 </w:t>
      </w:r>
    </w:p>
    <w:p>
      <w:pPr>
        <w:spacing w:line="40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3.6.1 除第二章“投标人须知”前附表授权直接确定中标人外，评标委员会按照评标价由低到高的顺序推荐中标候选人，并标明排序。</w:t>
      </w:r>
    </w:p>
    <w:p>
      <w:pPr>
        <w:spacing w:line="400" w:lineRule="exact"/>
        <w:ind w:firstLine="420" w:firstLineChars="20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3.6.2 评标委员会完成评标后，应向招标人提交书面评标报告。</w:t>
      </w:r>
    </w:p>
    <w:p>
      <w:pPr>
        <w:spacing w:line="400" w:lineRule="exact"/>
        <w:ind w:firstLine="420" w:firstLineChars="200"/>
        <w:rPr>
          <w:rFonts w:hint="eastAsia" w:eastAsia="宋体"/>
          <w:color w:val="auto"/>
          <w:sz w:val="21"/>
          <w:szCs w:val="21"/>
          <w:lang w:val="en-US"/>
        </w:rPr>
      </w:pPr>
    </w:p>
    <w:p>
      <w:pPr>
        <w:rPr>
          <w:rFonts w:hint="eastAsia" w:ascii="黑体" w:eastAsia="黑体"/>
          <w:color w:val="auto"/>
          <w:sz w:val="28"/>
        </w:rPr>
      </w:pPr>
    </w:p>
    <w:p>
      <w:pPr>
        <w:rPr>
          <w:rFonts w:hint="eastAsia" w:ascii="黑体" w:eastAsia="黑体"/>
          <w:color w:val="auto"/>
          <w:sz w:val="28"/>
        </w:rPr>
      </w:pPr>
    </w:p>
    <w:p>
      <w:pPr>
        <w:pStyle w:val="6"/>
        <w:spacing w:before="93"/>
        <w:jc w:val="center"/>
        <w:rPr>
          <w:rFonts w:hint="eastAsia" w:ascii="黑体" w:eastAsia="黑体"/>
          <w:color w:val="auto"/>
          <w:sz w:val="56"/>
          <w:szCs w:val="56"/>
        </w:rPr>
        <w:sectPr>
          <w:pgSz w:w="11906" w:h="16838"/>
          <w:pgMar w:top="1135" w:right="1416" w:bottom="1134" w:left="1418" w:header="851" w:footer="992" w:gutter="0"/>
          <w:pgNumType w:start="14"/>
          <w:cols w:space="720" w:num="1"/>
          <w:docGrid w:type="lines" w:linePitch="312" w:charSpace="0"/>
        </w:sectPr>
      </w:pPr>
    </w:p>
    <w:p>
      <w:pPr>
        <w:pStyle w:val="6"/>
        <w:spacing w:before="93"/>
        <w:jc w:val="center"/>
        <w:rPr>
          <w:rFonts w:hint="eastAsia" w:ascii="黑体" w:eastAsia="黑体"/>
          <w:color w:val="auto"/>
          <w:sz w:val="56"/>
          <w:szCs w:val="56"/>
        </w:rPr>
      </w:pPr>
      <w:r>
        <w:rPr>
          <w:rFonts w:hint="eastAsia" w:ascii="黑体" w:eastAsia="黑体"/>
          <w:color w:val="auto"/>
          <w:sz w:val="56"/>
          <w:szCs w:val="56"/>
        </w:rPr>
        <w:t>第四章</w:t>
      </w:r>
      <w:r>
        <w:rPr>
          <w:rFonts w:hint="eastAsia" w:ascii="黑体" w:eastAsia="黑体"/>
          <w:color w:val="auto"/>
          <w:sz w:val="56"/>
          <w:szCs w:val="56"/>
        </w:rPr>
        <w:tab/>
      </w:r>
      <w:r>
        <w:rPr>
          <w:rFonts w:hint="eastAsia" w:ascii="黑体" w:eastAsia="黑体"/>
          <w:color w:val="auto"/>
          <w:sz w:val="56"/>
          <w:szCs w:val="56"/>
        </w:rPr>
        <w:t>合同条款及格式</w:t>
      </w:r>
    </w:p>
    <w:p>
      <w:pPr>
        <w:pStyle w:val="6"/>
        <w:spacing w:before="93"/>
        <w:ind w:firstLine="420" w:firstLineChars="200"/>
        <w:rPr>
          <w:rFonts w:hint="eastAsia"/>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4"/>
        <w:tabs>
          <w:tab w:val="left" w:pos="4341"/>
        </w:tabs>
        <w:ind w:left="0"/>
        <w:rPr>
          <w:rFonts w:hint="eastAsia"/>
          <w:color w:val="auto"/>
          <w:lang w:eastAsia="zh-CN"/>
        </w:rPr>
      </w:pPr>
    </w:p>
    <w:p>
      <w:pPr>
        <w:pStyle w:val="4"/>
        <w:tabs>
          <w:tab w:val="left" w:pos="4341"/>
        </w:tabs>
        <w:rPr>
          <w:rFonts w:hint="eastAsia"/>
          <w:color w:val="auto"/>
        </w:rPr>
      </w:pPr>
    </w:p>
    <w:p>
      <w:pPr>
        <w:pStyle w:val="4"/>
        <w:tabs>
          <w:tab w:val="left" w:pos="4341"/>
        </w:tabs>
        <w:rPr>
          <w:rFonts w:hint="eastAsia"/>
          <w:color w:val="auto"/>
        </w:rPr>
      </w:pPr>
    </w:p>
    <w:p>
      <w:pPr>
        <w:pStyle w:val="4"/>
        <w:tabs>
          <w:tab w:val="left" w:pos="4341"/>
        </w:tabs>
        <w:rPr>
          <w:rFonts w:hint="eastAsia"/>
          <w:color w:val="auto"/>
        </w:rPr>
      </w:pPr>
    </w:p>
    <w:p>
      <w:pPr>
        <w:pStyle w:val="4"/>
        <w:tabs>
          <w:tab w:val="left" w:pos="4341"/>
        </w:tabs>
        <w:rPr>
          <w:rFonts w:hint="eastAsia"/>
          <w:color w:val="auto"/>
        </w:rPr>
      </w:pPr>
      <w:r>
        <w:rPr>
          <w:color w:val="auto"/>
        </w:rPr>
        <w:t>第一节</w:t>
      </w:r>
      <w:r>
        <w:rPr>
          <w:color w:val="auto"/>
        </w:rPr>
        <w:tab/>
      </w:r>
      <w:r>
        <w:rPr>
          <w:color w:val="auto"/>
        </w:rPr>
        <w:t>通用合同条款</w:t>
      </w:r>
    </w:p>
    <w:p>
      <w:pPr>
        <w:rPr>
          <w:rFonts w:hint="eastAsia"/>
          <w:color w:val="auto"/>
        </w:rPr>
      </w:pPr>
    </w:p>
    <w:p>
      <w:pPr>
        <w:pStyle w:val="6"/>
        <w:spacing w:before="93"/>
        <w:ind w:firstLine="560" w:firstLineChars="200"/>
        <w:rPr>
          <w:rFonts w:hint="eastAsia" w:ascii="黑体" w:eastAsia="黑体"/>
          <w:color w:val="auto"/>
          <w:sz w:val="21"/>
          <w:szCs w:val="21"/>
        </w:rPr>
      </w:pPr>
      <w:r>
        <w:rPr>
          <w:rFonts w:hint="eastAsia" w:ascii="黑体" w:hAnsi="黑体" w:eastAsia="黑体"/>
          <w:color w:val="auto"/>
          <w:sz w:val="28"/>
        </w:rPr>
        <w:t>“通用合同条款”采用《标准施工招标文件》的“通用合同条款”。</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6"/>
        <w:rPr>
          <w:rFonts w:hint="eastAsia" w:ascii="黑体" w:eastAsia="黑体"/>
          <w:color w:val="auto"/>
          <w:sz w:val="21"/>
          <w:szCs w:val="21"/>
        </w:rPr>
      </w:pPr>
    </w:p>
    <w:p>
      <w:pPr>
        <w:rPr>
          <w:rFonts w:hint="eastAsia" w:ascii="黑体" w:eastAsia="黑体"/>
          <w:color w:val="auto"/>
          <w:sz w:val="21"/>
          <w:szCs w:val="21"/>
        </w:rPr>
      </w:pPr>
    </w:p>
    <w:p>
      <w:pPr>
        <w:pStyle w:val="6"/>
        <w:rPr>
          <w:rFonts w:hint="eastAsia" w:ascii="黑体" w:eastAsia="黑体"/>
          <w:color w:val="auto"/>
          <w:sz w:val="21"/>
          <w:szCs w:val="21"/>
        </w:rPr>
      </w:pPr>
    </w:p>
    <w:p>
      <w:pPr>
        <w:rPr>
          <w:rFonts w:hint="eastAsia" w:ascii="黑体" w:eastAsia="黑体"/>
          <w:color w:val="auto"/>
          <w:sz w:val="21"/>
          <w:szCs w:val="21"/>
        </w:rPr>
      </w:pPr>
    </w:p>
    <w:p>
      <w:pPr>
        <w:pStyle w:val="6"/>
        <w:rPr>
          <w:rFonts w:hint="eastAsia" w:ascii="黑体" w:eastAsia="黑体"/>
          <w:color w:val="auto"/>
          <w:sz w:val="21"/>
          <w:szCs w:val="21"/>
        </w:rPr>
      </w:pPr>
    </w:p>
    <w:p>
      <w:pPr>
        <w:rPr>
          <w:rFonts w:hint="eastAsia" w:ascii="黑体" w:eastAsia="黑体"/>
          <w:color w:val="auto"/>
          <w:sz w:val="21"/>
          <w:szCs w:val="21"/>
        </w:rPr>
      </w:pPr>
    </w:p>
    <w:p>
      <w:pPr>
        <w:pStyle w:val="6"/>
        <w:rPr>
          <w:rFonts w:hint="eastAsia"/>
          <w:color w:val="auto"/>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4"/>
        <w:tabs>
          <w:tab w:val="left" w:pos="4341"/>
        </w:tabs>
        <w:spacing w:before="108"/>
        <w:rPr>
          <w:color w:val="auto"/>
        </w:rPr>
        <w:sectPr>
          <w:pgSz w:w="11906" w:h="16838"/>
          <w:pgMar w:top="1135" w:right="1416" w:bottom="1134" w:left="1418" w:header="851" w:footer="992" w:gutter="0"/>
          <w:pgNumType w:start="14"/>
          <w:cols w:space="720" w:num="1"/>
          <w:docGrid w:type="lines" w:linePitch="312" w:charSpace="0"/>
        </w:sectPr>
      </w:pPr>
    </w:p>
    <w:p>
      <w:pPr>
        <w:pStyle w:val="4"/>
        <w:tabs>
          <w:tab w:val="left" w:pos="4341"/>
        </w:tabs>
        <w:spacing w:before="108"/>
        <w:rPr>
          <w:color w:val="auto"/>
        </w:rPr>
      </w:pPr>
      <w:r>
        <w:rPr>
          <w:color w:val="auto"/>
        </w:rPr>
        <w:t>第二节</w:t>
      </w:r>
      <w:r>
        <w:rPr>
          <w:color w:val="auto"/>
        </w:rPr>
        <w:tab/>
      </w:r>
      <w:r>
        <w:rPr>
          <w:color w:val="auto"/>
        </w:rPr>
        <w:t>专用合同条款</w:t>
      </w:r>
    </w:p>
    <w:p>
      <w:pPr>
        <w:pStyle w:val="5"/>
        <w:keepNext w:val="0"/>
        <w:keepLines w:val="0"/>
        <w:numPr>
          <w:ilvl w:val="3"/>
          <w:numId w:val="6"/>
        </w:numPr>
        <w:tabs>
          <w:tab w:val="left" w:pos="3397"/>
        </w:tabs>
        <w:spacing w:before="107" w:after="0" w:line="240" w:lineRule="auto"/>
        <w:rPr>
          <w:color w:val="auto"/>
        </w:rPr>
      </w:pPr>
      <w:r>
        <w:rPr>
          <w:color w:val="auto"/>
        </w:rPr>
        <w:t>公路工程专用合同条款</w:t>
      </w:r>
    </w:p>
    <w:p>
      <w:pPr>
        <w:widowControl/>
        <w:rPr>
          <w:color w:val="auto"/>
        </w:rPr>
      </w:pPr>
      <w:r>
        <w:rPr>
          <w:rFonts w:hint="eastAsia"/>
          <w:color w:val="auto"/>
          <w:sz w:val="24"/>
          <w:szCs w:val="24"/>
          <w:lang w:val="en-US" w:bidi="ar"/>
        </w:rPr>
        <w:t xml:space="preserve">“A.公路工程专用合同条款”的内容详见《公路工程标准施工招标文件》（2018年版） </w:t>
      </w:r>
    </w:p>
    <w:p>
      <w:pPr>
        <w:spacing w:line="440" w:lineRule="exact"/>
        <w:ind w:firstLine="435"/>
        <w:rPr>
          <w:color w:val="auto"/>
        </w:rPr>
      </w:pPr>
      <w:r>
        <w:rPr>
          <w:color w:val="auto"/>
        </w:rPr>
        <w:t>项目专用合同条款</w:t>
      </w:r>
    </w:p>
    <w:p>
      <w:pPr>
        <w:pStyle w:val="5"/>
        <w:jc w:val="center"/>
        <w:rPr>
          <w:color w:val="auto"/>
        </w:rPr>
      </w:pPr>
      <w:bookmarkStart w:id="217" w:name="_bookmark258"/>
      <w:bookmarkEnd w:id="217"/>
      <w:r>
        <w:rPr>
          <w:rFonts w:hint="eastAsia"/>
          <w:color w:val="auto"/>
          <w:lang w:val="en-US" w:eastAsia="zh-CN"/>
        </w:rPr>
        <w:t>B.项目专用合同条款</w:t>
      </w:r>
    </w:p>
    <w:p>
      <w:pPr>
        <w:pStyle w:val="5"/>
        <w:jc w:val="center"/>
        <w:rPr>
          <w:color w:val="auto"/>
        </w:rPr>
      </w:pPr>
      <w:r>
        <w:rPr>
          <w:color w:val="auto"/>
        </w:rPr>
        <w:t>项目专用合同条款数据表</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1111"/>
        <w:gridCol w:w="7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29" w:type="dxa"/>
            <w:noWrap w:val="0"/>
            <w:vAlign w:val="top"/>
          </w:tcPr>
          <w:p>
            <w:pPr>
              <w:pStyle w:val="17"/>
              <w:spacing w:before="90" w:line="250" w:lineRule="exact"/>
              <w:ind w:left="83" w:right="74"/>
              <w:jc w:val="center"/>
              <w:rPr>
                <w:b/>
                <w:color w:val="auto"/>
                <w:sz w:val="21"/>
                <w:szCs w:val="21"/>
              </w:rPr>
            </w:pPr>
            <w:r>
              <w:rPr>
                <w:b/>
                <w:color w:val="auto"/>
                <w:sz w:val="21"/>
                <w:szCs w:val="21"/>
              </w:rPr>
              <w:t>序号</w:t>
            </w:r>
          </w:p>
        </w:tc>
        <w:tc>
          <w:tcPr>
            <w:tcW w:w="1111" w:type="dxa"/>
            <w:noWrap w:val="0"/>
            <w:vAlign w:val="top"/>
          </w:tcPr>
          <w:p>
            <w:pPr>
              <w:pStyle w:val="17"/>
              <w:spacing w:before="90" w:line="250" w:lineRule="exact"/>
              <w:ind w:left="84" w:right="78"/>
              <w:jc w:val="center"/>
              <w:rPr>
                <w:b/>
                <w:color w:val="auto"/>
                <w:sz w:val="21"/>
                <w:szCs w:val="21"/>
              </w:rPr>
            </w:pPr>
            <w:r>
              <w:rPr>
                <w:b/>
                <w:color w:val="auto"/>
                <w:sz w:val="21"/>
                <w:szCs w:val="21"/>
              </w:rPr>
              <w:t>条目号</w:t>
            </w:r>
          </w:p>
        </w:tc>
        <w:tc>
          <w:tcPr>
            <w:tcW w:w="7305" w:type="dxa"/>
            <w:noWrap w:val="0"/>
            <w:vAlign w:val="top"/>
          </w:tcPr>
          <w:p>
            <w:pPr>
              <w:pStyle w:val="17"/>
              <w:spacing w:before="90" w:line="250" w:lineRule="exact"/>
              <w:ind w:left="3106" w:right="3094"/>
              <w:jc w:val="center"/>
              <w:rPr>
                <w:b/>
                <w:color w:val="auto"/>
                <w:sz w:val="21"/>
                <w:szCs w:val="21"/>
              </w:rPr>
            </w:pPr>
            <w:r>
              <w:rPr>
                <w:b/>
                <w:color w:val="auto"/>
                <w:sz w:val="21"/>
                <w:szCs w:val="21"/>
              </w:rPr>
              <w:t>信息或数据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1</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1.1.2.2</w:t>
            </w:r>
          </w:p>
        </w:tc>
        <w:tc>
          <w:tcPr>
            <w:tcW w:w="7305" w:type="dxa"/>
            <w:noWrap w:val="0"/>
            <w:vAlign w:val="top"/>
          </w:tcPr>
          <w:p>
            <w:pPr>
              <w:pStyle w:val="17"/>
              <w:tabs>
                <w:tab w:val="left" w:pos="979"/>
                <w:tab w:val="left" w:pos="3394"/>
              </w:tabs>
              <w:spacing w:before="91" w:line="250" w:lineRule="exact"/>
              <w:ind w:left="347"/>
              <w:rPr>
                <w:rFonts w:hint="eastAsia" w:eastAsia="宋体"/>
                <w:color w:val="auto"/>
                <w:sz w:val="21"/>
                <w:szCs w:val="21"/>
                <w:lang w:eastAsia="zh-CN"/>
              </w:rPr>
            </w:pPr>
            <w:r>
              <w:rPr>
                <w:color w:val="auto"/>
                <w:sz w:val="21"/>
                <w:szCs w:val="21"/>
              </w:rPr>
              <w:t>发 包 人：</w:t>
            </w:r>
            <w:r>
              <w:rPr>
                <w:rFonts w:hint="eastAsia"/>
                <w:color w:val="auto"/>
                <w:sz w:val="21"/>
                <w:szCs w:val="21"/>
                <w:lang w:eastAsia="zh-CN"/>
              </w:rPr>
              <w:t xml:space="preserve">盐城市大丰区刘庄镇人民政府 </w:t>
            </w:r>
          </w:p>
          <w:p>
            <w:pPr>
              <w:pStyle w:val="17"/>
              <w:tabs>
                <w:tab w:val="left" w:pos="979"/>
                <w:tab w:val="left" w:pos="3394"/>
              </w:tabs>
              <w:spacing w:before="91" w:line="250" w:lineRule="exact"/>
              <w:ind w:left="347"/>
              <w:rPr>
                <w:color w:val="auto"/>
                <w:sz w:val="21"/>
                <w:szCs w:val="21"/>
              </w:rPr>
            </w:pPr>
            <w:r>
              <w:rPr>
                <w:color w:val="auto"/>
                <w:sz w:val="21"/>
                <w:szCs w:val="21"/>
              </w:rPr>
              <w:t>地</w:t>
            </w:r>
            <w:r>
              <w:rPr>
                <w:color w:val="auto"/>
                <w:sz w:val="21"/>
                <w:szCs w:val="21"/>
              </w:rPr>
              <w:tab/>
            </w:r>
            <w:r>
              <w:rPr>
                <w:color w:val="auto"/>
                <w:sz w:val="21"/>
                <w:szCs w:val="21"/>
              </w:rPr>
              <w:t>址：</w:t>
            </w:r>
            <w:r>
              <w:rPr>
                <w:rFonts w:hint="eastAsia"/>
                <w:color w:val="auto"/>
                <w:sz w:val="21"/>
                <w:szCs w:val="21"/>
                <w:lang w:eastAsia="zh-CN"/>
              </w:rPr>
              <w:t>盐城市大丰区刘庄镇</w:t>
            </w:r>
            <w:r>
              <w:rPr>
                <w:rFonts w:hint="eastAsia"/>
                <w:color w:val="auto"/>
                <w:sz w:val="21"/>
                <w:szCs w:val="21"/>
              </w:rPr>
              <w:t xml:space="preserve">  邮编：224100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29" w:type="dxa"/>
            <w:noWrap w:val="0"/>
            <w:vAlign w:val="top"/>
          </w:tcPr>
          <w:p>
            <w:pPr>
              <w:pStyle w:val="17"/>
              <w:spacing w:before="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2</w:t>
            </w:r>
          </w:p>
        </w:tc>
        <w:tc>
          <w:tcPr>
            <w:tcW w:w="1111" w:type="dxa"/>
            <w:noWrap w:val="0"/>
            <w:vAlign w:val="top"/>
          </w:tcPr>
          <w:p>
            <w:pPr>
              <w:pStyle w:val="17"/>
              <w:spacing w:before="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1.1.2.6</w:t>
            </w:r>
          </w:p>
        </w:tc>
        <w:tc>
          <w:tcPr>
            <w:tcW w:w="7305" w:type="dxa"/>
            <w:noWrap w:val="0"/>
            <w:vAlign w:val="top"/>
          </w:tcPr>
          <w:p>
            <w:pPr>
              <w:pStyle w:val="17"/>
              <w:spacing w:before="92"/>
              <w:ind w:left="347"/>
              <w:rPr>
                <w:color w:val="auto"/>
                <w:sz w:val="21"/>
                <w:szCs w:val="21"/>
              </w:rPr>
            </w:pPr>
            <w:r>
              <w:rPr>
                <w:color w:val="auto"/>
                <w:sz w:val="21"/>
                <w:szCs w:val="21"/>
              </w:rPr>
              <w:t>监 理 人：</w:t>
            </w:r>
          </w:p>
          <w:p>
            <w:pPr>
              <w:pStyle w:val="17"/>
              <w:tabs>
                <w:tab w:val="left" w:pos="979"/>
                <w:tab w:val="left" w:pos="3394"/>
              </w:tabs>
              <w:spacing w:before="91" w:line="250" w:lineRule="exact"/>
              <w:ind w:left="347"/>
              <w:rPr>
                <w:color w:val="auto"/>
                <w:sz w:val="21"/>
                <w:szCs w:val="21"/>
              </w:rPr>
            </w:pPr>
            <w:r>
              <w:rPr>
                <w:color w:val="auto"/>
                <w:sz w:val="21"/>
                <w:szCs w:val="21"/>
              </w:rPr>
              <w:t>地</w:t>
            </w:r>
            <w:r>
              <w:rPr>
                <w:color w:val="auto"/>
                <w:sz w:val="21"/>
                <w:szCs w:val="21"/>
              </w:rPr>
              <w:tab/>
            </w:r>
            <w:r>
              <w:rPr>
                <w:color w:val="auto"/>
                <w:sz w:val="21"/>
                <w:szCs w:val="21"/>
              </w:rPr>
              <w:t>址：</w:t>
            </w:r>
            <w:r>
              <w:rPr>
                <w:color w:val="auto"/>
                <w:sz w:val="21"/>
                <w:szCs w:val="21"/>
              </w:rPr>
              <w:tab/>
            </w:r>
            <w:r>
              <w:rPr>
                <w:color w:val="auto"/>
                <w:sz w:val="21"/>
                <w:szCs w:val="21"/>
              </w:rPr>
              <w:t>邮</w:t>
            </w:r>
            <w:r>
              <w:rPr>
                <w:color w:val="auto"/>
                <w:spacing w:val="-3"/>
                <w:sz w:val="21"/>
                <w:szCs w:val="21"/>
              </w:rPr>
              <w:t>政</w:t>
            </w:r>
            <w:r>
              <w:rPr>
                <w:color w:val="auto"/>
                <w:sz w:val="21"/>
                <w:szCs w:val="21"/>
              </w:rPr>
              <w:t>编</w:t>
            </w:r>
            <w:r>
              <w:rPr>
                <w:color w:val="auto"/>
                <w:spacing w:val="-3"/>
                <w:sz w:val="21"/>
                <w:szCs w:val="21"/>
              </w:rPr>
              <w:t>码</w:t>
            </w:r>
            <w:r>
              <w:rPr>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9"/>
              <w:jc w:val="center"/>
              <w:rPr>
                <w:rFonts w:ascii="Times New Roman"/>
                <w:color w:val="auto"/>
                <w:sz w:val="21"/>
                <w:szCs w:val="21"/>
              </w:rPr>
            </w:pPr>
            <w:r>
              <w:rPr>
                <w:rFonts w:ascii="Times New Roman"/>
                <w:color w:val="auto"/>
                <w:sz w:val="21"/>
                <w:szCs w:val="21"/>
              </w:rPr>
              <w:t>3</w:t>
            </w:r>
          </w:p>
        </w:tc>
        <w:tc>
          <w:tcPr>
            <w:tcW w:w="1111" w:type="dxa"/>
            <w:noWrap w:val="0"/>
            <w:vAlign w:val="top"/>
          </w:tcPr>
          <w:p>
            <w:pPr>
              <w:pStyle w:val="17"/>
              <w:spacing w:before="113" w:line="226" w:lineRule="exact"/>
              <w:ind w:left="89" w:right="78"/>
              <w:jc w:val="center"/>
              <w:rPr>
                <w:rFonts w:ascii="Times New Roman"/>
                <w:color w:val="auto"/>
                <w:sz w:val="21"/>
                <w:szCs w:val="21"/>
              </w:rPr>
            </w:pPr>
            <w:r>
              <w:rPr>
                <w:rFonts w:ascii="Times New Roman"/>
                <w:color w:val="auto"/>
                <w:sz w:val="21"/>
                <w:szCs w:val="21"/>
              </w:rPr>
              <w:t>1.1.4.5</w:t>
            </w:r>
          </w:p>
        </w:tc>
        <w:tc>
          <w:tcPr>
            <w:tcW w:w="7305" w:type="dxa"/>
            <w:noWrap w:val="0"/>
            <w:vAlign w:val="top"/>
          </w:tcPr>
          <w:p>
            <w:pPr>
              <w:pStyle w:val="17"/>
              <w:tabs>
                <w:tab w:val="left" w:pos="4025"/>
              </w:tabs>
              <w:spacing w:before="89" w:line="250" w:lineRule="exact"/>
              <w:ind w:left="347"/>
              <w:rPr>
                <w:rFonts w:hint="eastAsia"/>
                <w:color w:val="auto"/>
                <w:sz w:val="21"/>
                <w:szCs w:val="21"/>
              </w:rPr>
            </w:pPr>
            <w:r>
              <w:rPr>
                <w:color w:val="auto"/>
                <w:sz w:val="21"/>
                <w:szCs w:val="21"/>
              </w:rPr>
              <w:t>缺陷</w:t>
            </w:r>
            <w:r>
              <w:rPr>
                <w:color w:val="auto"/>
                <w:spacing w:val="-3"/>
                <w:sz w:val="21"/>
                <w:szCs w:val="21"/>
              </w:rPr>
              <w:t>责</w:t>
            </w:r>
            <w:r>
              <w:rPr>
                <w:color w:val="auto"/>
                <w:sz w:val="21"/>
                <w:szCs w:val="21"/>
              </w:rPr>
              <w:t>任</w:t>
            </w:r>
            <w:r>
              <w:rPr>
                <w:color w:val="auto"/>
                <w:spacing w:val="-3"/>
                <w:sz w:val="21"/>
                <w:szCs w:val="21"/>
              </w:rPr>
              <w:t>期</w:t>
            </w:r>
            <w:r>
              <w:rPr>
                <w:color w:val="auto"/>
                <w:sz w:val="21"/>
                <w:szCs w:val="21"/>
              </w:rPr>
              <w:t>：</w:t>
            </w:r>
            <w:r>
              <w:rPr>
                <w:color w:val="auto"/>
                <w:spacing w:val="-3"/>
                <w:sz w:val="21"/>
                <w:szCs w:val="21"/>
              </w:rPr>
              <w:t>自</w:t>
            </w:r>
            <w:r>
              <w:rPr>
                <w:color w:val="auto"/>
                <w:sz w:val="21"/>
                <w:szCs w:val="21"/>
              </w:rPr>
              <w:t>实</w:t>
            </w:r>
            <w:r>
              <w:rPr>
                <w:color w:val="auto"/>
                <w:spacing w:val="-3"/>
                <w:sz w:val="21"/>
                <w:szCs w:val="21"/>
              </w:rPr>
              <w:t>际</w:t>
            </w:r>
            <w:r>
              <w:rPr>
                <w:color w:val="auto"/>
                <w:sz w:val="21"/>
                <w:szCs w:val="21"/>
              </w:rPr>
              <w:t>交</w:t>
            </w:r>
            <w:r>
              <w:rPr>
                <w:color w:val="auto"/>
                <w:spacing w:val="-3"/>
                <w:sz w:val="21"/>
                <w:szCs w:val="21"/>
              </w:rPr>
              <w:t>工</w:t>
            </w:r>
            <w:r>
              <w:rPr>
                <w:color w:val="auto"/>
                <w:sz w:val="21"/>
                <w:szCs w:val="21"/>
              </w:rPr>
              <w:t>日期</w:t>
            </w:r>
            <w:r>
              <w:rPr>
                <w:color w:val="auto"/>
                <w:spacing w:val="-3"/>
                <w:sz w:val="21"/>
                <w:szCs w:val="21"/>
              </w:rPr>
              <w:t>起</w:t>
            </w:r>
            <w:r>
              <w:rPr>
                <w:color w:val="auto"/>
                <w:sz w:val="21"/>
                <w:szCs w:val="21"/>
              </w:rPr>
              <w:t>计</w:t>
            </w:r>
            <w:r>
              <w:rPr>
                <w:color w:val="auto"/>
                <w:spacing w:val="-3"/>
                <w:sz w:val="21"/>
                <w:szCs w:val="21"/>
              </w:rPr>
              <w:t>算</w:t>
            </w:r>
            <w:r>
              <w:rPr>
                <w:color w:val="auto"/>
                <w:spacing w:val="-3"/>
                <w:sz w:val="21"/>
                <w:szCs w:val="21"/>
                <w:u w:val="single"/>
              </w:rPr>
              <w:t xml:space="preserve"> </w:t>
            </w:r>
            <w:r>
              <w:rPr>
                <w:rFonts w:hint="eastAsia"/>
                <w:color w:val="auto"/>
                <w:spacing w:val="-3"/>
                <w:sz w:val="21"/>
                <w:szCs w:val="21"/>
                <w:u w:val="single"/>
              </w:rPr>
              <w:t>2</w:t>
            </w:r>
            <w:r>
              <w:rPr>
                <w:color w:val="auto"/>
                <w:spacing w:val="-3"/>
                <w:sz w:val="21"/>
                <w:szCs w:val="21"/>
                <w:u w:val="single"/>
              </w:rPr>
              <w:tab/>
            </w:r>
            <w:r>
              <w:rPr>
                <w:color w:val="auto"/>
                <w:spacing w:val="-3"/>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4</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1.6.3</w:t>
            </w:r>
          </w:p>
        </w:tc>
        <w:tc>
          <w:tcPr>
            <w:tcW w:w="7305" w:type="dxa"/>
            <w:noWrap w:val="0"/>
            <w:vAlign w:val="top"/>
          </w:tcPr>
          <w:p>
            <w:pPr>
              <w:pStyle w:val="17"/>
              <w:tabs>
                <w:tab w:val="left" w:pos="1893"/>
              </w:tabs>
              <w:spacing w:before="12" w:line="360" w:lineRule="exact"/>
              <w:ind w:left="107" w:right="91" w:firstLine="240"/>
              <w:rPr>
                <w:color w:val="auto"/>
                <w:sz w:val="21"/>
                <w:szCs w:val="21"/>
              </w:rPr>
            </w:pPr>
            <w:r>
              <w:rPr>
                <w:color w:val="auto"/>
                <w:sz w:val="21"/>
                <w:szCs w:val="21"/>
              </w:rPr>
              <w:t>图纸</w:t>
            </w:r>
            <w:r>
              <w:rPr>
                <w:color w:val="auto"/>
                <w:spacing w:val="-3"/>
                <w:sz w:val="21"/>
                <w:szCs w:val="21"/>
              </w:rPr>
              <w:t>需</w:t>
            </w:r>
            <w:r>
              <w:rPr>
                <w:color w:val="auto"/>
                <w:sz w:val="21"/>
                <w:szCs w:val="21"/>
              </w:rPr>
              <w:t>要</w:t>
            </w:r>
            <w:r>
              <w:rPr>
                <w:color w:val="auto"/>
                <w:spacing w:val="-3"/>
                <w:sz w:val="21"/>
                <w:szCs w:val="21"/>
              </w:rPr>
              <w:t>修</w:t>
            </w:r>
            <w:r>
              <w:rPr>
                <w:color w:val="auto"/>
                <w:sz w:val="21"/>
                <w:szCs w:val="21"/>
              </w:rPr>
              <w:t>改</w:t>
            </w:r>
            <w:r>
              <w:rPr>
                <w:color w:val="auto"/>
                <w:spacing w:val="-3"/>
                <w:sz w:val="21"/>
                <w:szCs w:val="21"/>
              </w:rPr>
              <w:t>和</w:t>
            </w:r>
            <w:r>
              <w:rPr>
                <w:color w:val="auto"/>
                <w:sz w:val="21"/>
                <w:szCs w:val="21"/>
              </w:rPr>
              <w:t>补</w:t>
            </w:r>
            <w:r>
              <w:rPr>
                <w:color w:val="auto"/>
                <w:spacing w:val="-3"/>
                <w:sz w:val="21"/>
                <w:szCs w:val="21"/>
              </w:rPr>
              <w:t>充</w:t>
            </w:r>
            <w:r>
              <w:rPr>
                <w:color w:val="auto"/>
                <w:sz w:val="21"/>
                <w:szCs w:val="21"/>
              </w:rPr>
              <w:t>的</w:t>
            </w:r>
            <w:r>
              <w:rPr>
                <w:color w:val="auto"/>
                <w:spacing w:val="-44"/>
                <w:sz w:val="21"/>
                <w:szCs w:val="21"/>
              </w:rPr>
              <w:t>，</w:t>
            </w:r>
            <w:r>
              <w:rPr>
                <w:color w:val="auto"/>
                <w:sz w:val="21"/>
                <w:szCs w:val="21"/>
              </w:rPr>
              <w:t>应由</w:t>
            </w:r>
            <w:r>
              <w:rPr>
                <w:color w:val="auto"/>
                <w:spacing w:val="-3"/>
                <w:sz w:val="21"/>
                <w:szCs w:val="21"/>
              </w:rPr>
              <w:t>监</w:t>
            </w:r>
            <w:r>
              <w:rPr>
                <w:color w:val="auto"/>
                <w:sz w:val="21"/>
                <w:szCs w:val="21"/>
              </w:rPr>
              <w:t>理</w:t>
            </w:r>
            <w:r>
              <w:rPr>
                <w:color w:val="auto"/>
                <w:spacing w:val="-3"/>
                <w:sz w:val="21"/>
                <w:szCs w:val="21"/>
              </w:rPr>
              <w:t>人</w:t>
            </w:r>
            <w:r>
              <w:rPr>
                <w:color w:val="auto"/>
                <w:sz w:val="21"/>
                <w:szCs w:val="21"/>
              </w:rPr>
              <w:t>取</w:t>
            </w:r>
            <w:r>
              <w:rPr>
                <w:color w:val="auto"/>
                <w:spacing w:val="-3"/>
                <w:sz w:val="21"/>
                <w:szCs w:val="21"/>
              </w:rPr>
              <w:t>得</w:t>
            </w:r>
            <w:r>
              <w:rPr>
                <w:color w:val="auto"/>
                <w:sz w:val="21"/>
                <w:szCs w:val="21"/>
              </w:rPr>
              <w:t>发</w:t>
            </w:r>
            <w:r>
              <w:rPr>
                <w:color w:val="auto"/>
                <w:spacing w:val="-3"/>
                <w:sz w:val="21"/>
                <w:szCs w:val="21"/>
              </w:rPr>
              <w:t>包</w:t>
            </w:r>
            <w:r>
              <w:rPr>
                <w:color w:val="auto"/>
                <w:sz w:val="21"/>
                <w:szCs w:val="21"/>
              </w:rPr>
              <w:t>人</w:t>
            </w:r>
            <w:r>
              <w:rPr>
                <w:color w:val="auto"/>
                <w:spacing w:val="-3"/>
                <w:sz w:val="21"/>
                <w:szCs w:val="21"/>
              </w:rPr>
              <w:t>同</w:t>
            </w:r>
            <w:r>
              <w:rPr>
                <w:color w:val="auto"/>
                <w:sz w:val="21"/>
                <w:szCs w:val="21"/>
              </w:rPr>
              <w:t>意后</w:t>
            </w:r>
            <w:r>
              <w:rPr>
                <w:color w:val="auto"/>
                <w:spacing w:val="-44"/>
                <w:sz w:val="21"/>
                <w:szCs w:val="21"/>
              </w:rPr>
              <w:t>，</w:t>
            </w:r>
            <w:r>
              <w:rPr>
                <w:color w:val="auto"/>
                <w:sz w:val="21"/>
                <w:szCs w:val="21"/>
              </w:rPr>
              <w:t>在</w:t>
            </w:r>
            <w:r>
              <w:rPr>
                <w:color w:val="auto"/>
                <w:spacing w:val="-3"/>
                <w:sz w:val="21"/>
                <w:szCs w:val="21"/>
              </w:rPr>
              <w:t>该</w:t>
            </w:r>
            <w:r>
              <w:rPr>
                <w:color w:val="auto"/>
                <w:sz w:val="21"/>
                <w:szCs w:val="21"/>
              </w:rPr>
              <w:t>工</w:t>
            </w:r>
            <w:r>
              <w:rPr>
                <w:color w:val="auto"/>
                <w:spacing w:val="-3"/>
                <w:sz w:val="21"/>
                <w:szCs w:val="21"/>
              </w:rPr>
              <w:t>程</w:t>
            </w:r>
            <w:r>
              <w:rPr>
                <w:color w:val="auto"/>
                <w:sz w:val="21"/>
                <w:szCs w:val="21"/>
              </w:rPr>
              <w:t>或</w:t>
            </w:r>
            <w:r>
              <w:rPr>
                <w:color w:val="auto"/>
                <w:spacing w:val="-3"/>
                <w:sz w:val="21"/>
                <w:szCs w:val="21"/>
              </w:rPr>
              <w:t>工程</w:t>
            </w:r>
            <w:r>
              <w:rPr>
                <w:color w:val="auto"/>
                <w:sz w:val="21"/>
                <w:szCs w:val="21"/>
              </w:rPr>
              <w:t>相应部</w:t>
            </w:r>
            <w:r>
              <w:rPr>
                <w:color w:val="auto"/>
                <w:spacing w:val="-3"/>
                <w:sz w:val="21"/>
                <w:szCs w:val="21"/>
              </w:rPr>
              <w:t>位</w:t>
            </w:r>
            <w:r>
              <w:rPr>
                <w:color w:val="auto"/>
                <w:sz w:val="21"/>
                <w:szCs w:val="21"/>
              </w:rPr>
              <w:t>施</w:t>
            </w:r>
            <w:r>
              <w:rPr>
                <w:color w:val="auto"/>
                <w:spacing w:val="-3"/>
                <w:sz w:val="21"/>
                <w:szCs w:val="21"/>
              </w:rPr>
              <w:t>工</w:t>
            </w:r>
            <w:r>
              <w:rPr>
                <w:color w:val="auto"/>
                <w:sz w:val="21"/>
                <w:szCs w:val="21"/>
              </w:rPr>
              <w:t>前</w:t>
            </w:r>
            <w:r>
              <w:rPr>
                <w:rFonts w:hint="eastAsia"/>
                <w:color w:val="auto"/>
                <w:sz w:val="21"/>
                <w:szCs w:val="21"/>
              </w:rPr>
              <w:t>7</w:t>
            </w:r>
            <w:r>
              <w:rPr>
                <w:color w:val="auto"/>
                <w:sz w:val="21"/>
                <w:szCs w:val="21"/>
              </w:rPr>
              <w:t>天</w:t>
            </w:r>
            <w:r>
              <w:rPr>
                <w:color w:val="auto"/>
                <w:spacing w:val="-3"/>
                <w:sz w:val="21"/>
                <w:szCs w:val="21"/>
              </w:rPr>
              <w:t>签发</w:t>
            </w:r>
            <w:r>
              <w:rPr>
                <w:color w:val="auto"/>
                <w:sz w:val="21"/>
                <w:szCs w:val="21"/>
              </w:rPr>
              <w:t>图纸</w:t>
            </w:r>
            <w:r>
              <w:rPr>
                <w:color w:val="auto"/>
                <w:spacing w:val="-3"/>
                <w:sz w:val="21"/>
                <w:szCs w:val="21"/>
              </w:rPr>
              <w:t>修</w:t>
            </w:r>
            <w:r>
              <w:rPr>
                <w:color w:val="auto"/>
                <w:sz w:val="21"/>
                <w:szCs w:val="21"/>
              </w:rPr>
              <w:t>改</w:t>
            </w:r>
            <w:r>
              <w:rPr>
                <w:color w:val="auto"/>
                <w:spacing w:val="-3"/>
                <w:sz w:val="21"/>
                <w:szCs w:val="21"/>
              </w:rPr>
              <w:t>图</w:t>
            </w:r>
            <w:r>
              <w:rPr>
                <w:color w:val="auto"/>
                <w:sz w:val="21"/>
                <w:szCs w:val="21"/>
              </w:rPr>
              <w:t>给</w:t>
            </w:r>
            <w:r>
              <w:rPr>
                <w:color w:val="auto"/>
                <w:spacing w:val="-3"/>
                <w:sz w:val="21"/>
                <w:szCs w:val="21"/>
              </w:rPr>
              <w:t>承</w:t>
            </w:r>
            <w:r>
              <w:rPr>
                <w:color w:val="auto"/>
                <w:sz w:val="21"/>
                <w:szCs w:val="21"/>
              </w:rPr>
              <w:t>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629" w:type="dxa"/>
            <w:noWrap w:val="0"/>
            <w:vAlign w:val="top"/>
          </w:tcPr>
          <w:p>
            <w:pPr>
              <w:pStyle w:val="17"/>
              <w:rPr>
                <w:color w:val="auto"/>
                <w:sz w:val="21"/>
                <w:szCs w:val="21"/>
              </w:rPr>
            </w:pPr>
          </w:p>
          <w:p>
            <w:pPr>
              <w:pStyle w:val="17"/>
              <w:spacing w:before="179"/>
              <w:ind w:left="9"/>
              <w:jc w:val="center"/>
              <w:rPr>
                <w:rFonts w:ascii="Times New Roman"/>
                <w:color w:val="auto"/>
                <w:sz w:val="21"/>
                <w:szCs w:val="21"/>
              </w:rPr>
            </w:pPr>
            <w:r>
              <w:rPr>
                <w:rFonts w:ascii="Times New Roman"/>
                <w:color w:val="auto"/>
                <w:sz w:val="21"/>
                <w:szCs w:val="21"/>
              </w:rPr>
              <w:t>5</w:t>
            </w:r>
          </w:p>
        </w:tc>
        <w:tc>
          <w:tcPr>
            <w:tcW w:w="1111" w:type="dxa"/>
            <w:noWrap w:val="0"/>
            <w:vAlign w:val="top"/>
          </w:tcPr>
          <w:p>
            <w:pPr>
              <w:pStyle w:val="17"/>
              <w:rPr>
                <w:color w:val="auto"/>
                <w:sz w:val="21"/>
                <w:szCs w:val="21"/>
              </w:rPr>
            </w:pPr>
          </w:p>
          <w:p>
            <w:pPr>
              <w:pStyle w:val="17"/>
              <w:spacing w:before="179"/>
              <w:ind w:left="89" w:right="78"/>
              <w:jc w:val="center"/>
              <w:rPr>
                <w:rFonts w:ascii="Times New Roman"/>
                <w:color w:val="auto"/>
                <w:sz w:val="21"/>
                <w:szCs w:val="21"/>
              </w:rPr>
            </w:pPr>
            <w:r>
              <w:rPr>
                <w:rFonts w:ascii="Times New Roman"/>
                <w:color w:val="auto"/>
                <w:sz w:val="21"/>
                <w:szCs w:val="21"/>
              </w:rPr>
              <w:t>3.1.1</w:t>
            </w:r>
          </w:p>
        </w:tc>
        <w:tc>
          <w:tcPr>
            <w:tcW w:w="7305" w:type="dxa"/>
            <w:noWrap w:val="0"/>
            <w:vAlign w:val="top"/>
          </w:tcPr>
          <w:p>
            <w:pPr>
              <w:pStyle w:val="17"/>
              <w:spacing w:before="1" w:line="360" w:lineRule="atLeast"/>
              <w:ind w:left="107" w:right="83" w:firstLine="225"/>
              <w:rPr>
                <w:rFonts w:hint="eastAsia"/>
                <w:color w:val="auto"/>
                <w:sz w:val="21"/>
                <w:szCs w:val="21"/>
              </w:rPr>
            </w:pPr>
            <w:r>
              <w:rPr>
                <w:rFonts w:hint="eastAsia"/>
                <w:color w:val="auto"/>
                <w:sz w:val="21"/>
                <w:szCs w:val="21"/>
              </w:rPr>
              <w:t>监理人在行使下列权力前需要经发包人事先批准：</w:t>
            </w:r>
          </w:p>
          <w:p>
            <w:pPr>
              <w:pStyle w:val="17"/>
              <w:spacing w:before="1" w:line="360" w:lineRule="atLeast"/>
              <w:ind w:left="107" w:right="83" w:firstLine="225"/>
              <w:rPr>
                <w:rFonts w:ascii="Times New Roman" w:eastAsia="Times New Roman"/>
                <w:color w:val="auto"/>
                <w:sz w:val="21"/>
                <w:szCs w:val="21"/>
              </w:rPr>
            </w:pPr>
            <w:r>
              <w:rPr>
                <w:rFonts w:hint="eastAsia"/>
                <w:color w:val="auto"/>
                <w:sz w:val="21"/>
                <w:szCs w:val="21"/>
              </w:rPr>
              <w:t xml:space="preserve">（6）根据第15.3款发出的变更指示，其单项工程变更涉及的金额超过了该单项工程签约时合同价的 </w:t>
            </w:r>
            <w:r>
              <w:rPr>
                <w:rFonts w:hint="eastAsia"/>
                <w:color w:val="auto"/>
                <w:sz w:val="21"/>
                <w:szCs w:val="21"/>
                <w:u w:val="single"/>
              </w:rPr>
              <w:t>5</w:t>
            </w:r>
            <w:r>
              <w:rPr>
                <w:rFonts w:hint="eastAsia"/>
                <w:color w:val="auto"/>
                <w:sz w:val="21"/>
                <w:szCs w:val="21"/>
              </w:rPr>
              <w:t>%或累计变更超过了签约合同价的</w:t>
            </w:r>
            <w:r>
              <w:rPr>
                <w:rFonts w:hint="eastAsia"/>
                <w:color w:val="auto"/>
                <w:sz w:val="21"/>
                <w:szCs w:val="21"/>
                <w:u w:val="single"/>
              </w:rPr>
              <w:t>1</w:t>
            </w:r>
            <w:r>
              <w:rPr>
                <w:rFonts w:hint="eastAsia"/>
                <w:color w:val="auto"/>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6</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5.2.1</w:t>
            </w:r>
          </w:p>
        </w:tc>
        <w:tc>
          <w:tcPr>
            <w:tcW w:w="7305" w:type="dxa"/>
            <w:noWrap w:val="0"/>
            <w:vAlign w:val="center"/>
          </w:tcPr>
          <w:p>
            <w:pPr>
              <w:pStyle w:val="17"/>
              <w:tabs>
                <w:tab w:val="left" w:pos="4445"/>
              </w:tabs>
              <w:spacing w:before="89"/>
              <w:ind w:left="347"/>
              <w:jc w:val="both"/>
              <w:rPr>
                <w:rFonts w:hint="eastAsia"/>
                <w:color w:val="auto"/>
                <w:sz w:val="21"/>
                <w:szCs w:val="21"/>
              </w:rPr>
            </w:pPr>
            <w:r>
              <w:rPr>
                <w:color w:val="auto"/>
                <w:sz w:val="21"/>
                <w:szCs w:val="21"/>
              </w:rPr>
              <w:t>发包</w:t>
            </w:r>
            <w:r>
              <w:rPr>
                <w:color w:val="auto"/>
                <w:spacing w:val="-3"/>
                <w:sz w:val="21"/>
                <w:szCs w:val="21"/>
              </w:rPr>
              <w:t>人</w:t>
            </w:r>
            <w:r>
              <w:rPr>
                <w:color w:val="auto"/>
                <w:sz w:val="21"/>
                <w:szCs w:val="21"/>
              </w:rPr>
              <w:t>是</w:t>
            </w:r>
            <w:r>
              <w:rPr>
                <w:color w:val="auto"/>
                <w:spacing w:val="-3"/>
                <w:sz w:val="21"/>
                <w:szCs w:val="21"/>
              </w:rPr>
              <w:t>否</w:t>
            </w:r>
            <w:r>
              <w:rPr>
                <w:color w:val="auto"/>
                <w:sz w:val="21"/>
                <w:szCs w:val="21"/>
              </w:rPr>
              <w:t>提</w:t>
            </w:r>
            <w:r>
              <w:rPr>
                <w:color w:val="auto"/>
                <w:spacing w:val="-3"/>
                <w:sz w:val="21"/>
                <w:szCs w:val="21"/>
              </w:rPr>
              <w:t>供</w:t>
            </w:r>
            <w:r>
              <w:rPr>
                <w:color w:val="auto"/>
                <w:sz w:val="21"/>
                <w:szCs w:val="21"/>
              </w:rPr>
              <w:t>材</w:t>
            </w:r>
            <w:r>
              <w:rPr>
                <w:color w:val="auto"/>
                <w:spacing w:val="-3"/>
                <w:sz w:val="21"/>
                <w:szCs w:val="21"/>
              </w:rPr>
              <w:t>料</w:t>
            </w:r>
            <w:r>
              <w:rPr>
                <w:color w:val="auto"/>
                <w:sz w:val="21"/>
                <w:szCs w:val="21"/>
              </w:rPr>
              <w:t>或</w:t>
            </w:r>
            <w:r>
              <w:rPr>
                <w:color w:val="auto"/>
                <w:spacing w:val="-3"/>
                <w:sz w:val="21"/>
                <w:szCs w:val="21"/>
              </w:rPr>
              <w:t>工</w:t>
            </w:r>
            <w:r>
              <w:rPr>
                <w:color w:val="auto"/>
                <w:sz w:val="21"/>
                <w:szCs w:val="21"/>
              </w:rPr>
              <w:t>程设</w:t>
            </w:r>
            <w:r>
              <w:rPr>
                <w:color w:val="auto"/>
                <w:spacing w:val="-3"/>
                <w:sz w:val="21"/>
                <w:szCs w:val="21"/>
              </w:rPr>
              <w:t>备</w:t>
            </w:r>
            <w:r>
              <w:rPr>
                <w:color w:val="auto"/>
                <w:sz w:val="21"/>
                <w:szCs w:val="21"/>
              </w:rPr>
              <w:t>：</w:t>
            </w:r>
            <w:r>
              <w:rPr>
                <w:color w:val="auto"/>
                <w:sz w:val="21"/>
                <w:szCs w:val="21"/>
                <w:u w:val="singl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7</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6.2</w:t>
            </w:r>
          </w:p>
        </w:tc>
        <w:tc>
          <w:tcPr>
            <w:tcW w:w="7305" w:type="dxa"/>
            <w:noWrap w:val="0"/>
            <w:vAlign w:val="center"/>
          </w:tcPr>
          <w:p>
            <w:pPr>
              <w:pStyle w:val="17"/>
              <w:tabs>
                <w:tab w:val="left" w:pos="4865"/>
              </w:tabs>
              <w:spacing w:before="89"/>
              <w:ind w:left="347"/>
              <w:jc w:val="both"/>
              <w:rPr>
                <w:rFonts w:hint="eastAsia"/>
                <w:color w:val="auto"/>
                <w:sz w:val="21"/>
                <w:szCs w:val="21"/>
              </w:rPr>
            </w:pPr>
            <w:r>
              <w:rPr>
                <w:color w:val="auto"/>
                <w:sz w:val="21"/>
                <w:szCs w:val="21"/>
              </w:rPr>
              <w:t>发包</w:t>
            </w:r>
            <w:r>
              <w:rPr>
                <w:color w:val="auto"/>
                <w:spacing w:val="-3"/>
                <w:sz w:val="21"/>
                <w:szCs w:val="21"/>
              </w:rPr>
              <w:t>人</w:t>
            </w:r>
            <w:r>
              <w:rPr>
                <w:color w:val="auto"/>
                <w:sz w:val="21"/>
                <w:szCs w:val="21"/>
              </w:rPr>
              <w:t>是</w:t>
            </w:r>
            <w:r>
              <w:rPr>
                <w:color w:val="auto"/>
                <w:spacing w:val="-3"/>
                <w:sz w:val="21"/>
                <w:szCs w:val="21"/>
              </w:rPr>
              <w:t>否</w:t>
            </w:r>
            <w:r>
              <w:rPr>
                <w:color w:val="auto"/>
                <w:sz w:val="21"/>
                <w:szCs w:val="21"/>
              </w:rPr>
              <w:t>提</w:t>
            </w:r>
            <w:r>
              <w:rPr>
                <w:color w:val="auto"/>
                <w:spacing w:val="-3"/>
                <w:sz w:val="21"/>
                <w:szCs w:val="21"/>
              </w:rPr>
              <w:t>供</w:t>
            </w:r>
            <w:r>
              <w:rPr>
                <w:color w:val="auto"/>
                <w:sz w:val="21"/>
                <w:szCs w:val="21"/>
              </w:rPr>
              <w:t>施</w:t>
            </w:r>
            <w:r>
              <w:rPr>
                <w:color w:val="auto"/>
                <w:spacing w:val="-3"/>
                <w:sz w:val="21"/>
                <w:szCs w:val="21"/>
              </w:rPr>
              <w:t>工</w:t>
            </w:r>
            <w:r>
              <w:rPr>
                <w:color w:val="auto"/>
                <w:sz w:val="21"/>
                <w:szCs w:val="21"/>
              </w:rPr>
              <w:t>设</w:t>
            </w:r>
            <w:r>
              <w:rPr>
                <w:color w:val="auto"/>
                <w:spacing w:val="-3"/>
                <w:sz w:val="21"/>
                <w:szCs w:val="21"/>
              </w:rPr>
              <w:t>备</w:t>
            </w:r>
            <w:r>
              <w:rPr>
                <w:color w:val="auto"/>
                <w:sz w:val="21"/>
                <w:szCs w:val="21"/>
              </w:rPr>
              <w:t>和临</w:t>
            </w:r>
            <w:r>
              <w:rPr>
                <w:color w:val="auto"/>
                <w:spacing w:val="-3"/>
                <w:sz w:val="21"/>
                <w:szCs w:val="21"/>
              </w:rPr>
              <w:t>时</w:t>
            </w:r>
            <w:r>
              <w:rPr>
                <w:color w:val="auto"/>
                <w:sz w:val="21"/>
                <w:szCs w:val="21"/>
              </w:rPr>
              <w:t>设</w:t>
            </w:r>
            <w:r>
              <w:rPr>
                <w:color w:val="auto"/>
                <w:spacing w:val="-3"/>
                <w:sz w:val="21"/>
                <w:szCs w:val="21"/>
              </w:rPr>
              <w:t>施</w:t>
            </w:r>
            <w:r>
              <w:rPr>
                <w:color w:val="auto"/>
                <w:sz w:val="21"/>
                <w:szCs w:val="21"/>
              </w:rPr>
              <w:t>：</w:t>
            </w:r>
            <w:r>
              <w:rPr>
                <w:color w:val="auto"/>
                <w:sz w:val="21"/>
                <w:szCs w:val="21"/>
                <w:u w:val="singl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29" w:type="dxa"/>
            <w:noWrap w:val="0"/>
            <w:vAlign w:val="top"/>
          </w:tcPr>
          <w:p>
            <w:pPr>
              <w:pStyle w:val="17"/>
              <w:spacing w:before="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8</w:t>
            </w:r>
          </w:p>
        </w:tc>
        <w:tc>
          <w:tcPr>
            <w:tcW w:w="1111" w:type="dxa"/>
            <w:noWrap w:val="0"/>
            <w:vAlign w:val="top"/>
          </w:tcPr>
          <w:p>
            <w:pPr>
              <w:pStyle w:val="17"/>
              <w:spacing w:before="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8.1.1</w:t>
            </w:r>
          </w:p>
        </w:tc>
        <w:tc>
          <w:tcPr>
            <w:tcW w:w="7305" w:type="dxa"/>
            <w:noWrap w:val="0"/>
            <w:vAlign w:val="center"/>
          </w:tcPr>
          <w:p>
            <w:pPr>
              <w:spacing w:line="360" w:lineRule="auto"/>
              <w:jc w:val="both"/>
              <w:rPr>
                <w:color w:val="auto"/>
                <w:sz w:val="21"/>
                <w:szCs w:val="21"/>
                <w:u w:val="single"/>
              </w:rPr>
            </w:pPr>
            <w:r>
              <w:rPr>
                <w:rFonts w:hint="eastAsia"/>
                <w:color w:val="auto"/>
                <w:sz w:val="21"/>
                <w:szCs w:val="21"/>
              </w:rPr>
              <w:t>发包人提供测量基准点、基准线和水准点及基书面资料的期限：</w:t>
            </w:r>
            <w:r>
              <w:rPr>
                <w:rFonts w:hint="eastAsia"/>
                <w:color w:val="auto"/>
                <w:sz w:val="21"/>
                <w:szCs w:val="21"/>
                <w:u w:val="single"/>
              </w:rPr>
              <w:t>开工前7天</w:t>
            </w:r>
            <w:r>
              <w:rPr>
                <w:rFonts w:hint="eastAsia"/>
                <w:color w:val="auto"/>
                <w:sz w:val="21"/>
                <w:szCs w:val="21"/>
              </w:rPr>
              <w:t>承包人将施工控制网资料报送监理人审批的期限：</w:t>
            </w:r>
            <w:r>
              <w:rPr>
                <w:rFonts w:hint="eastAsia"/>
                <w:color w:val="auto"/>
                <w:sz w:val="21"/>
                <w:szCs w:val="21"/>
                <w:u w:val="single"/>
              </w:rPr>
              <w:t>开工前3天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29" w:type="dxa"/>
            <w:noWrap w:val="0"/>
            <w:vAlign w:val="top"/>
          </w:tcPr>
          <w:p>
            <w:pPr>
              <w:pStyle w:val="17"/>
              <w:spacing w:before="114" w:line="226" w:lineRule="exact"/>
              <w:ind w:left="9"/>
              <w:jc w:val="center"/>
              <w:rPr>
                <w:rFonts w:ascii="Times New Roman"/>
                <w:color w:val="auto"/>
                <w:sz w:val="21"/>
                <w:szCs w:val="21"/>
              </w:rPr>
            </w:pPr>
            <w:r>
              <w:rPr>
                <w:rFonts w:ascii="Times New Roman"/>
                <w:color w:val="auto"/>
                <w:sz w:val="21"/>
                <w:szCs w:val="21"/>
              </w:rPr>
              <w:t>9</w:t>
            </w:r>
          </w:p>
        </w:tc>
        <w:tc>
          <w:tcPr>
            <w:tcW w:w="1111" w:type="dxa"/>
            <w:noWrap w:val="0"/>
            <w:vAlign w:val="top"/>
          </w:tcPr>
          <w:p>
            <w:pPr>
              <w:pStyle w:val="17"/>
              <w:spacing w:before="90" w:line="250" w:lineRule="exact"/>
              <w:ind w:left="89" w:right="78"/>
              <w:jc w:val="center"/>
              <w:rPr>
                <w:color w:val="auto"/>
                <w:sz w:val="21"/>
                <w:szCs w:val="21"/>
              </w:rPr>
            </w:pPr>
            <w:r>
              <w:rPr>
                <w:rFonts w:ascii="Times New Roman" w:eastAsia="Times New Roman"/>
                <w:color w:val="auto"/>
                <w:sz w:val="21"/>
                <w:szCs w:val="21"/>
              </w:rPr>
              <w:t>11.5</w:t>
            </w:r>
            <w:r>
              <w:rPr>
                <w:color w:val="auto"/>
                <w:sz w:val="21"/>
                <w:szCs w:val="21"/>
              </w:rPr>
              <w:t>（</w:t>
            </w:r>
            <w:r>
              <w:rPr>
                <w:rFonts w:ascii="Times New Roman" w:eastAsia="Times New Roman"/>
                <w:color w:val="auto"/>
                <w:sz w:val="21"/>
                <w:szCs w:val="21"/>
              </w:rPr>
              <w:t>3</w:t>
            </w:r>
            <w:r>
              <w:rPr>
                <w:color w:val="auto"/>
                <w:sz w:val="21"/>
                <w:szCs w:val="21"/>
              </w:rPr>
              <w:t>）</w:t>
            </w:r>
          </w:p>
        </w:tc>
        <w:tc>
          <w:tcPr>
            <w:tcW w:w="7305" w:type="dxa"/>
            <w:noWrap w:val="0"/>
            <w:vAlign w:val="top"/>
          </w:tcPr>
          <w:p>
            <w:pPr>
              <w:pStyle w:val="17"/>
              <w:tabs>
                <w:tab w:val="left" w:pos="2450"/>
              </w:tabs>
              <w:spacing w:before="90" w:line="250" w:lineRule="exact"/>
              <w:ind w:left="347"/>
              <w:rPr>
                <w:color w:val="auto"/>
                <w:sz w:val="21"/>
                <w:szCs w:val="21"/>
              </w:rPr>
            </w:pPr>
            <w:r>
              <w:rPr>
                <w:color w:val="auto"/>
                <w:sz w:val="21"/>
                <w:szCs w:val="21"/>
              </w:rPr>
              <w:t>逾期</w:t>
            </w:r>
            <w:r>
              <w:rPr>
                <w:color w:val="auto"/>
                <w:spacing w:val="-3"/>
                <w:sz w:val="21"/>
                <w:szCs w:val="21"/>
              </w:rPr>
              <w:t>交</w:t>
            </w:r>
            <w:r>
              <w:rPr>
                <w:color w:val="auto"/>
                <w:sz w:val="21"/>
                <w:szCs w:val="21"/>
              </w:rPr>
              <w:t>工</w:t>
            </w:r>
            <w:r>
              <w:rPr>
                <w:color w:val="auto"/>
                <w:spacing w:val="-3"/>
                <w:sz w:val="21"/>
                <w:szCs w:val="21"/>
              </w:rPr>
              <w:t>违</w:t>
            </w:r>
            <w:r>
              <w:rPr>
                <w:color w:val="auto"/>
                <w:sz w:val="21"/>
                <w:szCs w:val="21"/>
              </w:rPr>
              <w:t>约</w:t>
            </w:r>
            <w:r>
              <w:rPr>
                <w:color w:val="auto"/>
                <w:spacing w:val="-3"/>
                <w:sz w:val="21"/>
                <w:szCs w:val="21"/>
              </w:rPr>
              <w:t>金</w:t>
            </w:r>
            <w:r>
              <w:rPr>
                <w:color w:val="auto"/>
                <w:sz w:val="21"/>
                <w:szCs w:val="21"/>
              </w:rPr>
              <w:t>：</w:t>
            </w:r>
            <w:r>
              <w:rPr>
                <w:rFonts w:hint="eastAsia"/>
                <w:color w:val="auto"/>
                <w:sz w:val="21"/>
                <w:szCs w:val="21"/>
                <w:lang w:val="en-US"/>
              </w:rPr>
              <w:t>1</w:t>
            </w:r>
            <w:r>
              <w:rPr>
                <w:rFonts w:hint="eastAsia"/>
                <w:color w:val="auto"/>
                <w:sz w:val="21"/>
                <w:szCs w:val="21"/>
              </w:rPr>
              <w:t>000</w:t>
            </w:r>
            <w:r>
              <w:rPr>
                <w:color w:val="auto"/>
                <w:sz w:val="21"/>
                <w:szCs w:val="21"/>
              </w:rPr>
              <w:t>元</w:t>
            </w:r>
            <w:r>
              <w:rPr>
                <w:rFonts w:ascii="Times New Roman" w:eastAsia="Times New Roman"/>
                <w:color w:val="auto"/>
                <w:spacing w:val="-4"/>
                <w:sz w:val="21"/>
                <w:szCs w:val="21"/>
              </w:rPr>
              <w:t>/</w:t>
            </w:r>
            <w:r>
              <w:rPr>
                <w:color w:val="auto"/>
                <w:sz w:val="21"/>
                <w:szCs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10</w:t>
            </w:r>
          </w:p>
        </w:tc>
        <w:tc>
          <w:tcPr>
            <w:tcW w:w="1111" w:type="dxa"/>
            <w:noWrap w:val="0"/>
            <w:vAlign w:val="top"/>
          </w:tcPr>
          <w:p>
            <w:pPr>
              <w:pStyle w:val="17"/>
              <w:spacing w:before="89" w:line="250" w:lineRule="exact"/>
              <w:ind w:left="89" w:right="78"/>
              <w:jc w:val="center"/>
              <w:rPr>
                <w:color w:val="auto"/>
                <w:sz w:val="21"/>
                <w:szCs w:val="21"/>
              </w:rPr>
            </w:pPr>
            <w:r>
              <w:rPr>
                <w:rFonts w:ascii="Times New Roman" w:eastAsia="Times New Roman"/>
                <w:color w:val="auto"/>
                <w:sz w:val="21"/>
                <w:szCs w:val="21"/>
              </w:rPr>
              <w:t>11.5</w:t>
            </w:r>
            <w:r>
              <w:rPr>
                <w:color w:val="auto"/>
                <w:sz w:val="21"/>
                <w:szCs w:val="21"/>
              </w:rPr>
              <w:t>（</w:t>
            </w:r>
            <w:r>
              <w:rPr>
                <w:rFonts w:ascii="Times New Roman" w:eastAsia="Times New Roman"/>
                <w:color w:val="auto"/>
                <w:sz w:val="21"/>
                <w:szCs w:val="21"/>
              </w:rPr>
              <w:t>3</w:t>
            </w:r>
            <w:r>
              <w:rPr>
                <w:color w:val="auto"/>
                <w:sz w:val="21"/>
                <w:szCs w:val="21"/>
              </w:rPr>
              <w:t>）</w:t>
            </w:r>
          </w:p>
        </w:tc>
        <w:tc>
          <w:tcPr>
            <w:tcW w:w="7305" w:type="dxa"/>
            <w:noWrap w:val="0"/>
            <w:vAlign w:val="top"/>
          </w:tcPr>
          <w:p>
            <w:pPr>
              <w:pStyle w:val="17"/>
              <w:tabs>
                <w:tab w:val="left" w:pos="2868"/>
              </w:tabs>
              <w:spacing w:before="89" w:line="250" w:lineRule="exact"/>
              <w:ind w:left="347"/>
              <w:rPr>
                <w:rFonts w:hint="eastAsia"/>
                <w:color w:val="auto"/>
                <w:sz w:val="21"/>
                <w:szCs w:val="21"/>
              </w:rPr>
            </w:pPr>
            <w:r>
              <w:rPr>
                <w:color w:val="auto"/>
                <w:sz w:val="21"/>
                <w:szCs w:val="21"/>
              </w:rPr>
              <w:t>逾期</w:t>
            </w:r>
            <w:r>
              <w:rPr>
                <w:color w:val="auto"/>
                <w:spacing w:val="-3"/>
                <w:sz w:val="21"/>
                <w:szCs w:val="21"/>
              </w:rPr>
              <w:t>交</w:t>
            </w:r>
            <w:r>
              <w:rPr>
                <w:color w:val="auto"/>
                <w:sz w:val="21"/>
                <w:szCs w:val="21"/>
              </w:rPr>
              <w:t>工</w:t>
            </w:r>
            <w:r>
              <w:rPr>
                <w:color w:val="auto"/>
                <w:spacing w:val="-3"/>
                <w:sz w:val="21"/>
                <w:szCs w:val="21"/>
              </w:rPr>
              <w:t>违</w:t>
            </w:r>
            <w:r>
              <w:rPr>
                <w:color w:val="auto"/>
                <w:sz w:val="21"/>
                <w:szCs w:val="21"/>
              </w:rPr>
              <w:t>约</w:t>
            </w:r>
            <w:r>
              <w:rPr>
                <w:color w:val="auto"/>
                <w:spacing w:val="-3"/>
                <w:sz w:val="21"/>
                <w:szCs w:val="21"/>
              </w:rPr>
              <w:t>金</w:t>
            </w:r>
            <w:r>
              <w:rPr>
                <w:color w:val="auto"/>
                <w:sz w:val="21"/>
                <w:szCs w:val="21"/>
              </w:rPr>
              <w:t>限</w:t>
            </w:r>
            <w:r>
              <w:rPr>
                <w:color w:val="auto"/>
                <w:spacing w:val="-3"/>
                <w:sz w:val="21"/>
                <w:szCs w:val="21"/>
              </w:rPr>
              <w:t>额</w:t>
            </w:r>
            <w:r>
              <w:rPr>
                <w:color w:val="auto"/>
                <w:sz w:val="21"/>
                <w:szCs w:val="21"/>
              </w:rPr>
              <w:t>：</w:t>
            </w:r>
            <w:r>
              <w:rPr>
                <w:rFonts w:hint="eastAsia"/>
                <w:color w:val="auto"/>
                <w:sz w:val="21"/>
                <w:szCs w:val="21"/>
                <w:lang w:val="en-US"/>
              </w:rPr>
              <w:t>2</w:t>
            </w:r>
            <w:r>
              <w:rPr>
                <w:rFonts w:ascii="Times New Roman" w:hAnsi="Times New Roman" w:eastAsia="Times New Roman"/>
                <w:color w:val="auto"/>
                <w:sz w:val="21"/>
                <w:szCs w:val="21"/>
              </w:rPr>
              <w:t>%</w:t>
            </w:r>
            <w:r>
              <w:rPr>
                <w:color w:val="auto"/>
                <w:sz w:val="21"/>
                <w:szCs w:val="21"/>
              </w:rPr>
              <w:t>签</w:t>
            </w:r>
            <w:r>
              <w:rPr>
                <w:color w:val="auto"/>
                <w:spacing w:val="-3"/>
                <w:sz w:val="21"/>
                <w:szCs w:val="21"/>
              </w:rPr>
              <w:t>约</w:t>
            </w:r>
            <w:r>
              <w:rPr>
                <w:color w:val="auto"/>
                <w:sz w:val="21"/>
                <w:szCs w:val="21"/>
              </w:rPr>
              <w:t>合</w:t>
            </w:r>
            <w:r>
              <w:rPr>
                <w:color w:val="auto"/>
                <w:spacing w:val="-3"/>
                <w:sz w:val="21"/>
                <w:szCs w:val="21"/>
              </w:rPr>
              <w:t>同价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78" w:right="74"/>
              <w:jc w:val="center"/>
              <w:rPr>
                <w:rFonts w:ascii="Times New Roman"/>
                <w:color w:val="auto"/>
                <w:sz w:val="21"/>
                <w:szCs w:val="21"/>
              </w:rPr>
            </w:pPr>
            <w:r>
              <w:rPr>
                <w:rFonts w:ascii="Times New Roman"/>
                <w:color w:val="auto"/>
                <w:sz w:val="21"/>
                <w:szCs w:val="21"/>
              </w:rPr>
              <w:t>11</w:t>
            </w:r>
          </w:p>
        </w:tc>
        <w:tc>
          <w:tcPr>
            <w:tcW w:w="1111" w:type="dxa"/>
            <w:noWrap w:val="0"/>
            <w:vAlign w:val="top"/>
          </w:tcPr>
          <w:p>
            <w:pPr>
              <w:pStyle w:val="17"/>
              <w:spacing w:before="113" w:line="226" w:lineRule="exact"/>
              <w:ind w:left="87" w:right="78"/>
              <w:jc w:val="center"/>
              <w:rPr>
                <w:rFonts w:ascii="Times New Roman"/>
                <w:color w:val="auto"/>
                <w:sz w:val="21"/>
                <w:szCs w:val="21"/>
              </w:rPr>
            </w:pPr>
            <w:r>
              <w:rPr>
                <w:rFonts w:ascii="Times New Roman"/>
                <w:color w:val="auto"/>
                <w:sz w:val="21"/>
                <w:szCs w:val="21"/>
              </w:rPr>
              <w:t>11.6</w:t>
            </w:r>
          </w:p>
        </w:tc>
        <w:tc>
          <w:tcPr>
            <w:tcW w:w="7305" w:type="dxa"/>
            <w:noWrap w:val="0"/>
            <w:vAlign w:val="top"/>
          </w:tcPr>
          <w:p>
            <w:pPr>
              <w:pStyle w:val="17"/>
              <w:tabs>
                <w:tab w:val="left" w:pos="2450"/>
              </w:tabs>
              <w:spacing w:before="90" w:line="250" w:lineRule="exact"/>
              <w:ind w:left="347"/>
              <w:rPr>
                <w:color w:val="auto"/>
                <w:sz w:val="21"/>
                <w:szCs w:val="21"/>
              </w:rPr>
            </w:pPr>
            <w:r>
              <w:rPr>
                <w:color w:val="auto"/>
                <w:sz w:val="21"/>
                <w:szCs w:val="21"/>
              </w:rPr>
              <w:t>提前</w:t>
            </w:r>
            <w:r>
              <w:rPr>
                <w:color w:val="auto"/>
                <w:spacing w:val="-3"/>
                <w:sz w:val="21"/>
                <w:szCs w:val="21"/>
              </w:rPr>
              <w:t>交</w:t>
            </w:r>
            <w:r>
              <w:rPr>
                <w:color w:val="auto"/>
                <w:sz w:val="21"/>
                <w:szCs w:val="21"/>
              </w:rPr>
              <w:t>工</w:t>
            </w:r>
            <w:r>
              <w:rPr>
                <w:color w:val="auto"/>
                <w:spacing w:val="-3"/>
                <w:sz w:val="21"/>
                <w:szCs w:val="21"/>
              </w:rPr>
              <w:t>的</w:t>
            </w:r>
            <w:r>
              <w:rPr>
                <w:color w:val="auto"/>
                <w:sz w:val="21"/>
                <w:szCs w:val="21"/>
              </w:rPr>
              <w:t>奖</w:t>
            </w:r>
            <w:r>
              <w:rPr>
                <w:color w:val="auto"/>
                <w:spacing w:val="-3"/>
                <w:sz w:val="21"/>
                <w:szCs w:val="21"/>
              </w:rPr>
              <w:t>金</w:t>
            </w:r>
            <w:r>
              <w:rPr>
                <w:color w:val="auto"/>
                <w:sz w:val="21"/>
                <w:szCs w:val="21"/>
              </w:rPr>
              <w:t>：</w:t>
            </w:r>
            <w:r>
              <w:rPr>
                <w:rFonts w:hint="eastAsia"/>
                <w:color w:val="auto"/>
                <w:sz w:val="21"/>
                <w:szCs w:val="21"/>
              </w:rPr>
              <w:t>0</w:t>
            </w:r>
            <w:r>
              <w:rPr>
                <w:color w:val="auto"/>
                <w:sz w:val="21"/>
                <w:szCs w:val="21"/>
              </w:rPr>
              <w:t>元</w:t>
            </w:r>
            <w:r>
              <w:rPr>
                <w:rFonts w:ascii="Times New Roman" w:eastAsia="Times New Roman"/>
                <w:color w:val="auto"/>
                <w:spacing w:val="-4"/>
                <w:sz w:val="21"/>
                <w:szCs w:val="21"/>
              </w:rPr>
              <w:t>/</w:t>
            </w:r>
            <w:r>
              <w:rPr>
                <w:color w:val="auto"/>
                <w:sz w:val="21"/>
                <w:szCs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12</w:t>
            </w:r>
          </w:p>
        </w:tc>
        <w:tc>
          <w:tcPr>
            <w:tcW w:w="1111" w:type="dxa"/>
            <w:noWrap w:val="0"/>
            <w:vAlign w:val="top"/>
          </w:tcPr>
          <w:p>
            <w:pPr>
              <w:pStyle w:val="17"/>
              <w:spacing w:before="113" w:line="226" w:lineRule="exact"/>
              <w:ind w:left="87" w:right="78"/>
              <w:jc w:val="center"/>
              <w:rPr>
                <w:rFonts w:ascii="Times New Roman"/>
                <w:color w:val="auto"/>
                <w:sz w:val="21"/>
                <w:szCs w:val="21"/>
              </w:rPr>
            </w:pPr>
            <w:r>
              <w:rPr>
                <w:rFonts w:ascii="Times New Roman"/>
                <w:color w:val="auto"/>
                <w:sz w:val="21"/>
                <w:szCs w:val="21"/>
              </w:rPr>
              <w:t>11.6</w:t>
            </w:r>
          </w:p>
        </w:tc>
        <w:tc>
          <w:tcPr>
            <w:tcW w:w="7305" w:type="dxa"/>
            <w:noWrap w:val="0"/>
            <w:vAlign w:val="top"/>
          </w:tcPr>
          <w:p>
            <w:pPr>
              <w:pStyle w:val="17"/>
              <w:tabs>
                <w:tab w:val="left" w:pos="2868"/>
              </w:tabs>
              <w:spacing w:before="89" w:line="250" w:lineRule="exact"/>
              <w:ind w:left="347"/>
              <w:rPr>
                <w:color w:val="auto"/>
                <w:sz w:val="21"/>
                <w:szCs w:val="21"/>
              </w:rPr>
            </w:pPr>
            <w:r>
              <w:rPr>
                <w:color w:val="auto"/>
                <w:sz w:val="21"/>
                <w:szCs w:val="21"/>
              </w:rPr>
              <w:t>提前</w:t>
            </w:r>
            <w:r>
              <w:rPr>
                <w:color w:val="auto"/>
                <w:spacing w:val="-3"/>
                <w:sz w:val="21"/>
                <w:szCs w:val="21"/>
              </w:rPr>
              <w:t>交</w:t>
            </w:r>
            <w:r>
              <w:rPr>
                <w:color w:val="auto"/>
                <w:sz w:val="21"/>
                <w:szCs w:val="21"/>
              </w:rPr>
              <w:t>工</w:t>
            </w:r>
            <w:r>
              <w:rPr>
                <w:color w:val="auto"/>
                <w:spacing w:val="-3"/>
                <w:sz w:val="21"/>
                <w:szCs w:val="21"/>
              </w:rPr>
              <w:t>的</w:t>
            </w:r>
            <w:r>
              <w:rPr>
                <w:color w:val="auto"/>
                <w:sz w:val="21"/>
                <w:szCs w:val="21"/>
              </w:rPr>
              <w:t>奖</w:t>
            </w:r>
            <w:r>
              <w:rPr>
                <w:color w:val="auto"/>
                <w:spacing w:val="-3"/>
                <w:sz w:val="21"/>
                <w:szCs w:val="21"/>
              </w:rPr>
              <w:t>金</w:t>
            </w:r>
            <w:r>
              <w:rPr>
                <w:color w:val="auto"/>
                <w:sz w:val="21"/>
                <w:szCs w:val="21"/>
              </w:rPr>
              <w:t>限</w:t>
            </w:r>
            <w:r>
              <w:rPr>
                <w:color w:val="auto"/>
                <w:spacing w:val="-3"/>
                <w:sz w:val="21"/>
                <w:szCs w:val="21"/>
              </w:rPr>
              <w:t>额</w:t>
            </w:r>
            <w:r>
              <w:rPr>
                <w:color w:val="auto"/>
                <w:sz w:val="21"/>
                <w:szCs w:val="21"/>
              </w:rPr>
              <w:t>：</w:t>
            </w:r>
            <w:r>
              <w:rPr>
                <w:rFonts w:hint="eastAsia"/>
                <w:color w:val="auto"/>
                <w:sz w:val="21"/>
                <w:szCs w:val="21"/>
              </w:rPr>
              <w:t>0</w:t>
            </w:r>
            <w:r>
              <w:rPr>
                <w:rFonts w:ascii="Times New Roman" w:eastAsia="Times New Roman"/>
                <w:color w:val="auto"/>
                <w:sz w:val="21"/>
                <w:szCs w:val="21"/>
              </w:rPr>
              <w:t>%</w:t>
            </w:r>
            <w:r>
              <w:rPr>
                <w:color w:val="auto"/>
                <w:sz w:val="21"/>
                <w:szCs w:val="21"/>
              </w:rPr>
              <w:t>签</w:t>
            </w:r>
            <w:r>
              <w:rPr>
                <w:color w:val="auto"/>
                <w:spacing w:val="-3"/>
                <w:sz w:val="21"/>
                <w:szCs w:val="21"/>
              </w:rPr>
              <w:t>约</w:t>
            </w:r>
            <w:r>
              <w:rPr>
                <w:color w:val="auto"/>
                <w:sz w:val="21"/>
                <w:szCs w:val="21"/>
              </w:rPr>
              <w:t>合</w:t>
            </w:r>
            <w:r>
              <w:rPr>
                <w:color w:val="auto"/>
                <w:spacing w:val="-3"/>
                <w:sz w:val="21"/>
                <w:szCs w:val="21"/>
              </w:rPr>
              <w:t>同</w:t>
            </w:r>
            <w:r>
              <w:rPr>
                <w:color w:val="auto"/>
                <w:sz w:val="21"/>
                <w:szCs w:val="21"/>
              </w:rPr>
              <w:t>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83" w:right="74"/>
              <w:jc w:val="center"/>
              <w:rPr>
                <w:rFonts w:ascii="Times New Roman"/>
                <w:color w:val="auto"/>
                <w:sz w:val="21"/>
                <w:szCs w:val="21"/>
              </w:rPr>
            </w:pPr>
            <w:r>
              <w:rPr>
                <w:rFonts w:ascii="Times New Roman"/>
                <w:color w:val="auto"/>
                <w:sz w:val="21"/>
                <w:szCs w:val="21"/>
              </w:rPr>
              <w:t>13</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15.5.2</w:t>
            </w:r>
          </w:p>
        </w:tc>
        <w:tc>
          <w:tcPr>
            <w:tcW w:w="7305" w:type="dxa"/>
            <w:noWrap w:val="0"/>
            <w:vAlign w:val="top"/>
          </w:tcPr>
          <w:p>
            <w:pPr>
              <w:pStyle w:val="17"/>
              <w:tabs>
                <w:tab w:val="left" w:pos="2210"/>
                <w:tab w:val="left" w:pos="4066"/>
              </w:tabs>
              <w:spacing w:before="11" w:line="360" w:lineRule="exact"/>
              <w:ind w:left="107" w:right="91" w:firstLine="240"/>
              <w:rPr>
                <w:color w:val="auto"/>
                <w:sz w:val="21"/>
                <w:szCs w:val="21"/>
              </w:rPr>
            </w:pPr>
            <w:r>
              <w:rPr>
                <w:color w:val="auto"/>
                <w:sz w:val="21"/>
                <w:szCs w:val="21"/>
              </w:rPr>
              <w:t>承包</w:t>
            </w:r>
            <w:r>
              <w:rPr>
                <w:color w:val="auto"/>
                <w:spacing w:val="-3"/>
                <w:sz w:val="21"/>
                <w:szCs w:val="21"/>
              </w:rPr>
              <w:t>人</w:t>
            </w:r>
            <w:r>
              <w:rPr>
                <w:color w:val="auto"/>
                <w:sz w:val="21"/>
                <w:szCs w:val="21"/>
              </w:rPr>
              <w:t>提出的</w:t>
            </w:r>
            <w:r>
              <w:rPr>
                <w:color w:val="auto"/>
                <w:spacing w:val="-3"/>
                <w:sz w:val="21"/>
                <w:szCs w:val="21"/>
              </w:rPr>
              <w:t>合</w:t>
            </w:r>
            <w:r>
              <w:rPr>
                <w:color w:val="auto"/>
                <w:sz w:val="21"/>
                <w:szCs w:val="21"/>
              </w:rPr>
              <w:t>理</w:t>
            </w:r>
            <w:r>
              <w:rPr>
                <w:color w:val="auto"/>
                <w:spacing w:val="-3"/>
                <w:sz w:val="21"/>
                <w:szCs w:val="21"/>
              </w:rPr>
              <w:t>化</w:t>
            </w:r>
            <w:r>
              <w:rPr>
                <w:color w:val="auto"/>
                <w:sz w:val="21"/>
                <w:szCs w:val="21"/>
              </w:rPr>
              <w:t>建</w:t>
            </w:r>
            <w:r>
              <w:rPr>
                <w:color w:val="auto"/>
                <w:spacing w:val="-3"/>
                <w:sz w:val="21"/>
                <w:szCs w:val="21"/>
              </w:rPr>
              <w:t>议</w:t>
            </w:r>
            <w:r>
              <w:rPr>
                <w:color w:val="auto"/>
                <w:sz w:val="21"/>
                <w:szCs w:val="21"/>
              </w:rPr>
              <w:t>降低</w:t>
            </w:r>
            <w:r>
              <w:rPr>
                <w:color w:val="auto"/>
                <w:spacing w:val="-3"/>
                <w:sz w:val="21"/>
                <w:szCs w:val="21"/>
              </w:rPr>
              <w:t>了</w:t>
            </w:r>
            <w:r>
              <w:rPr>
                <w:color w:val="auto"/>
                <w:sz w:val="21"/>
                <w:szCs w:val="21"/>
              </w:rPr>
              <w:t>合</w:t>
            </w:r>
            <w:r>
              <w:rPr>
                <w:color w:val="auto"/>
                <w:spacing w:val="-3"/>
                <w:sz w:val="21"/>
                <w:szCs w:val="21"/>
              </w:rPr>
              <w:t>同</w:t>
            </w:r>
            <w:r>
              <w:rPr>
                <w:color w:val="auto"/>
                <w:sz w:val="21"/>
                <w:szCs w:val="21"/>
              </w:rPr>
              <w:t>价</w:t>
            </w:r>
            <w:r>
              <w:rPr>
                <w:color w:val="auto"/>
                <w:spacing w:val="-3"/>
                <w:sz w:val="21"/>
                <w:szCs w:val="21"/>
              </w:rPr>
              <w:t>格</w:t>
            </w:r>
            <w:r>
              <w:rPr>
                <w:color w:val="auto"/>
                <w:sz w:val="21"/>
                <w:szCs w:val="21"/>
              </w:rPr>
              <w:t>或</w:t>
            </w:r>
            <w:r>
              <w:rPr>
                <w:color w:val="auto"/>
                <w:spacing w:val="-3"/>
                <w:sz w:val="21"/>
                <w:szCs w:val="21"/>
              </w:rPr>
              <w:t>者</w:t>
            </w:r>
            <w:r>
              <w:rPr>
                <w:color w:val="auto"/>
                <w:sz w:val="21"/>
                <w:szCs w:val="21"/>
              </w:rPr>
              <w:t>提</w:t>
            </w:r>
            <w:r>
              <w:rPr>
                <w:color w:val="auto"/>
                <w:spacing w:val="-3"/>
                <w:sz w:val="21"/>
                <w:szCs w:val="21"/>
              </w:rPr>
              <w:t>高</w:t>
            </w:r>
            <w:r>
              <w:rPr>
                <w:color w:val="auto"/>
                <w:sz w:val="21"/>
                <w:szCs w:val="21"/>
              </w:rPr>
              <w:t>了工</w:t>
            </w:r>
            <w:r>
              <w:rPr>
                <w:color w:val="auto"/>
                <w:spacing w:val="-3"/>
                <w:sz w:val="21"/>
                <w:szCs w:val="21"/>
              </w:rPr>
              <w:t>程</w:t>
            </w:r>
            <w:r>
              <w:rPr>
                <w:color w:val="auto"/>
                <w:sz w:val="21"/>
                <w:szCs w:val="21"/>
              </w:rPr>
              <w:t>经</w:t>
            </w:r>
            <w:r>
              <w:rPr>
                <w:color w:val="auto"/>
                <w:spacing w:val="-3"/>
                <w:sz w:val="21"/>
                <w:szCs w:val="21"/>
              </w:rPr>
              <w:t>济</w:t>
            </w:r>
            <w:r>
              <w:rPr>
                <w:color w:val="auto"/>
                <w:sz w:val="21"/>
                <w:szCs w:val="21"/>
              </w:rPr>
              <w:t>效</w:t>
            </w:r>
            <w:r>
              <w:rPr>
                <w:color w:val="auto"/>
                <w:spacing w:val="-3"/>
                <w:sz w:val="21"/>
                <w:szCs w:val="21"/>
              </w:rPr>
              <w:t>益</w:t>
            </w:r>
            <w:r>
              <w:rPr>
                <w:color w:val="auto"/>
                <w:sz w:val="21"/>
                <w:szCs w:val="21"/>
              </w:rPr>
              <w:t>的</w:t>
            </w:r>
            <w:r>
              <w:rPr>
                <w:color w:val="auto"/>
                <w:spacing w:val="-85"/>
                <w:sz w:val="21"/>
                <w:szCs w:val="21"/>
              </w:rPr>
              <w:t>，</w:t>
            </w:r>
            <w:r>
              <w:rPr>
                <w:color w:val="auto"/>
                <w:spacing w:val="-3"/>
                <w:sz w:val="21"/>
                <w:szCs w:val="21"/>
              </w:rPr>
              <w:t>发</w:t>
            </w:r>
            <w:r>
              <w:rPr>
                <w:color w:val="auto"/>
                <w:sz w:val="21"/>
                <w:szCs w:val="21"/>
              </w:rPr>
              <w:t>包人按</w:t>
            </w:r>
            <w:r>
              <w:rPr>
                <w:color w:val="auto"/>
                <w:spacing w:val="-3"/>
                <w:sz w:val="21"/>
                <w:szCs w:val="21"/>
              </w:rPr>
              <w:t>所</w:t>
            </w:r>
            <w:r>
              <w:rPr>
                <w:color w:val="auto"/>
                <w:sz w:val="21"/>
                <w:szCs w:val="21"/>
              </w:rPr>
              <w:t>节</w:t>
            </w:r>
            <w:r>
              <w:rPr>
                <w:color w:val="auto"/>
                <w:spacing w:val="-3"/>
                <w:sz w:val="21"/>
                <w:szCs w:val="21"/>
              </w:rPr>
              <w:t>约</w:t>
            </w:r>
            <w:r>
              <w:rPr>
                <w:color w:val="auto"/>
                <w:sz w:val="21"/>
                <w:szCs w:val="21"/>
              </w:rPr>
              <w:t>成本的</w:t>
            </w:r>
            <w:r>
              <w:rPr>
                <w:color w:val="auto"/>
                <w:sz w:val="21"/>
                <w:szCs w:val="21"/>
                <w:u w:val="single"/>
              </w:rPr>
              <w:t xml:space="preserve"> </w:t>
            </w:r>
            <w:r>
              <w:rPr>
                <w:rFonts w:hint="eastAsia"/>
                <w:color w:val="auto"/>
                <w:sz w:val="21"/>
                <w:szCs w:val="21"/>
                <w:u w:val="single"/>
              </w:rPr>
              <w:t>0</w:t>
            </w:r>
            <w:r>
              <w:rPr>
                <w:rFonts w:ascii="Times New Roman" w:eastAsia="Times New Roman"/>
                <w:color w:val="auto"/>
                <w:spacing w:val="-4"/>
                <w:sz w:val="21"/>
                <w:szCs w:val="21"/>
              </w:rPr>
              <w:t>%</w:t>
            </w:r>
            <w:r>
              <w:rPr>
                <w:color w:val="auto"/>
                <w:sz w:val="21"/>
                <w:szCs w:val="21"/>
              </w:rPr>
              <w:t>或增</w:t>
            </w:r>
            <w:r>
              <w:rPr>
                <w:color w:val="auto"/>
                <w:spacing w:val="-3"/>
                <w:sz w:val="21"/>
                <w:szCs w:val="21"/>
              </w:rPr>
              <w:t>加</w:t>
            </w:r>
            <w:r>
              <w:rPr>
                <w:color w:val="auto"/>
                <w:sz w:val="21"/>
                <w:szCs w:val="21"/>
              </w:rPr>
              <w:t>收</w:t>
            </w:r>
            <w:r>
              <w:rPr>
                <w:color w:val="auto"/>
                <w:spacing w:val="-3"/>
                <w:sz w:val="21"/>
                <w:szCs w:val="21"/>
              </w:rPr>
              <w:t>益</w:t>
            </w:r>
            <w:r>
              <w:rPr>
                <w:color w:val="auto"/>
                <w:sz w:val="21"/>
                <w:szCs w:val="21"/>
              </w:rPr>
              <w:t>的</w:t>
            </w:r>
            <w:r>
              <w:rPr>
                <w:color w:val="auto"/>
                <w:sz w:val="21"/>
                <w:szCs w:val="21"/>
                <w:u w:val="single"/>
              </w:rPr>
              <w:t xml:space="preserve"> </w:t>
            </w:r>
            <w:r>
              <w:rPr>
                <w:rFonts w:hint="eastAsia"/>
                <w:color w:val="auto"/>
                <w:sz w:val="21"/>
                <w:szCs w:val="21"/>
                <w:u w:val="single"/>
              </w:rPr>
              <w:t>0</w:t>
            </w:r>
            <w:r>
              <w:rPr>
                <w:rFonts w:ascii="Times New Roman" w:eastAsia="Times New Roman"/>
                <w:color w:val="auto"/>
                <w:spacing w:val="-4"/>
                <w:sz w:val="21"/>
                <w:szCs w:val="21"/>
              </w:rPr>
              <w:t>%</w:t>
            </w:r>
            <w:r>
              <w:rPr>
                <w:color w:val="auto"/>
                <w:sz w:val="21"/>
                <w:szCs w:val="21"/>
              </w:rPr>
              <w:t>给</w:t>
            </w:r>
            <w:r>
              <w:rPr>
                <w:color w:val="auto"/>
                <w:spacing w:val="-3"/>
                <w:sz w:val="21"/>
                <w:szCs w:val="21"/>
              </w:rPr>
              <w:t>予</w:t>
            </w:r>
            <w:r>
              <w:rPr>
                <w:color w:val="auto"/>
                <w:sz w:val="21"/>
                <w:szCs w:val="21"/>
              </w:rPr>
              <w:t>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629" w:type="dxa"/>
            <w:noWrap w:val="0"/>
            <w:vAlign w:val="top"/>
          </w:tcPr>
          <w:p>
            <w:pPr>
              <w:pStyle w:val="17"/>
              <w:rPr>
                <w:color w:val="auto"/>
                <w:sz w:val="21"/>
                <w:szCs w:val="21"/>
              </w:rPr>
            </w:pPr>
          </w:p>
          <w:p>
            <w:pPr>
              <w:pStyle w:val="17"/>
              <w:spacing w:before="6"/>
              <w:rPr>
                <w:color w:val="auto"/>
                <w:sz w:val="21"/>
                <w:szCs w:val="21"/>
              </w:rPr>
            </w:pPr>
          </w:p>
          <w:p>
            <w:pPr>
              <w:pStyle w:val="17"/>
              <w:ind w:left="83" w:right="74"/>
              <w:jc w:val="center"/>
              <w:rPr>
                <w:rFonts w:ascii="Times New Roman"/>
                <w:color w:val="auto"/>
                <w:sz w:val="21"/>
                <w:szCs w:val="21"/>
              </w:rPr>
            </w:pPr>
            <w:r>
              <w:rPr>
                <w:rFonts w:ascii="Times New Roman"/>
                <w:color w:val="auto"/>
                <w:sz w:val="21"/>
                <w:szCs w:val="21"/>
              </w:rPr>
              <w:t>14</w:t>
            </w:r>
          </w:p>
        </w:tc>
        <w:tc>
          <w:tcPr>
            <w:tcW w:w="1111" w:type="dxa"/>
            <w:noWrap w:val="0"/>
            <w:vAlign w:val="top"/>
          </w:tcPr>
          <w:p>
            <w:pPr>
              <w:pStyle w:val="17"/>
              <w:rPr>
                <w:color w:val="auto"/>
                <w:sz w:val="21"/>
                <w:szCs w:val="21"/>
              </w:rPr>
            </w:pPr>
          </w:p>
          <w:p>
            <w:pPr>
              <w:pStyle w:val="17"/>
              <w:spacing w:before="6"/>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16.1</w:t>
            </w:r>
          </w:p>
        </w:tc>
        <w:tc>
          <w:tcPr>
            <w:tcW w:w="7305" w:type="dxa"/>
            <w:noWrap w:val="0"/>
            <w:vAlign w:val="top"/>
          </w:tcPr>
          <w:p>
            <w:pPr>
              <w:spacing w:line="360" w:lineRule="auto"/>
              <w:rPr>
                <w:b/>
                <w:color w:val="auto"/>
                <w:sz w:val="21"/>
                <w:szCs w:val="21"/>
              </w:rPr>
            </w:pPr>
            <w:r>
              <w:rPr>
                <w:rFonts w:hint="eastAsia"/>
                <w:b/>
                <w:color w:val="auto"/>
                <w:sz w:val="21"/>
                <w:szCs w:val="21"/>
              </w:rPr>
              <w:t>合同期不调价。</w:t>
            </w:r>
          </w:p>
          <w:p>
            <w:pPr>
              <w:spacing w:line="400" w:lineRule="exact"/>
              <w:rPr>
                <w:b/>
                <w:bCs/>
                <w:color w:val="auto"/>
                <w:sz w:val="21"/>
                <w:szCs w:val="21"/>
              </w:rPr>
            </w:pPr>
            <w:r>
              <w:rPr>
                <w:rFonts w:hint="eastAsia"/>
                <w:b/>
                <w:bCs/>
                <w:color w:val="auto"/>
                <w:sz w:val="21"/>
                <w:szCs w:val="21"/>
              </w:rPr>
              <w:t>法律变化引起的价格调整：</w:t>
            </w:r>
          </w:p>
          <w:p>
            <w:pPr>
              <w:pStyle w:val="17"/>
              <w:spacing w:before="13" w:line="360" w:lineRule="exact"/>
              <w:ind w:left="107" w:right="91" w:firstLine="240"/>
              <w:rPr>
                <w:color w:val="auto"/>
                <w:sz w:val="21"/>
                <w:szCs w:val="21"/>
              </w:rPr>
            </w:pPr>
            <w:r>
              <w:rPr>
                <w:rFonts w:hint="eastAsia"/>
                <w:b/>
                <w:color w:val="auto"/>
                <w:sz w:val="21"/>
                <w:szCs w:val="21"/>
              </w:rPr>
              <w:t>国家或省（自治区、直辖市）颁布的法律、法规、办法等出现修改或变更，此项增加或减少的费用由承包人自行承担、消化，招标人对此不再进行调整和补偿。投标人应充分考虑此部分的风险费用。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29" w:type="dxa"/>
            <w:tcBorders>
              <w:bottom w:val="single" w:color="auto" w:sz="4" w:space="0"/>
            </w:tcBorders>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15</w:t>
            </w:r>
          </w:p>
        </w:tc>
        <w:tc>
          <w:tcPr>
            <w:tcW w:w="1111" w:type="dxa"/>
            <w:tcBorders>
              <w:bottom w:val="single" w:color="auto" w:sz="4" w:space="0"/>
            </w:tcBorders>
            <w:noWrap w:val="0"/>
            <w:vAlign w:val="top"/>
          </w:tcPr>
          <w:p>
            <w:pPr>
              <w:pStyle w:val="17"/>
              <w:spacing w:before="89" w:line="250" w:lineRule="exact"/>
              <w:ind w:left="107" w:right="-15"/>
              <w:rPr>
                <w:color w:val="auto"/>
                <w:sz w:val="21"/>
                <w:szCs w:val="21"/>
              </w:rPr>
            </w:pPr>
            <w:r>
              <w:rPr>
                <w:rFonts w:ascii="Times New Roman" w:eastAsia="Times New Roman"/>
                <w:color w:val="auto"/>
                <w:spacing w:val="-6"/>
                <w:sz w:val="21"/>
                <w:szCs w:val="21"/>
              </w:rPr>
              <w:t>17.2.1</w:t>
            </w:r>
            <w:r>
              <w:rPr>
                <w:color w:val="auto"/>
                <w:spacing w:val="-6"/>
                <w:sz w:val="21"/>
                <w:szCs w:val="21"/>
              </w:rPr>
              <w:t>（</w:t>
            </w:r>
            <w:r>
              <w:rPr>
                <w:rFonts w:ascii="Times New Roman" w:eastAsia="Times New Roman"/>
                <w:color w:val="auto"/>
                <w:spacing w:val="-6"/>
                <w:sz w:val="21"/>
                <w:szCs w:val="21"/>
              </w:rPr>
              <w:t>1</w:t>
            </w:r>
            <w:r>
              <w:rPr>
                <w:color w:val="auto"/>
                <w:spacing w:val="-6"/>
                <w:sz w:val="21"/>
                <w:szCs w:val="21"/>
              </w:rPr>
              <w:t>）</w:t>
            </w:r>
          </w:p>
        </w:tc>
        <w:tc>
          <w:tcPr>
            <w:tcW w:w="7305" w:type="dxa"/>
            <w:tcBorders>
              <w:bottom w:val="single" w:color="auto" w:sz="4" w:space="0"/>
            </w:tcBorders>
            <w:noWrap w:val="0"/>
            <w:vAlign w:val="top"/>
          </w:tcPr>
          <w:p>
            <w:pPr>
              <w:pStyle w:val="17"/>
              <w:spacing w:before="89" w:line="250" w:lineRule="exact"/>
              <w:ind w:left="347"/>
              <w:rPr>
                <w:rFonts w:hint="eastAsia"/>
                <w:color w:val="auto"/>
                <w:sz w:val="21"/>
                <w:szCs w:val="21"/>
              </w:rPr>
            </w:pPr>
            <w:r>
              <w:rPr>
                <w:color w:val="auto"/>
                <w:spacing w:val="-3"/>
                <w:sz w:val="21"/>
                <w:szCs w:val="21"/>
              </w:rPr>
              <w:t>开工预付款金额：</w:t>
            </w:r>
            <w:r>
              <w:rPr>
                <w:rFonts w:hint="eastAsia"/>
                <w:color w:val="auto"/>
                <w:spacing w:val="-3"/>
                <w:sz w:val="21"/>
                <w:szCs w:val="21"/>
                <w:u w:val="single"/>
                <w:lang w:val="en-US"/>
              </w:rPr>
              <w:t>10</w:t>
            </w:r>
            <w:r>
              <w:rPr>
                <w:rFonts w:ascii="Times New Roman" w:hAnsi="Times New Roman" w:eastAsia="Times New Roman"/>
                <w:color w:val="auto"/>
                <w:sz w:val="21"/>
                <w:szCs w:val="21"/>
              </w:rPr>
              <w:t>%</w:t>
            </w:r>
            <w:r>
              <w:rPr>
                <w:color w:val="auto"/>
                <w:spacing w:val="-3"/>
                <w:sz w:val="21"/>
                <w:szCs w:val="21"/>
              </w:rPr>
              <w:t>签约合同价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29" w:type="dxa"/>
            <w:tcBorders>
              <w:top w:val="single" w:color="auto" w:sz="4" w:space="0"/>
              <w:bottom w:val="single" w:color="auto" w:sz="4" w:space="0"/>
            </w:tcBorders>
            <w:noWrap w:val="0"/>
            <w:vAlign w:val="top"/>
          </w:tcPr>
          <w:p>
            <w:pPr>
              <w:pStyle w:val="17"/>
              <w:spacing w:before="115" w:line="226" w:lineRule="exact"/>
              <w:ind w:left="83" w:right="74"/>
              <w:jc w:val="center"/>
              <w:rPr>
                <w:rFonts w:ascii="Times New Roman"/>
                <w:color w:val="auto"/>
                <w:sz w:val="21"/>
                <w:szCs w:val="21"/>
              </w:rPr>
            </w:pPr>
            <w:r>
              <w:rPr>
                <w:rFonts w:ascii="Times New Roman"/>
                <w:color w:val="auto"/>
                <w:sz w:val="21"/>
                <w:szCs w:val="21"/>
              </w:rPr>
              <w:t>16</w:t>
            </w:r>
          </w:p>
        </w:tc>
        <w:tc>
          <w:tcPr>
            <w:tcW w:w="1111" w:type="dxa"/>
            <w:tcBorders>
              <w:top w:val="single" w:color="auto" w:sz="4" w:space="0"/>
              <w:bottom w:val="single" w:color="auto" w:sz="4" w:space="0"/>
            </w:tcBorders>
            <w:noWrap w:val="0"/>
            <w:vAlign w:val="top"/>
          </w:tcPr>
          <w:p>
            <w:pPr>
              <w:pStyle w:val="17"/>
              <w:spacing w:before="92" w:line="250" w:lineRule="exact"/>
              <w:ind w:left="107" w:right="-15"/>
              <w:rPr>
                <w:color w:val="auto"/>
                <w:sz w:val="21"/>
                <w:szCs w:val="21"/>
              </w:rPr>
            </w:pPr>
            <w:r>
              <w:rPr>
                <w:rFonts w:ascii="Times New Roman" w:eastAsia="Times New Roman"/>
                <w:color w:val="auto"/>
                <w:spacing w:val="-6"/>
                <w:sz w:val="21"/>
                <w:szCs w:val="21"/>
              </w:rPr>
              <w:t>17.2.1</w:t>
            </w:r>
            <w:r>
              <w:rPr>
                <w:color w:val="auto"/>
                <w:spacing w:val="-6"/>
                <w:sz w:val="21"/>
                <w:szCs w:val="21"/>
              </w:rPr>
              <w:t>（</w:t>
            </w:r>
            <w:r>
              <w:rPr>
                <w:rFonts w:ascii="Times New Roman" w:eastAsia="Times New Roman"/>
                <w:color w:val="auto"/>
                <w:spacing w:val="-6"/>
                <w:sz w:val="21"/>
                <w:szCs w:val="21"/>
              </w:rPr>
              <w:t>2</w:t>
            </w:r>
            <w:r>
              <w:rPr>
                <w:color w:val="auto"/>
                <w:spacing w:val="-6"/>
                <w:sz w:val="21"/>
                <w:szCs w:val="21"/>
              </w:rPr>
              <w:t>）</w:t>
            </w:r>
          </w:p>
        </w:tc>
        <w:tc>
          <w:tcPr>
            <w:tcW w:w="7305" w:type="dxa"/>
            <w:tcBorders>
              <w:top w:val="single" w:color="auto" w:sz="4" w:space="0"/>
              <w:bottom w:val="single" w:color="auto" w:sz="4" w:space="0"/>
            </w:tcBorders>
            <w:noWrap w:val="0"/>
            <w:vAlign w:val="top"/>
          </w:tcPr>
          <w:p>
            <w:pPr>
              <w:pStyle w:val="17"/>
              <w:tabs>
                <w:tab w:val="left" w:pos="2973"/>
              </w:tabs>
              <w:spacing w:before="92" w:line="250" w:lineRule="exact"/>
              <w:ind w:left="347"/>
              <w:rPr>
                <w:rFonts w:hint="eastAsia"/>
                <w:color w:val="auto"/>
                <w:sz w:val="21"/>
                <w:szCs w:val="21"/>
              </w:rPr>
            </w:pPr>
            <w:r>
              <w:rPr>
                <w:color w:val="auto"/>
                <w:sz w:val="21"/>
                <w:szCs w:val="21"/>
              </w:rPr>
              <w:t>材料</w:t>
            </w:r>
            <w:r>
              <w:rPr>
                <w:color w:val="auto"/>
                <w:spacing w:val="-3"/>
                <w:sz w:val="21"/>
                <w:szCs w:val="21"/>
              </w:rPr>
              <w:t>、</w:t>
            </w:r>
            <w:r>
              <w:rPr>
                <w:color w:val="auto"/>
                <w:sz w:val="21"/>
                <w:szCs w:val="21"/>
              </w:rPr>
              <w:t>设</w:t>
            </w:r>
            <w:r>
              <w:rPr>
                <w:color w:val="auto"/>
                <w:spacing w:val="-3"/>
                <w:sz w:val="21"/>
                <w:szCs w:val="21"/>
              </w:rPr>
              <w:t>备</w:t>
            </w:r>
            <w:r>
              <w:rPr>
                <w:color w:val="auto"/>
                <w:sz w:val="21"/>
                <w:szCs w:val="21"/>
              </w:rPr>
              <w:t>预</w:t>
            </w:r>
            <w:r>
              <w:rPr>
                <w:color w:val="auto"/>
                <w:spacing w:val="-3"/>
                <w:sz w:val="21"/>
                <w:szCs w:val="21"/>
              </w:rPr>
              <w:t>付</w:t>
            </w:r>
            <w:r>
              <w:rPr>
                <w:color w:val="auto"/>
                <w:sz w:val="21"/>
                <w:szCs w:val="21"/>
              </w:rPr>
              <w:t>款</w:t>
            </w:r>
            <w:r>
              <w:rPr>
                <w:color w:val="auto"/>
                <w:spacing w:val="-3"/>
                <w:sz w:val="21"/>
                <w:szCs w:val="21"/>
              </w:rPr>
              <w:t>比</w:t>
            </w:r>
            <w:r>
              <w:rPr>
                <w:color w:val="auto"/>
                <w:sz w:val="21"/>
                <w:szCs w:val="21"/>
              </w:rPr>
              <w:t>例</w:t>
            </w:r>
            <w:r>
              <w:rPr>
                <w:color w:val="auto"/>
                <w:spacing w:val="-3"/>
                <w:sz w:val="21"/>
                <w:szCs w:val="21"/>
              </w:rPr>
              <w:t>：</w:t>
            </w:r>
            <w:r>
              <w:rPr>
                <w:rFonts w:hint="eastAsia"/>
                <w:color w:val="auto"/>
                <w:sz w:val="21"/>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17</w:t>
            </w:r>
          </w:p>
        </w:tc>
        <w:tc>
          <w:tcPr>
            <w:tcW w:w="1111" w:type="dxa"/>
            <w:tcBorders>
              <w:top w:val="single" w:color="auto" w:sz="4" w:space="0"/>
              <w:bottom w:val="single" w:color="auto" w:sz="4" w:space="0"/>
            </w:tcBorders>
            <w:noWrap w:val="0"/>
            <w:vAlign w:val="top"/>
          </w:tcPr>
          <w:p>
            <w:pPr>
              <w:pStyle w:val="17"/>
              <w:spacing w:before="113" w:line="226" w:lineRule="exact"/>
              <w:ind w:left="292"/>
              <w:rPr>
                <w:rFonts w:ascii="Times New Roman"/>
                <w:color w:val="auto"/>
                <w:sz w:val="21"/>
                <w:szCs w:val="21"/>
              </w:rPr>
            </w:pPr>
            <w:r>
              <w:rPr>
                <w:rFonts w:ascii="Times New Roman"/>
                <w:color w:val="auto"/>
                <w:sz w:val="21"/>
                <w:szCs w:val="21"/>
              </w:rPr>
              <w:t>17.3.2</w:t>
            </w:r>
          </w:p>
        </w:tc>
        <w:tc>
          <w:tcPr>
            <w:tcW w:w="7305" w:type="dxa"/>
            <w:tcBorders>
              <w:top w:val="single" w:color="auto" w:sz="4" w:space="0"/>
              <w:bottom w:val="single" w:color="auto" w:sz="4" w:space="0"/>
            </w:tcBorders>
            <w:noWrap w:val="0"/>
            <w:vAlign w:val="top"/>
          </w:tcPr>
          <w:p>
            <w:pPr>
              <w:pStyle w:val="17"/>
              <w:spacing w:before="89" w:line="250" w:lineRule="exact"/>
              <w:ind w:left="342"/>
              <w:rPr>
                <w:color w:val="auto"/>
                <w:sz w:val="21"/>
                <w:szCs w:val="21"/>
              </w:rPr>
            </w:pPr>
            <w:r>
              <w:rPr>
                <w:color w:val="auto"/>
                <w:sz w:val="21"/>
                <w:szCs w:val="21"/>
              </w:rPr>
              <w:t>承包人在每个付款周期末向监理人提交进度付款申请单的份数：</w:t>
            </w:r>
            <w:r>
              <w:rPr>
                <w:rFonts w:hint="eastAsia"/>
                <w:color w:val="auto"/>
                <w:sz w:val="21"/>
                <w:szCs w:val="21"/>
              </w:rPr>
              <w:t>3</w:t>
            </w:r>
            <w:r>
              <w:rPr>
                <w:color w:val="auto"/>
                <w:sz w:val="21"/>
                <w:szCs w:val="21"/>
                <w:u w:val="single"/>
              </w:rPr>
              <w:t xml:space="preserve"> </w:t>
            </w:r>
            <w:r>
              <w:rPr>
                <w:color w:val="auto"/>
                <w:sz w:val="21"/>
                <w:szCs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18</w:t>
            </w:r>
          </w:p>
        </w:tc>
        <w:tc>
          <w:tcPr>
            <w:tcW w:w="1111" w:type="dxa"/>
            <w:tcBorders>
              <w:top w:val="single" w:color="auto" w:sz="4" w:space="0"/>
              <w:bottom w:val="single" w:color="auto" w:sz="4" w:space="0"/>
            </w:tcBorders>
            <w:noWrap w:val="0"/>
            <w:vAlign w:val="top"/>
          </w:tcPr>
          <w:p>
            <w:pPr>
              <w:pStyle w:val="17"/>
              <w:spacing w:before="90" w:line="250" w:lineRule="exact"/>
              <w:ind w:left="107" w:right="-15"/>
              <w:rPr>
                <w:color w:val="auto"/>
                <w:sz w:val="21"/>
              </w:rPr>
            </w:pPr>
            <w:r>
              <w:rPr>
                <w:rFonts w:ascii="Times New Roman" w:eastAsia="Times New Roman"/>
                <w:color w:val="auto"/>
                <w:spacing w:val="-6"/>
                <w:sz w:val="21"/>
              </w:rPr>
              <w:t>17.3.3</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tabs>
                <w:tab w:val="left" w:pos="3079"/>
                <w:tab w:val="left" w:pos="4935"/>
              </w:tabs>
              <w:spacing w:before="90" w:line="250" w:lineRule="exact"/>
              <w:ind w:left="347"/>
              <w:rPr>
                <w:rFonts w:hint="eastAsia"/>
                <w:color w:val="auto"/>
                <w:sz w:val="11"/>
              </w:rPr>
            </w:pPr>
            <w:r>
              <w:rPr>
                <w:color w:val="auto"/>
                <w:sz w:val="21"/>
              </w:rPr>
              <w:t>进度</w:t>
            </w:r>
            <w:r>
              <w:rPr>
                <w:color w:val="auto"/>
                <w:spacing w:val="-3"/>
                <w:sz w:val="21"/>
              </w:rPr>
              <w:t>付</w:t>
            </w:r>
            <w:r>
              <w:rPr>
                <w:color w:val="auto"/>
                <w:sz w:val="21"/>
              </w:rPr>
              <w:t>款</w:t>
            </w:r>
            <w:r>
              <w:rPr>
                <w:color w:val="auto"/>
                <w:spacing w:val="-3"/>
                <w:sz w:val="21"/>
              </w:rPr>
              <w:t>证</w:t>
            </w:r>
            <w:r>
              <w:rPr>
                <w:color w:val="auto"/>
                <w:sz w:val="21"/>
              </w:rPr>
              <w:t>书</w:t>
            </w:r>
            <w:r>
              <w:rPr>
                <w:color w:val="auto"/>
                <w:spacing w:val="-3"/>
                <w:sz w:val="21"/>
              </w:rPr>
              <w:t>最</w:t>
            </w:r>
            <w:r>
              <w:rPr>
                <w:color w:val="auto"/>
                <w:sz w:val="21"/>
              </w:rPr>
              <w:t>低</w:t>
            </w:r>
            <w:r>
              <w:rPr>
                <w:color w:val="auto"/>
                <w:spacing w:val="-3"/>
                <w:sz w:val="21"/>
              </w:rPr>
              <w:t>限</w:t>
            </w:r>
            <w:r>
              <w:rPr>
                <w:color w:val="auto"/>
                <w:sz w:val="21"/>
              </w:rPr>
              <w:t>额</w:t>
            </w:r>
            <w:r>
              <w:rPr>
                <w:color w:val="auto"/>
                <w:spacing w:val="-3"/>
                <w:sz w:val="21"/>
              </w:rPr>
              <w:t>：</w:t>
            </w:r>
            <w:r>
              <w:rPr>
                <w:rFonts w:hint="eastAsia" w:ascii="Times New Roman" w:hAnsi="Times New Roman"/>
                <w:color w:val="auto"/>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19</w:t>
            </w:r>
          </w:p>
        </w:tc>
        <w:tc>
          <w:tcPr>
            <w:tcW w:w="1111" w:type="dxa"/>
            <w:tcBorders>
              <w:top w:val="single" w:color="auto" w:sz="4" w:space="0"/>
              <w:bottom w:val="single" w:color="auto" w:sz="4" w:space="0"/>
            </w:tcBorders>
            <w:noWrap w:val="0"/>
            <w:vAlign w:val="top"/>
          </w:tcPr>
          <w:p>
            <w:pPr>
              <w:pStyle w:val="17"/>
              <w:spacing w:before="90" w:line="250" w:lineRule="exact"/>
              <w:ind w:left="107" w:right="-15"/>
              <w:rPr>
                <w:color w:val="auto"/>
                <w:sz w:val="21"/>
              </w:rPr>
            </w:pPr>
            <w:r>
              <w:rPr>
                <w:rFonts w:ascii="Times New Roman" w:eastAsia="Times New Roman"/>
                <w:color w:val="auto"/>
                <w:spacing w:val="-6"/>
                <w:sz w:val="21"/>
              </w:rPr>
              <w:t>17.3.3</w:t>
            </w:r>
            <w:r>
              <w:rPr>
                <w:color w:val="auto"/>
                <w:spacing w:val="-6"/>
                <w:sz w:val="21"/>
              </w:rPr>
              <w:t>（</w:t>
            </w:r>
            <w:r>
              <w:rPr>
                <w:rFonts w:ascii="Times New Roman" w:eastAsia="Times New Roman"/>
                <w:color w:val="auto"/>
                <w:spacing w:val="-6"/>
                <w:sz w:val="21"/>
              </w:rPr>
              <w:t>2</w:t>
            </w:r>
            <w:r>
              <w:rPr>
                <w:color w:val="auto"/>
                <w:spacing w:val="-6"/>
                <w:sz w:val="21"/>
              </w:rPr>
              <w:t>）</w:t>
            </w:r>
          </w:p>
        </w:tc>
        <w:tc>
          <w:tcPr>
            <w:tcW w:w="7305" w:type="dxa"/>
            <w:tcBorders>
              <w:top w:val="single" w:color="auto" w:sz="4" w:space="0"/>
              <w:bottom w:val="single" w:color="auto" w:sz="4" w:space="0"/>
            </w:tcBorders>
            <w:noWrap w:val="0"/>
            <w:vAlign w:val="top"/>
          </w:tcPr>
          <w:p>
            <w:pPr>
              <w:pStyle w:val="17"/>
              <w:tabs>
                <w:tab w:val="left" w:pos="3185"/>
              </w:tabs>
              <w:spacing w:before="90" w:line="250" w:lineRule="exact"/>
              <w:ind w:left="347"/>
              <w:rPr>
                <w:rFonts w:hint="eastAsia"/>
                <w:color w:val="auto"/>
                <w:sz w:val="11"/>
              </w:rPr>
            </w:pPr>
            <w:r>
              <w:rPr>
                <w:color w:val="auto"/>
                <w:sz w:val="21"/>
              </w:rPr>
              <w:t>逾期</w:t>
            </w:r>
            <w:r>
              <w:rPr>
                <w:color w:val="auto"/>
                <w:spacing w:val="-3"/>
                <w:sz w:val="21"/>
              </w:rPr>
              <w:t>付</w:t>
            </w:r>
            <w:r>
              <w:rPr>
                <w:color w:val="auto"/>
                <w:sz w:val="21"/>
              </w:rPr>
              <w:t>款</w:t>
            </w:r>
            <w:r>
              <w:rPr>
                <w:color w:val="auto"/>
                <w:spacing w:val="-3"/>
                <w:sz w:val="21"/>
              </w:rPr>
              <w:t>违</w:t>
            </w:r>
            <w:r>
              <w:rPr>
                <w:color w:val="auto"/>
                <w:sz w:val="21"/>
              </w:rPr>
              <w:t>约</w:t>
            </w:r>
            <w:r>
              <w:rPr>
                <w:color w:val="auto"/>
                <w:spacing w:val="-3"/>
                <w:sz w:val="21"/>
              </w:rPr>
              <w:t>金</w:t>
            </w:r>
            <w:r>
              <w:rPr>
                <w:color w:val="auto"/>
                <w:sz w:val="21"/>
              </w:rPr>
              <w:t>的</w:t>
            </w:r>
            <w:r>
              <w:rPr>
                <w:color w:val="auto"/>
                <w:spacing w:val="-3"/>
                <w:sz w:val="21"/>
              </w:rPr>
              <w:t>利</w:t>
            </w:r>
            <w:r>
              <w:rPr>
                <w:color w:val="auto"/>
                <w:sz w:val="21"/>
              </w:rPr>
              <w:t>率</w:t>
            </w:r>
            <w:r>
              <w:rPr>
                <w:color w:val="auto"/>
                <w:spacing w:val="-3"/>
                <w:sz w:val="21"/>
              </w:rPr>
              <w:t>：</w:t>
            </w:r>
            <w:r>
              <w:rPr>
                <w:color w:val="auto"/>
                <w:spacing w:val="-3"/>
                <w:sz w:val="21"/>
                <w:u w:val="single"/>
              </w:rPr>
              <w:t xml:space="preserve"> </w:t>
            </w:r>
            <w:r>
              <w:rPr>
                <w:rFonts w:hint="eastAsia"/>
                <w:color w:val="auto"/>
                <w:spacing w:val="-3"/>
                <w:sz w:val="21"/>
                <w:u w:val="single"/>
              </w:rPr>
              <w:t xml:space="preserve">0 </w:t>
            </w:r>
            <w:r>
              <w:rPr>
                <w:rFonts w:ascii="Times New Roman" w:hAnsi="Times New Roman" w:eastAsia="Times New Roman"/>
                <w:color w:val="auto"/>
                <w:sz w:val="21"/>
              </w:rPr>
              <w:t>‰/</w:t>
            </w:r>
            <w:r>
              <w:rPr>
                <w:color w:val="auto"/>
                <w:spacing w:val="-3"/>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center"/>
          </w:tcPr>
          <w:p>
            <w:pPr>
              <w:pStyle w:val="17"/>
              <w:spacing w:before="178"/>
              <w:ind w:left="83" w:right="74"/>
              <w:jc w:val="center"/>
              <w:rPr>
                <w:rFonts w:ascii="Times New Roman"/>
                <w:color w:val="auto"/>
                <w:sz w:val="21"/>
              </w:rPr>
            </w:pPr>
            <w:r>
              <w:rPr>
                <w:rFonts w:ascii="Times New Roman"/>
                <w:color w:val="auto"/>
                <w:sz w:val="21"/>
              </w:rPr>
              <w:t>20</w:t>
            </w:r>
          </w:p>
        </w:tc>
        <w:tc>
          <w:tcPr>
            <w:tcW w:w="1111" w:type="dxa"/>
            <w:tcBorders>
              <w:top w:val="single" w:color="auto" w:sz="4" w:space="0"/>
              <w:bottom w:val="single" w:color="auto" w:sz="4" w:space="0"/>
            </w:tcBorders>
            <w:noWrap w:val="0"/>
            <w:vAlign w:val="center"/>
          </w:tcPr>
          <w:p>
            <w:pPr>
              <w:pStyle w:val="17"/>
              <w:spacing w:before="178"/>
              <w:ind w:left="292"/>
              <w:jc w:val="center"/>
              <w:rPr>
                <w:rFonts w:ascii="Times New Roman"/>
                <w:color w:val="auto"/>
                <w:sz w:val="21"/>
              </w:rPr>
            </w:pPr>
            <w:r>
              <w:rPr>
                <w:rFonts w:ascii="Times New Roman"/>
                <w:color w:val="auto"/>
                <w:sz w:val="21"/>
              </w:rPr>
              <w:t>17.4.1</w:t>
            </w:r>
          </w:p>
        </w:tc>
        <w:tc>
          <w:tcPr>
            <w:tcW w:w="7305" w:type="dxa"/>
            <w:tcBorders>
              <w:top w:val="single" w:color="auto" w:sz="4" w:space="0"/>
              <w:bottom w:val="single" w:color="auto" w:sz="4" w:space="0"/>
            </w:tcBorders>
            <w:noWrap w:val="0"/>
            <w:vAlign w:val="center"/>
          </w:tcPr>
          <w:p>
            <w:pPr>
              <w:pStyle w:val="17"/>
              <w:tabs>
                <w:tab w:val="left" w:pos="3079"/>
                <w:tab w:val="left" w:pos="4935"/>
              </w:tabs>
              <w:spacing w:before="90" w:line="250" w:lineRule="exact"/>
              <w:ind w:left="347"/>
              <w:jc w:val="both"/>
              <w:rPr>
                <w:color w:val="auto"/>
                <w:sz w:val="21"/>
              </w:rPr>
            </w:pPr>
            <w:r>
              <w:rPr>
                <w:rFonts w:hint="eastAsia"/>
                <w:color w:val="auto"/>
                <w:sz w:val="21"/>
              </w:rPr>
              <w:t>质量保证金限额：在缺陷责任期结束后向承包人返还质量保证金。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21</w:t>
            </w:r>
          </w:p>
        </w:tc>
        <w:tc>
          <w:tcPr>
            <w:tcW w:w="1111" w:type="dxa"/>
            <w:tcBorders>
              <w:top w:val="single" w:color="auto" w:sz="4" w:space="0"/>
              <w:bottom w:val="single" w:color="auto" w:sz="4" w:space="0"/>
            </w:tcBorders>
            <w:noWrap w:val="0"/>
            <w:vAlign w:val="top"/>
          </w:tcPr>
          <w:p>
            <w:pPr>
              <w:pStyle w:val="17"/>
              <w:rPr>
                <w:color w:val="auto"/>
                <w:sz w:val="21"/>
              </w:rPr>
            </w:pPr>
          </w:p>
          <w:p>
            <w:pPr>
              <w:pStyle w:val="17"/>
              <w:ind w:left="107" w:right="-15"/>
              <w:rPr>
                <w:color w:val="auto"/>
                <w:sz w:val="21"/>
              </w:rPr>
            </w:pPr>
            <w:r>
              <w:rPr>
                <w:rFonts w:ascii="Times New Roman" w:eastAsia="Times New Roman"/>
                <w:color w:val="auto"/>
                <w:spacing w:val="-6"/>
                <w:sz w:val="21"/>
              </w:rPr>
              <w:t>17.5.1</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spacing w:before="89"/>
              <w:ind w:left="347"/>
              <w:rPr>
                <w:color w:val="auto"/>
                <w:sz w:val="21"/>
              </w:rPr>
            </w:pPr>
            <w:r>
              <w:rPr>
                <w:color w:val="auto"/>
                <w:sz w:val="21"/>
              </w:rPr>
              <w:t>承包人向监理人提交交工付款申请单（包括相关证明材料）的份数：</w:t>
            </w:r>
            <w:r>
              <w:rPr>
                <w:rFonts w:hint="eastAsia" w:ascii="Times New Roman"/>
                <w:color w:val="auto"/>
                <w:sz w:val="21"/>
                <w:u w:val="single"/>
              </w:rPr>
              <w:t>3</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22</w:t>
            </w:r>
          </w:p>
        </w:tc>
        <w:tc>
          <w:tcPr>
            <w:tcW w:w="1111" w:type="dxa"/>
            <w:tcBorders>
              <w:top w:val="single" w:color="auto" w:sz="4" w:space="0"/>
              <w:bottom w:val="single" w:color="auto" w:sz="4" w:space="0"/>
            </w:tcBorders>
            <w:noWrap w:val="0"/>
            <w:vAlign w:val="top"/>
          </w:tcPr>
          <w:p>
            <w:pPr>
              <w:pStyle w:val="17"/>
              <w:rPr>
                <w:color w:val="auto"/>
                <w:sz w:val="21"/>
              </w:rPr>
            </w:pPr>
          </w:p>
          <w:p>
            <w:pPr>
              <w:pStyle w:val="17"/>
              <w:ind w:left="107" w:right="-15"/>
              <w:rPr>
                <w:color w:val="auto"/>
                <w:sz w:val="21"/>
              </w:rPr>
            </w:pPr>
            <w:r>
              <w:rPr>
                <w:rFonts w:ascii="Times New Roman" w:eastAsia="Times New Roman"/>
                <w:color w:val="auto"/>
                <w:spacing w:val="-6"/>
                <w:sz w:val="21"/>
              </w:rPr>
              <w:t>17.6.1</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spacing w:before="90"/>
              <w:ind w:left="347"/>
              <w:rPr>
                <w:color w:val="auto"/>
                <w:sz w:val="21"/>
              </w:rPr>
            </w:pPr>
            <w:r>
              <w:rPr>
                <w:color w:val="auto"/>
                <w:sz w:val="21"/>
              </w:rPr>
              <w:t>承包人向监理人提交最终结清申请单（包括相关证明材料）的份数：</w:t>
            </w:r>
            <w:r>
              <w:rPr>
                <w:rFonts w:hint="eastAsia" w:ascii="Times New Roman"/>
                <w:color w:val="auto"/>
                <w:sz w:val="21"/>
                <w:u w:val="single"/>
              </w:rPr>
              <w:t>3</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23</w:t>
            </w:r>
          </w:p>
        </w:tc>
        <w:tc>
          <w:tcPr>
            <w:tcW w:w="1111" w:type="dxa"/>
            <w:tcBorders>
              <w:top w:val="single" w:color="auto" w:sz="4" w:space="0"/>
              <w:bottom w:val="single" w:color="auto" w:sz="4" w:space="0"/>
            </w:tcBorders>
            <w:noWrap w:val="0"/>
            <w:vAlign w:val="top"/>
          </w:tcPr>
          <w:p>
            <w:pPr>
              <w:pStyle w:val="17"/>
              <w:spacing w:before="90" w:line="250" w:lineRule="exact"/>
              <w:ind w:left="107"/>
              <w:rPr>
                <w:color w:val="auto"/>
                <w:sz w:val="21"/>
              </w:rPr>
            </w:pPr>
            <w:r>
              <w:rPr>
                <w:rFonts w:ascii="Times New Roman" w:eastAsia="Times New Roman"/>
                <w:color w:val="auto"/>
                <w:sz w:val="21"/>
              </w:rPr>
              <w:t>18.2</w:t>
            </w:r>
            <w:r>
              <w:rPr>
                <w:color w:val="auto"/>
                <w:sz w:val="21"/>
              </w:rPr>
              <w:t>（</w:t>
            </w:r>
            <w:r>
              <w:rPr>
                <w:rFonts w:ascii="Times New Roman" w:eastAsia="Times New Roman"/>
                <w:color w:val="auto"/>
                <w:sz w:val="21"/>
              </w:rPr>
              <w:t>2</w:t>
            </w:r>
            <w:r>
              <w:rPr>
                <w:color w:val="auto"/>
                <w:sz w:val="21"/>
              </w:rPr>
              <w:t>）</w:t>
            </w:r>
          </w:p>
        </w:tc>
        <w:tc>
          <w:tcPr>
            <w:tcW w:w="7305" w:type="dxa"/>
            <w:tcBorders>
              <w:top w:val="single" w:color="auto" w:sz="4" w:space="0"/>
              <w:bottom w:val="single" w:color="auto" w:sz="4" w:space="0"/>
            </w:tcBorders>
            <w:noWrap w:val="0"/>
            <w:vAlign w:val="top"/>
          </w:tcPr>
          <w:p>
            <w:pPr>
              <w:pStyle w:val="17"/>
              <w:tabs>
                <w:tab w:val="left" w:pos="2659"/>
              </w:tabs>
              <w:spacing w:before="90" w:line="250" w:lineRule="exact"/>
              <w:ind w:left="347"/>
              <w:rPr>
                <w:color w:val="auto"/>
                <w:sz w:val="21"/>
              </w:rPr>
            </w:pPr>
            <w:r>
              <w:rPr>
                <w:color w:val="auto"/>
                <w:sz w:val="21"/>
              </w:rPr>
              <w:t>竣工</w:t>
            </w:r>
            <w:r>
              <w:rPr>
                <w:color w:val="auto"/>
                <w:spacing w:val="-3"/>
                <w:sz w:val="21"/>
              </w:rPr>
              <w:t>资</w:t>
            </w:r>
            <w:r>
              <w:rPr>
                <w:color w:val="auto"/>
                <w:sz w:val="21"/>
              </w:rPr>
              <w:t>料</w:t>
            </w:r>
            <w:r>
              <w:rPr>
                <w:color w:val="auto"/>
                <w:spacing w:val="-3"/>
                <w:sz w:val="21"/>
              </w:rPr>
              <w:t>的</w:t>
            </w:r>
            <w:r>
              <w:rPr>
                <w:color w:val="auto"/>
                <w:sz w:val="21"/>
              </w:rPr>
              <w:t>份</w:t>
            </w:r>
            <w:r>
              <w:rPr>
                <w:color w:val="auto"/>
                <w:spacing w:val="-3"/>
                <w:sz w:val="21"/>
              </w:rPr>
              <w:t>数</w:t>
            </w:r>
            <w:r>
              <w:rPr>
                <w:color w:val="auto"/>
                <w:sz w:val="21"/>
              </w:rPr>
              <w:t>：</w:t>
            </w:r>
            <w:r>
              <w:rPr>
                <w:color w:val="auto"/>
                <w:sz w:val="21"/>
                <w:u w:val="single"/>
              </w:rPr>
              <w:t xml:space="preserve"> </w:t>
            </w:r>
            <w:r>
              <w:rPr>
                <w:rFonts w:hint="eastAsia"/>
                <w:color w:val="auto"/>
                <w:sz w:val="21"/>
                <w:u w:val="single"/>
              </w:rPr>
              <w:t>3</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rPr>
                <w:color w:val="auto"/>
              </w:rPr>
            </w:pPr>
          </w:p>
          <w:p>
            <w:pPr>
              <w:pStyle w:val="17"/>
              <w:spacing w:before="194"/>
              <w:ind w:left="83" w:right="74"/>
              <w:jc w:val="center"/>
              <w:rPr>
                <w:rFonts w:ascii="Times New Roman"/>
                <w:color w:val="auto"/>
                <w:sz w:val="21"/>
              </w:rPr>
            </w:pPr>
            <w:r>
              <w:rPr>
                <w:rFonts w:ascii="Times New Roman"/>
                <w:color w:val="auto"/>
                <w:sz w:val="21"/>
              </w:rPr>
              <w:t>24</w:t>
            </w:r>
          </w:p>
        </w:tc>
        <w:tc>
          <w:tcPr>
            <w:tcW w:w="1111" w:type="dxa"/>
            <w:tcBorders>
              <w:top w:val="single" w:color="auto" w:sz="4" w:space="0"/>
              <w:bottom w:val="single" w:color="auto" w:sz="4" w:space="0"/>
            </w:tcBorders>
            <w:noWrap w:val="0"/>
            <w:vAlign w:val="top"/>
          </w:tcPr>
          <w:p>
            <w:pPr>
              <w:pStyle w:val="17"/>
              <w:rPr>
                <w:rFonts w:hint="eastAsia"/>
                <w:color w:val="auto"/>
              </w:rPr>
            </w:pPr>
          </w:p>
          <w:p>
            <w:pPr>
              <w:pStyle w:val="17"/>
              <w:spacing w:before="194"/>
              <w:ind w:left="292"/>
              <w:rPr>
                <w:rFonts w:ascii="Times New Roman"/>
                <w:color w:val="auto"/>
                <w:sz w:val="21"/>
              </w:rPr>
            </w:pPr>
            <w:r>
              <w:rPr>
                <w:rFonts w:ascii="Times New Roman"/>
                <w:color w:val="auto"/>
                <w:sz w:val="21"/>
              </w:rPr>
              <w:t>18.5.1</w:t>
            </w:r>
          </w:p>
        </w:tc>
        <w:tc>
          <w:tcPr>
            <w:tcW w:w="7305" w:type="dxa"/>
            <w:tcBorders>
              <w:top w:val="single" w:color="auto" w:sz="4" w:space="0"/>
              <w:bottom w:val="single" w:color="auto" w:sz="4" w:space="0"/>
            </w:tcBorders>
            <w:noWrap w:val="0"/>
            <w:vAlign w:val="center"/>
          </w:tcPr>
          <w:p>
            <w:pPr>
              <w:pStyle w:val="17"/>
              <w:spacing w:before="92"/>
              <w:ind w:left="347"/>
              <w:jc w:val="both"/>
              <w:rPr>
                <w:rFonts w:hint="eastAsia"/>
                <w:color w:val="auto"/>
                <w:sz w:val="21"/>
              </w:rPr>
            </w:pPr>
            <w:r>
              <w:rPr>
                <w:color w:val="auto"/>
                <w:sz w:val="21"/>
              </w:rPr>
              <w:t>单位工程或工程设备是否需投入施工期运行：</w:t>
            </w:r>
            <w:r>
              <w:rPr>
                <w:color w:val="auto"/>
                <w:sz w:val="21"/>
                <w:u w:val="single"/>
              </w:rPr>
              <w:t xml:space="preserve">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25</w:t>
            </w:r>
          </w:p>
        </w:tc>
        <w:tc>
          <w:tcPr>
            <w:tcW w:w="1111" w:type="dxa"/>
            <w:tcBorders>
              <w:top w:val="single" w:color="auto" w:sz="4" w:space="0"/>
              <w:bottom w:val="single" w:color="auto" w:sz="4" w:space="0"/>
            </w:tcBorders>
            <w:noWrap w:val="0"/>
            <w:vAlign w:val="top"/>
          </w:tcPr>
          <w:p>
            <w:pPr>
              <w:pStyle w:val="17"/>
              <w:spacing w:before="11"/>
              <w:rPr>
                <w:color w:val="auto"/>
              </w:rPr>
            </w:pPr>
          </w:p>
          <w:p>
            <w:pPr>
              <w:pStyle w:val="17"/>
              <w:ind w:left="292"/>
              <w:rPr>
                <w:rFonts w:ascii="Times New Roman"/>
                <w:color w:val="auto"/>
                <w:sz w:val="21"/>
              </w:rPr>
            </w:pPr>
            <w:r>
              <w:rPr>
                <w:rFonts w:ascii="Times New Roman"/>
                <w:color w:val="auto"/>
                <w:sz w:val="21"/>
              </w:rPr>
              <w:t>18.6.1</w:t>
            </w:r>
          </w:p>
        </w:tc>
        <w:tc>
          <w:tcPr>
            <w:tcW w:w="7305" w:type="dxa"/>
            <w:tcBorders>
              <w:top w:val="single" w:color="auto" w:sz="4" w:space="0"/>
              <w:bottom w:val="single" w:color="auto" w:sz="4" w:space="0"/>
            </w:tcBorders>
            <w:noWrap w:val="0"/>
            <w:vAlign w:val="center"/>
          </w:tcPr>
          <w:p>
            <w:pPr>
              <w:pStyle w:val="17"/>
              <w:spacing w:before="89"/>
              <w:ind w:left="347"/>
              <w:jc w:val="both"/>
              <w:rPr>
                <w:rFonts w:hint="eastAsia"/>
                <w:color w:val="auto"/>
                <w:sz w:val="21"/>
              </w:rPr>
            </w:pPr>
            <w:r>
              <w:rPr>
                <w:color w:val="auto"/>
                <w:sz w:val="21"/>
              </w:rPr>
              <w:t>本工程及工程设备是否进行试运行：</w:t>
            </w:r>
            <w:r>
              <w:rPr>
                <w:color w:val="auto"/>
                <w:sz w:val="21"/>
                <w:u w:val="single"/>
              </w:rPr>
              <w:t xml:space="preserve">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26</w:t>
            </w:r>
          </w:p>
        </w:tc>
        <w:tc>
          <w:tcPr>
            <w:tcW w:w="1111" w:type="dxa"/>
            <w:tcBorders>
              <w:top w:val="single" w:color="auto" w:sz="4" w:space="0"/>
              <w:bottom w:val="single" w:color="auto" w:sz="4" w:space="0"/>
            </w:tcBorders>
            <w:noWrap w:val="0"/>
            <w:vAlign w:val="top"/>
          </w:tcPr>
          <w:p>
            <w:pPr>
              <w:pStyle w:val="17"/>
              <w:spacing w:before="89" w:line="250" w:lineRule="exact"/>
              <w:ind w:left="107"/>
              <w:rPr>
                <w:color w:val="auto"/>
                <w:sz w:val="21"/>
              </w:rPr>
            </w:pPr>
            <w:r>
              <w:rPr>
                <w:rFonts w:ascii="Times New Roman" w:eastAsia="Times New Roman"/>
                <w:color w:val="auto"/>
                <w:sz w:val="21"/>
              </w:rPr>
              <w:t>19.7</w:t>
            </w:r>
            <w:r>
              <w:rPr>
                <w:color w:val="auto"/>
                <w:sz w:val="21"/>
              </w:rPr>
              <w:t>（</w:t>
            </w:r>
            <w:r>
              <w:rPr>
                <w:rFonts w:ascii="Times New Roman" w:eastAsia="Times New Roman"/>
                <w:color w:val="auto"/>
                <w:sz w:val="21"/>
              </w:rPr>
              <w:t>1</w:t>
            </w:r>
            <w:r>
              <w:rPr>
                <w:color w:val="auto"/>
                <w:sz w:val="21"/>
              </w:rPr>
              <w:t>）</w:t>
            </w:r>
          </w:p>
        </w:tc>
        <w:tc>
          <w:tcPr>
            <w:tcW w:w="7305" w:type="dxa"/>
            <w:tcBorders>
              <w:top w:val="single" w:color="auto" w:sz="4" w:space="0"/>
              <w:bottom w:val="single" w:color="auto" w:sz="4" w:space="0"/>
            </w:tcBorders>
            <w:noWrap w:val="0"/>
            <w:vAlign w:val="top"/>
          </w:tcPr>
          <w:p>
            <w:pPr>
              <w:pStyle w:val="17"/>
              <w:tabs>
                <w:tab w:val="left" w:pos="3816"/>
              </w:tabs>
              <w:spacing w:before="89" w:line="250" w:lineRule="exact"/>
              <w:ind w:left="347"/>
              <w:rPr>
                <w:rFonts w:hint="eastAsia"/>
                <w:color w:val="auto"/>
                <w:sz w:val="11"/>
              </w:rPr>
            </w:pPr>
            <w:r>
              <w:rPr>
                <w:color w:val="auto"/>
                <w:sz w:val="21"/>
              </w:rPr>
              <w:t>保修</w:t>
            </w:r>
            <w:r>
              <w:rPr>
                <w:color w:val="auto"/>
                <w:spacing w:val="-3"/>
                <w:sz w:val="21"/>
              </w:rPr>
              <w:t>期</w:t>
            </w:r>
            <w:r>
              <w:rPr>
                <w:color w:val="auto"/>
                <w:sz w:val="21"/>
              </w:rPr>
              <w:t>：</w:t>
            </w:r>
            <w:r>
              <w:rPr>
                <w:color w:val="auto"/>
                <w:spacing w:val="-3"/>
                <w:sz w:val="21"/>
              </w:rPr>
              <w:t>自</w:t>
            </w:r>
            <w:r>
              <w:rPr>
                <w:color w:val="auto"/>
                <w:sz w:val="21"/>
              </w:rPr>
              <w:t>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起计算</w:t>
            </w:r>
            <w:r>
              <w:rPr>
                <w:color w:val="auto"/>
                <w:sz w:val="21"/>
                <w:u w:val="single"/>
              </w:rPr>
              <w:t xml:space="preserve"> </w:t>
            </w:r>
            <w:r>
              <w:rPr>
                <w:rFonts w:hint="eastAsia"/>
                <w:color w:val="auto"/>
                <w:sz w:val="21"/>
                <w:u w:val="single"/>
              </w:rPr>
              <w:t xml:space="preserve">2 </w:t>
            </w:r>
            <w:r>
              <w:rPr>
                <w:color w:val="auto"/>
                <w:spacing w:val="-3"/>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27</w:t>
            </w:r>
          </w:p>
        </w:tc>
        <w:tc>
          <w:tcPr>
            <w:tcW w:w="1111" w:type="dxa"/>
            <w:tcBorders>
              <w:top w:val="single" w:color="auto" w:sz="4" w:space="0"/>
              <w:bottom w:val="single" w:color="auto" w:sz="4" w:space="0"/>
            </w:tcBorders>
            <w:noWrap w:val="0"/>
            <w:vAlign w:val="top"/>
          </w:tcPr>
          <w:p>
            <w:pPr>
              <w:pStyle w:val="17"/>
              <w:spacing w:before="113" w:line="226" w:lineRule="exact"/>
              <w:ind w:left="371"/>
              <w:rPr>
                <w:rFonts w:ascii="Times New Roman"/>
                <w:color w:val="auto"/>
                <w:sz w:val="21"/>
              </w:rPr>
            </w:pPr>
            <w:r>
              <w:rPr>
                <w:rFonts w:ascii="Times New Roman"/>
                <w:color w:val="auto"/>
                <w:sz w:val="21"/>
              </w:rPr>
              <w:t>20.1</w:t>
            </w:r>
          </w:p>
        </w:tc>
        <w:tc>
          <w:tcPr>
            <w:tcW w:w="7305" w:type="dxa"/>
            <w:tcBorders>
              <w:top w:val="single" w:color="auto" w:sz="4" w:space="0"/>
              <w:bottom w:val="single" w:color="auto" w:sz="4" w:space="0"/>
            </w:tcBorders>
            <w:noWrap w:val="0"/>
            <w:vAlign w:val="top"/>
          </w:tcPr>
          <w:p>
            <w:pPr>
              <w:pStyle w:val="17"/>
              <w:tabs>
                <w:tab w:val="left" w:pos="3502"/>
              </w:tabs>
              <w:spacing w:before="89" w:line="250" w:lineRule="exact"/>
              <w:ind w:left="347"/>
              <w:rPr>
                <w:rFonts w:hint="eastAsia" w:ascii="Times New Roman" w:hAnsi="Times New Roman"/>
                <w:color w:val="auto"/>
                <w:sz w:val="21"/>
              </w:rPr>
            </w:pPr>
            <w:r>
              <w:rPr>
                <w:color w:val="auto"/>
                <w:spacing w:val="-3"/>
                <w:sz w:val="21"/>
              </w:rPr>
              <w:t>工</w:t>
            </w:r>
            <w:r>
              <w:rPr>
                <w:color w:val="auto"/>
                <w:sz w:val="21"/>
              </w:rPr>
              <w:t>程</w:t>
            </w:r>
            <w:r>
              <w:rPr>
                <w:color w:val="auto"/>
                <w:spacing w:val="-3"/>
                <w:sz w:val="21"/>
              </w:rPr>
              <w:t>一</w:t>
            </w:r>
            <w:r>
              <w:rPr>
                <w:color w:val="auto"/>
                <w:sz w:val="21"/>
              </w:rPr>
              <w:t>切</w:t>
            </w:r>
            <w:r>
              <w:rPr>
                <w:color w:val="auto"/>
                <w:spacing w:val="-3"/>
                <w:sz w:val="21"/>
              </w:rPr>
              <w:t>险</w:t>
            </w:r>
            <w:r>
              <w:rPr>
                <w:color w:val="auto"/>
                <w:sz w:val="21"/>
              </w:rPr>
              <w:t>的</w:t>
            </w:r>
            <w:r>
              <w:rPr>
                <w:color w:val="auto"/>
                <w:spacing w:val="-3"/>
                <w:sz w:val="21"/>
              </w:rPr>
              <w:t>保</w:t>
            </w:r>
            <w:r>
              <w:rPr>
                <w:color w:val="auto"/>
                <w:sz w:val="21"/>
              </w:rPr>
              <w:t>险</w:t>
            </w:r>
            <w:r>
              <w:rPr>
                <w:color w:val="auto"/>
                <w:spacing w:val="-3"/>
                <w:sz w:val="21"/>
              </w:rPr>
              <w:t>费</w:t>
            </w:r>
            <w:r>
              <w:rPr>
                <w:color w:val="auto"/>
                <w:sz w:val="21"/>
              </w:rPr>
              <w:t>率：</w:t>
            </w:r>
            <w:r>
              <w:rPr>
                <w:rFonts w:hint="eastAsia" w:ascii="Times New Roman" w:hAnsi="Times New Roman"/>
                <w:color w:val="auto"/>
                <w:sz w:val="21"/>
              </w:rPr>
              <w:t>按相关规定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2"/>
              <w:rPr>
                <w:color w:val="auto"/>
              </w:rPr>
            </w:pPr>
          </w:p>
          <w:p>
            <w:pPr>
              <w:pStyle w:val="17"/>
              <w:ind w:left="83" w:right="74"/>
              <w:jc w:val="center"/>
              <w:rPr>
                <w:rFonts w:ascii="Times New Roman"/>
                <w:color w:val="auto"/>
                <w:sz w:val="21"/>
              </w:rPr>
            </w:pPr>
            <w:r>
              <w:rPr>
                <w:rFonts w:ascii="Times New Roman"/>
                <w:color w:val="auto"/>
                <w:sz w:val="21"/>
              </w:rPr>
              <w:t>28</w:t>
            </w:r>
          </w:p>
        </w:tc>
        <w:tc>
          <w:tcPr>
            <w:tcW w:w="1111" w:type="dxa"/>
            <w:tcBorders>
              <w:top w:val="single" w:color="auto" w:sz="4" w:space="0"/>
              <w:bottom w:val="single" w:color="auto" w:sz="4" w:space="0"/>
            </w:tcBorders>
            <w:noWrap w:val="0"/>
            <w:vAlign w:val="top"/>
          </w:tcPr>
          <w:p>
            <w:pPr>
              <w:pStyle w:val="17"/>
              <w:spacing w:before="12"/>
              <w:rPr>
                <w:color w:val="auto"/>
              </w:rPr>
            </w:pPr>
          </w:p>
          <w:p>
            <w:pPr>
              <w:pStyle w:val="17"/>
              <w:ind w:left="292"/>
              <w:rPr>
                <w:rFonts w:ascii="Times New Roman"/>
                <w:color w:val="auto"/>
                <w:sz w:val="21"/>
              </w:rPr>
            </w:pPr>
            <w:r>
              <w:rPr>
                <w:rFonts w:ascii="Times New Roman"/>
                <w:color w:val="auto"/>
                <w:sz w:val="21"/>
              </w:rPr>
              <w:t>20.4.2</w:t>
            </w:r>
          </w:p>
        </w:tc>
        <w:tc>
          <w:tcPr>
            <w:tcW w:w="7305" w:type="dxa"/>
            <w:tcBorders>
              <w:top w:val="single" w:color="auto" w:sz="4" w:space="0"/>
              <w:bottom w:val="single" w:color="auto" w:sz="4" w:space="0"/>
            </w:tcBorders>
            <w:noWrap w:val="0"/>
            <w:vAlign w:val="top"/>
          </w:tcPr>
          <w:p>
            <w:pPr>
              <w:pStyle w:val="17"/>
              <w:tabs>
                <w:tab w:val="left" w:pos="1817"/>
                <w:tab w:val="left" w:pos="3814"/>
              </w:tabs>
              <w:spacing w:before="12" w:line="360" w:lineRule="exact"/>
              <w:ind w:left="345" w:right="118"/>
              <w:rPr>
                <w:rFonts w:ascii="Times New Roman" w:hAnsi="Times New Roman" w:eastAsia="Times New Roman"/>
                <w:color w:val="auto"/>
                <w:sz w:val="21"/>
              </w:rPr>
            </w:pPr>
            <w:r>
              <w:rPr>
                <w:color w:val="auto"/>
                <w:sz w:val="21"/>
              </w:rPr>
              <w:t>第三</w:t>
            </w:r>
            <w:r>
              <w:rPr>
                <w:color w:val="auto"/>
                <w:spacing w:val="-3"/>
                <w:sz w:val="21"/>
              </w:rPr>
              <w:t>者</w:t>
            </w:r>
            <w:r>
              <w:rPr>
                <w:color w:val="auto"/>
                <w:sz w:val="21"/>
              </w:rPr>
              <w:t>责</w:t>
            </w:r>
            <w:r>
              <w:rPr>
                <w:color w:val="auto"/>
                <w:spacing w:val="-3"/>
                <w:sz w:val="21"/>
              </w:rPr>
              <w:t>任</w:t>
            </w:r>
            <w:r>
              <w:rPr>
                <w:color w:val="auto"/>
                <w:sz w:val="21"/>
              </w:rPr>
              <w:t>险</w:t>
            </w:r>
            <w:r>
              <w:rPr>
                <w:color w:val="auto"/>
                <w:spacing w:val="-3"/>
                <w:sz w:val="21"/>
              </w:rPr>
              <w:t>的</w:t>
            </w:r>
            <w:r>
              <w:rPr>
                <w:color w:val="auto"/>
                <w:sz w:val="21"/>
              </w:rPr>
              <w:t>最</w:t>
            </w:r>
            <w:r>
              <w:rPr>
                <w:color w:val="auto"/>
                <w:spacing w:val="-3"/>
                <w:sz w:val="21"/>
              </w:rPr>
              <w:t>低</w:t>
            </w:r>
            <w:r>
              <w:rPr>
                <w:color w:val="auto"/>
                <w:sz w:val="21"/>
              </w:rPr>
              <w:t>投</w:t>
            </w:r>
            <w:r>
              <w:rPr>
                <w:color w:val="auto"/>
                <w:spacing w:val="-3"/>
                <w:sz w:val="21"/>
              </w:rPr>
              <w:t>保</w:t>
            </w:r>
            <w:r>
              <w:rPr>
                <w:color w:val="auto"/>
                <w:sz w:val="21"/>
              </w:rPr>
              <w:t>金额：</w:t>
            </w:r>
            <w:r>
              <w:rPr>
                <w:rFonts w:hint="eastAsia"/>
                <w:color w:val="auto"/>
                <w:u w:val="single"/>
              </w:rPr>
              <w:t>按相关规定</w:t>
            </w:r>
            <w:r>
              <w:rPr>
                <w:color w:val="auto"/>
                <w:spacing w:val="-3"/>
                <w:sz w:val="21"/>
              </w:rPr>
              <w:t>，</w:t>
            </w:r>
            <w:r>
              <w:rPr>
                <w:color w:val="auto"/>
                <w:sz w:val="21"/>
              </w:rPr>
              <w:t>事</w:t>
            </w:r>
            <w:r>
              <w:rPr>
                <w:color w:val="auto"/>
                <w:spacing w:val="-3"/>
                <w:sz w:val="21"/>
              </w:rPr>
              <w:t>故次</w:t>
            </w:r>
            <w:r>
              <w:rPr>
                <w:color w:val="auto"/>
                <w:sz w:val="21"/>
              </w:rPr>
              <w:t>数不</w:t>
            </w:r>
            <w:r>
              <w:rPr>
                <w:color w:val="auto"/>
                <w:spacing w:val="-3"/>
                <w:sz w:val="21"/>
              </w:rPr>
              <w:t>限</w:t>
            </w:r>
            <w:r>
              <w:rPr>
                <w:color w:val="auto"/>
                <w:sz w:val="21"/>
              </w:rPr>
              <w:t>（</w:t>
            </w:r>
            <w:r>
              <w:rPr>
                <w:color w:val="auto"/>
                <w:spacing w:val="-3"/>
                <w:sz w:val="21"/>
              </w:rPr>
              <w:t>不</w:t>
            </w:r>
            <w:r>
              <w:rPr>
                <w:color w:val="auto"/>
                <w:sz w:val="21"/>
              </w:rPr>
              <w:t>计</w:t>
            </w:r>
            <w:r>
              <w:rPr>
                <w:color w:val="auto"/>
                <w:spacing w:val="-3"/>
                <w:sz w:val="21"/>
              </w:rPr>
              <w:t>免</w:t>
            </w:r>
            <w:r>
              <w:rPr>
                <w:color w:val="auto"/>
                <w:sz w:val="21"/>
              </w:rPr>
              <w:t>赔</w:t>
            </w:r>
            <w:r>
              <w:rPr>
                <w:color w:val="auto"/>
                <w:spacing w:val="-3"/>
                <w:sz w:val="21"/>
              </w:rPr>
              <w:t>额</w:t>
            </w:r>
            <w:r>
              <w:rPr>
                <w:color w:val="auto"/>
                <w:sz w:val="21"/>
              </w:rPr>
              <w:t>） 保险</w:t>
            </w:r>
            <w:r>
              <w:rPr>
                <w:color w:val="auto"/>
                <w:spacing w:val="-3"/>
                <w:sz w:val="21"/>
              </w:rPr>
              <w:t>费</w:t>
            </w:r>
            <w:r>
              <w:rPr>
                <w:color w:val="auto"/>
                <w:sz w:val="21"/>
              </w:rPr>
              <w:t>率：</w:t>
            </w:r>
            <w:r>
              <w:rPr>
                <w:rFonts w:hint="eastAsia"/>
                <w:color w:val="auto"/>
                <w:u w:val="single"/>
              </w:rPr>
              <w:t>按相关规定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tcBorders>
            <w:noWrap w:val="0"/>
            <w:vAlign w:val="top"/>
          </w:tcPr>
          <w:p>
            <w:pPr>
              <w:pStyle w:val="17"/>
              <w:spacing w:before="12"/>
              <w:rPr>
                <w:color w:val="auto"/>
                <w:sz w:val="21"/>
              </w:rPr>
            </w:pPr>
          </w:p>
          <w:p>
            <w:pPr>
              <w:pStyle w:val="17"/>
              <w:ind w:left="83" w:right="74"/>
              <w:jc w:val="center"/>
              <w:rPr>
                <w:rFonts w:ascii="Times New Roman"/>
                <w:color w:val="auto"/>
                <w:sz w:val="21"/>
              </w:rPr>
            </w:pPr>
            <w:r>
              <w:rPr>
                <w:rFonts w:ascii="Times New Roman"/>
                <w:color w:val="auto"/>
                <w:sz w:val="21"/>
              </w:rPr>
              <w:t>29</w:t>
            </w:r>
          </w:p>
        </w:tc>
        <w:tc>
          <w:tcPr>
            <w:tcW w:w="1111" w:type="dxa"/>
            <w:tcBorders>
              <w:top w:val="single" w:color="auto" w:sz="4" w:space="0"/>
            </w:tcBorders>
            <w:noWrap w:val="0"/>
            <w:vAlign w:val="top"/>
          </w:tcPr>
          <w:p>
            <w:pPr>
              <w:pStyle w:val="17"/>
              <w:spacing w:before="12"/>
              <w:rPr>
                <w:color w:val="auto"/>
                <w:sz w:val="21"/>
              </w:rPr>
            </w:pPr>
          </w:p>
          <w:p>
            <w:pPr>
              <w:pStyle w:val="17"/>
              <w:ind w:left="371"/>
              <w:rPr>
                <w:rFonts w:ascii="Times New Roman"/>
                <w:color w:val="auto"/>
                <w:sz w:val="21"/>
              </w:rPr>
            </w:pPr>
            <w:r>
              <w:rPr>
                <w:rFonts w:ascii="Times New Roman"/>
                <w:color w:val="auto"/>
                <w:sz w:val="21"/>
              </w:rPr>
              <w:t>24.1</w:t>
            </w:r>
          </w:p>
        </w:tc>
        <w:tc>
          <w:tcPr>
            <w:tcW w:w="7305" w:type="dxa"/>
            <w:tcBorders>
              <w:top w:val="single" w:color="auto" w:sz="4" w:space="0"/>
            </w:tcBorders>
            <w:noWrap w:val="0"/>
            <w:vAlign w:val="top"/>
          </w:tcPr>
          <w:p>
            <w:pPr>
              <w:pStyle w:val="17"/>
              <w:tabs>
                <w:tab w:val="left" w:pos="3900"/>
              </w:tabs>
              <w:spacing w:before="78"/>
              <w:ind w:left="328"/>
              <w:rPr>
                <w:color w:val="auto"/>
                <w:sz w:val="21"/>
              </w:rPr>
            </w:pPr>
            <w:r>
              <w:rPr>
                <w:color w:val="auto"/>
                <w:sz w:val="21"/>
              </w:rPr>
              <w:t>争议</w:t>
            </w:r>
            <w:r>
              <w:rPr>
                <w:color w:val="auto"/>
                <w:spacing w:val="-3"/>
                <w:sz w:val="21"/>
              </w:rPr>
              <w:t>的</w:t>
            </w:r>
            <w:r>
              <w:rPr>
                <w:color w:val="auto"/>
                <w:sz w:val="21"/>
              </w:rPr>
              <w:t>最</w:t>
            </w:r>
            <w:r>
              <w:rPr>
                <w:color w:val="auto"/>
                <w:spacing w:val="-3"/>
                <w:sz w:val="21"/>
              </w:rPr>
              <w:t>终</w:t>
            </w:r>
            <w:r>
              <w:rPr>
                <w:color w:val="auto"/>
                <w:sz w:val="21"/>
              </w:rPr>
              <w:t>解</w:t>
            </w:r>
            <w:r>
              <w:rPr>
                <w:color w:val="auto"/>
                <w:spacing w:val="-3"/>
                <w:sz w:val="21"/>
              </w:rPr>
              <w:t>决</w:t>
            </w:r>
            <w:r>
              <w:rPr>
                <w:color w:val="auto"/>
                <w:sz w:val="21"/>
              </w:rPr>
              <w:t>方</w:t>
            </w:r>
            <w:r>
              <w:rPr>
                <w:color w:val="auto"/>
                <w:spacing w:val="-3"/>
                <w:sz w:val="21"/>
              </w:rPr>
              <w:t>式</w:t>
            </w:r>
            <w:r>
              <w:rPr>
                <w:color w:val="auto"/>
                <w:sz w:val="21"/>
              </w:rPr>
              <w:t>：</w:t>
            </w:r>
            <w:r>
              <w:rPr>
                <w:color w:val="auto"/>
                <w:spacing w:val="15"/>
                <w:sz w:val="21"/>
                <w:u w:val="single"/>
              </w:rPr>
              <w:t xml:space="preserve"> </w:t>
            </w:r>
            <w:r>
              <w:rPr>
                <w:color w:val="auto"/>
                <w:sz w:val="21"/>
                <w:u w:val="single"/>
              </w:rPr>
              <w:t>诉讼</w:t>
            </w:r>
            <w:r>
              <w:rPr>
                <w:color w:val="auto"/>
                <w:sz w:val="21"/>
                <w:u w:val="single"/>
              </w:rPr>
              <w:tab/>
            </w:r>
          </w:p>
          <w:p>
            <w:pPr>
              <w:pStyle w:val="17"/>
              <w:tabs>
                <w:tab w:val="left" w:pos="6171"/>
              </w:tabs>
              <w:spacing w:before="91" w:line="252" w:lineRule="exact"/>
              <w:ind w:left="345"/>
              <w:rPr>
                <w:rFonts w:hint="eastAsia" w:ascii="Times New Roman"/>
                <w:color w:val="auto"/>
                <w:sz w:val="21"/>
              </w:rPr>
            </w:pPr>
            <w:r>
              <w:rPr>
                <w:rFonts w:hint="eastAsia" w:ascii="Times New Roman"/>
                <w:color w:val="auto"/>
                <w:sz w:val="21"/>
              </w:rPr>
              <w:t>向项目所在地法院提起诉讼。</w:t>
            </w:r>
          </w:p>
        </w:tc>
      </w:tr>
    </w:tbl>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widowControl/>
        <w:jc w:val="center"/>
        <w:rPr>
          <w:color w:val="auto"/>
        </w:rPr>
      </w:pPr>
      <w:r>
        <w:rPr>
          <w:rFonts w:hint="eastAsia"/>
          <w:b/>
          <w:bCs/>
          <w:color w:val="auto"/>
          <w:sz w:val="24"/>
          <w:szCs w:val="24"/>
          <w:lang w:val="en-US" w:bidi="ar"/>
        </w:rPr>
        <w:t>项目专用合同条款</w:t>
      </w:r>
    </w:p>
    <w:p>
      <w:pPr>
        <w:widowControl/>
        <w:rPr>
          <w:color w:val="auto"/>
        </w:rPr>
      </w:pPr>
      <w:r>
        <w:rPr>
          <w:rFonts w:hint="eastAsia"/>
          <w:color w:val="auto"/>
          <w:sz w:val="20"/>
          <w:szCs w:val="20"/>
          <w:lang w:val="en-US" w:bidi="ar"/>
        </w:rPr>
        <w:t xml:space="preserve">说明： </w:t>
      </w:r>
    </w:p>
    <w:p>
      <w:pPr>
        <w:widowControl/>
        <w:ind w:firstLine="400" w:firstLineChars="200"/>
        <w:rPr>
          <w:color w:val="auto"/>
        </w:rPr>
      </w:pPr>
      <w:r>
        <w:rPr>
          <w:rFonts w:hint="eastAsia"/>
          <w:color w:val="auto"/>
          <w:sz w:val="20"/>
          <w:szCs w:val="20"/>
          <w:lang w:val="en-US" w:bidi="ar"/>
        </w:rPr>
        <w:t xml:space="preserve">该部分所列的项目专用合同条款是对“公路工程专用合同条款”中规定必须在项目专用条款中明确的内容的集中，招标人编制的“项目专用合同条款”不限于本部分所列内容。 </w:t>
      </w:r>
    </w:p>
    <w:p>
      <w:pPr>
        <w:widowControl/>
        <w:rPr>
          <w:color w:val="auto"/>
        </w:rPr>
      </w:pPr>
      <w:r>
        <w:rPr>
          <w:rFonts w:hint="eastAsia"/>
          <w:b/>
          <w:bCs/>
          <w:color w:val="auto"/>
          <w:sz w:val="20"/>
          <w:szCs w:val="20"/>
          <w:lang w:val="en-US" w:bidi="ar"/>
        </w:rPr>
        <w:t xml:space="preserve">4.1 承包人的一般义务 </w:t>
      </w:r>
    </w:p>
    <w:p>
      <w:pPr>
        <w:widowControl/>
        <w:rPr>
          <w:color w:val="auto"/>
        </w:rPr>
      </w:pPr>
      <w:r>
        <w:rPr>
          <w:rFonts w:hint="eastAsia"/>
          <w:b/>
          <w:bCs/>
          <w:color w:val="auto"/>
          <w:sz w:val="20"/>
          <w:szCs w:val="20"/>
          <w:lang w:val="en-US" w:bidi="ar"/>
        </w:rPr>
        <w:t xml:space="preserve">4.1.10 其他义务 </w:t>
      </w:r>
    </w:p>
    <w:p>
      <w:pPr>
        <w:widowControl/>
        <w:ind w:firstLine="200" w:firstLineChars="100"/>
        <w:rPr>
          <w:color w:val="auto"/>
        </w:rPr>
      </w:pPr>
      <w:r>
        <w:rPr>
          <w:rFonts w:hint="eastAsia"/>
          <w:color w:val="auto"/>
          <w:sz w:val="20"/>
          <w:szCs w:val="20"/>
          <w:lang w:val="en-US" w:bidi="ar"/>
        </w:rPr>
        <w:t xml:space="preserve">（4）承包人应履行的其他义务： </w:t>
      </w:r>
    </w:p>
    <w:p>
      <w:pPr>
        <w:widowControl/>
        <w:ind w:firstLine="400" w:firstLineChars="200"/>
        <w:rPr>
          <w:color w:val="auto"/>
        </w:rPr>
      </w:pPr>
      <w:r>
        <w:rPr>
          <w:rFonts w:hint="eastAsia"/>
          <w:color w:val="auto"/>
          <w:sz w:val="20"/>
          <w:szCs w:val="20"/>
          <w:lang w:val="en-US" w:bidi="ar"/>
        </w:rPr>
        <w:t xml:space="preserve">a．承包人应按照合同要求，精心对工程负责，为解决任何质量、进度、安全问题而提供所需的不管是临时性的、还是经常性的监督人、劳动力、材料、工程设备，以及承包人所需的设备； </w:t>
      </w:r>
    </w:p>
    <w:p>
      <w:pPr>
        <w:widowControl/>
        <w:ind w:firstLine="400" w:firstLineChars="200"/>
        <w:rPr>
          <w:color w:val="auto"/>
        </w:rPr>
      </w:pPr>
      <w:r>
        <w:rPr>
          <w:rFonts w:hint="eastAsia"/>
          <w:color w:val="auto"/>
          <w:sz w:val="20"/>
          <w:szCs w:val="20"/>
          <w:lang w:val="en-US" w:bidi="ar"/>
        </w:rPr>
        <w:t xml:space="preserve">b．承包人需按招标文件第100章总则的要求和省公路局关于标准化建设的要求及时组建项目经理部，在规定的时间内完成项目经理部的临建任务。同时在质量、安全、文明施工方面按照标准化建设的要求做好相关工作，并接受发包人的管理与考核； </w:t>
      </w:r>
    </w:p>
    <w:p>
      <w:pPr>
        <w:widowControl/>
        <w:ind w:firstLine="400" w:firstLineChars="200"/>
        <w:rPr>
          <w:color w:val="auto"/>
        </w:rPr>
      </w:pPr>
      <w:r>
        <w:rPr>
          <w:rFonts w:hint="eastAsia"/>
          <w:color w:val="auto"/>
          <w:sz w:val="20"/>
          <w:szCs w:val="20"/>
          <w:lang w:val="en-US" w:bidi="ar"/>
        </w:rPr>
        <w:t xml:space="preserve">c．清理施工现场，清除障碍物工作，使施工场地具备施工条件，并在开工后继续负责解决以上事项的遗留问题； </w:t>
      </w:r>
    </w:p>
    <w:p>
      <w:pPr>
        <w:widowControl/>
        <w:ind w:firstLine="400" w:firstLineChars="200"/>
        <w:rPr>
          <w:color w:val="auto"/>
        </w:rPr>
      </w:pPr>
      <w:r>
        <w:rPr>
          <w:rFonts w:hint="eastAsia"/>
          <w:color w:val="auto"/>
          <w:sz w:val="20"/>
          <w:szCs w:val="20"/>
          <w:lang w:val="en-US" w:bidi="ar"/>
        </w:rPr>
        <w:t xml:space="preserve">d．将施工所需的水、电、电讯线路从施工场地外接至施工场地，并保证施工期间的需要；搭建施工临时设施，确保工程顺利实施； </w:t>
      </w:r>
    </w:p>
    <w:p>
      <w:pPr>
        <w:widowControl/>
        <w:ind w:firstLine="400" w:firstLineChars="200"/>
        <w:rPr>
          <w:color w:val="auto"/>
        </w:rPr>
      </w:pPr>
      <w:r>
        <w:rPr>
          <w:rFonts w:hint="eastAsia"/>
          <w:color w:val="auto"/>
          <w:sz w:val="20"/>
          <w:szCs w:val="20"/>
          <w:lang w:val="en-US" w:bidi="ar"/>
        </w:rPr>
        <w:t xml:space="preserve">e．维持原施工场所内道路的畅通、安全，满足施工运输及施工期间的车辆、行人安全通过； </w:t>
      </w:r>
    </w:p>
    <w:p>
      <w:pPr>
        <w:widowControl/>
        <w:ind w:firstLine="400" w:firstLineChars="200"/>
        <w:rPr>
          <w:color w:val="auto"/>
        </w:rPr>
      </w:pPr>
      <w:r>
        <w:rPr>
          <w:rFonts w:hint="eastAsia"/>
          <w:color w:val="auto"/>
          <w:sz w:val="20"/>
          <w:szCs w:val="20"/>
          <w:lang w:val="en-US" w:bidi="ar"/>
        </w:rPr>
        <w:t xml:space="preserve">f．办理施工所需的各种证件、批件和临时用地等手续； </w:t>
      </w:r>
    </w:p>
    <w:p>
      <w:pPr>
        <w:widowControl/>
        <w:ind w:firstLine="400" w:firstLineChars="200"/>
        <w:rPr>
          <w:color w:val="auto"/>
        </w:rPr>
      </w:pPr>
      <w:r>
        <w:rPr>
          <w:rFonts w:hint="eastAsia"/>
          <w:color w:val="auto"/>
          <w:sz w:val="20"/>
          <w:szCs w:val="20"/>
          <w:lang w:val="en-US" w:bidi="ar"/>
        </w:rPr>
        <w:t xml:space="preserve">g．根据合同工期要求，在签约一周内向监理工程师提供一份满足合同要求的、切实可行的年、月、旬进度计划，供监理工程师审核； </w:t>
      </w:r>
    </w:p>
    <w:p>
      <w:pPr>
        <w:widowControl/>
        <w:ind w:firstLine="400" w:firstLineChars="200"/>
        <w:rPr>
          <w:color w:val="auto"/>
        </w:rPr>
      </w:pPr>
      <w:r>
        <w:rPr>
          <w:rFonts w:hint="eastAsia"/>
          <w:color w:val="auto"/>
          <w:sz w:val="20"/>
          <w:szCs w:val="20"/>
          <w:lang w:val="en-US" w:bidi="ar"/>
        </w:rPr>
        <w:t xml:space="preserve">h．按照发包人提供的或认可的施工日记格式，安排专人做好工程施工过程中的工作内容的记录，并对记录内容的真实性负责，承担因为施工日记弄虚作假所造成的一切损失； </w:t>
      </w:r>
    </w:p>
    <w:p>
      <w:pPr>
        <w:widowControl/>
        <w:ind w:firstLine="400" w:firstLineChars="200"/>
        <w:rPr>
          <w:color w:val="auto"/>
        </w:rPr>
      </w:pPr>
      <w:r>
        <w:rPr>
          <w:rFonts w:hint="eastAsia"/>
          <w:color w:val="auto"/>
          <w:sz w:val="20"/>
          <w:szCs w:val="20"/>
          <w:lang w:val="en-US" w:bidi="ar"/>
        </w:rPr>
        <w:t xml:space="preserve">i．承包人必须保证施工所需的设备的完好，并按照有关规定做好安全生产工作，如因承包人原因造成工程、财产和人身伤害，由承包人承担责任及所发生的费用； </w:t>
      </w:r>
    </w:p>
    <w:p>
      <w:pPr>
        <w:widowControl/>
        <w:ind w:firstLine="400" w:firstLineChars="200"/>
        <w:rPr>
          <w:color w:val="auto"/>
        </w:rPr>
      </w:pPr>
      <w:r>
        <w:rPr>
          <w:rFonts w:hint="eastAsia"/>
          <w:color w:val="auto"/>
          <w:sz w:val="20"/>
          <w:szCs w:val="20"/>
          <w:lang w:val="en-US" w:bidi="ar"/>
        </w:rPr>
        <w:t xml:space="preserve">j．遵守地方政府和有关部门对施工场地和施工噪音、环保管理规定，保护好施工现场地下管线和邻近建筑，按照有关规定做好工程施工中废料的处理工作，严禁乱倒乱抛废料。处理好地方矛盾，并承担责任；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k．工程竣工验收前，承包人必须负责已完工程成品的养护和保护工作，认真完成工程缺陷的修复工作，并承担相关费用； </w:t>
      </w:r>
    </w:p>
    <w:p>
      <w:pPr>
        <w:widowControl/>
        <w:ind w:firstLine="400" w:firstLineChars="200"/>
        <w:rPr>
          <w:color w:val="auto"/>
        </w:rPr>
      </w:pPr>
      <w:r>
        <w:rPr>
          <w:rFonts w:hint="eastAsia"/>
          <w:color w:val="auto"/>
          <w:sz w:val="20"/>
          <w:szCs w:val="20"/>
          <w:lang w:val="en-US" w:bidi="ar"/>
        </w:rPr>
        <w:t xml:space="preserve">l．工程实施阶段，承包人必须积极配合发包人有关人员，做好工程的报验、统计、计量支付等工作。按时参加工程会议，接受有关部门的检查； </w:t>
      </w:r>
    </w:p>
    <w:p>
      <w:pPr>
        <w:widowControl/>
        <w:ind w:firstLine="400" w:firstLineChars="200"/>
        <w:rPr>
          <w:color w:val="auto"/>
        </w:rPr>
      </w:pPr>
      <w:r>
        <w:rPr>
          <w:rFonts w:hint="eastAsia"/>
          <w:color w:val="auto"/>
          <w:sz w:val="20"/>
          <w:szCs w:val="20"/>
          <w:lang w:val="en-US" w:bidi="ar"/>
        </w:rPr>
        <w:t xml:space="preserve">m．尊重发包人和监理工程师对工程的协调管理，服从发包人和监理工程师的检查； </w:t>
      </w:r>
    </w:p>
    <w:p>
      <w:pPr>
        <w:widowControl/>
        <w:ind w:firstLine="400" w:firstLineChars="200"/>
        <w:rPr>
          <w:color w:val="auto"/>
        </w:rPr>
      </w:pPr>
      <w:r>
        <w:rPr>
          <w:rFonts w:hint="eastAsia"/>
          <w:color w:val="auto"/>
          <w:sz w:val="20"/>
          <w:szCs w:val="20"/>
          <w:lang w:val="en-US" w:bidi="ar"/>
        </w:rPr>
        <w:t xml:space="preserve">n．严格执行工程实施过程中发包人所下发的相关文件规定。 </w:t>
      </w:r>
    </w:p>
    <w:p>
      <w:pPr>
        <w:widowControl/>
        <w:ind w:firstLine="400" w:firstLineChars="200"/>
        <w:rPr>
          <w:color w:val="auto"/>
        </w:rPr>
      </w:pPr>
      <w:r>
        <w:rPr>
          <w:rFonts w:hint="eastAsia"/>
          <w:color w:val="auto"/>
          <w:sz w:val="20"/>
          <w:szCs w:val="20"/>
          <w:lang w:val="en-US" w:bidi="ar"/>
        </w:rPr>
        <w:t xml:space="preserve">O.结合本项目的实际情况，一个有经验的承包人应考虑到施工过程中可能会发生的由于施工及各种原因造成的地方矛盾和阻工问题，承包人自行负责解决，并支付所发生的一切费用。发包人协助做好协调工作。发包人的协调不免除承包人自行解决矛盾的任何责任。 </w:t>
      </w:r>
    </w:p>
    <w:p>
      <w:pPr>
        <w:widowControl/>
        <w:ind w:firstLine="400" w:firstLineChars="200"/>
        <w:rPr>
          <w:rFonts w:hint="eastAsia"/>
          <w:color w:val="auto"/>
          <w:sz w:val="20"/>
          <w:szCs w:val="20"/>
          <w:lang w:val="en-US" w:bidi="ar"/>
        </w:rPr>
      </w:pPr>
      <w:r>
        <w:rPr>
          <w:rFonts w:hint="eastAsia"/>
          <w:color w:val="auto"/>
          <w:sz w:val="20"/>
          <w:szCs w:val="20"/>
          <w:lang w:val="en-US" w:bidi="ar"/>
        </w:rPr>
        <w:t>p.项目实施过程中，业主可能会对本项目阶段性进度计划进行调整，无论业主最终是否调整，承包人均应无条件服从；承包人同时需要做好与其它标段承包人的配合、协调工作，做好阶段性工程结束后的移交工作，保证后续工作的顺利进行。因此发生的一切费用不单独计量和支付，包含在投标报价内。</w:t>
      </w:r>
    </w:p>
    <w:p>
      <w:pPr>
        <w:widowControl/>
        <w:rPr>
          <w:color w:val="auto"/>
        </w:rPr>
      </w:pPr>
      <w:r>
        <w:rPr>
          <w:rFonts w:hint="eastAsia"/>
          <w:b/>
          <w:bCs/>
          <w:color w:val="auto"/>
          <w:sz w:val="20"/>
          <w:szCs w:val="20"/>
          <w:lang w:val="en-US" w:bidi="ar"/>
        </w:rPr>
        <w:t xml:space="preserve">4.2 履约担保 </w:t>
      </w:r>
    </w:p>
    <w:p>
      <w:pPr>
        <w:widowControl/>
        <w:ind w:firstLine="400" w:firstLineChars="200"/>
        <w:rPr>
          <w:color w:val="auto"/>
        </w:rPr>
      </w:pPr>
      <w:r>
        <w:rPr>
          <w:rFonts w:hint="eastAsia"/>
          <w:color w:val="auto"/>
          <w:sz w:val="20"/>
          <w:szCs w:val="20"/>
          <w:lang w:val="en-US" w:bidi="ar"/>
        </w:rPr>
        <w:t>履约保证金的形式：</w:t>
      </w:r>
      <w:r>
        <w:rPr>
          <w:rFonts w:hint="eastAsia"/>
          <w:color w:val="auto"/>
          <w:sz w:val="20"/>
          <w:szCs w:val="20"/>
          <w:lang w:val="en-US" w:eastAsia="zh-CN" w:bidi="ar"/>
        </w:rPr>
        <w:t>转账</w:t>
      </w:r>
      <w:r>
        <w:rPr>
          <w:rFonts w:hint="eastAsia"/>
          <w:color w:val="auto"/>
          <w:sz w:val="20"/>
          <w:szCs w:val="20"/>
          <w:lang w:val="en-US" w:bidi="ar"/>
        </w:rPr>
        <w:t>、履约担保或者投标人基本账户开户行出具的保函（</w:t>
      </w:r>
      <w:r>
        <w:rPr>
          <w:rFonts w:hint="eastAsia"/>
          <w:b/>
          <w:bCs/>
          <w:color w:val="auto"/>
          <w:sz w:val="20"/>
          <w:szCs w:val="20"/>
          <w:lang w:val="en-US" w:bidi="ar"/>
        </w:rPr>
        <w:t>保函有效期为工程竣工验收后30天</w:t>
      </w:r>
      <w:r>
        <w:rPr>
          <w:rFonts w:hint="eastAsia"/>
          <w:color w:val="auto"/>
          <w:sz w:val="20"/>
          <w:szCs w:val="20"/>
          <w:lang w:val="en-US" w:bidi="ar"/>
        </w:rPr>
        <w:t xml:space="preserve">）、保险公司保险单。 </w:t>
      </w:r>
    </w:p>
    <w:p>
      <w:pPr>
        <w:widowControl/>
        <w:ind w:firstLine="400" w:firstLineChars="200"/>
        <w:rPr>
          <w:color w:val="auto"/>
        </w:rPr>
      </w:pPr>
      <w:r>
        <w:rPr>
          <w:rFonts w:hint="eastAsia"/>
          <w:color w:val="auto"/>
          <w:sz w:val="20"/>
          <w:szCs w:val="20"/>
          <w:lang w:val="en-US" w:bidi="ar"/>
        </w:rPr>
        <w:t xml:space="preserve">履约保证金的金额：10％签约合同价。 </w:t>
      </w:r>
    </w:p>
    <w:p>
      <w:pPr>
        <w:widowControl/>
        <w:ind w:firstLine="402" w:firstLineChars="200"/>
        <w:rPr>
          <w:color w:val="auto"/>
        </w:rPr>
      </w:pPr>
      <w:r>
        <w:rPr>
          <w:rFonts w:hint="eastAsia"/>
          <w:b/>
          <w:bCs/>
          <w:color w:val="auto"/>
          <w:sz w:val="20"/>
          <w:szCs w:val="20"/>
          <w:lang w:val="en-US" w:bidi="ar"/>
        </w:rPr>
        <w:t>根据盐政发〔2020〕57号文件精神，只要获得盐城市近 2 年建筑业星级企业或建筑业发展先进企业表彰的企业，无需提供有关证明材料，免交各类保证金</w:t>
      </w:r>
      <w:r>
        <w:rPr>
          <w:rFonts w:hint="eastAsia"/>
          <w:b/>
          <w:bCs/>
          <w:color w:val="auto"/>
          <w:sz w:val="20"/>
          <w:szCs w:val="20"/>
          <w:lang w:val="en-US" w:eastAsia="zh-CN" w:bidi="ar"/>
        </w:rPr>
        <w:t>。</w:t>
      </w:r>
      <w:r>
        <w:rPr>
          <w:rFonts w:hint="eastAsia"/>
          <w:b/>
          <w:bCs/>
          <w:color w:val="auto"/>
          <w:sz w:val="20"/>
          <w:szCs w:val="20"/>
          <w:lang w:val="en-US" w:bidi="ar"/>
        </w:rPr>
        <w:t xml:space="preserve"> </w:t>
      </w:r>
    </w:p>
    <w:p>
      <w:pPr>
        <w:widowControl/>
        <w:rPr>
          <w:color w:val="auto"/>
        </w:rPr>
      </w:pPr>
      <w:r>
        <w:rPr>
          <w:rFonts w:hint="eastAsia"/>
          <w:b/>
          <w:bCs/>
          <w:color w:val="auto"/>
          <w:sz w:val="20"/>
          <w:szCs w:val="20"/>
          <w:lang w:val="en-US" w:bidi="ar"/>
        </w:rPr>
        <w:t xml:space="preserve">4.5 承包人项目经理 </w:t>
      </w:r>
    </w:p>
    <w:p>
      <w:pPr>
        <w:widowControl/>
        <w:ind w:firstLine="400" w:firstLineChars="200"/>
        <w:rPr>
          <w:color w:val="auto"/>
        </w:rPr>
      </w:pPr>
      <w:r>
        <w:rPr>
          <w:rFonts w:hint="eastAsia"/>
          <w:color w:val="auto"/>
          <w:sz w:val="20"/>
          <w:szCs w:val="20"/>
          <w:lang w:val="en-US" w:bidi="ar"/>
        </w:rPr>
        <w:t xml:space="preserve">4.5.1款末补充: </w:t>
      </w:r>
    </w:p>
    <w:p>
      <w:pPr>
        <w:widowControl/>
        <w:ind w:firstLine="400" w:firstLineChars="200"/>
        <w:rPr>
          <w:color w:val="auto"/>
        </w:rPr>
      </w:pPr>
      <w:r>
        <w:rPr>
          <w:rFonts w:hint="eastAsia"/>
          <w:color w:val="auto"/>
          <w:sz w:val="20"/>
          <w:szCs w:val="20"/>
          <w:lang w:val="en-US" w:bidi="ar"/>
        </w:rPr>
        <w:t xml:space="preserve">项目经理在本项目合同期内严禁兼任其他的项目经理。在合同履行过程中，承包人派出投标书中承诺的项目经理。未征得发包人同意，承包人不得擅自更换项目经理及主要管理人员，但发包人有权根据工程实施情况要求承包人立即更换不合格的项目经理。 </w:t>
      </w:r>
    </w:p>
    <w:p>
      <w:pPr>
        <w:widowControl/>
        <w:rPr>
          <w:color w:val="auto"/>
        </w:rPr>
      </w:pPr>
      <w:r>
        <w:rPr>
          <w:rFonts w:hint="eastAsia"/>
          <w:b/>
          <w:bCs/>
          <w:color w:val="auto"/>
          <w:sz w:val="20"/>
          <w:szCs w:val="20"/>
          <w:lang w:val="en-US" w:bidi="ar"/>
        </w:rPr>
        <w:t xml:space="preserve">4.6 承包人人员的管理 </w:t>
      </w:r>
    </w:p>
    <w:p>
      <w:pPr>
        <w:widowControl/>
        <w:ind w:firstLine="400" w:firstLineChars="200"/>
        <w:rPr>
          <w:color w:val="auto"/>
        </w:rPr>
      </w:pPr>
      <w:r>
        <w:rPr>
          <w:rFonts w:hint="eastAsia"/>
          <w:color w:val="auto"/>
          <w:sz w:val="20"/>
          <w:szCs w:val="20"/>
          <w:lang w:val="en-US" w:bidi="ar"/>
        </w:rPr>
        <w:t xml:space="preserve">本款补充第4.6.6项： </w:t>
      </w:r>
    </w:p>
    <w:p>
      <w:pPr>
        <w:widowControl/>
        <w:ind w:firstLine="400" w:firstLineChars="200"/>
        <w:rPr>
          <w:color w:val="auto"/>
        </w:rPr>
      </w:pPr>
      <w:r>
        <w:rPr>
          <w:rFonts w:hint="eastAsia"/>
          <w:color w:val="auto"/>
          <w:sz w:val="20"/>
          <w:szCs w:val="20"/>
          <w:lang w:val="en-US" w:bidi="ar"/>
        </w:rPr>
        <w:t xml:space="preserve">4.6.6 发包人将对承包人派往现场的项目主要管理人员进行考勤，项目经理必须保证每月至少有25天驻工地现场，其他主要管理人员每月驻工地现场不少于25天，无论何种原因引起的缺勤（除不可抗力因素外），发包人将按以下标准对承包人进行处罚：项目经理1000元/缺勤日，其他主要管理人员500元/缺勤日。 如果经理、项目总工一个月内累计缺勤达7天或连续二个月内累计缺勤达10天，其他主要管理人员一个月累计缺勤达5天或连续二个月累计缺勤达8天，发包人除按本项规定对承包人处以罚金，还有权责令承包人更换上述人员。 </w:t>
      </w:r>
    </w:p>
    <w:p>
      <w:pPr>
        <w:widowControl/>
        <w:rPr>
          <w:color w:val="auto"/>
        </w:rPr>
      </w:pPr>
      <w:r>
        <w:rPr>
          <w:rFonts w:hint="eastAsia"/>
          <w:b/>
          <w:bCs/>
          <w:color w:val="auto"/>
          <w:sz w:val="20"/>
          <w:szCs w:val="20"/>
          <w:lang w:val="en-US" w:bidi="ar"/>
        </w:rPr>
        <w:t xml:space="preserve">4.7 撤换承包人项目经理和其他人员 </w:t>
      </w:r>
    </w:p>
    <w:p>
      <w:pPr>
        <w:widowControl/>
        <w:ind w:firstLine="400" w:firstLineChars="200"/>
        <w:rPr>
          <w:color w:val="auto"/>
        </w:rPr>
      </w:pPr>
      <w:r>
        <w:rPr>
          <w:rFonts w:hint="eastAsia"/>
          <w:color w:val="auto"/>
          <w:sz w:val="20"/>
          <w:szCs w:val="20"/>
          <w:lang w:val="en-US" w:bidi="ar"/>
        </w:rPr>
        <w:t xml:space="preserve">本款末补充： </w:t>
      </w:r>
    </w:p>
    <w:p>
      <w:pPr>
        <w:widowControl/>
        <w:ind w:firstLine="400" w:firstLineChars="200"/>
        <w:rPr>
          <w:color w:val="auto"/>
        </w:rPr>
      </w:pPr>
      <w:r>
        <w:rPr>
          <w:rFonts w:hint="eastAsia"/>
          <w:color w:val="auto"/>
          <w:sz w:val="20"/>
          <w:szCs w:val="20"/>
          <w:lang w:val="en-US" w:bidi="ar"/>
        </w:rPr>
        <w:t>无论何种原因造成的承包人人员更换，发包人将对承包人处以罚金：更换项目经理2万元/次，更换项目总工1万元/次，更换其他主要管理人员0.5万元/次。上述罚金由发包人直接从应付工程款中扣除。</w:t>
      </w:r>
    </w:p>
    <w:p>
      <w:pPr>
        <w:widowControl/>
        <w:rPr>
          <w:color w:val="auto"/>
        </w:rPr>
      </w:pPr>
      <w:r>
        <w:rPr>
          <w:rFonts w:hint="eastAsia"/>
          <w:b/>
          <w:bCs/>
          <w:color w:val="auto"/>
          <w:sz w:val="20"/>
          <w:szCs w:val="20"/>
          <w:lang w:val="en-US" w:bidi="ar"/>
        </w:rPr>
        <w:t xml:space="preserve">4.11 不利物质条件 </w:t>
      </w:r>
    </w:p>
    <w:p>
      <w:pPr>
        <w:widowControl/>
        <w:ind w:firstLine="400" w:firstLineChars="200"/>
        <w:rPr>
          <w:rFonts w:hint="eastAsia"/>
          <w:b/>
          <w:bCs/>
          <w:color w:val="auto"/>
          <w:sz w:val="20"/>
          <w:szCs w:val="20"/>
          <w:lang w:val="en-US" w:bidi="ar"/>
        </w:rPr>
      </w:pPr>
      <w:r>
        <w:rPr>
          <w:rFonts w:hint="eastAsia"/>
          <w:color w:val="auto"/>
          <w:sz w:val="20"/>
          <w:szCs w:val="20"/>
          <w:lang w:val="en-US" w:bidi="ar"/>
        </w:rPr>
        <w:t xml:space="preserve">4.11.1 不利物质条件范围：无。 </w:t>
      </w:r>
    </w:p>
    <w:p>
      <w:pPr>
        <w:widowControl/>
        <w:rPr>
          <w:color w:val="auto"/>
        </w:rPr>
      </w:pPr>
      <w:r>
        <w:rPr>
          <w:rFonts w:hint="eastAsia"/>
          <w:b/>
          <w:bCs/>
          <w:color w:val="auto"/>
          <w:sz w:val="20"/>
          <w:szCs w:val="20"/>
          <w:lang w:val="en-US" w:bidi="ar"/>
        </w:rPr>
        <w:t xml:space="preserve">5.2 发包人提供的材料和工程设备 </w:t>
      </w:r>
    </w:p>
    <w:p>
      <w:pPr>
        <w:widowControl/>
        <w:ind w:firstLine="400" w:firstLineChars="200"/>
        <w:rPr>
          <w:rFonts w:hint="eastAsia"/>
          <w:color w:val="auto"/>
          <w:sz w:val="20"/>
          <w:szCs w:val="20"/>
          <w:lang w:val="en-US" w:bidi="ar"/>
        </w:rPr>
      </w:pPr>
      <w:r>
        <w:rPr>
          <w:rFonts w:hint="eastAsia"/>
          <w:color w:val="auto"/>
          <w:sz w:val="20"/>
          <w:szCs w:val="20"/>
          <w:lang w:val="en-US" w:bidi="ar"/>
        </w:rPr>
        <w:t>本项目发包人不提供任何材料和工程设备。</w:t>
      </w:r>
    </w:p>
    <w:p>
      <w:pPr>
        <w:widowControl/>
        <w:rPr>
          <w:color w:val="auto"/>
        </w:rPr>
      </w:pPr>
      <w:r>
        <w:rPr>
          <w:rFonts w:hint="eastAsia"/>
          <w:b/>
          <w:bCs/>
          <w:color w:val="auto"/>
          <w:sz w:val="20"/>
          <w:szCs w:val="20"/>
          <w:lang w:val="en-US" w:bidi="ar"/>
        </w:rPr>
        <w:t xml:space="preserve">6.1 承包人提供的施工设备和临时设施 </w:t>
      </w:r>
    </w:p>
    <w:p>
      <w:pPr>
        <w:widowControl/>
        <w:ind w:firstLine="400" w:firstLineChars="200"/>
        <w:rPr>
          <w:color w:val="auto"/>
        </w:rPr>
      </w:pPr>
      <w:r>
        <w:rPr>
          <w:rFonts w:hint="eastAsia"/>
          <w:color w:val="auto"/>
          <w:sz w:val="20"/>
          <w:szCs w:val="20"/>
          <w:lang w:val="en-US" w:bidi="ar"/>
        </w:rPr>
        <w:t xml:space="preserve">第6.1.2项细化为： </w:t>
      </w:r>
    </w:p>
    <w:p>
      <w:pPr>
        <w:widowControl/>
        <w:ind w:firstLine="400" w:firstLineChars="200"/>
        <w:rPr>
          <w:color w:val="auto"/>
        </w:rPr>
      </w:pPr>
      <w:r>
        <w:rPr>
          <w:rFonts w:hint="eastAsia"/>
          <w:color w:val="auto"/>
          <w:sz w:val="20"/>
          <w:szCs w:val="20"/>
          <w:lang w:val="en-US" w:bidi="ar"/>
        </w:rPr>
        <w:t>承包人应自行承担修建临时设施的费用，需要临时占地的，应由承包人办理申请手续并承担相应费用。</w:t>
      </w:r>
    </w:p>
    <w:p>
      <w:pPr>
        <w:widowControl/>
        <w:rPr>
          <w:color w:val="auto"/>
        </w:rPr>
      </w:pPr>
      <w:r>
        <w:rPr>
          <w:rFonts w:hint="eastAsia"/>
          <w:b/>
          <w:bCs/>
          <w:color w:val="auto"/>
          <w:sz w:val="20"/>
          <w:szCs w:val="20"/>
          <w:lang w:val="en-US" w:bidi="ar"/>
        </w:rPr>
        <w:t xml:space="preserve">8.2 施工测量 </w:t>
      </w:r>
    </w:p>
    <w:p>
      <w:pPr>
        <w:widowControl/>
        <w:ind w:firstLine="400" w:firstLineChars="200"/>
        <w:rPr>
          <w:color w:val="auto"/>
        </w:rPr>
      </w:pPr>
      <w:r>
        <w:rPr>
          <w:rFonts w:hint="eastAsia"/>
          <w:color w:val="auto"/>
          <w:sz w:val="20"/>
          <w:szCs w:val="20"/>
          <w:lang w:val="en-US" w:bidi="ar"/>
        </w:rPr>
        <w:t xml:space="preserve">补充8.2.3、8.2.4款： </w:t>
      </w:r>
    </w:p>
    <w:p>
      <w:pPr>
        <w:widowControl/>
        <w:ind w:firstLine="400" w:firstLineChars="200"/>
        <w:rPr>
          <w:color w:val="auto"/>
        </w:rPr>
      </w:pPr>
      <w:r>
        <w:rPr>
          <w:rFonts w:hint="eastAsia"/>
          <w:color w:val="auto"/>
          <w:sz w:val="20"/>
          <w:szCs w:val="20"/>
          <w:lang w:val="en-US" w:bidi="ar"/>
        </w:rPr>
        <w:t xml:space="preserve">8.2.3 承包人负责提供与放样工作有关的劳务、机具及仪器设备。应经常对使用的测量仪器进行定期检查与校正，填写检查证书报监理人核查。在本合同工程施工过程中，如果工程任何部分的位置、标高、尺寸或线形出现超出合同规定的误差，一经发现，承包人应自费纠正，直到监理人认为符合合同规定为止。 </w:t>
      </w:r>
    </w:p>
    <w:p>
      <w:pPr>
        <w:widowControl/>
        <w:rPr>
          <w:color w:val="auto"/>
        </w:rPr>
      </w:pPr>
      <w:r>
        <w:rPr>
          <w:rFonts w:hint="eastAsia"/>
          <w:color w:val="auto"/>
          <w:sz w:val="20"/>
          <w:szCs w:val="20"/>
          <w:lang w:val="en-US" w:bidi="ar"/>
        </w:rPr>
        <w:t xml:space="preserve">8.2.4 承包人应当将每次施工测量资料报监理人审核，对于重要的主体工程的施工测量资料，应至少在48小时前通知监理人进行复测。 </w:t>
      </w:r>
    </w:p>
    <w:p>
      <w:pPr>
        <w:widowControl/>
        <w:rPr>
          <w:color w:val="auto"/>
        </w:rPr>
      </w:pPr>
      <w:r>
        <w:rPr>
          <w:rFonts w:hint="eastAsia"/>
          <w:b/>
          <w:bCs/>
          <w:color w:val="auto"/>
          <w:sz w:val="20"/>
          <w:szCs w:val="20"/>
          <w:lang w:val="en-US" w:bidi="ar"/>
        </w:rPr>
        <w:t xml:space="preserve">9.2 承包人的施工安全责任 </w:t>
      </w:r>
    </w:p>
    <w:p>
      <w:pPr>
        <w:widowControl/>
        <w:ind w:firstLine="400" w:firstLineChars="200"/>
        <w:rPr>
          <w:color w:val="auto"/>
        </w:rPr>
      </w:pPr>
      <w:r>
        <w:rPr>
          <w:rFonts w:hint="eastAsia"/>
          <w:color w:val="auto"/>
          <w:sz w:val="20"/>
          <w:szCs w:val="20"/>
          <w:lang w:val="en-US" w:bidi="ar"/>
        </w:rPr>
        <w:t xml:space="preserve">第9.2.5项约定为： </w:t>
      </w:r>
    </w:p>
    <w:p>
      <w:pPr>
        <w:widowControl/>
        <w:ind w:firstLine="400" w:firstLineChars="200"/>
        <w:rPr>
          <w:color w:val="auto"/>
        </w:rPr>
      </w:pPr>
      <w:r>
        <w:rPr>
          <w:rFonts w:hint="eastAsia"/>
          <w:color w:val="auto"/>
          <w:sz w:val="20"/>
          <w:szCs w:val="20"/>
          <w:lang w:val="en-US" w:bidi="ar"/>
        </w:rPr>
        <w:t>a.安全生产费用由投标人按招标人设定最高限价的1.5%计入投标报价，并由监理工程师根据《江苏省公路工程招标文件安全生产工程量清单》的内容签证后报发包人审核支付，超出的费用由承包人承担。</w:t>
      </w:r>
    </w:p>
    <w:p>
      <w:pPr>
        <w:widowControl/>
        <w:ind w:firstLine="400" w:firstLineChars="200"/>
        <w:rPr>
          <w:color w:val="auto"/>
        </w:rPr>
      </w:pPr>
      <w:r>
        <w:rPr>
          <w:rFonts w:hint="eastAsia"/>
          <w:color w:val="auto"/>
          <w:sz w:val="20"/>
          <w:szCs w:val="20"/>
          <w:lang w:val="en-US" w:bidi="ar"/>
        </w:rPr>
        <w:t xml:space="preserve">b.对从事现场作业施工人员要办理人身意外险，特殊工种操作人员还要持证上岗。反之，对未办理保险和持证上岗的人员每人给予1000-3000元处罚。 </w:t>
      </w:r>
    </w:p>
    <w:p>
      <w:pPr>
        <w:widowControl/>
        <w:ind w:firstLine="400" w:firstLineChars="200"/>
        <w:rPr>
          <w:color w:val="auto"/>
        </w:rPr>
      </w:pPr>
      <w:r>
        <w:rPr>
          <w:rFonts w:hint="eastAsia"/>
          <w:color w:val="auto"/>
          <w:sz w:val="20"/>
          <w:szCs w:val="20"/>
          <w:lang w:val="en-US" w:bidi="ar"/>
        </w:rPr>
        <w:t xml:space="preserve">c.对施工过程中存在安全生产问题，经行业主管部门、安全监管部门或项目管理办通报批评，且未按要求整改到位的，视情节每次给予1-10万元处罚。 </w:t>
      </w:r>
    </w:p>
    <w:p>
      <w:pPr>
        <w:widowControl/>
        <w:ind w:firstLine="400" w:firstLineChars="200"/>
        <w:rPr>
          <w:color w:val="auto"/>
        </w:rPr>
      </w:pPr>
      <w:r>
        <w:rPr>
          <w:rFonts w:hint="eastAsia"/>
          <w:color w:val="auto"/>
          <w:sz w:val="20"/>
          <w:szCs w:val="20"/>
          <w:lang w:val="en-US" w:bidi="ar"/>
        </w:rPr>
        <w:t xml:space="preserve">f.工程施工期间至交工验收前，现场安全管理均由承包人负责。 </w:t>
      </w:r>
    </w:p>
    <w:p>
      <w:pPr>
        <w:widowControl/>
        <w:rPr>
          <w:color w:val="auto"/>
        </w:rPr>
      </w:pPr>
      <w:r>
        <w:rPr>
          <w:rFonts w:hint="eastAsia"/>
          <w:b/>
          <w:bCs/>
          <w:color w:val="auto"/>
          <w:sz w:val="20"/>
          <w:szCs w:val="20"/>
          <w:lang w:val="en-US" w:bidi="ar"/>
        </w:rPr>
        <w:t xml:space="preserve">13.1 工程质量要求 </w:t>
      </w:r>
    </w:p>
    <w:p>
      <w:pPr>
        <w:widowControl/>
        <w:ind w:firstLine="400" w:firstLineChars="200"/>
        <w:rPr>
          <w:rFonts w:hint="eastAsia"/>
          <w:color w:val="auto"/>
          <w:sz w:val="20"/>
          <w:szCs w:val="20"/>
          <w:lang w:val="en-US" w:bidi="ar"/>
        </w:rPr>
      </w:pPr>
      <w:r>
        <w:rPr>
          <w:rFonts w:hint="eastAsia"/>
          <w:color w:val="auto"/>
          <w:sz w:val="20"/>
          <w:szCs w:val="20"/>
          <w:lang w:val="en-US" w:bidi="ar"/>
        </w:rPr>
        <w:t>第13.1.1项约定为:</w:t>
      </w:r>
    </w:p>
    <w:p>
      <w:pPr>
        <w:widowControl/>
        <w:rPr>
          <w:rFonts w:hint="eastAsia"/>
          <w:color w:val="auto"/>
          <w:sz w:val="20"/>
          <w:szCs w:val="20"/>
          <w:lang w:val="en-US" w:bidi="ar"/>
        </w:rPr>
      </w:pPr>
      <w:r>
        <w:rPr>
          <w:color w:val="auto"/>
          <w:sz w:val="20"/>
          <w:szCs w:val="20"/>
          <w:lang w:val="en-US" w:bidi="ar"/>
        </w:rPr>
        <w:t>《公安交通管理外场设备基础施工通用要求》(GAT652-2017)</w:t>
      </w:r>
    </w:p>
    <w:p>
      <w:pPr>
        <w:widowControl/>
        <w:rPr>
          <w:rFonts w:hint="eastAsia"/>
          <w:color w:val="auto"/>
          <w:sz w:val="20"/>
          <w:szCs w:val="20"/>
          <w:lang w:val="en-US" w:bidi="ar"/>
        </w:rPr>
      </w:pPr>
      <w:r>
        <w:rPr>
          <w:color w:val="auto"/>
          <w:sz w:val="20"/>
          <w:szCs w:val="20"/>
          <w:lang w:val="en-US" w:bidi="ar"/>
        </w:rPr>
        <w:t>《道路交通标志和标线》（GB5768-2009）</w:t>
      </w:r>
    </w:p>
    <w:p>
      <w:pPr>
        <w:widowControl/>
        <w:rPr>
          <w:rFonts w:hint="eastAsia"/>
          <w:color w:val="auto"/>
          <w:sz w:val="20"/>
          <w:szCs w:val="20"/>
          <w:lang w:val="en-US" w:bidi="ar"/>
        </w:rPr>
      </w:pPr>
      <w:r>
        <w:rPr>
          <w:color w:val="auto"/>
          <w:sz w:val="20"/>
          <w:szCs w:val="20"/>
          <w:lang w:val="en-US" w:bidi="ar"/>
        </w:rPr>
        <w:t>《道路交通标线质量要求和检测方法》（GBT16311-2009）</w:t>
      </w:r>
    </w:p>
    <w:p>
      <w:pPr>
        <w:widowControl/>
        <w:rPr>
          <w:rFonts w:hint="eastAsia"/>
          <w:color w:val="auto"/>
          <w:sz w:val="20"/>
          <w:szCs w:val="20"/>
          <w:lang w:val="en-US" w:bidi="ar"/>
        </w:rPr>
      </w:pPr>
      <w:r>
        <w:rPr>
          <w:color w:val="auto"/>
          <w:sz w:val="20"/>
          <w:szCs w:val="20"/>
          <w:lang w:val="en-US" w:bidi="ar"/>
        </w:rPr>
        <w:t>《道路交通反光膜》（GBT18833-2012）</w:t>
      </w:r>
    </w:p>
    <w:p>
      <w:pPr>
        <w:widowControl/>
        <w:rPr>
          <w:rFonts w:hint="eastAsia"/>
          <w:color w:val="auto"/>
          <w:sz w:val="20"/>
          <w:szCs w:val="20"/>
          <w:lang w:val="en-US" w:bidi="ar"/>
        </w:rPr>
      </w:pPr>
      <w:r>
        <w:rPr>
          <w:color w:val="auto"/>
          <w:sz w:val="20"/>
          <w:szCs w:val="20"/>
          <w:lang w:val="en-US" w:bidi="ar"/>
        </w:rPr>
        <w:t>《道路交通标志板及支撑件》（GBT23827-2009）</w:t>
      </w:r>
    </w:p>
    <w:p>
      <w:pPr>
        <w:widowControl/>
        <w:rPr>
          <w:rFonts w:hint="eastAsia"/>
          <w:color w:val="auto"/>
          <w:sz w:val="20"/>
          <w:szCs w:val="20"/>
          <w:lang w:val="en-US" w:bidi="ar"/>
        </w:rPr>
      </w:pPr>
      <w:r>
        <w:rPr>
          <w:color w:val="auto"/>
          <w:sz w:val="20"/>
          <w:szCs w:val="20"/>
          <w:lang w:val="en-US" w:bidi="ar"/>
        </w:rPr>
        <w:t>《轮廓标》（GBT24970-2010）</w:t>
      </w:r>
    </w:p>
    <w:p>
      <w:pPr>
        <w:widowControl/>
        <w:rPr>
          <w:rFonts w:hint="eastAsia"/>
          <w:color w:val="auto"/>
          <w:sz w:val="20"/>
          <w:szCs w:val="20"/>
          <w:lang w:val="en-US" w:bidi="ar"/>
        </w:rPr>
      </w:pPr>
      <w:r>
        <w:rPr>
          <w:color w:val="auto"/>
          <w:sz w:val="20"/>
          <w:szCs w:val="20"/>
          <w:lang w:val="en-US" w:bidi="ar"/>
        </w:rPr>
        <w:t>《LED道路交通诱导可变信息标志》（GAT484-2010）</w:t>
      </w:r>
    </w:p>
    <w:p>
      <w:pPr>
        <w:widowControl/>
        <w:rPr>
          <w:rFonts w:hint="eastAsia"/>
          <w:color w:val="auto"/>
          <w:sz w:val="20"/>
          <w:szCs w:val="20"/>
          <w:lang w:val="en-US" w:bidi="ar"/>
        </w:rPr>
      </w:pPr>
      <w:r>
        <w:rPr>
          <w:color w:val="auto"/>
          <w:sz w:val="20"/>
          <w:szCs w:val="20"/>
          <w:lang w:val="en-US" w:bidi="ar"/>
        </w:rPr>
        <w:t>《公路波形梁钢护栏》（JTT281-2007）</w:t>
      </w:r>
    </w:p>
    <w:p>
      <w:pPr>
        <w:widowControl/>
        <w:rPr>
          <w:color w:val="auto"/>
          <w:sz w:val="20"/>
          <w:szCs w:val="20"/>
          <w:lang w:val="en-US" w:bidi="ar"/>
        </w:rPr>
      </w:pPr>
      <w:r>
        <w:rPr>
          <w:color w:val="auto"/>
          <w:sz w:val="20"/>
          <w:szCs w:val="20"/>
          <w:lang w:val="en-US" w:bidi="ar"/>
        </w:rPr>
        <w:t>《江苏省普通国省道道路标志设置标准》（DB32T3603-2019</w:t>
      </w:r>
    </w:p>
    <w:p>
      <w:pPr>
        <w:widowControl/>
        <w:rPr>
          <w:color w:val="auto"/>
        </w:rPr>
      </w:pPr>
      <w:r>
        <w:rPr>
          <w:rFonts w:hint="eastAsia"/>
          <w:b/>
          <w:bCs/>
          <w:color w:val="auto"/>
          <w:sz w:val="20"/>
          <w:szCs w:val="20"/>
          <w:lang w:val="en-US" w:bidi="ar"/>
        </w:rPr>
        <w:t xml:space="preserve">13.2 承包人的质量管理 </w:t>
      </w:r>
    </w:p>
    <w:p>
      <w:pPr>
        <w:widowControl/>
        <w:ind w:firstLine="400" w:firstLineChars="200"/>
        <w:rPr>
          <w:color w:val="auto"/>
        </w:rPr>
      </w:pPr>
      <w:r>
        <w:rPr>
          <w:rFonts w:hint="eastAsia"/>
          <w:color w:val="auto"/>
          <w:sz w:val="20"/>
          <w:szCs w:val="20"/>
          <w:lang w:val="en-US" w:bidi="ar"/>
        </w:rPr>
        <w:t xml:space="preserve">本款补充13.2.6至13.2.10项： </w:t>
      </w:r>
    </w:p>
    <w:p>
      <w:pPr>
        <w:widowControl/>
        <w:ind w:firstLine="400" w:firstLineChars="200"/>
        <w:rPr>
          <w:color w:val="auto"/>
        </w:rPr>
      </w:pPr>
      <w:r>
        <w:rPr>
          <w:rFonts w:hint="eastAsia"/>
          <w:color w:val="auto"/>
          <w:sz w:val="20"/>
          <w:szCs w:val="20"/>
          <w:lang w:val="en-US" w:bidi="ar"/>
        </w:rPr>
        <w:t xml:space="preserve">13.2.6 承包人应认真按照标准、规范和设计的要求依据发包人、监理工程师按合同要求发出的指令施工，随时接受发包人、监理工程师的检查、检验，为检查、检验提供便利条件。发包人、监理工程师对抽检不合格的路段，将对比施工日记记载的当天施工的路段进行双倍频率的检测，并可根据检测结果要求承包人进行返工、修改，直至推倒重来，由此造成的增加检测的费用和返工、修改、推倒重来的施工费用均由承包人的费用，赔偿发包人的有关损失；对进场原材料如达不到建设要求的，除将不合格材料清场并重新购置合格材料外，视情节严重给予1-5万元处罚。 </w:t>
      </w:r>
    </w:p>
    <w:p>
      <w:pPr>
        <w:widowControl/>
        <w:ind w:firstLine="400" w:firstLineChars="200"/>
        <w:rPr>
          <w:color w:val="auto"/>
        </w:rPr>
      </w:pPr>
      <w:r>
        <w:rPr>
          <w:rFonts w:hint="eastAsia"/>
          <w:color w:val="auto"/>
          <w:sz w:val="20"/>
          <w:szCs w:val="20"/>
          <w:lang w:val="en-US" w:bidi="ar"/>
        </w:rPr>
        <w:t xml:space="preserve">13.2.7 工程质量达不到约定条件的部分，一经发现，监理工程师可要求承包人在规定时间内返工，直到符合约定条件，因承包人原因达不到约定的，承包人承担违约责任。双方对工程质量有争议的，可申请盐城市交通工程质量监督站进行检验裁定，检验及裁定费用及因此造成的损失，由败诉方承担。 </w:t>
      </w:r>
    </w:p>
    <w:p>
      <w:pPr>
        <w:widowControl/>
        <w:ind w:firstLine="400" w:firstLineChars="200"/>
        <w:rPr>
          <w:color w:val="auto"/>
        </w:rPr>
      </w:pPr>
      <w:r>
        <w:rPr>
          <w:rFonts w:hint="eastAsia"/>
          <w:color w:val="auto"/>
          <w:sz w:val="20"/>
          <w:szCs w:val="20"/>
          <w:lang w:val="en-US" w:bidi="ar"/>
        </w:rPr>
        <w:t xml:space="preserve">13.2.8 承包人对正在施工的工程的报验，必须在资料齐全完备自检合格后，按发包、承担双方确定的报验方式，报现监理工程师验收合格、签字后方可进行下道工序施工，验收不合格，承包人应在限定时间内整改后重新报验。前道工序不合格的，禁止进入下一道工序。反之，发现一次除返工外，视情节轻重处1-10万元罚款。 </w:t>
      </w:r>
    </w:p>
    <w:p>
      <w:pPr>
        <w:widowControl/>
        <w:ind w:firstLine="400" w:firstLineChars="200"/>
        <w:rPr>
          <w:color w:val="auto"/>
        </w:rPr>
      </w:pPr>
      <w:r>
        <w:rPr>
          <w:rFonts w:hint="eastAsia"/>
          <w:color w:val="auto"/>
          <w:sz w:val="20"/>
          <w:szCs w:val="20"/>
          <w:lang w:val="en-US" w:bidi="ar"/>
        </w:rPr>
        <w:t xml:space="preserve">13.2.9 承包人应自觉提高自身的质量管理意识，凡承包人自检合格的工程，在各级质量抽检中，主控项目必须100%合格，一般项目合格率不低于80%。主控项目合格率低于100%的，承包人应再次组织全面自检，对不合格的地方返工。发包人组织的质量抽检中，不合格的每个点（次）扣2000元。 </w:t>
      </w:r>
    </w:p>
    <w:p>
      <w:pPr>
        <w:widowControl/>
        <w:rPr>
          <w:color w:val="auto"/>
        </w:rPr>
      </w:pPr>
      <w:r>
        <w:rPr>
          <w:rFonts w:hint="eastAsia"/>
          <w:b/>
          <w:bCs/>
          <w:color w:val="auto"/>
          <w:sz w:val="20"/>
          <w:szCs w:val="20"/>
          <w:lang w:val="en-US" w:bidi="ar"/>
        </w:rPr>
        <w:t xml:space="preserve">14.试验和检验 </w:t>
      </w:r>
    </w:p>
    <w:p>
      <w:pPr>
        <w:widowControl/>
        <w:ind w:firstLine="400" w:firstLineChars="200"/>
        <w:rPr>
          <w:color w:val="auto"/>
        </w:rPr>
      </w:pPr>
      <w:r>
        <w:rPr>
          <w:rFonts w:hint="eastAsia"/>
          <w:color w:val="auto"/>
          <w:sz w:val="20"/>
          <w:szCs w:val="20"/>
          <w:lang w:val="en-US" w:bidi="ar"/>
        </w:rPr>
        <w:t xml:space="preserve">补充第14.5款： </w:t>
      </w:r>
    </w:p>
    <w:p>
      <w:pPr>
        <w:widowControl/>
        <w:ind w:firstLine="400" w:firstLineChars="200"/>
        <w:rPr>
          <w:color w:val="auto"/>
        </w:rPr>
      </w:pPr>
      <w:r>
        <w:rPr>
          <w:rFonts w:hint="eastAsia"/>
          <w:color w:val="auto"/>
          <w:sz w:val="20"/>
          <w:szCs w:val="20"/>
          <w:lang w:val="en-US" w:bidi="ar"/>
        </w:rPr>
        <w:t xml:space="preserve">当承包人与监理人就材料或设备的检验结果发生争端时，监理人可以将材料或设备的检查和检验委托给一家独立的检验单位。该检验单位必须具有国家技术监督局和专业机构的认证资格。当该独立检验单位对材料或设备的检验结果证明监理人检验的结果是正确的，则承包人应接受监理人的指令，并承担委托检验费，否则，委托费应由发包人承担。 </w:t>
      </w:r>
    </w:p>
    <w:p>
      <w:pPr>
        <w:widowControl/>
        <w:ind w:firstLine="400" w:firstLineChars="200"/>
        <w:rPr>
          <w:color w:val="auto"/>
        </w:rPr>
      </w:pPr>
      <w:r>
        <w:rPr>
          <w:rFonts w:hint="eastAsia"/>
          <w:color w:val="auto"/>
          <w:sz w:val="20"/>
          <w:szCs w:val="20"/>
          <w:lang w:val="en-US" w:bidi="ar"/>
        </w:rPr>
        <w:t xml:space="preserve">补充第14.6款： </w:t>
      </w:r>
    </w:p>
    <w:p>
      <w:pPr>
        <w:widowControl/>
        <w:ind w:firstLine="400" w:firstLineChars="200"/>
        <w:rPr>
          <w:color w:val="auto"/>
        </w:rPr>
      </w:pPr>
      <w:r>
        <w:rPr>
          <w:rFonts w:hint="eastAsia"/>
          <w:color w:val="auto"/>
          <w:sz w:val="20"/>
          <w:szCs w:val="20"/>
          <w:lang w:val="en-US" w:bidi="ar"/>
        </w:rPr>
        <w:t xml:space="preserve">在合同实施期间，根据工程需要，发包人可能在本工程工地进行有关试验，承包人应积极配合并承担相应的工作，但不得对因此可能发生的人工、机械闲置损失向发包人提出补偿要求。 </w:t>
      </w:r>
    </w:p>
    <w:p>
      <w:pPr>
        <w:widowControl/>
        <w:rPr>
          <w:color w:val="auto"/>
        </w:rPr>
      </w:pPr>
      <w:r>
        <w:rPr>
          <w:rFonts w:hint="eastAsia"/>
          <w:b/>
          <w:bCs/>
          <w:color w:val="auto"/>
          <w:sz w:val="20"/>
          <w:szCs w:val="20"/>
          <w:lang w:val="en-US" w:bidi="ar"/>
        </w:rPr>
        <w:t xml:space="preserve">17.1 计量 </w:t>
      </w:r>
    </w:p>
    <w:p>
      <w:pPr>
        <w:widowControl/>
        <w:ind w:firstLine="400" w:firstLineChars="200"/>
        <w:rPr>
          <w:color w:val="auto"/>
        </w:rPr>
      </w:pPr>
      <w:r>
        <w:rPr>
          <w:rFonts w:hint="eastAsia"/>
          <w:color w:val="auto"/>
          <w:sz w:val="20"/>
          <w:szCs w:val="20"/>
          <w:lang w:val="en-US" w:bidi="ar"/>
        </w:rPr>
        <w:t xml:space="preserve">第17.1.2项细化为: </w:t>
      </w:r>
    </w:p>
    <w:p>
      <w:pPr>
        <w:widowControl/>
        <w:ind w:firstLine="400" w:firstLineChars="200"/>
        <w:rPr>
          <w:color w:val="auto"/>
        </w:rPr>
      </w:pPr>
      <w:r>
        <w:rPr>
          <w:rFonts w:hint="eastAsia"/>
          <w:color w:val="auto"/>
          <w:sz w:val="20"/>
          <w:szCs w:val="20"/>
          <w:lang w:val="en-US" w:bidi="ar"/>
        </w:rPr>
        <w:t xml:space="preserve">17.1.2 工程量清单中的工程量计算规则应按有关国家标准、行业标准的规定。工程的计量应以净值为准，监理工程师在组织隐蔽工程计量时，应及时通知发包人及承包人并三方联测现场签认。发包人保留对计量资料的终审权利。 </w:t>
      </w:r>
    </w:p>
    <w:p>
      <w:pPr>
        <w:widowControl/>
        <w:ind w:firstLine="400" w:firstLineChars="200"/>
        <w:rPr>
          <w:color w:val="auto"/>
        </w:rPr>
      </w:pPr>
      <w:r>
        <w:rPr>
          <w:rFonts w:hint="eastAsia"/>
          <w:color w:val="auto"/>
          <w:sz w:val="20"/>
          <w:szCs w:val="20"/>
          <w:lang w:val="en-US" w:bidi="ar"/>
        </w:rPr>
        <w:t xml:space="preserve">工程量清单所列工程量是按计量的原则，根据施工图设计编制而成的，在一般情况下作为计量的控制值。工程量清单中的任何错误和遗漏，均不应导致合同的废除，也不免除承包人根据合同规定的义务和其应按图纸、规范履行合同的责任。有关的遗漏、错误和实际施工的工程量应由监理工程师按相关规定纠正。 </w:t>
      </w:r>
    </w:p>
    <w:p>
      <w:pPr>
        <w:widowControl/>
        <w:rPr>
          <w:color w:val="auto"/>
        </w:rPr>
      </w:pPr>
      <w:r>
        <w:rPr>
          <w:rFonts w:hint="eastAsia"/>
          <w:b/>
          <w:bCs/>
          <w:color w:val="auto"/>
          <w:sz w:val="20"/>
          <w:szCs w:val="20"/>
          <w:lang w:val="en-US" w:bidi="ar"/>
        </w:rPr>
        <w:t xml:space="preserve">20.2 人员工伤事故的保险 </w:t>
      </w:r>
    </w:p>
    <w:p>
      <w:pPr>
        <w:widowControl/>
        <w:ind w:firstLine="400" w:firstLineChars="200"/>
        <w:rPr>
          <w:color w:val="auto"/>
        </w:rPr>
      </w:pPr>
      <w:r>
        <w:rPr>
          <w:rFonts w:hint="eastAsia"/>
          <w:color w:val="auto"/>
          <w:sz w:val="20"/>
          <w:szCs w:val="20"/>
          <w:lang w:val="en-US" w:bidi="ar"/>
        </w:rPr>
        <w:t xml:space="preserve">第20.2.2款细化为： </w:t>
      </w:r>
    </w:p>
    <w:p>
      <w:pPr>
        <w:widowControl/>
        <w:ind w:firstLine="400" w:firstLineChars="200"/>
        <w:rPr>
          <w:color w:val="auto"/>
        </w:rPr>
      </w:pPr>
      <w:r>
        <w:rPr>
          <w:rFonts w:hint="eastAsia"/>
          <w:color w:val="auto"/>
          <w:sz w:val="20"/>
          <w:szCs w:val="20"/>
          <w:lang w:val="en-US" w:bidi="ar"/>
        </w:rPr>
        <w:t>承包人应依照盐城人社局、发改委、交通局等7部门联合颁发的《转发人力资源社会保障部等部门关于铁路公路水运水利能源机场工程建设项目参加工伤保险工作的通知》（盐人社工〔2018〕179号）及国家、地方有关法律规定参加工伤保险，并要求其分包人也进行此项保险。承包人应在整个施工期间为其现场机构雇用的全部人员（包括临时工和民工），投保工伤保险，该费用已经包含在合同价中。承包人未为其雇员缴纳工伤保险的，工程项目不得开工建设并按合同条款对承包人予以处罚。</w:t>
      </w:r>
    </w:p>
    <w:p>
      <w:pPr>
        <w:widowControl/>
        <w:rPr>
          <w:color w:val="auto"/>
        </w:rPr>
      </w:pPr>
      <w:r>
        <w:rPr>
          <w:rFonts w:hint="eastAsia"/>
          <w:b/>
          <w:bCs/>
          <w:color w:val="auto"/>
          <w:sz w:val="20"/>
          <w:szCs w:val="20"/>
          <w:lang w:val="en-US" w:bidi="ar"/>
        </w:rPr>
        <w:t xml:space="preserve">20.3 人身意外伤害险 </w:t>
      </w:r>
    </w:p>
    <w:p>
      <w:pPr>
        <w:widowControl/>
        <w:ind w:firstLine="400" w:firstLineChars="200"/>
        <w:rPr>
          <w:color w:val="auto"/>
        </w:rPr>
      </w:pPr>
      <w:r>
        <w:rPr>
          <w:rFonts w:hint="eastAsia"/>
          <w:color w:val="auto"/>
          <w:sz w:val="20"/>
          <w:szCs w:val="20"/>
          <w:lang w:val="en-US" w:bidi="ar"/>
        </w:rPr>
        <w:t xml:space="preserve">20.3.2 款细化为： </w:t>
      </w:r>
    </w:p>
    <w:p>
      <w:pPr>
        <w:widowControl/>
        <w:ind w:firstLine="400" w:firstLineChars="200"/>
        <w:rPr>
          <w:color w:val="auto"/>
        </w:rPr>
      </w:pPr>
      <w:r>
        <w:rPr>
          <w:rFonts w:hint="eastAsia"/>
          <w:color w:val="auto"/>
          <w:sz w:val="20"/>
          <w:szCs w:val="20"/>
          <w:lang w:val="en-US" w:bidi="ar"/>
        </w:rPr>
        <w:t>承包人应在整个施工期间为其现场机构雇用的全部人员（包括临时工和民工），投保人身意外伤害险，缴纳保险费。承包人应将保险单副本交监理人备案。该项保险的一切费用应由承包人承担并支付。</w:t>
      </w:r>
    </w:p>
    <w:p>
      <w:pPr>
        <w:widowControl/>
        <w:ind w:firstLine="400" w:firstLineChars="200"/>
        <w:rPr>
          <w:color w:val="auto"/>
        </w:rPr>
      </w:pPr>
      <w:r>
        <w:rPr>
          <w:rFonts w:hint="eastAsia"/>
          <w:color w:val="auto"/>
          <w:sz w:val="20"/>
          <w:szCs w:val="20"/>
          <w:lang w:val="en-US" w:bidi="ar"/>
        </w:rPr>
        <w:t xml:space="preserve">如果承包人雇用的工人或其他人员发生意外伤害或伤亡，应向保险公司索赔。承包人应保障发包人不承担由伤害引起的赔偿以及与此有关的一切索赔、诉讼及其他费用。 </w:t>
      </w:r>
    </w:p>
    <w:p>
      <w:pPr>
        <w:widowControl/>
        <w:ind w:firstLine="400" w:firstLineChars="200"/>
        <w:rPr>
          <w:color w:val="auto"/>
        </w:rPr>
      </w:pPr>
      <w:r>
        <w:rPr>
          <w:rFonts w:hint="eastAsia"/>
          <w:color w:val="auto"/>
          <w:sz w:val="20"/>
          <w:szCs w:val="20"/>
          <w:lang w:val="en-US" w:bidi="ar"/>
        </w:rPr>
        <w:t xml:space="preserve">保险费包含在工程量清单中工程细目的单价或总额价内，不另计量与支付。 </w:t>
      </w:r>
    </w:p>
    <w:p>
      <w:pPr>
        <w:widowControl/>
        <w:rPr>
          <w:color w:val="auto"/>
        </w:rPr>
      </w:pPr>
      <w:r>
        <w:rPr>
          <w:rFonts w:hint="eastAsia"/>
          <w:b/>
          <w:bCs/>
          <w:color w:val="auto"/>
          <w:sz w:val="20"/>
          <w:szCs w:val="20"/>
          <w:lang w:val="en-US" w:bidi="ar"/>
        </w:rPr>
        <w:t xml:space="preserve">20.6 对各项保险的一般要求 </w:t>
      </w:r>
    </w:p>
    <w:p>
      <w:pPr>
        <w:widowControl/>
        <w:ind w:firstLine="400" w:firstLineChars="200"/>
        <w:rPr>
          <w:color w:val="auto"/>
        </w:rPr>
      </w:pPr>
      <w:r>
        <w:rPr>
          <w:rFonts w:hint="eastAsia"/>
          <w:color w:val="auto"/>
          <w:sz w:val="20"/>
          <w:szCs w:val="20"/>
          <w:lang w:val="en-US" w:bidi="ar"/>
        </w:rPr>
        <w:t xml:space="preserve">第20.6.4款细化为： </w:t>
      </w:r>
    </w:p>
    <w:p>
      <w:pPr>
        <w:widowControl/>
        <w:ind w:firstLine="400" w:firstLineChars="200"/>
        <w:rPr>
          <w:color w:val="auto"/>
        </w:rPr>
      </w:pPr>
      <w:r>
        <w:rPr>
          <w:rFonts w:hint="eastAsia"/>
          <w:color w:val="auto"/>
          <w:sz w:val="20"/>
          <w:szCs w:val="20"/>
          <w:lang w:val="en-US" w:bidi="ar"/>
        </w:rPr>
        <w:t xml:space="preserve">保险金不足以补偿损失的（包括免赔偿和超过赔偿限额的部分），应由承包人负责补偿。 </w:t>
      </w:r>
    </w:p>
    <w:p>
      <w:pPr>
        <w:widowControl/>
        <w:rPr>
          <w:color w:val="auto"/>
        </w:rPr>
      </w:pPr>
      <w:r>
        <w:rPr>
          <w:rFonts w:hint="eastAsia"/>
          <w:b/>
          <w:bCs/>
          <w:color w:val="auto"/>
          <w:sz w:val="20"/>
          <w:szCs w:val="20"/>
          <w:lang w:val="en-US" w:bidi="ar"/>
        </w:rPr>
        <w:t xml:space="preserve">21.1不可抗力的确认 </w:t>
      </w:r>
    </w:p>
    <w:p>
      <w:pPr>
        <w:widowControl/>
        <w:ind w:firstLine="400" w:firstLineChars="200"/>
        <w:rPr>
          <w:color w:val="auto"/>
        </w:rPr>
      </w:pPr>
      <w:r>
        <w:rPr>
          <w:rFonts w:hint="eastAsia"/>
          <w:color w:val="auto"/>
          <w:sz w:val="20"/>
          <w:szCs w:val="20"/>
          <w:lang w:val="en-US" w:bidi="ar"/>
        </w:rPr>
        <w:t xml:space="preserve">21.1.1（6）不可抗力的其他情形：无 </w:t>
      </w:r>
    </w:p>
    <w:p>
      <w:pPr>
        <w:widowControl/>
        <w:rPr>
          <w:color w:val="auto"/>
        </w:rPr>
      </w:pPr>
      <w:r>
        <w:rPr>
          <w:rFonts w:hint="eastAsia"/>
          <w:b/>
          <w:bCs/>
          <w:color w:val="auto"/>
          <w:sz w:val="20"/>
          <w:szCs w:val="20"/>
          <w:lang w:val="en-US" w:bidi="ar"/>
        </w:rPr>
        <w:t xml:space="preserve">22.1 承包人违约 </w:t>
      </w:r>
    </w:p>
    <w:p>
      <w:pPr>
        <w:widowControl/>
        <w:ind w:firstLine="400" w:firstLineChars="200"/>
        <w:rPr>
          <w:color w:val="auto"/>
        </w:rPr>
      </w:pPr>
      <w:r>
        <w:rPr>
          <w:rFonts w:hint="eastAsia"/>
          <w:color w:val="auto"/>
          <w:sz w:val="20"/>
          <w:szCs w:val="20"/>
          <w:lang w:val="en-US" w:bidi="ar"/>
        </w:rPr>
        <w:t xml:space="preserve">第22.1.2款补充第（5）项： </w:t>
      </w:r>
    </w:p>
    <w:p>
      <w:pPr>
        <w:widowControl/>
        <w:ind w:firstLine="400" w:firstLineChars="200"/>
        <w:rPr>
          <w:color w:val="auto"/>
        </w:rPr>
      </w:pPr>
      <w:r>
        <w:rPr>
          <w:rFonts w:hint="eastAsia"/>
          <w:color w:val="auto"/>
          <w:sz w:val="20"/>
          <w:szCs w:val="20"/>
          <w:lang w:val="en-US" w:bidi="ar"/>
        </w:rPr>
        <w:t xml:space="preserve">（5）由于承包人原因引起暂时停工，承包人不采取积极补救措施造成工期严重延误： </w:t>
      </w:r>
    </w:p>
    <w:p>
      <w:pPr>
        <w:widowControl/>
        <w:ind w:firstLine="400" w:firstLineChars="200"/>
        <w:rPr>
          <w:color w:val="auto"/>
        </w:rPr>
      </w:pPr>
      <w:r>
        <w:rPr>
          <w:rFonts w:hint="eastAsia"/>
          <w:color w:val="auto"/>
          <w:sz w:val="20"/>
          <w:szCs w:val="20"/>
          <w:lang w:val="en-US" w:bidi="ar"/>
        </w:rPr>
        <w:t xml:space="preserve">a.发包人可按签约时合同价格的2%金额扣缴承包人违约金，即使交纳了违约金，承包人仍应按合同规定继续实施和完成本合同工程。 </w:t>
      </w:r>
    </w:p>
    <w:p>
      <w:pPr>
        <w:widowControl/>
        <w:ind w:firstLine="400" w:firstLineChars="200"/>
        <w:rPr>
          <w:color w:val="auto"/>
        </w:rPr>
      </w:pPr>
      <w:r>
        <w:rPr>
          <w:rFonts w:hint="eastAsia"/>
          <w:color w:val="auto"/>
          <w:sz w:val="20"/>
          <w:szCs w:val="20"/>
          <w:lang w:val="en-US" w:bidi="ar"/>
        </w:rPr>
        <w:t xml:space="preserve">b.发包人可雇用其他承包人完成部分工程。此时承包人无权对此提出反对意见并应按合同规定完成合同工程其他部分的施工和缺陷修复。在这种情况下，发包人向承包人支付的合同价格中不应包括有其他承包人完成的那部分工程的价格。监理工程师应与承包人和发包人协商后确定由于承包人违约而给发包人造成的费用增加和其他损失，并由发包人从应付给承包人的款项中扣除，监理工程师应将上述决定通知承包人，并抄送发包人。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c.发包人在向承包人发出书面通知的7天之后可以进驻现场和接管工程，终止承包人对本合同工程的承包，但不因此解除合同原承包人的任何义务和责任，或影响合同赋予发包人或监理工程师的各种权利和权限。发包人可自行完成该工程，或邀请其他承包人完成该工程。发包人或其他承包人为了完成本工程可以使用承包人的任何设备、临时工程和材料。合同终止后的有关事宜应按照第22.1.4款和22.1.5款的规定办理。 </w:t>
      </w:r>
    </w:p>
    <w:p>
      <w:pPr>
        <w:widowControl/>
        <w:ind w:firstLine="400" w:firstLineChars="200"/>
        <w:rPr>
          <w:rFonts w:hint="eastAsia"/>
          <w:color w:val="auto"/>
          <w:sz w:val="20"/>
          <w:szCs w:val="20"/>
          <w:lang w:val="en-US" w:bidi="ar"/>
        </w:rPr>
      </w:pPr>
      <w:r>
        <w:rPr>
          <w:rFonts w:hint="eastAsia"/>
          <w:color w:val="auto"/>
          <w:sz w:val="20"/>
          <w:szCs w:val="20"/>
          <w:lang w:val="en-US" w:bidi="ar"/>
        </w:rPr>
        <w:t>此外，当承包人发生了下述违约现象之后，发包人可依据下列具体情况扣除承包人的违约金：</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(1)承包人应无条件接受上级交通主管部门、质量监督部门、发包人监理单位的质量检查或抽查，如发现承包人出现降低施工标准或偷工减料或出现较大质量问题，发包人将按每次2万元的标准扣除承包人的违约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(2)承包人在施工期间未能做好环境保护工作，使得周边环境遭到破坏或污染，经监理人认可后，每次按照10000元/次的标准扣除承包人的违约金。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第22.1.3款末补充： </w:t>
      </w:r>
    </w:p>
    <w:p>
      <w:pPr>
        <w:widowControl/>
        <w:ind w:firstLine="400" w:firstLineChars="200"/>
        <w:rPr>
          <w:rFonts w:hint="eastAsia"/>
          <w:color w:val="auto"/>
          <w:sz w:val="20"/>
          <w:szCs w:val="20"/>
          <w:lang w:val="en-US" w:bidi="ar"/>
        </w:rPr>
      </w:pPr>
      <w:r>
        <w:rPr>
          <w:rFonts w:hint="eastAsia"/>
          <w:color w:val="auto"/>
          <w:sz w:val="20"/>
          <w:szCs w:val="20"/>
          <w:lang w:val="en-US" w:bidi="ar"/>
        </w:rPr>
        <w:t>若承包人在工程实施过程中的质量或进度严重不符合发包人要求，并经两次书面警告无效后，发包人有权无条件收回本项目的全部或部分工程，另行委托施工，由此引起的一切费用均由承包人承担。</w:t>
      </w:r>
    </w:p>
    <w:p>
      <w:pPr>
        <w:widowControl/>
        <w:rPr>
          <w:color w:val="auto"/>
        </w:rPr>
      </w:pPr>
      <w:r>
        <w:rPr>
          <w:rFonts w:hint="eastAsia"/>
          <w:b/>
          <w:bCs/>
          <w:color w:val="auto"/>
          <w:sz w:val="20"/>
          <w:szCs w:val="20"/>
          <w:lang w:val="en-US" w:bidi="ar"/>
        </w:rPr>
        <w:t>25、廉政建设</w:t>
      </w:r>
      <w:r>
        <w:rPr>
          <w:rFonts w:hint="eastAsia"/>
          <w:b/>
          <w:bCs/>
          <w:color w:val="auto"/>
          <w:lang w:val="en-US" w:bidi="ar"/>
        </w:rPr>
        <w:t xml:space="preserve">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补充第25条：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在合同实施期间，发包人和承包人应根据交通部《关于在交通基础设施建设中加强廉政建设的若干意见》、苏交监察[2007]13号文《江苏省交通厅关于限制违反廉政合同的投标人进入交通工程建设市场的若干规定》以及有关工程建设、廉政建设的规定做好工程建设中的党风廉 政建设，保证工程建设高效优质，保证建设资金的安全、有效使用，保证投资效益的最大化。 </w:t>
      </w:r>
    </w:p>
    <w:p>
      <w:pPr>
        <w:widowControl/>
        <w:rPr>
          <w:rFonts w:hint="eastAsia"/>
          <w:b/>
          <w:bCs/>
          <w:color w:val="auto"/>
          <w:sz w:val="20"/>
          <w:szCs w:val="20"/>
          <w:lang w:val="en-US" w:bidi="ar"/>
        </w:rPr>
      </w:pPr>
      <w:r>
        <w:rPr>
          <w:rFonts w:hint="eastAsia"/>
          <w:b/>
          <w:bCs/>
          <w:color w:val="auto"/>
          <w:sz w:val="20"/>
          <w:szCs w:val="20"/>
          <w:lang w:val="en-US" w:bidi="ar"/>
        </w:rPr>
        <w:t xml:space="preserve">26、 农民工工资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26.1签订合同前，中标人须按《江苏省工程建设领域农民工工资支付管理办法》（苏建建管【2016】707号）的要求设立农民工工资专用账户，并按《盐城市交通建设项目农民工工资保证金管理实施细则》（盐市交建[2018]4号）、《盐城市大丰区工程建设领域农民工工资支付管理办法》（大人社〔2018〕50号）规定缴纳农民工工资保证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承包人的项目经理部是民工工资支付行为的主体，承包人的项目经理或授权的项目副经理是民工工资支付的责任人。项目经理部要执行用工实名制，建立全体民工花名册和工资支付表，并每月报业主项目管理办公室备案。确保将工资直接发放给民工本人，或委托银行发放民工工资，严禁发放给“包工头”或其他不具备用工主体资格的组织和个人。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承包人应严格遵守国家有关解决拖欠工程款和劳务用工工资的法律、法规和规定，及时支付工程中的材料、设备货款及劳务用工工资等费用，且应签订劳务用工合同。承包人不得以任何借口拖欠材料、设备货款及劳务用工工资，如果出现此种现象，一经查实后，一律通报并责令承包人自行组织资金迅速偿还欠款。在必要时，业主有权从应付给承包人的工程款中代为支付其拖欠的材料、设备货款及民工工资。对恶意拖欠和拒不按计划支付的，将报交通主管部门。 承包人分包单位雇佣民工的，将要求分包单位按照第1条规定签订劳动合同，并负责督促其按照合同规定及时结付民工工资。如因承包人未按合同约定与分包单位结清工程款，致使后者拖欠民工工资的，将由承包人先行垫付欠款。承包人对分包单位清偿拖欠民工工资负总责。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26.2如果发生违反规定拖欠或克扣农民工工资行为，造成农民工上访，承包人须接受业主的处罚，同时接受交通行政主管部门依照有关规定作出的其它处罚决定。 </w:t>
      </w:r>
    </w:p>
    <w:p>
      <w:pPr>
        <w:widowControl/>
        <w:rPr>
          <w:rFonts w:hint="eastAsia"/>
          <w:b/>
          <w:bCs/>
          <w:color w:val="auto"/>
          <w:sz w:val="20"/>
          <w:szCs w:val="20"/>
          <w:lang w:val="en-US" w:bidi="ar"/>
        </w:rPr>
      </w:pPr>
      <w:r>
        <w:rPr>
          <w:rFonts w:hint="eastAsia"/>
          <w:b/>
          <w:bCs/>
          <w:color w:val="auto"/>
          <w:sz w:val="20"/>
          <w:szCs w:val="20"/>
          <w:lang w:val="en-US" w:bidi="ar"/>
        </w:rPr>
        <w:t xml:space="preserve">27、 新型冠状病毒防疫 </w:t>
      </w:r>
    </w:p>
    <w:p>
      <w:pPr>
        <w:widowControl/>
        <w:ind w:firstLine="402" w:firstLineChars="200"/>
        <w:rPr>
          <w:rFonts w:hint="eastAsia"/>
          <w:b/>
          <w:bCs/>
          <w:color w:val="auto"/>
          <w:sz w:val="20"/>
          <w:szCs w:val="20"/>
          <w:lang w:val="en-US" w:bidi="ar"/>
        </w:rPr>
      </w:pPr>
      <w:r>
        <w:rPr>
          <w:rFonts w:hint="eastAsia"/>
          <w:b/>
          <w:bCs/>
          <w:color w:val="auto"/>
          <w:sz w:val="20"/>
          <w:szCs w:val="20"/>
          <w:lang w:val="en-US" w:bidi="ar"/>
        </w:rPr>
        <w:t>适值新型冠状病毒感染的肺炎疫情期间，承包人应做好施工场地、人员、机械等的防疫申报、防控等工作，按照地方防疫部门相关要求编制专项防疫方案，全面做好疫情防控工作。</w:t>
      </w:r>
    </w:p>
    <w:p>
      <w:pPr>
        <w:widowControl/>
        <w:ind w:firstLine="400" w:firstLineChars="200"/>
        <w:rPr>
          <w:rFonts w:hint="eastAsia"/>
          <w:color w:val="auto"/>
          <w:sz w:val="20"/>
          <w:szCs w:val="20"/>
          <w:lang w:val="en-US" w:bidi="ar"/>
        </w:rPr>
      </w:pPr>
    </w:p>
    <w:p>
      <w:pPr>
        <w:widowControl/>
        <w:ind w:firstLine="400" w:firstLineChars="200"/>
        <w:rPr>
          <w:rFonts w:hint="eastAsia"/>
          <w:color w:val="auto"/>
          <w:sz w:val="20"/>
          <w:szCs w:val="20"/>
          <w:lang w:val="en-US" w:bidi="ar"/>
        </w:rPr>
      </w:pPr>
    </w:p>
    <w:p>
      <w:pPr>
        <w:widowControl/>
        <w:rPr>
          <w:rFonts w:hint="eastAsia"/>
          <w:color w:val="auto"/>
          <w:sz w:val="20"/>
          <w:szCs w:val="20"/>
          <w:lang w:val="en-US" w:bidi="ar"/>
        </w:rPr>
      </w:pPr>
    </w:p>
    <w:p>
      <w:pPr>
        <w:widowControl/>
        <w:ind w:firstLine="400" w:firstLineChars="200"/>
        <w:rPr>
          <w:rFonts w:hint="eastAsia"/>
          <w:color w:val="auto"/>
          <w:sz w:val="20"/>
          <w:szCs w:val="20"/>
          <w:lang w:val="en-US" w:bidi="ar"/>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rPr>
          <w:rFonts w:hint="eastAsia" w:ascii="黑体" w:eastAsia="黑体"/>
          <w:color w:val="auto"/>
          <w:sz w:val="21"/>
          <w:szCs w:val="21"/>
        </w:rPr>
      </w:pPr>
    </w:p>
    <w:p>
      <w:pPr>
        <w:pStyle w:val="2"/>
        <w:rPr>
          <w:rFonts w:hint="eastAsia"/>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rPr>
          <w:rFonts w:hint="eastAsia" w:ascii="黑体" w:eastAsia="黑体"/>
          <w:color w:val="auto"/>
          <w:sz w:val="21"/>
          <w:szCs w:val="21"/>
        </w:rPr>
      </w:pPr>
    </w:p>
    <w:p>
      <w:pPr>
        <w:rPr>
          <w:rFonts w:hint="eastAsia" w:ascii="黑体" w:eastAsia="黑体"/>
          <w:color w:val="auto"/>
          <w:sz w:val="21"/>
          <w:szCs w:val="21"/>
        </w:rPr>
      </w:pPr>
    </w:p>
    <w:p>
      <w:pPr>
        <w:pStyle w:val="8"/>
        <w:rPr>
          <w:rFonts w:hint="eastAsia"/>
          <w:color w:val="auto"/>
        </w:rPr>
      </w:pPr>
    </w:p>
    <w:p>
      <w:pPr>
        <w:tabs>
          <w:tab w:val="left" w:pos="4341"/>
        </w:tabs>
        <w:spacing w:before="41"/>
        <w:ind w:left="2661"/>
        <w:rPr>
          <w:rFonts w:ascii="黑体" w:eastAsia="黑体"/>
          <w:color w:val="auto"/>
          <w:sz w:val="42"/>
        </w:rPr>
      </w:pPr>
      <w:r>
        <w:rPr>
          <w:rFonts w:hint="eastAsia" w:ascii="黑体" w:eastAsia="黑体"/>
          <w:color w:val="auto"/>
          <w:sz w:val="42"/>
        </w:rPr>
        <w:t>第三节</w:t>
      </w:r>
      <w:r>
        <w:rPr>
          <w:rFonts w:hint="eastAsia" w:ascii="黑体" w:eastAsia="黑体"/>
          <w:color w:val="auto"/>
          <w:sz w:val="42"/>
        </w:rPr>
        <w:tab/>
      </w:r>
      <w:r>
        <w:rPr>
          <w:rFonts w:hint="eastAsia" w:ascii="黑体" w:eastAsia="黑体"/>
          <w:color w:val="auto"/>
          <w:sz w:val="42"/>
        </w:rPr>
        <w:t>合同附件格式</w:t>
      </w:r>
    </w:p>
    <w:p>
      <w:pPr>
        <w:pStyle w:val="6"/>
        <w:spacing w:before="66"/>
        <w:ind w:left="424"/>
        <w:rPr>
          <w:rFonts w:ascii="黑体" w:eastAsia="黑体"/>
          <w:color w:val="auto"/>
        </w:rPr>
      </w:pPr>
    </w:p>
    <w:p>
      <w:pPr>
        <w:jc w:val="center"/>
        <w:rPr>
          <w:b/>
          <w:color w:val="auto"/>
          <w:sz w:val="36"/>
        </w:rPr>
      </w:pPr>
      <w:r>
        <w:rPr>
          <w:rFonts w:hint="eastAsia"/>
          <w:b/>
          <w:color w:val="auto"/>
          <w:sz w:val="36"/>
        </w:rPr>
        <w:t>A、合同协议书</w:t>
      </w:r>
    </w:p>
    <w:p>
      <w:pPr>
        <w:jc w:val="center"/>
        <w:rPr>
          <w:color w:val="auto"/>
        </w:rPr>
      </w:pPr>
    </w:p>
    <w:p>
      <w:pPr>
        <w:ind w:firstLine="420" w:firstLineChars="200"/>
        <w:rPr>
          <w:color w:val="auto"/>
          <w:sz w:val="21"/>
          <w:szCs w:val="21"/>
        </w:rPr>
      </w:pPr>
      <w:r>
        <w:rPr>
          <w:rFonts w:hint="eastAsia"/>
          <w:color w:val="auto"/>
          <w:sz w:val="21"/>
          <w:szCs w:val="21"/>
        </w:rPr>
        <w:t>鉴于业主为修建</w:t>
      </w:r>
      <w:r>
        <w:rPr>
          <w:rFonts w:hint="eastAsia" w:ascii="仿宋_GB2312" w:eastAsia="仿宋_GB2312"/>
          <w:color w:val="auto"/>
          <w:sz w:val="21"/>
          <w:szCs w:val="21"/>
          <w:u w:val="single"/>
        </w:rPr>
        <w:t xml:space="preserve">                   </w:t>
      </w:r>
      <w:r>
        <w:rPr>
          <w:rFonts w:hint="eastAsia"/>
          <w:color w:val="auto"/>
          <w:sz w:val="21"/>
          <w:szCs w:val="21"/>
        </w:rPr>
        <w:t>并接受了承包人对该项工程</w:t>
      </w:r>
      <w:r>
        <w:rPr>
          <w:rFonts w:hint="eastAsia" w:ascii="仿宋_GB2312" w:eastAsia="仿宋_GB2312"/>
          <w:color w:val="auto"/>
          <w:sz w:val="21"/>
          <w:szCs w:val="21"/>
        </w:rPr>
        <w:t>该</w:t>
      </w:r>
      <w:r>
        <w:rPr>
          <w:rFonts w:hint="eastAsia"/>
          <w:color w:val="auto"/>
          <w:sz w:val="21"/>
          <w:szCs w:val="21"/>
        </w:rPr>
        <w:t>合同段的投标书，现由</w:t>
      </w:r>
      <w:r>
        <w:rPr>
          <w:rFonts w:hint="eastAsia"/>
          <w:color w:val="auto"/>
          <w:sz w:val="21"/>
          <w:szCs w:val="21"/>
          <w:u w:val="single"/>
          <w:lang w:eastAsia="zh-CN"/>
        </w:rPr>
        <w:t xml:space="preserve">盐城市大丰区刘庄镇人民政府 </w:t>
      </w:r>
      <w:r>
        <w:rPr>
          <w:rFonts w:hint="eastAsia"/>
          <w:color w:val="auto"/>
        </w:rPr>
        <w:t>（以下简称“甲方”）</w:t>
      </w:r>
      <w:r>
        <w:rPr>
          <w:rFonts w:hint="eastAsia"/>
          <w:color w:val="auto"/>
          <w:sz w:val="21"/>
          <w:szCs w:val="21"/>
        </w:rPr>
        <w:t>和</w:t>
      </w:r>
      <w:r>
        <w:rPr>
          <w:rFonts w:hint="eastAsia" w:ascii="仿宋_GB2312" w:eastAsia="仿宋_GB2312"/>
          <w:color w:val="auto"/>
          <w:sz w:val="21"/>
          <w:szCs w:val="21"/>
          <w:u w:val="single"/>
        </w:rPr>
        <w:t xml:space="preserve">       </w:t>
      </w:r>
      <w:r>
        <w:rPr>
          <w:rFonts w:hint="eastAsia"/>
          <w:color w:val="auto"/>
          <w:szCs w:val="21"/>
        </w:rPr>
        <w:t>（以下简称“乙方”）</w:t>
      </w:r>
      <w:r>
        <w:rPr>
          <w:rFonts w:hint="eastAsia"/>
          <w:color w:val="auto"/>
          <w:sz w:val="21"/>
          <w:szCs w:val="21"/>
        </w:rPr>
        <w:t>于</w:t>
      </w:r>
      <w:r>
        <w:rPr>
          <w:rFonts w:hint="eastAsia"/>
          <w:color w:val="auto"/>
          <w:sz w:val="21"/>
          <w:szCs w:val="21"/>
          <w:u w:val="single"/>
        </w:rPr>
        <w:t>202</w:t>
      </w:r>
      <w:r>
        <w:rPr>
          <w:rFonts w:hint="eastAsia"/>
          <w:color w:val="auto"/>
          <w:sz w:val="21"/>
          <w:szCs w:val="21"/>
          <w:u w:val="single"/>
          <w:lang w:val="en-US" w:eastAsia="zh-CN"/>
        </w:rPr>
        <w:t>2</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日共同达成并签订本协议如下：</w:t>
      </w:r>
    </w:p>
    <w:p>
      <w:pPr>
        <w:widowControl/>
        <w:spacing w:line="500" w:lineRule="exact"/>
        <w:ind w:firstLine="420" w:firstLineChars="200"/>
        <w:rPr>
          <w:color w:val="auto"/>
        </w:rPr>
      </w:pPr>
      <w:r>
        <w:rPr>
          <w:color w:val="auto"/>
          <w:sz w:val="21"/>
          <w:szCs w:val="21"/>
        </w:rPr>
        <w:t>1</w:t>
      </w:r>
      <w:r>
        <w:rPr>
          <w:rFonts w:hint="eastAsia"/>
          <w:color w:val="auto"/>
          <w:sz w:val="21"/>
          <w:szCs w:val="21"/>
        </w:rPr>
        <w:t>．本项目为：</w:t>
      </w:r>
      <w:r>
        <w:rPr>
          <w:rFonts w:hint="eastAsia"/>
          <w:color w:val="auto"/>
          <w:sz w:val="21"/>
          <w:szCs w:val="21"/>
          <w:u w:val="single"/>
          <w:lang w:val="en-US" w:eastAsia="zh-CN"/>
        </w:rPr>
        <w:t>2022年大丰区刘庄镇农村公路维修工程</w:t>
      </w:r>
      <w:r>
        <w:rPr>
          <w:rFonts w:hint="eastAsia"/>
          <w:color w:val="auto"/>
          <w:sz w:val="21"/>
          <w:szCs w:val="21"/>
          <w:u w:val="single"/>
        </w:rPr>
        <w:t>，详见招标人提供的施工图纸、工程量清单</w:t>
      </w:r>
    </w:p>
    <w:p>
      <w:pPr>
        <w:ind w:firstLine="420" w:firstLineChars="200"/>
        <w:rPr>
          <w:rFonts w:hint="eastAsia"/>
          <w:color w:val="auto"/>
          <w:sz w:val="21"/>
          <w:szCs w:val="21"/>
        </w:rPr>
      </w:pPr>
      <w:r>
        <w:rPr>
          <w:rFonts w:hint="eastAsia"/>
          <w:color w:val="auto"/>
          <w:sz w:val="21"/>
          <w:szCs w:val="21"/>
        </w:rPr>
        <w:t>项目经理为：</w:t>
      </w:r>
      <w:r>
        <w:rPr>
          <w:rFonts w:hint="eastAsia"/>
          <w:color w:val="auto"/>
          <w:sz w:val="21"/>
          <w:szCs w:val="21"/>
          <w:u w:val="single"/>
        </w:rPr>
        <w:t xml:space="preserve">             </w:t>
      </w:r>
      <w:r>
        <w:rPr>
          <w:rFonts w:hint="eastAsia"/>
          <w:color w:val="auto"/>
          <w:sz w:val="21"/>
          <w:szCs w:val="21"/>
        </w:rPr>
        <w:t>注册证书：</w:t>
      </w:r>
      <w:r>
        <w:rPr>
          <w:rFonts w:hint="eastAsia"/>
          <w:color w:val="auto"/>
          <w:sz w:val="21"/>
          <w:szCs w:val="21"/>
          <w:u w:val="single"/>
        </w:rPr>
        <w:t xml:space="preserve">            </w:t>
      </w:r>
      <w:r>
        <w:rPr>
          <w:rFonts w:hint="eastAsia"/>
          <w:color w:val="auto"/>
          <w:sz w:val="21"/>
          <w:szCs w:val="21"/>
        </w:rPr>
        <w:t xml:space="preserve"> </w:t>
      </w:r>
    </w:p>
    <w:p>
      <w:pPr>
        <w:ind w:firstLine="420" w:firstLineChars="200"/>
        <w:rPr>
          <w:rFonts w:hint="eastAsia"/>
          <w:color w:val="auto"/>
          <w:sz w:val="21"/>
          <w:szCs w:val="21"/>
          <w:u w:val="single"/>
          <w:lang w:val="en-US"/>
        </w:rPr>
      </w:pPr>
      <w:r>
        <w:rPr>
          <w:rFonts w:hint="eastAsia"/>
          <w:color w:val="auto"/>
          <w:sz w:val="21"/>
          <w:szCs w:val="21"/>
        </w:rPr>
        <w:t>项目总工为：</w:t>
      </w:r>
      <w:r>
        <w:rPr>
          <w:rFonts w:hint="eastAsia"/>
          <w:color w:val="auto"/>
          <w:sz w:val="21"/>
          <w:szCs w:val="21"/>
          <w:u w:val="single"/>
          <w:lang w:val="en-US"/>
        </w:rPr>
        <w:t xml:space="preserve">            </w:t>
      </w:r>
      <w:r>
        <w:rPr>
          <w:rFonts w:hint="eastAsia"/>
          <w:color w:val="auto"/>
          <w:sz w:val="21"/>
          <w:szCs w:val="21"/>
        </w:rPr>
        <w:t>职称证书：</w:t>
      </w:r>
      <w:r>
        <w:rPr>
          <w:rFonts w:hint="eastAsia"/>
          <w:color w:val="auto"/>
          <w:sz w:val="21"/>
          <w:szCs w:val="21"/>
          <w:u w:val="single"/>
        </w:rPr>
        <w:t xml:space="preserve">            </w:t>
      </w:r>
    </w:p>
    <w:p>
      <w:pPr>
        <w:ind w:firstLine="420" w:firstLineChars="200"/>
        <w:rPr>
          <w:color w:val="auto"/>
          <w:sz w:val="21"/>
          <w:szCs w:val="21"/>
        </w:rPr>
      </w:pPr>
      <w:r>
        <w:rPr>
          <w:color w:val="auto"/>
          <w:sz w:val="21"/>
          <w:szCs w:val="21"/>
        </w:rPr>
        <w:t>2</w:t>
      </w:r>
      <w:r>
        <w:rPr>
          <w:rFonts w:hint="eastAsia"/>
          <w:color w:val="auto"/>
          <w:sz w:val="21"/>
          <w:szCs w:val="21"/>
        </w:rPr>
        <w:t>．下列文件应视为构成并作为阅读和理解本协议书的组成部分，即：</w:t>
      </w:r>
    </w:p>
    <w:p>
      <w:pPr>
        <w:ind w:firstLine="420" w:firstLineChars="200"/>
        <w:rPr>
          <w:rFonts w:hint="eastAsia"/>
          <w:color w:val="auto"/>
          <w:sz w:val="21"/>
          <w:szCs w:val="21"/>
        </w:rPr>
      </w:pPr>
      <w:r>
        <w:rPr>
          <w:rFonts w:hint="eastAsia"/>
          <w:color w:val="auto"/>
          <w:sz w:val="21"/>
          <w:szCs w:val="21"/>
          <w:lang w:val="en-US"/>
        </w:rPr>
        <w:t xml:space="preserve">（1）本协议书及各种合同附件； </w:t>
      </w:r>
    </w:p>
    <w:p>
      <w:pPr>
        <w:ind w:firstLine="420" w:firstLineChars="200"/>
        <w:rPr>
          <w:rFonts w:hint="eastAsia"/>
          <w:color w:val="auto"/>
          <w:sz w:val="21"/>
          <w:szCs w:val="21"/>
        </w:rPr>
      </w:pPr>
      <w:r>
        <w:rPr>
          <w:rFonts w:hint="eastAsia"/>
          <w:color w:val="auto"/>
          <w:sz w:val="21"/>
          <w:szCs w:val="21"/>
          <w:lang w:val="en-US"/>
        </w:rPr>
        <w:t xml:space="preserve">（2）中标通知书； </w:t>
      </w:r>
    </w:p>
    <w:p>
      <w:pPr>
        <w:ind w:firstLine="420" w:firstLineChars="200"/>
        <w:rPr>
          <w:rFonts w:hint="eastAsia"/>
          <w:color w:val="auto"/>
          <w:sz w:val="21"/>
          <w:szCs w:val="21"/>
        </w:rPr>
      </w:pPr>
      <w:r>
        <w:rPr>
          <w:rFonts w:hint="eastAsia"/>
          <w:color w:val="auto"/>
          <w:sz w:val="21"/>
          <w:szCs w:val="21"/>
          <w:lang w:val="en-US"/>
        </w:rPr>
        <w:t xml:space="preserve">（3）投标函及投标函附录； </w:t>
      </w:r>
    </w:p>
    <w:p>
      <w:pPr>
        <w:ind w:firstLine="420" w:firstLineChars="200"/>
        <w:rPr>
          <w:rFonts w:hint="eastAsia"/>
          <w:color w:val="auto"/>
          <w:sz w:val="21"/>
          <w:szCs w:val="21"/>
        </w:rPr>
      </w:pPr>
      <w:r>
        <w:rPr>
          <w:rFonts w:hint="eastAsia"/>
          <w:color w:val="auto"/>
          <w:sz w:val="21"/>
          <w:szCs w:val="21"/>
          <w:lang w:val="en-US"/>
        </w:rPr>
        <w:t xml:space="preserve">（4）项目专用合同条款； </w:t>
      </w:r>
    </w:p>
    <w:p>
      <w:pPr>
        <w:ind w:firstLine="420" w:firstLineChars="200"/>
        <w:rPr>
          <w:rFonts w:hint="eastAsia"/>
          <w:color w:val="auto"/>
          <w:sz w:val="21"/>
          <w:szCs w:val="21"/>
        </w:rPr>
      </w:pPr>
      <w:r>
        <w:rPr>
          <w:rFonts w:hint="eastAsia"/>
          <w:color w:val="auto"/>
          <w:sz w:val="21"/>
          <w:szCs w:val="21"/>
          <w:lang w:val="en-US"/>
        </w:rPr>
        <w:t xml:space="preserve">（5）公路工程专用合同条款； </w:t>
      </w:r>
    </w:p>
    <w:p>
      <w:pPr>
        <w:ind w:firstLine="420" w:firstLineChars="200"/>
        <w:rPr>
          <w:rFonts w:hint="eastAsia"/>
          <w:color w:val="auto"/>
          <w:sz w:val="21"/>
          <w:szCs w:val="21"/>
        </w:rPr>
      </w:pPr>
      <w:r>
        <w:rPr>
          <w:rFonts w:hint="eastAsia"/>
          <w:color w:val="auto"/>
          <w:sz w:val="21"/>
          <w:szCs w:val="21"/>
          <w:lang w:val="en-US"/>
        </w:rPr>
        <w:t xml:space="preserve">（6）通用合同条款； </w:t>
      </w:r>
    </w:p>
    <w:p>
      <w:pPr>
        <w:ind w:firstLine="420" w:firstLineChars="200"/>
        <w:rPr>
          <w:rFonts w:hint="eastAsia"/>
          <w:color w:val="auto"/>
          <w:sz w:val="21"/>
          <w:szCs w:val="21"/>
        </w:rPr>
      </w:pPr>
      <w:r>
        <w:rPr>
          <w:rFonts w:hint="eastAsia"/>
          <w:color w:val="auto"/>
          <w:sz w:val="21"/>
          <w:szCs w:val="21"/>
          <w:lang w:val="en-US"/>
        </w:rPr>
        <w:t xml:space="preserve">（7）工程量清单计量规则； </w:t>
      </w:r>
    </w:p>
    <w:p>
      <w:pPr>
        <w:ind w:firstLine="420" w:firstLineChars="200"/>
        <w:rPr>
          <w:rFonts w:hint="eastAsia"/>
          <w:color w:val="auto"/>
          <w:sz w:val="21"/>
          <w:szCs w:val="21"/>
        </w:rPr>
      </w:pPr>
      <w:r>
        <w:rPr>
          <w:rFonts w:hint="eastAsia"/>
          <w:color w:val="auto"/>
          <w:sz w:val="21"/>
          <w:szCs w:val="21"/>
          <w:lang w:val="en-US"/>
        </w:rPr>
        <w:t xml:space="preserve">（8）技术规范； </w:t>
      </w:r>
    </w:p>
    <w:p>
      <w:pPr>
        <w:ind w:firstLine="420" w:firstLineChars="200"/>
        <w:rPr>
          <w:rFonts w:hint="eastAsia"/>
          <w:color w:val="auto"/>
          <w:sz w:val="21"/>
          <w:szCs w:val="21"/>
        </w:rPr>
      </w:pPr>
      <w:r>
        <w:rPr>
          <w:rFonts w:hint="eastAsia"/>
          <w:color w:val="auto"/>
          <w:sz w:val="21"/>
          <w:szCs w:val="21"/>
          <w:lang w:val="en-US"/>
        </w:rPr>
        <w:t xml:space="preserve">（9）图纸； </w:t>
      </w:r>
    </w:p>
    <w:p>
      <w:pPr>
        <w:ind w:firstLine="420" w:firstLineChars="200"/>
        <w:rPr>
          <w:rFonts w:hint="eastAsia"/>
          <w:color w:val="auto"/>
          <w:sz w:val="21"/>
          <w:szCs w:val="21"/>
        </w:rPr>
      </w:pPr>
      <w:r>
        <w:rPr>
          <w:rFonts w:hint="eastAsia"/>
          <w:color w:val="auto"/>
          <w:sz w:val="21"/>
          <w:szCs w:val="21"/>
          <w:lang w:val="en-US"/>
        </w:rPr>
        <w:t xml:space="preserve">（10）已标价工程量清单； </w:t>
      </w:r>
    </w:p>
    <w:p>
      <w:pPr>
        <w:ind w:firstLine="420" w:firstLineChars="200"/>
        <w:rPr>
          <w:rFonts w:hint="eastAsia"/>
          <w:color w:val="auto"/>
          <w:sz w:val="21"/>
          <w:szCs w:val="21"/>
        </w:rPr>
      </w:pPr>
      <w:r>
        <w:rPr>
          <w:rFonts w:hint="eastAsia"/>
          <w:color w:val="auto"/>
          <w:sz w:val="21"/>
          <w:szCs w:val="21"/>
          <w:lang w:val="en-US"/>
        </w:rPr>
        <w:t>（11）其他合同文件。</w:t>
      </w:r>
    </w:p>
    <w:p>
      <w:pPr>
        <w:ind w:firstLine="480"/>
        <w:rPr>
          <w:color w:val="auto"/>
          <w:sz w:val="21"/>
          <w:szCs w:val="21"/>
        </w:rPr>
      </w:pPr>
      <w:r>
        <w:rPr>
          <w:color w:val="auto"/>
          <w:sz w:val="21"/>
          <w:szCs w:val="21"/>
        </w:rPr>
        <w:t>3</w:t>
      </w:r>
      <w:r>
        <w:rPr>
          <w:rFonts w:hint="eastAsia"/>
          <w:color w:val="auto"/>
          <w:sz w:val="21"/>
          <w:szCs w:val="21"/>
        </w:rPr>
        <w:t>．上述文件将互相补充，具有经济合同的法律效力。若有不明确或不一致之处，以上列次序在先者为准。</w:t>
      </w:r>
    </w:p>
    <w:p>
      <w:pPr>
        <w:ind w:left="2" w:firstLine="522" w:firstLineChars="249"/>
        <w:rPr>
          <w:color w:val="auto"/>
          <w:sz w:val="21"/>
          <w:szCs w:val="21"/>
          <w:u w:val="single"/>
        </w:rPr>
      </w:pPr>
      <w:r>
        <w:rPr>
          <w:color w:val="auto"/>
          <w:sz w:val="21"/>
          <w:szCs w:val="21"/>
        </w:rPr>
        <w:t>4</w:t>
      </w:r>
      <w:r>
        <w:rPr>
          <w:rFonts w:hint="eastAsia"/>
          <w:color w:val="auto"/>
          <w:sz w:val="21"/>
          <w:szCs w:val="21"/>
        </w:rPr>
        <w:t>．根据工程量清单所列的预计数量和单价或总额价计算的本合同总价为人民币（大写）</w:t>
      </w:r>
      <w:r>
        <w:rPr>
          <w:rFonts w:hint="eastAsia"/>
          <w:color w:val="auto"/>
          <w:sz w:val="21"/>
          <w:szCs w:val="21"/>
          <w:u w:val="single"/>
        </w:rPr>
        <w:t xml:space="preserve">      </w:t>
      </w:r>
    </w:p>
    <w:p>
      <w:pPr>
        <w:rPr>
          <w:color w:val="auto"/>
          <w:sz w:val="21"/>
          <w:szCs w:val="21"/>
        </w:rPr>
      </w:pPr>
      <w:r>
        <w:rPr>
          <w:rFonts w:hint="eastAsia" w:eastAsia="仿宋_GB2312"/>
          <w:color w:val="auto"/>
          <w:sz w:val="21"/>
          <w:szCs w:val="21"/>
          <w:u w:val="single"/>
        </w:rPr>
        <w:t xml:space="preserve">           万元整</w:t>
      </w:r>
      <w:r>
        <w:rPr>
          <w:rFonts w:hint="eastAsia"/>
          <w:color w:val="auto"/>
          <w:sz w:val="21"/>
          <w:szCs w:val="21"/>
        </w:rPr>
        <w:t>（￥</w:t>
      </w:r>
      <w:r>
        <w:rPr>
          <w:rFonts w:hint="eastAsia"/>
          <w:color w:val="auto"/>
          <w:sz w:val="21"/>
          <w:szCs w:val="21"/>
          <w:u w:val="single"/>
        </w:rPr>
        <w:t xml:space="preserve">         </w:t>
      </w:r>
      <w:r>
        <w:rPr>
          <w:rFonts w:hint="eastAsia"/>
          <w:color w:val="auto"/>
          <w:sz w:val="21"/>
          <w:szCs w:val="21"/>
        </w:rPr>
        <w:t>万元）。</w:t>
      </w:r>
    </w:p>
    <w:p>
      <w:pPr>
        <w:tabs>
          <w:tab w:val="left" w:pos="7938"/>
        </w:tabs>
        <w:spacing w:line="360" w:lineRule="exact"/>
        <w:ind w:right="196" w:rightChars="89" w:firstLine="442" w:firstLineChars="200"/>
        <w:rPr>
          <w:b/>
          <w:color w:val="auto"/>
        </w:rPr>
      </w:pPr>
      <w:r>
        <w:rPr>
          <w:b/>
          <w:color w:val="auto"/>
        </w:rPr>
        <w:t>付款</w:t>
      </w:r>
      <w:r>
        <w:rPr>
          <w:rFonts w:hint="eastAsia"/>
          <w:b/>
          <w:color w:val="auto"/>
        </w:rPr>
        <w:t>方式</w:t>
      </w:r>
      <w:r>
        <w:rPr>
          <w:b/>
          <w:color w:val="auto"/>
        </w:rPr>
        <w:t>：</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（1）合同约定的开工日期7日前，承包人组织进场施工，经验收具备开工条件，发包人向承包人支付合同价款的10%作为工程预付款；</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（2）工程竣工验收合格后付至合同价款的</w:t>
      </w:r>
      <w:r>
        <w:rPr>
          <w:rFonts w:hint="eastAsia"/>
          <w:b/>
          <w:color w:val="auto"/>
          <w:sz w:val="21"/>
          <w:szCs w:val="21"/>
          <w:lang w:val="en-US" w:eastAsia="zh-CN"/>
        </w:rPr>
        <w:t>8</w:t>
      </w:r>
      <w:r>
        <w:rPr>
          <w:rFonts w:hint="eastAsia"/>
          <w:b/>
          <w:color w:val="auto"/>
          <w:sz w:val="21"/>
          <w:szCs w:val="21"/>
        </w:rPr>
        <w:t>0%；</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（3）工程竣工验收合格满一年付至审定结算价款的</w:t>
      </w:r>
      <w:r>
        <w:rPr>
          <w:rFonts w:hint="eastAsia"/>
          <w:b/>
          <w:color w:val="auto"/>
          <w:sz w:val="21"/>
          <w:szCs w:val="21"/>
          <w:lang w:val="en-US" w:eastAsia="zh-CN"/>
        </w:rPr>
        <w:t>97</w:t>
      </w:r>
      <w:r>
        <w:rPr>
          <w:rFonts w:hint="eastAsia"/>
          <w:b/>
          <w:color w:val="auto"/>
          <w:sz w:val="21"/>
          <w:szCs w:val="21"/>
        </w:rPr>
        <w:t>%；</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（4）余款作为质量保证金，待缺陷责任期满后无质量问题一次性结清（但不免除承包人的保修责任）</w:t>
      </w:r>
    </w:p>
    <w:p>
      <w:pPr>
        <w:spacing w:line="360" w:lineRule="exact"/>
        <w:ind w:firstLine="422" w:firstLineChars="200"/>
        <w:rPr>
          <w:rFonts w:hint="eastAsia"/>
          <w:b/>
          <w:color w:val="auto"/>
        </w:rPr>
      </w:pPr>
      <w:r>
        <w:rPr>
          <w:rFonts w:hint="eastAsia"/>
          <w:b/>
          <w:color w:val="auto"/>
          <w:sz w:val="21"/>
          <w:szCs w:val="21"/>
        </w:rPr>
        <w:t>按以上付款进度，无任何利息补偿。</w:t>
      </w:r>
    </w:p>
    <w:p>
      <w:pPr>
        <w:tabs>
          <w:tab w:val="left" w:pos="7938"/>
        </w:tabs>
        <w:spacing w:line="360" w:lineRule="exact"/>
        <w:ind w:right="196" w:rightChars="89" w:firstLine="422" w:firstLineChars="200"/>
        <w:rPr>
          <w:rFonts w:hint="eastAsia"/>
          <w:b/>
          <w:color w:val="auto"/>
          <w:sz w:val="21"/>
          <w:szCs w:val="21"/>
          <w:lang w:val="en-US"/>
        </w:rPr>
      </w:pPr>
      <w:r>
        <w:rPr>
          <w:rFonts w:hint="eastAsia"/>
          <w:b/>
          <w:color w:val="auto"/>
          <w:sz w:val="21"/>
          <w:szCs w:val="21"/>
          <w:lang w:val="en-US"/>
        </w:rPr>
        <w:t>本建设项目纳入审核项目计划，建设单位与中标单位在签订合同时明确“双方配合接受结算审核”。竣工结算编制要求：乙方必须认真编报工程决算，不得高估冒算；审核核减额超过审核核定价的5%（含）以内的，审核费用由甲方承担；审核核减额超过审核核定价的5%至10%（含）之间的，甲方处以乙方该工程审核费50%的违约金；审核核减额超过审核核定价的10%，甲方处以乙方该工程所有审核费及审核核减额乘以5%的违约金；以上违约金直接在审核中扣除。</w:t>
      </w:r>
    </w:p>
    <w:p>
      <w:pPr>
        <w:ind w:firstLine="480"/>
        <w:rPr>
          <w:color w:val="auto"/>
          <w:sz w:val="21"/>
          <w:szCs w:val="21"/>
        </w:rPr>
      </w:pPr>
    </w:p>
    <w:p>
      <w:pPr>
        <w:ind w:firstLine="480"/>
        <w:rPr>
          <w:color w:val="auto"/>
          <w:sz w:val="21"/>
          <w:szCs w:val="21"/>
        </w:rPr>
      </w:pPr>
      <w:r>
        <w:rPr>
          <w:color w:val="auto"/>
          <w:sz w:val="21"/>
          <w:szCs w:val="21"/>
        </w:rPr>
        <w:t>5</w:t>
      </w:r>
      <w:r>
        <w:rPr>
          <w:rFonts w:hint="eastAsia"/>
          <w:color w:val="auto"/>
          <w:sz w:val="21"/>
          <w:szCs w:val="21"/>
        </w:rPr>
        <w:t>．由于甲方按本协议所述给乙方支付合同价款，乙方在此立约；保证在各方面按合同文件的规定承担本合同工程的实施、完成及其在缺陷责任期内的及时巡查和修复。</w:t>
      </w:r>
    </w:p>
    <w:p>
      <w:pPr>
        <w:ind w:firstLine="480"/>
        <w:rPr>
          <w:color w:val="auto"/>
          <w:sz w:val="21"/>
          <w:szCs w:val="21"/>
        </w:rPr>
      </w:pPr>
      <w:r>
        <w:rPr>
          <w:color w:val="auto"/>
          <w:sz w:val="21"/>
          <w:szCs w:val="21"/>
        </w:rPr>
        <w:t>6</w:t>
      </w:r>
      <w:r>
        <w:rPr>
          <w:rFonts w:hint="eastAsia"/>
          <w:color w:val="auto"/>
          <w:sz w:val="21"/>
          <w:szCs w:val="21"/>
        </w:rPr>
        <w:t>．作为对本合同工程的实施、完成及其在缺陷责任期内的及时巡查和修复的报酬，甲方在此立约；保证按照合同文件规定的时间和方式向乙方支付合同价款。</w:t>
      </w:r>
    </w:p>
    <w:p>
      <w:pPr>
        <w:ind w:firstLine="480"/>
        <w:rPr>
          <w:color w:val="auto"/>
          <w:sz w:val="21"/>
          <w:szCs w:val="21"/>
        </w:rPr>
      </w:pPr>
      <w:r>
        <w:rPr>
          <w:color w:val="auto"/>
          <w:sz w:val="21"/>
          <w:szCs w:val="21"/>
        </w:rPr>
        <w:t>7</w:t>
      </w:r>
      <w:r>
        <w:rPr>
          <w:rFonts w:hint="eastAsia"/>
          <w:color w:val="auto"/>
          <w:sz w:val="21"/>
          <w:szCs w:val="21"/>
        </w:rPr>
        <w:t>．乙方应在甲方发出开工通知书之后，在投标书附录中写明的开工期限内开工。即本工程竣工时间为</w:t>
      </w:r>
      <w:r>
        <w:rPr>
          <w:rFonts w:hint="eastAsia"/>
          <w:color w:val="auto"/>
          <w:sz w:val="21"/>
          <w:szCs w:val="21"/>
          <w:u w:val="single"/>
        </w:rPr>
        <w:t xml:space="preserve">    </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w:t>
      </w:r>
    </w:p>
    <w:p>
      <w:pPr>
        <w:ind w:firstLine="480"/>
        <w:rPr>
          <w:color w:val="auto"/>
          <w:sz w:val="21"/>
          <w:szCs w:val="21"/>
        </w:rPr>
      </w:pPr>
      <w:r>
        <w:rPr>
          <w:color w:val="auto"/>
          <w:sz w:val="21"/>
          <w:szCs w:val="21"/>
        </w:rPr>
        <w:t>8</w:t>
      </w:r>
      <w:r>
        <w:rPr>
          <w:rFonts w:hint="eastAsia"/>
          <w:color w:val="auto"/>
          <w:sz w:val="21"/>
          <w:szCs w:val="21"/>
        </w:rPr>
        <w:t>．本协议书在乙方提供履约担保后，由双方法定代表人签署与加盖公章后生效。全部工程完工后经交工验收合格、缺陷责任期满及保修期终止分别签发缺陷责任终止证书及保修期终止证书后失效。</w:t>
      </w:r>
    </w:p>
    <w:p>
      <w:pPr>
        <w:ind w:firstLine="480"/>
        <w:rPr>
          <w:color w:val="auto"/>
          <w:sz w:val="21"/>
          <w:szCs w:val="21"/>
        </w:rPr>
      </w:pPr>
      <w:r>
        <w:rPr>
          <w:rFonts w:hint="eastAsia"/>
          <w:color w:val="auto"/>
          <w:sz w:val="21"/>
          <w:szCs w:val="21"/>
        </w:rPr>
        <w:t>9、乙方进场施工的项目经理必须与投标文件上所承诺的保持一致，且必须押证管理。项目经理每月在工地时间不得少于25天，否则乙方无条件同意甲方采取的任何处理措施。</w:t>
      </w:r>
    </w:p>
    <w:p>
      <w:pPr>
        <w:ind w:firstLine="480"/>
        <w:rPr>
          <w:rFonts w:ascii="黑体" w:eastAsia="黑体"/>
          <w:color w:val="auto"/>
          <w:sz w:val="21"/>
          <w:szCs w:val="21"/>
        </w:rPr>
      </w:pPr>
      <w:r>
        <w:rPr>
          <w:rFonts w:hint="eastAsia"/>
          <w:color w:val="auto"/>
          <w:sz w:val="21"/>
          <w:szCs w:val="21"/>
        </w:rPr>
        <w:t>10、工程管理：乙方须建立完善的质量保证体系，按照质量检验标准，严格自检，提供真实、完整的检测资料，确保工程质量达优良级标准。乙方必须按监理规范的要求，积极组织施工，对每道工序，由监理在现场复检合格并签认后，方能转入下道工序。乙方必须确保施工安全，对施工中发生的安全问题均由乙方负责。</w:t>
      </w:r>
    </w:p>
    <w:p>
      <w:pPr>
        <w:ind w:firstLine="480"/>
        <w:rPr>
          <w:color w:val="auto"/>
          <w:sz w:val="21"/>
          <w:szCs w:val="21"/>
        </w:rPr>
      </w:pPr>
      <w:r>
        <w:rPr>
          <w:rFonts w:hint="eastAsia"/>
          <w:color w:val="auto"/>
          <w:sz w:val="21"/>
          <w:szCs w:val="21"/>
        </w:rPr>
        <w:t>11、标书所提供的工程量在施工中若需变更，经甲方批准后由监理按实际工程量增减。</w:t>
      </w:r>
    </w:p>
    <w:p>
      <w:pPr>
        <w:ind w:firstLine="480"/>
        <w:rPr>
          <w:color w:val="auto"/>
          <w:sz w:val="21"/>
          <w:szCs w:val="21"/>
        </w:rPr>
      </w:pPr>
      <w:r>
        <w:rPr>
          <w:rFonts w:hint="eastAsia"/>
          <w:color w:val="auto"/>
          <w:sz w:val="21"/>
          <w:szCs w:val="21"/>
        </w:rPr>
        <w:t>12、乙方要履行投标书中的承诺，甲方负责协调乙方施工业面以内障碍物的清除。</w:t>
      </w:r>
    </w:p>
    <w:p>
      <w:pPr>
        <w:ind w:firstLine="480"/>
        <w:rPr>
          <w:color w:val="auto"/>
          <w:sz w:val="21"/>
          <w:szCs w:val="21"/>
        </w:rPr>
      </w:pPr>
      <w:r>
        <w:rPr>
          <w:rFonts w:hint="eastAsia"/>
          <w:color w:val="auto"/>
          <w:sz w:val="21"/>
          <w:szCs w:val="21"/>
        </w:rPr>
        <w:t>13、签订合同前，乙方须按招标文件的要求设立农民工工资专用账户，并按招标文件的要求缴纳农民工工资保证金。工程交工验收合格之前，在没有发生因农民工工资问题而投诉或上访事件，或此类投诉已解决的情况之下，工程交工验收合格之后15日内将无息退还该保证金。</w:t>
      </w:r>
    </w:p>
    <w:p>
      <w:pPr>
        <w:ind w:firstLine="480"/>
        <w:rPr>
          <w:color w:val="auto"/>
          <w:sz w:val="21"/>
          <w:szCs w:val="21"/>
        </w:rPr>
      </w:pPr>
      <w:r>
        <w:rPr>
          <w:rFonts w:hint="eastAsia"/>
          <w:color w:val="auto"/>
          <w:sz w:val="21"/>
          <w:szCs w:val="21"/>
        </w:rPr>
        <w:t>乙方</w:t>
      </w:r>
      <w:r>
        <w:rPr>
          <w:color w:val="auto"/>
          <w:sz w:val="21"/>
          <w:szCs w:val="21"/>
        </w:rPr>
        <w:t>的项目经理部要</w:t>
      </w:r>
      <w:r>
        <w:rPr>
          <w:rFonts w:hint="eastAsia"/>
          <w:color w:val="auto"/>
          <w:sz w:val="21"/>
          <w:szCs w:val="21"/>
        </w:rPr>
        <w:t>执行用工实名制，</w:t>
      </w:r>
      <w:r>
        <w:rPr>
          <w:color w:val="auto"/>
          <w:sz w:val="21"/>
          <w:szCs w:val="21"/>
        </w:rPr>
        <w:t>建立全体民工花名册和工资支付表，</w:t>
      </w:r>
      <w:r>
        <w:rPr>
          <w:rFonts w:hint="eastAsia"/>
          <w:color w:val="auto"/>
          <w:sz w:val="21"/>
          <w:szCs w:val="21"/>
        </w:rPr>
        <w:t>并每月报甲方备案。</w:t>
      </w:r>
      <w:r>
        <w:rPr>
          <w:color w:val="auto"/>
          <w:sz w:val="21"/>
          <w:szCs w:val="21"/>
        </w:rPr>
        <w:t>确保将工资直接发放给民工本人，或委托银行发放民工工资，严禁发放给“包工头”或其他不具备用工主体资格的组织和个人。</w:t>
      </w:r>
      <w:r>
        <w:rPr>
          <w:rFonts w:hint="eastAsia"/>
          <w:color w:val="auto"/>
          <w:sz w:val="21"/>
          <w:szCs w:val="21"/>
        </w:rPr>
        <w:t>乙方</w:t>
      </w:r>
      <w:r>
        <w:rPr>
          <w:color w:val="auto"/>
          <w:sz w:val="21"/>
          <w:szCs w:val="21"/>
        </w:rPr>
        <w:t>不得以任何借口拖欠</w:t>
      </w:r>
      <w:r>
        <w:rPr>
          <w:rFonts w:hint="eastAsia"/>
          <w:color w:val="auto"/>
          <w:sz w:val="21"/>
          <w:szCs w:val="21"/>
        </w:rPr>
        <w:t>农民工</w:t>
      </w:r>
      <w:r>
        <w:rPr>
          <w:color w:val="auto"/>
          <w:sz w:val="21"/>
          <w:szCs w:val="21"/>
        </w:rPr>
        <w:t>工资，如果出现此种现象，一经查实后，一律通报并责令</w:t>
      </w:r>
      <w:r>
        <w:rPr>
          <w:rFonts w:hint="eastAsia"/>
          <w:color w:val="auto"/>
          <w:sz w:val="21"/>
          <w:szCs w:val="21"/>
        </w:rPr>
        <w:t>乙方</w:t>
      </w:r>
      <w:r>
        <w:rPr>
          <w:color w:val="auto"/>
          <w:sz w:val="21"/>
          <w:szCs w:val="21"/>
        </w:rPr>
        <w:t>自行组织资金迅速偿还欠款。在必要时，</w:t>
      </w:r>
      <w:r>
        <w:rPr>
          <w:rFonts w:hint="eastAsia"/>
          <w:color w:val="auto"/>
          <w:sz w:val="21"/>
          <w:szCs w:val="21"/>
        </w:rPr>
        <w:t>甲方</w:t>
      </w:r>
      <w:r>
        <w:rPr>
          <w:color w:val="auto"/>
          <w:sz w:val="21"/>
          <w:szCs w:val="21"/>
        </w:rPr>
        <w:t>有权从</w:t>
      </w:r>
      <w:r>
        <w:rPr>
          <w:rFonts w:hint="eastAsia"/>
          <w:color w:val="auto"/>
          <w:sz w:val="21"/>
          <w:szCs w:val="21"/>
        </w:rPr>
        <w:t>乙方的农民工工资保证金</w:t>
      </w:r>
      <w:r>
        <w:rPr>
          <w:color w:val="auto"/>
          <w:sz w:val="21"/>
          <w:szCs w:val="21"/>
        </w:rPr>
        <w:t>中代为支付其拖欠的</w:t>
      </w:r>
      <w:r>
        <w:rPr>
          <w:rFonts w:hint="eastAsia"/>
          <w:color w:val="auto"/>
          <w:sz w:val="21"/>
          <w:szCs w:val="21"/>
        </w:rPr>
        <w:t>农</w:t>
      </w:r>
      <w:r>
        <w:rPr>
          <w:color w:val="auto"/>
          <w:sz w:val="21"/>
          <w:szCs w:val="21"/>
        </w:rPr>
        <w:t>民工工资</w:t>
      </w:r>
      <w:r>
        <w:rPr>
          <w:rFonts w:hint="eastAsia"/>
          <w:color w:val="auto"/>
          <w:sz w:val="21"/>
          <w:szCs w:val="21"/>
        </w:rPr>
        <w:t>，如保证金不够支付的，将从</w:t>
      </w:r>
      <w:r>
        <w:rPr>
          <w:color w:val="auto"/>
          <w:sz w:val="21"/>
          <w:szCs w:val="21"/>
        </w:rPr>
        <w:t>应付给</w:t>
      </w:r>
      <w:r>
        <w:rPr>
          <w:rFonts w:hint="eastAsia"/>
          <w:color w:val="auto"/>
          <w:sz w:val="21"/>
          <w:szCs w:val="21"/>
        </w:rPr>
        <w:t>乙方</w:t>
      </w:r>
      <w:r>
        <w:rPr>
          <w:color w:val="auto"/>
          <w:sz w:val="21"/>
          <w:szCs w:val="21"/>
        </w:rPr>
        <w:t>的工程款中</w:t>
      </w:r>
      <w:r>
        <w:rPr>
          <w:rFonts w:hint="eastAsia"/>
          <w:color w:val="auto"/>
          <w:sz w:val="21"/>
          <w:szCs w:val="21"/>
        </w:rPr>
        <w:t>扣除</w:t>
      </w:r>
      <w:r>
        <w:rPr>
          <w:color w:val="auto"/>
          <w:sz w:val="21"/>
          <w:szCs w:val="21"/>
        </w:rPr>
        <w:t>。对恶意拖欠和拒不按计划支付的，</w:t>
      </w:r>
      <w:r>
        <w:rPr>
          <w:rFonts w:hint="eastAsia"/>
          <w:color w:val="auto"/>
          <w:sz w:val="21"/>
          <w:szCs w:val="21"/>
        </w:rPr>
        <w:t>甲方</w:t>
      </w:r>
      <w:r>
        <w:rPr>
          <w:color w:val="auto"/>
          <w:sz w:val="21"/>
          <w:szCs w:val="21"/>
        </w:rPr>
        <w:t>将</w:t>
      </w:r>
      <w:r>
        <w:rPr>
          <w:rFonts w:hint="eastAsia"/>
          <w:color w:val="auto"/>
          <w:sz w:val="21"/>
          <w:szCs w:val="21"/>
        </w:rPr>
        <w:t>视情节严重程度给予罚款，并</w:t>
      </w:r>
      <w:r>
        <w:rPr>
          <w:color w:val="auto"/>
          <w:sz w:val="21"/>
          <w:szCs w:val="21"/>
        </w:rPr>
        <w:t>报</w:t>
      </w:r>
      <w:r>
        <w:rPr>
          <w:rFonts w:hint="eastAsia"/>
          <w:color w:val="auto"/>
          <w:sz w:val="21"/>
          <w:szCs w:val="21"/>
        </w:rPr>
        <w:t>上级</w:t>
      </w:r>
      <w:r>
        <w:rPr>
          <w:color w:val="auto"/>
          <w:sz w:val="21"/>
          <w:szCs w:val="21"/>
        </w:rPr>
        <w:t>主管部门依照有关规定作出其它处罚。</w:t>
      </w:r>
      <w:r>
        <w:rPr>
          <w:rFonts w:hint="eastAsia"/>
          <w:color w:val="auto"/>
          <w:sz w:val="21"/>
          <w:szCs w:val="21"/>
        </w:rPr>
        <w:t>乙方分包单位雇佣民工的，将要求分包单位按照上述规定签订劳动合同，并由乙方负责督促其按照合同规定及时结付民工工资。如因乙方未按合同约定与分包单位结清工程款，致使后者拖欠民工工资的，将由乙方先行垫付欠款。乙方对分包单位清偿拖欠民工工资负总责。</w:t>
      </w:r>
    </w:p>
    <w:p>
      <w:pPr>
        <w:ind w:firstLine="480"/>
        <w:rPr>
          <w:color w:val="auto"/>
          <w:sz w:val="21"/>
          <w:szCs w:val="21"/>
        </w:rPr>
      </w:pPr>
      <w:r>
        <w:rPr>
          <w:rFonts w:hint="eastAsia"/>
          <w:color w:val="auto"/>
          <w:sz w:val="21"/>
          <w:szCs w:val="21"/>
        </w:rPr>
        <w:t>14、奖惩办法</w:t>
      </w:r>
    </w:p>
    <w:p>
      <w:pPr>
        <w:ind w:firstLine="480"/>
        <w:rPr>
          <w:color w:val="auto"/>
          <w:sz w:val="21"/>
          <w:szCs w:val="21"/>
        </w:rPr>
      </w:pPr>
      <w:r>
        <w:rPr>
          <w:rFonts w:hint="eastAsia"/>
          <w:color w:val="auto"/>
          <w:sz w:val="21"/>
          <w:szCs w:val="21"/>
        </w:rPr>
        <w:t>（1）工期：按要求完成时间，每拖延1天，扣收违约金</w:t>
      </w:r>
      <w:r>
        <w:rPr>
          <w:rFonts w:hint="eastAsia"/>
          <w:color w:val="auto"/>
          <w:sz w:val="21"/>
          <w:szCs w:val="21"/>
          <w:u w:val="single"/>
        </w:rPr>
        <w:t xml:space="preserve"> </w:t>
      </w:r>
      <w:r>
        <w:rPr>
          <w:rFonts w:hint="eastAsia"/>
          <w:color w:val="auto"/>
          <w:sz w:val="21"/>
          <w:szCs w:val="21"/>
          <w:u w:val="single"/>
          <w:lang w:val="en-US"/>
        </w:rPr>
        <w:t>1</w:t>
      </w:r>
      <w:r>
        <w:rPr>
          <w:rFonts w:hint="eastAsia"/>
          <w:color w:val="auto"/>
          <w:sz w:val="21"/>
          <w:szCs w:val="21"/>
          <w:u w:val="single"/>
        </w:rPr>
        <w:t xml:space="preserve">000 </w:t>
      </w:r>
      <w:r>
        <w:rPr>
          <w:rFonts w:hint="eastAsia"/>
          <w:color w:val="auto"/>
          <w:sz w:val="21"/>
          <w:szCs w:val="21"/>
        </w:rPr>
        <w:t>元。</w:t>
      </w:r>
    </w:p>
    <w:p>
      <w:pPr>
        <w:ind w:firstLine="480"/>
        <w:rPr>
          <w:rFonts w:hint="eastAsia"/>
          <w:color w:val="auto"/>
          <w:sz w:val="21"/>
          <w:szCs w:val="21"/>
        </w:rPr>
      </w:pPr>
      <w:r>
        <w:rPr>
          <w:rFonts w:hint="eastAsia"/>
          <w:color w:val="auto"/>
          <w:sz w:val="21"/>
          <w:szCs w:val="21"/>
        </w:rPr>
        <w:t>15、本协议</w:t>
      </w:r>
      <w:r>
        <w:rPr>
          <w:rFonts w:hint="eastAsia"/>
          <w:color w:val="auto"/>
          <w:sz w:val="21"/>
          <w:szCs w:val="21"/>
          <w:lang w:eastAsia="zh-CN"/>
        </w:rPr>
        <w:t>一式陆份</w:t>
      </w:r>
      <w:r>
        <w:rPr>
          <w:rFonts w:hint="eastAsia"/>
          <w:color w:val="auto"/>
          <w:sz w:val="21"/>
          <w:szCs w:val="21"/>
        </w:rPr>
        <w:t>。</w:t>
      </w:r>
    </w:p>
    <w:p>
      <w:pPr>
        <w:pStyle w:val="2"/>
      </w:pPr>
    </w:p>
    <w:p>
      <w:pPr>
        <w:ind w:firstLine="420" w:firstLineChars="200"/>
        <w:rPr>
          <w:rFonts w:ascii="楷体_GB2312" w:eastAsia="楷体_GB2312"/>
          <w:color w:val="auto"/>
          <w:sz w:val="21"/>
          <w:szCs w:val="21"/>
          <w:u w:val="single"/>
        </w:rPr>
      </w:pPr>
      <w:r>
        <w:rPr>
          <w:rFonts w:hint="eastAsia"/>
          <w:color w:val="auto"/>
          <w:sz w:val="21"/>
          <w:szCs w:val="21"/>
          <w:lang w:eastAsia="zh-CN"/>
        </w:rPr>
        <w:t>甲</w:t>
      </w:r>
      <w:r>
        <w:rPr>
          <w:rFonts w:hint="eastAsia"/>
          <w:color w:val="auto"/>
          <w:sz w:val="21"/>
          <w:szCs w:val="21"/>
          <w:lang w:val="en-US" w:eastAsia="zh-CN"/>
        </w:rPr>
        <w:t xml:space="preserve">    </w:t>
      </w:r>
      <w:r>
        <w:rPr>
          <w:rFonts w:hint="eastAsia"/>
          <w:color w:val="auto"/>
          <w:sz w:val="21"/>
          <w:szCs w:val="21"/>
          <w:lang w:eastAsia="zh-CN"/>
        </w:rPr>
        <w:t>方</w:t>
      </w:r>
      <w:r>
        <w:rPr>
          <w:rFonts w:hint="eastAsia"/>
          <w:color w:val="auto"/>
          <w:sz w:val="21"/>
          <w:szCs w:val="21"/>
        </w:rPr>
        <w:t>：</w:t>
      </w:r>
      <w:r>
        <w:rPr>
          <w:color w:val="auto"/>
          <w:sz w:val="21"/>
          <w:szCs w:val="21"/>
          <w:u w:val="single"/>
        </w:rPr>
        <w:t xml:space="preserve">  </w:t>
      </w:r>
      <w:r>
        <w:rPr>
          <w:rFonts w:hint="eastAsia" w:ascii="楷体_GB2312" w:eastAsia="楷体_GB2312"/>
          <w:color w:val="auto"/>
          <w:sz w:val="21"/>
          <w:szCs w:val="21"/>
          <w:u w:val="single"/>
        </w:rPr>
        <w:t xml:space="preserve">                      </w:t>
      </w:r>
      <w:r>
        <w:rPr>
          <w:color w:val="auto"/>
          <w:sz w:val="21"/>
          <w:szCs w:val="21"/>
          <w:u w:val="single"/>
        </w:rPr>
        <w:t xml:space="preserve"> </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lang w:eastAsia="zh-CN"/>
        </w:rPr>
        <w:t>乙</w:t>
      </w:r>
      <w:r>
        <w:rPr>
          <w:rFonts w:hint="eastAsia"/>
          <w:color w:val="auto"/>
          <w:sz w:val="21"/>
          <w:szCs w:val="21"/>
          <w:lang w:val="en-US" w:eastAsia="zh-CN"/>
        </w:rPr>
        <w:t xml:space="preserve">     </w:t>
      </w:r>
      <w:r>
        <w:rPr>
          <w:rFonts w:hint="eastAsia"/>
          <w:color w:val="auto"/>
          <w:sz w:val="21"/>
          <w:szCs w:val="21"/>
          <w:lang w:eastAsia="zh-CN"/>
        </w:rPr>
        <w:t>方</w:t>
      </w:r>
      <w:r>
        <w:rPr>
          <w:rFonts w:hint="eastAsia"/>
          <w:color w:val="auto"/>
          <w:sz w:val="21"/>
          <w:szCs w:val="21"/>
        </w:rPr>
        <w:t>：</w:t>
      </w:r>
      <w:r>
        <w:rPr>
          <w:color w:val="auto"/>
          <w:sz w:val="21"/>
          <w:szCs w:val="21"/>
          <w:u w:val="single"/>
        </w:rPr>
        <w:t xml:space="preserve">   </w:t>
      </w:r>
      <w:r>
        <w:rPr>
          <w:rFonts w:hint="eastAsia" w:ascii="楷体_GB2312" w:eastAsia="楷体_GB2312"/>
          <w:color w:val="auto"/>
          <w:sz w:val="21"/>
          <w:szCs w:val="21"/>
          <w:u w:val="single"/>
        </w:rPr>
        <w:t xml:space="preserve">                    </w:t>
      </w:r>
    </w:p>
    <w:p>
      <w:pPr>
        <w:ind w:firstLine="420" w:firstLineChars="200"/>
        <w:rPr>
          <w:color w:val="auto"/>
          <w:sz w:val="21"/>
          <w:szCs w:val="21"/>
          <w:u w:val="single"/>
        </w:rPr>
      </w:pPr>
    </w:p>
    <w:p>
      <w:pPr>
        <w:ind w:firstLine="420" w:firstLineChars="200"/>
        <w:rPr>
          <w:color w:val="auto"/>
          <w:sz w:val="21"/>
          <w:szCs w:val="21"/>
        </w:rPr>
      </w:pPr>
      <w:r>
        <w:rPr>
          <w:rFonts w:hint="eastAsia"/>
          <w:color w:val="auto"/>
          <w:sz w:val="21"/>
          <w:szCs w:val="21"/>
        </w:rPr>
        <w:t>法 定 代 表 人</w:t>
      </w:r>
      <w:r>
        <w:rPr>
          <w:color w:val="auto"/>
          <w:sz w:val="21"/>
          <w:szCs w:val="21"/>
        </w:rPr>
        <w:t xml:space="preserve">                             </w:t>
      </w:r>
      <w:r>
        <w:rPr>
          <w:rFonts w:hint="eastAsia"/>
          <w:color w:val="auto"/>
          <w:sz w:val="21"/>
          <w:szCs w:val="21"/>
        </w:rPr>
        <w:t xml:space="preserve"> 法 定 代 表 人</w:t>
      </w:r>
    </w:p>
    <w:p>
      <w:pPr>
        <w:rPr>
          <w:color w:val="auto"/>
          <w:sz w:val="21"/>
          <w:szCs w:val="21"/>
        </w:rPr>
      </w:pPr>
      <w:r>
        <w:rPr>
          <w:color w:val="auto"/>
          <w:sz w:val="21"/>
          <w:szCs w:val="21"/>
        </w:rPr>
        <w:t xml:space="preserve">        </w:t>
      </w:r>
      <w:r>
        <w:rPr>
          <w:rFonts w:hint="eastAsia"/>
          <w:color w:val="auto"/>
          <w:sz w:val="21"/>
          <w:szCs w:val="21"/>
        </w:rPr>
        <w:t xml:space="preserve">        或</w:t>
      </w:r>
      <w:r>
        <w:rPr>
          <w:color w:val="auto"/>
          <w:sz w:val="21"/>
          <w:szCs w:val="21"/>
        </w:rPr>
        <w:t xml:space="preserve">                                     </w:t>
      </w:r>
      <w:r>
        <w:rPr>
          <w:rFonts w:hint="eastAsia"/>
          <w:color w:val="auto"/>
          <w:sz w:val="21"/>
          <w:szCs w:val="21"/>
        </w:rPr>
        <w:t xml:space="preserve">    </w:t>
      </w:r>
      <w:r>
        <w:rPr>
          <w:color w:val="auto"/>
          <w:sz w:val="21"/>
          <w:szCs w:val="21"/>
        </w:rPr>
        <w:t xml:space="preserve"> </w:t>
      </w:r>
      <w:r>
        <w:rPr>
          <w:rFonts w:hint="eastAsia"/>
          <w:color w:val="auto"/>
          <w:sz w:val="21"/>
          <w:szCs w:val="21"/>
        </w:rPr>
        <w:t>或</w:t>
      </w:r>
    </w:p>
    <w:p>
      <w:pPr>
        <w:ind w:firstLine="420" w:firstLineChars="200"/>
        <w:rPr>
          <w:rFonts w:ascii="楷体_GB2312" w:eastAsia="楷体_GB2312"/>
          <w:color w:val="auto"/>
          <w:sz w:val="21"/>
          <w:szCs w:val="21"/>
          <w:u w:val="single"/>
        </w:rPr>
      </w:pPr>
      <w:r>
        <w:rPr>
          <w:rFonts w:hint="eastAsia"/>
          <w:color w:val="auto"/>
          <w:sz w:val="21"/>
          <w:szCs w:val="21"/>
        </w:rPr>
        <w:t>其授权的代理人：</w:t>
      </w:r>
      <w:r>
        <w:rPr>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color w:val="auto"/>
          <w:sz w:val="21"/>
          <w:szCs w:val="21"/>
          <w:u w:val="single"/>
        </w:rPr>
        <w:t xml:space="preserve"> </w:t>
      </w:r>
      <w:r>
        <w:rPr>
          <w:rFonts w:hint="eastAsia"/>
          <w:color w:val="auto"/>
          <w:sz w:val="21"/>
          <w:szCs w:val="21"/>
          <w:u w:val="single"/>
        </w:rPr>
        <w:t xml:space="preserve"> </w:t>
      </w:r>
      <w:r>
        <w:rPr>
          <w:color w:val="auto"/>
          <w:sz w:val="21"/>
          <w:szCs w:val="21"/>
          <w:u w:val="single"/>
        </w:rPr>
        <w:t xml:space="preserve">  </w:t>
      </w:r>
      <w:r>
        <w:rPr>
          <w:color w:val="auto"/>
          <w:sz w:val="21"/>
          <w:szCs w:val="21"/>
        </w:rPr>
        <w:t xml:space="preserve">     </w:t>
      </w:r>
      <w:r>
        <w:rPr>
          <w:rFonts w:hint="eastAsia"/>
          <w:color w:val="auto"/>
          <w:sz w:val="21"/>
          <w:szCs w:val="21"/>
        </w:rPr>
        <w:t>其授权的代理人：</w:t>
      </w:r>
      <w:r>
        <w:rPr>
          <w:color w:val="auto"/>
          <w:sz w:val="21"/>
          <w:szCs w:val="21"/>
          <w:u w:val="single"/>
        </w:rPr>
        <w:t xml:space="preserve">    </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rPr>
      </w:pPr>
      <w:r>
        <w:rPr>
          <w:rFonts w:hint="eastAsia" w:ascii="楷体_GB2312" w:eastAsia="楷体_GB2312"/>
          <w:color w:val="auto"/>
          <w:sz w:val="21"/>
          <w:szCs w:val="21"/>
        </w:rPr>
        <w:t xml:space="preserve">                </w:t>
      </w:r>
    </w:p>
    <w:p>
      <w:pPr>
        <w:pStyle w:val="6"/>
        <w:spacing w:before="93"/>
        <w:ind w:firstLine="420" w:firstLineChars="200"/>
        <w:jc w:val="right"/>
        <w:rPr>
          <w:rFonts w:hint="eastAsia" w:ascii="黑体" w:eastAsia="黑体"/>
          <w:color w:val="auto"/>
          <w:sz w:val="21"/>
          <w:szCs w:val="21"/>
        </w:rPr>
      </w:pPr>
      <w:r>
        <w:rPr>
          <w:rFonts w:hint="eastAsia"/>
          <w:color w:val="auto"/>
          <w:sz w:val="21"/>
          <w:szCs w:val="21"/>
        </w:rPr>
        <w:t>日       期：</w:t>
      </w:r>
      <w:r>
        <w:rPr>
          <w:rFonts w:hint="eastAsia"/>
          <w:color w:val="auto"/>
          <w:sz w:val="21"/>
          <w:szCs w:val="21"/>
          <w:u w:val="single"/>
        </w:rPr>
        <w:t xml:space="preserve">     </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w:t>
      </w:r>
    </w:p>
    <w:p>
      <w:pPr>
        <w:jc w:val="center"/>
        <w:rPr>
          <w:rFonts w:hint="eastAsia"/>
          <w:b/>
          <w:color w:val="auto"/>
          <w:sz w:val="36"/>
        </w:rPr>
      </w:pPr>
    </w:p>
    <w:p>
      <w:pPr>
        <w:jc w:val="center"/>
        <w:rPr>
          <w:b/>
          <w:color w:val="auto"/>
          <w:sz w:val="36"/>
        </w:rPr>
      </w:pPr>
      <w:r>
        <w:rPr>
          <w:rFonts w:hint="eastAsia"/>
          <w:b/>
          <w:color w:val="auto"/>
          <w:sz w:val="36"/>
        </w:rPr>
        <w:t>B．廉政合同</w:t>
      </w:r>
    </w:p>
    <w:p>
      <w:pPr>
        <w:ind w:firstLine="3662" w:firstLineChars="1520"/>
        <w:rPr>
          <w:b/>
          <w:color w:val="auto"/>
          <w:sz w:val="24"/>
        </w:rPr>
      </w:pPr>
    </w:p>
    <w:p>
      <w:pPr>
        <w:ind w:firstLine="420" w:firstLineChars="200"/>
        <w:rPr>
          <w:color w:val="auto"/>
          <w:sz w:val="21"/>
          <w:szCs w:val="21"/>
        </w:rPr>
      </w:pPr>
      <w:r>
        <w:rPr>
          <w:rFonts w:hint="eastAsia"/>
          <w:color w:val="auto"/>
          <w:sz w:val="21"/>
          <w:szCs w:val="21"/>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hint="eastAsia"/>
          <w:color w:val="auto"/>
          <w:sz w:val="21"/>
          <w:szCs w:val="21"/>
          <w:u w:val="single"/>
          <w:lang w:eastAsia="zh-CN"/>
        </w:rPr>
        <w:t xml:space="preserve">盐城市大丰区刘庄镇人民政府 </w:t>
      </w:r>
      <w:r>
        <w:rPr>
          <w:rFonts w:hint="eastAsia"/>
          <w:color w:val="auto"/>
          <w:sz w:val="21"/>
          <w:szCs w:val="21"/>
        </w:rPr>
        <w:t>（以下简称“甲方”）与</w:t>
      </w:r>
      <w:r>
        <w:rPr>
          <w:rFonts w:hint="eastAsia"/>
          <w:color w:val="auto"/>
          <w:sz w:val="21"/>
          <w:szCs w:val="21"/>
          <w:u w:val="single"/>
        </w:rPr>
        <w:t>施工单位</w:t>
      </w:r>
      <w:r>
        <w:rPr>
          <w:rFonts w:hint="eastAsia" w:ascii="仿宋_GB2312" w:eastAsia="仿宋_GB2312"/>
          <w:color w:val="auto"/>
          <w:sz w:val="21"/>
          <w:szCs w:val="21"/>
          <w:u w:val="single"/>
        </w:rPr>
        <w:t xml:space="preserve">                               </w:t>
      </w:r>
      <w:r>
        <w:rPr>
          <w:rFonts w:hint="eastAsia"/>
          <w:color w:val="auto"/>
          <w:sz w:val="21"/>
          <w:szCs w:val="21"/>
        </w:rPr>
        <w:t>（以下简称“乙方”），特订立如下合同。</w:t>
      </w:r>
    </w:p>
    <w:p>
      <w:pPr>
        <w:ind w:firstLine="420" w:firstLineChars="200"/>
        <w:rPr>
          <w:color w:val="auto"/>
          <w:sz w:val="21"/>
          <w:szCs w:val="21"/>
        </w:rPr>
      </w:pPr>
      <w:r>
        <w:rPr>
          <w:rFonts w:hint="eastAsia"/>
          <w:color w:val="auto"/>
          <w:sz w:val="21"/>
          <w:szCs w:val="21"/>
        </w:rPr>
        <w:t>1．甲乙双方的权利和义务</w:t>
      </w:r>
    </w:p>
    <w:p>
      <w:pPr>
        <w:ind w:firstLine="420" w:firstLineChars="200"/>
        <w:rPr>
          <w:color w:val="auto"/>
          <w:sz w:val="21"/>
          <w:szCs w:val="21"/>
        </w:rPr>
      </w:pPr>
      <w:r>
        <w:rPr>
          <w:rFonts w:hint="eastAsia"/>
          <w:color w:val="auto"/>
          <w:sz w:val="21"/>
          <w:szCs w:val="21"/>
        </w:rPr>
        <w:t>（1）严格遵守党的政策规定和国家有关法律法规及交通部的有关规定。</w:t>
      </w:r>
    </w:p>
    <w:p>
      <w:pPr>
        <w:ind w:firstLine="420" w:firstLineChars="200"/>
        <w:rPr>
          <w:color w:val="auto"/>
          <w:sz w:val="21"/>
          <w:szCs w:val="21"/>
        </w:rPr>
      </w:pPr>
      <w:r>
        <w:rPr>
          <w:rFonts w:hint="eastAsia"/>
          <w:color w:val="auto"/>
          <w:sz w:val="21"/>
          <w:szCs w:val="21"/>
        </w:rPr>
        <w:t>（2）严格执行</w:t>
      </w:r>
      <w:r>
        <w:rPr>
          <w:rFonts w:hint="eastAsia" w:ascii="仿宋_GB2312" w:eastAsia="仿宋_GB2312"/>
          <w:color w:val="auto"/>
          <w:sz w:val="21"/>
          <w:szCs w:val="21"/>
          <w:u w:val="single"/>
        </w:rPr>
        <w:t xml:space="preserve">                                                    </w:t>
      </w:r>
      <w:r>
        <w:rPr>
          <w:rFonts w:hint="eastAsia"/>
          <w:color w:val="auto"/>
          <w:sz w:val="21"/>
          <w:szCs w:val="21"/>
        </w:rPr>
        <w:t>工程的合同文件，自觉按合同办事。</w:t>
      </w:r>
    </w:p>
    <w:p>
      <w:pPr>
        <w:ind w:firstLine="420" w:firstLineChars="200"/>
        <w:rPr>
          <w:color w:val="auto"/>
          <w:sz w:val="21"/>
          <w:szCs w:val="21"/>
        </w:rPr>
      </w:pPr>
      <w:r>
        <w:rPr>
          <w:rFonts w:hint="eastAsia"/>
          <w:color w:val="auto"/>
          <w:sz w:val="21"/>
          <w:szCs w:val="21"/>
        </w:rPr>
        <w:t>（3）双方的业务活动坚持公开、公正、诚信、透明的原则（法律认定的商业秘密和合同文件另有规定除外），不得损害国家和集体利益，违反工程建设管理规章制度。</w:t>
      </w:r>
    </w:p>
    <w:p>
      <w:pPr>
        <w:ind w:firstLine="420" w:firstLineChars="200"/>
        <w:rPr>
          <w:color w:val="auto"/>
          <w:sz w:val="21"/>
          <w:szCs w:val="21"/>
        </w:rPr>
      </w:pPr>
      <w:r>
        <w:rPr>
          <w:rFonts w:hint="eastAsia"/>
          <w:color w:val="auto"/>
          <w:sz w:val="21"/>
          <w:szCs w:val="21"/>
        </w:rPr>
        <w:t>（4）建立健全廉政制度，开展廉政教育，设计廉政告示牌，公布举报电话，监督并认真查处违法违纪行为。</w:t>
      </w:r>
    </w:p>
    <w:p>
      <w:pPr>
        <w:ind w:firstLine="420" w:firstLineChars="200"/>
        <w:rPr>
          <w:color w:val="auto"/>
          <w:sz w:val="21"/>
          <w:szCs w:val="21"/>
        </w:rPr>
      </w:pPr>
      <w:r>
        <w:rPr>
          <w:rFonts w:hint="eastAsia"/>
          <w:color w:val="auto"/>
          <w:sz w:val="21"/>
          <w:szCs w:val="21"/>
        </w:rPr>
        <w:t>（5）发现对方在业务活动中有违反廉政规定的行为，有及时提醒对方纠正的权利和义务。</w:t>
      </w:r>
    </w:p>
    <w:p>
      <w:pPr>
        <w:ind w:firstLine="420" w:firstLineChars="200"/>
        <w:rPr>
          <w:color w:val="auto"/>
          <w:sz w:val="21"/>
          <w:szCs w:val="21"/>
        </w:rPr>
      </w:pPr>
      <w:r>
        <w:rPr>
          <w:rFonts w:hint="eastAsia"/>
          <w:color w:val="auto"/>
          <w:sz w:val="21"/>
          <w:szCs w:val="21"/>
        </w:rPr>
        <w:t>（6）发现对方严重违反合同义务条款的行为，有向其上级有关部门举报、建议给予处理并要求告知处理结果的权利。</w:t>
      </w:r>
    </w:p>
    <w:p>
      <w:pPr>
        <w:ind w:firstLine="420" w:firstLineChars="200"/>
        <w:rPr>
          <w:color w:val="auto"/>
          <w:sz w:val="21"/>
          <w:szCs w:val="21"/>
        </w:rPr>
      </w:pPr>
      <w:r>
        <w:rPr>
          <w:rFonts w:hint="eastAsia"/>
          <w:color w:val="auto"/>
          <w:sz w:val="21"/>
          <w:szCs w:val="21"/>
        </w:rPr>
        <w:t>2．甲方的义务</w:t>
      </w:r>
    </w:p>
    <w:p>
      <w:pPr>
        <w:ind w:firstLine="420" w:firstLineChars="200"/>
        <w:rPr>
          <w:color w:val="auto"/>
          <w:sz w:val="21"/>
          <w:szCs w:val="21"/>
        </w:rPr>
      </w:pPr>
      <w:r>
        <w:rPr>
          <w:rFonts w:hint="eastAsia"/>
          <w:color w:val="auto"/>
          <w:sz w:val="21"/>
          <w:szCs w:val="21"/>
        </w:rPr>
        <w:t>（1）甲方及其工作人员不得索要或接受乙方的礼金、有价证券和贵重物品，不得在乙方报销任何应由甲方或甲方工作人员个人支付的费用等。</w:t>
      </w:r>
    </w:p>
    <w:p>
      <w:pPr>
        <w:ind w:firstLine="420" w:firstLineChars="200"/>
        <w:rPr>
          <w:color w:val="auto"/>
          <w:sz w:val="21"/>
          <w:szCs w:val="21"/>
        </w:rPr>
      </w:pPr>
      <w:r>
        <w:rPr>
          <w:rFonts w:hint="eastAsia"/>
          <w:color w:val="auto"/>
          <w:sz w:val="21"/>
          <w:szCs w:val="21"/>
        </w:rPr>
        <w:t>（2）甲方工作人员不得参加乙方安排的超标准宴请和娱乐活动；不得接受乙方提供的通讯工具、交通工具和高档办公用品等。</w:t>
      </w:r>
    </w:p>
    <w:p>
      <w:pPr>
        <w:ind w:firstLine="420" w:firstLineChars="200"/>
        <w:rPr>
          <w:color w:val="auto"/>
          <w:sz w:val="21"/>
          <w:szCs w:val="21"/>
        </w:rPr>
      </w:pPr>
      <w:r>
        <w:rPr>
          <w:rFonts w:hint="eastAsia"/>
          <w:color w:val="auto"/>
          <w:sz w:val="21"/>
          <w:szCs w:val="21"/>
        </w:rPr>
        <w:t>（3）甲方及其工作人员不得要求或者接受乙方为其住房装修、婚丧嫁娶活动、配偶子女的工作安排以及出国出境、旅游等提供方便等。</w:t>
      </w:r>
    </w:p>
    <w:p>
      <w:pPr>
        <w:ind w:firstLine="420" w:firstLineChars="200"/>
        <w:rPr>
          <w:color w:val="auto"/>
          <w:sz w:val="21"/>
          <w:szCs w:val="21"/>
        </w:rPr>
      </w:pPr>
      <w:r>
        <w:rPr>
          <w:rFonts w:hint="eastAsia"/>
          <w:color w:val="auto"/>
          <w:sz w:val="21"/>
          <w:szCs w:val="21"/>
        </w:rPr>
        <w:t>（4）甲方工作人员及其配偶、子女不得从事与甲方工程有关的材料设备供应、工程分包、劳务等经济活动等。</w:t>
      </w:r>
    </w:p>
    <w:p>
      <w:pPr>
        <w:ind w:firstLine="420" w:firstLineChars="200"/>
        <w:rPr>
          <w:color w:val="auto"/>
          <w:sz w:val="21"/>
          <w:szCs w:val="21"/>
        </w:rPr>
      </w:pPr>
      <w:r>
        <w:rPr>
          <w:rFonts w:hint="eastAsia"/>
          <w:color w:val="auto"/>
          <w:sz w:val="21"/>
          <w:szCs w:val="21"/>
        </w:rPr>
        <w:t>（5）甲方及其工作人员不得以任何理由向乙方推荐分包单位或推销材料，不得要求乙方购买合同规定外的材料和设备。</w:t>
      </w:r>
    </w:p>
    <w:p>
      <w:pPr>
        <w:ind w:firstLine="420" w:firstLineChars="200"/>
        <w:rPr>
          <w:color w:val="auto"/>
          <w:sz w:val="21"/>
          <w:szCs w:val="21"/>
        </w:rPr>
      </w:pPr>
      <w:r>
        <w:rPr>
          <w:rFonts w:hint="eastAsia"/>
          <w:color w:val="auto"/>
          <w:sz w:val="21"/>
          <w:szCs w:val="21"/>
        </w:rPr>
        <w:t>（6）甲方工作人员要秉公办事，不准营私舞弊，不准利用职权从事各种个人有偿中介活动和安排个人施工队伍。</w:t>
      </w:r>
    </w:p>
    <w:p>
      <w:pPr>
        <w:ind w:firstLine="420" w:firstLineChars="200"/>
        <w:rPr>
          <w:color w:val="auto"/>
          <w:sz w:val="21"/>
          <w:szCs w:val="21"/>
        </w:rPr>
      </w:pPr>
      <w:r>
        <w:rPr>
          <w:rFonts w:hint="eastAsia"/>
          <w:color w:val="auto"/>
          <w:sz w:val="21"/>
          <w:szCs w:val="21"/>
        </w:rPr>
        <w:t>3．乙方义务</w:t>
      </w:r>
    </w:p>
    <w:p>
      <w:pPr>
        <w:ind w:firstLine="420" w:firstLineChars="200"/>
        <w:rPr>
          <w:color w:val="auto"/>
          <w:sz w:val="21"/>
          <w:szCs w:val="21"/>
        </w:rPr>
      </w:pPr>
      <w:r>
        <w:rPr>
          <w:rFonts w:hint="eastAsia"/>
          <w:color w:val="auto"/>
          <w:sz w:val="21"/>
          <w:szCs w:val="21"/>
        </w:rPr>
        <w:t>（1）乙方不得以任何理由向甲方及其工作人员行贿或馈赠礼金、有价证券、贵重礼品。</w:t>
      </w:r>
    </w:p>
    <w:p>
      <w:pPr>
        <w:ind w:firstLine="420" w:firstLineChars="200"/>
        <w:rPr>
          <w:color w:val="auto"/>
          <w:sz w:val="21"/>
          <w:szCs w:val="21"/>
        </w:rPr>
      </w:pPr>
      <w:r>
        <w:rPr>
          <w:rFonts w:hint="eastAsia"/>
          <w:color w:val="auto"/>
          <w:sz w:val="21"/>
          <w:szCs w:val="21"/>
        </w:rPr>
        <w:t>（2）乙方不得以任何名义为甲方及其工作人员报销应由甲方单位或个人支付的任何费用。</w:t>
      </w:r>
    </w:p>
    <w:p>
      <w:pPr>
        <w:ind w:firstLine="420" w:firstLineChars="200"/>
        <w:rPr>
          <w:color w:val="auto"/>
          <w:sz w:val="21"/>
          <w:szCs w:val="21"/>
        </w:rPr>
      </w:pPr>
      <w:r>
        <w:rPr>
          <w:rFonts w:hint="eastAsia"/>
          <w:color w:val="auto"/>
          <w:sz w:val="21"/>
          <w:szCs w:val="21"/>
        </w:rPr>
        <w:t>（3）乙方不得以任何理由安排甲方工作人员参加超标准宴请及娱乐活动。</w:t>
      </w:r>
    </w:p>
    <w:p>
      <w:pPr>
        <w:ind w:firstLine="420" w:firstLineChars="200"/>
        <w:rPr>
          <w:color w:val="auto"/>
          <w:sz w:val="21"/>
          <w:szCs w:val="21"/>
        </w:rPr>
      </w:pPr>
      <w:r>
        <w:rPr>
          <w:rFonts w:hint="eastAsia"/>
          <w:color w:val="auto"/>
          <w:sz w:val="21"/>
          <w:szCs w:val="21"/>
        </w:rPr>
        <w:t>（4）乙方不得为甲方单位和个人购置或提拱通讯工具、交通工具和高档办公用品等。</w:t>
      </w:r>
    </w:p>
    <w:p>
      <w:pPr>
        <w:ind w:firstLine="420" w:firstLineChars="200"/>
        <w:rPr>
          <w:color w:val="auto"/>
          <w:sz w:val="21"/>
          <w:szCs w:val="21"/>
        </w:rPr>
      </w:pPr>
      <w:r>
        <w:rPr>
          <w:rFonts w:hint="eastAsia"/>
          <w:color w:val="auto"/>
          <w:sz w:val="21"/>
          <w:szCs w:val="21"/>
        </w:rPr>
        <w:t>4．违约责任</w:t>
      </w:r>
    </w:p>
    <w:p>
      <w:pPr>
        <w:ind w:firstLine="420" w:firstLineChars="200"/>
        <w:rPr>
          <w:color w:val="auto"/>
          <w:sz w:val="21"/>
          <w:szCs w:val="21"/>
        </w:rPr>
      </w:pPr>
      <w:r>
        <w:rPr>
          <w:rFonts w:hint="eastAsia"/>
          <w:color w:val="auto"/>
          <w:sz w:val="21"/>
          <w:szCs w:val="21"/>
        </w:rPr>
        <w:t>（1）甲方及其工作人员违反本合同第一、二条，按管理权限，依据有关规定给予党纪、政纪或组织处理；涉嫌犯罪的，移交司法机关追究刑事责任；给乙方单位造成经济损失的，应予以赔偿。</w:t>
      </w:r>
    </w:p>
    <w:p>
      <w:pPr>
        <w:ind w:firstLine="420" w:firstLineChars="200"/>
        <w:rPr>
          <w:color w:val="auto"/>
          <w:sz w:val="21"/>
          <w:szCs w:val="21"/>
        </w:rPr>
      </w:pPr>
      <w:r>
        <w:rPr>
          <w:rFonts w:hint="eastAsia"/>
          <w:color w:val="auto"/>
          <w:sz w:val="21"/>
          <w:szCs w:val="21"/>
        </w:rPr>
        <w:t>（2）乙方及其工作人员违反本合同第一、三条，按管理权限，依据有关规定给予党纪、政纪组织处理；给甲方单位造成经济损失的，应予以赔偿；情节严重的，甲方建议交通工程建设主管部门给予乙方一至三年内不得进入其主管的交通工程建设市场的处罚。</w:t>
      </w:r>
    </w:p>
    <w:p>
      <w:pPr>
        <w:pStyle w:val="6"/>
        <w:spacing w:before="93"/>
        <w:ind w:firstLine="420" w:firstLineChars="200"/>
        <w:rPr>
          <w:rFonts w:hint="eastAsia"/>
          <w:color w:val="auto"/>
          <w:sz w:val="21"/>
          <w:szCs w:val="21"/>
        </w:rPr>
      </w:pPr>
      <w:r>
        <w:rPr>
          <w:rFonts w:hint="eastAsia"/>
          <w:color w:val="auto"/>
          <w:sz w:val="21"/>
          <w:szCs w:val="21"/>
        </w:rPr>
        <w:t>5．本合同有效期为甲乙双方签署之日起至该工程项目竣工验收后止。</w:t>
      </w:r>
    </w:p>
    <w:p>
      <w:pPr>
        <w:ind w:firstLine="420" w:firstLineChars="200"/>
        <w:rPr>
          <w:color w:val="auto"/>
          <w:sz w:val="21"/>
          <w:szCs w:val="21"/>
        </w:rPr>
      </w:pPr>
      <w:r>
        <w:rPr>
          <w:rFonts w:hint="eastAsia"/>
          <w:color w:val="auto"/>
          <w:sz w:val="21"/>
          <w:szCs w:val="21"/>
        </w:rPr>
        <w:t>6．本合同作为</w:t>
      </w:r>
      <w:r>
        <w:rPr>
          <w:rFonts w:hint="eastAsia" w:ascii="仿宋_GB2312" w:eastAsia="仿宋_GB2312"/>
          <w:color w:val="auto"/>
          <w:sz w:val="21"/>
          <w:szCs w:val="21"/>
          <w:u w:val="single"/>
        </w:rPr>
        <w:t xml:space="preserve">                                                           </w:t>
      </w:r>
      <w:r>
        <w:rPr>
          <w:rFonts w:hint="eastAsia"/>
          <w:color w:val="auto"/>
          <w:sz w:val="21"/>
          <w:szCs w:val="21"/>
        </w:rPr>
        <w:t>施工合同的附件，与工程施工合同具有同等的法律效力，经合同双方签署立即生效。</w:t>
      </w:r>
    </w:p>
    <w:p>
      <w:pPr>
        <w:ind w:firstLine="420" w:firstLineChars="200"/>
        <w:rPr>
          <w:rFonts w:hint="eastAsia"/>
          <w:color w:val="auto"/>
          <w:lang w:val="en-US" w:bidi="ar"/>
        </w:rPr>
      </w:pPr>
      <w:r>
        <w:rPr>
          <w:rFonts w:hint="eastAsia"/>
          <w:color w:val="auto"/>
          <w:sz w:val="21"/>
          <w:szCs w:val="21"/>
        </w:rPr>
        <w:t>7．本合同一式四份，由甲乙双方各执一份，</w:t>
      </w:r>
      <w:r>
        <w:rPr>
          <w:rFonts w:hint="eastAsia"/>
          <w:color w:val="auto"/>
          <w:sz w:val="20"/>
          <w:szCs w:val="20"/>
          <w:lang w:val="en-US" w:bidi="ar"/>
        </w:rPr>
        <w:t>具有同等法律效力</w:t>
      </w:r>
      <w:r>
        <w:rPr>
          <w:rFonts w:hint="eastAsia"/>
          <w:color w:val="auto"/>
          <w:lang w:val="en-US" w:bidi="ar"/>
        </w:rPr>
        <w:t>。</w:t>
      </w:r>
    </w:p>
    <w:p>
      <w:pPr>
        <w:pStyle w:val="2"/>
        <w:rPr>
          <w:rFonts w:hint="eastAsia"/>
          <w:color w:val="auto"/>
          <w:lang w:val="en-US" w:bidi="ar"/>
        </w:rPr>
      </w:pPr>
    </w:p>
    <w:p/>
    <w:p>
      <w:pPr>
        <w:rPr>
          <w:color w:val="auto"/>
          <w:sz w:val="21"/>
          <w:szCs w:val="21"/>
        </w:rPr>
      </w:pPr>
    </w:p>
    <w:p>
      <w:pPr>
        <w:rPr>
          <w:color w:val="auto"/>
          <w:sz w:val="21"/>
          <w:szCs w:val="21"/>
          <w:u w:val="single"/>
        </w:rPr>
      </w:pPr>
      <w:r>
        <w:rPr>
          <w:rFonts w:hint="eastAsia"/>
          <w:color w:val="auto"/>
          <w:sz w:val="21"/>
          <w:szCs w:val="21"/>
        </w:rPr>
        <w:t>甲          方：</w:t>
      </w:r>
      <w:r>
        <w:rPr>
          <w:rFonts w:hint="eastAsia"/>
          <w:color w:val="auto"/>
          <w:sz w:val="21"/>
          <w:szCs w:val="21"/>
          <w:u w:val="single"/>
        </w:rPr>
        <w:t xml:space="preserve">  </w:t>
      </w:r>
      <w:r>
        <w:rPr>
          <w:rFonts w:hint="eastAsia" w:ascii="楷体_GB2312" w:hAnsi="华文中宋" w:eastAsia="楷体_GB2312"/>
          <w:color w:val="auto"/>
          <w:sz w:val="21"/>
          <w:szCs w:val="21"/>
          <w:u w:val="single"/>
        </w:rPr>
        <w:t xml:space="preserve">                      </w:t>
      </w:r>
      <w:r>
        <w:rPr>
          <w:rFonts w:hint="eastAsia" w:ascii="楷体_GB2312" w:hAnsi="华文中宋" w:eastAsia="楷体_GB2312"/>
          <w:color w:val="auto"/>
          <w:sz w:val="21"/>
          <w:szCs w:val="21"/>
        </w:rPr>
        <w:t xml:space="preserve">  </w:t>
      </w:r>
      <w:r>
        <w:rPr>
          <w:rFonts w:hint="eastAsia"/>
          <w:color w:val="auto"/>
          <w:sz w:val="21"/>
          <w:szCs w:val="21"/>
        </w:rPr>
        <w:t xml:space="preserve">    乙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u w:val="single"/>
        </w:rPr>
      </w:pPr>
      <w:r>
        <w:rPr>
          <w:rFonts w:hint="eastAsia"/>
          <w:color w:val="auto"/>
          <w:sz w:val="21"/>
          <w:szCs w:val="21"/>
        </w:rPr>
        <w:t xml:space="preserve">法 定 代 表 人：                              法 定 代 表 人： </w:t>
      </w:r>
    </w:p>
    <w:p>
      <w:pPr>
        <w:ind w:firstLine="1302" w:firstLineChars="620"/>
        <w:rPr>
          <w:color w:val="auto"/>
          <w:sz w:val="21"/>
          <w:szCs w:val="21"/>
        </w:rPr>
      </w:pPr>
      <w:r>
        <w:rPr>
          <w:rFonts w:hint="eastAsia"/>
          <w:color w:val="auto"/>
          <w:sz w:val="21"/>
          <w:szCs w:val="21"/>
        </w:rPr>
        <w:t>或                                             或</w:t>
      </w:r>
    </w:p>
    <w:p>
      <w:pPr>
        <w:rPr>
          <w:color w:val="auto"/>
          <w:sz w:val="21"/>
          <w:szCs w:val="21"/>
          <w:u w:val="single"/>
        </w:rPr>
      </w:pPr>
      <w:r>
        <w:rPr>
          <w:rFonts w:hint="eastAsia"/>
          <w:color w:val="auto"/>
          <w:sz w:val="21"/>
          <w:szCs w:val="21"/>
        </w:rPr>
        <w:t>其授权的代理人：</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rFonts w:hint="eastAsia"/>
          <w:color w:val="auto"/>
          <w:sz w:val="21"/>
          <w:szCs w:val="21"/>
        </w:rPr>
        <w:t xml:space="preserve">       其授权的代理人：</w:t>
      </w:r>
      <w:r>
        <w:rPr>
          <w:rFonts w:hint="eastAsia"/>
          <w:color w:val="auto"/>
          <w:sz w:val="21"/>
          <w:szCs w:val="21"/>
          <w:u w:val="single"/>
        </w:rPr>
        <w:t xml:space="preserve">                   </w:t>
      </w:r>
    </w:p>
    <w:p>
      <w:pPr>
        <w:rPr>
          <w:color w:val="auto"/>
          <w:sz w:val="21"/>
          <w:szCs w:val="21"/>
          <w:u w:val="single"/>
        </w:rPr>
      </w:pPr>
    </w:p>
    <w:p>
      <w:pPr>
        <w:rPr>
          <w:color w:val="auto"/>
          <w:sz w:val="21"/>
          <w:szCs w:val="21"/>
        </w:rPr>
      </w:pPr>
      <w:r>
        <w:rPr>
          <w:rFonts w:hint="eastAsia"/>
          <w:color w:val="auto"/>
          <w:sz w:val="21"/>
          <w:szCs w:val="21"/>
        </w:rPr>
        <w:t xml:space="preserve">日          期：                               日          期：   </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jc w:val="center"/>
        <w:rPr>
          <w:rFonts w:hint="eastAsia"/>
          <w:b/>
          <w:color w:val="auto"/>
          <w:sz w:val="36"/>
        </w:rPr>
      </w:pPr>
    </w:p>
    <w:p>
      <w:pPr>
        <w:jc w:val="center"/>
        <w:rPr>
          <w:rFonts w:hint="eastAsia"/>
          <w:b/>
          <w:color w:val="auto"/>
          <w:sz w:val="36"/>
        </w:rPr>
      </w:pPr>
    </w:p>
    <w:p>
      <w:pPr>
        <w:jc w:val="center"/>
        <w:rPr>
          <w:rFonts w:hint="eastAsia"/>
          <w:b/>
          <w:color w:val="auto"/>
          <w:sz w:val="36"/>
        </w:rPr>
      </w:pPr>
    </w:p>
    <w:p>
      <w:pPr>
        <w:jc w:val="center"/>
        <w:rPr>
          <w:b/>
          <w:color w:val="auto"/>
          <w:sz w:val="36"/>
        </w:rPr>
      </w:pPr>
      <w:r>
        <w:rPr>
          <w:rFonts w:hint="eastAsia"/>
          <w:b/>
          <w:color w:val="auto"/>
          <w:sz w:val="36"/>
        </w:rPr>
        <w:t>C．安全生产合同</w:t>
      </w:r>
    </w:p>
    <w:p>
      <w:pPr>
        <w:ind w:firstLine="2400"/>
        <w:jc w:val="center"/>
        <w:rPr>
          <w:b/>
          <w:color w:val="auto"/>
          <w:sz w:val="28"/>
        </w:rPr>
      </w:pPr>
    </w:p>
    <w:p>
      <w:pPr>
        <w:ind w:firstLine="420" w:firstLineChars="200"/>
        <w:rPr>
          <w:color w:val="auto"/>
          <w:sz w:val="21"/>
          <w:szCs w:val="21"/>
        </w:rPr>
      </w:pPr>
      <w:r>
        <w:rPr>
          <w:rFonts w:hint="eastAsia"/>
          <w:color w:val="auto"/>
          <w:sz w:val="21"/>
          <w:szCs w:val="21"/>
        </w:rPr>
        <w:t>为在</w:t>
      </w:r>
      <w:r>
        <w:rPr>
          <w:rFonts w:hint="eastAsia" w:ascii="仿宋_GB2312" w:eastAsia="仿宋_GB2312"/>
          <w:color w:val="auto"/>
          <w:sz w:val="21"/>
          <w:szCs w:val="21"/>
          <w:u w:val="single"/>
        </w:rPr>
        <w:t xml:space="preserve">                                          </w:t>
      </w:r>
      <w:r>
        <w:rPr>
          <w:rFonts w:hint="eastAsia"/>
          <w:color w:val="auto"/>
          <w:sz w:val="21"/>
          <w:szCs w:val="21"/>
        </w:rPr>
        <w:t>施工合同的实施过程中创造安全、高效的施工环境，切实搞好本项目的安全管理工作，本项目业主</w:t>
      </w:r>
      <w:r>
        <w:rPr>
          <w:rFonts w:hint="eastAsia"/>
          <w:color w:val="auto"/>
          <w:sz w:val="21"/>
          <w:szCs w:val="21"/>
          <w:u w:val="single"/>
          <w:lang w:eastAsia="zh-CN"/>
        </w:rPr>
        <w:t xml:space="preserve">盐城市大丰区刘庄镇人民政府 </w:t>
      </w:r>
      <w:r>
        <w:rPr>
          <w:rFonts w:hint="eastAsia"/>
          <w:color w:val="auto"/>
          <w:sz w:val="21"/>
          <w:szCs w:val="21"/>
        </w:rPr>
        <w:t>（以下简称“甲方”）与承包人</w:t>
      </w:r>
      <w:r>
        <w:rPr>
          <w:rFonts w:hint="eastAsia" w:ascii="仿宋_GB2312" w:eastAsia="仿宋_GB2312"/>
          <w:color w:val="auto"/>
          <w:sz w:val="21"/>
          <w:szCs w:val="21"/>
          <w:u w:val="single"/>
        </w:rPr>
        <w:t xml:space="preserve">                                  </w:t>
      </w:r>
      <w:r>
        <w:rPr>
          <w:rFonts w:hint="eastAsia"/>
          <w:color w:val="auto"/>
          <w:sz w:val="21"/>
          <w:szCs w:val="21"/>
        </w:rPr>
        <w:t>（以下简称“乙方”）特此签订安全生产合同：</w:t>
      </w:r>
    </w:p>
    <w:p>
      <w:pPr>
        <w:spacing w:line="360" w:lineRule="auto"/>
        <w:ind w:firstLine="422" w:firstLineChars="200"/>
        <w:rPr>
          <w:b/>
          <w:color w:val="auto"/>
          <w:sz w:val="21"/>
          <w:szCs w:val="21"/>
        </w:rPr>
      </w:pPr>
      <w:r>
        <w:rPr>
          <w:rFonts w:hint="eastAsia"/>
          <w:b/>
          <w:color w:val="auto"/>
          <w:sz w:val="21"/>
          <w:szCs w:val="21"/>
        </w:rPr>
        <w:t>一、甲方职责</w:t>
      </w:r>
    </w:p>
    <w:p>
      <w:pPr>
        <w:spacing w:line="360" w:lineRule="auto"/>
        <w:ind w:firstLine="420" w:firstLineChars="200"/>
        <w:rPr>
          <w:color w:val="auto"/>
          <w:sz w:val="21"/>
          <w:szCs w:val="21"/>
        </w:rPr>
      </w:pPr>
      <w:r>
        <w:rPr>
          <w:rFonts w:hint="eastAsia"/>
          <w:color w:val="auto"/>
          <w:sz w:val="21"/>
          <w:szCs w:val="21"/>
        </w:rPr>
        <w:t>1、严格遵守国家有关安全生产的法律法规，认真执行工程承包合同中的有关安全要求。</w:t>
      </w:r>
    </w:p>
    <w:p>
      <w:pPr>
        <w:ind w:firstLine="420" w:firstLineChars="200"/>
        <w:rPr>
          <w:color w:val="auto"/>
          <w:sz w:val="21"/>
          <w:szCs w:val="21"/>
        </w:rPr>
      </w:pPr>
      <w:r>
        <w:rPr>
          <w:rFonts w:hint="eastAsia"/>
          <w:color w:val="auto"/>
          <w:sz w:val="21"/>
          <w:szCs w:val="21"/>
        </w:rPr>
        <w:t>2、按照“安全第一、预防为主”和坚持“管生产必须管安全”的原则进行安全生产管理，做到生产与安全工作同时计划、布置、检查、总结和评比。</w:t>
      </w:r>
    </w:p>
    <w:p>
      <w:pPr>
        <w:ind w:firstLine="420" w:firstLineChars="200"/>
        <w:rPr>
          <w:color w:val="auto"/>
          <w:sz w:val="21"/>
          <w:szCs w:val="21"/>
        </w:rPr>
      </w:pPr>
      <w:r>
        <w:rPr>
          <w:rFonts w:hint="eastAsia"/>
          <w:color w:val="auto"/>
          <w:sz w:val="21"/>
          <w:szCs w:val="21"/>
        </w:rPr>
        <w:t>3．重要的安全设施必须坚持与主体工程“三同时”的原则，即：同时设计、审批，同时施工，同时验收，投入使用。</w:t>
      </w:r>
    </w:p>
    <w:p>
      <w:pPr>
        <w:ind w:firstLine="420" w:firstLineChars="200"/>
        <w:rPr>
          <w:color w:val="auto"/>
          <w:sz w:val="21"/>
          <w:szCs w:val="21"/>
        </w:rPr>
      </w:pPr>
      <w:r>
        <w:rPr>
          <w:rFonts w:hint="eastAsia"/>
          <w:color w:val="auto"/>
          <w:sz w:val="21"/>
          <w:szCs w:val="21"/>
        </w:rPr>
        <w:t>4、定期召开安全生产调度会，及时传达中央及地方有关安全生产的精神。</w:t>
      </w:r>
    </w:p>
    <w:p>
      <w:pPr>
        <w:ind w:firstLine="420" w:firstLineChars="200"/>
        <w:rPr>
          <w:b/>
          <w:color w:val="auto"/>
          <w:sz w:val="21"/>
          <w:szCs w:val="21"/>
        </w:rPr>
      </w:pPr>
      <w:r>
        <w:rPr>
          <w:rFonts w:hint="eastAsia"/>
          <w:color w:val="auto"/>
          <w:sz w:val="21"/>
          <w:szCs w:val="21"/>
        </w:rPr>
        <w:t>5、组织对乙方施工现场安全生产检查，监督乙方及时处理发现的各项安全隐患。</w:t>
      </w:r>
    </w:p>
    <w:p>
      <w:pPr>
        <w:ind w:firstLine="422" w:firstLineChars="200"/>
        <w:rPr>
          <w:b/>
          <w:color w:val="auto"/>
          <w:sz w:val="21"/>
          <w:szCs w:val="21"/>
        </w:rPr>
      </w:pPr>
      <w:r>
        <w:rPr>
          <w:rFonts w:hint="eastAsia"/>
          <w:b/>
          <w:color w:val="auto"/>
          <w:sz w:val="21"/>
          <w:szCs w:val="21"/>
        </w:rPr>
        <w:t>二、乙方职责</w:t>
      </w:r>
    </w:p>
    <w:p>
      <w:pPr>
        <w:ind w:firstLine="420" w:firstLineChars="200"/>
        <w:rPr>
          <w:color w:val="auto"/>
          <w:sz w:val="21"/>
          <w:szCs w:val="21"/>
        </w:rPr>
      </w:pPr>
      <w:r>
        <w:rPr>
          <w:rFonts w:hint="eastAsia"/>
          <w:color w:val="auto"/>
          <w:sz w:val="21"/>
          <w:szCs w:val="21"/>
        </w:rPr>
        <w:t>1、严格遵守国家有关安全生产的法律法规、交通部颁发的《公路工程施工安全技术规范》（JTG F90-2015）和《公路筑养路机械操作规程》有关安全生产的规定，认真执行工程承包合现中的有安全要求。采取一切必要的安全措施，确保施工安全，并对施工现场发生的一切安全问题负责。</w:t>
      </w:r>
    </w:p>
    <w:p>
      <w:pPr>
        <w:ind w:firstLine="420" w:firstLineChars="200"/>
        <w:rPr>
          <w:color w:val="auto"/>
          <w:sz w:val="21"/>
          <w:szCs w:val="21"/>
        </w:rPr>
      </w:pPr>
      <w:r>
        <w:rPr>
          <w:rFonts w:hint="eastAsia"/>
          <w:color w:val="auto"/>
          <w:sz w:val="21"/>
          <w:szCs w:val="2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ind w:firstLine="420" w:firstLineChars="200"/>
        <w:rPr>
          <w:color w:val="auto"/>
          <w:sz w:val="21"/>
          <w:szCs w:val="21"/>
        </w:rPr>
      </w:pPr>
      <w:r>
        <w:rPr>
          <w:rFonts w:hint="eastAsia"/>
          <w:color w:val="auto"/>
          <w:sz w:val="21"/>
          <w:szCs w:val="21"/>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安全机构人员，有权按有关规定发布指令，并采取保护性措施防止事故发生。</w:t>
      </w:r>
    </w:p>
    <w:p>
      <w:pPr>
        <w:ind w:firstLine="420" w:firstLineChars="200"/>
        <w:rPr>
          <w:color w:val="auto"/>
          <w:sz w:val="21"/>
          <w:szCs w:val="21"/>
        </w:rPr>
      </w:pPr>
      <w:r>
        <w:rPr>
          <w:rFonts w:hint="eastAsia"/>
          <w:color w:val="auto"/>
          <w:sz w:val="21"/>
          <w:szCs w:val="21"/>
        </w:rPr>
        <w:t>4、乙方在任何时候都应采取各种合理的预防措施，防止其员工发生任何违法、违禁、暴力或妨碍治安的行为。</w:t>
      </w:r>
    </w:p>
    <w:p>
      <w:pPr>
        <w:ind w:firstLine="420" w:firstLineChars="200"/>
        <w:rPr>
          <w:color w:val="auto"/>
          <w:sz w:val="21"/>
          <w:szCs w:val="21"/>
        </w:rPr>
      </w:pPr>
      <w:r>
        <w:rPr>
          <w:rFonts w:hint="eastAsia"/>
          <w:color w:val="auto"/>
          <w:sz w:val="21"/>
          <w:szCs w:val="21"/>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pPr>
        <w:ind w:firstLine="420" w:firstLineChars="200"/>
        <w:rPr>
          <w:color w:val="auto"/>
          <w:sz w:val="21"/>
          <w:szCs w:val="21"/>
        </w:rPr>
      </w:pPr>
      <w:r>
        <w:rPr>
          <w:rFonts w:hint="eastAsia"/>
          <w:color w:val="auto"/>
          <w:sz w:val="21"/>
          <w:szCs w:val="21"/>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ind w:firstLine="420" w:firstLineChars="200"/>
        <w:rPr>
          <w:color w:val="auto"/>
          <w:sz w:val="21"/>
          <w:szCs w:val="21"/>
        </w:rPr>
      </w:pPr>
      <w:r>
        <w:rPr>
          <w:rFonts w:hint="eastAsia"/>
          <w:color w:val="auto"/>
          <w:sz w:val="21"/>
          <w:szCs w:val="21"/>
        </w:rPr>
        <w:t>7、操作人员上岗，必须按规定穿戴防护用品。施工负责人和安全检查员应随时检查劳动防护用品的穿戴情况，不按规定穿戴防护用品的人员不得上岗。</w:t>
      </w:r>
    </w:p>
    <w:p>
      <w:pPr>
        <w:ind w:firstLine="420" w:firstLineChars="200"/>
        <w:rPr>
          <w:color w:val="auto"/>
          <w:sz w:val="21"/>
          <w:szCs w:val="21"/>
        </w:rPr>
      </w:pPr>
      <w:r>
        <w:rPr>
          <w:rFonts w:hint="eastAsia"/>
          <w:color w:val="auto"/>
          <w:sz w:val="21"/>
          <w:szCs w:val="21"/>
        </w:rPr>
        <w:t>8、所有施工机具设备和高空作业的设备均应定期检查，并有安全员的签字记录，保证其经常处于完好状态；不合格的机具、设备和劳动保护用品严禁使用。</w:t>
      </w:r>
    </w:p>
    <w:p>
      <w:pPr>
        <w:ind w:firstLine="420" w:firstLineChars="200"/>
        <w:rPr>
          <w:rFonts w:hint="eastAsia"/>
          <w:color w:val="auto"/>
          <w:sz w:val="21"/>
          <w:szCs w:val="21"/>
        </w:rPr>
      </w:pPr>
      <w:r>
        <w:rPr>
          <w:rFonts w:hint="eastAsia"/>
          <w:color w:val="auto"/>
          <w:sz w:val="21"/>
          <w:szCs w:val="21"/>
        </w:rPr>
        <w:t>9、施工中采用新技术、新工艺、新设备、新材料时，必须制定相应的安全技术措施，施工现场必须具有相关的安全标志牌。</w:t>
      </w:r>
    </w:p>
    <w:p>
      <w:pPr>
        <w:ind w:firstLine="420" w:firstLineChars="200"/>
        <w:rPr>
          <w:color w:val="auto"/>
          <w:sz w:val="21"/>
          <w:szCs w:val="21"/>
        </w:rPr>
      </w:pPr>
      <w:r>
        <w:rPr>
          <w:rFonts w:hint="eastAsia"/>
          <w:color w:val="auto"/>
          <w:sz w:val="21"/>
          <w:szCs w:val="21"/>
        </w:rPr>
        <w:t>10、施工单位应对施工现场的安全技术资料建立档案，并确定专人管理，安全技术资料应当真实、完整齐全。</w:t>
      </w:r>
    </w:p>
    <w:p>
      <w:pPr>
        <w:ind w:firstLine="420" w:firstLineChars="200"/>
        <w:rPr>
          <w:color w:val="auto"/>
          <w:sz w:val="21"/>
          <w:szCs w:val="21"/>
        </w:rPr>
      </w:pPr>
      <w:r>
        <w:rPr>
          <w:rFonts w:hint="eastAsia"/>
          <w:color w:val="auto"/>
          <w:sz w:val="21"/>
          <w:szCs w:val="21"/>
        </w:rPr>
        <w:t>11、施工单位应当接受建设单位、监理单位及政府安全监督机构对其安全生产的监督检查。对于检查单位下达的整改意见通知，乙方要立即予以整改，由此发生的损失乙方自负。对于因此而造成工期延误的，乙方还要按合同规定向建设单位支付违约金。</w:t>
      </w:r>
    </w:p>
    <w:p>
      <w:pPr>
        <w:ind w:firstLine="420" w:firstLineChars="200"/>
        <w:rPr>
          <w:rFonts w:hint="eastAsia"/>
          <w:color w:val="auto"/>
          <w:sz w:val="21"/>
          <w:szCs w:val="21"/>
        </w:rPr>
      </w:pPr>
      <w:r>
        <w:rPr>
          <w:rFonts w:hint="eastAsia"/>
          <w:color w:val="auto"/>
          <w:sz w:val="21"/>
          <w:szCs w:val="21"/>
        </w:rPr>
        <w:t>12、乙方应在整个施工期间为其现场机构雇用的全部人员（包括临时工和民工）依照</w:t>
      </w:r>
      <w:r>
        <w:rPr>
          <w:color w:val="auto"/>
          <w:sz w:val="21"/>
          <w:szCs w:val="21"/>
        </w:rPr>
        <w:t>国家、地方有关法律规定</w:t>
      </w:r>
      <w:r>
        <w:rPr>
          <w:rFonts w:hint="eastAsia"/>
          <w:color w:val="auto"/>
          <w:sz w:val="21"/>
          <w:szCs w:val="21"/>
        </w:rPr>
        <w:t>投保</w:t>
      </w:r>
      <w:r>
        <w:rPr>
          <w:color w:val="auto"/>
          <w:sz w:val="21"/>
          <w:szCs w:val="21"/>
        </w:rPr>
        <w:t>工伤保险，</w:t>
      </w:r>
      <w:r>
        <w:rPr>
          <w:rFonts w:hint="eastAsia"/>
          <w:color w:val="auto"/>
          <w:sz w:val="21"/>
          <w:szCs w:val="21"/>
        </w:rPr>
        <w:t>并要求其分包人也进行此项保险。乙方在工程开工前应将参保凭证交甲方备案。乙方未为其雇员缴纳工伤保险的，该费用不予支付，工程项目不得开工建设，甲方对此有权予以处罚。</w:t>
      </w:r>
    </w:p>
    <w:p>
      <w:pPr>
        <w:ind w:firstLine="420" w:firstLineChars="200"/>
        <w:rPr>
          <w:rFonts w:hint="eastAsia"/>
          <w:color w:val="auto"/>
          <w:sz w:val="21"/>
          <w:szCs w:val="21"/>
        </w:rPr>
      </w:pPr>
      <w:r>
        <w:rPr>
          <w:rFonts w:hint="eastAsia"/>
          <w:color w:val="auto"/>
          <w:sz w:val="21"/>
          <w:szCs w:val="21"/>
        </w:rPr>
        <w:t>13、施工期间至交工验收前，现场安全管理均由乙方负责。</w:t>
      </w:r>
    </w:p>
    <w:p>
      <w:pPr>
        <w:ind w:firstLine="420" w:firstLineChars="200"/>
        <w:rPr>
          <w:b/>
          <w:color w:val="auto"/>
          <w:sz w:val="21"/>
          <w:szCs w:val="21"/>
        </w:rPr>
      </w:pPr>
      <w:r>
        <w:rPr>
          <w:rFonts w:hint="eastAsia"/>
          <w:color w:val="auto"/>
          <w:sz w:val="21"/>
          <w:szCs w:val="21"/>
        </w:rPr>
        <w:t>14、除施工期间外，乙方自交工验收之日至竣工验收之日止，应加强道路安全巡查，及时发现质量缺陷，及时采取临时性保护和维修措施，保障道路安全畅通。在此期间如发生因道路质量问题引起的安全事故，将由乙方承担相应的法律责任及因此引起的法律纠纷及赔偿。</w:t>
      </w:r>
    </w:p>
    <w:p>
      <w:pPr>
        <w:ind w:firstLine="422" w:firstLineChars="200"/>
        <w:rPr>
          <w:b/>
          <w:color w:val="auto"/>
          <w:sz w:val="21"/>
          <w:szCs w:val="21"/>
        </w:rPr>
      </w:pPr>
      <w:r>
        <w:rPr>
          <w:rFonts w:hint="eastAsia"/>
          <w:b/>
          <w:color w:val="auto"/>
          <w:sz w:val="21"/>
          <w:szCs w:val="21"/>
        </w:rPr>
        <w:t>三、违约责任</w:t>
      </w:r>
    </w:p>
    <w:p>
      <w:pPr>
        <w:ind w:firstLine="420" w:firstLineChars="200"/>
        <w:rPr>
          <w:color w:val="auto"/>
          <w:sz w:val="21"/>
          <w:szCs w:val="21"/>
        </w:rPr>
      </w:pPr>
      <w:r>
        <w:rPr>
          <w:rFonts w:hint="eastAsia"/>
          <w:color w:val="auto"/>
          <w:sz w:val="21"/>
          <w:szCs w:val="21"/>
        </w:rPr>
        <w:t>如因甲方或乙方违约造成安全事故，将依法追究责任。</w:t>
      </w:r>
    </w:p>
    <w:p>
      <w:pPr>
        <w:ind w:firstLine="420" w:firstLineChars="200"/>
        <w:rPr>
          <w:color w:val="auto"/>
          <w:sz w:val="21"/>
          <w:szCs w:val="21"/>
        </w:rPr>
      </w:pPr>
      <w:r>
        <w:rPr>
          <w:rFonts w:hint="eastAsia"/>
          <w:color w:val="auto"/>
          <w:sz w:val="21"/>
          <w:szCs w:val="21"/>
        </w:rPr>
        <w:t>本合同</w:t>
      </w:r>
      <w:r>
        <w:rPr>
          <w:rFonts w:hint="eastAsia"/>
          <w:color w:val="auto"/>
          <w:sz w:val="21"/>
          <w:szCs w:val="21"/>
          <w:lang w:eastAsia="zh-CN"/>
        </w:rPr>
        <w:t>一式陆份</w:t>
      </w:r>
      <w:r>
        <w:rPr>
          <w:rFonts w:hint="eastAsia"/>
          <w:color w:val="auto"/>
          <w:sz w:val="21"/>
          <w:szCs w:val="21"/>
        </w:rPr>
        <w:t>。由双方法定代表人或其授权的代理人签署与加盖公章后生效，全部工程竣工验收后失效。</w:t>
      </w:r>
    </w:p>
    <w:p>
      <w:pPr>
        <w:rPr>
          <w:color w:val="auto"/>
          <w:sz w:val="21"/>
          <w:szCs w:val="21"/>
        </w:rPr>
      </w:pPr>
    </w:p>
    <w:p>
      <w:pPr>
        <w:rPr>
          <w:color w:val="auto"/>
          <w:sz w:val="21"/>
          <w:szCs w:val="21"/>
        </w:rPr>
      </w:pPr>
    </w:p>
    <w:p>
      <w:pPr>
        <w:rPr>
          <w:color w:val="auto"/>
          <w:sz w:val="21"/>
          <w:szCs w:val="21"/>
        </w:rPr>
      </w:pPr>
    </w:p>
    <w:p>
      <w:pPr>
        <w:rPr>
          <w:color w:val="auto"/>
          <w:sz w:val="21"/>
          <w:szCs w:val="21"/>
        </w:rPr>
      </w:pPr>
      <w:r>
        <w:rPr>
          <w:rFonts w:hint="eastAsia"/>
          <w:color w:val="auto"/>
          <w:sz w:val="21"/>
          <w:szCs w:val="21"/>
        </w:rPr>
        <w:t>甲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rFonts w:hint="eastAsia"/>
          <w:color w:val="auto"/>
          <w:sz w:val="21"/>
          <w:szCs w:val="21"/>
        </w:rPr>
        <w:t xml:space="preserve">      乙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rPr>
      </w:pPr>
      <w:r>
        <w:rPr>
          <w:rFonts w:hint="eastAsia"/>
          <w:color w:val="auto"/>
          <w:sz w:val="21"/>
          <w:szCs w:val="21"/>
        </w:rPr>
        <w:t>法 定 代 表 人                              法 定 代 表 人</w:t>
      </w:r>
    </w:p>
    <w:p>
      <w:pPr>
        <w:ind w:firstLine="1275"/>
        <w:rPr>
          <w:color w:val="auto"/>
          <w:sz w:val="21"/>
          <w:szCs w:val="21"/>
        </w:rPr>
      </w:pPr>
      <w:r>
        <w:rPr>
          <w:rFonts w:hint="eastAsia"/>
          <w:color w:val="auto"/>
          <w:sz w:val="21"/>
          <w:szCs w:val="21"/>
        </w:rPr>
        <w:t>或                                          或</w:t>
      </w:r>
    </w:p>
    <w:p>
      <w:pPr>
        <w:rPr>
          <w:color w:val="auto"/>
          <w:sz w:val="21"/>
          <w:szCs w:val="21"/>
          <w:u w:val="single"/>
        </w:rPr>
      </w:pPr>
      <w:r>
        <w:rPr>
          <w:rFonts w:hint="eastAsia"/>
          <w:color w:val="auto"/>
          <w:sz w:val="21"/>
          <w:szCs w:val="21"/>
        </w:rPr>
        <w:t>其授权的代理人：</w:t>
      </w:r>
      <w:r>
        <w:rPr>
          <w:rFonts w:hint="eastAsia"/>
          <w:color w:val="auto"/>
          <w:sz w:val="21"/>
          <w:szCs w:val="21"/>
          <w:u w:val="single"/>
        </w:rPr>
        <w:t xml:space="preserve">                      </w:t>
      </w:r>
      <w:r>
        <w:rPr>
          <w:rFonts w:hint="eastAsia"/>
          <w:color w:val="auto"/>
          <w:sz w:val="21"/>
          <w:szCs w:val="21"/>
        </w:rPr>
        <w:t xml:space="preserve">     其授权的代理人：</w:t>
      </w:r>
      <w:r>
        <w:rPr>
          <w:rFonts w:hint="eastAsia"/>
          <w:color w:val="auto"/>
          <w:sz w:val="21"/>
          <w:szCs w:val="21"/>
          <w:u w:val="single"/>
        </w:rPr>
        <w:t xml:space="preserve">                       </w:t>
      </w:r>
    </w:p>
    <w:p>
      <w:pPr>
        <w:rPr>
          <w:color w:val="auto"/>
          <w:sz w:val="21"/>
          <w:szCs w:val="21"/>
        </w:rPr>
      </w:pPr>
      <w:r>
        <w:rPr>
          <w:rFonts w:hint="eastAsia"/>
          <w:color w:val="auto"/>
          <w:sz w:val="21"/>
          <w:szCs w:val="21"/>
        </w:rPr>
        <w:t xml:space="preserve"> </w:t>
      </w:r>
    </w:p>
    <w:p>
      <w:pPr>
        <w:textAlignment w:val="baseline"/>
        <w:rPr>
          <w:rFonts w:eastAsia="黑体"/>
          <w:b/>
          <w:color w:val="auto"/>
          <w:sz w:val="21"/>
          <w:szCs w:val="21"/>
        </w:rPr>
      </w:pPr>
      <w:r>
        <w:rPr>
          <w:rFonts w:hint="eastAsia"/>
          <w:color w:val="auto"/>
          <w:sz w:val="21"/>
          <w:szCs w:val="21"/>
        </w:rPr>
        <w:t>日          期：                                 日         期：</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2"/>
        <w:rPr>
          <w:rFonts w:hint="eastAsia" w:ascii="黑体" w:eastAsia="黑体"/>
          <w:color w:val="auto"/>
          <w:sz w:val="21"/>
          <w:szCs w:val="21"/>
        </w:rPr>
      </w:pPr>
    </w:p>
    <w:p>
      <w:pPr>
        <w:rPr>
          <w:rFonts w:hint="eastAsia" w:ascii="黑体" w:eastAsia="黑体"/>
          <w:color w:val="auto"/>
          <w:sz w:val="21"/>
          <w:szCs w:val="21"/>
        </w:rPr>
      </w:pPr>
    </w:p>
    <w:p>
      <w:pPr>
        <w:pStyle w:val="2"/>
        <w:rPr>
          <w:rFonts w:hint="eastAsia" w:ascii="黑体" w:eastAsia="黑体"/>
          <w:color w:val="auto"/>
          <w:sz w:val="21"/>
          <w:szCs w:val="21"/>
        </w:rPr>
      </w:pPr>
    </w:p>
    <w:p>
      <w:pPr>
        <w:rPr>
          <w:rFonts w:hint="eastAsia" w:ascii="黑体" w:eastAsia="黑体"/>
          <w:color w:val="auto"/>
          <w:sz w:val="21"/>
          <w:szCs w:val="21"/>
        </w:rPr>
      </w:pPr>
    </w:p>
    <w:p>
      <w:pPr>
        <w:pStyle w:val="2"/>
        <w:rPr>
          <w:rFonts w:hint="eastAsia"/>
        </w:rPr>
      </w:pPr>
    </w:p>
    <w:p>
      <w:pPr>
        <w:pStyle w:val="8"/>
        <w:rPr>
          <w:rFonts w:hint="eastAsia"/>
          <w:color w:val="auto"/>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74"/>
        <w:ind w:left="424"/>
        <w:rPr>
          <w:rFonts w:hint="eastAsia"/>
          <w:b/>
          <w:color w:val="auto"/>
          <w:sz w:val="12"/>
        </w:rPr>
      </w:pPr>
      <w:r>
        <w:rPr>
          <w:rFonts w:hint="eastAsia" w:ascii="黑体" w:hAnsi="黑体" w:eastAsia="黑体"/>
          <w:color w:val="auto"/>
        </w:rPr>
        <w:t xml:space="preserve">附件四 其他管理和技术人员最低要求 </w:t>
      </w:r>
    </w:p>
    <w:p>
      <w:pPr>
        <w:pStyle w:val="6"/>
        <w:rPr>
          <w:b/>
          <w:color w:val="auto"/>
          <w:sz w:val="20"/>
        </w:rPr>
      </w:pPr>
    </w:p>
    <w:p>
      <w:pPr>
        <w:pStyle w:val="6"/>
        <w:spacing w:before="6"/>
        <w:rPr>
          <w:b/>
          <w:color w:val="auto"/>
          <w:sz w:val="11"/>
        </w:rPr>
      </w:pPr>
    </w:p>
    <w:tbl>
      <w:tblPr>
        <w:tblStyle w:val="13"/>
        <w:tblW w:w="8894" w:type="dxa"/>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gridCol w:w="2160"/>
        <w:gridCol w:w="4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2449" w:type="dxa"/>
            <w:noWrap w:val="0"/>
            <w:vAlign w:val="top"/>
          </w:tcPr>
          <w:p>
            <w:pPr>
              <w:pStyle w:val="17"/>
              <w:spacing w:before="6"/>
              <w:rPr>
                <w:b/>
                <w:color w:val="auto"/>
                <w:sz w:val="24"/>
              </w:rPr>
            </w:pPr>
          </w:p>
          <w:p>
            <w:pPr>
              <w:pStyle w:val="17"/>
              <w:tabs>
                <w:tab w:val="left" w:pos="488"/>
              </w:tabs>
              <w:ind w:left="8"/>
              <w:jc w:val="center"/>
              <w:rPr>
                <w:color w:val="auto"/>
                <w:sz w:val="24"/>
              </w:rPr>
            </w:pPr>
            <w:r>
              <w:rPr>
                <w:color w:val="auto"/>
                <w:sz w:val="24"/>
              </w:rPr>
              <w:t>人</w:t>
            </w:r>
            <w:r>
              <w:rPr>
                <w:color w:val="auto"/>
                <w:sz w:val="24"/>
              </w:rPr>
              <w:tab/>
            </w:r>
            <w:r>
              <w:rPr>
                <w:color w:val="auto"/>
                <w:sz w:val="24"/>
              </w:rPr>
              <w:t>员</w:t>
            </w:r>
          </w:p>
        </w:tc>
        <w:tc>
          <w:tcPr>
            <w:tcW w:w="2160" w:type="dxa"/>
            <w:noWrap w:val="0"/>
            <w:vAlign w:val="top"/>
          </w:tcPr>
          <w:p>
            <w:pPr>
              <w:pStyle w:val="17"/>
              <w:spacing w:before="6"/>
              <w:rPr>
                <w:b/>
                <w:color w:val="auto"/>
                <w:sz w:val="24"/>
              </w:rPr>
            </w:pPr>
          </w:p>
          <w:p>
            <w:pPr>
              <w:pStyle w:val="17"/>
              <w:tabs>
                <w:tab w:val="left" w:pos="1199"/>
              </w:tabs>
              <w:ind w:left="719"/>
              <w:rPr>
                <w:color w:val="auto"/>
                <w:sz w:val="24"/>
              </w:rPr>
            </w:pPr>
            <w:r>
              <w:rPr>
                <w:color w:val="auto"/>
                <w:sz w:val="24"/>
              </w:rPr>
              <w:t>数</w:t>
            </w:r>
            <w:r>
              <w:rPr>
                <w:color w:val="auto"/>
                <w:sz w:val="24"/>
              </w:rPr>
              <w:tab/>
            </w:r>
            <w:r>
              <w:rPr>
                <w:color w:val="auto"/>
                <w:sz w:val="24"/>
              </w:rPr>
              <w:t>量</w:t>
            </w:r>
          </w:p>
        </w:tc>
        <w:tc>
          <w:tcPr>
            <w:tcW w:w="4285" w:type="dxa"/>
            <w:noWrap w:val="0"/>
            <w:vAlign w:val="top"/>
          </w:tcPr>
          <w:p>
            <w:pPr>
              <w:pStyle w:val="17"/>
              <w:spacing w:before="6"/>
              <w:rPr>
                <w:b/>
                <w:color w:val="auto"/>
                <w:sz w:val="24"/>
              </w:rPr>
            </w:pPr>
          </w:p>
          <w:p>
            <w:pPr>
              <w:pStyle w:val="17"/>
              <w:ind w:left="1460" w:right="1454"/>
              <w:jc w:val="center"/>
              <w:rPr>
                <w:color w:val="auto"/>
                <w:sz w:val="24"/>
              </w:rPr>
            </w:pPr>
            <w:r>
              <w:rPr>
                <w:color w:val="auto"/>
                <w:sz w:val="24"/>
              </w:rPr>
              <w:t>资 格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bl>
    <w:p>
      <w:pPr>
        <w:pStyle w:val="6"/>
        <w:rPr>
          <w:b/>
          <w:color w:val="auto"/>
          <w:sz w:val="20"/>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pStyle w:val="6"/>
        <w:spacing w:before="74"/>
        <w:ind w:left="424"/>
        <w:rPr>
          <w:rFonts w:hint="eastAsia"/>
          <w:b/>
          <w:color w:val="auto"/>
          <w:sz w:val="12"/>
        </w:rPr>
      </w:pPr>
      <w:r>
        <w:rPr>
          <w:rFonts w:hint="eastAsia" w:ascii="黑体" w:hAnsi="黑体" w:eastAsia="黑体"/>
          <w:color w:val="auto"/>
        </w:rPr>
        <w:t>附件五 主要机械设备和试验检测设备最低要求</w:t>
      </w:r>
    </w:p>
    <w:p>
      <w:pPr>
        <w:pStyle w:val="6"/>
        <w:rPr>
          <w:b/>
          <w:color w:val="auto"/>
          <w:sz w:val="20"/>
        </w:rPr>
      </w:pPr>
    </w:p>
    <w:p>
      <w:pPr>
        <w:pStyle w:val="6"/>
        <w:spacing w:before="6"/>
        <w:rPr>
          <w:b/>
          <w:color w:val="auto"/>
          <w:sz w:val="11"/>
        </w:rPr>
      </w:pPr>
    </w:p>
    <w:tbl>
      <w:tblPr>
        <w:tblStyle w:val="13"/>
        <w:tblW w:w="0" w:type="auto"/>
        <w:tblInd w:w="4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3"/>
        <w:gridCol w:w="2744"/>
        <w:gridCol w:w="1388"/>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spacing w:before="199"/>
              <w:ind w:left="635"/>
              <w:rPr>
                <w:color w:val="auto"/>
                <w:sz w:val="24"/>
              </w:rPr>
            </w:pPr>
            <w:r>
              <w:rPr>
                <w:color w:val="auto"/>
                <w:sz w:val="24"/>
              </w:rPr>
              <w:t>设备名称</w:t>
            </w:r>
          </w:p>
        </w:tc>
        <w:tc>
          <w:tcPr>
            <w:tcW w:w="2744" w:type="dxa"/>
            <w:noWrap w:val="0"/>
            <w:vAlign w:val="top"/>
          </w:tcPr>
          <w:p>
            <w:pPr>
              <w:pStyle w:val="17"/>
              <w:spacing w:before="199"/>
              <w:ind w:left="412"/>
              <w:rPr>
                <w:color w:val="auto"/>
                <w:sz w:val="24"/>
              </w:rPr>
            </w:pPr>
            <w:r>
              <w:rPr>
                <w:color w:val="auto"/>
                <w:sz w:val="24"/>
              </w:rPr>
              <w:t>规格、功率及容量</w:t>
            </w:r>
          </w:p>
        </w:tc>
        <w:tc>
          <w:tcPr>
            <w:tcW w:w="1388" w:type="dxa"/>
            <w:noWrap w:val="0"/>
            <w:vAlign w:val="top"/>
          </w:tcPr>
          <w:p>
            <w:pPr>
              <w:pStyle w:val="17"/>
              <w:spacing w:before="199"/>
              <w:ind w:left="452"/>
              <w:rPr>
                <w:color w:val="auto"/>
                <w:sz w:val="24"/>
              </w:rPr>
            </w:pPr>
            <w:r>
              <w:rPr>
                <w:color w:val="auto"/>
                <w:sz w:val="24"/>
              </w:rPr>
              <w:t>单位</w:t>
            </w:r>
          </w:p>
        </w:tc>
        <w:tc>
          <w:tcPr>
            <w:tcW w:w="2195" w:type="dxa"/>
            <w:noWrap w:val="0"/>
            <w:vAlign w:val="top"/>
          </w:tcPr>
          <w:p>
            <w:pPr>
              <w:pStyle w:val="17"/>
              <w:spacing w:before="199"/>
              <w:ind w:left="374"/>
              <w:rPr>
                <w:color w:val="auto"/>
                <w:sz w:val="24"/>
              </w:rPr>
            </w:pPr>
            <w:r>
              <w:rPr>
                <w:color w:val="auto"/>
                <w:sz w:val="24"/>
              </w:rPr>
              <w:t>最低数量要求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jc w:val="center"/>
              <w:rPr>
                <w:rFonts w:ascii="Times New Roman"/>
                <w:color w:val="auto"/>
                <w:sz w:val="18"/>
              </w:rPr>
            </w:pPr>
          </w:p>
        </w:tc>
        <w:tc>
          <w:tcPr>
            <w:tcW w:w="2195" w:type="dxa"/>
            <w:noWrap w:val="0"/>
            <w:vAlign w:val="center"/>
          </w:tcPr>
          <w:p>
            <w:pPr>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5"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6"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bl>
    <w:p>
      <w:pPr>
        <w:spacing w:before="1" w:line="312" w:lineRule="auto"/>
        <w:ind w:right="384"/>
        <w:rPr>
          <w:rFonts w:hint="eastAsia"/>
          <w:color w:val="auto"/>
          <w:sz w:val="18"/>
        </w:rPr>
      </w:pPr>
    </w:p>
    <w:p>
      <w:pPr>
        <w:textAlignment w:val="baseline"/>
        <w:rPr>
          <w:rFonts w:hint="eastAsia"/>
          <w:b/>
          <w:color w:val="auto"/>
          <w:sz w:val="44"/>
        </w:rPr>
      </w:pPr>
    </w:p>
    <w:p>
      <w:pPr>
        <w:jc w:val="center"/>
        <w:textAlignment w:val="baseline"/>
        <w:rPr>
          <w:rFonts w:hint="eastAsia"/>
          <w:b/>
          <w:color w:val="auto"/>
          <w:sz w:val="36"/>
          <w:szCs w:val="36"/>
        </w:rPr>
      </w:pPr>
    </w:p>
    <w:p>
      <w:pPr>
        <w:jc w:val="center"/>
        <w:textAlignment w:val="baseline"/>
        <w:rPr>
          <w:rFonts w:hint="eastAsia" w:eastAsia="黑体"/>
          <w:b/>
          <w:color w:val="auto"/>
          <w:sz w:val="36"/>
          <w:szCs w:val="36"/>
        </w:rPr>
      </w:pPr>
    </w:p>
    <w:p>
      <w:pPr>
        <w:jc w:val="center"/>
        <w:textAlignment w:val="baseline"/>
        <w:rPr>
          <w:rFonts w:hint="eastAsia" w:eastAsia="黑体"/>
          <w:b/>
          <w:color w:val="auto"/>
          <w:sz w:val="36"/>
          <w:szCs w:val="36"/>
        </w:rPr>
      </w:pPr>
    </w:p>
    <w:p>
      <w:pPr>
        <w:pStyle w:val="6"/>
        <w:spacing w:before="74"/>
        <w:ind w:left="424"/>
        <w:rPr>
          <w:rFonts w:hint="eastAsia" w:ascii="黑体" w:hAnsi="黑体" w:eastAsia="黑体"/>
          <w:color w:val="auto"/>
          <w:lang w:eastAsia="zh-CN"/>
        </w:rPr>
      </w:pPr>
    </w:p>
    <w:p>
      <w:pPr>
        <w:pStyle w:val="6"/>
        <w:spacing w:before="74"/>
        <w:ind w:left="424"/>
        <w:rPr>
          <w:rFonts w:hint="eastAsia" w:ascii="黑体" w:hAnsi="黑体" w:eastAsia="黑体"/>
          <w:color w:val="auto"/>
          <w:lang w:eastAsia="zh-CN"/>
        </w:rPr>
      </w:pPr>
    </w:p>
    <w:p>
      <w:pPr>
        <w:pStyle w:val="6"/>
        <w:spacing w:before="74"/>
        <w:ind w:left="424"/>
        <w:rPr>
          <w:rFonts w:hint="eastAsia" w:ascii="黑体" w:hAnsi="黑体" w:eastAsia="黑体"/>
          <w:color w:val="auto"/>
        </w:rPr>
      </w:pPr>
      <w:r>
        <w:rPr>
          <w:rFonts w:hint="eastAsia" w:ascii="黑体" w:hAnsi="黑体" w:eastAsia="黑体"/>
          <w:color w:val="auto"/>
        </w:rPr>
        <w:t>附件六 项目经理委任书</w:t>
      </w:r>
    </w:p>
    <w:p>
      <w:pPr>
        <w:spacing w:before="40"/>
        <w:jc w:val="center"/>
        <w:rPr>
          <w:rFonts w:hint="eastAsia" w:ascii="黑体" w:eastAsia="黑体"/>
          <w:color w:val="auto"/>
          <w:sz w:val="28"/>
          <w:u w:val="single"/>
        </w:rPr>
      </w:pPr>
    </w:p>
    <w:p>
      <w:pPr>
        <w:spacing w:before="40"/>
        <w:jc w:val="center"/>
        <w:rPr>
          <w:rFonts w:hint="eastAsia" w:ascii="黑体" w:eastAsia="黑体"/>
          <w:color w:val="auto"/>
          <w:sz w:val="28"/>
          <w:u w:val="single"/>
        </w:rPr>
      </w:pPr>
    </w:p>
    <w:p>
      <w:pPr>
        <w:spacing w:before="40"/>
        <w:jc w:val="center"/>
        <w:rPr>
          <w:rFonts w:ascii="黑体" w:eastAsia="黑体"/>
          <w:color w:val="auto"/>
          <w:sz w:val="28"/>
        </w:rPr>
      </w:pPr>
      <w:r>
        <w:rPr>
          <w:rFonts w:hint="eastAsia" w:ascii="黑体" w:eastAsia="黑体"/>
          <w:color w:val="auto"/>
          <w:sz w:val="28"/>
          <w:u w:val="single"/>
        </w:rPr>
        <w:t xml:space="preserve">（合同工程名称） </w:t>
      </w:r>
      <w:r>
        <w:rPr>
          <w:rFonts w:hint="eastAsia" w:ascii="黑体" w:eastAsia="黑体"/>
          <w:color w:val="auto"/>
          <w:sz w:val="28"/>
        </w:rPr>
        <w:t>项目经理委任书</w:t>
      </w:r>
    </w:p>
    <w:p>
      <w:pPr>
        <w:pStyle w:val="6"/>
        <w:rPr>
          <w:rFonts w:ascii="黑体"/>
          <w:color w:val="auto"/>
        </w:rPr>
      </w:pPr>
    </w:p>
    <w:p>
      <w:pPr>
        <w:pStyle w:val="6"/>
        <w:spacing w:before="9"/>
        <w:rPr>
          <w:rFonts w:ascii="黑体"/>
          <w:color w:val="auto"/>
          <w:sz w:val="41"/>
        </w:rPr>
      </w:pPr>
    </w:p>
    <w:p>
      <w:pPr>
        <w:pStyle w:val="6"/>
        <w:ind w:left="424"/>
        <w:rPr>
          <w:color w:val="auto"/>
          <w:sz w:val="21"/>
          <w:szCs w:val="21"/>
        </w:rPr>
      </w:pPr>
      <w:r>
        <w:rPr>
          <w:color w:val="auto"/>
          <w:spacing w:val="-61"/>
          <w:sz w:val="21"/>
          <w:szCs w:val="21"/>
        </w:rPr>
        <w:t>致：</w:t>
      </w:r>
      <w:r>
        <w:rPr>
          <w:color w:val="auto"/>
          <w:sz w:val="21"/>
          <w:szCs w:val="21"/>
          <w:u w:val="single"/>
        </w:rPr>
        <w:t>（发包人全称）</w:t>
      </w:r>
    </w:p>
    <w:p>
      <w:pPr>
        <w:pStyle w:val="6"/>
        <w:spacing w:before="94" w:line="312" w:lineRule="auto"/>
        <w:ind w:left="424" w:right="299" w:firstLine="616"/>
        <w:rPr>
          <w:color w:val="auto"/>
          <w:sz w:val="21"/>
          <w:szCs w:val="21"/>
        </w:rPr>
      </w:pPr>
      <w:r>
        <w:rPr>
          <w:color w:val="auto"/>
          <w:sz w:val="21"/>
          <w:szCs w:val="21"/>
          <w:u w:val="single"/>
        </w:rPr>
        <w:t xml:space="preserve">    （承包人全称）</w:t>
      </w:r>
      <w:r>
        <w:rPr>
          <w:color w:val="auto"/>
          <w:spacing w:val="-4"/>
          <w:sz w:val="21"/>
          <w:szCs w:val="21"/>
        </w:rPr>
        <w:t xml:space="preserve"> 法定代表人</w:t>
      </w:r>
      <w:r>
        <w:rPr>
          <w:color w:val="auto"/>
          <w:spacing w:val="-4"/>
          <w:sz w:val="21"/>
          <w:szCs w:val="21"/>
          <w:u w:val="single"/>
        </w:rPr>
        <w:t xml:space="preserve"> </w:t>
      </w:r>
      <w:r>
        <w:rPr>
          <w:color w:val="auto"/>
          <w:sz w:val="21"/>
          <w:szCs w:val="21"/>
          <w:u w:val="single"/>
        </w:rPr>
        <w:t>（</w:t>
      </w:r>
      <w:r>
        <w:rPr>
          <w:color w:val="auto"/>
          <w:spacing w:val="-4"/>
          <w:sz w:val="21"/>
          <w:szCs w:val="21"/>
          <w:u w:val="single"/>
        </w:rPr>
        <w:t>职务、姓名</w:t>
      </w:r>
      <w:r>
        <w:rPr>
          <w:color w:val="auto"/>
          <w:sz w:val="21"/>
          <w:szCs w:val="21"/>
          <w:u w:val="single"/>
        </w:rPr>
        <w:t>）</w:t>
      </w:r>
      <w:r>
        <w:rPr>
          <w:color w:val="auto"/>
          <w:spacing w:val="-4"/>
          <w:sz w:val="21"/>
          <w:szCs w:val="21"/>
        </w:rPr>
        <w:t xml:space="preserve"> 代表本单位委任</w:t>
      </w:r>
      <w:r>
        <w:rPr>
          <w:color w:val="auto"/>
          <w:spacing w:val="-4"/>
          <w:sz w:val="21"/>
          <w:szCs w:val="21"/>
          <w:u w:val="single"/>
        </w:rPr>
        <w:t xml:space="preserve"> </w:t>
      </w:r>
      <w:r>
        <w:rPr>
          <w:color w:val="auto"/>
          <w:sz w:val="21"/>
          <w:szCs w:val="21"/>
          <w:u w:val="single"/>
        </w:rPr>
        <w:t>（</w:t>
      </w:r>
      <w:r>
        <w:rPr>
          <w:color w:val="auto"/>
          <w:spacing w:val="-5"/>
          <w:sz w:val="21"/>
          <w:szCs w:val="21"/>
          <w:u w:val="single"/>
        </w:rPr>
        <w:t>职务、姓名）</w:t>
      </w:r>
      <w:r>
        <w:rPr>
          <w:color w:val="auto"/>
          <w:spacing w:val="-15"/>
          <w:sz w:val="21"/>
          <w:szCs w:val="21"/>
        </w:rPr>
        <w:t xml:space="preserve"> 为</w:t>
      </w:r>
      <w:r>
        <w:rPr>
          <w:color w:val="auto"/>
          <w:sz w:val="21"/>
          <w:szCs w:val="21"/>
          <w:u w:val="single"/>
        </w:rPr>
        <w:t>（合同工程名称</w:t>
      </w:r>
      <w:r>
        <w:rPr>
          <w:color w:val="auto"/>
          <w:spacing w:val="-15"/>
          <w:sz w:val="21"/>
          <w:szCs w:val="21"/>
          <w:u w:val="single"/>
        </w:rPr>
        <w:t>）</w:t>
      </w:r>
      <w:r>
        <w:rPr>
          <w:color w:val="auto"/>
          <w:spacing w:val="-5"/>
          <w:sz w:val="21"/>
          <w:szCs w:val="21"/>
        </w:rPr>
        <w:t>的项目经理。凡本合同执行中的有关技术、工程进度、现场管理、质量检验、结算与支付等方面工作，由</w:t>
      </w:r>
      <w:r>
        <w:rPr>
          <w:color w:val="auto"/>
          <w:spacing w:val="-5"/>
          <w:sz w:val="21"/>
          <w:szCs w:val="21"/>
          <w:u w:val="single"/>
        </w:rPr>
        <w:t xml:space="preserve"> （姓名） </w:t>
      </w:r>
      <w:r>
        <w:rPr>
          <w:color w:val="auto"/>
          <w:spacing w:val="-5"/>
          <w:sz w:val="21"/>
          <w:szCs w:val="21"/>
        </w:rPr>
        <w:t>代表本单位全面负责。</w:t>
      </w:r>
    </w:p>
    <w:p>
      <w:pPr>
        <w:pStyle w:val="6"/>
        <w:spacing w:before="4"/>
        <w:rPr>
          <w:color w:val="auto"/>
          <w:sz w:val="21"/>
          <w:szCs w:val="21"/>
        </w:rPr>
      </w:pPr>
    </w:p>
    <w:p>
      <w:pPr>
        <w:pStyle w:val="6"/>
        <w:tabs>
          <w:tab w:val="left" w:pos="7308"/>
          <w:tab w:val="left" w:pos="7745"/>
          <w:tab w:val="left" w:pos="9101"/>
        </w:tabs>
        <w:spacing w:line="312" w:lineRule="auto"/>
        <w:ind w:left="5028" w:right="298" w:hanging="764"/>
        <w:rPr>
          <w:rFonts w:hint="eastAsia"/>
          <w:color w:val="auto"/>
          <w:sz w:val="21"/>
          <w:szCs w:val="21"/>
        </w:rPr>
      </w:pPr>
      <w:r>
        <w:rPr>
          <w:color w:val="auto"/>
          <w:sz w:val="21"/>
          <w:szCs w:val="21"/>
        </w:rPr>
        <w:t>承包人：</w:t>
      </w:r>
      <w:r>
        <w:rPr>
          <w:color w:val="auto"/>
          <w:sz w:val="21"/>
          <w:szCs w:val="21"/>
          <w:u w:val="single"/>
        </w:rPr>
        <w:t xml:space="preserve"> </w:t>
      </w:r>
      <w:r>
        <w:rPr>
          <w:color w:val="auto"/>
          <w:sz w:val="21"/>
          <w:szCs w:val="21"/>
          <w:u w:val="single"/>
        </w:rPr>
        <w:tab/>
      </w:r>
      <w:r>
        <w:rPr>
          <w:color w:val="auto"/>
          <w:sz w:val="21"/>
          <w:szCs w:val="21"/>
        </w:rPr>
        <w:t xml:space="preserve">（盖单位章） </w:t>
      </w:r>
    </w:p>
    <w:p>
      <w:pPr>
        <w:pStyle w:val="6"/>
        <w:tabs>
          <w:tab w:val="left" w:pos="7308"/>
          <w:tab w:val="left" w:pos="7745"/>
          <w:tab w:val="left" w:pos="9101"/>
        </w:tabs>
        <w:spacing w:line="312" w:lineRule="auto"/>
        <w:ind w:left="5028" w:right="298" w:hanging="764"/>
        <w:rPr>
          <w:color w:val="auto"/>
          <w:sz w:val="21"/>
          <w:szCs w:val="21"/>
        </w:rPr>
      </w:pPr>
      <w:r>
        <w:rPr>
          <w:color w:val="auto"/>
          <w:sz w:val="21"/>
          <w:szCs w:val="21"/>
        </w:rPr>
        <w:t>法定代表人：</w:t>
      </w:r>
      <w:r>
        <w:rPr>
          <w:color w:val="auto"/>
          <w:sz w:val="21"/>
          <w:szCs w:val="21"/>
          <w:u w:val="single"/>
        </w:rPr>
        <w:t xml:space="preserve"> </w:t>
      </w:r>
      <w:r>
        <w:rPr>
          <w:color w:val="auto"/>
          <w:sz w:val="21"/>
          <w:szCs w:val="21"/>
          <w:u w:val="single"/>
        </w:rPr>
        <w:tab/>
      </w:r>
      <w:r>
        <w:rPr>
          <w:color w:val="auto"/>
          <w:sz w:val="21"/>
          <w:szCs w:val="21"/>
          <w:u w:val="single"/>
        </w:rPr>
        <w:t>（职务）</w:t>
      </w:r>
      <w:r>
        <w:rPr>
          <w:color w:val="auto"/>
          <w:sz w:val="21"/>
          <w:szCs w:val="21"/>
          <w:u w:val="single"/>
        </w:rPr>
        <w:tab/>
      </w:r>
    </w:p>
    <w:p>
      <w:pPr>
        <w:pStyle w:val="6"/>
        <w:tabs>
          <w:tab w:val="left" w:pos="839"/>
          <w:tab w:val="left" w:pos="2556"/>
        </w:tabs>
        <w:spacing w:line="307" w:lineRule="exact"/>
        <w:ind w:right="382"/>
        <w:jc w:val="right"/>
        <w:rPr>
          <w:color w:val="auto"/>
          <w:sz w:val="21"/>
          <w:szCs w:val="21"/>
        </w:rPr>
      </w:pPr>
      <w:r>
        <w:rPr>
          <w:color w:val="auto"/>
          <w:sz w:val="21"/>
          <w:szCs w:val="21"/>
          <w:u w:val="single"/>
        </w:rPr>
        <w:t xml:space="preserve"> </w:t>
      </w:r>
      <w:r>
        <w:rPr>
          <w:color w:val="auto"/>
          <w:sz w:val="21"/>
          <w:szCs w:val="21"/>
          <w:u w:val="single"/>
        </w:rPr>
        <w:tab/>
      </w:r>
      <w:r>
        <w:rPr>
          <w:color w:val="auto"/>
          <w:sz w:val="21"/>
          <w:szCs w:val="21"/>
          <w:u w:val="single"/>
        </w:rPr>
        <w:t>（姓名）</w:t>
      </w:r>
      <w:r>
        <w:rPr>
          <w:color w:val="auto"/>
          <w:sz w:val="21"/>
          <w:szCs w:val="21"/>
          <w:u w:val="single"/>
        </w:rPr>
        <w:tab/>
      </w:r>
    </w:p>
    <w:p>
      <w:pPr>
        <w:pStyle w:val="6"/>
        <w:tabs>
          <w:tab w:val="left" w:pos="839"/>
          <w:tab w:val="left" w:pos="2556"/>
        </w:tabs>
        <w:spacing w:before="94"/>
        <w:ind w:right="382"/>
        <w:jc w:val="right"/>
        <w:rPr>
          <w:color w:val="auto"/>
          <w:sz w:val="21"/>
          <w:szCs w:val="21"/>
        </w:rPr>
      </w:pPr>
      <w:r>
        <w:rPr>
          <w:color w:val="auto"/>
          <w:sz w:val="21"/>
          <w:szCs w:val="21"/>
          <w:u w:val="single"/>
        </w:rPr>
        <w:t xml:space="preserve"> </w:t>
      </w:r>
      <w:r>
        <w:rPr>
          <w:color w:val="auto"/>
          <w:sz w:val="21"/>
          <w:szCs w:val="21"/>
          <w:u w:val="single"/>
        </w:rPr>
        <w:tab/>
      </w:r>
      <w:r>
        <w:rPr>
          <w:color w:val="auto"/>
          <w:sz w:val="21"/>
          <w:szCs w:val="21"/>
          <w:u w:val="single"/>
        </w:rPr>
        <w:t>（签字）</w:t>
      </w:r>
      <w:r>
        <w:rPr>
          <w:color w:val="auto"/>
          <w:sz w:val="21"/>
          <w:szCs w:val="21"/>
          <w:u w:val="single"/>
        </w:rPr>
        <w:tab/>
      </w:r>
    </w:p>
    <w:p>
      <w:pPr>
        <w:pStyle w:val="6"/>
        <w:tabs>
          <w:tab w:val="left" w:pos="6905"/>
          <w:tab w:val="left" w:pos="7745"/>
          <w:tab w:val="left" w:pos="8585"/>
        </w:tabs>
        <w:spacing w:before="91"/>
        <w:ind w:left="6065"/>
        <w:rPr>
          <w:color w:val="auto"/>
        </w:rPr>
      </w:pPr>
      <w:r>
        <w:rPr>
          <w:color w:val="auto"/>
          <w:sz w:val="21"/>
          <w:szCs w:val="21"/>
          <w:u w:val="single"/>
        </w:rPr>
        <w:t xml:space="preserve"> </w:t>
      </w:r>
      <w:r>
        <w:rPr>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color w:val="auto"/>
          <w:sz w:val="21"/>
          <w:szCs w:val="21"/>
          <w:u w:val="single"/>
        </w:rPr>
        <w:tab/>
      </w:r>
      <w:r>
        <w:rPr>
          <w:color w:val="auto"/>
          <w:sz w:val="21"/>
          <w:szCs w:val="21"/>
        </w:rPr>
        <w:t>日</w:t>
      </w:r>
    </w:p>
    <w:p>
      <w:pPr>
        <w:pStyle w:val="6"/>
        <w:rPr>
          <w:color w:val="auto"/>
          <w:sz w:val="26"/>
        </w:rPr>
      </w:pPr>
    </w:p>
    <w:p>
      <w:pPr>
        <w:pStyle w:val="6"/>
        <w:rPr>
          <w:color w:val="auto"/>
          <w:sz w:val="26"/>
        </w:rPr>
      </w:pPr>
    </w:p>
    <w:p>
      <w:pPr>
        <w:pStyle w:val="6"/>
        <w:rPr>
          <w:color w:val="auto"/>
          <w:sz w:val="26"/>
        </w:rPr>
      </w:pPr>
    </w:p>
    <w:p>
      <w:pPr>
        <w:pStyle w:val="6"/>
        <w:spacing w:before="12"/>
        <w:rPr>
          <w:color w:val="auto"/>
          <w:sz w:val="22"/>
        </w:rPr>
      </w:pPr>
    </w:p>
    <w:p>
      <w:pPr>
        <w:pStyle w:val="6"/>
        <w:tabs>
          <w:tab w:val="left" w:pos="2824"/>
        </w:tabs>
        <w:ind w:left="424"/>
        <w:rPr>
          <w:color w:val="auto"/>
          <w:sz w:val="21"/>
          <w:szCs w:val="21"/>
        </w:rPr>
      </w:pPr>
      <w:r>
        <w:rPr>
          <w:color w:val="auto"/>
          <w:sz w:val="21"/>
          <w:szCs w:val="21"/>
        </w:rPr>
        <w:t>抄送：</w:t>
      </w:r>
      <w:r>
        <w:rPr>
          <w:color w:val="auto"/>
          <w:spacing w:val="118"/>
          <w:sz w:val="21"/>
          <w:szCs w:val="21"/>
          <w:u w:val="single"/>
        </w:rPr>
        <w:t xml:space="preserve"> </w:t>
      </w:r>
      <w:r>
        <w:rPr>
          <w:color w:val="auto"/>
          <w:sz w:val="21"/>
          <w:szCs w:val="21"/>
          <w:u w:val="single"/>
        </w:rPr>
        <w:t>（监理人）</w:t>
      </w:r>
      <w:r>
        <w:rPr>
          <w:color w:val="auto"/>
          <w:sz w:val="21"/>
          <w:szCs w:val="21"/>
          <w:u w:val="single"/>
        </w:rPr>
        <w:tab/>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67"/>
        <w:ind w:left="424"/>
        <w:rPr>
          <w:rFonts w:hint="eastAsia" w:ascii="黑体" w:eastAsia="黑体"/>
          <w:color w:val="auto"/>
          <w:lang w:eastAsia="zh-CN"/>
        </w:rPr>
      </w:pPr>
    </w:p>
    <w:p>
      <w:pPr>
        <w:pStyle w:val="6"/>
        <w:spacing w:before="67"/>
        <w:ind w:left="424"/>
        <w:rPr>
          <w:rFonts w:hint="eastAsia" w:ascii="黑体" w:eastAsia="黑体"/>
          <w:color w:val="auto"/>
          <w:lang w:eastAsia="zh-CN"/>
        </w:rPr>
      </w:pPr>
    </w:p>
    <w:p>
      <w:pPr>
        <w:pStyle w:val="6"/>
        <w:spacing w:before="67"/>
        <w:ind w:left="424"/>
        <w:rPr>
          <w:rFonts w:hint="eastAsia" w:ascii="黑体" w:eastAsia="黑体"/>
          <w:color w:val="auto"/>
          <w:lang w:eastAsia="zh-CN"/>
        </w:rPr>
      </w:pPr>
    </w:p>
    <w:p>
      <w:pPr>
        <w:pStyle w:val="6"/>
        <w:spacing w:before="67"/>
        <w:ind w:left="424"/>
        <w:rPr>
          <w:rFonts w:ascii="黑体" w:eastAsia="黑体"/>
          <w:color w:val="auto"/>
        </w:rPr>
      </w:pPr>
      <w:r>
        <w:rPr>
          <w:rFonts w:hint="eastAsia" w:ascii="黑体" w:eastAsia="黑体"/>
          <w:color w:val="auto"/>
        </w:rPr>
        <w:t>附件七 履约保证金格式</w:t>
      </w:r>
    </w:p>
    <w:p>
      <w:pPr>
        <w:pStyle w:val="6"/>
        <w:spacing w:before="91"/>
        <w:ind w:left="424"/>
        <w:rPr>
          <w:color w:val="auto"/>
          <w:sz w:val="21"/>
          <w:szCs w:val="21"/>
        </w:rPr>
      </w:pPr>
      <w:r>
        <w:rPr>
          <w:color w:val="auto"/>
          <w:sz w:val="21"/>
          <w:szCs w:val="21"/>
        </w:rPr>
        <w:t>采用银行保函，格式如下。</w:t>
      </w:r>
    </w:p>
    <w:p>
      <w:pPr>
        <w:pStyle w:val="6"/>
        <w:spacing w:before="9"/>
        <w:rPr>
          <w:color w:val="auto"/>
          <w:sz w:val="21"/>
          <w:szCs w:val="21"/>
        </w:rPr>
      </w:pPr>
    </w:p>
    <w:p>
      <w:pPr>
        <w:spacing w:before="61"/>
        <w:ind w:left="1098" w:right="1057"/>
        <w:jc w:val="center"/>
        <w:rPr>
          <w:b/>
          <w:color w:val="auto"/>
          <w:sz w:val="32"/>
          <w:szCs w:val="32"/>
        </w:rPr>
      </w:pPr>
      <w:r>
        <w:rPr>
          <w:rFonts w:hint="eastAsia"/>
          <w:b/>
          <w:color w:val="auto"/>
          <w:sz w:val="32"/>
          <w:szCs w:val="32"/>
        </w:rPr>
        <w:t>履约保证金</w:t>
      </w:r>
    </w:p>
    <w:p>
      <w:pPr>
        <w:pStyle w:val="6"/>
        <w:rPr>
          <w:color w:val="auto"/>
          <w:sz w:val="21"/>
          <w:szCs w:val="21"/>
        </w:rPr>
      </w:pPr>
    </w:p>
    <w:p>
      <w:pPr>
        <w:pStyle w:val="6"/>
        <w:tabs>
          <w:tab w:val="left" w:pos="2764"/>
        </w:tabs>
        <w:spacing w:before="1"/>
        <w:ind w:left="544"/>
        <w:rPr>
          <w:color w:val="auto"/>
          <w:sz w:val="21"/>
          <w:szCs w:val="21"/>
        </w:rPr>
      </w:pPr>
      <w:r>
        <w:rPr>
          <w:color w:val="auto"/>
          <w:sz w:val="21"/>
          <w:szCs w:val="21"/>
          <w:u w:val="single"/>
        </w:rPr>
        <w:tab/>
      </w:r>
      <w:r>
        <w:rPr>
          <w:color w:val="auto"/>
          <w:sz w:val="21"/>
          <w:szCs w:val="21"/>
        </w:rPr>
        <w:t>（发包人名称</w:t>
      </w:r>
      <w:r>
        <w:rPr>
          <w:color w:val="auto"/>
          <w:spacing w:val="-120"/>
          <w:sz w:val="21"/>
          <w:szCs w:val="21"/>
        </w:rPr>
        <w:t>）</w:t>
      </w:r>
      <w:r>
        <w:rPr>
          <w:color w:val="auto"/>
          <w:sz w:val="21"/>
          <w:szCs w:val="21"/>
        </w:rPr>
        <w:t>：</w:t>
      </w:r>
    </w:p>
    <w:p>
      <w:pPr>
        <w:pStyle w:val="6"/>
        <w:spacing w:before="5"/>
        <w:rPr>
          <w:color w:val="auto"/>
          <w:sz w:val="21"/>
          <w:szCs w:val="21"/>
        </w:rPr>
      </w:pPr>
    </w:p>
    <w:p>
      <w:pPr>
        <w:pStyle w:val="6"/>
        <w:tabs>
          <w:tab w:val="left" w:pos="2113"/>
          <w:tab w:val="left" w:pos="3410"/>
          <w:tab w:val="left" w:pos="8139"/>
          <w:tab w:val="left" w:pos="8621"/>
        </w:tabs>
        <w:spacing w:line="312" w:lineRule="auto"/>
        <w:ind w:left="424" w:right="380" w:firstLine="599"/>
        <w:rPr>
          <w:color w:val="auto"/>
          <w:sz w:val="21"/>
          <w:szCs w:val="21"/>
        </w:rPr>
      </w:pPr>
      <w:r>
        <w:rPr>
          <w:color w:val="auto"/>
          <w:sz w:val="21"/>
          <w:szCs w:val="21"/>
        </w:rPr>
        <w:t>鉴于</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（发包人名称</w:t>
      </w:r>
      <w:r>
        <w:rPr>
          <w:color w:val="auto"/>
          <w:spacing w:val="-15"/>
          <w:sz w:val="21"/>
          <w:szCs w:val="21"/>
        </w:rPr>
        <w:t>，</w:t>
      </w:r>
      <w:r>
        <w:rPr>
          <w:color w:val="auto"/>
          <w:sz w:val="21"/>
          <w:szCs w:val="21"/>
        </w:rPr>
        <w:t>以下简称“发包人</w:t>
      </w:r>
      <w:r>
        <w:rPr>
          <w:color w:val="auto"/>
          <w:spacing w:val="-8"/>
          <w:sz w:val="21"/>
          <w:szCs w:val="21"/>
        </w:rPr>
        <w:t>”）</w:t>
      </w:r>
      <w:r>
        <w:rPr>
          <w:color w:val="auto"/>
          <w:sz w:val="21"/>
          <w:szCs w:val="21"/>
        </w:rPr>
        <w:t>接受</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（承包人名称，以下简称“承包人”）于</w:t>
      </w:r>
      <w:r>
        <w:rPr>
          <w:color w:val="auto"/>
          <w:sz w:val="21"/>
          <w:szCs w:val="21"/>
          <w:u w:val="single"/>
        </w:rPr>
        <w:t xml:space="preserve">    </w:t>
      </w:r>
      <w:r>
        <w:rPr>
          <w:color w:val="auto"/>
          <w:spacing w:val="15"/>
          <w:sz w:val="21"/>
          <w:szCs w:val="21"/>
          <w:u w:val="single"/>
        </w:rPr>
        <w:t xml:space="preserve"> </w:t>
      </w:r>
      <w:r>
        <w:rPr>
          <w:color w:val="auto"/>
          <w:sz w:val="21"/>
          <w:szCs w:val="21"/>
        </w:rPr>
        <w:t>年</w:t>
      </w:r>
      <w:r>
        <w:rPr>
          <w:color w:val="auto"/>
          <w:sz w:val="21"/>
          <w:szCs w:val="21"/>
          <w:u w:val="single"/>
        </w:rPr>
        <w:t xml:space="preserve">   </w:t>
      </w:r>
      <w:r>
        <w:rPr>
          <w:color w:val="auto"/>
          <w:spacing w:val="12"/>
          <w:sz w:val="21"/>
          <w:szCs w:val="21"/>
          <w:u w:val="single"/>
        </w:rPr>
        <w:t xml:space="preserve"> </w:t>
      </w:r>
      <w:r>
        <w:rPr>
          <w:color w:val="auto"/>
          <w:sz w:val="21"/>
          <w:szCs w:val="21"/>
        </w:rPr>
        <w:t>月</w:t>
      </w:r>
      <w:r>
        <w:rPr>
          <w:color w:val="auto"/>
          <w:sz w:val="21"/>
          <w:szCs w:val="21"/>
          <w:u w:val="single"/>
        </w:rPr>
        <w:t xml:space="preserve">   </w:t>
      </w:r>
      <w:r>
        <w:rPr>
          <w:color w:val="auto"/>
          <w:spacing w:val="10"/>
          <w:sz w:val="21"/>
          <w:szCs w:val="21"/>
          <w:u w:val="single"/>
        </w:rPr>
        <w:t xml:space="preserve"> </w:t>
      </w:r>
      <w:r>
        <w:rPr>
          <w:color w:val="auto"/>
          <w:sz w:val="21"/>
          <w:szCs w:val="21"/>
        </w:rPr>
        <w:t>日参加</w:t>
      </w:r>
      <w:r>
        <w:rPr>
          <w:color w:val="auto"/>
          <w:sz w:val="21"/>
          <w:szCs w:val="21"/>
          <w:u w:val="single"/>
        </w:rPr>
        <w:t xml:space="preserve"> </w:t>
      </w:r>
      <w:r>
        <w:rPr>
          <w:color w:val="auto"/>
          <w:sz w:val="21"/>
          <w:szCs w:val="21"/>
          <w:u w:val="single"/>
        </w:rPr>
        <w:tab/>
      </w:r>
      <w:r>
        <w:rPr>
          <w:color w:val="auto"/>
          <w:sz w:val="21"/>
          <w:szCs w:val="21"/>
        </w:rPr>
        <w:t>（项目名称）</w:t>
      </w:r>
      <w:r>
        <w:rPr>
          <w:color w:val="auto"/>
          <w:sz w:val="21"/>
          <w:szCs w:val="21"/>
          <w:u w:val="single"/>
        </w:rPr>
        <w:t xml:space="preserve"> </w:t>
      </w:r>
      <w:r>
        <w:rPr>
          <w:color w:val="auto"/>
          <w:sz w:val="21"/>
          <w:szCs w:val="21"/>
          <w:u w:val="single"/>
        </w:rPr>
        <w:tab/>
      </w:r>
      <w:r>
        <w:rPr>
          <w:color w:val="auto"/>
          <w:sz w:val="21"/>
          <w:szCs w:val="21"/>
        </w:rPr>
        <w:t>标段施工的投标。我方愿意无条件地、不可撤销地就承包人履行与你方订立的合同，向你方提供担保。</w:t>
      </w:r>
    </w:p>
    <w:p>
      <w:pPr>
        <w:pStyle w:val="19"/>
        <w:numPr>
          <w:ilvl w:val="0"/>
          <w:numId w:val="7"/>
        </w:numPr>
        <w:tabs>
          <w:tab w:val="left" w:pos="1205"/>
          <w:tab w:val="left" w:pos="5820"/>
          <w:tab w:val="left" w:pos="8045"/>
        </w:tabs>
        <w:spacing w:before="2"/>
        <w:ind w:firstLine="480"/>
        <w:rPr>
          <w:color w:val="auto"/>
          <w:sz w:val="21"/>
          <w:szCs w:val="21"/>
        </w:rPr>
      </w:pPr>
      <w:r>
        <w:rPr>
          <w:color w:val="auto"/>
          <w:sz w:val="21"/>
          <w:szCs w:val="21"/>
        </w:rPr>
        <w:t>担保金额人民币（大写）</w:t>
      </w:r>
      <w:r>
        <w:rPr>
          <w:color w:val="auto"/>
          <w:sz w:val="21"/>
          <w:szCs w:val="21"/>
          <w:u w:val="single"/>
        </w:rPr>
        <w:tab/>
      </w:r>
      <w:r>
        <w:rPr>
          <w:color w:val="auto"/>
          <w:sz w:val="21"/>
          <w:szCs w:val="21"/>
        </w:rPr>
        <w:t>元（¥</w:t>
      </w:r>
      <w:r>
        <w:rPr>
          <w:color w:val="auto"/>
          <w:sz w:val="21"/>
          <w:szCs w:val="21"/>
          <w:u w:val="single"/>
        </w:rPr>
        <w:t xml:space="preserve"> </w:t>
      </w:r>
      <w:r>
        <w:rPr>
          <w:color w:val="auto"/>
          <w:sz w:val="21"/>
          <w:szCs w:val="21"/>
          <w:u w:val="single"/>
        </w:rPr>
        <w:tab/>
      </w:r>
      <w:r>
        <w:rPr>
          <w:color w:val="auto"/>
          <w:spacing w:val="-120"/>
          <w:sz w:val="21"/>
          <w:szCs w:val="21"/>
        </w:rPr>
        <w:t>）</w:t>
      </w:r>
      <w:r>
        <w:rPr>
          <w:color w:val="auto"/>
          <w:sz w:val="21"/>
          <w:szCs w:val="21"/>
        </w:rPr>
        <w:t>。</w:t>
      </w:r>
    </w:p>
    <w:p>
      <w:pPr>
        <w:pStyle w:val="19"/>
        <w:numPr>
          <w:ilvl w:val="0"/>
          <w:numId w:val="7"/>
        </w:numPr>
        <w:tabs>
          <w:tab w:val="left" w:pos="1212"/>
        </w:tabs>
        <w:spacing w:before="93" w:line="288" w:lineRule="auto"/>
        <w:ind w:right="375" w:firstLine="480"/>
        <w:rPr>
          <w:color w:val="auto"/>
          <w:sz w:val="21"/>
          <w:szCs w:val="21"/>
        </w:rPr>
      </w:pPr>
      <w:r>
        <w:rPr>
          <w:color w:val="auto"/>
          <w:sz w:val="21"/>
          <w:szCs w:val="21"/>
        </w:rPr>
        <w:t>本担保自</w:t>
      </w:r>
      <w:r>
        <w:rPr>
          <w:color w:val="auto"/>
          <w:sz w:val="21"/>
          <w:szCs w:val="21"/>
          <w:u w:val="single"/>
        </w:rPr>
        <w:t xml:space="preserve"> </w:t>
      </w:r>
      <w:r>
        <w:rPr>
          <w:color w:val="auto"/>
          <w:sz w:val="21"/>
          <w:szCs w:val="21"/>
          <w:u w:val="single"/>
        </w:rPr>
        <w:tab/>
      </w:r>
      <w:r>
        <w:rPr>
          <w:color w:val="auto"/>
          <w:sz w:val="21"/>
          <w:szCs w:val="21"/>
        </w:rPr>
        <w:t>（生效日期</w:t>
      </w:r>
      <w:r>
        <w:rPr>
          <w:color w:val="auto"/>
          <w:spacing w:val="-15"/>
          <w:sz w:val="21"/>
          <w:szCs w:val="21"/>
        </w:rPr>
        <w:t>）</w:t>
      </w:r>
      <w:r>
        <w:rPr>
          <w:color w:val="auto"/>
          <w:sz w:val="21"/>
          <w:szCs w:val="21"/>
        </w:rPr>
        <w:t>之</w:t>
      </w:r>
      <w:r>
        <w:rPr>
          <w:color w:val="auto"/>
          <w:spacing w:val="-3"/>
          <w:sz w:val="21"/>
          <w:szCs w:val="21"/>
        </w:rPr>
        <w:t>日</w:t>
      </w:r>
      <w:r>
        <w:rPr>
          <w:color w:val="auto"/>
          <w:sz w:val="21"/>
          <w:szCs w:val="21"/>
        </w:rPr>
        <w:t>起生效，至</w:t>
      </w:r>
      <w:r>
        <w:rPr>
          <w:color w:val="auto"/>
          <w:sz w:val="21"/>
          <w:szCs w:val="21"/>
          <w:u w:val="single"/>
        </w:rPr>
        <w:t xml:space="preserve"> </w:t>
      </w:r>
      <w:r>
        <w:rPr>
          <w:color w:val="auto"/>
          <w:sz w:val="21"/>
          <w:szCs w:val="21"/>
          <w:u w:val="single"/>
        </w:rPr>
        <w:tab/>
      </w:r>
      <w:r>
        <w:rPr>
          <w:color w:val="auto"/>
          <w:sz w:val="21"/>
          <w:szCs w:val="21"/>
        </w:rPr>
        <w:t>（失效</w:t>
      </w:r>
      <w:r>
        <w:rPr>
          <w:color w:val="auto"/>
          <w:spacing w:val="-3"/>
          <w:sz w:val="21"/>
          <w:szCs w:val="21"/>
        </w:rPr>
        <w:t>日</w:t>
      </w:r>
      <w:r>
        <w:rPr>
          <w:color w:val="auto"/>
          <w:sz w:val="21"/>
          <w:szCs w:val="21"/>
        </w:rPr>
        <w:t>期</w:t>
      </w:r>
      <w:r>
        <w:rPr>
          <w:color w:val="auto"/>
          <w:spacing w:val="-14"/>
          <w:sz w:val="21"/>
          <w:szCs w:val="21"/>
        </w:rPr>
        <w:t>）</w:t>
      </w:r>
      <w:r>
        <w:rPr>
          <w:color w:val="auto"/>
          <w:sz w:val="21"/>
          <w:szCs w:val="21"/>
        </w:rPr>
        <w:t>之日失效。</w:t>
      </w:r>
    </w:p>
    <w:p>
      <w:pPr>
        <w:pStyle w:val="19"/>
        <w:numPr>
          <w:ilvl w:val="0"/>
          <w:numId w:val="7"/>
        </w:numPr>
        <w:tabs>
          <w:tab w:val="left" w:pos="1205"/>
        </w:tabs>
        <w:spacing w:before="31" w:line="312" w:lineRule="auto"/>
        <w:ind w:right="361" w:firstLine="480"/>
        <w:jc w:val="both"/>
        <w:rPr>
          <w:color w:val="auto"/>
          <w:sz w:val="21"/>
          <w:szCs w:val="21"/>
        </w:rPr>
      </w:pPr>
      <w:r>
        <w:rPr>
          <w:color w:val="auto"/>
          <w:sz w:val="21"/>
          <w:szCs w:val="21"/>
        </w:rPr>
        <w:t xml:space="preserve">在本担保有效期内，因承包人违反合同约定的义务给你方造成经济损失时， </w:t>
      </w:r>
      <w:r>
        <w:rPr>
          <w:color w:val="auto"/>
          <w:spacing w:val="-2"/>
          <w:sz w:val="21"/>
          <w:szCs w:val="21"/>
        </w:rPr>
        <w:t xml:space="preserve">我方在收到你方以书面形式提出的在担保金额内的赔偿要求后，在 </w:t>
      </w:r>
      <w:r>
        <w:rPr>
          <w:color w:val="auto"/>
          <w:sz w:val="21"/>
          <w:szCs w:val="21"/>
        </w:rPr>
        <w:t>7</w:t>
      </w:r>
      <w:r>
        <w:rPr>
          <w:color w:val="auto"/>
          <w:spacing w:val="17"/>
          <w:sz w:val="21"/>
          <w:szCs w:val="21"/>
        </w:rPr>
        <w:t xml:space="preserve"> </w:t>
      </w:r>
      <w:r>
        <w:rPr>
          <w:color w:val="auto"/>
          <w:sz w:val="21"/>
          <w:szCs w:val="21"/>
        </w:rPr>
        <w:t>日内无条件支付，无须你方出具证明或陈述理由。</w:t>
      </w:r>
    </w:p>
    <w:p>
      <w:pPr>
        <w:pStyle w:val="19"/>
        <w:numPr>
          <w:ilvl w:val="0"/>
          <w:numId w:val="7"/>
        </w:numPr>
        <w:tabs>
          <w:tab w:val="left" w:pos="1205"/>
        </w:tabs>
        <w:spacing w:before="2" w:line="312" w:lineRule="auto"/>
        <w:ind w:right="263" w:firstLine="480"/>
        <w:rPr>
          <w:color w:val="auto"/>
          <w:sz w:val="21"/>
          <w:szCs w:val="21"/>
        </w:rPr>
      </w:pPr>
      <w:r>
        <w:rPr>
          <w:color w:val="auto"/>
          <w:spacing w:val="-5"/>
          <w:sz w:val="21"/>
          <w:szCs w:val="21"/>
        </w:rPr>
        <w:t xml:space="preserve">发包人和承包人按合同条款第 </w:t>
      </w:r>
      <w:r>
        <w:rPr>
          <w:color w:val="auto"/>
          <w:sz w:val="21"/>
          <w:szCs w:val="21"/>
        </w:rPr>
        <w:t xml:space="preserve">15 </w:t>
      </w:r>
      <w:r>
        <w:rPr>
          <w:color w:val="auto"/>
          <w:spacing w:val="-4"/>
          <w:sz w:val="21"/>
          <w:szCs w:val="21"/>
        </w:rPr>
        <w:t>条变更合同时，无论我方是否收到该变更， 我方承担本担保规定的义务不变。</w:t>
      </w:r>
    </w:p>
    <w:p>
      <w:pPr>
        <w:pStyle w:val="6"/>
        <w:rPr>
          <w:color w:val="auto"/>
          <w:sz w:val="21"/>
          <w:szCs w:val="21"/>
        </w:rPr>
      </w:pPr>
    </w:p>
    <w:p>
      <w:pPr>
        <w:pStyle w:val="6"/>
        <w:rPr>
          <w:color w:val="auto"/>
          <w:sz w:val="21"/>
          <w:szCs w:val="21"/>
        </w:rPr>
      </w:pPr>
    </w:p>
    <w:p>
      <w:pPr>
        <w:pStyle w:val="6"/>
        <w:tabs>
          <w:tab w:val="left" w:pos="7545"/>
          <w:tab w:val="left" w:pos="8880"/>
        </w:tabs>
        <w:spacing w:before="186" w:line="312" w:lineRule="auto"/>
        <w:ind w:left="3921" w:right="262"/>
        <w:rPr>
          <w:rFonts w:hint="eastAsia"/>
          <w:color w:val="auto"/>
          <w:sz w:val="21"/>
          <w:szCs w:val="21"/>
        </w:rPr>
      </w:pPr>
      <w:r>
        <w:rPr>
          <w:color w:val="auto"/>
          <w:sz w:val="21"/>
          <w:szCs w:val="21"/>
        </w:rPr>
        <w:t>担保人名称：</w:t>
      </w:r>
      <w:r>
        <w:rPr>
          <w:color w:val="auto"/>
          <w:sz w:val="21"/>
          <w:szCs w:val="21"/>
          <w:u w:val="single"/>
        </w:rPr>
        <w:tab/>
      </w:r>
      <w:r>
        <w:rPr>
          <w:color w:val="auto"/>
          <w:sz w:val="21"/>
          <w:szCs w:val="21"/>
          <w:u w:val="single"/>
        </w:rPr>
        <w:t>（</w:t>
      </w:r>
      <w:r>
        <w:rPr>
          <w:color w:val="auto"/>
          <w:sz w:val="21"/>
          <w:szCs w:val="21"/>
        </w:rPr>
        <w:t xml:space="preserve">盖单位章） </w:t>
      </w:r>
    </w:p>
    <w:p>
      <w:pPr>
        <w:pStyle w:val="6"/>
        <w:tabs>
          <w:tab w:val="left" w:pos="7781"/>
          <w:tab w:val="left" w:pos="8880"/>
        </w:tabs>
        <w:spacing w:before="186" w:line="312" w:lineRule="auto"/>
        <w:ind w:left="3921" w:right="262"/>
        <w:rPr>
          <w:rFonts w:hint="eastAsia"/>
          <w:color w:val="auto"/>
          <w:sz w:val="21"/>
          <w:szCs w:val="21"/>
        </w:rPr>
      </w:pPr>
      <w:r>
        <w:rPr>
          <w:color w:val="auto"/>
          <w:sz w:val="21"/>
          <w:szCs w:val="21"/>
        </w:rPr>
        <w:t>法定代表人或其委托代理人</w:t>
      </w:r>
      <w:r>
        <w:rPr>
          <w:color w:val="auto"/>
          <w:sz w:val="21"/>
          <w:szCs w:val="21"/>
          <w:u w:val="single"/>
        </w:rPr>
        <w:t xml:space="preserve">：       </w:t>
      </w:r>
      <w:r>
        <w:rPr>
          <w:color w:val="auto"/>
          <w:spacing w:val="17"/>
          <w:sz w:val="21"/>
          <w:szCs w:val="21"/>
          <w:u w:val="single"/>
        </w:rPr>
        <w:t xml:space="preserve"> </w:t>
      </w:r>
      <w:r>
        <w:rPr>
          <w:color w:val="auto"/>
          <w:sz w:val="21"/>
          <w:szCs w:val="21"/>
          <w:u w:val="single"/>
        </w:rPr>
        <w:t>（</w:t>
      </w:r>
      <w:r>
        <w:rPr>
          <w:color w:val="auto"/>
          <w:sz w:val="21"/>
          <w:szCs w:val="21"/>
        </w:rPr>
        <w:t xml:space="preserve">签字） </w:t>
      </w:r>
    </w:p>
    <w:p>
      <w:pPr>
        <w:pStyle w:val="6"/>
        <w:tabs>
          <w:tab w:val="left" w:pos="7781"/>
          <w:tab w:val="left" w:pos="8880"/>
        </w:tabs>
        <w:spacing w:before="186" w:line="312" w:lineRule="auto"/>
        <w:ind w:left="3921" w:right="262"/>
        <w:rPr>
          <w:color w:val="auto"/>
          <w:sz w:val="21"/>
          <w:szCs w:val="21"/>
        </w:rPr>
      </w:pPr>
      <w:r>
        <w:rPr>
          <w:color w:val="auto"/>
          <w:sz w:val="21"/>
          <w:szCs w:val="21"/>
        </w:rPr>
        <w:t>地 址 ：</w:t>
      </w:r>
      <w:r>
        <w:rPr>
          <w:color w:val="auto"/>
          <w:sz w:val="21"/>
          <w:szCs w:val="21"/>
          <w:u w:val="single"/>
        </w:rPr>
        <w:t xml:space="preserve"> </w:t>
      </w:r>
      <w:r>
        <w:rPr>
          <w:color w:val="auto"/>
          <w:sz w:val="21"/>
          <w:szCs w:val="21"/>
          <w:u w:val="single"/>
        </w:rPr>
        <w:tab/>
      </w:r>
      <w:r>
        <w:rPr>
          <w:color w:val="auto"/>
          <w:sz w:val="21"/>
          <w:szCs w:val="21"/>
          <w:u w:val="single"/>
        </w:rPr>
        <w:tab/>
      </w:r>
    </w:p>
    <w:p>
      <w:pPr>
        <w:pStyle w:val="6"/>
        <w:tabs>
          <w:tab w:val="left" w:pos="4641"/>
          <w:tab w:val="left" w:pos="8880"/>
          <w:tab w:val="left" w:pos="9017"/>
        </w:tabs>
        <w:spacing w:before="1" w:line="312" w:lineRule="auto"/>
        <w:ind w:left="3921" w:right="466"/>
        <w:rPr>
          <w:rFonts w:hint="eastAsia"/>
          <w:color w:val="auto"/>
          <w:sz w:val="21"/>
          <w:szCs w:val="21"/>
          <w:u w:val="single"/>
        </w:rPr>
      </w:pPr>
      <w:r>
        <w:rPr>
          <w:color w:val="auto"/>
          <w:sz w:val="21"/>
          <w:szCs w:val="21"/>
        </w:rPr>
        <w:t>邮政编码：</w:t>
      </w:r>
      <w:r>
        <w:rPr>
          <w:color w:val="auto"/>
          <w:sz w:val="21"/>
          <w:szCs w:val="21"/>
          <w:u w:val="single"/>
        </w:rPr>
        <w:t xml:space="preserve"> </w:t>
      </w:r>
      <w:r>
        <w:rPr>
          <w:color w:val="auto"/>
          <w:sz w:val="21"/>
          <w:szCs w:val="21"/>
          <w:u w:val="single"/>
        </w:rPr>
        <w:tab/>
      </w:r>
      <w:r>
        <w:rPr>
          <w:color w:val="auto"/>
          <w:sz w:val="21"/>
          <w:szCs w:val="21"/>
          <w:u w:val="single"/>
        </w:rPr>
        <w:t xml:space="preserve"> </w:t>
      </w:r>
    </w:p>
    <w:p>
      <w:pPr>
        <w:pStyle w:val="6"/>
        <w:tabs>
          <w:tab w:val="left" w:pos="4641"/>
          <w:tab w:val="left" w:pos="8880"/>
          <w:tab w:val="left" w:pos="9017"/>
        </w:tabs>
        <w:spacing w:before="1" w:line="312" w:lineRule="auto"/>
        <w:ind w:left="3921" w:right="466"/>
        <w:rPr>
          <w:rFonts w:hint="eastAsia"/>
          <w:color w:val="auto"/>
          <w:sz w:val="21"/>
          <w:szCs w:val="21"/>
          <w:u w:val="single"/>
        </w:rPr>
      </w:pPr>
      <w:r>
        <w:rPr>
          <w:color w:val="auto"/>
          <w:sz w:val="21"/>
          <w:szCs w:val="21"/>
        </w:rPr>
        <w:t>电</w:t>
      </w:r>
      <w:r>
        <w:rPr>
          <w:color w:val="auto"/>
          <w:sz w:val="21"/>
          <w:szCs w:val="21"/>
        </w:rPr>
        <w:tab/>
      </w:r>
      <w:r>
        <w:rPr>
          <w:color w:val="auto"/>
          <w:sz w:val="21"/>
          <w:szCs w:val="21"/>
        </w:rPr>
        <w:t>话：</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u w:val="single"/>
        </w:rPr>
        <w:t xml:space="preserve"> </w:t>
      </w:r>
    </w:p>
    <w:p>
      <w:pPr>
        <w:pStyle w:val="6"/>
        <w:tabs>
          <w:tab w:val="left" w:pos="4641"/>
          <w:tab w:val="left" w:pos="8880"/>
          <w:tab w:val="left" w:pos="9017"/>
        </w:tabs>
        <w:spacing w:before="1" w:line="312" w:lineRule="auto"/>
        <w:ind w:left="3921" w:right="466"/>
        <w:rPr>
          <w:color w:val="auto"/>
          <w:sz w:val="21"/>
          <w:szCs w:val="21"/>
        </w:rPr>
      </w:pPr>
      <w:r>
        <w:rPr>
          <w:color w:val="auto"/>
          <w:sz w:val="21"/>
          <w:szCs w:val="21"/>
        </w:rPr>
        <w:t>传</w:t>
      </w:r>
      <w:r>
        <w:rPr>
          <w:color w:val="auto"/>
          <w:sz w:val="21"/>
          <w:szCs w:val="21"/>
        </w:rPr>
        <w:tab/>
      </w:r>
      <w:r>
        <w:rPr>
          <w:color w:val="auto"/>
          <w:sz w:val="21"/>
          <w:szCs w:val="21"/>
        </w:rPr>
        <w:t>真：</w:t>
      </w:r>
      <w:r>
        <w:rPr>
          <w:color w:val="auto"/>
          <w:sz w:val="21"/>
          <w:szCs w:val="21"/>
          <w:u w:val="single"/>
        </w:rPr>
        <w:t xml:space="preserve"> </w:t>
      </w:r>
      <w:r>
        <w:rPr>
          <w:color w:val="auto"/>
          <w:sz w:val="21"/>
          <w:szCs w:val="21"/>
          <w:u w:val="single"/>
        </w:rPr>
        <w:tab/>
      </w:r>
      <w:r>
        <w:rPr>
          <w:color w:val="auto"/>
          <w:sz w:val="21"/>
          <w:szCs w:val="21"/>
          <w:u w:val="single"/>
        </w:rPr>
        <w:tab/>
      </w:r>
    </w:p>
    <w:p>
      <w:pPr>
        <w:pStyle w:val="6"/>
        <w:spacing w:before="93"/>
        <w:ind w:firstLine="420" w:firstLineChars="200"/>
        <w:jc w:val="right"/>
        <w:rPr>
          <w:color w:val="auto"/>
          <w:sz w:val="21"/>
          <w:szCs w:val="21"/>
        </w:rPr>
      </w:pPr>
      <w:r>
        <w:rPr>
          <w:color w:val="auto"/>
          <w:sz w:val="21"/>
          <w:szCs w:val="21"/>
          <w:u w:val="single"/>
        </w:rPr>
        <w:t xml:space="preserve"> </w:t>
      </w:r>
      <w:r>
        <w:rPr>
          <w:color w:val="auto"/>
          <w:sz w:val="21"/>
          <w:szCs w:val="21"/>
          <w:u w:val="single"/>
        </w:rPr>
        <w:tab/>
      </w:r>
      <w:r>
        <w:rPr>
          <w:color w:val="auto"/>
          <w:spacing w:val="5"/>
          <w:sz w:val="21"/>
          <w:szCs w:val="21"/>
        </w:rPr>
        <w:t xml:space="preserve"> </w:t>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rFonts w:hint="eastAsia"/>
          <w:color w:val="auto"/>
          <w:sz w:val="21"/>
          <w:szCs w:val="21"/>
          <w:u w:val="single"/>
        </w:rPr>
        <w:t xml:space="preserve"> </w:t>
      </w:r>
      <w:r>
        <w:rPr>
          <w:color w:val="auto"/>
          <w:sz w:val="21"/>
          <w:szCs w:val="21"/>
          <w:u w:val="single"/>
        </w:rPr>
        <w:tab/>
      </w:r>
      <w:r>
        <w:rPr>
          <w:color w:val="auto"/>
          <w:sz w:val="21"/>
          <w:szCs w:val="21"/>
        </w:rPr>
        <w:t>日</w:t>
      </w:r>
    </w:p>
    <w:p>
      <w:pPr>
        <w:pStyle w:val="6"/>
        <w:spacing w:before="93"/>
        <w:ind w:firstLine="420" w:firstLineChars="200"/>
        <w:jc w:val="right"/>
        <w:rPr>
          <w:color w:val="auto"/>
          <w:sz w:val="21"/>
          <w:szCs w:val="21"/>
        </w:rPr>
      </w:pPr>
    </w:p>
    <w:p>
      <w:pPr>
        <w:pStyle w:val="6"/>
        <w:spacing w:before="93"/>
        <w:ind w:firstLine="420" w:firstLineChars="200"/>
        <w:jc w:val="right"/>
        <w:rPr>
          <w:color w:val="auto"/>
          <w:sz w:val="21"/>
          <w:szCs w:val="21"/>
        </w:rPr>
      </w:pPr>
    </w:p>
    <w:p>
      <w:pPr>
        <w:pStyle w:val="6"/>
        <w:spacing w:before="93"/>
        <w:ind w:firstLine="420" w:firstLineChars="200"/>
        <w:jc w:val="right"/>
        <w:rPr>
          <w:color w:val="auto"/>
          <w:sz w:val="21"/>
          <w:szCs w:val="21"/>
        </w:rPr>
      </w:pPr>
    </w:p>
    <w:p>
      <w:pPr>
        <w:pStyle w:val="6"/>
        <w:spacing w:before="93"/>
        <w:jc w:val="both"/>
        <w:rPr>
          <w:color w:val="auto"/>
          <w:sz w:val="21"/>
          <w:szCs w:val="21"/>
        </w:rPr>
      </w:pPr>
    </w:p>
    <w:p>
      <w:pPr>
        <w:pStyle w:val="6"/>
        <w:spacing w:before="93"/>
        <w:jc w:val="center"/>
        <w:rPr>
          <w:rFonts w:hint="eastAsia" w:ascii="黑体" w:eastAsia="黑体"/>
          <w:color w:val="auto"/>
          <w:sz w:val="56"/>
        </w:rPr>
      </w:pPr>
    </w:p>
    <w:p>
      <w:pPr>
        <w:pStyle w:val="6"/>
        <w:spacing w:before="93"/>
        <w:jc w:val="center"/>
        <w:rPr>
          <w:rFonts w:hint="eastAsia" w:ascii="黑体" w:eastAsia="黑体"/>
          <w:color w:val="auto"/>
          <w:sz w:val="56"/>
        </w:rPr>
      </w:pPr>
      <w:r>
        <w:rPr>
          <w:rFonts w:hint="eastAsia" w:ascii="黑体" w:eastAsia="黑体"/>
          <w:color w:val="auto"/>
          <w:sz w:val="56"/>
        </w:rPr>
        <w:t>第五章</w:t>
      </w:r>
      <w:r>
        <w:rPr>
          <w:rFonts w:hint="eastAsia" w:ascii="黑体" w:eastAsia="黑体"/>
          <w:color w:val="auto"/>
          <w:sz w:val="56"/>
        </w:rPr>
        <w:tab/>
      </w:r>
      <w:r>
        <w:rPr>
          <w:rFonts w:hint="eastAsia" w:ascii="黑体" w:eastAsia="黑体"/>
          <w:color w:val="auto"/>
          <w:sz w:val="56"/>
        </w:rPr>
        <w:t>工程量清单</w:t>
      </w:r>
    </w:p>
    <w:p>
      <w:pPr>
        <w:spacing w:line="360" w:lineRule="auto"/>
        <w:ind w:firstLine="482" w:firstLineChars="200"/>
        <w:jc w:val="center"/>
        <w:rPr>
          <w:rFonts w:hint="eastAsia" w:eastAsia="宋体"/>
          <w:b/>
          <w:color w:val="auto"/>
          <w:sz w:val="24"/>
          <w:szCs w:val="24"/>
          <w:lang w:eastAsia="zh-CN"/>
        </w:rPr>
      </w:pPr>
      <w:r>
        <w:rPr>
          <w:rFonts w:hint="eastAsia"/>
          <w:b/>
          <w:color w:val="auto"/>
          <w:sz w:val="24"/>
          <w:szCs w:val="24"/>
          <w:lang w:eastAsia="zh-CN"/>
        </w:rPr>
        <w:t>（</w:t>
      </w:r>
      <w:r>
        <w:rPr>
          <w:rFonts w:hint="eastAsia"/>
          <w:b/>
          <w:color w:val="auto"/>
          <w:sz w:val="24"/>
          <w:szCs w:val="24"/>
          <w:lang w:val="en-US" w:eastAsia="zh-CN"/>
        </w:rPr>
        <w:t>1</w:t>
      </w:r>
      <w:r>
        <w:rPr>
          <w:rFonts w:hint="eastAsia"/>
          <w:b/>
          <w:color w:val="auto"/>
          <w:sz w:val="24"/>
          <w:szCs w:val="24"/>
          <w:lang w:eastAsia="zh-CN"/>
        </w:rPr>
        <w:t>）</w:t>
      </w:r>
      <w:r>
        <w:rPr>
          <w:rFonts w:hint="eastAsia"/>
          <w:b/>
          <w:color w:val="auto"/>
          <w:sz w:val="24"/>
          <w:szCs w:val="24"/>
        </w:rPr>
        <w:t>工程量清单说明</w:t>
      </w:r>
    </w:p>
    <w:p>
      <w:pPr>
        <w:spacing w:line="360" w:lineRule="auto"/>
        <w:ind w:firstLine="482" w:firstLineChars="200"/>
        <w:rPr>
          <w:rFonts w:hint="eastAsia"/>
          <w:color w:val="auto"/>
        </w:rPr>
      </w:pPr>
      <w:r>
        <w:rPr>
          <w:rFonts w:hint="eastAsia"/>
          <w:b/>
          <w:color w:val="auto"/>
          <w:sz w:val="24"/>
          <w:szCs w:val="24"/>
        </w:rPr>
        <w:t>1</w:t>
      </w:r>
      <w:r>
        <w:rPr>
          <w:b/>
          <w:color w:val="auto"/>
          <w:sz w:val="24"/>
          <w:szCs w:val="24"/>
        </w:rPr>
        <w:t>.</w:t>
      </w:r>
      <w:r>
        <w:rPr>
          <w:rFonts w:hint="eastAsia"/>
          <w:b/>
          <w:color w:val="auto"/>
          <w:sz w:val="24"/>
          <w:szCs w:val="24"/>
        </w:rPr>
        <w:t>工程量清单说明</w:t>
      </w:r>
    </w:p>
    <w:p>
      <w:pPr>
        <w:spacing w:line="360" w:lineRule="auto"/>
        <w:ind w:firstLine="420" w:firstLineChars="200"/>
        <w:rPr>
          <w:color w:val="auto"/>
          <w:sz w:val="21"/>
          <w:szCs w:val="21"/>
        </w:rPr>
      </w:pPr>
      <w:r>
        <w:rPr>
          <w:rFonts w:hint="eastAsia"/>
          <w:color w:val="auto"/>
          <w:sz w:val="21"/>
          <w:szCs w:val="21"/>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pPr>
        <w:spacing w:line="360" w:lineRule="auto"/>
        <w:ind w:firstLine="420" w:firstLineChars="200"/>
        <w:rPr>
          <w:color w:val="auto"/>
          <w:sz w:val="21"/>
          <w:szCs w:val="21"/>
        </w:rPr>
      </w:pPr>
      <w:r>
        <w:rPr>
          <w:rFonts w:hint="eastAsia"/>
          <w:color w:val="auto"/>
          <w:sz w:val="21"/>
          <w:szCs w:val="21"/>
        </w:rPr>
        <w:t>1.2本工程量清单应与招标文件中的投标人须知、通用合同条款、专用合同条款、工程量清单计量规则、技术规范及图纸等一起阅读和理解。</w:t>
      </w:r>
    </w:p>
    <w:p>
      <w:pPr>
        <w:spacing w:line="360" w:lineRule="auto"/>
        <w:ind w:firstLine="420" w:firstLineChars="200"/>
        <w:rPr>
          <w:color w:val="auto"/>
          <w:sz w:val="21"/>
          <w:szCs w:val="21"/>
        </w:rPr>
      </w:pPr>
      <w:r>
        <w:rPr>
          <w:rFonts w:hint="eastAsia"/>
          <w:color w:val="auto"/>
          <w:sz w:val="21"/>
          <w:szCs w:val="21"/>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pPr>
        <w:spacing w:line="360" w:lineRule="auto"/>
        <w:ind w:firstLine="420" w:firstLineChars="200"/>
        <w:rPr>
          <w:color w:val="auto"/>
          <w:sz w:val="21"/>
          <w:szCs w:val="21"/>
        </w:rPr>
      </w:pPr>
      <w:r>
        <w:rPr>
          <w:rFonts w:hint="eastAsia"/>
          <w:color w:val="auto"/>
          <w:sz w:val="21"/>
          <w:szCs w:val="21"/>
        </w:rPr>
        <w:t>1.4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pPr>
        <w:spacing w:line="360" w:lineRule="auto"/>
        <w:ind w:firstLine="420" w:firstLineChars="200"/>
        <w:rPr>
          <w:color w:val="auto"/>
          <w:sz w:val="21"/>
          <w:szCs w:val="21"/>
        </w:rPr>
      </w:pPr>
      <w:r>
        <w:rPr>
          <w:rFonts w:hint="eastAsia"/>
          <w:color w:val="auto"/>
          <w:sz w:val="21"/>
          <w:szCs w:val="21"/>
        </w:rPr>
        <w:t>1.5对作业和材料的一般说明或规定，未重复写入工程量清单内，在给工程量清单各子目标价前，应参阅第七章“技术规范”的有关内容。</w:t>
      </w:r>
    </w:p>
    <w:p>
      <w:pPr>
        <w:spacing w:line="360" w:lineRule="auto"/>
        <w:ind w:firstLine="420" w:firstLineChars="200"/>
        <w:rPr>
          <w:color w:val="auto"/>
          <w:sz w:val="21"/>
          <w:szCs w:val="21"/>
        </w:rPr>
      </w:pPr>
      <w:r>
        <w:rPr>
          <w:rFonts w:hint="eastAsia"/>
          <w:color w:val="auto"/>
          <w:sz w:val="21"/>
          <w:szCs w:val="21"/>
        </w:rPr>
        <w:t>1.6工程量清单中所列工程量的变动，丝毫不会降低或影响合同条款的效力，也不免除承包人按规定的标准进行施工和修复缺陷的责任。</w:t>
      </w:r>
    </w:p>
    <w:p>
      <w:pPr>
        <w:spacing w:line="360" w:lineRule="auto"/>
        <w:ind w:firstLine="420" w:firstLineChars="200"/>
        <w:rPr>
          <w:rFonts w:hint="eastAsia"/>
          <w:color w:val="auto"/>
          <w:sz w:val="21"/>
          <w:szCs w:val="21"/>
        </w:rPr>
      </w:pPr>
      <w:r>
        <w:rPr>
          <w:rFonts w:hint="eastAsia"/>
          <w:color w:val="auto"/>
          <w:sz w:val="21"/>
          <w:szCs w:val="21"/>
        </w:rPr>
        <w:t>1.7图纸中所列的工程数量表及数量汇总表仅是提供资料，不是工程量清单的外延。当图纸与工程量清单所列数量不一致时，以工程量清单所列数量作为报价的依据。</w:t>
      </w:r>
    </w:p>
    <w:p>
      <w:pPr>
        <w:spacing w:line="360" w:lineRule="auto"/>
        <w:ind w:firstLine="482" w:firstLineChars="200"/>
        <w:rPr>
          <w:rFonts w:hint="eastAsia"/>
          <w:b/>
          <w:color w:val="auto"/>
          <w:sz w:val="24"/>
          <w:szCs w:val="24"/>
        </w:rPr>
      </w:pPr>
      <w:r>
        <w:rPr>
          <w:rFonts w:hint="eastAsia"/>
          <w:b/>
          <w:color w:val="auto"/>
          <w:sz w:val="24"/>
          <w:szCs w:val="24"/>
        </w:rPr>
        <w:t>2.投标报价说明</w:t>
      </w:r>
    </w:p>
    <w:p>
      <w:pPr>
        <w:spacing w:line="360" w:lineRule="auto"/>
        <w:ind w:firstLine="420" w:firstLineChars="200"/>
        <w:rPr>
          <w:color w:val="auto"/>
          <w:sz w:val="21"/>
          <w:szCs w:val="21"/>
        </w:rPr>
      </w:pPr>
      <w:r>
        <w:rPr>
          <w:rFonts w:hint="eastAsia"/>
          <w:color w:val="auto"/>
          <w:sz w:val="21"/>
          <w:szCs w:val="21"/>
        </w:rPr>
        <w:t>2.1工程量清单中的每一子目须填入单价或价格，且只允许有一个报价。</w:t>
      </w:r>
    </w:p>
    <w:p>
      <w:pPr>
        <w:spacing w:line="360" w:lineRule="auto"/>
        <w:ind w:firstLine="420" w:firstLineChars="200"/>
        <w:rPr>
          <w:color w:val="auto"/>
          <w:sz w:val="21"/>
          <w:szCs w:val="21"/>
        </w:rPr>
      </w:pPr>
      <w:r>
        <w:rPr>
          <w:rFonts w:hint="eastAsia"/>
          <w:color w:val="auto"/>
          <w:sz w:val="21"/>
          <w:szCs w:val="21"/>
        </w:rPr>
        <w:t>2.2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pPr>
        <w:spacing w:line="360" w:lineRule="auto"/>
        <w:ind w:firstLine="420" w:firstLineChars="200"/>
        <w:rPr>
          <w:color w:val="auto"/>
          <w:sz w:val="21"/>
          <w:szCs w:val="21"/>
        </w:rPr>
      </w:pPr>
      <w:r>
        <w:rPr>
          <w:rFonts w:hint="eastAsia"/>
          <w:color w:val="auto"/>
          <w:sz w:val="21"/>
          <w:szCs w:val="21"/>
        </w:rPr>
        <w:t>2.3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pPr>
        <w:spacing w:line="360" w:lineRule="auto"/>
        <w:ind w:firstLine="420" w:firstLineChars="200"/>
        <w:rPr>
          <w:color w:val="auto"/>
          <w:sz w:val="21"/>
          <w:szCs w:val="21"/>
        </w:rPr>
      </w:pPr>
      <w:r>
        <w:rPr>
          <w:rFonts w:hint="eastAsia"/>
          <w:color w:val="auto"/>
          <w:sz w:val="21"/>
          <w:szCs w:val="21"/>
        </w:rPr>
        <w:t>2.4符合合同条款规定的全部费用应认为已被计入有标价的工程量清单所列各子目之中，未列子目不予计量的工作，其费用应视为已分摊在本合同工程的有关子目的单价或总额价之中。</w:t>
      </w:r>
    </w:p>
    <w:p>
      <w:pPr>
        <w:spacing w:line="360" w:lineRule="auto"/>
        <w:ind w:firstLine="420" w:firstLineChars="200"/>
        <w:rPr>
          <w:color w:val="auto"/>
          <w:sz w:val="21"/>
          <w:szCs w:val="21"/>
        </w:rPr>
      </w:pPr>
      <w:r>
        <w:rPr>
          <w:rFonts w:hint="eastAsia"/>
          <w:color w:val="auto"/>
          <w:sz w:val="21"/>
          <w:szCs w:val="21"/>
        </w:rPr>
        <w:t>2.5承包人用于本合同工程的各类装备的提供、运输、维护、拆卸、拼装等支付的费用，已包括在工程量清单的单价与总额价之中。</w:t>
      </w:r>
    </w:p>
    <w:p>
      <w:pPr>
        <w:spacing w:line="360" w:lineRule="auto"/>
        <w:ind w:firstLine="420" w:firstLineChars="200"/>
        <w:rPr>
          <w:color w:val="auto"/>
          <w:sz w:val="21"/>
          <w:szCs w:val="21"/>
        </w:rPr>
      </w:pPr>
      <w:r>
        <w:rPr>
          <w:rFonts w:hint="eastAsia"/>
          <w:color w:val="auto"/>
          <w:sz w:val="21"/>
          <w:szCs w:val="21"/>
        </w:rPr>
        <w:t>2.6工程量清单中各项金额均以人民币（元）结算。</w:t>
      </w:r>
    </w:p>
    <w:p>
      <w:pPr>
        <w:spacing w:line="360" w:lineRule="auto"/>
        <w:ind w:firstLine="420" w:firstLineChars="200"/>
        <w:rPr>
          <w:rFonts w:hint="eastAsia"/>
          <w:color w:val="auto"/>
          <w:sz w:val="21"/>
          <w:szCs w:val="21"/>
        </w:rPr>
      </w:pPr>
      <w:r>
        <w:rPr>
          <w:rFonts w:hint="eastAsia"/>
          <w:color w:val="auto"/>
          <w:sz w:val="21"/>
          <w:szCs w:val="21"/>
        </w:rPr>
        <w:t>2.7暂列金额（不含计日工总额）的数量及拟用子目的说明：</w:t>
      </w:r>
      <w:r>
        <w:rPr>
          <w:rFonts w:hint="eastAsia"/>
          <w:color w:val="auto"/>
          <w:sz w:val="21"/>
          <w:szCs w:val="21"/>
          <w:u w:val="single"/>
        </w:rPr>
        <w:t>本工程暂列金额（不含计日工总额）为</w:t>
      </w:r>
      <w:r>
        <w:rPr>
          <w:rFonts w:hint="eastAsia"/>
          <w:color w:val="auto"/>
          <w:sz w:val="21"/>
          <w:szCs w:val="21"/>
          <w:u w:val="single"/>
          <w:lang w:val="en-US"/>
        </w:rPr>
        <w:t>/</w:t>
      </w:r>
      <w:r>
        <w:rPr>
          <w:rFonts w:hint="eastAsia"/>
          <w:color w:val="auto"/>
          <w:sz w:val="21"/>
          <w:szCs w:val="21"/>
          <w:u w:val="single"/>
        </w:rPr>
        <w:t>万元，由招标人掌握使用</w:t>
      </w:r>
      <w:r>
        <w:rPr>
          <w:rFonts w:hint="eastAsia"/>
          <w:color w:val="auto"/>
          <w:sz w:val="21"/>
          <w:szCs w:val="21"/>
        </w:rPr>
        <w:t>。</w:t>
      </w:r>
    </w:p>
    <w:p>
      <w:pPr>
        <w:spacing w:line="360" w:lineRule="auto"/>
        <w:ind w:firstLine="420" w:firstLineChars="200"/>
        <w:rPr>
          <w:color w:val="auto"/>
          <w:sz w:val="24"/>
          <w:szCs w:val="24"/>
        </w:rPr>
      </w:pPr>
      <w:r>
        <w:rPr>
          <w:rFonts w:hint="eastAsia"/>
          <w:color w:val="auto"/>
          <w:sz w:val="21"/>
          <w:szCs w:val="21"/>
        </w:rPr>
        <w:t>2.8暂估价的数量及拟用子目的说明：</w:t>
      </w:r>
      <w:r>
        <w:rPr>
          <w:color w:val="auto"/>
          <w:sz w:val="21"/>
          <w:szCs w:val="21"/>
          <w:u w:val="single"/>
        </w:rPr>
        <w:t>/</w:t>
      </w:r>
      <w:r>
        <w:rPr>
          <w:rFonts w:hint="eastAsia"/>
          <w:color w:val="auto"/>
          <w:sz w:val="21"/>
          <w:szCs w:val="21"/>
        </w:rPr>
        <w:t>。</w:t>
      </w:r>
    </w:p>
    <w:p>
      <w:pPr>
        <w:spacing w:line="360" w:lineRule="auto"/>
        <w:ind w:firstLine="482" w:firstLineChars="200"/>
        <w:rPr>
          <w:b/>
          <w:color w:val="auto"/>
          <w:sz w:val="24"/>
          <w:szCs w:val="24"/>
        </w:rPr>
      </w:pPr>
      <w:r>
        <w:rPr>
          <w:rFonts w:hint="eastAsia"/>
          <w:b/>
          <w:color w:val="auto"/>
          <w:sz w:val="24"/>
          <w:szCs w:val="24"/>
        </w:rPr>
        <w:t>3.计日工说明</w:t>
      </w:r>
    </w:p>
    <w:p>
      <w:pPr>
        <w:spacing w:line="360" w:lineRule="auto"/>
        <w:ind w:firstLine="480" w:firstLineChars="200"/>
        <w:rPr>
          <w:rFonts w:hint="eastAsia"/>
          <w:color w:val="auto"/>
          <w:sz w:val="24"/>
          <w:szCs w:val="24"/>
        </w:rPr>
      </w:pPr>
      <w:r>
        <w:rPr>
          <w:rFonts w:hint="eastAsia"/>
          <w:color w:val="auto"/>
          <w:sz w:val="24"/>
          <w:szCs w:val="24"/>
        </w:rPr>
        <w:t>无</w:t>
      </w:r>
    </w:p>
    <w:p>
      <w:pPr>
        <w:spacing w:line="360" w:lineRule="auto"/>
        <w:ind w:firstLine="482" w:firstLineChars="200"/>
        <w:rPr>
          <w:rFonts w:hint="eastAsia"/>
          <w:b/>
          <w:color w:val="auto"/>
          <w:sz w:val="24"/>
          <w:szCs w:val="24"/>
        </w:rPr>
      </w:pPr>
      <w:r>
        <w:rPr>
          <w:rFonts w:hint="eastAsia"/>
          <w:b/>
          <w:color w:val="auto"/>
          <w:sz w:val="24"/>
          <w:szCs w:val="24"/>
        </w:rPr>
        <w:t>4.其他说明</w:t>
      </w:r>
    </w:p>
    <w:p>
      <w:pPr>
        <w:spacing w:line="360" w:lineRule="auto"/>
        <w:ind w:firstLine="420" w:firstLineChars="200"/>
        <w:rPr>
          <w:rFonts w:hint="eastAsia"/>
          <w:color w:val="auto"/>
          <w:sz w:val="21"/>
          <w:szCs w:val="21"/>
        </w:rPr>
      </w:pPr>
      <w:r>
        <w:rPr>
          <w:rFonts w:hint="eastAsia"/>
          <w:color w:val="auto"/>
          <w:sz w:val="21"/>
          <w:szCs w:val="21"/>
        </w:rPr>
        <w:t>4</w:t>
      </w:r>
      <w:r>
        <w:rPr>
          <w:color w:val="auto"/>
          <w:sz w:val="21"/>
          <w:szCs w:val="21"/>
        </w:rPr>
        <w:t>.1</w:t>
      </w:r>
      <w:r>
        <w:rPr>
          <w:rFonts w:hint="eastAsia"/>
          <w:color w:val="auto"/>
          <w:sz w:val="21"/>
          <w:szCs w:val="21"/>
        </w:rPr>
        <w:t>编制依据：</w:t>
      </w:r>
    </w:p>
    <w:p>
      <w:pPr>
        <w:spacing w:line="360" w:lineRule="auto"/>
        <w:ind w:firstLine="420" w:firstLineChars="200"/>
        <w:rPr>
          <w:rFonts w:hint="eastAsia"/>
          <w:color w:val="auto"/>
          <w:sz w:val="21"/>
          <w:szCs w:val="21"/>
        </w:rPr>
      </w:pPr>
      <w:r>
        <w:rPr>
          <w:rFonts w:hint="eastAsia"/>
          <w:color w:val="auto"/>
          <w:sz w:val="21"/>
          <w:szCs w:val="21"/>
        </w:rPr>
        <w:t>（1）设计施工图。</w:t>
      </w:r>
    </w:p>
    <w:p>
      <w:pPr>
        <w:spacing w:line="360" w:lineRule="auto"/>
        <w:ind w:firstLine="420" w:firstLineChars="200"/>
        <w:rPr>
          <w:rFonts w:hint="eastAsia"/>
          <w:color w:val="auto"/>
          <w:sz w:val="21"/>
          <w:szCs w:val="21"/>
        </w:rPr>
      </w:pPr>
      <w:r>
        <w:rPr>
          <w:rFonts w:hint="eastAsia"/>
          <w:color w:val="auto"/>
          <w:sz w:val="21"/>
          <w:szCs w:val="21"/>
        </w:rPr>
        <w:t>（2）公路工程标准施工招标文件（</w:t>
      </w:r>
      <w:r>
        <w:rPr>
          <w:color w:val="auto"/>
          <w:sz w:val="21"/>
          <w:szCs w:val="21"/>
        </w:rPr>
        <w:t>2018</w:t>
      </w:r>
      <w:r>
        <w:rPr>
          <w:rFonts w:hint="eastAsia"/>
          <w:color w:val="auto"/>
          <w:sz w:val="21"/>
          <w:szCs w:val="21"/>
        </w:rPr>
        <w:t>版）。</w:t>
      </w:r>
    </w:p>
    <w:p>
      <w:pPr>
        <w:spacing w:line="360" w:lineRule="auto"/>
        <w:ind w:firstLine="420" w:firstLineChars="200"/>
        <w:rPr>
          <w:rFonts w:hint="eastAsia"/>
          <w:color w:val="auto"/>
          <w:sz w:val="21"/>
          <w:szCs w:val="21"/>
        </w:rPr>
      </w:pPr>
      <w:r>
        <w:rPr>
          <w:rFonts w:hint="eastAsia"/>
          <w:color w:val="auto"/>
          <w:sz w:val="21"/>
          <w:szCs w:val="21"/>
        </w:rPr>
        <w:t>4</w:t>
      </w:r>
      <w:r>
        <w:rPr>
          <w:color w:val="auto"/>
          <w:sz w:val="21"/>
          <w:szCs w:val="21"/>
        </w:rPr>
        <w:t>.2</w:t>
      </w:r>
      <w:r>
        <w:rPr>
          <w:rFonts w:hint="eastAsia"/>
          <w:color w:val="auto"/>
          <w:sz w:val="21"/>
          <w:szCs w:val="21"/>
        </w:rPr>
        <w:t>计量规则依据《公路工程标准施工招标文件（2018版）》，清单工程量从图纸细部进行汇总，部分计量规则说明如下：</w:t>
      </w:r>
    </w:p>
    <w:p>
      <w:pPr>
        <w:spacing w:line="360" w:lineRule="auto"/>
        <w:ind w:firstLine="420" w:firstLineChars="200"/>
        <w:rPr>
          <w:color w:val="auto"/>
          <w:sz w:val="21"/>
          <w:szCs w:val="21"/>
        </w:rPr>
      </w:pPr>
      <w:r>
        <w:rPr>
          <w:rFonts w:hint="eastAsia"/>
          <w:color w:val="auto"/>
          <w:sz w:val="21"/>
          <w:szCs w:val="21"/>
        </w:rPr>
        <w:t>（1）工程量清单中有标价的单价和总额价须包含税金，不得单列。中标的施工单位必须按照税务部门要求纳税。工程量清单中各项金额均以人民币（元）结算。</w:t>
      </w:r>
    </w:p>
    <w:p>
      <w:pPr>
        <w:spacing w:line="360" w:lineRule="auto"/>
        <w:ind w:firstLine="420" w:firstLineChars="200"/>
        <w:rPr>
          <w:color w:val="auto"/>
          <w:sz w:val="21"/>
          <w:szCs w:val="21"/>
        </w:rPr>
      </w:pPr>
      <w:r>
        <w:rPr>
          <w:rFonts w:hint="eastAsia"/>
          <w:color w:val="auto"/>
          <w:sz w:val="21"/>
          <w:szCs w:val="21"/>
        </w:rPr>
        <w:t>（2）本次招标的招标市场交易费由中标单位按相关规定，交付至相应单位，由投标人在投标报价时将因此增加的费用摊销入项目单价或总价中，不得单列，竣工决算时不再考虑。</w:t>
      </w:r>
    </w:p>
    <w:p>
      <w:pPr>
        <w:spacing w:line="360" w:lineRule="auto"/>
        <w:ind w:firstLine="420" w:firstLineChars="200"/>
        <w:rPr>
          <w:color w:val="auto"/>
          <w:sz w:val="21"/>
          <w:szCs w:val="21"/>
        </w:rPr>
      </w:pPr>
      <w:r>
        <w:rPr>
          <w:rFonts w:hint="eastAsia"/>
          <w:color w:val="auto"/>
          <w:sz w:val="21"/>
          <w:szCs w:val="21"/>
        </w:rPr>
        <w:t>（3）交竣工验收及施工中各种试验、检测费用由投标人自负。各投标人在投标时须将此项费用摊销至相应项目单价或总价中，投标时不得单列，竣工结算时不另行计量。</w:t>
      </w:r>
    </w:p>
    <w:p>
      <w:pPr>
        <w:spacing w:line="360" w:lineRule="auto"/>
        <w:ind w:firstLine="420" w:firstLineChars="200"/>
        <w:rPr>
          <w:color w:val="auto"/>
          <w:sz w:val="21"/>
          <w:szCs w:val="21"/>
        </w:rPr>
      </w:pPr>
      <w:r>
        <w:rPr>
          <w:rFonts w:hint="eastAsia"/>
          <w:color w:val="auto"/>
          <w:sz w:val="21"/>
          <w:szCs w:val="21"/>
        </w:rPr>
        <w:t>（4）中标人在工程</w:t>
      </w:r>
      <w:r>
        <w:rPr>
          <w:rFonts w:hint="eastAsia"/>
          <w:color w:val="auto"/>
          <w:sz w:val="21"/>
          <w:szCs w:val="21"/>
          <w:lang w:val="en-US"/>
        </w:rPr>
        <w:t>结算审核</w:t>
      </w:r>
      <w:r>
        <w:rPr>
          <w:rFonts w:hint="eastAsia"/>
          <w:color w:val="auto"/>
          <w:sz w:val="21"/>
          <w:szCs w:val="21"/>
        </w:rPr>
        <w:t>过程中必须认真配合</w:t>
      </w:r>
      <w:r>
        <w:rPr>
          <w:rFonts w:hint="eastAsia"/>
          <w:color w:val="auto"/>
          <w:sz w:val="21"/>
          <w:szCs w:val="21"/>
          <w:lang w:val="en-US"/>
        </w:rPr>
        <w:t>审核</w:t>
      </w:r>
      <w:r>
        <w:rPr>
          <w:rFonts w:hint="eastAsia"/>
          <w:color w:val="auto"/>
          <w:sz w:val="21"/>
          <w:szCs w:val="21"/>
        </w:rPr>
        <w:t>单位的</w:t>
      </w:r>
      <w:r>
        <w:rPr>
          <w:rFonts w:hint="eastAsia"/>
          <w:color w:val="auto"/>
          <w:sz w:val="21"/>
          <w:szCs w:val="21"/>
          <w:lang w:val="en-US"/>
        </w:rPr>
        <w:t>结算审核</w:t>
      </w:r>
      <w:r>
        <w:rPr>
          <w:rFonts w:hint="eastAsia"/>
          <w:color w:val="auto"/>
          <w:sz w:val="21"/>
          <w:szCs w:val="21"/>
        </w:rPr>
        <w:t>工作，由此发生的与之相关的一切费用须摊销至相应项目单价或总价中，投标时不得单列，竣工结算时不另行计量。</w:t>
      </w:r>
    </w:p>
    <w:p>
      <w:pPr>
        <w:spacing w:line="360" w:lineRule="auto"/>
        <w:ind w:firstLine="420" w:firstLineChars="200"/>
        <w:rPr>
          <w:color w:val="auto"/>
          <w:sz w:val="21"/>
          <w:szCs w:val="21"/>
        </w:rPr>
      </w:pPr>
      <w:r>
        <w:rPr>
          <w:rFonts w:hint="eastAsia"/>
          <w:color w:val="auto"/>
          <w:sz w:val="21"/>
          <w:szCs w:val="21"/>
        </w:rPr>
        <w:t>（5）中标人须按图施工，招标人提供的工程量清单未列项目（除本招标文件明确不在本次招标范围内的其他所有项目）而施工图纸已有的项目由投标人投标时自行摊销，将相应项目费用摊销到其他已列工程量清单的单价和总价中，竣工结算时除设计变更、业主签证外不再另列项目计算。</w:t>
      </w:r>
    </w:p>
    <w:p>
      <w:pPr>
        <w:spacing w:line="360" w:lineRule="auto"/>
        <w:ind w:firstLine="420" w:firstLineChars="200"/>
        <w:rPr>
          <w:rFonts w:hint="eastAsia"/>
          <w:color w:val="auto"/>
          <w:sz w:val="21"/>
          <w:szCs w:val="21"/>
        </w:rPr>
      </w:pPr>
      <w:r>
        <w:rPr>
          <w:rFonts w:hint="eastAsia"/>
          <w:color w:val="auto"/>
          <w:sz w:val="21"/>
          <w:szCs w:val="21"/>
        </w:rPr>
        <w:t>除图纸变更可调整价格外,原则上结算时价格不予调整。中标的施工单位必须按图施工，且确保质量，上道工序未经监理工程师验收合格，不得进入下道工序的施工。</w:t>
      </w:r>
    </w:p>
    <w:p>
      <w:pPr>
        <w:spacing w:line="360" w:lineRule="auto"/>
        <w:ind w:firstLine="420" w:firstLineChars="200"/>
        <w:rPr>
          <w:color w:val="auto"/>
          <w:sz w:val="21"/>
          <w:szCs w:val="21"/>
        </w:rPr>
      </w:pPr>
      <w:r>
        <w:rPr>
          <w:color w:val="auto"/>
          <w:sz w:val="21"/>
          <w:szCs w:val="21"/>
        </w:rPr>
        <w:t>本项目工程中施工用水、用电及施工场地由中标人自理。工程临时用地的租用手续和费用由承包人负责。投标人应将上述费用摊入相应项目单价，招标人不单独支付。</w:t>
      </w:r>
    </w:p>
    <w:p>
      <w:pPr>
        <w:spacing w:line="360" w:lineRule="auto"/>
        <w:ind w:firstLine="420" w:firstLineChars="200"/>
        <w:rPr>
          <w:rFonts w:hint="eastAsia"/>
          <w:color w:val="auto"/>
          <w:sz w:val="21"/>
          <w:szCs w:val="21"/>
        </w:rPr>
      </w:pPr>
      <w:r>
        <w:rPr>
          <w:rFonts w:hint="eastAsia"/>
          <w:color w:val="auto"/>
          <w:sz w:val="21"/>
          <w:szCs w:val="21"/>
          <w:lang w:val="en-US"/>
        </w:rPr>
        <w:t>本工程相关措施费（包含但不限于取电施工费、高空作业施工费、吊装费等），</w:t>
      </w:r>
      <w:r>
        <w:rPr>
          <w:color w:val="auto"/>
          <w:sz w:val="21"/>
          <w:szCs w:val="21"/>
        </w:rPr>
        <w:t>投标人应将上述费用摊入相应项目</w:t>
      </w:r>
      <w:r>
        <w:rPr>
          <w:rFonts w:hint="eastAsia"/>
          <w:color w:val="auto"/>
          <w:sz w:val="21"/>
          <w:szCs w:val="21"/>
        </w:rPr>
        <w:t>单价或总价中</w:t>
      </w:r>
      <w:r>
        <w:rPr>
          <w:color w:val="auto"/>
          <w:sz w:val="21"/>
          <w:szCs w:val="21"/>
        </w:rPr>
        <w:t>，招标人不单独支付。</w:t>
      </w:r>
    </w:p>
    <w:p>
      <w:pPr>
        <w:spacing w:line="360" w:lineRule="auto"/>
        <w:ind w:firstLine="315" w:firstLineChars="150"/>
        <w:rPr>
          <w:color w:val="auto"/>
          <w:sz w:val="21"/>
          <w:szCs w:val="21"/>
        </w:rPr>
      </w:pPr>
      <w:r>
        <w:rPr>
          <w:rFonts w:hint="eastAsia"/>
          <w:color w:val="auto"/>
          <w:sz w:val="21"/>
          <w:szCs w:val="21"/>
        </w:rPr>
        <w:t>（7）本招标项目招标人要求投标人在投标报价时将建筑工程一切险（含招标人部分）、第三者责任险所需费用计入投标总价。</w:t>
      </w:r>
    </w:p>
    <w:p>
      <w:pPr>
        <w:spacing w:line="360" w:lineRule="auto"/>
        <w:ind w:firstLine="420" w:firstLineChars="200"/>
        <w:rPr>
          <w:rFonts w:hint="eastAsia"/>
          <w:color w:val="auto"/>
          <w:sz w:val="21"/>
          <w:szCs w:val="21"/>
        </w:rPr>
      </w:pPr>
      <w:r>
        <w:rPr>
          <w:rFonts w:hint="eastAsia"/>
          <w:color w:val="auto"/>
          <w:sz w:val="21"/>
          <w:szCs w:val="21"/>
        </w:rPr>
        <w:t>（8）承包人为确保过往车辆、行人的通行安全采取切实有效的安全措施，因此增加的费用摊入相应项目单价或总价中，不得单列，竣工决算时也不再另行计量。</w:t>
      </w:r>
    </w:p>
    <w:p>
      <w:pPr>
        <w:spacing w:line="360" w:lineRule="auto"/>
        <w:ind w:firstLine="420" w:firstLineChars="200"/>
        <w:rPr>
          <w:rFonts w:hint="eastAsia"/>
          <w:color w:val="auto"/>
          <w:sz w:val="21"/>
          <w:szCs w:val="21"/>
        </w:rPr>
      </w:pPr>
      <w:r>
        <w:rPr>
          <w:rFonts w:hint="eastAsia"/>
          <w:color w:val="auto"/>
          <w:sz w:val="21"/>
          <w:szCs w:val="21"/>
        </w:rPr>
        <w:t>（9）各投标单位在投标报价时应注意分摊项目的合理性，在工程实施过程中招标人如对某项目进行变更或取消或增加，中标单位必须无条件服从。</w:t>
      </w:r>
    </w:p>
    <w:p>
      <w:pPr>
        <w:spacing w:line="360" w:lineRule="auto"/>
        <w:ind w:firstLine="315" w:firstLineChars="150"/>
        <w:rPr>
          <w:rFonts w:hint="eastAsia"/>
          <w:color w:val="auto"/>
          <w:sz w:val="21"/>
          <w:szCs w:val="21"/>
        </w:rPr>
      </w:pPr>
      <w:r>
        <w:rPr>
          <w:rFonts w:hint="eastAsia"/>
          <w:color w:val="auto"/>
          <w:sz w:val="21"/>
          <w:szCs w:val="21"/>
        </w:rPr>
        <w:t>（10）本次招标提供的施工图，如有和本招标文件和公告文字材料不一致处，以招标文件和公告文字材料为准。</w:t>
      </w:r>
    </w:p>
    <w:p>
      <w:pPr>
        <w:spacing w:line="360" w:lineRule="auto"/>
        <w:ind w:firstLine="420" w:firstLineChars="200"/>
        <w:rPr>
          <w:rFonts w:hint="eastAsia"/>
          <w:color w:val="auto"/>
          <w:sz w:val="21"/>
          <w:szCs w:val="21"/>
        </w:rPr>
      </w:pPr>
      <w:r>
        <w:rPr>
          <w:rFonts w:hint="eastAsia"/>
          <w:color w:val="auto"/>
          <w:sz w:val="21"/>
          <w:szCs w:val="21"/>
        </w:rPr>
        <w:t>（11）对于符合要求的投标文件，在签订合同协议前，如发现工程量清单中有计算方面的算术性差错，按投标须知的规定修正。</w:t>
      </w:r>
    </w:p>
    <w:p>
      <w:pPr>
        <w:spacing w:line="360" w:lineRule="auto"/>
        <w:ind w:firstLine="420" w:firstLineChars="200"/>
        <w:rPr>
          <w:rFonts w:hint="eastAsia"/>
          <w:color w:val="auto"/>
          <w:sz w:val="21"/>
          <w:szCs w:val="21"/>
        </w:rPr>
      </w:pPr>
      <w:r>
        <w:rPr>
          <w:rFonts w:hint="eastAsia"/>
          <w:color w:val="auto"/>
          <w:sz w:val="21"/>
          <w:szCs w:val="21"/>
        </w:rPr>
        <w:t>（12）投标单位在投标时应充分考虑各种可能影响本工程的因素，所有因此影响造成的费用及风险，承包人在报价时应予以考虑。招标人对此在承包人中标后不再增加任何费用。</w:t>
      </w:r>
    </w:p>
    <w:p>
      <w:pPr>
        <w:spacing w:line="360" w:lineRule="auto"/>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rPr>
        <w:t>13）本工程建筑安装材料价格按</w:t>
      </w:r>
      <w:r>
        <w:rPr>
          <w:rFonts w:hint="eastAsia"/>
          <w:color w:val="auto"/>
          <w:sz w:val="21"/>
          <w:szCs w:val="21"/>
        </w:rPr>
        <w:t>202</w:t>
      </w:r>
      <w:r>
        <w:rPr>
          <w:rFonts w:hint="eastAsia"/>
          <w:color w:val="auto"/>
          <w:sz w:val="21"/>
          <w:szCs w:val="21"/>
          <w:lang w:val="en-US" w:eastAsia="zh-CN"/>
        </w:rPr>
        <w:t>2</w:t>
      </w:r>
      <w:r>
        <w:rPr>
          <w:rFonts w:hint="eastAsia"/>
          <w:color w:val="auto"/>
          <w:sz w:val="21"/>
          <w:szCs w:val="21"/>
        </w:rPr>
        <w:t>年第</w:t>
      </w:r>
      <w:r>
        <w:rPr>
          <w:rFonts w:hint="eastAsia"/>
          <w:color w:val="auto"/>
          <w:sz w:val="21"/>
          <w:szCs w:val="21"/>
          <w:lang w:val="en-US" w:eastAsia="zh-CN"/>
        </w:rPr>
        <w:t>7月份</w:t>
      </w:r>
      <w:r>
        <w:rPr>
          <w:rFonts w:hint="eastAsia"/>
          <w:color w:val="auto"/>
          <w:sz w:val="21"/>
          <w:szCs w:val="21"/>
        </w:rPr>
        <w:t>《盐城工程造价信息》中大丰区</w:t>
      </w:r>
      <w:r>
        <w:rPr>
          <w:rFonts w:hint="eastAsia"/>
          <w:color w:val="auto"/>
          <w:sz w:val="21"/>
          <w:szCs w:val="21"/>
          <w:lang w:val="en-US" w:eastAsia="zh-CN"/>
        </w:rPr>
        <w:t>7</w:t>
      </w:r>
      <w:r>
        <w:rPr>
          <w:rFonts w:hint="eastAsia"/>
          <w:color w:val="auto"/>
          <w:sz w:val="21"/>
          <w:szCs w:val="21"/>
        </w:rPr>
        <w:t>月份主要建筑安装材料信息价，该信息价缺项部分执行同期《盐城工程造价信息》建筑材料市场信息价、相关计价文件的规定。</w:t>
      </w:r>
    </w:p>
    <w:p>
      <w:pPr>
        <w:spacing w:line="460" w:lineRule="exact"/>
        <w:ind w:firstLine="440" w:firstLineChars="200"/>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pStyle w:val="8"/>
        <w:rPr>
          <w:rFonts w:hint="eastAsia" w:ascii="宋体" w:hAnsi="宋体" w:cs="宋体"/>
          <w:color w:val="auto"/>
          <w:szCs w:val="21"/>
        </w:rPr>
      </w:pPr>
    </w:p>
    <w:p>
      <w:pPr>
        <w:widowControl/>
        <w:jc w:val="center"/>
        <w:rPr>
          <w:rFonts w:hint="eastAsia"/>
          <w:b/>
          <w:bCs/>
          <w:color w:val="auto"/>
          <w:sz w:val="30"/>
          <w:szCs w:val="30"/>
          <w:lang w:val="en-US" w:bidi="ar"/>
        </w:rPr>
      </w:pPr>
    </w:p>
    <w:p>
      <w:pPr>
        <w:widowControl/>
        <w:jc w:val="center"/>
        <w:rPr>
          <w:rFonts w:hint="eastAsia"/>
          <w:b/>
          <w:bCs/>
          <w:color w:val="auto"/>
          <w:sz w:val="30"/>
          <w:szCs w:val="30"/>
          <w:lang w:val="en-US" w:bidi="ar"/>
        </w:rPr>
      </w:pPr>
    </w:p>
    <w:p>
      <w:pPr>
        <w:widowControl/>
        <w:jc w:val="center"/>
        <w:rPr>
          <w:rFonts w:hint="eastAsia"/>
          <w:b/>
          <w:bCs/>
          <w:color w:val="auto"/>
          <w:sz w:val="30"/>
          <w:szCs w:val="30"/>
          <w:lang w:val="en-US" w:bidi="ar"/>
        </w:rPr>
      </w:pPr>
    </w:p>
    <w:p>
      <w:pPr>
        <w:widowControl/>
        <w:jc w:val="center"/>
        <w:rPr>
          <w:rFonts w:hint="eastAsia"/>
          <w:b/>
          <w:bCs/>
          <w:color w:val="auto"/>
          <w:sz w:val="30"/>
          <w:szCs w:val="30"/>
          <w:lang w:val="en-US" w:bidi="ar"/>
        </w:rPr>
      </w:pPr>
    </w:p>
    <w:p>
      <w:pPr>
        <w:pStyle w:val="8"/>
        <w:rPr>
          <w:rFonts w:hint="eastAsia"/>
          <w:b/>
          <w:bCs/>
          <w:color w:val="auto"/>
          <w:sz w:val="30"/>
          <w:szCs w:val="30"/>
          <w:lang w:val="en-US" w:bidi="ar"/>
        </w:rPr>
      </w:pPr>
    </w:p>
    <w:p>
      <w:pPr>
        <w:pStyle w:val="8"/>
        <w:rPr>
          <w:rFonts w:hint="eastAsia"/>
          <w:b/>
          <w:bCs/>
          <w:color w:val="auto"/>
          <w:sz w:val="30"/>
          <w:szCs w:val="30"/>
          <w:lang w:val="en-US" w:bidi="ar"/>
        </w:rPr>
      </w:pPr>
    </w:p>
    <w:p>
      <w:pPr>
        <w:pStyle w:val="8"/>
        <w:rPr>
          <w:rFonts w:hint="eastAsia"/>
          <w:b/>
          <w:bCs/>
          <w:color w:val="auto"/>
          <w:sz w:val="30"/>
          <w:szCs w:val="30"/>
          <w:lang w:val="en-US" w:bidi="ar"/>
        </w:rPr>
      </w:pPr>
    </w:p>
    <w:p>
      <w:pPr>
        <w:pStyle w:val="8"/>
        <w:rPr>
          <w:rFonts w:hint="eastAsia"/>
          <w:b/>
          <w:bCs/>
          <w:color w:val="auto"/>
          <w:sz w:val="30"/>
          <w:szCs w:val="30"/>
          <w:lang w:val="en-US" w:bidi="ar"/>
        </w:rPr>
      </w:pPr>
    </w:p>
    <w:p>
      <w:pPr>
        <w:pStyle w:val="8"/>
        <w:rPr>
          <w:rFonts w:hint="eastAsia"/>
          <w:b/>
          <w:bCs/>
          <w:color w:val="auto"/>
          <w:sz w:val="30"/>
          <w:szCs w:val="30"/>
          <w:lang w:val="en-US" w:bidi="ar"/>
        </w:rPr>
      </w:pPr>
    </w:p>
    <w:p>
      <w:pPr>
        <w:widowControl/>
        <w:jc w:val="center"/>
        <w:rPr>
          <w:color w:val="auto"/>
        </w:rPr>
      </w:pPr>
      <w:r>
        <w:rPr>
          <w:rFonts w:hint="eastAsia"/>
          <w:b/>
          <w:bCs/>
          <w:color w:val="auto"/>
          <w:sz w:val="30"/>
          <w:szCs w:val="30"/>
          <w:lang w:val="en-US" w:eastAsia="zh-CN" w:bidi="ar"/>
        </w:rPr>
        <w:t>（2）</w:t>
      </w:r>
      <w:r>
        <w:rPr>
          <w:rFonts w:hint="eastAsia"/>
          <w:b/>
          <w:bCs/>
          <w:color w:val="auto"/>
          <w:sz w:val="30"/>
          <w:szCs w:val="30"/>
          <w:lang w:val="en-US" w:bidi="ar"/>
        </w:rPr>
        <w:t>工程量清单（见后附）</w:t>
      </w:r>
    </w:p>
    <w:p>
      <w:pPr>
        <w:pStyle w:val="6"/>
        <w:spacing w:before="93"/>
        <w:jc w:val="center"/>
        <w:rPr>
          <w:rFonts w:ascii="黑体" w:eastAsia="黑体"/>
          <w:color w:val="auto"/>
          <w:sz w:val="28"/>
          <w:szCs w:val="28"/>
        </w:rPr>
      </w:pPr>
    </w:p>
    <w:p>
      <w:pPr>
        <w:pStyle w:val="6"/>
        <w:spacing w:before="93"/>
        <w:jc w:val="center"/>
        <w:rPr>
          <w:rFonts w:hint="eastAsia" w:ascii="黑体" w:eastAsia="黑体"/>
          <w:color w:val="auto"/>
          <w:sz w:val="21"/>
          <w:szCs w:val="21"/>
        </w:rPr>
      </w:pPr>
      <w:bookmarkStart w:id="218" w:name="_bookmark278"/>
      <w:bookmarkEnd w:id="218"/>
    </w:p>
    <w:p>
      <w:pPr>
        <w:pStyle w:val="6"/>
        <w:spacing w:before="93"/>
        <w:jc w:val="center"/>
        <w:rPr>
          <w:rFonts w:hint="eastAsia" w:ascii="黑体" w:eastAsia="黑体"/>
          <w:color w:val="auto"/>
          <w:sz w:val="21"/>
          <w:szCs w:val="21"/>
        </w:rPr>
      </w:pPr>
    </w:p>
    <w:p>
      <w:pPr>
        <w:pStyle w:val="6"/>
        <w:spacing w:before="93"/>
        <w:jc w:val="center"/>
        <w:rPr>
          <w:rFonts w:hint="eastAsia" w:ascii="黑体" w:eastAsia="黑体"/>
          <w:color w:val="auto"/>
          <w:sz w:val="21"/>
          <w:szCs w:val="21"/>
        </w:rPr>
      </w:pPr>
    </w:p>
    <w:p>
      <w:pPr>
        <w:pStyle w:val="6"/>
        <w:spacing w:before="93"/>
        <w:jc w:val="both"/>
        <w:rPr>
          <w:rFonts w:hint="eastAsia" w:ascii="黑体" w:eastAsia="黑体"/>
          <w:color w:val="auto"/>
          <w:sz w:val="76"/>
          <w:lang w:eastAsia="zh-CN"/>
        </w:rPr>
      </w:pPr>
    </w:p>
    <w:p>
      <w:pPr>
        <w:pStyle w:val="6"/>
        <w:spacing w:before="93"/>
        <w:jc w:val="both"/>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二</w:t>
      </w:r>
      <w:r>
        <w:rPr>
          <w:rFonts w:hint="eastAsia" w:ascii="黑体" w:eastAsia="黑体"/>
          <w:color w:val="auto"/>
          <w:sz w:val="76"/>
        </w:rPr>
        <w:tab/>
      </w:r>
      <w:r>
        <w:rPr>
          <w:rFonts w:hint="eastAsia" w:ascii="黑体" w:eastAsia="黑体"/>
          <w:color w:val="auto"/>
          <w:sz w:val="76"/>
        </w:rPr>
        <w:t>卷</w:t>
      </w:r>
    </w:p>
    <w:p>
      <w:pPr>
        <w:pStyle w:val="6"/>
        <w:spacing w:before="93"/>
        <w:ind w:firstLine="420" w:firstLineChars="200"/>
        <w:rPr>
          <w:rFonts w:hint="eastAsia" w:ascii="黑体" w:eastAsia="黑体"/>
          <w:color w:val="auto"/>
          <w:sz w:val="21"/>
          <w:szCs w:val="21"/>
        </w:rPr>
      </w:pPr>
    </w:p>
    <w:p>
      <w:pPr>
        <w:pStyle w:val="6"/>
        <w:spacing w:before="93"/>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1120" w:firstLineChars="200"/>
        <w:jc w:val="center"/>
        <w:rPr>
          <w:rFonts w:hint="eastAsia" w:ascii="黑体" w:eastAsia="黑体"/>
          <w:color w:val="auto"/>
          <w:sz w:val="21"/>
          <w:szCs w:val="21"/>
        </w:rPr>
      </w:pPr>
      <w:r>
        <w:rPr>
          <w:rFonts w:hint="eastAsia" w:ascii="黑体" w:eastAsia="黑体"/>
          <w:color w:val="auto"/>
          <w:sz w:val="56"/>
        </w:rPr>
        <w:t>第六章</w:t>
      </w:r>
      <w:r>
        <w:rPr>
          <w:rFonts w:hint="eastAsia" w:ascii="黑体" w:eastAsia="黑体"/>
          <w:color w:val="auto"/>
          <w:sz w:val="56"/>
        </w:rPr>
        <w:tab/>
      </w:r>
      <w:r>
        <w:rPr>
          <w:rFonts w:hint="eastAsia" w:ascii="黑体" w:eastAsia="黑体"/>
          <w:color w:val="auto"/>
          <w:sz w:val="56"/>
        </w:rPr>
        <w:t>图纸（另册）</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jc w:val="both"/>
        <w:rPr>
          <w:rFonts w:hint="eastAsia" w:ascii="黑体" w:eastAsia="黑体"/>
          <w:color w:val="auto"/>
          <w:sz w:val="76"/>
          <w:lang w:eastAsia="zh-CN"/>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76"/>
        </w:rPr>
      </w:pPr>
    </w:p>
    <w:p>
      <w:pPr>
        <w:pStyle w:val="6"/>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三</w:t>
      </w:r>
      <w:r>
        <w:rPr>
          <w:rFonts w:hint="eastAsia" w:ascii="黑体" w:eastAsia="黑体"/>
          <w:color w:val="auto"/>
          <w:sz w:val="76"/>
        </w:rPr>
        <w:tab/>
      </w:r>
      <w:r>
        <w:rPr>
          <w:rFonts w:hint="eastAsia" w:ascii="黑体" w:eastAsia="黑体"/>
          <w:color w:val="auto"/>
          <w:sz w:val="76"/>
        </w:rPr>
        <w:t>卷</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jc w:val="center"/>
        <w:rPr>
          <w:rFonts w:hint="eastAsia" w:ascii="黑体" w:eastAsia="黑体"/>
          <w:color w:val="auto"/>
          <w:sz w:val="21"/>
          <w:szCs w:val="21"/>
        </w:rPr>
      </w:pPr>
      <w:r>
        <w:rPr>
          <w:rFonts w:hint="eastAsia" w:ascii="黑体" w:eastAsia="黑体"/>
          <w:color w:val="auto"/>
          <w:sz w:val="56"/>
        </w:rPr>
        <w:t>第七章</w:t>
      </w:r>
      <w:r>
        <w:rPr>
          <w:rFonts w:hint="eastAsia" w:ascii="黑体" w:eastAsia="黑体"/>
          <w:color w:val="auto"/>
          <w:sz w:val="56"/>
        </w:rPr>
        <w:tab/>
      </w:r>
      <w:r>
        <w:rPr>
          <w:rFonts w:hint="eastAsia" w:ascii="黑体" w:eastAsia="黑体"/>
          <w:color w:val="auto"/>
          <w:sz w:val="56"/>
        </w:rPr>
        <w:t>技术规范</w:t>
      </w:r>
    </w:p>
    <w:p>
      <w:pPr>
        <w:pStyle w:val="6"/>
        <w:spacing w:before="93" w:line="520" w:lineRule="exact"/>
        <w:ind w:firstLine="420" w:firstLineChars="200"/>
        <w:rPr>
          <w:color w:val="auto"/>
          <w:sz w:val="21"/>
          <w:szCs w:val="21"/>
        </w:rPr>
      </w:pPr>
      <w:r>
        <w:rPr>
          <w:rFonts w:hint="eastAsia"/>
          <w:color w:val="auto"/>
          <w:sz w:val="21"/>
          <w:szCs w:val="21"/>
        </w:rPr>
        <w:t>本招标文件项目专用本对《公路工程标准施工招标文件》（</w:t>
      </w:r>
      <w:r>
        <w:rPr>
          <w:color w:val="auto"/>
          <w:sz w:val="21"/>
          <w:szCs w:val="21"/>
        </w:rPr>
        <w:t>2018年版）（下册）“第</w:t>
      </w:r>
      <w:r>
        <w:rPr>
          <w:rFonts w:hint="eastAsia"/>
          <w:color w:val="auto"/>
          <w:sz w:val="21"/>
          <w:szCs w:val="21"/>
        </w:rPr>
        <w:t>七章</w:t>
      </w:r>
      <w:r>
        <w:rPr>
          <w:color w:val="auto"/>
          <w:sz w:val="21"/>
          <w:szCs w:val="21"/>
        </w:rPr>
        <w:t xml:space="preserve"> 技术规范”进行了补充、完善和修改，进行了补充、完善和修改的条款以项目专</w:t>
      </w:r>
      <w:r>
        <w:rPr>
          <w:rFonts w:hint="eastAsia"/>
          <w:color w:val="auto"/>
          <w:sz w:val="21"/>
          <w:szCs w:val="21"/>
        </w:rPr>
        <w:t>用本的规定为准，投标人应将项目专用本和《公路工程标准施工招标文件》（</w:t>
      </w:r>
      <w:r>
        <w:rPr>
          <w:color w:val="auto"/>
          <w:sz w:val="21"/>
          <w:szCs w:val="21"/>
        </w:rPr>
        <w:t>2018年版）</w:t>
      </w:r>
      <w:r>
        <w:rPr>
          <w:rFonts w:hint="eastAsia"/>
          <w:color w:val="auto"/>
          <w:sz w:val="21"/>
          <w:szCs w:val="21"/>
        </w:rPr>
        <w:t>结合阅读。</w:t>
      </w:r>
    </w:p>
    <w:p>
      <w:pPr>
        <w:pStyle w:val="6"/>
        <w:spacing w:before="93" w:line="520" w:lineRule="exact"/>
        <w:ind w:firstLine="420" w:firstLineChars="200"/>
        <w:rPr>
          <w:color w:val="auto"/>
          <w:sz w:val="21"/>
          <w:szCs w:val="21"/>
        </w:rPr>
      </w:pPr>
      <w:r>
        <w:rPr>
          <w:rFonts w:hint="eastAsia"/>
          <w:color w:val="auto"/>
          <w:sz w:val="21"/>
          <w:szCs w:val="21"/>
        </w:rPr>
        <w:t>招标文件中出现对同一内容表述不一致时，以下列顺序在先者为准：</w:t>
      </w:r>
    </w:p>
    <w:p>
      <w:pPr>
        <w:pStyle w:val="6"/>
        <w:spacing w:before="93" w:line="520" w:lineRule="exact"/>
        <w:ind w:firstLine="420" w:firstLineChars="200"/>
        <w:rPr>
          <w:color w:val="auto"/>
          <w:sz w:val="21"/>
          <w:szCs w:val="21"/>
        </w:rPr>
      </w:pPr>
      <w:r>
        <w:rPr>
          <w:color w:val="auto"/>
          <w:sz w:val="21"/>
          <w:szCs w:val="21"/>
        </w:rPr>
        <w:t>1 、项目专用本</w:t>
      </w:r>
    </w:p>
    <w:p>
      <w:pPr>
        <w:pStyle w:val="6"/>
        <w:spacing w:before="93" w:line="520" w:lineRule="exact"/>
        <w:ind w:firstLine="420" w:firstLineChars="200"/>
        <w:rPr>
          <w:rFonts w:hint="eastAsia" w:ascii="黑体" w:eastAsia="黑体"/>
          <w:color w:val="auto"/>
          <w:sz w:val="21"/>
          <w:szCs w:val="21"/>
        </w:rPr>
      </w:pPr>
      <w:r>
        <w:rPr>
          <w:color w:val="auto"/>
          <w:sz w:val="21"/>
          <w:szCs w:val="21"/>
        </w:rPr>
        <w:t>2 、交通运输部《公路工程标准施工招标文件》（2018年版</w:t>
      </w:r>
      <w:r>
        <w:rPr>
          <w:rFonts w:hint="eastAsia"/>
          <w:color w:val="auto"/>
          <w:sz w:val="21"/>
          <w:szCs w:val="21"/>
        </w:rPr>
        <w:t>）</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rPr>
          <w:rFonts w:hint="eastAsia"/>
          <w:color w:val="auto"/>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tabs>
          <w:tab w:val="left" w:pos="2239"/>
        </w:tabs>
        <w:spacing w:before="169"/>
        <w:ind w:right="61"/>
        <w:jc w:val="center"/>
        <w:rPr>
          <w:rFonts w:hint="eastAsia" w:ascii="黑体" w:eastAsia="黑体"/>
          <w:color w:val="auto"/>
          <w:sz w:val="56"/>
        </w:rPr>
      </w:pPr>
      <w:r>
        <w:rPr>
          <w:rFonts w:hint="eastAsia" w:ascii="黑体" w:eastAsia="黑体"/>
          <w:color w:val="auto"/>
          <w:sz w:val="56"/>
        </w:rPr>
        <w:t>第八章</w:t>
      </w:r>
      <w:r>
        <w:rPr>
          <w:rFonts w:hint="eastAsia" w:ascii="黑体" w:eastAsia="黑体"/>
          <w:color w:val="auto"/>
          <w:sz w:val="56"/>
        </w:rPr>
        <w:tab/>
      </w:r>
      <w:r>
        <w:rPr>
          <w:rFonts w:hint="eastAsia" w:ascii="黑体" w:eastAsia="黑体"/>
          <w:color w:val="auto"/>
          <w:sz w:val="56"/>
        </w:rPr>
        <w:t>工程量清单计量规则</w:t>
      </w:r>
    </w:p>
    <w:p>
      <w:pPr>
        <w:tabs>
          <w:tab w:val="left" w:pos="2239"/>
        </w:tabs>
        <w:spacing w:before="169"/>
        <w:ind w:right="61"/>
        <w:jc w:val="center"/>
        <w:rPr>
          <w:rFonts w:hint="eastAsia" w:ascii="黑体" w:eastAsia="黑体"/>
          <w:color w:val="auto"/>
          <w:sz w:val="56"/>
        </w:rPr>
      </w:pPr>
    </w:p>
    <w:p>
      <w:pPr>
        <w:pStyle w:val="6"/>
        <w:spacing w:before="93" w:line="360" w:lineRule="exact"/>
        <w:ind w:firstLine="420" w:firstLineChars="200"/>
        <w:rPr>
          <w:color w:val="auto"/>
          <w:sz w:val="21"/>
          <w:szCs w:val="21"/>
        </w:rPr>
      </w:pPr>
      <w:r>
        <w:rPr>
          <w:rFonts w:hint="eastAsia"/>
          <w:color w:val="auto"/>
          <w:sz w:val="21"/>
          <w:szCs w:val="21"/>
        </w:rPr>
        <w:t>本招标文件项目专用本对《公路工程标准施工招标文件》（</w:t>
      </w:r>
      <w:r>
        <w:rPr>
          <w:color w:val="auto"/>
          <w:sz w:val="21"/>
          <w:szCs w:val="21"/>
        </w:rPr>
        <w:t>2018年版）（下册）“第</w:t>
      </w:r>
      <w:r>
        <w:rPr>
          <w:rFonts w:hint="eastAsia"/>
          <w:color w:val="auto"/>
          <w:sz w:val="21"/>
          <w:szCs w:val="21"/>
        </w:rPr>
        <w:t>八章</w:t>
      </w:r>
      <w:r>
        <w:rPr>
          <w:color w:val="auto"/>
          <w:sz w:val="21"/>
          <w:szCs w:val="21"/>
        </w:rPr>
        <w:t xml:space="preserve"> 工程量清单计量规则”进行了补充、完善和修改，进行了补充、完善和修改的条</w:t>
      </w:r>
      <w:r>
        <w:rPr>
          <w:rFonts w:hint="eastAsia"/>
          <w:color w:val="auto"/>
          <w:sz w:val="21"/>
          <w:szCs w:val="21"/>
        </w:rPr>
        <w:t>款以项目</w:t>
      </w:r>
      <w:r>
        <w:rPr>
          <w:color w:val="auto"/>
          <w:sz w:val="21"/>
          <w:szCs w:val="21"/>
        </w:rPr>
        <w:t>专用本的规定为准，投标人应将项目专用本和《公路工程标准施工招标文件》</w:t>
      </w:r>
      <w:r>
        <w:rPr>
          <w:rFonts w:hint="eastAsia"/>
          <w:color w:val="auto"/>
          <w:sz w:val="21"/>
          <w:szCs w:val="21"/>
        </w:rPr>
        <w:t>（</w:t>
      </w:r>
      <w:r>
        <w:rPr>
          <w:color w:val="auto"/>
          <w:sz w:val="21"/>
          <w:szCs w:val="21"/>
        </w:rPr>
        <w:t>2018年版）结合阅读。</w:t>
      </w:r>
    </w:p>
    <w:p>
      <w:pPr>
        <w:pStyle w:val="6"/>
        <w:spacing w:before="93" w:line="360" w:lineRule="exact"/>
        <w:ind w:firstLine="420" w:firstLineChars="200"/>
        <w:rPr>
          <w:color w:val="auto"/>
          <w:sz w:val="21"/>
          <w:szCs w:val="21"/>
        </w:rPr>
      </w:pPr>
      <w:r>
        <w:rPr>
          <w:rFonts w:hint="eastAsia"/>
          <w:color w:val="auto"/>
          <w:sz w:val="21"/>
          <w:szCs w:val="21"/>
        </w:rPr>
        <w:t>招标文件中出现对同一内容表述不一致时，以下列顺序在先者为准：</w:t>
      </w:r>
    </w:p>
    <w:p>
      <w:pPr>
        <w:pStyle w:val="6"/>
        <w:spacing w:before="93" w:line="360" w:lineRule="exact"/>
        <w:ind w:firstLine="420" w:firstLineChars="200"/>
        <w:rPr>
          <w:color w:val="auto"/>
          <w:sz w:val="21"/>
          <w:szCs w:val="21"/>
        </w:rPr>
      </w:pPr>
      <w:r>
        <w:rPr>
          <w:color w:val="auto"/>
          <w:sz w:val="21"/>
          <w:szCs w:val="21"/>
        </w:rPr>
        <w:t>1、项目专用本</w:t>
      </w:r>
    </w:p>
    <w:p>
      <w:pPr>
        <w:pStyle w:val="6"/>
        <w:spacing w:before="93" w:line="360" w:lineRule="exact"/>
        <w:ind w:firstLine="420" w:firstLineChars="200"/>
        <w:rPr>
          <w:rFonts w:hint="eastAsia"/>
          <w:color w:val="auto"/>
          <w:sz w:val="21"/>
          <w:szCs w:val="21"/>
        </w:rPr>
      </w:pPr>
      <w:r>
        <w:rPr>
          <w:color w:val="auto"/>
          <w:sz w:val="21"/>
          <w:szCs w:val="21"/>
        </w:rPr>
        <w:t>2、交通运输部《公路工程标准施工招标文件》（2018年版）</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四</w:t>
      </w:r>
      <w:r>
        <w:rPr>
          <w:rFonts w:hint="eastAsia" w:ascii="黑体" w:eastAsia="黑体"/>
          <w:color w:val="auto"/>
          <w:sz w:val="76"/>
        </w:rPr>
        <w:tab/>
      </w:r>
      <w:r>
        <w:rPr>
          <w:rFonts w:hint="eastAsia" w:ascii="黑体" w:eastAsia="黑体"/>
          <w:color w:val="auto"/>
          <w:sz w:val="76"/>
        </w:rPr>
        <w:t>卷</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8"/>
        <w:rPr>
          <w:rFonts w:hint="eastAsia" w:ascii="黑体" w:eastAsia="黑体"/>
          <w:color w:val="auto"/>
          <w:sz w:val="21"/>
          <w:szCs w:val="21"/>
        </w:rPr>
      </w:pPr>
    </w:p>
    <w:p>
      <w:pPr>
        <w:pStyle w:val="8"/>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tabs>
          <w:tab w:val="left" w:pos="3858"/>
        </w:tabs>
        <w:spacing w:before="31"/>
        <w:ind w:left="1618"/>
        <w:rPr>
          <w:rFonts w:ascii="黑体" w:hAnsi="黑体" w:eastAsia="黑体"/>
          <w:b/>
          <w:color w:val="auto"/>
          <w:sz w:val="28"/>
        </w:rPr>
      </w:pPr>
      <w:r>
        <w:rPr>
          <w:rFonts w:hint="eastAsia" w:ascii="黑体" w:hAnsi="黑体" w:eastAsia="黑体"/>
          <w:color w:val="auto"/>
          <w:sz w:val="56"/>
        </w:rPr>
        <w:t>第九章</w:t>
      </w:r>
      <w:r>
        <w:rPr>
          <w:rFonts w:hint="eastAsia" w:ascii="黑体" w:hAnsi="黑体" w:eastAsia="黑体"/>
          <w:color w:val="auto"/>
          <w:sz w:val="56"/>
        </w:rPr>
        <w:tab/>
      </w:r>
      <w:r>
        <w:rPr>
          <w:rFonts w:hint="eastAsia" w:ascii="黑体" w:hAnsi="黑体" w:eastAsia="黑体"/>
          <w:color w:val="auto"/>
          <w:sz w:val="56"/>
        </w:rPr>
        <w:t>投标文件格式</w:t>
      </w:r>
    </w:p>
    <w:p>
      <w:pPr>
        <w:pStyle w:val="6"/>
        <w:ind w:right="1440"/>
        <w:rPr>
          <w:rFonts w:hint="eastAsia"/>
          <w:color w:val="auto"/>
          <w:sz w:val="36"/>
          <w:szCs w:val="36"/>
          <w:lang w:eastAsia="zh-CN"/>
        </w:rPr>
      </w:pPr>
    </w:p>
    <w:p>
      <w:pPr>
        <w:pStyle w:val="6"/>
        <w:jc w:val="center"/>
        <w:rPr>
          <w:color w:val="auto"/>
          <w:sz w:val="20"/>
        </w:rPr>
      </w:pPr>
    </w:p>
    <w:p>
      <w:pPr>
        <w:widowControl/>
        <w:jc w:val="right"/>
        <w:rPr>
          <w:color w:val="auto"/>
        </w:rPr>
      </w:pPr>
      <w:r>
        <w:rPr>
          <w:rFonts w:hint="eastAsia"/>
          <w:color w:val="auto"/>
          <w:sz w:val="36"/>
          <w:szCs w:val="36"/>
          <w:lang w:val="en-US" w:bidi="ar"/>
        </w:rPr>
        <w:t xml:space="preserve">（正/副）本 </w:t>
      </w:r>
    </w:p>
    <w:p>
      <w:pPr>
        <w:spacing w:line="360" w:lineRule="auto"/>
        <w:jc w:val="right"/>
        <w:rPr>
          <w:rFonts w:hint="eastAsia"/>
          <w:b/>
          <w:color w:val="auto"/>
          <w:spacing w:val="-10"/>
          <w:sz w:val="36"/>
          <w:szCs w:val="36"/>
          <w:lang w:val="en-US"/>
        </w:rPr>
      </w:pPr>
      <w:r>
        <w:rPr>
          <w:rFonts w:hint="eastAsia"/>
          <w:b/>
          <w:color w:val="auto"/>
          <w:spacing w:val="-10"/>
          <w:sz w:val="36"/>
          <w:szCs w:val="36"/>
          <w:lang w:val="en-US"/>
        </w:rPr>
        <w:t xml:space="preserve"> </w:t>
      </w:r>
    </w:p>
    <w:p>
      <w:pPr>
        <w:spacing w:line="360" w:lineRule="auto"/>
        <w:jc w:val="center"/>
        <w:rPr>
          <w:rFonts w:hint="eastAsia" w:eastAsia="宋体"/>
          <w:b/>
          <w:color w:val="auto"/>
          <w:spacing w:val="-10"/>
          <w:sz w:val="40"/>
          <w:szCs w:val="40"/>
          <w:u w:val="single"/>
          <w:lang w:eastAsia="zh-CN"/>
        </w:rPr>
      </w:pPr>
      <w:r>
        <w:rPr>
          <w:rFonts w:hint="eastAsia"/>
          <w:b/>
          <w:color w:val="auto"/>
          <w:spacing w:val="-10"/>
          <w:sz w:val="32"/>
          <w:szCs w:val="32"/>
          <w:lang w:val="en-US" w:eastAsia="zh-CN"/>
        </w:rPr>
        <w:t>2022年大丰区刘庄镇农村公路维修工程施工招标</w:t>
      </w:r>
    </w:p>
    <w:p>
      <w:pPr>
        <w:pStyle w:val="6"/>
        <w:rPr>
          <w:rFonts w:ascii="黑体"/>
          <w:color w:val="auto"/>
          <w:sz w:val="26"/>
        </w:rPr>
      </w:pPr>
    </w:p>
    <w:p>
      <w:pPr>
        <w:pStyle w:val="6"/>
        <w:rPr>
          <w:rFonts w:ascii="黑体"/>
          <w:color w:val="auto"/>
          <w:sz w:val="26"/>
        </w:rPr>
      </w:pPr>
    </w:p>
    <w:p>
      <w:pPr>
        <w:tabs>
          <w:tab w:val="left" w:pos="1440"/>
          <w:tab w:val="left" w:pos="2880"/>
          <w:tab w:val="left" w:pos="4320"/>
        </w:tabs>
        <w:spacing w:before="224"/>
        <w:ind w:right="61"/>
        <w:jc w:val="center"/>
        <w:rPr>
          <w:rFonts w:hint="eastAsia" w:ascii="黑体"/>
          <w:color w:val="auto"/>
          <w:sz w:val="32"/>
        </w:rPr>
      </w:pPr>
      <w:bookmarkStart w:id="219" w:name="_bookmark287"/>
      <w:bookmarkEnd w:id="219"/>
      <w:r>
        <w:rPr>
          <w:rFonts w:hint="eastAsia" w:ascii="黑体" w:eastAsia="黑体"/>
          <w:color w:val="auto"/>
          <w:sz w:val="72"/>
        </w:rPr>
        <w:t>投</w:t>
      </w:r>
      <w:r>
        <w:rPr>
          <w:rFonts w:hint="eastAsia" w:ascii="黑体" w:eastAsia="黑体"/>
          <w:color w:val="auto"/>
          <w:sz w:val="72"/>
        </w:rPr>
        <w:tab/>
      </w:r>
      <w:r>
        <w:rPr>
          <w:rFonts w:hint="eastAsia" w:ascii="黑体" w:eastAsia="黑体"/>
          <w:color w:val="auto"/>
          <w:sz w:val="72"/>
        </w:rPr>
        <w:t>标</w:t>
      </w:r>
      <w:r>
        <w:rPr>
          <w:rFonts w:hint="eastAsia" w:ascii="黑体" w:eastAsia="黑体"/>
          <w:color w:val="auto"/>
          <w:sz w:val="72"/>
        </w:rPr>
        <w:tab/>
      </w:r>
      <w:r>
        <w:rPr>
          <w:rFonts w:hint="eastAsia" w:ascii="黑体" w:eastAsia="黑体"/>
          <w:color w:val="auto"/>
          <w:sz w:val="72"/>
        </w:rPr>
        <w:t>文</w:t>
      </w:r>
      <w:r>
        <w:rPr>
          <w:rFonts w:hint="eastAsia" w:ascii="黑体" w:eastAsia="黑体"/>
          <w:color w:val="auto"/>
          <w:sz w:val="72"/>
        </w:rPr>
        <w:tab/>
      </w:r>
      <w:r>
        <w:rPr>
          <w:rFonts w:hint="eastAsia" w:ascii="黑体" w:eastAsia="黑体"/>
          <w:color w:val="auto"/>
          <w:sz w:val="72"/>
        </w:rPr>
        <w:t>件</w:t>
      </w:r>
    </w:p>
    <w:p>
      <w:pPr>
        <w:pStyle w:val="6"/>
        <w:rPr>
          <w:rFonts w:hint="eastAsia" w:ascii="黑体"/>
          <w:color w:val="auto"/>
          <w:sz w:val="32"/>
          <w:lang w:eastAsia="zh-CN"/>
        </w:rPr>
      </w:pPr>
    </w:p>
    <w:p>
      <w:pPr>
        <w:pStyle w:val="6"/>
        <w:rPr>
          <w:rFonts w:ascii="黑体"/>
          <w:color w:val="auto"/>
          <w:sz w:val="32"/>
        </w:rPr>
      </w:pPr>
    </w:p>
    <w:p>
      <w:pPr>
        <w:pStyle w:val="6"/>
        <w:spacing w:before="12"/>
        <w:rPr>
          <w:rFonts w:ascii="黑体"/>
          <w:color w:val="auto"/>
          <w:sz w:val="40"/>
        </w:rPr>
      </w:pPr>
    </w:p>
    <w:p>
      <w:pPr>
        <w:tabs>
          <w:tab w:val="left" w:pos="5880"/>
        </w:tabs>
        <w:ind w:right="58"/>
        <w:jc w:val="center"/>
        <w:rPr>
          <w:rFonts w:ascii="黑体" w:eastAsia="黑体"/>
          <w:color w:val="auto"/>
          <w:sz w:val="28"/>
        </w:rPr>
      </w:pPr>
      <w:r>
        <w:rPr>
          <w:rFonts w:hint="eastAsia" w:ascii="黑体" w:eastAsia="黑体"/>
          <w:color w:val="auto"/>
          <w:sz w:val="28"/>
        </w:rPr>
        <w:t>投标人：</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（盖单</w:t>
      </w:r>
      <w:r>
        <w:rPr>
          <w:rFonts w:hint="eastAsia" w:ascii="黑体" w:eastAsia="黑体"/>
          <w:color w:val="auto"/>
          <w:spacing w:val="-3"/>
          <w:sz w:val="28"/>
        </w:rPr>
        <w:t>位</w:t>
      </w:r>
      <w:r>
        <w:rPr>
          <w:rFonts w:hint="eastAsia" w:ascii="黑体" w:eastAsia="黑体"/>
          <w:color w:val="auto"/>
          <w:sz w:val="28"/>
        </w:rPr>
        <w:t>章）</w:t>
      </w:r>
    </w:p>
    <w:p>
      <w:pPr>
        <w:pStyle w:val="6"/>
        <w:rPr>
          <w:rFonts w:ascii="黑体"/>
          <w:color w:val="auto"/>
          <w:sz w:val="20"/>
        </w:rPr>
      </w:pPr>
    </w:p>
    <w:p>
      <w:pPr>
        <w:pStyle w:val="6"/>
        <w:spacing w:before="12"/>
        <w:rPr>
          <w:rFonts w:ascii="黑体"/>
          <w:color w:val="auto"/>
          <w:sz w:val="15"/>
        </w:rPr>
      </w:pPr>
    </w:p>
    <w:p>
      <w:pPr>
        <w:pStyle w:val="6"/>
        <w:spacing w:before="93"/>
        <w:ind w:firstLine="560" w:firstLineChars="200"/>
        <w:jc w:val="center"/>
        <w:rPr>
          <w:rFonts w:hint="eastAsia" w:ascii="黑体" w:eastAsia="黑体"/>
          <w:color w:val="auto"/>
          <w:sz w:val="21"/>
          <w:szCs w:val="21"/>
        </w:rPr>
      </w:pPr>
      <w:r>
        <w:rPr>
          <w:rFonts w:hint="eastAsia" w:ascii="黑体" w:eastAsia="黑体"/>
          <w:color w:val="auto"/>
          <w:sz w:val="28"/>
          <w:u w:val="single"/>
        </w:rPr>
        <w:t xml:space="preserve">     </w:t>
      </w:r>
      <w:r>
        <w:rPr>
          <w:rFonts w:hint="eastAsia" w:ascii="黑体" w:eastAsia="黑体"/>
          <w:color w:val="auto"/>
          <w:sz w:val="28"/>
        </w:rPr>
        <w:t>年</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月</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日</w:t>
      </w: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pStyle w:val="6"/>
        <w:spacing w:before="93"/>
        <w:rPr>
          <w:rFonts w:hint="eastAsia" w:ascii="黑体" w:eastAsia="黑体"/>
          <w:color w:val="auto"/>
          <w:sz w:val="21"/>
          <w:szCs w:val="21"/>
          <w:lang w:eastAsia="zh-CN"/>
        </w:rPr>
      </w:pPr>
    </w:p>
    <w:p>
      <w:pPr>
        <w:rPr>
          <w:rFonts w:hint="eastAsia"/>
          <w:lang w:eastAsia="zh-CN"/>
        </w:rPr>
      </w:pPr>
    </w:p>
    <w:p>
      <w:pPr>
        <w:pStyle w:val="6"/>
        <w:spacing w:before="93"/>
        <w:rPr>
          <w:rFonts w:hint="eastAsia" w:ascii="黑体" w:eastAsia="黑体"/>
          <w:color w:val="auto"/>
          <w:sz w:val="21"/>
          <w:szCs w:val="21"/>
          <w:lang w:eastAsia="zh-CN"/>
        </w:rPr>
      </w:pPr>
    </w:p>
    <w:p>
      <w:pPr>
        <w:spacing w:before="1"/>
        <w:ind w:right="58"/>
        <w:jc w:val="center"/>
        <w:rPr>
          <w:rFonts w:hint="eastAsia" w:ascii="黑体" w:eastAsia="黑体"/>
          <w:color w:val="auto"/>
          <w:sz w:val="28"/>
        </w:rPr>
      </w:pPr>
      <w:r>
        <w:rPr>
          <w:rFonts w:hint="eastAsia" w:ascii="黑体" w:eastAsia="黑体"/>
          <w:color w:val="auto"/>
          <w:sz w:val="28"/>
        </w:rPr>
        <w:t>投 标 函</w:t>
      </w:r>
    </w:p>
    <w:p>
      <w:pPr>
        <w:spacing w:before="1"/>
        <w:ind w:right="58"/>
        <w:jc w:val="center"/>
        <w:rPr>
          <w:rFonts w:ascii="黑体" w:eastAsia="黑体"/>
          <w:color w:val="auto"/>
          <w:sz w:val="28"/>
        </w:rPr>
      </w:pPr>
      <w:r>
        <w:rPr>
          <w:rFonts w:hint="eastAsia" w:ascii="黑体" w:eastAsia="黑体"/>
          <w:color w:val="auto"/>
          <w:sz w:val="28"/>
        </w:rPr>
        <w:t>商务及技术</w:t>
      </w:r>
    </w:p>
    <w:p>
      <w:pPr>
        <w:pStyle w:val="6"/>
        <w:spacing w:before="3"/>
        <w:rPr>
          <w:rFonts w:ascii="黑体"/>
          <w:color w:val="auto"/>
          <w:sz w:val="17"/>
        </w:rPr>
      </w:pPr>
    </w:p>
    <w:p>
      <w:pPr>
        <w:pStyle w:val="6"/>
        <w:tabs>
          <w:tab w:val="left" w:pos="3224"/>
        </w:tabs>
        <w:spacing w:before="74" w:line="400" w:lineRule="exact"/>
        <w:ind w:left="344"/>
        <w:rPr>
          <w:color w:val="auto"/>
          <w:sz w:val="21"/>
          <w:szCs w:val="21"/>
        </w:rPr>
      </w:pPr>
      <w:r>
        <w:rPr>
          <w:rFonts w:hint="eastAsia"/>
          <w:color w:val="auto"/>
          <w:sz w:val="21"/>
          <w:szCs w:val="21"/>
          <w:u w:val="single"/>
          <w:lang w:eastAsia="zh-CN"/>
        </w:rPr>
        <w:t xml:space="preserve">盐城市大丰区刘庄镇人民政府 </w:t>
      </w:r>
      <w:r>
        <w:rPr>
          <w:color w:val="auto"/>
          <w:sz w:val="21"/>
          <w:szCs w:val="21"/>
        </w:rPr>
        <w:t>：</w:t>
      </w:r>
    </w:p>
    <w:p>
      <w:pPr>
        <w:pStyle w:val="6"/>
        <w:spacing w:before="53" w:line="400" w:lineRule="exact"/>
        <w:ind w:left="224" w:right="285" w:firstLine="479"/>
        <w:jc w:val="both"/>
        <w:rPr>
          <w:color w:val="auto"/>
          <w:spacing w:val="-3"/>
          <w:sz w:val="21"/>
          <w:szCs w:val="21"/>
        </w:rPr>
      </w:pPr>
      <w:r>
        <w:rPr>
          <w:color w:val="auto"/>
          <w:spacing w:val="-3"/>
          <w:sz w:val="21"/>
          <w:szCs w:val="21"/>
        </w:rPr>
        <w:t>1．我方已仔细研究</w:t>
      </w:r>
      <w:r>
        <w:rPr>
          <w:rFonts w:hint="eastAsia"/>
          <w:color w:val="auto"/>
          <w:spacing w:val="-3"/>
          <w:sz w:val="21"/>
          <w:szCs w:val="21"/>
          <w:u w:val="single"/>
          <w:lang w:eastAsia="zh-CN"/>
        </w:rPr>
        <w:t xml:space="preserve">   </w:t>
      </w:r>
      <w:r>
        <w:rPr>
          <w:rFonts w:hint="eastAsia" w:cs="宋体"/>
          <w:color w:val="auto"/>
          <w:spacing w:val="-3"/>
          <w:sz w:val="21"/>
          <w:szCs w:val="21"/>
          <w:u w:val="single"/>
          <w:lang w:val="en-US" w:eastAsia="zh-CN"/>
        </w:rPr>
        <w:t>2022年大丰区刘庄镇农村公路维修工程</w:t>
      </w:r>
      <w:r>
        <w:rPr>
          <w:rFonts w:hint="eastAsia" w:ascii="宋体" w:hAnsi="宋体" w:eastAsia="宋体" w:cs="宋体"/>
          <w:color w:val="auto"/>
          <w:spacing w:val="-3"/>
          <w:sz w:val="21"/>
          <w:szCs w:val="21"/>
          <w:u w:val="single"/>
          <w:lang w:val="en-US" w:eastAsia="zh-CN"/>
        </w:rPr>
        <w:t xml:space="preserve">施工招标 </w:t>
      </w:r>
      <w:r>
        <w:rPr>
          <w:rFonts w:hint="eastAsia"/>
          <w:color w:val="auto"/>
          <w:spacing w:val="-3"/>
          <w:sz w:val="21"/>
          <w:szCs w:val="21"/>
          <w:u w:val="single"/>
          <w:lang w:eastAsia="zh-CN"/>
        </w:rPr>
        <w:t xml:space="preserve"> </w:t>
      </w:r>
      <w:r>
        <w:rPr>
          <w:rFonts w:hint="eastAsia"/>
          <w:color w:val="auto"/>
          <w:spacing w:val="-3"/>
          <w:sz w:val="21"/>
          <w:szCs w:val="21"/>
          <w:lang w:eastAsia="zh-CN"/>
        </w:rPr>
        <w:t>标段</w:t>
      </w:r>
      <w:r>
        <w:rPr>
          <w:color w:val="auto"/>
          <w:spacing w:val="-3"/>
          <w:sz w:val="21"/>
          <w:szCs w:val="21"/>
        </w:rPr>
        <w:t>招标文件的全部内容（含补遗书），在考察工程现场后，愿意以</w:t>
      </w:r>
      <w:r>
        <w:rPr>
          <w:rFonts w:hint="eastAsia"/>
          <w:color w:val="auto"/>
          <w:spacing w:val="-3"/>
          <w:sz w:val="21"/>
          <w:szCs w:val="21"/>
          <w:u w:val="single"/>
          <w:lang w:eastAsia="zh-CN"/>
        </w:rPr>
        <w:t>（大写）：</w:t>
      </w:r>
      <w:r>
        <w:rPr>
          <w:rFonts w:hint="eastAsia"/>
          <w:color w:val="auto"/>
          <w:spacing w:val="-3"/>
          <w:sz w:val="21"/>
          <w:szCs w:val="21"/>
          <w:u w:val="single"/>
          <w:lang w:val="en-US" w:eastAsia="zh-CN"/>
        </w:rPr>
        <w:t xml:space="preserve">            </w:t>
      </w:r>
      <w:r>
        <w:rPr>
          <w:rFonts w:hint="eastAsia"/>
          <w:color w:val="auto"/>
          <w:spacing w:val="-3"/>
          <w:sz w:val="21"/>
          <w:szCs w:val="21"/>
          <w:u w:val="single"/>
          <w:lang w:eastAsia="zh-CN"/>
        </w:rPr>
        <w:t>（小写）：</w:t>
      </w:r>
      <w:r>
        <w:rPr>
          <w:rFonts w:hint="eastAsia"/>
          <w:color w:val="auto"/>
          <w:spacing w:val="-3"/>
          <w:sz w:val="21"/>
          <w:szCs w:val="21"/>
          <w:u w:val="single"/>
          <w:lang w:val="en-US" w:eastAsia="zh-CN"/>
        </w:rPr>
        <w:t>¥             元</w:t>
      </w:r>
      <w:r>
        <w:rPr>
          <w:color w:val="auto"/>
          <w:spacing w:val="-3"/>
          <w:sz w:val="21"/>
          <w:szCs w:val="21"/>
        </w:rPr>
        <w:t>的投标总报价，按合同约定实施和完成承包工程，修补工程中的任何缺陷。</w:t>
      </w:r>
    </w:p>
    <w:p>
      <w:pPr>
        <w:pStyle w:val="6"/>
        <w:spacing w:before="53" w:line="400" w:lineRule="exact"/>
        <w:ind w:left="224" w:right="285" w:firstLine="479"/>
        <w:jc w:val="both"/>
        <w:rPr>
          <w:color w:val="auto"/>
          <w:spacing w:val="-3"/>
          <w:sz w:val="21"/>
          <w:szCs w:val="21"/>
        </w:rPr>
      </w:pPr>
      <w:r>
        <w:rPr>
          <w:color w:val="auto"/>
          <w:spacing w:val="-3"/>
          <w:sz w:val="21"/>
          <w:szCs w:val="21"/>
        </w:rPr>
        <w:t>2．我方承诺在招标文件规定的投标有效期内不</w:t>
      </w:r>
      <w:r>
        <w:rPr>
          <w:rFonts w:hint="eastAsia"/>
          <w:color w:val="auto"/>
          <w:spacing w:val="-3"/>
          <w:sz w:val="21"/>
          <w:szCs w:val="21"/>
          <w:lang w:eastAsia="zh-CN"/>
        </w:rPr>
        <w:t>修改、</w:t>
      </w:r>
      <w:r>
        <w:rPr>
          <w:color w:val="auto"/>
          <w:spacing w:val="-3"/>
          <w:sz w:val="21"/>
          <w:szCs w:val="21"/>
        </w:rPr>
        <w:t>撤销投标文件。</w:t>
      </w:r>
    </w:p>
    <w:p>
      <w:pPr>
        <w:pStyle w:val="6"/>
        <w:spacing w:before="53" w:line="400" w:lineRule="exact"/>
        <w:ind w:left="224" w:right="285" w:firstLine="479"/>
        <w:jc w:val="both"/>
        <w:rPr>
          <w:color w:val="auto"/>
          <w:spacing w:val="-3"/>
          <w:sz w:val="21"/>
          <w:szCs w:val="21"/>
        </w:rPr>
      </w:pPr>
      <w:r>
        <w:rPr>
          <w:color w:val="auto"/>
          <w:spacing w:val="-3"/>
          <w:sz w:val="21"/>
          <w:szCs w:val="21"/>
        </w:rPr>
        <w:t>3．工程质量：</w:t>
      </w:r>
      <w:r>
        <w:rPr>
          <w:color w:val="auto"/>
          <w:spacing w:val="-3"/>
          <w:sz w:val="21"/>
          <w:szCs w:val="21"/>
          <w:u w:val="single"/>
        </w:rPr>
        <w:t xml:space="preserve"> </w:t>
      </w:r>
      <w:r>
        <w:rPr>
          <w:color w:val="auto"/>
          <w:spacing w:val="-3"/>
          <w:sz w:val="21"/>
          <w:szCs w:val="21"/>
          <w:u w:val="single"/>
        </w:rPr>
        <w:tab/>
      </w:r>
      <w:r>
        <w:rPr>
          <w:color w:val="auto"/>
          <w:spacing w:val="-3"/>
          <w:sz w:val="21"/>
          <w:szCs w:val="21"/>
        </w:rPr>
        <w:t>，安全目标：</w:t>
      </w:r>
      <w:r>
        <w:rPr>
          <w:color w:val="auto"/>
          <w:spacing w:val="-3"/>
          <w:sz w:val="21"/>
          <w:szCs w:val="21"/>
          <w:u w:val="single"/>
        </w:rPr>
        <w:t xml:space="preserve"> </w:t>
      </w:r>
      <w:r>
        <w:rPr>
          <w:color w:val="auto"/>
          <w:spacing w:val="-3"/>
          <w:sz w:val="21"/>
          <w:szCs w:val="21"/>
          <w:u w:val="single"/>
        </w:rPr>
        <w:tab/>
      </w:r>
      <w:r>
        <w:rPr>
          <w:color w:val="auto"/>
          <w:spacing w:val="-3"/>
          <w:sz w:val="21"/>
          <w:szCs w:val="21"/>
        </w:rPr>
        <w:t>，工期：</w:t>
      </w:r>
      <w:r>
        <w:rPr>
          <w:color w:val="auto"/>
          <w:spacing w:val="-3"/>
          <w:sz w:val="21"/>
          <w:szCs w:val="21"/>
          <w:u w:val="single"/>
        </w:rPr>
        <w:t xml:space="preserve"> </w:t>
      </w:r>
      <w:r>
        <w:rPr>
          <w:color w:val="auto"/>
          <w:spacing w:val="-3"/>
          <w:sz w:val="21"/>
          <w:szCs w:val="21"/>
          <w:u w:val="single"/>
        </w:rPr>
        <w:tab/>
      </w:r>
      <w:r>
        <w:rPr>
          <w:color w:val="auto"/>
          <w:spacing w:val="-3"/>
          <w:sz w:val="21"/>
          <w:szCs w:val="21"/>
        </w:rPr>
        <w:t>日历天。</w:t>
      </w:r>
    </w:p>
    <w:p>
      <w:pPr>
        <w:pStyle w:val="6"/>
        <w:spacing w:before="53" w:line="400" w:lineRule="exact"/>
        <w:ind w:left="224" w:right="285" w:firstLine="479"/>
        <w:jc w:val="both"/>
        <w:rPr>
          <w:color w:val="auto"/>
          <w:spacing w:val="-3"/>
          <w:sz w:val="21"/>
          <w:szCs w:val="21"/>
          <w:u w:val="single"/>
          <w:lang w:val="en-US" w:eastAsia="zh-CN"/>
        </w:rPr>
      </w:pPr>
      <w:r>
        <w:rPr>
          <w:color w:val="auto"/>
          <w:spacing w:val="-3"/>
          <w:sz w:val="21"/>
          <w:szCs w:val="21"/>
        </w:rPr>
        <w:t>4．</w:t>
      </w:r>
      <w:r>
        <w:rPr>
          <w:rFonts w:hint="eastAsia"/>
          <w:color w:val="auto"/>
          <w:spacing w:val="-3"/>
          <w:sz w:val="21"/>
          <w:szCs w:val="21"/>
          <w:lang w:eastAsia="zh-CN"/>
        </w:rPr>
        <w:t>项目经理：</w:t>
      </w:r>
      <w:r>
        <w:rPr>
          <w:rFonts w:hint="eastAsia"/>
          <w:color w:val="auto"/>
          <w:spacing w:val="-3"/>
          <w:sz w:val="21"/>
          <w:szCs w:val="21"/>
          <w:u w:val="single"/>
          <w:lang w:val="en-US" w:eastAsia="zh-CN"/>
        </w:rPr>
        <w:t xml:space="preserve">               </w:t>
      </w:r>
    </w:p>
    <w:p>
      <w:pPr>
        <w:pStyle w:val="6"/>
        <w:spacing w:before="53" w:line="400" w:lineRule="exact"/>
        <w:ind w:left="224" w:right="285" w:firstLine="479"/>
        <w:jc w:val="both"/>
        <w:rPr>
          <w:color w:val="auto"/>
          <w:spacing w:val="-3"/>
          <w:sz w:val="21"/>
          <w:szCs w:val="21"/>
        </w:rPr>
      </w:pPr>
      <w:r>
        <w:rPr>
          <w:rFonts w:hint="eastAsia"/>
          <w:color w:val="auto"/>
          <w:spacing w:val="-3"/>
          <w:sz w:val="21"/>
          <w:szCs w:val="21"/>
          <w:lang w:val="en-US" w:eastAsia="zh-CN"/>
        </w:rPr>
        <w:t xml:space="preserve">5. </w:t>
      </w:r>
      <w:r>
        <w:rPr>
          <w:color w:val="auto"/>
          <w:spacing w:val="-3"/>
          <w:sz w:val="21"/>
          <w:szCs w:val="21"/>
        </w:rPr>
        <w:t>如我方中标，我方承诺：</w:t>
      </w:r>
    </w:p>
    <w:p>
      <w:pPr>
        <w:pStyle w:val="6"/>
        <w:spacing w:before="53" w:line="400" w:lineRule="exact"/>
        <w:ind w:left="224" w:right="285" w:firstLine="479"/>
        <w:jc w:val="both"/>
        <w:rPr>
          <w:color w:val="auto"/>
          <w:spacing w:val="-3"/>
          <w:sz w:val="21"/>
          <w:szCs w:val="21"/>
        </w:rPr>
      </w:pPr>
      <w:r>
        <w:rPr>
          <w:color w:val="auto"/>
          <w:spacing w:val="-3"/>
          <w:sz w:val="21"/>
          <w:szCs w:val="21"/>
        </w:rPr>
        <w:t>（1）在收到中标通知书后，在中标通知书规定的期限内与你方签订合同；</w:t>
      </w:r>
    </w:p>
    <w:p>
      <w:pPr>
        <w:pStyle w:val="6"/>
        <w:spacing w:before="53" w:line="400" w:lineRule="exact"/>
        <w:ind w:left="224" w:right="285" w:firstLine="479"/>
        <w:jc w:val="both"/>
        <w:rPr>
          <w:color w:val="auto"/>
          <w:spacing w:val="-3"/>
          <w:sz w:val="21"/>
          <w:szCs w:val="21"/>
        </w:rPr>
      </w:pPr>
      <w:r>
        <w:rPr>
          <w:color w:val="auto"/>
          <w:spacing w:val="-3"/>
          <w:sz w:val="21"/>
          <w:szCs w:val="21"/>
        </w:rPr>
        <w:t>（2）在签订合同时不向你方提出附加条件；</w:t>
      </w:r>
    </w:p>
    <w:p>
      <w:pPr>
        <w:pStyle w:val="6"/>
        <w:spacing w:before="53" w:line="400" w:lineRule="exact"/>
        <w:ind w:left="224" w:right="285" w:firstLine="479"/>
        <w:jc w:val="both"/>
        <w:rPr>
          <w:color w:val="auto"/>
          <w:spacing w:val="-3"/>
          <w:sz w:val="21"/>
          <w:szCs w:val="21"/>
        </w:rPr>
      </w:pPr>
      <w:r>
        <w:rPr>
          <w:color w:val="auto"/>
          <w:spacing w:val="-3"/>
          <w:sz w:val="21"/>
          <w:szCs w:val="21"/>
        </w:rPr>
        <w:t>（3）按照招标文件要求提交履约保证金；</w:t>
      </w:r>
    </w:p>
    <w:p>
      <w:pPr>
        <w:pStyle w:val="6"/>
        <w:spacing w:before="53" w:line="400" w:lineRule="exact"/>
        <w:ind w:left="224" w:right="285" w:firstLine="479"/>
        <w:jc w:val="both"/>
        <w:rPr>
          <w:color w:val="auto"/>
          <w:spacing w:val="-3"/>
          <w:sz w:val="21"/>
          <w:szCs w:val="21"/>
        </w:rPr>
      </w:pPr>
      <w:r>
        <w:rPr>
          <w:color w:val="auto"/>
          <w:spacing w:val="-3"/>
          <w:sz w:val="21"/>
          <w:szCs w:val="21"/>
        </w:rPr>
        <w:t>（4）在合同约定的期限内完成合同规定的全部义务；</w:t>
      </w:r>
    </w:p>
    <w:p>
      <w:pPr>
        <w:pStyle w:val="6"/>
        <w:spacing w:before="1" w:line="400" w:lineRule="exact"/>
        <w:ind w:left="224" w:right="285" w:firstLine="479"/>
        <w:rPr>
          <w:color w:val="auto"/>
          <w:sz w:val="21"/>
          <w:szCs w:val="21"/>
        </w:rPr>
      </w:pPr>
      <w:r>
        <w:rPr>
          <w:rFonts w:hint="eastAsia" w:ascii="Times New Roman" w:hAnsi="Times New Roman"/>
          <w:color w:val="auto"/>
          <w:spacing w:val="-11"/>
          <w:sz w:val="21"/>
          <w:szCs w:val="21"/>
          <w:lang w:val="en-US" w:eastAsia="zh-CN"/>
        </w:rPr>
        <w:t>6</w:t>
      </w:r>
      <w:r>
        <w:rPr>
          <w:color w:val="auto"/>
          <w:spacing w:val="-8"/>
          <w:sz w:val="21"/>
          <w:szCs w:val="21"/>
        </w:rPr>
        <w:t>．我方在此声明，所递交的投标文件及有关资料内容完整、真实和准确，且不存在招标文件第二章</w:t>
      </w:r>
      <w:r>
        <w:rPr>
          <w:rFonts w:ascii="Times New Roman" w:hAnsi="Times New Roman" w:eastAsia="Times New Roman"/>
          <w:color w:val="auto"/>
          <w:spacing w:val="-8"/>
          <w:sz w:val="21"/>
          <w:szCs w:val="21"/>
        </w:rPr>
        <w:t>“</w:t>
      </w:r>
      <w:r>
        <w:rPr>
          <w:color w:val="auto"/>
          <w:spacing w:val="-8"/>
          <w:sz w:val="21"/>
          <w:szCs w:val="21"/>
        </w:rPr>
        <w:t>投标人须知</w:t>
      </w:r>
      <w:r>
        <w:rPr>
          <w:rFonts w:ascii="Times New Roman" w:hAnsi="Times New Roman" w:eastAsia="Times New Roman"/>
          <w:color w:val="auto"/>
          <w:spacing w:val="-8"/>
          <w:sz w:val="21"/>
          <w:szCs w:val="21"/>
        </w:rPr>
        <w:t>”</w:t>
      </w:r>
      <w:r>
        <w:rPr>
          <w:color w:val="auto"/>
          <w:spacing w:val="-35"/>
          <w:sz w:val="21"/>
          <w:szCs w:val="21"/>
        </w:rPr>
        <w:t xml:space="preserve">第 </w:t>
      </w:r>
      <w:r>
        <w:rPr>
          <w:rFonts w:ascii="Times New Roman" w:hAnsi="Times New Roman" w:eastAsia="Times New Roman"/>
          <w:color w:val="auto"/>
          <w:sz w:val="21"/>
          <w:szCs w:val="21"/>
        </w:rPr>
        <w:t xml:space="preserve">1.4.3 </w:t>
      </w:r>
      <w:r>
        <w:rPr>
          <w:color w:val="auto"/>
          <w:spacing w:val="-16"/>
          <w:sz w:val="21"/>
          <w:szCs w:val="21"/>
        </w:rPr>
        <w:t xml:space="preserve">项和第 </w:t>
      </w:r>
      <w:r>
        <w:rPr>
          <w:rFonts w:ascii="Times New Roman" w:hAnsi="Times New Roman" w:eastAsia="Times New Roman"/>
          <w:color w:val="auto"/>
          <w:sz w:val="21"/>
          <w:szCs w:val="21"/>
        </w:rPr>
        <w:t xml:space="preserve">1.4.4 </w:t>
      </w:r>
      <w:r>
        <w:rPr>
          <w:color w:val="auto"/>
          <w:sz w:val="21"/>
          <w:szCs w:val="21"/>
        </w:rPr>
        <w:t>项规定的任何一种情形。</w:t>
      </w:r>
    </w:p>
    <w:p>
      <w:pPr>
        <w:pStyle w:val="6"/>
        <w:spacing w:before="1" w:line="400" w:lineRule="exact"/>
        <w:ind w:left="224" w:right="285" w:firstLine="479"/>
        <w:rPr>
          <w:color w:val="auto"/>
          <w:sz w:val="21"/>
          <w:szCs w:val="21"/>
        </w:rPr>
      </w:pPr>
      <w:r>
        <w:rPr>
          <w:rFonts w:hint="eastAsia" w:ascii="Times New Roman"/>
          <w:color w:val="auto"/>
          <w:spacing w:val="-22"/>
          <w:sz w:val="21"/>
          <w:szCs w:val="21"/>
          <w:lang w:val="en-US" w:eastAsia="zh-CN"/>
        </w:rPr>
        <w:t>7</w:t>
      </w:r>
      <w:r>
        <w:rPr>
          <w:color w:val="auto"/>
          <w:spacing w:val="-8"/>
          <w:sz w:val="21"/>
          <w:szCs w:val="21"/>
        </w:rPr>
        <w:t>．在合同协议书正式签署生效之前，本投标函连同你方的中标通知书将构成我们双方之间共同遵守的文件，对双方具有约束力。</w:t>
      </w:r>
    </w:p>
    <w:p>
      <w:pPr>
        <w:pStyle w:val="6"/>
        <w:tabs>
          <w:tab w:val="left" w:pos="5745"/>
        </w:tabs>
        <w:ind w:left="704"/>
        <w:rPr>
          <w:color w:val="auto"/>
          <w:sz w:val="21"/>
          <w:szCs w:val="21"/>
        </w:rPr>
      </w:pPr>
      <w:r>
        <w:rPr>
          <w:rFonts w:hint="eastAsia" w:ascii="Times New Roman"/>
          <w:color w:val="auto"/>
          <w:sz w:val="21"/>
          <w:szCs w:val="21"/>
          <w:lang w:val="en-US" w:eastAsia="zh-CN"/>
        </w:rPr>
        <w:t>8</w:t>
      </w:r>
      <w:r>
        <w:rPr>
          <w:color w:val="auto"/>
          <w:sz w:val="21"/>
          <w:szCs w:val="21"/>
        </w:rPr>
        <w:t>．</w:t>
      </w:r>
      <w:r>
        <w:rPr>
          <w:color w:val="auto"/>
          <w:sz w:val="21"/>
          <w:szCs w:val="21"/>
          <w:u w:val="single"/>
        </w:rPr>
        <w:t xml:space="preserve"> </w:t>
      </w:r>
      <w:r>
        <w:rPr>
          <w:color w:val="auto"/>
          <w:sz w:val="21"/>
          <w:szCs w:val="21"/>
          <w:u w:val="single"/>
        </w:rPr>
        <w:tab/>
      </w:r>
      <w:r>
        <w:rPr>
          <w:color w:val="auto"/>
          <w:sz w:val="21"/>
          <w:szCs w:val="21"/>
        </w:rPr>
        <w:t>（其他补充说明</w:t>
      </w:r>
      <w:r>
        <w:rPr>
          <w:color w:val="auto"/>
          <w:spacing w:val="-120"/>
          <w:sz w:val="21"/>
          <w:szCs w:val="21"/>
        </w:rPr>
        <w:t>）</w:t>
      </w:r>
      <w:r>
        <w:rPr>
          <w:color w:val="auto"/>
          <w:sz w:val="21"/>
          <w:szCs w:val="21"/>
        </w:rPr>
        <w:t>。</w:t>
      </w:r>
    </w:p>
    <w:p>
      <w:pPr>
        <w:pStyle w:val="6"/>
        <w:spacing w:before="3"/>
        <w:rPr>
          <w:color w:val="auto"/>
          <w:sz w:val="21"/>
          <w:szCs w:val="21"/>
        </w:rPr>
      </w:pPr>
    </w:p>
    <w:p>
      <w:pPr>
        <w:pStyle w:val="6"/>
        <w:tabs>
          <w:tab w:val="left" w:pos="4364"/>
          <w:tab w:val="left" w:pos="7350"/>
          <w:tab w:val="left" w:pos="8061"/>
          <w:tab w:val="left" w:pos="8956"/>
        </w:tabs>
        <w:spacing w:line="280" w:lineRule="auto"/>
        <w:ind w:left="3645" w:right="162"/>
        <w:rPr>
          <w:rFonts w:hint="eastAsia"/>
          <w:color w:val="auto"/>
          <w:spacing w:val="-5"/>
          <w:position w:val="11"/>
          <w:sz w:val="21"/>
          <w:szCs w:val="21"/>
        </w:rPr>
      </w:pPr>
      <w:r>
        <w:rPr>
          <w:color w:val="auto"/>
          <w:sz w:val="21"/>
          <w:szCs w:val="21"/>
        </w:rPr>
        <w:t>投 标 人</w:t>
      </w:r>
      <w:r>
        <w:rPr>
          <w:color w:val="auto"/>
          <w:spacing w:val="-8"/>
          <w:sz w:val="21"/>
          <w:szCs w:val="21"/>
        </w:rPr>
        <w:t>：</w:t>
      </w:r>
      <w:r>
        <w:rPr>
          <w:color w:val="auto"/>
          <w:spacing w:val="-8"/>
          <w:sz w:val="21"/>
          <w:szCs w:val="21"/>
          <w:u w:val="single"/>
        </w:rPr>
        <w:t xml:space="preserve"> </w:t>
      </w:r>
      <w:r>
        <w:rPr>
          <w:color w:val="auto"/>
          <w:spacing w:val="-8"/>
          <w:sz w:val="21"/>
          <w:szCs w:val="21"/>
          <w:u w:val="single"/>
        </w:rPr>
        <w:tab/>
      </w:r>
      <w:r>
        <w:rPr>
          <w:color w:val="auto"/>
          <w:sz w:val="21"/>
          <w:szCs w:val="21"/>
        </w:rPr>
        <w:t>（盖单位章</w:t>
      </w:r>
      <w:r>
        <w:rPr>
          <w:color w:val="auto"/>
          <w:spacing w:val="-5"/>
          <w:sz w:val="21"/>
          <w:szCs w:val="21"/>
        </w:rPr>
        <w:t>）</w:t>
      </w:r>
    </w:p>
    <w:p>
      <w:pPr>
        <w:pStyle w:val="6"/>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法定代表人或其委托代理人</w:t>
      </w:r>
      <w:r>
        <w:rPr>
          <w:color w:val="auto"/>
          <w:spacing w:val="-12"/>
          <w:sz w:val="21"/>
          <w:szCs w:val="21"/>
        </w:rPr>
        <w:t>：</w:t>
      </w:r>
      <w:r>
        <w:rPr>
          <w:color w:val="auto"/>
          <w:spacing w:val="-12"/>
          <w:sz w:val="21"/>
          <w:szCs w:val="21"/>
          <w:u w:val="single"/>
        </w:rPr>
        <w:t xml:space="preserve"> </w:t>
      </w:r>
      <w:r>
        <w:rPr>
          <w:color w:val="auto"/>
          <w:spacing w:val="-12"/>
          <w:sz w:val="21"/>
          <w:szCs w:val="21"/>
          <w:u w:val="single"/>
        </w:rPr>
        <w:tab/>
      </w:r>
      <w:r>
        <w:rPr>
          <w:color w:val="auto"/>
          <w:spacing w:val="-12"/>
          <w:sz w:val="21"/>
          <w:szCs w:val="21"/>
          <w:u w:val="single"/>
        </w:rPr>
        <w:tab/>
      </w:r>
      <w:r>
        <w:rPr>
          <w:color w:val="auto"/>
          <w:sz w:val="21"/>
          <w:szCs w:val="21"/>
        </w:rPr>
        <w:t>（签字） 地</w:t>
      </w:r>
      <w:r>
        <w:rPr>
          <w:color w:val="auto"/>
          <w:sz w:val="21"/>
          <w:szCs w:val="21"/>
        </w:rPr>
        <w:tab/>
      </w:r>
      <w:r>
        <w:rPr>
          <w:color w:val="auto"/>
          <w:sz w:val="21"/>
          <w:szCs w:val="21"/>
        </w:rPr>
        <w:t>址：</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6"/>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网</w:t>
      </w:r>
      <w:r>
        <w:rPr>
          <w:color w:val="auto"/>
          <w:sz w:val="21"/>
          <w:szCs w:val="21"/>
        </w:rPr>
        <w:tab/>
      </w:r>
      <w:r>
        <w:rPr>
          <w:color w:val="auto"/>
          <w:sz w:val="21"/>
          <w:szCs w:val="21"/>
        </w:rPr>
        <w:t>址：</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6"/>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电</w:t>
      </w:r>
      <w:r>
        <w:rPr>
          <w:color w:val="auto"/>
          <w:sz w:val="21"/>
          <w:szCs w:val="21"/>
        </w:rPr>
        <w:tab/>
      </w:r>
      <w:r>
        <w:rPr>
          <w:color w:val="auto"/>
          <w:sz w:val="21"/>
          <w:szCs w:val="21"/>
        </w:rPr>
        <w:t>话：</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6"/>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传</w:t>
      </w:r>
      <w:r>
        <w:rPr>
          <w:color w:val="auto"/>
          <w:sz w:val="21"/>
          <w:szCs w:val="21"/>
        </w:rPr>
        <w:tab/>
      </w:r>
      <w:r>
        <w:rPr>
          <w:color w:val="auto"/>
          <w:sz w:val="21"/>
          <w:szCs w:val="21"/>
        </w:rPr>
        <w:t>真：</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6"/>
        <w:tabs>
          <w:tab w:val="left" w:pos="4364"/>
          <w:tab w:val="left" w:pos="7350"/>
          <w:tab w:val="left" w:pos="8061"/>
          <w:tab w:val="left" w:pos="8956"/>
        </w:tabs>
        <w:spacing w:line="280" w:lineRule="auto"/>
        <w:ind w:left="3645" w:right="162"/>
        <w:rPr>
          <w:rFonts w:ascii="Times New Roman" w:hAnsi="Times New Roman" w:eastAsia="Times New Roman"/>
          <w:color w:val="auto"/>
          <w:sz w:val="21"/>
          <w:szCs w:val="21"/>
        </w:rPr>
      </w:pPr>
      <w:r>
        <w:rPr>
          <w:color w:val="auto"/>
          <w:sz w:val="21"/>
          <w:szCs w:val="21"/>
        </w:rPr>
        <w:t>邮政编码：</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p>
    <w:p>
      <w:pPr>
        <w:pStyle w:val="6"/>
        <w:spacing w:before="1"/>
        <w:rPr>
          <w:rFonts w:ascii="Times New Roman"/>
          <w:color w:val="auto"/>
          <w:sz w:val="21"/>
          <w:szCs w:val="21"/>
        </w:rPr>
      </w:pPr>
    </w:p>
    <w:p>
      <w:pPr>
        <w:pStyle w:val="6"/>
        <w:tabs>
          <w:tab w:val="left" w:pos="6045"/>
          <w:tab w:val="left" w:pos="7125"/>
          <w:tab w:val="left" w:pos="8205"/>
        </w:tabs>
        <w:spacing w:before="74"/>
        <w:ind w:left="4965"/>
        <w:rPr>
          <w:rFonts w:hint="eastAsia"/>
          <w:color w:val="auto"/>
          <w:sz w:val="21"/>
          <w:szCs w:val="21"/>
        </w:rPr>
      </w:pP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color w:val="auto"/>
          <w:sz w:val="21"/>
          <w:szCs w:val="21"/>
          <w:u w:val="single"/>
        </w:rPr>
        <w:tab/>
      </w:r>
      <w:r>
        <w:rPr>
          <w:color w:val="auto"/>
          <w:sz w:val="21"/>
          <w:szCs w:val="21"/>
        </w:rPr>
        <w:t>日</w:t>
      </w:r>
    </w:p>
    <w:p>
      <w:pPr>
        <w:pStyle w:val="6"/>
        <w:tabs>
          <w:tab w:val="left" w:pos="6045"/>
          <w:tab w:val="left" w:pos="7125"/>
          <w:tab w:val="left" w:pos="8205"/>
        </w:tabs>
        <w:spacing w:before="74"/>
        <w:rPr>
          <w:rFonts w:hint="eastAsia"/>
          <w:color w:val="auto"/>
          <w:sz w:val="21"/>
          <w:szCs w:val="21"/>
          <w:lang w:eastAsia="zh-CN"/>
        </w:rPr>
      </w:pPr>
    </w:p>
    <w:p>
      <w:pPr>
        <w:pStyle w:val="6"/>
        <w:tabs>
          <w:tab w:val="left" w:pos="6045"/>
          <w:tab w:val="left" w:pos="7125"/>
          <w:tab w:val="left" w:pos="8205"/>
        </w:tabs>
        <w:spacing w:before="74"/>
        <w:jc w:val="center"/>
        <w:rPr>
          <w:rFonts w:hint="eastAsia"/>
          <w:color w:val="auto"/>
          <w:lang w:eastAsia="zh-CN"/>
        </w:rPr>
      </w:pPr>
    </w:p>
    <w:p>
      <w:pPr>
        <w:pStyle w:val="6"/>
        <w:tabs>
          <w:tab w:val="left" w:pos="6045"/>
          <w:tab w:val="left" w:pos="7125"/>
          <w:tab w:val="left" w:pos="8205"/>
        </w:tabs>
        <w:spacing w:before="74"/>
        <w:jc w:val="center"/>
        <w:rPr>
          <w:rFonts w:hint="eastAsia"/>
          <w:color w:val="auto"/>
          <w:lang w:eastAsia="zh-CN"/>
        </w:rPr>
      </w:pPr>
    </w:p>
    <w:p>
      <w:pPr>
        <w:pStyle w:val="6"/>
        <w:tabs>
          <w:tab w:val="left" w:pos="6045"/>
          <w:tab w:val="left" w:pos="7125"/>
          <w:tab w:val="left" w:pos="8205"/>
        </w:tabs>
        <w:spacing w:before="74"/>
        <w:jc w:val="center"/>
        <w:rPr>
          <w:rFonts w:hint="eastAsia"/>
          <w:color w:val="auto"/>
          <w:lang w:eastAsia="zh-CN"/>
        </w:rPr>
      </w:pPr>
    </w:p>
    <w:p>
      <w:pPr>
        <w:pStyle w:val="6"/>
        <w:tabs>
          <w:tab w:val="left" w:pos="6045"/>
          <w:tab w:val="left" w:pos="7125"/>
          <w:tab w:val="left" w:pos="8205"/>
        </w:tabs>
        <w:spacing w:before="74"/>
        <w:jc w:val="center"/>
        <w:rPr>
          <w:rFonts w:hint="eastAsia"/>
          <w:color w:val="auto"/>
          <w:lang w:eastAsia="zh-CN"/>
        </w:rPr>
      </w:pPr>
    </w:p>
    <w:p>
      <w:pPr>
        <w:pStyle w:val="6"/>
        <w:tabs>
          <w:tab w:val="left" w:pos="6045"/>
          <w:tab w:val="left" w:pos="7125"/>
          <w:tab w:val="left" w:pos="8205"/>
        </w:tabs>
        <w:spacing w:before="74"/>
        <w:jc w:val="center"/>
        <w:rPr>
          <w:color w:val="auto"/>
        </w:rPr>
      </w:pPr>
      <w:r>
        <w:rPr>
          <w:color w:val="auto"/>
        </w:rPr>
        <w:t>投标函附录</w:t>
      </w:r>
    </w:p>
    <w:p>
      <w:pPr>
        <w:pStyle w:val="6"/>
        <w:spacing w:after="1"/>
        <w:rPr>
          <w:rFonts w:ascii="黑体"/>
          <w:color w:val="auto"/>
          <w:sz w:val="19"/>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2711"/>
        <w:gridCol w:w="1186"/>
        <w:gridCol w:w="3616"/>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28" w:line="252" w:lineRule="exact"/>
              <w:ind w:left="109" w:right="100"/>
              <w:jc w:val="center"/>
              <w:rPr>
                <w:b/>
                <w:color w:val="auto"/>
                <w:sz w:val="21"/>
              </w:rPr>
            </w:pPr>
            <w:r>
              <w:rPr>
                <w:b/>
                <w:color w:val="auto"/>
                <w:sz w:val="21"/>
              </w:rPr>
              <w:t>序号</w:t>
            </w:r>
          </w:p>
        </w:tc>
        <w:tc>
          <w:tcPr>
            <w:tcW w:w="2711" w:type="dxa"/>
            <w:noWrap w:val="0"/>
            <w:vAlign w:val="top"/>
          </w:tcPr>
          <w:p>
            <w:pPr>
              <w:pStyle w:val="17"/>
              <w:spacing w:before="128" w:line="252" w:lineRule="exact"/>
              <w:ind w:left="285" w:right="276"/>
              <w:jc w:val="center"/>
              <w:rPr>
                <w:b/>
                <w:color w:val="auto"/>
                <w:sz w:val="21"/>
              </w:rPr>
            </w:pPr>
            <w:r>
              <w:rPr>
                <w:b/>
                <w:color w:val="auto"/>
                <w:sz w:val="21"/>
              </w:rPr>
              <w:t>条款名称</w:t>
            </w:r>
          </w:p>
        </w:tc>
        <w:tc>
          <w:tcPr>
            <w:tcW w:w="1186" w:type="dxa"/>
            <w:noWrap w:val="0"/>
            <w:vAlign w:val="top"/>
          </w:tcPr>
          <w:p>
            <w:pPr>
              <w:pStyle w:val="17"/>
              <w:spacing w:before="128" w:line="252" w:lineRule="exact"/>
              <w:ind w:left="6"/>
              <w:jc w:val="center"/>
              <w:rPr>
                <w:b/>
                <w:color w:val="auto"/>
                <w:sz w:val="21"/>
              </w:rPr>
            </w:pPr>
            <w:r>
              <w:rPr>
                <w:b/>
                <w:color w:val="auto"/>
                <w:sz w:val="21"/>
              </w:rPr>
              <w:t>合同条目号</w:t>
            </w:r>
          </w:p>
        </w:tc>
        <w:tc>
          <w:tcPr>
            <w:tcW w:w="3616" w:type="dxa"/>
            <w:noWrap w:val="0"/>
            <w:vAlign w:val="top"/>
          </w:tcPr>
          <w:p>
            <w:pPr>
              <w:pStyle w:val="17"/>
              <w:spacing w:before="128" w:line="252" w:lineRule="exact"/>
              <w:ind w:left="1363" w:right="1358"/>
              <w:jc w:val="center"/>
              <w:rPr>
                <w:b/>
                <w:color w:val="auto"/>
                <w:sz w:val="21"/>
              </w:rPr>
            </w:pPr>
            <w:r>
              <w:rPr>
                <w:b/>
                <w:color w:val="auto"/>
                <w:sz w:val="21"/>
              </w:rPr>
              <w:t>约定内容</w:t>
            </w:r>
          </w:p>
        </w:tc>
        <w:tc>
          <w:tcPr>
            <w:tcW w:w="749" w:type="dxa"/>
            <w:noWrap w:val="0"/>
            <w:vAlign w:val="top"/>
          </w:tcPr>
          <w:p>
            <w:pPr>
              <w:pStyle w:val="17"/>
              <w:spacing w:before="128" w:line="252" w:lineRule="exact"/>
              <w:ind w:left="158"/>
              <w:rPr>
                <w:b/>
                <w:color w:val="auto"/>
                <w:sz w:val="21"/>
              </w:rPr>
            </w:pPr>
            <w:r>
              <w:rPr>
                <w:b/>
                <w:color w:val="auto"/>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noWrap w:val="0"/>
            <w:vAlign w:val="top"/>
          </w:tcPr>
          <w:p>
            <w:pPr>
              <w:pStyle w:val="17"/>
              <w:spacing w:before="151" w:line="226" w:lineRule="exact"/>
              <w:ind w:left="9"/>
              <w:jc w:val="center"/>
              <w:rPr>
                <w:rFonts w:ascii="Times New Roman"/>
                <w:color w:val="auto"/>
                <w:sz w:val="21"/>
              </w:rPr>
            </w:pPr>
            <w:r>
              <w:rPr>
                <w:rFonts w:ascii="Times New Roman"/>
                <w:color w:val="auto"/>
                <w:sz w:val="21"/>
              </w:rPr>
              <w:t>1</w:t>
            </w:r>
          </w:p>
        </w:tc>
        <w:tc>
          <w:tcPr>
            <w:tcW w:w="2711" w:type="dxa"/>
            <w:noWrap w:val="0"/>
            <w:vAlign w:val="top"/>
          </w:tcPr>
          <w:p>
            <w:pPr>
              <w:pStyle w:val="17"/>
              <w:spacing w:before="128" w:line="250" w:lineRule="exact"/>
              <w:ind w:left="283" w:right="276"/>
              <w:jc w:val="center"/>
              <w:rPr>
                <w:color w:val="auto"/>
                <w:sz w:val="21"/>
              </w:rPr>
            </w:pPr>
            <w:r>
              <w:rPr>
                <w:color w:val="auto"/>
                <w:sz w:val="21"/>
              </w:rPr>
              <w:t>缺陷责任期</w:t>
            </w:r>
          </w:p>
        </w:tc>
        <w:tc>
          <w:tcPr>
            <w:tcW w:w="1186" w:type="dxa"/>
            <w:noWrap w:val="0"/>
            <w:vAlign w:val="top"/>
          </w:tcPr>
          <w:p>
            <w:pPr>
              <w:pStyle w:val="17"/>
              <w:spacing w:before="151" w:line="226" w:lineRule="exact"/>
              <w:ind w:left="6"/>
              <w:jc w:val="center"/>
              <w:rPr>
                <w:rFonts w:ascii="Times New Roman"/>
                <w:color w:val="auto"/>
                <w:sz w:val="21"/>
              </w:rPr>
            </w:pPr>
            <w:r>
              <w:rPr>
                <w:rFonts w:ascii="Times New Roman"/>
                <w:color w:val="auto"/>
                <w:sz w:val="21"/>
              </w:rPr>
              <w:t>1.1.4.5</w:t>
            </w:r>
          </w:p>
        </w:tc>
        <w:tc>
          <w:tcPr>
            <w:tcW w:w="3616" w:type="dxa"/>
            <w:noWrap w:val="0"/>
            <w:vAlign w:val="top"/>
          </w:tcPr>
          <w:p>
            <w:pPr>
              <w:pStyle w:val="17"/>
              <w:tabs>
                <w:tab w:val="left" w:pos="2520"/>
              </w:tabs>
              <w:spacing w:before="128" w:line="250" w:lineRule="exact"/>
              <w:ind w:left="106"/>
              <w:rPr>
                <w:color w:val="auto"/>
                <w:sz w:val="21"/>
              </w:rPr>
            </w:pPr>
            <w:r>
              <w:rPr>
                <w:color w:val="auto"/>
                <w:sz w:val="21"/>
              </w:rPr>
              <w:t>自实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rPr>
              <w:t>2</w:t>
            </w:r>
            <w:r>
              <w:rPr>
                <w:color w:val="auto"/>
                <w:sz w:val="21"/>
              </w:rPr>
              <w:t>年</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4" w:line="226" w:lineRule="exact"/>
              <w:ind w:left="9"/>
              <w:jc w:val="center"/>
              <w:rPr>
                <w:rFonts w:ascii="Times New Roman"/>
                <w:color w:val="auto"/>
                <w:sz w:val="21"/>
              </w:rPr>
            </w:pPr>
            <w:r>
              <w:rPr>
                <w:rFonts w:ascii="Times New Roman"/>
                <w:color w:val="auto"/>
                <w:sz w:val="21"/>
              </w:rPr>
              <w:t>2</w:t>
            </w:r>
          </w:p>
        </w:tc>
        <w:tc>
          <w:tcPr>
            <w:tcW w:w="2711" w:type="dxa"/>
            <w:noWrap w:val="0"/>
            <w:vAlign w:val="top"/>
          </w:tcPr>
          <w:p>
            <w:pPr>
              <w:pStyle w:val="17"/>
              <w:spacing w:before="130" w:line="250" w:lineRule="exact"/>
              <w:ind w:left="285" w:right="276"/>
              <w:jc w:val="center"/>
              <w:rPr>
                <w:color w:val="auto"/>
                <w:sz w:val="21"/>
              </w:rPr>
            </w:pPr>
            <w:r>
              <w:rPr>
                <w:color w:val="auto"/>
                <w:sz w:val="21"/>
              </w:rPr>
              <w:t>逾期交工违约金</w:t>
            </w:r>
          </w:p>
        </w:tc>
        <w:tc>
          <w:tcPr>
            <w:tcW w:w="1186" w:type="dxa"/>
            <w:noWrap w:val="0"/>
            <w:vAlign w:val="top"/>
          </w:tcPr>
          <w:p>
            <w:pPr>
              <w:pStyle w:val="17"/>
              <w:spacing w:before="130" w:line="250" w:lineRule="exact"/>
              <w:ind w:left="6"/>
              <w:jc w:val="center"/>
              <w:rPr>
                <w:color w:val="auto"/>
                <w:sz w:val="21"/>
              </w:rPr>
            </w:pPr>
            <w:r>
              <w:rPr>
                <w:rFonts w:ascii="Times New Roman" w:eastAsia="Times New Roman"/>
                <w:color w:val="auto"/>
                <w:sz w:val="21"/>
              </w:rPr>
              <w:t>11.5</w:t>
            </w:r>
            <w:r>
              <w:rPr>
                <w:color w:val="auto"/>
                <w:sz w:val="21"/>
              </w:rPr>
              <w:t>（</w:t>
            </w:r>
            <w:r>
              <w:rPr>
                <w:rFonts w:ascii="Times New Roman" w:eastAsia="Times New Roman"/>
                <w:color w:val="auto"/>
                <w:sz w:val="21"/>
              </w:rPr>
              <w:t>3</w:t>
            </w:r>
            <w:r>
              <w:rPr>
                <w:color w:val="auto"/>
                <w:sz w:val="21"/>
              </w:rPr>
              <w:t>）</w:t>
            </w:r>
          </w:p>
        </w:tc>
        <w:tc>
          <w:tcPr>
            <w:tcW w:w="3616" w:type="dxa"/>
            <w:noWrap w:val="0"/>
            <w:vAlign w:val="top"/>
          </w:tcPr>
          <w:p>
            <w:pPr>
              <w:pStyle w:val="17"/>
              <w:tabs>
                <w:tab w:val="left" w:pos="528"/>
              </w:tabs>
              <w:spacing w:before="130"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1</w:t>
            </w:r>
            <w:r>
              <w:rPr>
                <w:rFonts w:hint="eastAsia" w:ascii="Times New Roman"/>
                <w:color w:val="auto"/>
                <w:sz w:val="21"/>
                <w:u w:val="single"/>
              </w:rPr>
              <w:t>000</w:t>
            </w:r>
            <w:r>
              <w:rPr>
                <w:color w:val="auto"/>
                <w:sz w:val="21"/>
              </w:rPr>
              <w:t>元</w:t>
            </w:r>
            <w:r>
              <w:rPr>
                <w:rFonts w:ascii="Times New Roman" w:eastAsia="Times New Roman"/>
                <w:color w:val="auto"/>
                <w:spacing w:val="-4"/>
                <w:sz w:val="21"/>
              </w:rPr>
              <w:t>/</w:t>
            </w:r>
            <w:r>
              <w:rPr>
                <w:color w:val="auto"/>
                <w:sz w:val="21"/>
              </w:rPr>
              <w:t>天</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3</w:t>
            </w:r>
          </w:p>
        </w:tc>
        <w:tc>
          <w:tcPr>
            <w:tcW w:w="2711" w:type="dxa"/>
            <w:noWrap w:val="0"/>
            <w:vAlign w:val="top"/>
          </w:tcPr>
          <w:p>
            <w:pPr>
              <w:pStyle w:val="17"/>
              <w:spacing w:before="128" w:line="252" w:lineRule="exact"/>
              <w:ind w:left="283" w:right="276"/>
              <w:jc w:val="center"/>
              <w:rPr>
                <w:color w:val="auto"/>
                <w:sz w:val="21"/>
              </w:rPr>
            </w:pPr>
            <w:r>
              <w:rPr>
                <w:color w:val="auto"/>
                <w:sz w:val="21"/>
              </w:rPr>
              <w:t>逾期交工违约金限额</w:t>
            </w:r>
          </w:p>
        </w:tc>
        <w:tc>
          <w:tcPr>
            <w:tcW w:w="1186" w:type="dxa"/>
            <w:noWrap w:val="0"/>
            <w:vAlign w:val="top"/>
          </w:tcPr>
          <w:p>
            <w:pPr>
              <w:pStyle w:val="17"/>
              <w:spacing w:before="128" w:line="252" w:lineRule="exact"/>
              <w:ind w:left="6"/>
              <w:jc w:val="center"/>
              <w:rPr>
                <w:color w:val="auto"/>
                <w:sz w:val="21"/>
              </w:rPr>
            </w:pPr>
            <w:r>
              <w:rPr>
                <w:rFonts w:ascii="Times New Roman" w:eastAsia="Times New Roman"/>
                <w:color w:val="auto"/>
                <w:sz w:val="21"/>
              </w:rPr>
              <w:t>11.5</w:t>
            </w:r>
            <w:r>
              <w:rPr>
                <w:color w:val="auto"/>
                <w:sz w:val="21"/>
              </w:rPr>
              <w:t>（</w:t>
            </w:r>
            <w:r>
              <w:rPr>
                <w:rFonts w:ascii="Times New Roman" w:eastAsia="Times New Roman"/>
                <w:color w:val="auto"/>
                <w:sz w:val="21"/>
              </w:rPr>
              <w:t>3</w:t>
            </w:r>
            <w:r>
              <w:rPr>
                <w:color w:val="auto"/>
                <w:sz w:val="21"/>
              </w:rPr>
              <w:t>）</w:t>
            </w:r>
          </w:p>
        </w:tc>
        <w:tc>
          <w:tcPr>
            <w:tcW w:w="3616" w:type="dxa"/>
            <w:noWrap w:val="0"/>
            <w:vAlign w:val="top"/>
          </w:tcPr>
          <w:p>
            <w:pPr>
              <w:pStyle w:val="17"/>
              <w:tabs>
                <w:tab w:val="left" w:pos="423"/>
              </w:tabs>
              <w:spacing w:before="128" w:line="252"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2</w:t>
            </w:r>
            <w:r>
              <w:rPr>
                <w:rFonts w:ascii="Times New Roman" w:eastAsia="Times New Roman"/>
                <w:color w:val="auto"/>
                <w:sz w:val="21"/>
              </w:rPr>
              <w:t>%</w:t>
            </w:r>
            <w:r>
              <w:rPr>
                <w:color w:val="auto"/>
                <w:spacing w:val="-3"/>
                <w:sz w:val="21"/>
              </w:rPr>
              <w:t>签约合同价</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tcBorders>
              <w:bottom w:val="single" w:color="000000" w:sz="6" w:space="0"/>
            </w:tcBorders>
            <w:noWrap w:val="0"/>
            <w:vAlign w:val="top"/>
          </w:tcPr>
          <w:p>
            <w:pPr>
              <w:pStyle w:val="17"/>
              <w:spacing w:before="151" w:line="227" w:lineRule="exact"/>
              <w:ind w:left="9"/>
              <w:jc w:val="center"/>
              <w:rPr>
                <w:rFonts w:ascii="Times New Roman"/>
                <w:color w:val="auto"/>
                <w:sz w:val="21"/>
              </w:rPr>
            </w:pPr>
            <w:r>
              <w:rPr>
                <w:rFonts w:ascii="Times New Roman"/>
                <w:color w:val="auto"/>
                <w:sz w:val="21"/>
              </w:rPr>
              <w:t>4</w:t>
            </w:r>
          </w:p>
        </w:tc>
        <w:tc>
          <w:tcPr>
            <w:tcW w:w="2711" w:type="dxa"/>
            <w:tcBorders>
              <w:bottom w:val="single" w:color="000000" w:sz="6" w:space="0"/>
            </w:tcBorders>
            <w:noWrap w:val="0"/>
            <w:vAlign w:val="top"/>
          </w:tcPr>
          <w:p>
            <w:pPr>
              <w:pStyle w:val="17"/>
              <w:spacing w:before="128" w:line="250" w:lineRule="exact"/>
              <w:ind w:left="285" w:right="275"/>
              <w:jc w:val="center"/>
              <w:rPr>
                <w:color w:val="auto"/>
                <w:sz w:val="21"/>
              </w:rPr>
            </w:pPr>
            <w:r>
              <w:rPr>
                <w:color w:val="auto"/>
                <w:sz w:val="21"/>
              </w:rPr>
              <w:t>提前交工的奖金</w:t>
            </w:r>
          </w:p>
        </w:tc>
        <w:tc>
          <w:tcPr>
            <w:tcW w:w="1186" w:type="dxa"/>
            <w:tcBorders>
              <w:bottom w:val="single" w:color="000000" w:sz="6" w:space="0"/>
            </w:tcBorders>
            <w:noWrap w:val="0"/>
            <w:vAlign w:val="top"/>
          </w:tcPr>
          <w:p>
            <w:pPr>
              <w:pStyle w:val="17"/>
              <w:spacing w:before="151" w:line="227" w:lineRule="exact"/>
              <w:ind w:left="9"/>
              <w:jc w:val="center"/>
              <w:rPr>
                <w:rFonts w:ascii="Times New Roman"/>
                <w:color w:val="auto"/>
                <w:sz w:val="21"/>
              </w:rPr>
            </w:pPr>
            <w:r>
              <w:rPr>
                <w:rFonts w:ascii="Times New Roman"/>
                <w:color w:val="auto"/>
                <w:sz w:val="21"/>
              </w:rPr>
              <w:t>11.6</w:t>
            </w:r>
          </w:p>
        </w:tc>
        <w:tc>
          <w:tcPr>
            <w:tcW w:w="3616" w:type="dxa"/>
            <w:tcBorders>
              <w:bottom w:val="single" w:color="000000" w:sz="6" w:space="0"/>
            </w:tcBorders>
            <w:noWrap w:val="0"/>
            <w:vAlign w:val="top"/>
          </w:tcPr>
          <w:p>
            <w:pPr>
              <w:pStyle w:val="17"/>
              <w:tabs>
                <w:tab w:val="left" w:pos="528"/>
              </w:tabs>
              <w:spacing w:before="128"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rPr>
              <w:t>0</w:t>
            </w:r>
            <w:r>
              <w:rPr>
                <w:rFonts w:ascii="Times New Roman" w:eastAsia="Times New Roman"/>
                <w:color w:val="auto"/>
                <w:sz w:val="21"/>
                <w:u w:val="single"/>
              </w:rPr>
              <w:tab/>
            </w:r>
            <w:r>
              <w:rPr>
                <w:color w:val="auto"/>
                <w:sz w:val="21"/>
              </w:rPr>
              <w:t>元</w:t>
            </w:r>
            <w:r>
              <w:rPr>
                <w:rFonts w:ascii="Times New Roman" w:eastAsia="Times New Roman"/>
                <w:color w:val="auto"/>
                <w:spacing w:val="-4"/>
                <w:sz w:val="21"/>
              </w:rPr>
              <w:t>/</w:t>
            </w:r>
            <w:r>
              <w:rPr>
                <w:color w:val="auto"/>
                <w:sz w:val="21"/>
              </w:rPr>
              <w:t>天</w:t>
            </w:r>
          </w:p>
        </w:tc>
        <w:tc>
          <w:tcPr>
            <w:tcW w:w="749" w:type="dxa"/>
            <w:tcBorders>
              <w:bottom w:val="single" w:color="000000" w:sz="6" w:space="0"/>
            </w:tcBorders>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tcBorders>
              <w:top w:val="single" w:color="000000" w:sz="6" w:space="0"/>
            </w:tcBorders>
            <w:noWrap w:val="0"/>
            <w:vAlign w:val="top"/>
          </w:tcPr>
          <w:p>
            <w:pPr>
              <w:pStyle w:val="17"/>
              <w:spacing w:before="149" w:line="229" w:lineRule="exact"/>
              <w:ind w:left="9"/>
              <w:jc w:val="center"/>
              <w:rPr>
                <w:rFonts w:ascii="Times New Roman"/>
                <w:color w:val="auto"/>
                <w:sz w:val="21"/>
              </w:rPr>
            </w:pPr>
            <w:r>
              <w:rPr>
                <w:rFonts w:ascii="Times New Roman"/>
                <w:color w:val="auto"/>
                <w:sz w:val="21"/>
              </w:rPr>
              <w:t>5</w:t>
            </w:r>
          </w:p>
        </w:tc>
        <w:tc>
          <w:tcPr>
            <w:tcW w:w="2711" w:type="dxa"/>
            <w:tcBorders>
              <w:top w:val="single" w:color="000000" w:sz="6" w:space="0"/>
            </w:tcBorders>
            <w:noWrap w:val="0"/>
            <w:vAlign w:val="top"/>
          </w:tcPr>
          <w:p>
            <w:pPr>
              <w:pStyle w:val="17"/>
              <w:spacing w:before="126" w:line="252" w:lineRule="exact"/>
              <w:ind w:left="283" w:right="276"/>
              <w:jc w:val="center"/>
              <w:rPr>
                <w:color w:val="auto"/>
                <w:sz w:val="21"/>
              </w:rPr>
            </w:pPr>
            <w:r>
              <w:rPr>
                <w:color w:val="auto"/>
                <w:sz w:val="21"/>
              </w:rPr>
              <w:t>提前交工的奖金限额</w:t>
            </w:r>
          </w:p>
        </w:tc>
        <w:tc>
          <w:tcPr>
            <w:tcW w:w="1186" w:type="dxa"/>
            <w:tcBorders>
              <w:top w:val="single" w:color="000000" w:sz="6" w:space="0"/>
            </w:tcBorders>
            <w:noWrap w:val="0"/>
            <w:vAlign w:val="top"/>
          </w:tcPr>
          <w:p>
            <w:pPr>
              <w:pStyle w:val="17"/>
              <w:spacing w:before="149" w:line="229" w:lineRule="exact"/>
              <w:ind w:left="9"/>
              <w:jc w:val="center"/>
              <w:rPr>
                <w:rFonts w:ascii="Times New Roman"/>
                <w:color w:val="auto"/>
                <w:sz w:val="21"/>
              </w:rPr>
            </w:pPr>
            <w:r>
              <w:rPr>
                <w:rFonts w:ascii="Times New Roman"/>
                <w:color w:val="auto"/>
                <w:sz w:val="21"/>
              </w:rPr>
              <w:t>11.6</w:t>
            </w:r>
          </w:p>
        </w:tc>
        <w:tc>
          <w:tcPr>
            <w:tcW w:w="3616" w:type="dxa"/>
            <w:tcBorders>
              <w:top w:val="single" w:color="000000" w:sz="6" w:space="0"/>
            </w:tcBorders>
            <w:noWrap w:val="0"/>
            <w:vAlign w:val="top"/>
          </w:tcPr>
          <w:p>
            <w:pPr>
              <w:pStyle w:val="17"/>
              <w:tabs>
                <w:tab w:val="left" w:pos="528"/>
              </w:tabs>
              <w:spacing w:before="126" w:line="252"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rPr>
              <w:t xml:space="preserve">0 </w:t>
            </w:r>
            <w:r>
              <w:rPr>
                <w:rFonts w:ascii="Times New Roman" w:eastAsia="Times New Roman"/>
                <w:color w:val="auto"/>
                <w:spacing w:val="-4"/>
                <w:sz w:val="21"/>
              </w:rPr>
              <w:t>%</w:t>
            </w:r>
            <w:r>
              <w:rPr>
                <w:color w:val="auto"/>
                <w:spacing w:val="-3"/>
                <w:sz w:val="21"/>
              </w:rPr>
              <w:t>签约合同价</w:t>
            </w:r>
          </w:p>
        </w:tc>
        <w:tc>
          <w:tcPr>
            <w:tcW w:w="749" w:type="dxa"/>
            <w:tcBorders>
              <w:top w:val="single" w:color="000000" w:sz="6" w:space="0"/>
            </w:tcBorders>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6</w:t>
            </w:r>
          </w:p>
        </w:tc>
        <w:tc>
          <w:tcPr>
            <w:tcW w:w="2711" w:type="dxa"/>
            <w:noWrap w:val="0"/>
            <w:vAlign w:val="top"/>
          </w:tcPr>
          <w:p>
            <w:pPr>
              <w:pStyle w:val="17"/>
              <w:spacing w:before="128" w:line="252" w:lineRule="exact"/>
              <w:ind w:left="283" w:right="276"/>
              <w:jc w:val="center"/>
              <w:rPr>
                <w:color w:val="auto"/>
                <w:sz w:val="21"/>
              </w:rPr>
            </w:pPr>
            <w:r>
              <w:rPr>
                <w:color w:val="auto"/>
                <w:sz w:val="21"/>
              </w:rPr>
              <w:t>价格调整的差额计算</w:t>
            </w:r>
          </w:p>
        </w:tc>
        <w:tc>
          <w:tcPr>
            <w:tcW w:w="1186" w:type="dxa"/>
            <w:noWrap w:val="0"/>
            <w:vAlign w:val="top"/>
          </w:tcPr>
          <w:p>
            <w:pPr>
              <w:pStyle w:val="17"/>
              <w:spacing w:before="151" w:line="229" w:lineRule="exact"/>
              <w:ind w:left="6"/>
              <w:jc w:val="center"/>
              <w:rPr>
                <w:rFonts w:ascii="Times New Roman"/>
                <w:color w:val="auto"/>
                <w:sz w:val="21"/>
              </w:rPr>
            </w:pPr>
            <w:r>
              <w:rPr>
                <w:rFonts w:ascii="Times New Roman"/>
                <w:color w:val="auto"/>
                <w:sz w:val="21"/>
              </w:rPr>
              <w:t>16.1.1</w:t>
            </w:r>
          </w:p>
        </w:tc>
        <w:tc>
          <w:tcPr>
            <w:tcW w:w="3616" w:type="dxa"/>
            <w:noWrap w:val="0"/>
            <w:vAlign w:val="top"/>
          </w:tcPr>
          <w:p>
            <w:pPr>
              <w:spacing w:line="360" w:lineRule="auto"/>
              <w:rPr>
                <w:b/>
                <w:color w:val="auto"/>
                <w:sz w:val="21"/>
                <w:szCs w:val="21"/>
              </w:rPr>
            </w:pPr>
            <w:r>
              <w:rPr>
                <w:rFonts w:hint="eastAsia"/>
                <w:b/>
                <w:color w:val="auto"/>
                <w:sz w:val="21"/>
                <w:szCs w:val="21"/>
              </w:rPr>
              <w:t>合同期不调价。</w:t>
            </w:r>
          </w:p>
          <w:p>
            <w:pPr>
              <w:spacing w:line="400" w:lineRule="exact"/>
              <w:rPr>
                <w:b/>
                <w:bCs/>
                <w:color w:val="auto"/>
                <w:sz w:val="21"/>
                <w:szCs w:val="21"/>
              </w:rPr>
            </w:pPr>
            <w:r>
              <w:rPr>
                <w:rFonts w:hint="eastAsia"/>
                <w:b/>
                <w:bCs/>
                <w:color w:val="auto"/>
                <w:sz w:val="21"/>
                <w:szCs w:val="21"/>
              </w:rPr>
              <w:t>法律变化引起的价格调整：</w:t>
            </w:r>
          </w:p>
          <w:p>
            <w:pPr>
              <w:pStyle w:val="17"/>
              <w:spacing w:before="128" w:line="252" w:lineRule="exact"/>
              <w:ind w:left="106"/>
              <w:rPr>
                <w:color w:val="auto"/>
                <w:sz w:val="21"/>
              </w:rPr>
            </w:pPr>
            <w:r>
              <w:rPr>
                <w:rFonts w:hint="eastAsia"/>
                <w:b/>
                <w:color w:val="auto"/>
                <w:sz w:val="21"/>
                <w:szCs w:val="21"/>
              </w:rPr>
              <w:t>国家或省（自治区、直辖市）颁布的法律、法规、办法等出现修改或变更，此项增加或减少的费用由承包人自行承担、消化，招标人对此不再进行调整和补偿。投标人应充分考虑此部分的风险费用。</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2" w:type="dxa"/>
            <w:noWrap w:val="0"/>
            <w:vAlign w:val="top"/>
          </w:tcPr>
          <w:p>
            <w:pPr>
              <w:pStyle w:val="17"/>
              <w:spacing w:before="151" w:line="226" w:lineRule="exact"/>
              <w:ind w:left="9"/>
              <w:jc w:val="center"/>
              <w:rPr>
                <w:rFonts w:ascii="Times New Roman"/>
                <w:color w:val="auto"/>
                <w:sz w:val="21"/>
              </w:rPr>
            </w:pPr>
            <w:r>
              <w:rPr>
                <w:rFonts w:ascii="Times New Roman"/>
                <w:color w:val="auto"/>
                <w:sz w:val="21"/>
              </w:rPr>
              <w:t>7</w:t>
            </w:r>
          </w:p>
        </w:tc>
        <w:tc>
          <w:tcPr>
            <w:tcW w:w="2711" w:type="dxa"/>
            <w:noWrap w:val="0"/>
            <w:vAlign w:val="top"/>
          </w:tcPr>
          <w:p>
            <w:pPr>
              <w:pStyle w:val="17"/>
              <w:spacing w:before="128" w:line="250" w:lineRule="exact"/>
              <w:ind w:left="285" w:right="276"/>
              <w:jc w:val="center"/>
              <w:rPr>
                <w:color w:val="auto"/>
                <w:sz w:val="21"/>
              </w:rPr>
            </w:pPr>
            <w:r>
              <w:rPr>
                <w:color w:val="auto"/>
                <w:sz w:val="21"/>
              </w:rPr>
              <w:t>开工预付款金额</w:t>
            </w:r>
          </w:p>
        </w:tc>
        <w:tc>
          <w:tcPr>
            <w:tcW w:w="1186" w:type="dxa"/>
            <w:noWrap w:val="0"/>
            <w:vAlign w:val="top"/>
          </w:tcPr>
          <w:p>
            <w:pPr>
              <w:pStyle w:val="17"/>
              <w:spacing w:before="128" w:line="250" w:lineRule="exact"/>
              <w:ind w:left="90"/>
              <w:jc w:val="center"/>
              <w:rPr>
                <w:color w:val="auto"/>
                <w:sz w:val="21"/>
              </w:rPr>
            </w:pPr>
            <w:r>
              <w:rPr>
                <w:rFonts w:ascii="Times New Roman" w:eastAsia="Times New Roman"/>
                <w:color w:val="auto"/>
                <w:sz w:val="21"/>
              </w:rPr>
              <w:t>17.2.1</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423"/>
              </w:tabs>
              <w:spacing w:before="128"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10</w:t>
            </w:r>
            <w:r>
              <w:rPr>
                <w:rFonts w:hint="eastAsia" w:ascii="Times New Roman"/>
                <w:color w:val="auto"/>
                <w:sz w:val="21"/>
                <w:u w:val="single"/>
              </w:rPr>
              <w:t xml:space="preserve"> </w:t>
            </w:r>
            <w:r>
              <w:rPr>
                <w:rFonts w:ascii="Times New Roman" w:eastAsia="Times New Roman"/>
                <w:color w:val="auto"/>
                <w:sz w:val="21"/>
              </w:rPr>
              <w:t>%</w:t>
            </w:r>
            <w:r>
              <w:rPr>
                <w:color w:val="auto"/>
                <w:spacing w:val="-3"/>
                <w:sz w:val="21"/>
              </w:rPr>
              <w:t>签约合同价</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682" w:type="dxa"/>
            <w:noWrap w:val="0"/>
            <w:vAlign w:val="top"/>
          </w:tcPr>
          <w:p>
            <w:pPr>
              <w:pStyle w:val="17"/>
              <w:spacing w:before="7"/>
              <w:rPr>
                <w:rFonts w:ascii="黑体"/>
                <w:color w:val="auto"/>
                <w:sz w:val="27"/>
              </w:rPr>
            </w:pPr>
          </w:p>
          <w:p>
            <w:pPr>
              <w:pStyle w:val="17"/>
              <w:ind w:left="9"/>
              <w:jc w:val="center"/>
              <w:rPr>
                <w:rFonts w:ascii="Times New Roman"/>
                <w:color w:val="auto"/>
                <w:sz w:val="21"/>
              </w:rPr>
            </w:pPr>
            <w:r>
              <w:rPr>
                <w:rFonts w:ascii="Times New Roman"/>
                <w:color w:val="auto"/>
                <w:sz w:val="21"/>
              </w:rPr>
              <w:t>8</w:t>
            </w:r>
          </w:p>
        </w:tc>
        <w:tc>
          <w:tcPr>
            <w:tcW w:w="2711" w:type="dxa"/>
            <w:noWrap w:val="0"/>
            <w:vAlign w:val="top"/>
          </w:tcPr>
          <w:p>
            <w:pPr>
              <w:pStyle w:val="17"/>
              <w:spacing w:before="9"/>
              <w:rPr>
                <w:rFonts w:ascii="黑体"/>
                <w:color w:val="auto"/>
                <w:sz w:val="25"/>
              </w:rPr>
            </w:pPr>
          </w:p>
          <w:p>
            <w:pPr>
              <w:pStyle w:val="17"/>
              <w:ind w:left="285" w:right="276"/>
              <w:jc w:val="center"/>
              <w:rPr>
                <w:color w:val="auto"/>
                <w:sz w:val="21"/>
              </w:rPr>
            </w:pPr>
            <w:r>
              <w:rPr>
                <w:color w:val="auto"/>
                <w:sz w:val="21"/>
              </w:rPr>
              <w:t>材料、设备预付款比例</w:t>
            </w:r>
          </w:p>
        </w:tc>
        <w:tc>
          <w:tcPr>
            <w:tcW w:w="1186" w:type="dxa"/>
            <w:noWrap w:val="0"/>
            <w:vAlign w:val="top"/>
          </w:tcPr>
          <w:p>
            <w:pPr>
              <w:pStyle w:val="17"/>
              <w:spacing w:before="9"/>
              <w:rPr>
                <w:rFonts w:ascii="黑体"/>
                <w:color w:val="auto"/>
                <w:sz w:val="25"/>
              </w:rPr>
            </w:pPr>
          </w:p>
          <w:p>
            <w:pPr>
              <w:pStyle w:val="17"/>
              <w:ind w:left="90"/>
              <w:jc w:val="center"/>
              <w:rPr>
                <w:color w:val="auto"/>
                <w:sz w:val="21"/>
              </w:rPr>
            </w:pPr>
            <w:r>
              <w:rPr>
                <w:rFonts w:ascii="Times New Roman" w:eastAsia="Times New Roman"/>
                <w:color w:val="auto"/>
                <w:sz w:val="21"/>
              </w:rPr>
              <w:t>17.2.1</w:t>
            </w:r>
            <w:r>
              <w:rPr>
                <w:color w:val="auto"/>
                <w:sz w:val="21"/>
              </w:rPr>
              <w:t>（</w:t>
            </w:r>
            <w:r>
              <w:rPr>
                <w:rFonts w:ascii="Times New Roman" w:eastAsia="Times New Roman"/>
                <w:color w:val="auto"/>
                <w:sz w:val="21"/>
              </w:rPr>
              <w:t>2</w:t>
            </w:r>
            <w:r>
              <w:rPr>
                <w:color w:val="auto"/>
                <w:sz w:val="21"/>
              </w:rPr>
              <w:t>）</w:t>
            </w:r>
          </w:p>
        </w:tc>
        <w:tc>
          <w:tcPr>
            <w:tcW w:w="3616" w:type="dxa"/>
            <w:noWrap w:val="0"/>
            <w:vAlign w:val="top"/>
          </w:tcPr>
          <w:p>
            <w:pPr>
              <w:pStyle w:val="17"/>
              <w:tabs>
                <w:tab w:val="left" w:pos="528"/>
                <w:tab w:val="left" w:pos="634"/>
              </w:tabs>
              <w:spacing w:line="400" w:lineRule="atLeast"/>
              <w:ind w:left="106" w:right="101"/>
              <w:rPr>
                <w:rFonts w:ascii="Times New Roman" w:eastAsia="Times New Roman"/>
                <w:color w:val="auto"/>
                <w:sz w:val="21"/>
              </w:rPr>
            </w:pPr>
            <w:r>
              <w:rPr>
                <w:rFonts w:ascii="Times New Roman" w:eastAsia="Times New Roman"/>
                <w:color w:val="auto"/>
                <w:sz w:val="21"/>
                <w:u w:val="single"/>
              </w:rPr>
              <w:t xml:space="preserve"> </w:t>
            </w:r>
            <w:r>
              <w:rPr>
                <w:rFonts w:hint="eastAsia" w:ascii="Times New Roman"/>
                <w:color w:val="auto"/>
                <w:sz w:val="21"/>
                <w:u w:val="single"/>
              </w:rPr>
              <w:t>0</w:t>
            </w:r>
            <w:r>
              <w:rPr>
                <w:color w:val="auto"/>
                <w:sz w:val="21"/>
              </w:rPr>
              <w:t>等主要材料、设备单据所列费用的</w:t>
            </w:r>
            <w:r>
              <w:rPr>
                <w:color w:val="auto"/>
                <w:sz w:val="21"/>
                <w:u w:val="single"/>
              </w:rPr>
              <w:t xml:space="preserve"> </w:t>
            </w:r>
            <w:r>
              <w:rPr>
                <w:rFonts w:hint="eastAsia"/>
                <w:color w:val="auto"/>
                <w:sz w:val="21"/>
                <w:u w:val="single"/>
              </w:rPr>
              <w:t>0</w:t>
            </w:r>
            <w:r>
              <w:rPr>
                <w:color w:val="auto"/>
                <w:sz w:val="21"/>
                <w:u w:val="single"/>
              </w:rPr>
              <w:tab/>
            </w:r>
            <w:r>
              <w:rPr>
                <w:rFonts w:ascii="Times New Roman" w:eastAsia="Times New Roman"/>
                <w:color w:val="auto"/>
                <w:sz w:val="21"/>
              </w:rPr>
              <w:t>%</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9</w:t>
            </w:r>
          </w:p>
        </w:tc>
        <w:tc>
          <w:tcPr>
            <w:tcW w:w="2711" w:type="dxa"/>
            <w:noWrap w:val="0"/>
            <w:vAlign w:val="top"/>
          </w:tcPr>
          <w:p>
            <w:pPr>
              <w:pStyle w:val="17"/>
              <w:spacing w:before="128" w:line="252" w:lineRule="exact"/>
              <w:ind w:left="285" w:right="276"/>
              <w:jc w:val="center"/>
              <w:rPr>
                <w:color w:val="auto"/>
                <w:sz w:val="21"/>
              </w:rPr>
            </w:pPr>
            <w:r>
              <w:rPr>
                <w:color w:val="auto"/>
                <w:sz w:val="21"/>
              </w:rPr>
              <w:t>进度付款证书最低限额</w:t>
            </w:r>
          </w:p>
        </w:tc>
        <w:tc>
          <w:tcPr>
            <w:tcW w:w="1186" w:type="dxa"/>
            <w:noWrap w:val="0"/>
            <w:vAlign w:val="top"/>
          </w:tcPr>
          <w:p>
            <w:pPr>
              <w:pStyle w:val="17"/>
              <w:spacing w:before="128" w:line="252" w:lineRule="exact"/>
              <w:ind w:left="90"/>
              <w:jc w:val="center"/>
              <w:rPr>
                <w:color w:val="auto"/>
                <w:sz w:val="21"/>
              </w:rPr>
            </w:pPr>
            <w:r>
              <w:rPr>
                <w:rFonts w:ascii="Times New Roman" w:eastAsia="Times New Roman"/>
                <w:color w:val="auto"/>
                <w:sz w:val="21"/>
              </w:rPr>
              <w:t>17.3.3</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528"/>
                <w:tab w:val="left" w:pos="2487"/>
              </w:tabs>
              <w:spacing w:before="128" w:line="252" w:lineRule="exact"/>
              <w:ind w:left="106"/>
              <w:rPr>
                <w:color w:val="auto"/>
                <w:sz w:val="21"/>
              </w:rPr>
            </w:pPr>
            <w:r>
              <w:rPr>
                <w:color w:val="auto"/>
                <w:sz w:val="21"/>
                <w:u w:val="single"/>
              </w:rPr>
              <w:t xml:space="preserve"> </w:t>
            </w:r>
            <w:r>
              <w:rPr>
                <w:rFonts w:hint="eastAsia"/>
                <w:color w:val="auto"/>
                <w:sz w:val="21"/>
                <w:u w:val="single"/>
              </w:rPr>
              <w:t xml:space="preserve">/ </w:t>
            </w:r>
            <w:r>
              <w:rPr>
                <w:color w:val="auto"/>
                <w:sz w:val="21"/>
              </w:rPr>
              <w:t>万元</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109" w:right="100"/>
              <w:jc w:val="center"/>
              <w:rPr>
                <w:rFonts w:ascii="Times New Roman"/>
                <w:color w:val="auto"/>
                <w:sz w:val="21"/>
              </w:rPr>
            </w:pPr>
            <w:r>
              <w:rPr>
                <w:rFonts w:ascii="Times New Roman"/>
                <w:color w:val="auto"/>
                <w:sz w:val="21"/>
              </w:rPr>
              <w:t>10</w:t>
            </w:r>
          </w:p>
        </w:tc>
        <w:tc>
          <w:tcPr>
            <w:tcW w:w="2711" w:type="dxa"/>
            <w:noWrap w:val="0"/>
            <w:vAlign w:val="top"/>
          </w:tcPr>
          <w:p>
            <w:pPr>
              <w:pStyle w:val="17"/>
              <w:spacing w:before="128" w:line="252" w:lineRule="exact"/>
              <w:ind w:left="285" w:right="276"/>
              <w:jc w:val="center"/>
              <w:rPr>
                <w:color w:val="auto"/>
                <w:sz w:val="21"/>
              </w:rPr>
            </w:pPr>
            <w:r>
              <w:rPr>
                <w:color w:val="auto"/>
                <w:sz w:val="21"/>
              </w:rPr>
              <w:t>逾期付款违约金的利率</w:t>
            </w:r>
          </w:p>
        </w:tc>
        <w:tc>
          <w:tcPr>
            <w:tcW w:w="1186" w:type="dxa"/>
            <w:noWrap w:val="0"/>
            <w:vAlign w:val="top"/>
          </w:tcPr>
          <w:p>
            <w:pPr>
              <w:pStyle w:val="17"/>
              <w:spacing w:before="128" w:line="252" w:lineRule="exact"/>
              <w:ind w:left="90"/>
              <w:jc w:val="center"/>
              <w:rPr>
                <w:color w:val="auto"/>
                <w:sz w:val="21"/>
              </w:rPr>
            </w:pPr>
            <w:r>
              <w:rPr>
                <w:rFonts w:ascii="Times New Roman" w:eastAsia="Times New Roman"/>
                <w:color w:val="auto"/>
                <w:sz w:val="21"/>
              </w:rPr>
              <w:t>17.3.3</w:t>
            </w:r>
            <w:r>
              <w:rPr>
                <w:color w:val="auto"/>
                <w:sz w:val="21"/>
              </w:rPr>
              <w:t>（</w:t>
            </w:r>
            <w:r>
              <w:rPr>
                <w:rFonts w:ascii="Times New Roman" w:eastAsia="Times New Roman"/>
                <w:color w:val="auto"/>
                <w:sz w:val="21"/>
              </w:rPr>
              <w:t>2</w:t>
            </w:r>
            <w:r>
              <w:rPr>
                <w:color w:val="auto"/>
                <w:sz w:val="21"/>
              </w:rPr>
              <w:t>）</w:t>
            </w:r>
          </w:p>
        </w:tc>
        <w:tc>
          <w:tcPr>
            <w:tcW w:w="3616" w:type="dxa"/>
            <w:noWrap w:val="0"/>
            <w:vAlign w:val="top"/>
          </w:tcPr>
          <w:p>
            <w:pPr>
              <w:pStyle w:val="17"/>
              <w:tabs>
                <w:tab w:val="left" w:pos="632"/>
              </w:tabs>
              <w:spacing w:before="128" w:line="252" w:lineRule="exact"/>
              <w:ind w:left="106"/>
              <w:rPr>
                <w:color w:val="auto"/>
                <w:sz w:val="21"/>
              </w:rPr>
            </w:pPr>
            <w:r>
              <w:rPr>
                <w:rFonts w:hint="eastAsia" w:ascii="Times New Roman" w:hAnsi="Times New Roman"/>
                <w:color w:val="auto"/>
                <w:sz w:val="21"/>
                <w:u w:val="single"/>
              </w:rPr>
              <w:t xml:space="preserve">0 </w:t>
            </w:r>
            <w:r>
              <w:rPr>
                <w:rFonts w:ascii="Times New Roman" w:hAnsi="Times New Roman" w:eastAsia="Times New Roman"/>
                <w:color w:val="auto"/>
                <w:sz w:val="21"/>
              </w:rPr>
              <w:t>‰/</w:t>
            </w:r>
            <w:r>
              <w:rPr>
                <w:color w:val="auto"/>
                <w:sz w:val="21"/>
              </w:rPr>
              <w:t>天</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682" w:type="dxa"/>
            <w:noWrap w:val="0"/>
            <w:vAlign w:val="top"/>
          </w:tcPr>
          <w:p>
            <w:pPr>
              <w:pStyle w:val="17"/>
              <w:rPr>
                <w:rFonts w:ascii="黑体"/>
                <w:color w:val="auto"/>
              </w:rPr>
            </w:pPr>
          </w:p>
          <w:p>
            <w:pPr>
              <w:pStyle w:val="17"/>
              <w:rPr>
                <w:rFonts w:ascii="黑体"/>
                <w:color w:val="auto"/>
              </w:rPr>
            </w:pPr>
          </w:p>
          <w:p>
            <w:pPr>
              <w:pStyle w:val="17"/>
              <w:spacing w:before="3"/>
              <w:rPr>
                <w:rFonts w:ascii="黑体"/>
                <w:color w:val="auto"/>
                <w:sz w:val="30"/>
              </w:rPr>
            </w:pPr>
          </w:p>
          <w:p>
            <w:pPr>
              <w:pStyle w:val="17"/>
              <w:ind w:left="109" w:right="98"/>
              <w:jc w:val="center"/>
              <w:rPr>
                <w:rFonts w:ascii="Times New Roman"/>
                <w:color w:val="auto"/>
                <w:sz w:val="21"/>
              </w:rPr>
            </w:pPr>
            <w:r>
              <w:rPr>
                <w:rFonts w:ascii="Times New Roman"/>
                <w:color w:val="auto"/>
                <w:sz w:val="21"/>
              </w:rPr>
              <w:t>11</w:t>
            </w:r>
          </w:p>
        </w:tc>
        <w:tc>
          <w:tcPr>
            <w:tcW w:w="2711" w:type="dxa"/>
            <w:noWrap w:val="0"/>
            <w:vAlign w:val="top"/>
          </w:tcPr>
          <w:p>
            <w:pPr>
              <w:pStyle w:val="17"/>
              <w:rPr>
                <w:rFonts w:ascii="黑体"/>
                <w:color w:val="auto"/>
                <w:sz w:val="20"/>
              </w:rPr>
            </w:pPr>
          </w:p>
          <w:p>
            <w:pPr>
              <w:pStyle w:val="17"/>
              <w:rPr>
                <w:rFonts w:ascii="黑体"/>
                <w:color w:val="auto"/>
                <w:sz w:val="20"/>
              </w:rPr>
            </w:pPr>
          </w:p>
          <w:p>
            <w:pPr>
              <w:pStyle w:val="17"/>
              <w:rPr>
                <w:rFonts w:ascii="黑体"/>
                <w:color w:val="auto"/>
                <w:sz w:val="20"/>
              </w:rPr>
            </w:pPr>
          </w:p>
          <w:p>
            <w:pPr>
              <w:pStyle w:val="17"/>
              <w:spacing w:before="159"/>
              <w:ind w:left="285" w:right="275"/>
              <w:jc w:val="center"/>
              <w:rPr>
                <w:color w:val="auto"/>
                <w:sz w:val="21"/>
              </w:rPr>
            </w:pPr>
            <w:r>
              <w:rPr>
                <w:color w:val="auto"/>
                <w:sz w:val="21"/>
              </w:rPr>
              <w:t>质量保证金金额</w:t>
            </w:r>
          </w:p>
        </w:tc>
        <w:tc>
          <w:tcPr>
            <w:tcW w:w="1186" w:type="dxa"/>
            <w:noWrap w:val="0"/>
            <w:vAlign w:val="top"/>
          </w:tcPr>
          <w:p>
            <w:pPr>
              <w:pStyle w:val="17"/>
              <w:rPr>
                <w:rFonts w:ascii="黑体"/>
                <w:color w:val="auto"/>
              </w:rPr>
            </w:pPr>
          </w:p>
          <w:p>
            <w:pPr>
              <w:pStyle w:val="17"/>
              <w:rPr>
                <w:rFonts w:ascii="黑体"/>
                <w:color w:val="auto"/>
              </w:rPr>
            </w:pPr>
          </w:p>
          <w:p>
            <w:pPr>
              <w:pStyle w:val="17"/>
              <w:spacing w:before="3"/>
              <w:rPr>
                <w:rFonts w:ascii="黑体"/>
                <w:color w:val="auto"/>
                <w:sz w:val="30"/>
              </w:rPr>
            </w:pPr>
          </w:p>
          <w:p>
            <w:pPr>
              <w:pStyle w:val="17"/>
              <w:ind w:left="6"/>
              <w:jc w:val="center"/>
              <w:rPr>
                <w:rFonts w:ascii="Times New Roman"/>
                <w:color w:val="auto"/>
                <w:sz w:val="21"/>
              </w:rPr>
            </w:pPr>
            <w:r>
              <w:rPr>
                <w:rFonts w:ascii="Times New Roman"/>
                <w:color w:val="auto"/>
                <w:sz w:val="21"/>
              </w:rPr>
              <w:t>17.4.1</w:t>
            </w:r>
          </w:p>
        </w:tc>
        <w:tc>
          <w:tcPr>
            <w:tcW w:w="3616" w:type="dxa"/>
            <w:noWrap w:val="0"/>
            <w:vAlign w:val="top"/>
          </w:tcPr>
          <w:p>
            <w:pPr>
              <w:pStyle w:val="17"/>
              <w:spacing w:before="128" w:line="357" w:lineRule="auto"/>
              <w:ind w:left="106" w:right="96"/>
              <w:jc w:val="both"/>
              <w:rPr>
                <w:color w:val="auto"/>
                <w:sz w:val="21"/>
              </w:rPr>
            </w:pPr>
            <w:r>
              <w:rPr>
                <w:rFonts w:hint="eastAsia"/>
                <w:color w:val="auto"/>
                <w:sz w:val="21"/>
                <w:u w:val="single"/>
              </w:rPr>
              <w:t>3%</w:t>
            </w:r>
            <w:r>
              <w:rPr>
                <w:rFonts w:hint="eastAsia"/>
                <w:color w:val="auto"/>
                <w:sz w:val="21"/>
              </w:rPr>
              <w:t>合同价格，在缺陷责任期结束后向承包人返还质量保证金。</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109" w:right="100"/>
              <w:jc w:val="center"/>
              <w:rPr>
                <w:rFonts w:ascii="Times New Roman"/>
                <w:color w:val="auto"/>
                <w:sz w:val="21"/>
              </w:rPr>
            </w:pPr>
            <w:r>
              <w:rPr>
                <w:rFonts w:ascii="Times New Roman"/>
                <w:color w:val="auto"/>
                <w:sz w:val="21"/>
              </w:rPr>
              <w:t>12</w:t>
            </w:r>
          </w:p>
        </w:tc>
        <w:tc>
          <w:tcPr>
            <w:tcW w:w="2711" w:type="dxa"/>
            <w:noWrap w:val="0"/>
            <w:vAlign w:val="top"/>
          </w:tcPr>
          <w:p>
            <w:pPr>
              <w:pStyle w:val="17"/>
              <w:spacing w:before="128" w:line="252" w:lineRule="exact"/>
              <w:ind w:left="285" w:right="276"/>
              <w:jc w:val="center"/>
              <w:rPr>
                <w:color w:val="auto"/>
                <w:sz w:val="21"/>
              </w:rPr>
            </w:pPr>
            <w:r>
              <w:rPr>
                <w:color w:val="auto"/>
                <w:sz w:val="21"/>
              </w:rPr>
              <w:t>保修期</w:t>
            </w:r>
          </w:p>
        </w:tc>
        <w:tc>
          <w:tcPr>
            <w:tcW w:w="1186" w:type="dxa"/>
            <w:noWrap w:val="0"/>
            <w:vAlign w:val="top"/>
          </w:tcPr>
          <w:p>
            <w:pPr>
              <w:pStyle w:val="17"/>
              <w:spacing w:before="128" w:line="252" w:lineRule="exact"/>
              <w:ind w:left="9"/>
              <w:jc w:val="center"/>
              <w:rPr>
                <w:color w:val="auto"/>
                <w:sz w:val="21"/>
              </w:rPr>
            </w:pPr>
            <w:r>
              <w:rPr>
                <w:rFonts w:ascii="Times New Roman" w:eastAsia="Times New Roman"/>
                <w:color w:val="auto"/>
                <w:sz w:val="21"/>
              </w:rPr>
              <w:t>19.7</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2732"/>
              </w:tabs>
              <w:spacing w:before="128" w:line="252" w:lineRule="exact"/>
              <w:ind w:left="106"/>
              <w:rPr>
                <w:color w:val="auto"/>
                <w:sz w:val="21"/>
              </w:rPr>
            </w:pPr>
            <w:r>
              <w:rPr>
                <w:color w:val="auto"/>
                <w:sz w:val="21"/>
              </w:rPr>
              <w:t>自实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rPr>
              <w:t xml:space="preserve">2 </w:t>
            </w:r>
            <w:r>
              <w:rPr>
                <w:color w:val="auto"/>
                <w:sz w:val="21"/>
              </w:rPr>
              <w:t>年</w:t>
            </w:r>
          </w:p>
        </w:tc>
        <w:tc>
          <w:tcPr>
            <w:tcW w:w="749" w:type="dxa"/>
            <w:noWrap w:val="0"/>
            <w:vAlign w:val="top"/>
          </w:tcPr>
          <w:p>
            <w:pPr>
              <w:pStyle w:val="17"/>
              <w:rPr>
                <w:rFonts w:ascii="Times New Roman"/>
                <w:color w:val="auto"/>
                <w:sz w:val="20"/>
              </w:rPr>
            </w:pPr>
          </w:p>
        </w:tc>
      </w:tr>
    </w:tbl>
    <w:p>
      <w:pPr>
        <w:pStyle w:val="6"/>
        <w:spacing w:before="93"/>
        <w:ind w:firstLine="420" w:firstLineChars="200"/>
        <w:rPr>
          <w:rFonts w:hint="eastAsia" w:ascii="黑体" w:eastAsia="黑体"/>
          <w:color w:val="auto"/>
          <w:sz w:val="21"/>
          <w:szCs w:val="21"/>
        </w:rPr>
      </w:pPr>
    </w:p>
    <w:p>
      <w:pPr>
        <w:pStyle w:val="6"/>
        <w:spacing w:before="93"/>
        <w:jc w:val="center"/>
        <w:rPr>
          <w:rFonts w:hint="eastAsia" w:hAnsi="Times New Roman"/>
          <w:color w:val="auto"/>
          <w:sz w:val="21"/>
          <w:szCs w:val="21"/>
          <w:lang w:val="en-US" w:eastAsia="zh-CN" w:bidi="ar-SA"/>
        </w:rPr>
      </w:pPr>
      <w:r>
        <w:rPr>
          <w:rFonts w:hint="eastAsia" w:hAnsi="Times New Roman"/>
          <w:color w:val="auto"/>
          <w:sz w:val="21"/>
          <w:szCs w:val="21"/>
          <w:lang w:val="en-US" w:bidi="ar-SA"/>
        </w:rPr>
        <w:t>说明：此表所有数据应在招标文件发出前由招标人填写，由投标人签署确认。</w:t>
      </w:r>
    </w:p>
    <w:p>
      <w:pPr>
        <w:pStyle w:val="6"/>
        <w:tabs>
          <w:tab w:val="left" w:pos="4364"/>
          <w:tab w:val="left" w:pos="7350"/>
          <w:tab w:val="left" w:pos="8061"/>
          <w:tab w:val="left" w:pos="8956"/>
        </w:tabs>
        <w:spacing w:line="280" w:lineRule="auto"/>
        <w:ind w:left="3645" w:right="162"/>
        <w:rPr>
          <w:rFonts w:hint="eastAsia"/>
          <w:color w:val="auto"/>
          <w:sz w:val="21"/>
          <w:szCs w:val="21"/>
          <w:lang w:eastAsia="zh-CN"/>
        </w:rPr>
      </w:pPr>
    </w:p>
    <w:p>
      <w:pPr>
        <w:pStyle w:val="6"/>
        <w:tabs>
          <w:tab w:val="left" w:pos="4364"/>
          <w:tab w:val="left" w:pos="7350"/>
          <w:tab w:val="left" w:pos="8061"/>
          <w:tab w:val="left" w:pos="8956"/>
        </w:tabs>
        <w:spacing w:line="280" w:lineRule="auto"/>
        <w:ind w:left="3645" w:right="162"/>
        <w:rPr>
          <w:rFonts w:hint="eastAsia"/>
          <w:color w:val="auto"/>
          <w:sz w:val="21"/>
          <w:szCs w:val="21"/>
          <w:lang w:eastAsia="zh-CN"/>
        </w:rPr>
      </w:pPr>
    </w:p>
    <w:p>
      <w:pPr>
        <w:pStyle w:val="6"/>
        <w:tabs>
          <w:tab w:val="left" w:pos="4364"/>
          <w:tab w:val="left" w:pos="7350"/>
          <w:tab w:val="left" w:pos="8061"/>
          <w:tab w:val="left" w:pos="8956"/>
        </w:tabs>
        <w:spacing w:line="280" w:lineRule="auto"/>
        <w:ind w:left="3645" w:right="162"/>
        <w:rPr>
          <w:rFonts w:hint="eastAsia"/>
          <w:color w:val="auto"/>
          <w:spacing w:val="-5"/>
          <w:position w:val="11"/>
          <w:sz w:val="21"/>
          <w:szCs w:val="21"/>
        </w:rPr>
      </w:pPr>
      <w:r>
        <w:rPr>
          <w:color w:val="auto"/>
          <w:sz w:val="21"/>
          <w:szCs w:val="21"/>
        </w:rPr>
        <w:t>投 标 人</w:t>
      </w:r>
      <w:r>
        <w:rPr>
          <w:color w:val="auto"/>
          <w:spacing w:val="-8"/>
          <w:sz w:val="21"/>
          <w:szCs w:val="21"/>
        </w:rPr>
        <w:t>：</w:t>
      </w:r>
      <w:r>
        <w:rPr>
          <w:color w:val="auto"/>
          <w:spacing w:val="-8"/>
          <w:sz w:val="21"/>
          <w:szCs w:val="21"/>
          <w:u w:val="single"/>
        </w:rPr>
        <w:t xml:space="preserve"> </w:t>
      </w:r>
      <w:r>
        <w:rPr>
          <w:color w:val="auto"/>
          <w:spacing w:val="-8"/>
          <w:sz w:val="21"/>
          <w:szCs w:val="21"/>
          <w:u w:val="single"/>
        </w:rPr>
        <w:tab/>
      </w:r>
      <w:r>
        <w:rPr>
          <w:color w:val="auto"/>
          <w:sz w:val="21"/>
          <w:szCs w:val="21"/>
        </w:rPr>
        <w:t>（盖单位章</w:t>
      </w:r>
      <w:r>
        <w:rPr>
          <w:color w:val="auto"/>
          <w:spacing w:val="-5"/>
          <w:sz w:val="21"/>
          <w:szCs w:val="21"/>
        </w:rPr>
        <w:t>）</w:t>
      </w:r>
    </w:p>
    <w:p>
      <w:pPr>
        <w:pStyle w:val="6"/>
        <w:tabs>
          <w:tab w:val="left" w:pos="4364"/>
          <w:tab w:val="left" w:pos="7350"/>
          <w:tab w:val="left" w:pos="8061"/>
          <w:tab w:val="left" w:pos="8956"/>
        </w:tabs>
        <w:spacing w:line="280" w:lineRule="auto"/>
        <w:ind w:left="3645" w:right="162"/>
        <w:rPr>
          <w:rFonts w:ascii="Times New Roman" w:hAnsi="Times New Roman" w:eastAsia="Times New Roman"/>
          <w:color w:val="auto"/>
          <w:sz w:val="21"/>
          <w:szCs w:val="21"/>
        </w:rPr>
      </w:pPr>
      <w:r>
        <w:rPr>
          <w:color w:val="auto"/>
          <w:sz w:val="21"/>
          <w:szCs w:val="21"/>
        </w:rPr>
        <w:t>法定代表人或其委托代理人</w:t>
      </w:r>
      <w:r>
        <w:rPr>
          <w:color w:val="auto"/>
          <w:spacing w:val="-12"/>
          <w:sz w:val="21"/>
          <w:szCs w:val="21"/>
        </w:rPr>
        <w:t>：</w:t>
      </w:r>
      <w:r>
        <w:rPr>
          <w:color w:val="auto"/>
          <w:spacing w:val="-12"/>
          <w:sz w:val="21"/>
          <w:szCs w:val="21"/>
          <w:u w:val="single"/>
        </w:rPr>
        <w:t xml:space="preserve"> </w:t>
      </w:r>
      <w:r>
        <w:rPr>
          <w:color w:val="auto"/>
          <w:spacing w:val="-12"/>
          <w:sz w:val="21"/>
          <w:szCs w:val="21"/>
          <w:u w:val="single"/>
        </w:rPr>
        <w:tab/>
      </w:r>
      <w:r>
        <w:rPr>
          <w:color w:val="auto"/>
          <w:spacing w:val="-12"/>
          <w:sz w:val="21"/>
          <w:szCs w:val="21"/>
          <w:u w:val="single"/>
        </w:rPr>
        <w:tab/>
      </w:r>
      <w:r>
        <w:rPr>
          <w:color w:val="auto"/>
          <w:sz w:val="21"/>
          <w:szCs w:val="21"/>
        </w:rPr>
        <w:t xml:space="preserve">（签字） </w:t>
      </w:r>
    </w:p>
    <w:p>
      <w:pPr>
        <w:pStyle w:val="6"/>
        <w:spacing w:before="1"/>
        <w:rPr>
          <w:rFonts w:ascii="Times New Roman"/>
          <w:color w:val="auto"/>
          <w:sz w:val="21"/>
          <w:szCs w:val="21"/>
        </w:rPr>
      </w:pPr>
    </w:p>
    <w:p>
      <w:pPr>
        <w:pStyle w:val="6"/>
        <w:spacing w:before="93"/>
        <w:jc w:val="right"/>
        <w:rPr>
          <w:rFonts w:hint="eastAsia" w:hAnsi="Times New Roman"/>
          <w:color w:val="auto"/>
          <w:sz w:val="21"/>
          <w:szCs w:val="21"/>
          <w:lang w:val="en-US" w:eastAsia="zh-CN" w:bidi="ar-SA"/>
        </w:rPr>
      </w:pPr>
      <w:r>
        <w:rPr>
          <w:rFonts w:hint="eastAsia" w:ascii="Times New Roman"/>
          <w:color w:val="auto"/>
          <w:sz w:val="21"/>
          <w:szCs w:val="21"/>
          <w:lang w:eastAsia="zh-CN"/>
        </w:rPr>
        <w:t xml:space="preserve">        日期：</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hint="eastAsia" w:ascii="Times New Roman"/>
          <w:color w:val="auto"/>
          <w:sz w:val="21"/>
          <w:szCs w:val="21"/>
          <w:u w:val="single"/>
          <w:lang w:eastAsia="zh-CN"/>
        </w:rPr>
        <w:t xml:space="preserve">   </w:t>
      </w:r>
      <w:r>
        <w:rPr>
          <w:color w:val="auto"/>
          <w:sz w:val="21"/>
          <w:szCs w:val="21"/>
        </w:rPr>
        <w:t>年</w:t>
      </w:r>
      <w:r>
        <w:rPr>
          <w:color w:val="auto"/>
          <w:sz w:val="21"/>
          <w:szCs w:val="21"/>
          <w:u w:val="single"/>
        </w:rPr>
        <w:t xml:space="preserve"> </w:t>
      </w:r>
      <w:r>
        <w:rPr>
          <w:color w:val="auto"/>
          <w:sz w:val="21"/>
          <w:szCs w:val="21"/>
          <w:u w:val="single"/>
        </w:rPr>
        <w:tab/>
      </w:r>
      <w:r>
        <w:rPr>
          <w:rFonts w:hint="eastAsia"/>
          <w:color w:val="auto"/>
          <w:sz w:val="21"/>
          <w:szCs w:val="21"/>
          <w:u w:val="single"/>
          <w:lang w:eastAsia="zh-CN"/>
        </w:rPr>
        <w:t xml:space="preserve"> </w:t>
      </w:r>
      <w:r>
        <w:rPr>
          <w:color w:val="auto"/>
          <w:sz w:val="21"/>
          <w:szCs w:val="21"/>
        </w:rPr>
        <w:t>月</w:t>
      </w:r>
      <w:r>
        <w:rPr>
          <w:color w:val="auto"/>
          <w:sz w:val="21"/>
          <w:szCs w:val="21"/>
          <w:u w:val="single"/>
        </w:rPr>
        <w:t xml:space="preserve"> </w:t>
      </w:r>
      <w:r>
        <w:rPr>
          <w:color w:val="auto"/>
          <w:sz w:val="21"/>
          <w:szCs w:val="21"/>
          <w:u w:val="single"/>
        </w:rPr>
        <w:tab/>
      </w:r>
      <w:r>
        <w:rPr>
          <w:rFonts w:hint="eastAsia"/>
          <w:color w:val="auto"/>
          <w:sz w:val="21"/>
          <w:szCs w:val="21"/>
          <w:u w:val="single"/>
          <w:lang w:eastAsia="zh-CN"/>
        </w:rPr>
        <w:t xml:space="preserve">  </w:t>
      </w:r>
      <w:r>
        <w:rPr>
          <w:color w:val="auto"/>
          <w:sz w:val="21"/>
          <w:szCs w:val="21"/>
        </w:rPr>
        <w:t>日</w:t>
      </w:r>
    </w:p>
    <w:p>
      <w:pPr>
        <w:pStyle w:val="6"/>
        <w:spacing w:before="93"/>
        <w:jc w:val="center"/>
        <w:rPr>
          <w:rFonts w:hint="eastAsia" w:hAnsi="Times New Roman"/>
          <w:color w:val="auto"/>
          <w:sz w:val="21"/>
          <w:szCs w:val="21"/>
          <w:lang w:val="en-US" w:eastAsia="zh-CN" w:bidi="ar-SA"/>
        </w:rPr>
      </w:pPr>
    </w:p>
    <w:p>
      <w:pPr>
        <w:ind w:right="62"/>
        <w:jc w:val="center"/>
        <w:rPr>
          <w:rFonts w:hint="eastAsia" w:ascii="黑体" w:hAnsi="黑体" w:eastAsia="黑体"/>
          <w:b/>
          <w:color w:val="auto"/>
          <w:sz w:val="28"/>
        </w:rPr>
      </w:pPr>
      <w:bookmarkStart w:id="220" w:name="_bookmark293"/>
      <w:bookmarkEnd w:id="220"/>
    </w:p>
    <w:p>
      <w:pPr>
        <w:ind w:right="62"/>
        <w:jc w:val="center"/>
        <w:rPr>
          <w:rFonts w:hint="eastAsia" w:ascii="黑体" w:eastAsia="黑体"/>
          <w:color w:val="auto"/>
          <w:sz w:val="28"/>
        </w:rPr>
      </w:pPr>
    </w:p>
    <w:p>
      <w:pPr>
        <w:ind w:right="62"/>
        <w:jc w:val="center"/>
        <w:rPr>
          <w:rFonts w:ascii="黑体" w:hAnsi="黑体" w:eastAsia="黑体"/>
          <w:b/>
          <w:color w:val="auto"/>
          <w:sz w:val="14"/>
        </w:rPr>
      </w:pPr>
      <w:r>
        <w:rPr>
          <w:rFonts w:hint="eastAsia" w:ascii="黑体" w:eastAsia="黑体"/>
          <w:color w:val="auto"/>
          <w:sz w:val="28"/>
        </w:rPr>
        <w:t>法定代表人身份证明</w:t>
      </w:r>
    </w:p>
    <w:p>
      <w:pPr>
        <w:pStyle w:val="6"/>
        <w:rPr>
          <w:rFonts w:ascii="黑体"/>
          <w:color w:val="auto"/>
          <w:sz w:val="28"/>
        </w:rPr>
      </w:pPr>
    </w:p>
    <w:p>
      <w:pPr>
        <w:pStyle w:val="6"/>
        <w:spacing w:before="1"/>
        <w:rPr>
          <w:rFonts w:ascii="黑体"/>
          <w:color w:val="auto"/>
          <w:sz w:val="34"/>
        </w:rPr>
      </w:pPr>
    </w:p>
    <w:p>
      <w:pPr>
        <w:pStyle w:val="6"/>
        <w:tabs>
          <w:tab w:val="left" w:pos="3999"/>
          <w:tab w:val="left" w:pos="5440"/>
          <w:tab w:val="left" w:pos="7185"/>
          <w:tab w:val="left" w:pos="8920"/>
        </w:tabs>
        <w:spacing w:before="134" w:line="480" w:lineRule="exact"/>
        <w:ind w:left="224" w:right="263"/>
        <w:rPr>
          <w:color w:val="auto"/>
          <w:u w:val="single"/>
          <w:lang w:eastAsia="zh-CN"/>
        </w:rPr>
      </w:pPr>
      <w:r>
        <w:rPr>
          <w:rFonts w:hint="eastAsia" w:hAnsi="Times New Roman"/>
          <w:color w:val="auto"/>
          <w:sz w:val="28"/>
          <w:szCs w:val="28"/>
          <w:lang w:val="en-US" w:bidi="ar-SA"/>
        </w:rPr>
        <w:t>投标人名称：</w:t>
      </w:r>
      <w:r>
        <w:rPr>
          <w:rFonts w:hint="eastAsia" w:hAnsi="Times New Roman"/>
          <w:color w:val="auto"/>
          <w:sz w:val="28"/>
          <w:szCs w:val="28"/>
          <w:u w:val="single"/>
          <w:lang w:val="en-US" w:eastAsia="zh-CN" w:bidi="ar-SA"/>
        </w:rPr>
        <w:t xml:space="preserve">                                        </w:t>
      </w:r>
    </w:p>
    <w:p>
      <w:pPr>
        <w:pStyle w:val="6"/>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单位性质：</w:t>
      </w:r>
      <w:r>
        <w:rPr>
          <w:rFonts w:hint="eastAsia" w:hAnsi="Times New Roman"/>
          <w:color w:val="auto"/>
          <w:sz w:val="28"/>
          <w:szCs w:val="28"/>
          <w:u w:val="single"/>
          <w:lang w:val="en-US" w:eastAsia="zh-CN" w:bidi="ar-SA"/>
        </w:rPr>
        <w:t xml:space="preserve">                                       </w:t>
      </w:r>
    </w:p>
    <w:p>
      <w:pPr>
        <w:pStyle w:val="6"/>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地址：</w:t>
      </w:r>
      <w:r>
        <w:rPr>
          <w:rFonts w:hint="eastAsia" w:hAnsi="Times New Roman"/>
          <w:color w:val="auto"/>
          <w:sz w:val="28"/>
          <w:szCs w:val="28"/>
          <w:lang w:val="en-US" w:eastAsia="zh-CN" w:bidi="ar-SA"/>
        </w:rPr>
        <w:t xml:space="preserve"> </w:t>
      </w:r>
      <w:r>
        <w:rPr>
          <w:rFonts w:hint="eastAsia" w:hAnsi="Times New Roman"/>
          <w:color w:val="auto"/>
          <w:sz w:val="28"/>
          <w:szCs w:val="28"/>
          <w:u w:val="single"/>
          <w:lang w:val="en-US" w:eastAsia="zh-CN" w:bidi="ar-SA"/>
        </w:rPr>
        <w:t xml:space="preserve">                                               </w:t>
      </w:r>
    </w:p>
    <w:p>
      <w:pPr>
        <w:pStyle w:val="6"/>
        <w:spacing w:line="480" w:lineRule="exact"/>
        <w:ind w:firstLine="280" w:firstLineChars="100"/>
        <w:rPr>
          <w:color w:val="auto"/>
          <w:lang w:eastAsia="zh-CN"/>
        </w:rPr>
      </w:pPr>
      <w:r>
        <w:rPr>
          <w:rFonts w:hint="eastAsia" w:hAnsi="Times New Roman"/>
          <w:color w:val="auto"/>
          <w:sz w:val="28"/>
          <w:szCs w:val="28"/>
          <w:lang w:val="en-US" w:eastAsia="zh-CN" w:bidi="ar-SA"/>
        </w:rPr>
        <w:t>成立时间：</w:t>
      </w:r>
      <w:r>
        <w:rPr>
          <w:rFonts w:hint="eastAsia" w:hAnsi="Times New Roman"/>
          <w:color w:val="auto"/>
          <w:sz w:val="28"/>
          <w:szCs w:val="28"/>
          <w:u w:val="single"/>
          <w:lang w:val="en-US" w:eastAsia="zh-CN" w:bidi="ar-SA"/>
        </w:rPr>
        <w:t xml:space="preserve">                                       </w:t>
      </w:r>
      <w:r>
        <w:rPr>
          <w:rFonts w:hint="eastAsia" w:hAnsi="Times New Roman"/>
          <w:color w:val="auto"/>
          <w:sz w:val="28"/>
          <w:szCs w:val="28"/>
          <w:lang w:val="en-US" w:eastAsia="zh-CN" w:bidi="ar-SA"/>
        </w:rPr>
        <w:t xml:space="preserve">         </w:t>
      </w:r>
    </w:p>
    <w:p>
      <w:pPr>
        <w:pStyle w:val="6"/>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经营期限：</w:t>
      </w:r>
      <w:r>
        <w:rPr>
          <w:rFonts w:hint="eastAsia" w:hAnsi="Times New Roman"/>
          <w:color w:val="auto"/>
          <w:sz w:val="28"/>
          <w:szCs w:val="28"/>
          <w:u w:val="single"/>
          <w:lang w:val="en-US" w:eastAsia="zh-CN" w:bidi="ar-SA"/>
        </w:rPr>
        <w:t xml:space="preserve">                                        </w:t>
      </w:r>
      <w:r>
        <w:rPr>
          <w:rFonts w:hint="eastAsia" w:hAnsi="Times New Roman"/>
          <w:color w:val="auto"/>
          <w:sz w:val="28"/>
          <w:szCs w:val="28"/>
          <w:lang w:val="en-US" w:eastAsia="zh-CN" w:bidi="ar-SA"/>
        </w:rPr>
        <w:t xml:space="preserve"> </w:t>
      </w:r>
    </w:p>
    <w:p>
      <w:pPr>
        <w:adjustRightInd w:val="0"/>
        <w:spacing w:line="480" w:lineRule="exact"/>
        <w:ind w:firstLine="280" w:firstLineChars="100"/>
        <w:rPr>
          <w:rFonts w:hAnsi="Times New Roman"/>
          <w:color w:val="auto"/>
          <w:sz w:val="28"/>
          <w:szCs w:val="28"/>
          <w:u w:val="single"/>
          <w:lang w:val="en-US" w:bidi="ar-SA"/>
        </w:rPr>
      </w:pPr>
      <w:r>
        <w:rPr>
          <w:rFonts w:hint="eastAsia" w:hAnsi="Times New Roman"/>
          <w:color w:val="auto"/>
          <w:sz w:val="28"/>
          <w:szCs w:val="28"/>
          <w:lang w:val="en-US" w:bidi="ar-SA"/>
        </w:rPr>
        <w:t>姓名：</w:t>
      </w:r>
      <w:r>
        <w:rPr>
          <w:rFonts w:hAnsi="Times New Roman"/>
          <w:color w:val="auto"/>
          <w:sz w:val="28"/>
          <w:szCs w:val="28"/>
          <w:u w:val="single"/>
          <w:lang w:val="en-US" w:bidi="ar-SA"/>
        </w:rPr>
        <w:t xml:space="preserve"> </w:t>
      </w:r>
      <w:r>
        <w:rPr>
          <w:rFonts w:hint="eastAsia" w:hAnsi="Times New Roman"/>
          <w:color w:val="auto"/>
          <w:sz w:val="28"/>
          <w:szCs w:val="28"/>
          <w:u w:val="single"/>
          <w:lang w:val="en-US" w:bidi="ar-SA"/>
        </w:rPr>
        <w:t xml:space="preserve">            </w:t>
      </w:r>
      <w:r>
        <w:rPr>
          <w:rFonts w:hint="eastAsia" w:hAnsi="Times New Roman"/>
          <w:color w:val="auto"/>
          <w:sz w:val="28"/>
          <w:szCs w:val="28"/>
          <w:lang w:val="en-US" w:bidi="ar-SA"/>
        </w:rPr>
        <w:t>，性别：</w:t>
      </w:r>
      <w:r>
        <w:rPr>
          <w:rFonts w:hint="eastAsia" w:hAnsi="Times New Roman"/>
          <w:color w:val="auto"/>
          <w:sz w:val="28"/>
          <w:szCs w:val="28"/>
          <w:u w:val="single"/>
          <w:lang w:val="en-US" w:bidi="ar-SA"/>
        </w:rPr>
        <w:t xml:space="preserve">                   </w:t>
      </w:r>
    </w:p>
    <w:p>
      <w:pPr>
        <w:adjustRightInd w:val="0"/>
        <w:spacing w:line="480" w:lineRule="exact"/>
        <w:ind w:firstLine="280" w:firstLineChars="100"/>
        <w:rPr>
          <w:rFonts w:hAnsi="Times New Roman"/>
          <w:color w:val="auto"/>
          <w:sz w:val="28"/>
          <w:szCs w:val="28"/>
          <w:u w:val="single"/>
          <w:lang w:val="en-US" w:bidi="ar-SA"/>
        </w:rPr>
      </w:pPr>
      <w:r>
        <w:rPr>
          <w:rFonts w:hint="eastAsia" w:hAnsi="Times New Roman"/>
          <w:color w:val="auto"/>
          <w:sz w:val="28"/>
          <w:szCs w:val="28"/>
          <w:lang w:val="en-US" w:bidi="ar-SA"/>
        </w:rPr>
        <w:t>年龄：</w:t>
      </w:r>
      <w:r>
        <w:rPr>
          <w:rFonts w:hAnsi="Times New Roman"/>
          <w:color w:val="auto"/>
          <w:sz w:val="28"/>
          <w:szCs w:val="28"/>
          <w:u w:val="single"/>
          <w:lang w:val="en-US" w:bidi="ar-SA"/>
        </w:rPr>
        <w:t xml:space="preserve"> </w:t>
      </w:r>
      <w:r>
        <w:rPr>
          <w:rFonts w:hint="eastAsia" w:hAnsi="Times New Roman"/>
          <w:color w:val="auto"/>
          <w:sz w:val="28"/>
          <w:szCs w:val="28"/>
          <w:u w:val="single"/>
          <w:lang w:val="en-US" w:bidi="ar-SA"/>
        </w:rPr>
        <w:t xml:space="preserve">            </w:t>
      </w:r>
      <w:r>
        <w:rPr>
          <w:rFonts w:hint="eastAsia" w:hAnsi="Times New Roman"/>
          <w:color w:val="auto"/>
          <w:sz w:val="28"/>
          <w:szCs w:val="28"/>
          <w:lang w:val="en-US" w:bidi="ar-SA"/>
        </w:rPr>
        <w:t>，职务：</w:t>
      </w:r>
      <w:r>
        <w:rPr>
          <w:rFonts w:hint="eastAsia" w:hAnsi="Times New Roman"/>
          <w:color w:val="auto"/>
          <w:sz w:val="28"/>
          <w:szCs w:val="28"/>
          <w:u w:val="single"/>
          <w:lang w:val="en-US" w:bidi="ar-SA"/>
        </w:rPr>
        <w:t xml:space="preserve">                       </w:t>
      </w:r>
    </w:p>
    <w:p>
      <w:pPr>
        <w:pStyle w:val="6"/>
        <w:spacing w:line="480" w:lineRule="exact"/>
        <w:ind w:firstLine="280" w:firstLineChars="100"/>
        <w:rPr>
          <w:rFonts w:hint="eastAsia" w:hAnsi="Times New Roman"/>
          <w:color w:val="auto"/>
          <w:sz w:val="28"/>
          <w:szCs w:val="28"/>
          <w:lang w:val="en-US" w:eastAsia="zh-CN" w:bidi="ar-SA"/>
        </w:rPr>
      </w:pPr>
      <w:r>
        <w:rPr>
          <w:rFonts w:hint="eastAsia" w:hAnsi="Times New Roman"/>
          <w:color w:val="auto"/>
          <w:sz w:val="28"/>
          <w:szCs w:val="28"/>
          <w:lang w:val="en-US" w:bidi="ar-SA"/>
        </w:rPr>
        <w:t>系：</w:t>
      </w:r>
      <w:r>
        <w:rPr>
          <w:rFonts w:hint="eastAsia" w:hAnsi="Times New Roman"/>
          <w:color w:val="auto"/>
          <w:sz w:val="28"/>
          <w:szCs w:val="28"/>
          <w:u w:val="single"/>
          <w:lang w:val="en-US" w:eastAsia="zh-CN" w:bidi="ar-SA"/>
        </w:rPr>
        <w:t xml:space="preserve">   </w:t>
      </w:r>
      <w:r>
        <w:rPr>
          <w:rFonts w:hAnsi="Times New Roman"/>
          <w:color w:val="auto"/>
          <w:sz w:val="28"/>
          <w:szCs w:val="28"/>
          <w:u w:val="single"/>
          <w:lang w:val="en-US" w:bidi="ar-SA"/>
        </w:rPr>
        <w:t xml:space="preserve"> </w:t>
      </w:r>
      <w:r>
        <w:rPr>
          <w:color w:val="auto"/>
          <w:sz w:val="28"/>
          <w:szCs w:val="28"/>
          <w:u w:val="single"/>
          <w:lang w:val="en-US" w:bidi="ar-SA"/>
        </w:rPr>
        <w:t>(</w:t>
      </w:r>
      <w:r>
        <w:rPr>
          <w:rFonts w:hint="eastAsia" w:hAnsi="Times New Roman"/>
          <w:color w:val="auto"/>
          <w:sz w:val="28"/>
          <w:szCs w:val="28"/>
          <w:u w:val="single"/>
          <w:lang w:val="en-US" w:bidi="ar-SA"/>
        </w:rPr>
        <w:t>投标人名称</w:t>
      </w:r>
      <w:r>
        <w:rPr>
          <w:color w:val="auto"/>
          <w:sz w:val="28"/>
          <w:szCs w:val="28"/>
          <w:u w:val="single"/>
          <w:lang w:val="en-US" w:bidi="ar-SA"/>
        </w:rPr>
        <w:t>)</w:t>
      </w:r>
      <w:r>
        <w:rPr>
          <w:rFonts w:hint="eastAsia"/>
          <w:color w:val="auto"/>
          <w:sz w:val="28"/>
          <w:szCs w:val="28"/>
          <w:u w:val="single"/>
          <w:lang w:val="en-US" w:eastAsia="zh-CN" w:bidi="ar-SA"/>
        </w:rPr>
        <w:t xml:space="preserve">    </w:t>
      </w:r>
      <w:r>
        <w:rPr>
          <w:color w:val="auto"/>
          <w:sz w:val="28"/>
          <w:szCs w:val="28"/>
          <w:u w:val="single"/>
          <w:lang w:val="en-US" w:bidi="ar-SA"/>
        </w:rPr>
        <w:t xml:space="preserve"> </w:t>
      </w:r>
      <w:r>
        <w:rPr>
          <w:rFonts w:hint="eastAsia" w:hAnsi="Times New Roman"/>
          <w:color w:val="auto"/>
          <w:sz w:val="28"/>
          <w:szCs w:val="28"/>
          <w:lang w:val="en-US" w:bidi="ar-SA"/>
        </w:rPr>
        <w:t>的法定代表人。</w:t>
      </w:r>
    </w:p>
    <w:p>
      <w:pPr>
        <w:pStyle w:val="6"/>
        <w:spacing w:line="480" w:lineRule="exact"/>
        <w:ind w:firstLine="280" w:firstLineChars="100"/>
        <w:rPr>
          <w:color w:val="auto"/>
          <w:lang w:eastAsia="zh-CN"/>
        </w:rPr>
      </w:pPr>
      <w:r>
        <w:rPr>
          <w:rFonts w:hint="eastAsia" w:hAnsi="Times New Roman"/>
          <w:color w:val="auto"/>
          <w:sz w:val="28"/>
          <w:szCs w:val="28"/>
          <w:lang w:val="en-US" w:eastAsia="zh-CN" w:bidi="ar-SA"/>
        </w:rPr>
        <w:t>特此证明。</w:t>
      </w:r>
    </w:p>
    <w:p>
      <w:pPr>
        <w:pStyle w:val="6"/>
        <w:spacing w:before="1" w:line="480" w:lineRule="exact"/>
        <w:rPr>
          <w:color w:val="auto"/>
          <w:sz w:val="23"/>
        </w:rPr>
      </w:pPr>
    </w:p>
    <w:p>
      <w:pPr>
        <w:pStyle w:val="6"/>
        <w:rPr>
          <w:color w:val="auto"/>
          <w:sz w:val="20"/>
        </w:rPr>
      </w:pPr>
    </w:p>
    <w:p>
      <w:pPr>
        <w:pStyle w:val="6"/>
        <w:rPr>
          <w:color w:val="auto"/>
          <w:sz w:val="20"/>
        </w:rPr>
      </w:pPr>
    </w:p>
    <w:p>
      <w:pPr>
        <w:pStyle w:val="6"/>
        <w:rPr>
          <w:color w:val="auto"/>
          <w:sz w:val="20"/>
        </w:rPr>
      </w:pPr>
    </w:p>
    <w:p>
      <w:pPr>
        <w:pStyle w:val="6"/>
        <w:spacing w:before="9"/>
        <w:rPr>
          <w:color w:val="auto"/>
          <w:sz w:val="19"/>
        </w:rPr>
      </w:pPr>
    </w:p>
    <w:p>
      <w:pPr>
        <w:pStyle w:val="6"/>
        <w:tabs>
          <w:tab w:val="left" w:pos="6345"/>
        </w:tabs>
        <w:ind w:left="3345"/>
        <w:jc w:val="right"/>
        <w:rPr>
          <w:color w:val="auto"/>
        </w:rPr>
      </w:pPr>
      <w:r>
        <w:rPr>
          <w:color w:val="auto"/>
        </w:rPr>
        <w:t>投标人：</w:t>
      </w:r>
      <w:r>
        <w:rPr>
          <w:color w:val="auto"/>
          <w:u w:val="single"/>
        </w:rPr>
        <w:t xml:space="preserve"> </w:t>
      </w:r>
      <w:r>
        <w:rPr>
          <w:color w:val="auto"/>
          <w:u w:val="single"/>
        </w:rPr>
        <w:tab/>
      </w:r>
      <w:r>
        <w:rPr>
          <w:color w:val="auto"/>
        </w:rPr>
        <w:t>（盖单位章）</w:t>
      </w:r>
    </w:p>
    <w:p>
      <w:pPr>
        <w:pStyle w:val="6"/>
        <w:jc w:val="right"/>
        <w:rPr>
          <w:rFonts w:ascii="黑体"/>
          <w:b/>
          <w:color w:val="auto"/>
          <w:sz w:val="34"/>
        </w:rPr>
      </w:pPr>
      <w:r>
        <w:rPr>
          <w:rFonts w:ascii="Times New Roman" w:eastAsia="Times New Roman"/>
          <w:color w:val="auto"/>
          <w:u w:val="single"/>
        </w:rPr>
        <w:t xml:space="preserve"> </w:t>
      </w:r>
      <w:r>
        <w:rPr>
          <w:rFonts w:ascii="Times New Roman" w:eastAsia="Times New Roman"/>
          <w:color w:val="auto"/>
          <w:u w:val="single"/>
        </w:rPr>
        <w:tab/>
      </w:r>
      <w:r>
        <w:rPr>
          <w:color w:val="auto"/>
        </w:rPr>
        <w:t>年</w:t>
      </w:r>
      <w:r>
        <w:rPr>
          <w:color w:val="auto"/>
          <w:u w:val="single"/>
        </w:rPr>
        <w:t xml:space="preserve"> </w:t>
      </w:r>
      <w:r>
        <w:rPr>
          <w:color w:val="auto"/>
          <w:u w:val="single"/>
        </w:rPr>
        <w:tab/>
      </w:r>
      <w:r>
        <w:rPr>
          <w:color w:val="auto"/>
        </w:rPr>
        <w:t>月</w:t>
      </w:r>
      <w:r>
        <w:rPr>
          <w:color w:val="auto"/>
          <w:u w:val="single"/>
        </w:rPr>
        <w:tab/>
      </w:r>
      <w:r>
        <w:rPr>
          <w:color w:val="auto"/>
        </w:rPr>
        <w:t>日</w:t>
      </w:r>
    </w:p>
    <w:p>
      <w:pPr>
        <w:pStyle w:val="6"/>
        <w:spacing w:before="9"/>
        <w:rPr>
          <w:rFonts w:hint="eastAsia"/>
          <w:color w:val="auto"/>
          <w:sz w:val="34"/>
        </w:rPr>
      </w:pPr>
    </w:p>
    <w:p>
      <w:pPr>
        <w:pStyle w:val="6"/>
        <w:spacing w:before="9"/>
        <w:rPr>
          <w:rFonts w:hint="eastAsia"/>
          <w:color w:val="auto"/>
          <w:sz w:val="34"/>
        </w:rPr>
      </w:pPr>
    </w:p>
    <w:p>
      <w:pPr>
        <w:pStyle w:val="6"/>
        <w:spacing w:before="9"/>
        <w:rPr>
          <w:rFonts w:hint="eastAsia"/>
          <w:color w:val="auto"/>
          <w:sz w:val="34"/>
        </w:rPr>
      </w:pPr>
    </w:p>
    <w:p>
      <w:pPr>
        <w:pStyle w:val="6"/>
        <w:spacing w:before="9"/>
        <w:rPr>
          <w:color w:val="auto"/>
          <w:sz w:val="34"/>
        </w:rPr>
      </w:pPr>
    </w:p>
    <w:p>
      <w:pPr>
        <w:pStyle w:val="6"/>
        <w:tabs>
          <w:tab w:val="left" w:pos="5625"/>
          <w:tab w:val="left" w:pos="6585"/>
          <w:tab w:val="left" w:pos="7240"/>
        </w:tabs>
        <w:spacing w:before="131"/>
        <w:ind w:left="4545"/>
        <w:rPr>
          <w:rFonts w:hint="eastAsia"/>
          <w:color w:val="auto"/>
          <w:sz w:val="18"/>
          <w:szCs w:val="18"/>
          <w:lang w:eastAsia="zh-CN"/>
        </w:rPr>
      </w:pPr>
    </w:p>
    <w:p>
      <w:pPr>
        <w:pStyle w:val="6"/>
        <w:tabs>
          <w:tab w:val="left" w:pos="5625"/>
          <w:tab w:val="left" w:pos="6585"/>
          <w:tab w:val="left" w:pos="7240"/>
        </w:tabs>
        <w:spacing w:before="131"/>
        <w:ind w:left="4545"/>
        <w:rPr>
          <w:rFonts w:hint="eastAsia"/>
          <w:color w:val="auto"/>
          <w:sz w:val="18"/>
          <w:szCs w:val="18"/>
          <w:lang w:eastAsia="zh-CN"/>
        </w:rPr>
      </w:pPr>
    </w:p>
    <w:p>
      <w:pPr>
        <w:pStyle w:val="6"/>
        <w:tabs>
          <w:tab w:val="left" w:pos="5625"/>
          <w:tab w:val="left" w:pos="6585"/>
          <w:tab w:val="left" w:pos="7240"/>
        </w:tabs>
        <w:spacing w:before="131"/>
        <w:ind w:left="4545"/>
        <w:rPr>
          <w:rFonts w:hint="eastAsia"/>
          <w:color w:val="auto"/>
          <w:lang w:eastAsia="zh-CN"/>
        </w:rPr>
      </w:pPr>
    </w:p>
    <w:p>
      <w:pPr>
        <w:pStyle w:val="6"/>
        <w:rPr>
          <w:color w:val="auto"/>
          <w:sz w:val="26"/>
        </w:rPr>
      </w:pPr>
    </w:p>
    <w:p>
      <w:pPr>
        <w:pStyle w:val="6"/>
        <w:tabs>
          <w:tab w:val="left" w:pos="2029"/>
          <w:tab w:val="left" w:pos="3239"/>
          <w:tab w:val="left" w:pos="6011"/>
          <w:tab w:val="left" w:pos="8421"/>
        </w:tabs>
        <w:spacing w:before="240" w:line="343" w:lineRule="auto"/>
        <w:ind w:right="282"/>
        <w:jc w:val="center"/>
        <w:rPr>
          <w:rFonts w:hint="eastAsia" w:ascii="黑体" w:hAnsi="黑体" w:eastAsia="黑体"/>
          <w:color w:val="auto"/>
          <w:sz w:val="28"/>
        </w:rPr>
      </w:pPr>
    </w:p>
    <w:p>
      <w:pPr>
        <w:pStyle w:val="6"/>
        <w:tabs>
          <w:tab w:val="left" w:pos="2029"/>
          <w:tab w:val="left" w:pos="3239"/>
          <w:tab w:val="left" w:pos="6011"/>
          <w:tab w:val="left" w:pos="8421"/>
        </w:tabs>
        <w:spacing w:before="240" w:line="343" w:lineRule="auto"/>
        <w:ind w:right="282"/>
        <w:jc w:val="center"/>
        <w:rPr>
          <w:rFonts w:hint="eastAsia" w:ascii="黑体" w:hAnsi="黑体" w:eastAsia="黑体"/>
          <w:color w:val="auto"/>
          <w:sz w:val="28"/>
        </w:rPr>
      </w:pPr>
      <w:r>
        <w:rPr>
          <w:rFonts w:hint="eastAsia" w:ascii="黑体" w:hAnsi="黑体" w:eastAsia="黑体"/>
          <w:color w:val="auto"/>
          <w:sz w:val="28"/>
        </w:rPr>
        <w:t>授权委托书</w:t>
      </w:r>
    </w:p>
    <w:p>
      <w:pPr>
        <w:pStyle w:val="6"/>
        <w:tabs>
          <w:tab w:val="left" w:pos="2029"/>
          <w:tab w:val="left" w:pos="3239"/>
          <w:tab w:val="left" w:pos="6011"/>
          <w:tab w:val="left" w:pos="8421"/>
        </w:tabs>
        <w:spacing w:before="240" w:line="343" w:lineRule="auto"/>
        <w:ind w:left="224" w:right="282" w:firstLine="479"/>
        <w:jc w:val="both"/>
        <w:rPr>
          <w:color w:val="auto"/>
          <w:sz w:val="21"/>
          <w:szCs w:val="21"/>
        </w:rPr>
      </w:pPr>
      <w:r>
        <w:rPr>
          <w:color w:val="auto"/>
          <w:sz w:val="21"/>
          <w:szCs w:val="21"/>
        </w:rPr>
        <w:t>本人</w:t>
      </w:r>
      <w:r>
        <w:rPr>
          <w:color w:val="auto"/>
          <w:sz w:val="21"/>
          <w:szCs w:val="21"/>
          <w:u w:val="single"/>
        </w:rPr>
        <w:t xml:space="preserve"> </w:t>
      </w:r>
      <w:r>
        <w:rPr>
          <w:color w:val="auto"/>
          <w:sz w:val="21"/>
          <w:szCs w:val="21"/>
          <w:u w:val="single"/>
        </w:rPr>
        <w:tab/>
      </w:r>
      <w:r>
        <w:rPr>
          <w:color w:val="auto"/>
          <w:sz w:val="21"/>
          <w:szCs w:val="21"/>
          <w:u w:val="single"/>
        </w:rPr>
        <w:t>（</w:t>
      </w:r>
      <w:r>
        <w:rPr>
          <w:rFonts w:hint="eastAsia"/>
          <w:color w:val="auto"/>
          <w:sz w:val="21"/>
          <w:szCs w:val="21"/>
        </w:rPr>
        <w:t>姓名）</w:t>
      </w:r>
      <w:r>
        <w:rPr>
          <w:color w:val="auto"/>
          <w:sz w:val="21"/>
          <w:szCs w:val="21"/>
        </w:rPr>
        <w:t>系</w:t>
      </w:r>
      <w:r>
        <w:rPr>
          <w:color w:val="auto"/>
          <w:sz w:val="21"/>
          <w:szCs w:val="21"/>
          <w:u w:val="single"/>
        </w:rPr>
        <w:t xml:space="preserve">    </w:t>
      </w:r>
      <w:r>
        <w:rPr>
          <w:color w:val="auto"/>
          <w:spacing w:val="6"/>
          <w:sz w:val="21"/>
          <w:szCs w:val="21"/>
          <w:u w:val="single"/>
        </w:rPr>
        <w:t xml:space="preserve"> </w:t>
      </w:r>
      <w:r>
        <w:rPr>
          <w:color w:val="auto"/>
          <w:sz w:val="21"/>
          <w:szCs w:val="21"/>
          <w:u w:val="single"/>
        </w:rPr>
        <w:t>（</w:t>
      </w:r>
      <w:r>
        <w:rPr>
          <w:color w:val="auto"/>
          <w:sz w:val="21"/>
          <w:szCs w:val="21"/>
        </w:rPr>
        <w:t>投标人名称</w:t>
      </w:r>
      <w:r>
        <w:rPr>
          <w:color w:val="auto"/>
          <w:spacing w:val="-116"/>
          <w:sz w:val="21"/>
          <w:szCs w:val="21"/>
        </w:rPr>
        <w:t>）</w:t>
      </w:r>
      <w:r>
        <w:rPr>
          <w:rFonts w:hint="eastAsia"/>
          <w:color w:val="auto"/>
          <w:sz w:val="21"/>
          <w:szCs w:val="21"/>
        </w:rPr>
        <w:t>的</w:t>
      </w:r>
      <w:r>
        <w:rPr>
          <w:color w:val="auto"/>
          <w:sz w:val="21"/>
          <w:szCs w:val="21"/>
        </w:rPr>
        <w:t>法定代表人</w:t>
      </w:r>
      <w:r>
        <w:rPr>
          <w:color w:val="auto"/>
          <w:spacing w:val="-116"/>
          <w:sz w:val="21"/>
          <w:szCs w:val="21"/>
        </w:rPr>
        <w:t>，</w:t>
      </w:r>
      <w:r>
        <w:rPr>
          <w:color w:val="auto"/>
          <w:sz w:val="21"/>
          <w:szCs w:val="21"/>
        </w:rPr>
        <w:t>现委托</w:t>
      </w:r>
      <w:r>
        <w:rPr>
          <w:color w:val="auto"/>
          <w:sz w:val="21"/>
          <w:szCs w:val="21"/>
          <w:u w:val="single"/>
        </w:rPr>
        <w:t xml:space="preserve"> </w:t>
      </w:r>
      <w:r>
        <w:rPr>
          <w:color w:val="auto"/>
          <w:sz w:val="21"/>
          <w:szCs w:val="21"/>
          <w:u w:val="single"/>
        </w:rPr>
        <w:tab/>
      </w:r>
      <w:r>
        <w:rPr>
          <w:color w:val="auto"/>
          <w:sz w:val="21"/>
          <w:szCs w:val="21"/>
          <w:u w:val="single"/>
        </w:rPr>
        <w:t>（</w:t>
      </w:r>
      <w:r>
        <w:rPr>
          <w:color w:val="auto"/>
          <w:sz w:val="21"/>
          <w:szCs w:val="21"/>
        </w:rPr>
        <w:t>姓名）为我方代理人。代理人根据授权，以我方名义签署、澄清确认、递交、撤回、修改</w:t>
      </w:r>
      <w:r>
        <w:rPr>
          <w:rFonts w:hint="eastAsia"/>
          <w:color w:val="auto"/>
          <w:sz w:val="21"/>
          <w:szCs w:val="21"/>
          <w:u w:val="single"/>
          <w:lang w:eastAsia="zh-CN"/>
        </w:rPr>
        <w:t xml:space="preserve"> </w:t>
      </w:r>
      <w:r>
        <w:rPr>
          <w:rFonts w:hint="eastAsia" w:cs="宋体"/>
          <w:color w:val="auto"/>
          <w:spacing w:val="-3"/>
          <w:sz w:val="21"/>
          <w:szCs w:val="21"/>
          <w:u w:val="single"/>
          <w:lang w:val="en-US" w:eastAsia="zh-CN"/>
        </w:rPr>
        <w:t>2022年大丰区刘庄镇农村公路维修工程</w:t>
      </w:r>
      <w:r>
        <w:rPr>
          <w:rFonts w:hint="eastAsia" w:ascii="宋体" w:hAnsi="宋体" w:eastAsia="宋体" w:cs="宋体"/>
          <w:color w:val="auto"/>
          <w:spacing w:val="-3"/>
          <w:sz w:val="21"/>
          <w:szCs w:val="21"/>
          <w:u w:val="single"/>
          <w:lang w:val="en-US" w:eastAsia="zh-CN"/>
        </w:rPr>
        <w:t>施工招标</w:t>
      </w:r>
      <w:r>
        <w:rPr>
          <w:color w:val="auto"/>
          <w:sz w:val="21"/>
          <w:szCs w:val="21"/>
        </w:rPr>
        <w:t>投标文件、签订合同和处理有关事宜，其法律后果由我方承担。</w:t>
      </w:r>
    </w:p>
    <w:p>
      <w:pPr>
        <w:pStyle w:val="6"/>
        <w:spacing w:before="4" w:line="343" w:lineRule="auto"/>
        <w:ind w:left="704" w:right="2719"/>
        <w:rPr>
          <w:color w:val="auto"/>
          <w:sz w:val="21"/>
          <w:szCs w:val="21"/>
        </w:rPr>
      </w:pPr>
      <w:r>
        <w:rPr>
          <w:color w:val="auto"/>
          <w:sz w:val="21"/>
          <w:szCs w:val="21"/>
        </w:rPr>
        <w:t>委托期限：自本委托书签署之日起至投标有效期期满。代理人无转委托权。</w:t>
      </w:r>
    </w:p>
    <w:p>
      <w:pPr>
        <w:pStyle w:val="6"/>
        <w:rPr>
          <w:color w:val="auto"/>
          <w:sz w:val="21"/>
          <w:szCs w:val="21"/>
        </w:rPr>
      </w:pPr>
    </w:p>
    <w:p>
      <w:pPr>
        <w:pStyle w:val="6"/>
        <w:rPr>
          <w:color w:val="auto"/>
          <w:sz w:val="21"/>
          <w:szCs w:val="21"/>
        </w:rPr>
      </w:pPr>
    </w:p>
    <w:p>
      <w:pPr>
        <w:pStyle w:val="6"/>
        <w:spacing w:before="4"/>
        <w:rPr>
          <w:color w:val="auto"/>
          <w:sz w:val="21"/>
          <w:szCs w:val="21"/>
        </w:rPr>
      </w:pPr>
    </w:p>
    <w:p>
      <w:pPr>
        <w:pStyle w:val="6"/>
        <w:tabs>
          <w:tab w:val="left" w:pos="7115"/>
          <w:tab w:val="left" w:pos="7716"/>
          <w:tab w:val="left" w:pos="8371"/>
        </w:tabs>
        <w:spacing w:line="624" w:lineRule="auto"/>
        <w:ind w:left="3515" w:right="508"/>
        <w:rPr>
          <w:rFonts w:hint="eastAsia"/>
          <w:color w:val="auto"/>
          <w:sz w:val="21"/>
          <w:szCs w:val="21"/>
        </w:rPr>
      </w:pPr>
      <w:r>
        <w:rPr>
          <w:color w:val="auto"/>
          <w:sz w:val="21"/>
          <w:szCs w:val="21"/>
        </w:rPr>
        <w:t>投标人：</w:t>
      </w:r>
      <w:r>
        <w:rPr>
          <w:color w:val="auto"/>
          <w:sz w:val="21"/>
          <w:szCs w:val="21"/>
          <w:u w:val="single"/>
        </w:rPr>
        <w:t xml:space="preserve"> </w:t>
      </w:r>
      <w:r>
        <w:rPr>
          <w:color w:val="auto"/>
          <w:sz w:val="21"/>
          <w:szCs w:val="21"/>
          <w:u w:val="single"/>
        </w:rPr>
        <w:tab/>
      </w:r>
      <w:r>
        <w:rPr>
          <w:color w:val="auto"/>
          <w:sz w:val="21"/>
          <w:szCs w:val="21"/>
        </w:rPr>
        <w:t xml:space="preserve">（盖单位章） </w:t>
      </w:r>
    </w:p>
    <w:p>
      <w:pPr>
        <w:pStyle w:val="6"/>
        <w:tabs>
          <w:tab w:val="left" w:pos="7115"/>
          <w:tab w:val="left" w:pos="7716"/>
          <w:tab w:val="left" w:pos="8371"/>
        </w:tabs>
        <w:spacing w:line="624" w:lineRule="auto"/>
        <w:ind w:left="3515" w:right="508"/>
        <w:rPr>
          <w:rFonts w:ascii="Times New Roman" w:eastAsia="Times New Roman"/>
          <w:color w:val="auto"/>
          <w:sz w:val="21"/>
          <w:szCs w:val="21"/>
        </w:rPr>
      </w:pPr>
      <w:r>
        <w:rPr>
          <w:color w:val="auto"/>
          <w:sz w:val="21"/>
          <w:szCs w:val="21"/>
        </w:rPr>
        <w:t>法定代表人：</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（签字） 身份证号码：</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ascii="Times New Roman" w:eastAsia="Times New Roman"/>
          <w:color w:val="auto"/>
          <w:sz w:val="21"/>
          <w:szCs w:val="21"/>
          <w:u w:val="single"/>
        </w:rPr>
        <w:tab/>
      </w:r>
      <w:r>
        <w:rPr>
          <w:rFonts w:ascii="Times New Roman" w:eastAsia="Times New Roman"/>
          <w:color w:val="auto"/>
          <w:sz w:val="21"/>
          <w:szCs w:val="21"/>
          <w:u w:val="single"/>
        </w:rPr>
        <w:tab/>
      </w:r>
    </w:p>
    <w:p>
      <w:pPr>
        <w:pStyle w:val="6"/>
        <w:tabs>
          <w:tab w:val="left" w:pos="7836"/>
          <w:tab w:val="left" w:pos="8491"/>
        </w:tabs>
        <w:spacing w:before="2" w:line="626" w:lineRule="auto"/>
        <w:ind w:left="3515" w:right="388"/>
        <w:rPr>
          <w:rFonts w:ascii="Times New Roman" w:eastAsia="Times New Roman"/>
          <w:color w:val="auto"/>
          <w:sz w:val="21"/>
          <w:szCs w:val="21"/>
        </w:rPr>
      </w:pPr>
      <w:r>
        <w:rPr>
          <w:color w:val="auto"/>
          <w:sz w:val="21"/>
          <w:szCs w:val="21"/>
        </w:rPr>
        <w:t>委托代理人：</w:t>
      </w:r>
      <w:r>
        <w:rPr>
          <w:color w:val="auto"/>
          <w:sz w:val="21"/>
          <w:szCs w:val="21"/>
          <w:u w:val="single"/>
        </w:rPr>
        <w:t xml:space="preserve"> </w:t>
      </w:r>
      <w:r>
        <w:rPr>
          <w:color w:val="auto"/>
          <w:sz w:val="21"/>
          <w:szCs w:val="21"/>
          <w:u w:val="single"/>
        </w:rPr>
        <w:tab/>
      </w:r>
      <w:r>
        <w:rPr>
          <w:color w:val="auto"/>
          <w:sz w:val="21"/>
          <w:szCs w:val="21"/>
        </w:rPr>
        <w:t>（签字） 身份证号码：</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ascii="Times New Roman" w:eastAsia="Times New Roman"/>
          <w:color w:val="auto"/>
          <w:sz w:val="21"/>
          <w:szCs w:val="21"/>
          <w:u w:val="single"/>
        </w:rPr>
        <w:tab/>
      </w:r>
    </w:p>
    <w:p>
      <w:pPr>
        <w:pStyle w:val="6"/>
        <w:tabs>
          <w:tab w:val="left" w:pos="5682"/>
          <w:tab w:val="left" w:pos="7002"/>
          <w:tab w:val="left" w:pos="8138"/>
        </w:tabs>
        <w:spacing w:line="304" w:lineRule="exact"/>
        <w:ind w:left="4842"/>
        <w:rPr>
          <w:color w:val="auto"/>
        </w:rPr>
      </w:pP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ab/>
      </w:r>
      <w:r>
        <w:rPr>
          <w:color w:val="auto"/>
          <w:sz w:val="21"/>
          <w:szCs w:val="21"/>
        </w:rPr>
        <w:t>日</w:t>
      </w:r>
    </w:p>
    <w:p>
      <w:pPr>
        <w:spacing w:before="61"/>
        <w:ind w:left="2881"/>
        <w:rPr>
          <w:color w:val="auto"/>
        </w:rPr>
      </w:pPr>
    </w:p>
    <w:p>
      <w:pPr>
        <w:pStyle w:val="11"/>
        <w:spacing w:line="400" w:lineRule="exact"/>
        <w:ind w:left="440" w:firstLine="361" w:firstLineChars="200"/>
        <w:rPr>
          <w:b/>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pStyle w:val="6"/>
        <w:spacing w:before="93"/>
        <w:ind w:firstLine="810" w:firstLineChars="450"/>
        <w:rPr>
          <w:rFonts w:hint="eastAsia" w:ascii="黑体" w:eastAsia="黑体"/>
          <w:color w:val="auto"/>
          <w:sz w:val="18"/>
          <w:szCs w:val="18"/>
        </w:rPr>
      </w:pPr>
    </w:p>
    <w:p>
      <w:pPr>
        <w:widowControl/>
        <w:jc w:val="center"/>
        <w:rPr>
          <w:color w:val="auto"/>
        </w:rPr>
      </w:pPr>
      <w:r>
        <w:rPr>
          <w:rFonts w:hint="eastAsia"/>
          <w:b/>
          <w:bCs/>
          <w:color w:val="auto"/>
          <w:sz w:val="28"/>
          <w:szCs w:val="28"/>
          <w:lang w:val="en-US" w:bidi="ar"/>
        </w:rPr>
        <w:t>已标价工程量清单</w:t>
      </w:r>
    </w:p>
    <w:p>
      <w:pPr>
        <w:widowControl/>
        <w:rPr>
          <w:rFonts w:hint="eastAsia"/>
          <w:b/>
          <w:bCs/>
          <w:color w:val="auto"/>
          <w:sz w:val="20"/>
          <w:szCs w:val="20"/>
          <w:lang w:val="en-US" w:bidi="ar"/>
        </w:rPr>
      </w:pPr>
    </w:p>
    <w:p>
      <w:pPr>
        <w:widowControl/>
        <w:rPr>
          <w:rFonts w:hint="eastAsia"/>
          <w:b/>
          <w:bCs/>
          <w:color w:val="auto"/>
          <w:sz w:val="20"/>
          <w:szCs w:val="20"/>
          <w:lang w:val="en-US" w:bidi="ar"/>
        </w:rPr>
      </w:pPr>
    </w:p>
    <w:p>
      <w:pPr>
        <w:widowControl/>
        <w:rPr>
          <w:rFonts w:hint="eastAsia"/>
          <w:b/>
          <w:bCs/>
          <w:color w:val="auto"/>
          <w:sz w:val="20"/>
          <w:szCs w:val="20"/>
          <w:lang w:val="en-US" w:bidi="ar"/>
        </w:rPr>
      </w:pPr>
    </w:p>
    <w:p>
      <w:pPr>
        <w:widowControl/>
        <w:rPr>
          <w:rFonts w:hint="eastAsia"/>
          <w:b/>
          <w:bCs/>
          <w:color w:val="auto"/>
          <w:sz w:val="20"/>
          <w:szCs w:val="20"/>
          <w:lang w:val="en-US" w:bidi="ar"/>
        </w:rPr>
      </w:pPr>
    </w:p>
    <w:p>
      <w:pPr>
        <w:widowControl/>
        <w:rPr>
          <w:color w:val="auto"/>
        </w:rPr>
      </w:pPr>
      <w:r>
        <w:rPr>
          <w:rFonts w:hint="eastAsia"/>
          <w:b/>
          <w:bCs/>
          <w:color w:val="auto"/>
          <w:sz w:val="20"/>
          <w:szCs w:val="20"/>
          <w:lang w:val="en-US" w:bidi="ar"/>
        </w:rPr>
        <w:t xml:space="preserve">注：1、投标人应将招标人给的“工程量清单说明”直接复印于此。投标人不附“工程量清单说明”或没有对工程量清单说明中实质性内容的作出响应的，作无效投标文件处理。 </w:t>
      </w:r>
    </w:p>
    <w:p>
      <w:pPr>
        <w:widowControl/>
        <w:rPr>
          <w:color w:val="auto"/>
        </w:rPr>
      </w:pPr>
      <w:r>
        <w:rPr>
          <w:rFonts w:hint="eastAsia"/>
          <w:color w:val="auto"/>
          <w:sz w:val="20"/>
          <w:szCs w:val="20"/>
          <w:lang w:val="en-US" w:bidi="ar"/>
        </w:rPr>
        <w:t xml:space="preserve">2、投标人应按照第五章“工程量清单”的要求逐项填报工程量清单，工程量清单应采用电子版文件打印形成，其格式与数据应与电子版文件相一致。 </w:t>
      </w:r>
    </w:p>
    <w:p>
      <w:pPr>
        <w:widowControl/>
        <w:rPr>
          <w:color w:val="auto"/>
        </w:rPr>
      </w:pPr>
      <w:r>
        <w:rPr>
          <w:rFonts w:hint="eastAsia"/>
          <w:color w:val="auto"/>
          <w:sz w:val="20"/>
          <w:szCs w:val="20"/>
          <w:lang w:val="en-US" w:bidi="ar"/>
        </w:rPr>
        <w:t xml:space="preserve">3 、投标人不允许修改招标人提供的工程量清单的指定价格或指定单价、编号、细目、数量、运算定义等，否则对该投标人的投标文件作否决投标处理。 </w:t>
      </w:r>
    </w:p>
    <w:p>
      <w:pPr>
        <w:widowControl/>
        <w:rPr>
          <w:color w:val="auto"/>
        </w:rPr>
      </w:pPr>
      <w:r>
        <w:rPr>
          <w:rFonts w:hint="eastAsia"/>
          <w:color w:val="auto"/>
          <w:sz w:val="20"/>
          <w:szCs w:val="20"/>
          <w:lang w:val="en-US" w:bidi="ar"/>
        </w:rPr>
        <w:t>4、投标人发现工程量清单电子文档有数量和运算定义等错误时，请及时向招标人提出，在招标人未修改前，切勿自行修改。</w:t>
      </w:r>
    </w:p>
    <w:p>
      <w:pPr>
        <w:pStyle w:val="6"/>
        <w:spacing w:before="93"/>
        <w:ind w:firstLine="420" w:firstLineChars="200"/>
        <w:jc w:val="center"/>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rPr>
          <w:rFonts w:hint="eastAsia"/>
          <w:color w:val="auto"/>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pStyle w:val="6"/>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2"/>
        <w:rPr>
          <w:rFonts w:hint="eastAsia"/>
          <w:lang w:eastAsia="zh-CN"/>
        </w:rPr>
      </w:pPr>
    </w:p>
    <w:p>
      <w:pPr>
        <w:pStyle w:val="6"/>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2"/>
        <w:rPr>
          <w:rFonts w:hint="eastAsia"/>
          <w:lang w:eastAsia="zh-CN"/>
        </w:rPr>
      </w:pPr>
    </w:p>
    <w:p>
      <w:pPr>
        <w:tabs>
          <w:tab w:val="left" w:pos="630"/>
        </w:tabs>
        <w:snapToGrid w:val="0"/>
        <w:spacing w:line="360" w:lineRule="auto"/>
        <w:jc w:val="center"/>
        <w:rPr>
          <w:rFonts w:hint="eastAsia"/>
          <w:color w:val="auto"/>
          <w:sz w:val="32"/>
          <w:szCs w:val="32"/>
        </w:rPr>
      </w:pPr>
      <w:r>
        <w:rPr>
          <w:rFonts w:hint="eastAsia"/>
          <w:color w:val="auto"/>
          <w:sz w:val="32"/>
          <w:szCs w:val="32"/>
        </w:rPr>
        <w:t>资格审查资料</w:t>
      </w:r>
    </w:p>
    <w:p>
      <w:pPr>
        <w:widowControl/>
        <w:jc w:val="center"/>
        <w:rPr>
          <w:color w:val="auto"/>
        </w:rPr>
      </w:pPr>
      <w:r>
        <w:rPr>
          <w:rFonts w:hint="eastAsia"/>
          <w:b/>
          <w:bCs/>
          <w:color w:val="auto"/>
          <w:sz w:val="20"/>
          <w:szCs w:val="20"/>
          <w:lang w:val="en-US" w:bidi="ar"/>
        </w:rPr>
        <w:t>按招标公告要求提供</w:t>
      </w:r>
    </w:p>
    <w:p>
      <w:pPr>
        <w:spacing w:line="1000" w:lineRule="exact"/>
        <w:rPr>
          <w:rFonts w:hint="eastAsia" w:eastAsia="黑体"/>
          <w:b/>
          <w:color w:val="auto"/>
          <w:sz w:val="32"/>
        </w:rPr>
      </w:pPr>
    </w:p>
    <w:p>
      <w:pPr>
        <w:snapToGrid w:val="0"/>
        <w:spacing w:line="360" w:lineRule="auto"/>
        <w:ind w:firstLine="512" w:firstLineChars="233"/>
        <w:rPr>
          <w:rFonts w:hint="eastAsia"/>
          <w:color w:val="auto"/>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pStyle w:val="6"/>
        <w:spacing w:before="93"/>
        <w:ind w:firstLine="420" w:firstLineChars="200"/>
        <w:rPr>
          <w:rFonts w:hint="eastAsia" w:ascii="黑体" w:eastAsia="黑体"/>
          <w:color w:val="auto"/>
          <w:sz w:val="21"/>
          <w:szCs w:val="21"/>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widowControl/>
        <w:jc w:val="center"/>
        <w:rPr>
          <w:rFonts w:hint="eastAsia"/>
          <w:b/>
          <w:bCs/>
          <w:color w:val="auto"/>
          <w:sz w:val="28"/>
          <w:szCs w:val="28"/>
          <w:lang w:val="en-US" w:bidi="ar"/>
        </w:rPr>
      </w:pPr>
    </w:p>
    <w:p>
      <w:pPr>
        <w:widowControl/>
        <w:jc w:val="center"/>
        <w:rPr>
          <w:rFonts w:hint="eastAsia" w:ascii="黑体" w:hAnsi="黑体" w:eastAsia="黑体"/>
          <w:b/>
          <w:color w:val="auto"/>
          <w:sz w:val="28"/>
          <w:szCs w:val="28"/>
        </w:rPr>
      </w:pPr>
      <w:r>
        <w:rPr>
          <w:rFonts w:hint="eastAsia"/>
          <w:b/>
          <w:bCs/>
          <w:color w:val="auto"/>
          <w:sz w:val="28"/>
          <w:szCs w:val="28"/>
          <w:lang w:val="en-US" w:bidi="ar"/>
        </w:rPr>
        <w:t>投标承诺书</w:t>
      </w:r>
    </w:p>
    <w:p>
      <w:pPr>
        <w:pStyle w:val="20"/>
        <w:jc w:val="center"/>
        <w:rPr>
          <w:rFonts w:ascii="黑体" w:hAnsi="黑体" w:eastAsia="黑体"/>
          <w:b/>
          <w:color w:val="auto"/>
          <w:sz w:val="28"/>
          <w:szCs w:val="28"/>
        </w:rPr>
      </w:pPr>
      <w:r>
        <w:rPr>
          <w:rFonts w:hint="eastAsia" w:ascii="黑体" w:hAnsi="黑体" w:eastAsia="黑体"/>
          <w:b/>
          <w:color w:val="auto"/>
          <w:sz w:val="28"/>
          <w:szCs w:val="28"/>
        </w:rPr>
        <w:t>入库信息诚信承诺书</w:t>
      </w:r>
    </w:p>
    <w:p>
      <w:pPr>
        <w:spacing w:line="40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为维护市场公平竞争，营造诚实守信的招投标交易环境，我单位自愿加入 “盐城市公共资源交易平台主体信息库”（诚信库），自愿将本单位相关信息予以登记并对外发布，信息库（诚信库）发布的相关信息均经我单位确认无误，对此郑重承诺如下：</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一、我单位提交并在信息库（诚信库）发布的相关信息均真实有效，提交的材料无任何伪造、修改、虚假成份，材料所述内容均为本单位真实拥有。若违反本承诺一经查实，本单位自愿退出所有在盐城市招标投标平台上正在进行的投标项目并被取消会员资格，自愿接受禁止1-3年内进入盐城市招标市场的处罚。同时作为失信行为推送至相关网站，进行联合惩戒。</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二、我单位在参加投标过程中严格遵守各项廉政制度，如有违反自愿按规定接受处罚。</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三、我单位知晓盐城市有关部门不再对信息库（诚信库）内容进行审核把关，有关信息一经提交确认，将无法修改撤回，有关信息若有虚假，无论是否作废，均作为对我单位的处罚依据，我单位保证审慎提交。</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w:t>
      </w:r>
      <w:r>
        <w:rPr>
          <w:rFonts w:hint="default"/>
          <w:color w:val="auto"/>
          <w:sz w:val="21"/>
          <w:szCs w:val="21"/>
          <w:lang w:val="en-US" w:eastAsia="zh-CN"/>
        </w:rPr>
        <w:t>我单位保证认真、及时维护和更新信息库（诚信库）中与我单位有关的内容，保证用于投标的有关资料，关键信息齐全、清晰可辨、真实有效。投标时严格按照招标文件约定从信息库（诚信库）勾选有关资料，如有违反，我单位将自愿承担由此造成的一切不良后果。</w:t>
      </w:r>
    </w:p>
    <w:p>
      <w:pPr>
        <w:spacing w:line="40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360" w:lineRule="exact"/>
        <w:ind w:firstLine="1146" w:firstLineChars="546"/>
        <w:rPr>
          <w:rFonts w:ascii="新宋体" w:hAnsi="新宋体" w:eastAsia="新宋体"/>
          <w:color w:val="auto"/>
          <w:sz w:val="21"/>
          <w:szCs w:val="21"/>
        </w:rPr>
      </w:pPr>
      <w:r>
        <w:rPr>
          <w:rFonts w:hint="eastAsia" w:ascii="新宋体" w:hAnsi="新宋体" w:eastAsia="新宋体"/>
          <w:color w:val="auto"/>
          <w:sz w:val="21"/>
          <w:szCs w:val="21"/>
        </w:rPr>
        <w:t>承诺人法定名称（法人公章）：</w:t>
      </w:r>
    </w:p>
    <w:p>
      <w:pPr>
        <w:spacing w:line="360" w:lineRule="exact"/>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36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统一社会信用代码：                 </w:t>
      </w:r>
    </w:p>
    <w:p>
      <w:pPr>
        <w:spacing w:line="360" w:lineRule="exact"/>
        <w:ind w:firstLine="411" w:firstLineChars="196"/>
        <w:rPr>
          <w:rFonts w:ascii="新宋体" w:hAnsi="新宋体" w:eastAsia="新宋体"/>
          <w:color w:val="auto"/>
          <w:sz w:val="21"/>
          <w:szCs w:val="21"/>
        </w:rPr>
      </w:pPr>
    </w:p>
    <w:p>
      <w:pPr>
        <w:spacing w:line="36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承诺人法定代表人（签字或盖章）：</w:t>
      </w:r>
    </w:p>
    <w:p>
      <w:pPr>
        <w:spacing w:line="360" w:lineRule="exact"/>
        <w:rPr>
          <w:rFonts w:ascii="新宋体" w:hAnsi="新宋体" w:eastAsia="新宋体"/>
          <w:color w:val="auto"/>
          <w:sz w:val="21"/>
          <w:szCs w:val="21"/>
        </w:rPr>
      </w:pPr>
    </w:p>
    <w:p>
      <w:pPr>
        <w:spacing w:line="360" w:lineRule="exact"/>
        <w:ind w:firstLine="411" w:firstLineChars="196"/>
        <w:rPr>
          <w:rFonts w:ascii="新宋体" w:hAnsi="新宋体" w:eastAsia="新宋体"/>
          <w:color w:val="auto"/>
        </w:rPr>
      </w:pPr>
      <w:r>
        <w:rPr>
          <w:rFonts w:hint="eastAsia" w:ascii="新宋体" w:hAnsi="新宋体" w:eastAsia="新宋体"/>
          <w:color w:val="auto"/>
          <w:sz w:val="21"/>
          <w:szCs w:val="21"/>
        </w:rPr>
        <w:t xml:space="preserve">                                       年    月    日</w:t>
      </w: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8"/>
        <w:rPr>
          <w:rFonts w:hint="eastAsia"/>
          <w:color w:val="auto"/>
          <w:lang w:eastAsia="zh-CN"/>
        </w:rPr>
      </w:pPr>
    </w:p>
    <w:p>
      <w:pPr>
        <w:rPr>
          <w:rFonts w:hint="eastAsia"/>
          <w:color w:val="auto"/>
        </w:rPr>
      </w:pPr>
    </w:p>
    <w:p>
      <w:pPr>
        <w:rPr>
          <w:rFonts w:hint="eastAsia"/>
          <w:color w:val="auto"/>
        </w:rPr>
      </w:pPr>
    </w:p>
    <w:p>
      <w:pPr>
        <w:rPr>
          <w:rFonts w:hint="eastAsia"/>
          <w:color w:val="auto"/>
        </w:rPr>
      </w:pPr>
    </w:p>
    <w:p>
      <w:pPr>
        <w:spacing w:line="520" w:lineRule="exact"/>
        <w:ind w:firstLine="562" w:firstLineChars="200"/>
        <w:jc w:val="center"/>
        <w:rPr>
          <w:rFonts w:hint="eastAsia" w:ascii="黑体" w:hAnsi="黑体" w:eastAsia="黑体"/>
          <w:b/>
          <w:color w:val="auto"/>
          <w:sz w:val="28"/>
          <w:szCs w:val="28"/>
        </w:rPr>
      </w:pPr>
    </w:p>
    <w:p>
      <w:pPr>
        <w:spacing w:line="520" w:lineRule="exact"/>
        <w:ind w:firstLine="562" w:firstLineChars="200"/>
        <w:jc w:val="center"/>
        <w:rPr>
          <w:rFonts w:hint="eastAsia" w:ascii="黑体" w:hAnsi="黑体" w:eastAsia="黑体"/>
          <w:b/>
          <w:color w:val="auto"/>
          <w:sz w:val="28"/>
          <w:szCs w:val="28"/>
        </w:rPr>
      </w:pPr>
    </w:p>
    <w:p>
      <w:pPr>
        <w:spacing w:line="520" w:lineRule="exact"/>
        <w:ind w:firstLine="562" w:firstLineChars="200"/>
        <w:jc w:val="center"/>
        <w:rPr>
          <w:rFonts w:ascii="黑体" w:hAnsi="黑体" w:eastAsia="黑体"/>
          <w:b/>
          <w:color w:val="auto"/>
          <w:sz w:val="28"/>
          <w:szCs w:val="28"/>
        </w:rPr>
      </w:pPr>
      <w:r>
        <w:rPr>
          <w:rFonts w:hint="eastAsia" w:ascii="黑体" w:hAnsi="黑体" w:eastAsia="黑体"/>
          <w:b/>
          <w:color w:val="auto"/>
          <w:sz w:val="28"/>
          <w:szCs w:val="28"/>
        </w:rPr>
        <w:t>法定代表人诚信投标承诺书</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本人以企业法定代表人的身份郑重承诺：</w:t>
      </w:r>
    </w:p>
    <w:p>
      <w:pPr>
        <w:spacing w:line="440" w:lineRule="exact"/>
        <w:ind w:firstLine="420" w:firstLineChars="200"/>
        <w:rPr>
          <w:rFonts w:hint="eastAsia" w:ascii="新宋体" w:hAnsi="新宋体" w:eastAsia="新宋体"/>
          <w:color w:val="auto"/>
          <w:sz w:val="21"/>
          <w:szCs w:val="21"/>
        </w:rPr>
      </w:pPr>
      <w:r>
        <w:rPr>
          <w:rFonts w:hint="eastAsia" w:ascii="新宋体" w:hAnsi="新宋体" w:eastAsia="新宋体"/>
          <w:color w:val="auto"/>
          <w:sz w:val="21"/>
          <w:szCs w:val="21"/>
        </w:rPr>
        <w:t>一、将遵循公开、公正和诚实信用的原则参加</w:t>
      </w:r>
      <w:r>
        <w:rPr>
          <w:rFonts w:hint="eastAsia" w:ascii="新宋体" w:hAnsi="新宋体" w:eastAsia="新宋体"/>
          <w:color w:val="auto"/>
          <w:sz w:val="21"/>
          <w:szCs w:val="21"/>
          <w:u w:val="single"/>
        </w:rPr>
        <w:t xml:space="preserve"> </w:t>
      </w:r>
      <w:r>
        <w:rPr>
          <w:rFonts w:hint="eastAsia" w:cs="宋体"/>
          <w:color w:val="auto"/>
          <w:spacing w:val="-3"/>
          <w:sz w:val="21"/>
          <w:szCs w:val="21"/>
          <w:u w:val="single"/>
          <w:lang w:val="en-US" w:eastAsia="zh-CN"/>
        </w:rPr>
        <w:t>2022年大丰区刘庄镇农村公路维修工程</w:t>
      </w:r>
      <w:r>
        <w:rPr>
          <w:rFonts w:hint="eastAsia" w:ascii="宋体" w:hAnsi="宋体" w:eastAsia="宋体" w:cs="宋体"/>
          <w:color w:val="auto"/>
          <w:spacing w:val="-3"/>
          <w:sz w:val="21"/>
          <w:szCs w:val="21"/>
          <w:u w:val="single"/>
          <w:lang w:val="en-US" w:eastAsia="zh-CN"/>
        </w:rPr>
        <w:t xml:space="preserve">施工招标 </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项目的投标；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二、保证我公司盐城市公共资源交易中心诚信库和本次投标文件中所提供的一切材料都是真实、有效、合法的；如有投诉经查实，自愿接受以弄虚作假骗取中标进行处罚；</w:t>
      </w:r>
    </w:p>
    <w:p>
      <w:pPr>
        <w:spacing w:line="440" w:lineRule="exact"/>
        <w:ind w:firstLine="420" w:firstLineChars="200"/>
        <w:rPr>
          <w:color w:val="auto"/>
          <w:sz w:val="21"/>
          <w:szCs w:val="21"/>
        </w:rPr>
      </w:pPr>
      <w:r>
        <w:rPr>
          <w:rFonts w:hint="eastAsia"/>
          <w:color w:val="auto"/>
          <w:sz w:val="21"/>
          <w:szCs w:val="21"/>
        </w:rPr>
        <w:t>三、保证我公司用于本次投标的项目负责人无在建工程，保证项目负责人及代理人均为本单位的正式职工，并确保均已按本招标文件约定的要求在本单位缴纳养老保险。如有投诉经查实，自愿接受以弄虚作假骗取中标进行处罚；</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四、不出借、转让资质证书，不让他人挂靠投标，不以他人名义投标或者以其他方式弄虚作假，骗取中标；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五、不与其他人相互串通投标报价，不排挤其他投标人的公平竞争、损害招标人的合法权益；不与招标人、招标代理机构或其他投标人串通投标，损害国家利益、社会公共利益或者他人的合法权益；</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六、严格遵守开标现场纪律，服从监管人员管理；</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七、保证中标后不存在转包、违法分包及挂靠等违法行为；</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八、保证中标之后，按照投标文件承诺派驻管理人员及投入机械设备；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九、如在投标过程和公示期间发生异议、投诉行为，保证按照《关于进一步规范建设工程招标投标投诉（异议）处理的通知》（盐建招投〔2016〕1号）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我同意招标人在我公司投标保证金中直接扣减相应数额，不足部分补足。</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十、若对本次投标有投诉（异议），我保证由我投标时授权的代理人全权处理投诉（异议）事项，不再另行委托他人处理，如若违背，招标人或监管机构有权拒绝受理我公司投诉（异议）事项。</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 xml:space="preserve"> 以上内容我已仔细阅读，本公司若有违反以上承诺内容、或其他弄虚作假，骗取中标的行为，自愿依法接受取消投标、中标资格、计失信行为录入不良行为记录系统、没收投标保证金等有关处理。</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440" w:lineRule="exact"/>
        <w:ind w:firstLine="4515" w:firstLineChars="2150"/>
        <w:rPr>
          <w:rFonts w:ascii="新宋体" w:hAnsi="新宋体" w:eastAsia="新宋体"/>
          <w:color w:val="auto"/>
          <w:sz w:val="21"/>
          <w:szCs w:val="21"/>
        </w:rPr>
      </w:pPr>
      <w:r>
        <w:rPr>
          <w:rFonts w:hint="eastAsia" w:ascii="新宋体" w:hAnsi="新宋体" w:eastAsia="新宋体"/>
          <w:color w:val="auto"/>
          <w:sz w:val="21"/>
          <w:szCs w:val="21"/>
        </w:rPr>
        <w:t>投标单位（公章）：</w:t>
      </w:r>
    </w:p>
    <w:p>
      <w:pPr>
        <w:spacing w:line="440" w:lineRule="exact"/>
        <w:ind w:firstLine="4515" w:firstLineChars="2150"/>
        <w:rPr>
          <w:rFonts w:ascii="新宋体" w:hAnsi="新宋体" w:eastAsia="新宋体"/>
          <w:color w:val="auto"/>
          <w:sz w:val="21"/>
          <w:szCs w:val="21"/>
        </w:rPr>
      </w:pPr>
      <w:r>
        <w:rPr>
          <w:rFonts w:hint="eastAsia" w:ascii="新宋体" w:hAnsi="新宋体" w:eastAsia="新宋体"/>
          <w:color w:val="auto"/>
          <w:sz w:val="21"/>
          <w:szCs w:val="21"/>
        </w:rPr>
        <w:t>法定代表人（签字并盖章）：</w:t>
      </w:r>
    </w:p>
    <w:p>
      <w:pPr>
        <w:spacing w:line="440" w:lineRule="exact"/>
        <w:ind w:firstLine="6090" w:firstLineChars="2900"/>
        <w:rPr>
          <w:rFonts w:ascii="新宋体" w:hAnsi="新宋体" w:eastAsia="新宋体"/>
          <w:color w:val="auto"/>
        </w:rPr>
      </w:pPr>
      <w:r>
        <w:rPr>
          <w:rFonts w:hint="eastAsia" w:ascii="新宋体" w:hAnsi="新宋体" w:eastAsia="新宋体"/>
          <w:color w:val="auto"/>
          <w:sz w:val="21"/>
          <w:szCs w:val="21"/>
        </w:rPr>
        <w:t>年    月     日</w:t>
      </w:r>
    </w:p>
    <w:p>
      <w:pPr>
        <w:rPr>
          <w:rFonts w:hint="eastAsia"/>
          <w:color w:val="auto"/>
          <w:szCs w:val="21"/>
        </w:rPr>
      </w:pPr>
    </w:p>
    <w:p>
      <w:pPr>
        <w:spacing w:line="520" w:lineRule="exact"/>
        <w:ind w:firstLine="562" w:firstLineChars="200"/>
        <w:jc w:val="center"/>
        <w:rPr>
          <w:rFonts w:ascii="黑体" w:hAnsi="黑体" w:eastAsia="黑体"/>
          <w:b/>
          <w:color w:val="auto"/>
          <w:sz w:val="28"/>
          <w:szCs w:val="28"/>
        </w:rPr>
      </w:pPr>
      <w:r>
        <w:rPr>
          <w:rFonts w:ascii="黑体" w:hAnsi="黑体" w:eastAsia="黑体"/>
          <w:b/>
          <w:color w:val="auto"/>
          <w:sz w:val="28"/>
          <w:szCs w:val="28"/>
        </w:rPr>
        <w:t>盐城市</w:t>
      </w:r>
      <w:r>
        <w:rPr>
          <w:rFonts w:hint="eastAsia" w:ascii="黑体" w:hAnsi="黑体" w:eastAsia="黑体"/>
          <w:b/>
          <w:color w:val="auto"/>
          <w:sz w:val="28"/>
          <w:szCs w:val="28"/>
        </w:rPr>
        <w:t>公共资源交易投标信用承诺书</w:t>
      </w:r>
    </w:p>
    <w:p>
      <w:pPr>
        <w:spacing w:line="300" w:lineRule="auto"/>
        <w:ind w:firstLine="420" w:firstLineChars="200"/>
        <w:rPr>
          <w:rFonts w:hint="eastAsia" w:ascii="新宋体" w:hAnsi="新宋体" w:eastAsia="新宋体"/>
          <w:color w:val="auto"/>
          <w:sz w:val="21"/>
          <w:szCs w:val="21"/>
        </w:rPr>
      </w:pPr>
    </w:p>
    <w:p>
      <w:pPr>
        <w:spacing w:line="300" w:lineRule="auto"/>
        <w:ind w:firstLine="420" w:firstLineChars="200"/>
        <w:rPr>
          <w:rFonts w:hint="eastAsia" w:ascii="新宋体" w:hAnsi="新宋体" w:eastAsia="新宋体"/>
          <w:color w:val="auto"/>
          <w:sz w:val="21"/>
          <w:szCs w:val="21"/>
        </w:rPr>
      </w:pP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为营造公开、公平、公正的公共资源交易环境，树立诚信守法的投标人形象，本人代表本单位作出以下承诺：</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一、本单位对所提交的单位基本信息、单位负责人、项目负责人、技术负责人、从业资质和资格、业绩、财务状况、信誉等所有资料，均合法、真实、准确、有效，无任何伪造、修改、虚假成分；</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二、严格依照国家和省、市关于招标投标等方面的法律、法规、规章、规范性文件，参加公共资源交易招标投标活动；积极履行社会责任，促进廉政建设；</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三、严格遵守即时信息公示规定，及时更新公共资源交易中心主体信息库中信息；</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四、自我约束、自我管理，守合同、重信用，不参与围标串标、弄虚作假、骗取中标、干扰评标、违约毁约、恶意投诉等行为，主动维护公共资源交易招标投标的良好秩序；</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五、自觉接受政府部门、行业组织、社会公众、新闻舆论等监督；</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六、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七、上述承诺已向本单位员工作了宣传教育。</w:t>
      </w:r>
    </w:p>
    <w:p>
      <w:pPr>
        <w:pStyle w:val="7"/>
        <w:rPr>
          <w:rFonts w:hint="eastAsia"/>
          <w:color w:val="auto"/>
          <w:sz w:val="21"/>
          <w:szCs w:val="21"/>
          <w:lang w:val="en-US" w:eastAsia="zh-CN"/>
        </w:rPr>
      </w:pPr>
    </w:p>
    <w:p>
      <w:pPr>
        <w:ind w:left="3780" w:right="840" w:firstLine="420" w:firstLineChars="200"/>
        <w:rPr>
          <w:rFonts w:ascii="新宋体" w:hAnsi="新宋体" w:eastAsia="新宋体"/>
          <w:color w:val="auto"/>
          <w:sz w:val="21"/>
          <w:szCs w:val="21"/>
        </w:rPr>
      </w:pPr>
      <w:r>
        <w:rPr>
          <w:rFonts w:hint="eastAsia" w:ascii="新宋体" w:hAnsi="新宋体" w:eastAsia="新宋体"/>
          <w:color w:val="auto"/>
          <w:sz w:val="21"/>
          <w:szCs w:val="21"/>
        </w:rPr>
        <w:t>法定代表人签名：</w:t>
      </w:r>
    </w:p>
    <w:p>
      <w:pPr>
        <w:pStyle w:val="7"/>
        <w:jc w:val="left"/>
        <w:rPr>
          <w:rFonts w:ascii="新宋体" w:hAnsi="新宋体" w:eastAsia="新宋体"/>
          <w:color w:val="auto"/>
          <w:sz w:val="21"/>
          <w:szCs w:val="21"/>
          <w:lang w:val="en-US" w:eastAsia="zh-CN"/>
        </w:rPr>
      </w:pPr>
    </w:p>
    <w:p>
      <w:pPr>
        <w:ind w:left="3780" w:right="420" w:firstLine="420" w:firstLineChars="200"/>
        <w:rPr>
          <w:rFonts w:hint="eastAsia" w:ascii="新宋体" w:hAnsi="新宋体" w:eastAsia="新宋体"/>
          <w:color w:val="auto"/>
          <w:sz w:val="21"/>
          <w:szCs w:val="21"/>
        </w:rPr>
      </w:pPr>
      <w:r>
        <w:rPr>
          <w:rFonts w:hint="eastAsia" w:ascii="新宋体" w:hAnsi="新宋体" w:eastAsia="新宋体"/>
          <w:color w:val="auto"/>
          <w:sz w:val="21"/>
          <w:szCs w:val="21"/>
        </w:rPr>
        <w:t>企业名称（盖章）：</w:t>
      </w:r>
      <w:r>
        <w:rPr>
          <w:rFonts w:ascii="新宋体" w:hAnsi="新宋体" w:eastAsia="新宋体"/>
          <w:color w:val="auto"/>
          <w:sz w:val="21"/>
          <w:szCs w:val="21"/>
        </w:rPr>
        <w:t xml:space="preserve">  </w:t>
      </w:r>
    </w:p>
    <w:p>
      <w:pPr>
        <w:ind w:left="3780" w:right="420" w:firstLine="420" w:firstLineChars="200"/>
        <w:rPr>
          <w:rFonts w:hint="eastAsia" w:ascii="新宋体" w:hAnsi="新宋体" w:eastAsia="新宋体"/>
          <w:color w:val="auto"/>
          <w:sz w:val="21"/>
          <w:szCs w:val="21"/>
        </w:rPr>
      </w:pPr>
    </w:p>
    <w:p>
      <w:pPr>
        <w:ind w:firstLine="420" w:firstLineChars="200"/>
        <w:jc w:val="right"/>
        <w:rPr>
          <w:rFonts w:hint="eastAsia" w:ascii="新宋体" w:hAnsi="新宋体" w:eastAsia="新宋体"/>
          <w:color w:val="auto"/>
        </w:rPr>
      </w:pP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年</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月</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日</w:t>
      </w: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pStyle w:val="7"/>
        <w:spacing w:line="640" w:lineRule="exact"/>
        <w:jc w:val="left"/>
        <w:rPr>
          <w:rFonts w:hint="eastAsia" w:ascii="Cambria" w:hAnsi="Cambria" w:eastAsia="方正小标宋_GBK" w:cs="Courier New"/>
          <w:sz w:val="44"/>
          <w:szCs w:val="44"/>
          <w:lang w:val="en-US" w:eastAsia="zh-CN"/>
        </w:rPr>
      </w:pPr>
    </w:p>
    <w:p>
      <w:pPr>
        <w:pStyle w:val="7"/>
        <w:spacing w:line="640" w:lineRule="exact"/>
        <w:jc w:val="left"/>
        <w:rPr>
          <w:rFonts w:hint="eastAsia" w:ascii="Cambria" w:hAnsi="Cambria" w:eastAsia="方正小标宋_GBK" w:cs="Courier New"/>
          <w:sz w:val="44"/>
          <w:szCs w:val="44"/>
          <w:lang w:val="en-US" w:eastAsia="zh-CN"/>
        </w:rPr>
      </w:pPr>
      <w:r>
        <w:rPr>
          <w:rFonts w:hint="eastAsia" w:ascii="Cambria" w:hAnsi="Cambria" w:eastAsia="方正小标宋_GBK" w:cs="Courier New"/>
          <w:sz w:val="44"/>
          <w:szCs w:val="44"/>
          <w:lang w:val="en-US" w:eastAsia="zh-CN"/>
        </w:rPr>
        <w:t>附件A：</w:t>
      </w:r>
    </w:p>
    <w:p>
      <w:pPr>
        <w:pStyle w:val="7"/>
        <w:spacing w:line="640" w:lineRule="exact"/>
        <w:jc w:val="center"/>
        <w:rPr>
          <w:rFonts w:hint="default" w:ascii="Cambria" w:hAnsi="Cambria" w:eastAsia="方正小标宋_GBK" w:cs="Courier New"/>
          <w:color w:val="FF0000"/>
          <w:sz w:val="36"/>
          <w:szCs w:val="36"/>
          <w:lang w:val="en-US" w:eastAsia="zh-CN"/>
        </w:rPr>
      </w:pPr>
      <w:r>
        <w:rPr>
          <w:rFonts w:hint="eastAsia" w:ascii="Cambria" w:hAnsi="Cambria" w:eastAsia="方正小标宋_GBK" w:cs="Courier New"/>
          <w:color w:val="FF0000"/>
          <w:sz w:val="36"/>
          <w:szCs w:val="36"/>
          <w:lang w:val="en-US" w:eastAsia="zh-CN"/>
        </w:rPr>
        <w:t>本项目</w:t>
      </w:r>
      <w:r>
        <w:rPr>
          <w:rFonts w:hint="default" w:ascii="Cambria" w:hAnsi="Cambria" w:eastAsia="方正小标宋_GBK" w:cs="Courier New"/>
          <w:color w:val="FF0000"/>
          <w:sz w:val="36"/>
          <w:szCs w:val="36"/>
          <w:lang w:val="en-US" w:eastAsia="zh-CN"/>
        </w:rPr>
        <w:t>投标保证金、履约保证金免</w:t>
      </w:r>
      <w:r>
        <w:rPr>
          <w:rFonts w:hint="eastAsia" w:ascii="Cambria" w:hAnsi="Cambria" w:eastAsia="方正小标宋_GBK" w:cs="Courier New"/>
          <w:color w:val="FF0000"/>
          <w:sz w:val="36"/>
          <w:szCs w:val="36"/>
          <w:lang w:val="en-US" w:eastAsia="zh-CN"/>
        </w:rPr>
        <w:t>交</w:t>
      </w:r>
      <w:r>
        <w:rPr>
          <w:rFonts w:hint="default" w:ascii="Cambria" w:hAnsi="Cambria" w:eastAsia="方正小标宋_GBK" w:cs="Courier New"/>
          <w:color w:val="FF0000"/>
          <w:sz w:val="36"/>
          <w:szCs w:val="36"/>
          <w:lang w:val="en-US" w:eastAsia="zh-CN"/>
        </w:rPr>
        <w:t>单位名单</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一、2020年度盐城市建筑施工企业30强(盐城市建筑业发展第一等次企业)：</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中港建设集团有限公司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江苏德基长隆建设有限公司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成盛建设集团有限公司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兴业建工集团有限公司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千和建设集团有限公司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江苏恒生建设集团有限公司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江苏鸿泰通建设集团有限公司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江苏宏远建设集团有限公司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国鹏建设江苏有限公司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江苏华悦建设集团有限公司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江苏省嘉园建设工程有限公司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中之兆建设有限公司</w:t>
      </w:r>
    </w:p>
    <w:p>
      <w:pPr>
        <w:pStyle w:val="7"/>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江苏省天悦建设工程有限公司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rPr>
        <w:t>202</w:t>
      </w:r>
      <w:r>
        <w:rPr>
          <w:rFonts w:hint="eastAsia" w:ascii="黑体" w:hAnsi="黑体" w:eastAsia="黑体" w:cs="黑体"/>
          <w:sz w:val="32"/>
          <w:szCs w:val="32"/>
          <w:lang w:val="en-US" w:eastAsia="zh-CN"/>
        </w:rPr>
        <w:t>0</w:t>
      </w:r>
      <w:r>
        <w:rPr>
          <w:rFonts w:hint="eastAsia" w:ascii="黑体" w:hAnsi="黑体" w:eastAsia="黑体" w:cs="黑体"/>
          <w:sz w:val="32"/>
          <w:szCs w:val="32"/>
        </w:rPr>
        <w:t>年度“争星创优”活动</w:t>
      </w:r>
      <w:r>
        <w:rPr>
          <w:rFonts w:hint="eastAsia" w:ascii="黑体" w:hAnsi="黑体" w:eastAsia="黑体" w:cs="黑体"/>
          <w:sz w:val="32"/>
          <w:szCs w:val="32"/>
          <w:lang w:val="en-US" w:eastAsia="zh-CN"/>
        </w:rPr>
        <w:t>建筑业</w:t>
      </w:r>
      <w:r>
        <w:rPr>
          <w:rFonts w:hint="eastAsia" w:ascii="黑体" w:hAnsi="黑体" w:eastAsia="黑体" w:cs="黑体"/>
          <w:sz w:val="32"/>
          <w:szCs w:val="32"/>
        </w:rPr>
        <w:t>星级企业</w:t>
      </w:r>
      <w:r>
        <w:rPr>
          <w:rFonts w:hint="eastAsia" w:ascii="黑体" w:hAnsi="黑体" w:eastAsia="黑体" w:cs="黑体"/>
          <w:sz w:val="32"/>
          <w:szCs w:val="32"/>
          <w:lang w:eastAsia="zh-CN"/>
        </w:rPr>
        <w:t>：</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1．五星企业（</w:t>
      </w:r>
      <w:r>
        <w:rPr>
          <w:rFonts w:hint="eastAsia" w:ascii="Times New Roman" w:hAnsi="Times New Roman" w:eastAsia="方正仿宋_GBK" w:cs="宋体"/>
          <w:sz w:val="33"/>
          <w:szCs w:val="33"/>
          <w:lang w:val="en-US" w:eastAsia="zh-CN"/>
        </w:rPr>
        <w:t>7</w:t>
      </w:r>
      <w:r>
        <w:rPr>
          <w:rFonts w:hint="eastAsia" w:ascii="Times New Roman" w:hAnsi="Times New Roman" w:eastAsia="方正仿宋_GBK" w:cs="宋体"/>
          <w:sz w:val="33"/>
          <w:szCs w:val="33"/>
        </w:rPr>
        <w:t>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江苏省千和建设工程有限公司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2．四星企业（7户）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中港建设集团有限公司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default" w:ascii="Times New Roman" w:hAnsi="Times New Roman" w:eastAsia="方正仿宋_GBK" w:cs="宋体"/>
          <w:sz w:val="33"/>
          <w:szCs w:val="33"/>
          <w:lang w:val="en-US" w:eastAsia="zh-CN"/>
        </w:rPr>
      </w:pPr>
      <w:r>
        <w:rPr>
          <w:rFonts w:hint="eastAsia" w:ascii="Times New Roman" w:hAnsi="Times New Roman" w:eastAsia="方正仿宋_GBK" w:cs="宋体"/>
          <w:sz w:val="33"/>
          <w:szCs w:val="33"/>
        </w:rPr>
        <w:t>江苏德基长隆建设有限公司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江苏龙光建设工程有限公司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3．三星企业（1</w:t>
      </w:r>
      <w:r>
        <w:rPr>
          <w:rFonts w:hint="eastAsia" w:ascii="Times New Roman" w:hAnsi="Times New Roman" w:eastAsia="方正仿宋_GBK" w:cs="宋体"/>
          <w:sz w:val="33"/>
          <w:szCs w:val="33"/>
          <w:lang w:val="en-US" w:eastAsia="zh-CN"/>
        </w:rPr>
        <w:t>6</w:t>
      </w:r>
      <w:r>
        <w:rPr>
          <w:rFonts w:hint="eastAsia" w:ascii="Times New Roman" w:hAnsi="Times New Roman" w:eastAsia="方正仿宋_GBK" w:cs="宋体"/>
          <w:sz w:val="33"/>
          <w:szCs w:val="33"/>
        </w:rPr>
        <w:t>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成盛建设集团有限公司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射阳县城建建筑工程有限公司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射阳县电气实业有限公司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default" w:ascii="Times New Roman" w:hAnsi="Times New Roman" w:eastAsia="方正仿宋_GBK" w:cs="宋体"/>
          <w:sz w:val="33"/>
          <w:szCs w:val="33"/>
          <w:lang w:val="en-US" w:eastAsia="zh-CN"/>
        </w:rPr>
      </w:pPr>
      <w:r>
        <w:rPr>
          <w:rFonts w:hint="eastAsia" w:ascii="Times New Roman" w:hAnsi="Times New Roman" w:eastAsia="方正仿宋_GBK" w:cs="宋体"/>
          <w:sz w:val="33"/>
          <w:szCs w:val="33"/>
        </w:rPr>
        <w:t>江苏彤阳建设工程有限公司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苏科建工集团有限公司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滨海县水利建筑工程总公司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江苏凝艺建设工程有限公司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盐城市兴都市政工程建设有限公司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江苏恒邦建设集团有限公司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rPr>
        <w:t>2021年度“争星创优”活动</w:t>
      </w:r>
      <w:r>
        <w:rPr>
          <w:rFonts w:hint="eastAsia" w:ascii="黑体" w:hAnsi="黑体" w:eastAsia="黑体" w:cs="黑体"/>
          <w:sz w:val="32"/>
          <w:szCs w:val="32"/>
          <w:lang w:val="en-US" w:eastAsia="zh-CN"/>
        </w:rPr>
        <w:t>建筑业</w:t>
      </w:r>
      <w:r>
        <w:rPr>
          <w:rFonts w:hint="eastAsia" w:ascii="黑体" w:hAnsi="黑体" w:eastAsia="黑体" w:cs="黑体"/>
          <w:sz w:val="32"/>
          <w:szCs w:val="32"/>
        </w:rPr>
        <w:t>星级企业</w:t>
      </w:r>
      <w:r>
        <w:rPr>
          <w:rFonts w:hint="eastAsia" w:ascii="黑体" w:hAnsi="黑体" w:eastAsia="黑体" w:cs="黑体"/>
          <w:sz w:val="32"/>
          <w:szCs w:val="32"/>
          <w:lang w:eastAsia="zh-CN"/>
        </w:rPr>
        <w:t>：</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jc w:val="left"/>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1．五星企业（12户）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江苏海瀛腾飞市政建设工程有限公司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江苏省千和建设工程有限公司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江苏龙光建设工程有限公司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2．四星企业（7户）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江苏宏远建设集团有限公司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江苏凝艺建设工程有限公司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射阳县城建建筑工程有限公司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江苏德基长隆建设有限公司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3．三星企业（19户）</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江苏光银建设工程有限公司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江苏响水水利建筑工程有限公司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江苏宏洲建筑装饰工程有限公司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江苏弘仁建设集团有限公司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射阳县电气实业有限公司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江苏省嘉园建设工程有限公司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江苏彤阳建设工程有限公司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江苏蛟龙打捞航务工程有限公司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苏科建工集团有限公司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建湖县春林绿化工程建设有限公司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盐城市兴达建筑工程有限公司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宏鑫建设集团有限公司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盐城市兴都市政工程建设有限公司</w:t>
      </w:r>
    </w:p>
    <w:p>
      <w:pPr>
        <w:pStyle w:val="7"/>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color w:val="auto"/>
        </w:rPr>
      </w:pPr>
      <w:r>
        <w:rPr>
          <w:rFonts w:hint="eastAsia" w:ascii="Times New Roman" w:hAnsi="Times New Roman" w:eastAsia="方正仿宋_GBK" w:cs="宋体"/>
          <w:sz w:val="33"/>
          <w:szCs w:val="33"/>
        </w:rPr>
        <w:t>兴业建工集团有限公司</w:t>
      </w:r>
    </w:p>
    <w:p>
      <w:pPr>
        <w:pStyle w:val="19"/>
        <w:numPr>
          <w:ilvl w:val="0"/>
          <w:numId w:val="0"/>
        </w:numPr>
        <w:tabs>
          <w:tab w:val="left" w:pos="946"/>
        </w:tabs>
        <w:spacing w:before="67" w:after="0" w:line="240" w:lineRule="auto"/>
        <w:ind w:left="339" w:leftChars="0" w:right="0" w:rightChars="0"/>
        <w:jc w:val="center"/>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2" name="图片 12" descr="关于公布2021年度全市建筑业发展目标“第一等次”县（市、区）和盐城市建筑施工企业30强名单的通知(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布2021年度全市建筑业发展目标“第一等次”县（市、区）和盐城市建筑施工企业30强名单的通知(4)-1"/>
                    <pic:cNvPicPr>
                      <a:picLocks noChangeAspect="1"/>
                    </pic:cNvPicPr>
                  </pic:nvPicPr>
                  <pic:blipFill>
                    <a:blip r:embed="rId17"/>
                    <a:stretch>
                      <a:fillRect/>
                    </a:stretch>
                  </pic:blipFill>
                  <pic:spPr>
                    <a:xfrm>
                      <a:off x="0" y="0"/>
                      <a:ext cx="6319520" cy="8933815"/>
                    </a:xfrm>
                    <a:prstGeom prst="rect">
                      <a:avLst/>
                    </a:prstGeom>
                    <a:noFill/>
                    <a:ln>
                      <a:noFill/>
                    </a:ln>
                  </pic:spPr>
                </pic:pic>
              </a:graphicData>
            </a:graphic>
          </wp:inline>
        </w:drawing>
      </w:r>
    </w:p>
    <w:p>
      <w:pPr>
        <w:pStyle w:val="19"/>
        <w:numPr>
          <w:ilvl w:val="0"/>
          <w:numId w:val="0"/>
        </w:numPr>
        <w:tabs>
          <w:tab w:val="left" w:pos="946"/>
        </w:tabs>
        <w:spacing w:before="67" w:after="0" w:line="240" w:lineRule="auto"/>
        <w:ind w:left="339" w:leftChars="0" w:right="0" w:rightChars="0"/>
        <w:jc w:val="left"/>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3" name="图片 2" descr="关于公布2021年度全市建筑业发展目标“第一等次”县（市、区）和盐城市建筑施工企业30强名单的通知(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关于公布2021年度全市建筑业发展目标“第一等次”县（市、区）和盐城市建筑施工企业30强名单的通知(4)-2"/>
                    <pic:cNvPicPr>
                      <a:picLocks noChangeAspect="1"/>
                    </pic:cNvPicPr>
                  </pic:nvPicPr>
                  <pic:blipFill>
                    <a:blip r:embed="rId18"/>
                    <a:stretch>
                      <a:fillRect/>
                    </a:stretch>
                  </pic:blipFill>
                  <pic:spPr>
                    <a:xfrm>
                      <a:off x="0" y="0"/>
                      <a:ext cx="6319520" cy="8933815"/>
                    </a:xfrm>
                    <a:prstGeom prst="rect">
                      <a:avLst/>
                    </a:prstGeom>
                    <a:noFill/>
                    <a:ln>
                      <a:noFill/>
                    </a:ln>
                  </pic:spPr>
                </pic:pic>
              </a:graphicData>
            </a:graphic>
          </wp:inline>
        </w:drawing>
      </w:r>
    </w:p>
    <w:p>
      <w:pPr>
        <w:pStyle w:val="19"/>
        <w:numPr>
          <w:ilvl w:val="0"/>
          <w:numId w:val="0"/>
        </w:numPr>
        <w:tabs>
          <w:tab w:val="left" w:pos="946"/>
        </w:tabs>
        <w:spacing w:before="67" w:after="0" w:line="240" w:lineRule="auto"/>
        <w:ind w:left="339" w:leftChars="0" w:right="0" w:rightChars="0"/>
        <w:jc w:val="left"/>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4" name="图片 3" descr="关于公布2021年度全市建筑业发展目标“第一等次”县（市、区）和盐城市建筑施工企业30强名单的通知(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关于公布2021年度全市建筑业发展目标“第一等次”县（市、区）和盐城市建筑施工企业30强名单的通知(4)-3"/>
                    <pic:cNvPicPr>
                      <a:picLocks noChangeAspect="1"/>
                    </pic:cNvPicPr>
                  </pic:nvPicPr>
                  <pic:blipFill>
                    <a:blip r:embed="rId19"/>
                    <a:stretch>
                      <a:fillRect/>
                    </a:stretch>
                  </pic:blipFill>
                  <pic:spPr>
                    <a:xfrm>
                      <a:off x="0" y="0"/>
                      <a:ext cx="6319520" cy="8933815"/>
                    </a:xfrm>
                    <a:prstGeom prst="rect">
                      <a:avLst/>
                    </a:prstGeom>
                    <a:noFill/>
                    <a:ln>
                      <a:noFill/>
                    </a:ln>
                  </pic:spPr>
                </pic:pic>
              </a:graphicData>
            </a:graphic>
          </wp:inline>
        </w:drawing>
      </w:r>
    </w:p>
    <w:p>
      <w:pPr>
        <w:pStyle w:val="2"/>
        <w:rPr>
          <w:rFonts w:hint="eastAsia"/>
        </w:rPr>
      </w:pPr>
      <w:r>
        <w:rPr>
          <w:rFonts w:hint="eastAsia" w:ascii="黑体" w:eastAsia="黑体"/>
          <w:sz w:val="32"/>
          <w:lang w:eastAsia="zh-CN"/>
        </w:rPr>
        <w:drawing>
          <wp:inline distT="0" distB="0" distL="114300" distR="114300">
            <wp:extent cx="6319520" cy="8933815"/>
            <wp:effectExtent l="0" t="0" r="5080" b="635"/>
            <wp:docPr id="15" name="图片 4" descr="关于公布2021年度全市建筑业发展目标“第一等次”县（市、区）和盐城市建筑施工企业30强名单的通知(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公布2021年度全市建筑业发展目标“第一等次”县（市、区）和盐城市建筑施工企业30强名单的通知(4)-4"/>
                    <pic:cNvPicPr>
                      <a:picLocks noChangeAspect="1"/>
                    </pic:cNvPicPr>
                  </pic:nvPicPr>
                  <pic:blipFill>
                    <a:blip r:embed="rId20"/>
                    <a:stretch>
                      <a:fillRect/>
                    </a:stretch>
                  </pic:blipFill>
                  <pic:spPr>
                    <a:xfrm>
                      <a:off x="0" y="0"/>
                      <a:ext cx="6319520" cy="8933815"/>
                    </a:xfrm>
                    <a:prstGeom prst="rect">
                      <a:avLst/>
                    </a:prstGeom>
                    <a:noFill/>
                    <a:ln>
                      <a:noFill/>
                    </a:ln>
                  </pic:spPr>
                </pic:pic>
              </a:graphicData>
            </a:graphic>
          </wp:inline>
        </w:drawing>
      </w:r>
    </w:p>
    <w:p>
      <w:pPr>
        <w:pStyle w:val="6"/>
        <w:spacing w:before="93"/>
        <w:rPr>
          <w:rFonts w:ascii="黑体" w:eastAsia="黑体"/>
          <w:b/>
          <w:color w:val="auto"/>
          <w:sz w:val="32"/>
          <w:lang w:val="en-US" w:bidi="ar-SA"/>
        </w:rPr>
      </w:pPr>
      <w:r>
        <w:rPr>
          <w:rFonts w:ascii="黑体" w:eastAsia="黑体"/>
          <w:b/>
          <w:color w:val="auto"/>
          <w:sz w:val="32"/>
          <w:lang w:val="en-US" w:bidi="ar-SA"/>
        </w:rPr>
        <w:drawing>
          <wp:inline distT="0" distB="0" distL="114300" distR="114300">
            <wp:extent cx="5848350" cy="7296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848350" cy="7296150"/>
                    </a:xfrm>
                    <a:prstGeom prst="rect">
                      <a:avLst/>
                    </a:prstGeom>
                    <a:noFill/>
                    <a:ln>
                      <a:noFill/>
                    </a:ln>
                  </pic:spPr>
                </pic:pic>
              </a:graphicData>
            </a:graphic>
          </wp:inline>
        </w:drawing>
      </w: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r>
        <w:rPr>
          <w:rFonts w:ascii="黑体" w:eastAsia="黑体"/>
          <w:b/>
          <w:color w:val="auto"/>
          <w:sz w:val="32"/>
          <w:lang w:val="en-US" w:bidi="ar-SA"/>
        </w:rPr>
        <w:drawing>
          <wp:inline distT="0" distB="0" distL="114300" distR="114300">
            <wp:extent cx="5758180" cy="7113905"/>
            <wp:effectExtent l="0" t="0" r="139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758180" cy="7113905"/>
                    </a:xfrm>
                    <a:prstGeom prst="rect">
                      <a:avLst/>
                    </a:prstGeom>
                    <a:noFill/>
                    <a:ln>
                      <a:noFill/>
                    </a:ln>
                  </pic:spPr>
                </pic:pic>
              </a:graphicData>
            </a:graphic>
          </wp:inline>
        </w:drawing>
      </w: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ascii="黑体" w:eastAsia="黑体"/>
          <w:b/>
          <w:color w:val="auto"/>
          <w:sz w:val="32"/>
          <w:lang w:val="en-US" w:bidi="ar-SA"/>
        </w:rPr>
      </w:pPr>
    </w:p>
    <w:p>
      <w:pPr>
        <w:pStyle w:val="6"/>
        <w:spacing w:before="93"/>
        <w:rPr>
          <w:rFonts w:hint="eastAsia" w:ascii="黑体" w:eastAsia="黑体"/>
          <w:b/>
          <w:color w:val="auto"/>
          <w:sz w:val="32"/>
          <w:lang w:val="en-US" w:bidi="ar-SA"/>
        </w:rPr>
      </w:pPr>
      <w:r>
        <w:rPr>
          <w:rFonts w:ascii="黑体" w:eastAsia="黑体"/>
          <w:b/>
          <w:color w:val="auto"/>
          <w:sz w:val="32"/>
          <w:lang w:val="en-US" w:bidi="ar-SA"/>
        </w:rPr>
        <w:drawing>
          <wp:inline distT="0" distB="0" distL="114300" distR="114300">
            <wp:extent cx="5760085" cy="7237095"/>
            <wp:effectExtent l="0" t="0" r="1206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5760085" cy="723709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60085" cy="72370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760085" cy="723709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62625" cy="7851775"/>
            <wp:effectExtent l="0" t="0" r="952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5762625" cy="785177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57545" cy="7473315"/>
            <wp:effectExtent l="0" t="0" r="1460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stretch>
                      <a:fillRect/>
                    </a:stretch>
                  </pic:blipFill>
                  <pic:spPr>
                    <a:xfrm>
                      <a:off x="0" y="0"/>
                      <a:ext cx="5757545" cy="747331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334000" cy="70770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5334000" cy="707707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400675" cy="75247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8"/>
                    <a:stretch>
                      <a:fillRect/>
                    </a:stretch>
                  </pic:blipFill>
                  <pic:spPr>
                    <a:xfrm>
                      <a:off x="0" y="0"/>
                      <a:ext cx="5400675" cy="7524750"/>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59450" cy="3964940"/>
            <wp:effectExtent l="0" t="0" r="1270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stretch>
                      <a:fillRect/>
                    </a:stretch>
                  </pic:blipFill>
                  <pic:spPr>
                    <a:xfrm>
                      <a:off x="0" y="0"/>
                      <a:ext cx="5759450" cy="3964940"/>
                    </a:xfrm>
                    <a:prstGeom prst="rect">
                      <a:avLst/>
                    </a:prstGeom>
                    <a:noFill/>
                    <a:ln>
                      <a:noFill/>
                    </a:ln>
                  </pic:spPr>
                </pic:pic>
              </a:graphicData>
            </a:graphic>
          </wp:inline>
        </w:drawing>
      </w:r>
    </w:p>
    <w:p/>
    <w:sectPr>
      <w:pgSz w:w="11906" w:h="16838"/>
      <w:pgMar w:top="1135" w:right="1416" w:bottom="1134" w:left="1418" w:header="851" w:footer="992" w:gutter="0"/>
      <w:pgNumType w:start="14"/>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eastAsia="zh-CN"/>
      </w:rPr>
    </w:pP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990600</wp:posOffset>
              </wp:positionH>
              <wp:positionV relativeFrom="page">
                <wp:posOffset>737870</wp:posOffset>
              </wp:positionV>
              <wp:extent cx="549846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49846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pt;margin-top:58.1pt;height:0pt;width:432.95pt;mso-position-horizontal-relative:page;mso-position-vertical-relative:page;z-index:-251657216;mso-width-relative:page;mso-height-relative:page;" filled="f" stroked="t" coordsize="21600,21600" o:gfxdata="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Aa9fYAAAADAEAAA8AAAAAAAAAAQAgAAAAIgAAAGRycy9kb3ducmV2LnhtbFBL&#10;AQIUABQAAAAIAIdO4kD0AkZm9gEAAOQDAAAOAAAAAAAAAAEAIAAAACcBAABkcnMvZTJvRG9jLnht&#10;bFBLBQYAAAAABgAGAFkBAACP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996315</wp:posOffset>
              </wp:positionH>
              <wp:positionV relativeFrom="page">
                <wp:posOffset>543560</wp:posOffset>
              </wp:positionV>
              <wp:extent cx="2577465" cy="1809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577465" cy="180975"/>
                      </a:xfrm>
                      <a:prstGeom prst="rect">
                        <a:avLst/>
                      </a:prstGeom>
                      <a:noFill/>
                      <a:ln>
                        <a:noFill/>
                      </a:ln>
                    </wps:spPr>
                    <wps:txbx>
                      <w:txbxContent>
                        <w:p>
                          <w:pPr>
                            <w:spacing w:line="279" w:lineRule="exact"/>
                            <w:ind w:left="20"/>
                            <w:rPr>
                              <w:rFonts w:ascii="黑体" w:eastAsia="黑体"/>
                            </w:rPr>
                          </w:pPr>
                          <w:r>
                            <w:rPr>
                              <w:rFonts w:hint="eastAsia" w:ascii="黑体" w:eastAsia="黑体"/>
                            </w:rPr>
                            <w:t>公路工程标准施工招标文件（</w:t>
                          </w:r>
                          <w:r>
                            <w:rPr>
                              <w:rFonts w:ascii="Times New Roman" w:eastAsia="Times New Roman"/>
                            </w:rPr>
                            <w:t xml:space="preserve">2018 </w:t>
                          </w:r>
                          <w:r>
                            <w:rPr>
                              <w:rFonts w:hint="eastAsia" w:ascii="黑体" w:eastAsia="黑体"/>
                            </w:rPr>
                            <w:t>年版）</w:t>
                          </w:r>
                        </w:p>
                      </w:txbxContent>
                    </wps:txbx>
                    <wps:bodyPr lIns="0" tIns="0" rIns="0" bIns="0" upright="1"/>
                  </wps:wsp>
                </a:graphicData>
              </a:graphic>
            </wp:anchor>
          </w:drawing>
        </mc:Choice>
        <mc:Fallback>
          <w:pict>
            <v:shape id="_x0000_s1026" o:spid="_x0000_s1026" o:spt="202" type="#_x0000_t202" style="position:absolute;left:0pt;margin-left:78.45pt;margin-top:42.8pt;height:14.25pt;width:202.95pt;mso-position-horizontal-relative:page;mso-position-vertical-relative:page;z-index:-251656192;mso-width-relative:page;mso-height-relative:page;" filled="f" stroked="f" coordsize="21600,21600" o:gfxdata="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d3htgAAAAKAQAADwAAAAAAAAABACAAAAAiAAAAZHJzL2Rvd25yZXYueG1sUEsB&#10;AhQAFAAAAAgAh07iQMVVblS8AQAAcgMAAA4AAAAAAAAAAQAgAAAAJwEAAGRycy9lMm9Eb2MueG1s&#10;UEsFBgAAAAAGAAYAWQEAAFUFAAAAAA==&#10;">
              <v:fill on="f" focussize="0,0"/>
              <v:stroke on="f"/>
              <v:imagedata o:title=""/>
              <o:lock v:ext="edit" aspectratio="f"/>
              <v:textbox inset="0mm,0mm,0mm,0mm">
                <w:txbxContent>
                  <w:p>
                    <w:pPr>
                      <w:spacing w:line="279" w:lineRule="exact"/>
                      <w:ind w:left="20"/>
                      <w:rPr>
                        <w:rFonts w:ascii="黑体" w:eastAsia="黑体"/>
                      </w:rPr>
                    </w:pPr>
                    <w:r>
                      <w:rPr>
                        <w:rFonts w:hint="eastAsia" w:ascii="黑体" w:eastAsia="黑体"/>
                      </w:rPr>
                      <w:t>公路工程标准施工招标文件（</w:t>
                    </w:r>
                    <w:r>
                      <w:rPr>
                        <w:rFonts w:ascii="Times New Roman" w:eastAsia="Times New Roman"/>
                      </w:rPr>
                      <w:t xml:space="preserve">2018 </w:t>
                    </w:r>
                    <w:r>
                      <w:rPr>
                        <w:rFonts w:hint="eastAsia" w:ascii="黑体" w:eastAsia="黑体"/>
                      </w:rPr>
                      <w:t>年版）</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EEC6E"/>
    <w:multiLevelType w:val="singleLevel"/>
    <w:tmpl w:val="9A2EEC6E"/>
    <w:lvl w:ilvl="0" w:tentative="0">
      <w:start w:val="1"/>
      <w:numFmt w:val="chineseCounting"/>
      <w:suff w:val="space"/>
      <w:lvlText w:val="第%1章"/>
      <w:lvlJc w:val="left"/>
      <w:pPr>
        <w:ind w:left="3057" w:leftChars="0" w:firstLine="0" w:firstLineChars="0"/>
      </w:pPr>
      <w:rPr>
        <w:rFonts w:hint="eastAsia"/>
      </w:rPr>
    </w:lvl>
  </w:abstractNum>
  <w:abstractNum w:abstractNumId="1">
    <w:nsid w:val="00000000"/>
    <w:multiLevelType w:val="singleLevel"/>
    <w:tmpl w:val="00000000"/>
    <w:lvl w:ilvl="0" w:tentative="0">
      <w:start w:val="1"/>
      <w:numFmt w:val="decimal"/>
      <w:suff w:val="nothing"/>
      <w:lvlText w:val="（%1）"/>
      <w:lvlJc w:val="left"/>
      <w:rPr>
        <w:rFonts w:hint="eastAsia"/>
        <w:kern w:val="2"/>
        <w:sz w:val="21"/>
        <w:lang w:val="en-US" w:eastAsia="zh-CN"/>
      </w:rPr>
    </w:lvl>
  </w:abstractNum>
  <w:abstractNum w:abstractNumId="2">
    <w:nsid w:val="0000000D"/>
    <w:multiLevelType w:val="singleLevel"/>
    <w:tmpl w:val="0000000D"/>
    <w:lvl w:ilvl="0" w:tentative="0">
      <w:start w:val="1"/>
      <w:numFmt w:val="decimal"/>
      <w:suff w:val="nothing"/>
      <w:lvlText w:val="（%1）"/>
      <w:lvlJc w:val="left"/>
      <w:rPr>
        <w:rFonts w:hint="eastAsia"/>
        <w:color w:val="auto"/>
        <w:kern w:val="2"/>
        <w:sz w:val="21"/>
        <w:lang w:val="en-US" w:eastAsia="zh-CN"/>
      </w:rPr>
    </w:lvl>
  </w:abstractNum>
  <w:abstractNum w:abstractNumId="3">
    <w:nsid w:val="02F234C7"/>
    <w:multiLevelType w:val="multilevel"/>
    <w:tmpl w:val="02F234C7"/>
    <w:lvl w:ilvl="0" w:tentative="0">
      <w:start w:val="1"/>
      <w:numFmt w:val="decimal"/>
      <w:lvlText w:val="%1."/>
      <w:lvlJc w:val="left"/>
      <w:pPr>
        <w:ind w:left="424" w:hanging="300"/>
      </w:pPr>
      <w:rPr>
        <w:rFonts w:hint="default" w:ascii="Times New Roman" w:hAnsi="Times New Roman" w:eastAsia="Times New Roman" w:cs="Times New Roman"/>
        <w:spacing w:val="-120"/>
        <w:w w:val="100"/>
        <w:sz w:val="24"/>
        <w:szCs w:val="24"/>
        <w:lang w:val="zh-CN" w:eastAsia="zh-CN" w:bidi="zh-CN"/>
      </w:rPr>
    </w:lvl>
    <w:lvl w:ilvl="1" w:tentative="0">
      <w:start w:val="0"/>
      <w:numFmt w:val="bullet"/>
      <w:lvlText w:val="•"/>
      <w:lvlJc w:val="left"/>
      <w:pPr>
        <w:ind w:left="1326" w:hanging="300"/>
      </w:pPr>
      <w:rPr>
        <w:rFonts w:hint="default"/>
        <w:lang w:val="zh-CN" w:eastAsia="zh-CN" w:bidi="zh-CN"/>
      </w:rPr>
    </w:lvl>
    <w:lvl w:ilvl="2" w:tentative="0">
      <w:start w:val="0"/>
      <w:numFmt w:val="bullet"/>
      <w:lvlText w:val="•"/>
      <w:lvlJc w:val="left"/>
      <w:pPr>
        <w:ind w:left="2233" w:hanging="300"/>
      </w:pPr>
      <w:rPr>
        <w:rFonts w:hint="default"/>
        <w:lang w:val="zh-CN" w:eastAsia="zh-CN" w:bidi="zh-CN"/>
      </w:rPr>
    </w:lvl>
    <w:lvl w:ilvl="3" w:tentative="0">
      <w:start w:val="0"/>
      <w:numFmt w:val="bullet"/>
      <w:lvlText w:val="•"/>
      <w:lvlJc w:val="left"/>
      <w:pPr>
        <w:ind w:left="3139" w:hanging="300"/>
      </w:pPr>
      <w:rPr>
        <w:rFonts w:hint="default"/>
        <w:lang w:val="zh-CN" w:eastAsia="zh-CN" w:bidi="zh-CN"/>
      </w:rPr>
    </w:lvl>
    <w:lvl w:ilvl="4" w:tentative="0">
      <w:start w:val="0"/>
      <w:numFmt w:val="bullet"/>
      <w:lvlText w:val="•"/>
      <w:lvlJc w:val="left"/>
      <w:pPr>
        <w:ind w:left="4046" w:hanging="300"/>
      </w:pPr>
      <w:rPr>
        <w:rFonts w:hint="default"/>
        <w:lang w:val="zh-CN" w:eastAsia="zh-CN" w:bidi="zh-CN"/>
      </w:rPr>
    </w:lvl>
    <w:lvl w:ilvl="5" w:tentative="0">
      <w:start w:val="0"/>
      <w:numFmt w:val="bullet"/>
      <w:lvlText w:val="•"/>
      <w:lvlJc w:val="left"/>
      <w:pPr>
        <w:ind w:left="4953" w:hanging="300"/>
      </w:pPr>
      <w:rPr>
        <w:rFonts w:hint="default"/>
        <w:lang w:val="zh-CN" w:eastAsia="zh-CN" w:bidi="zh-CN"/>
      </w:rPr>
    </w:lvl>
    <w:lvl w:ilvl="6" w:tentative="0">
      <w:start w:val="0"/>
      <w:numFmt w:val="bullet"/>
      <w:lvlText w:val="•"/>
      <w:lvlJc w:val="left"/>
      <w:pPr>
        <w:ind w:left="5859" w:hanging="300"/>
      </w:pPr>
      <w:rPr>
        <w:rFonts w:hint="default"/>
        <w:lang w:val="zh-CN" w:eastAsia="zh-CN" w:bidi="zh-CN"/>
      </w:rPr>
    </w:lvl>
    <w:lvl w:ilvl="7" w:tentative="0">
      <w:start w:val="0"/>
      <w:numFmt w:val="bullet"/>
      <w:lvlText w:val="•"/>
      <w:lvlJc w:val="left"/>
      <w:pPr>
        <w:ind w:left="6766" w:hanging="300"/>
      </w:pPr>
      <w:rPr>
        <w:rFonts w:hint="default"/>
        <w:lang w:val="zh-CN" w:eastAsia="zh-CN" w:bidi="zh-CN"/>
      </w:rPr>
    </w:lvl>
    <w:lvl w:ilvl="8" w:tentative="0">
      <w:start w:val="0"/>
      <w:numFmt w:val="bullet"/>
      <w:lvlText w:val="•"/>
      <w:lvlJc w:val="left"/>
      <w:pPr>
        <w:ind w:left="7673" w:hanging="300"/>
      </w:pPr>
      <w:rPr>
        <w:rFonts w:hint="default"/>
        <w:lang w:val="zh-CN" w:eastAsia="zh-CN" w:bidi="zh-CN"/>
      </w:rPr>
    </w:lvl>
  </w:abstractNum>
  <w:abstractNum w:abstractNumId="4">
    <w:nsid w:val="61FB2F6D"/>
    <w:multiLevelType w:val="multilevel"/>
    <w:tmpl w:val="61FB2F6D"/>
    <w:lvl w:ilvl="0" w:tentative="0">
      <w:start w:val="1"/>
      <w:numFmt w:val="decimal"/>
      <w:lvlText w:val="%1."/>
      <w:lvlJc w:val="left"/>
      <w:pPr>
        <w:ind w:left="844" w:hanging="420"/>
      </w:pPr>
      <w:rPr>
        <w:rFonts w:hint="default" w:ascii="黑体" w:hAnsi="黑体" w:eastAsia="黑体" w:cs="黑体"/>
        <w:w w:val="100"/>
        <w:sz w:val="28"/>
        <w:szCs w:val="28"/>
        <w:lang w:val="zh-CN" w:eastAsia="zh-CN" w:bidi="zh-CN"/>
      </w:rPr>
    </w:lvl>
    <w:lvl w:ilvl="1" w:tentative="0">
      <w:start w:val="1"/>
      <w:numFmt w:val="decimal"/>
      <w:lvlText w:val="%1.%2"/>
      <w:lvlJc w:val="left"/>
      <w:pPr>
        <w:ind w:left="904" w:hanging="480"/>
      </w:pPr>
      <w:rPr>
        <w:rFonts w:hint="default" w:ascii="黑体" w:hAnsi="黑体" w:eastAsia="黑体" w:cs="黑体"/>
        <w:w w:val="100"/>
        <w:sz w:val="24"/>
        <w:szCs w:val="24"/>
        <w:lang w:val="zh-CN" w:eastAsia="zh-CN" w:bidi="zh-CN"/>
      </w:rPr>
    </w:lvl>
    <w:lvl w:ilvl="2" w:tentative="0">
      <w:start w:val="1"/>
      <w:numFmt w:val="decimal"/>
      <w:lvlText w:val="%1.%2.%3"/>
      <w:lvlJc w:val="left"/>
      <w:pPr>
        <w:ind w:left="424" w:hanging="600"/>
      </w:pPr>
      <w:rPr>
        <w:rFonts w:hint="default" w:ascii="Times New Roman" w:hAnsi="Times New Roman" w:eastAsia="Times New Roman" w:cs="Times New Roman"/>
        <w:spacing w:val="-120"/>
        <w:w w:val="100"/>
        <w:sz w:val="24"/>
        <w:szCs w:val="24"/>
        <w:lang w:val="zh-CN" w:eastAsia="zh-CN" w:bidi="zh-CN"/>
      </w:rPr>
    </w:lvl>
    <w:lvl w:ilvl="3" w:tentative="0">
      <w:start w:val="1"/>
      <w:numFmt w:val="upperLetter"/>
      <w:lvlText w:val="%4."/>
      <w:lvlJc w:val="left"/>
      <w:pPr>
        <w:ind w:left="3396" w:hanging="468"/>
      </w:pPr>
      <w:rPr>
        <w:rFonts w:hint="default" w:ascii="Times New Roman" w:hAnsi="Times New Roman" w:eastAsia="Times New Roman" w:cs="Times New Roman"/>
        <w:w w:val="99"/>
        <w:sz w:val="32"/>
        <w:szCs w:val="32"/>
        <w:lang w:val="zh-CN" w:eastAsia="zh-CN" w:bidi="zh-CN"/>
      </w:rPr>
    </w:lvl>
    <w:lvl w:ilvl="4" w:tentative="0">
      <w:start w:val="0"/>
      <w:numFmt w:val="bullet"/>
      <w:lvlText w:val="•"/>
      <w:lvlJc w:val="left"/>
      <w:pPr>
        <w:ind w:left="4269" w:hanging="468"/>
      </w:pPr>
      <w:rPr>
        <w:rFonts w:hint="default"/>
        <w:lang w:val="zh-CN" w:eastAsia="zh-CN" w:bidi="zh-CN"/>
      </w:rPr>
    </w:lvl>
    <w:lvl w:ilvl="5" w:tentative="0">
      <w:start w:val="0"/>
      <w:numFmt w:val="bullet"/>
      <w:lvlText w:val="•"/>
      <w:lvlJc w:val="left"/>
      <w:pPr>
        <w:ind w:left="5138" w:hanging="468"/>
      </w:pPr>
      <w:rPr>
        <w:rFonts w:hint="default"/>
        <w:lang w:val="zh-CN" w:eastAsia="zh-CN" w:bidi="zh-CN"/>
      </w:rPr>
    </w:lvl>
    <w:lvl w:ilvl="6" w:tentative="0">
      <w:start w:val="0"/>
      <w:numFmt w:val="bullet"/>
      <w:lvlText w:val="•"/>
      <w:lvlJc w:val="left"/>
      <w:pPr>
        <w:ind w:left="6008" w:hanging="468"/>
      </w:pPr>
      <w:rPr>
        <w:rFonts w:hint="default"/>
        <w:lang w:val="zh-CN" w:eastAsia="zh-CN" w:bidi="zh-CN"/>
      </w:rPr>
    </w:lvl>
    <w:lvl w:ilvl="7" w:tentative="0">
      <w:start w:val="0"/>
      <w:numFmt w:val="bullet"/>
      <w:lvlText w:val="•"/>
      <w:lvlJc w:val="left"/>
      <w:pPr>
        <w:ind w:left="6877" w:hanging="468"/>
      </w:pPr>
      <w:rPr>
        <w:rFonts w:hint="default"/>
        <w:lang w:val="zh-CN" w:eastAsia="zh-CN" w:bidi="zh-CN"/>
      </w:rPr>
    </w:lvl>
    <w:lvl w:ilvl="8" w:tentative="0">
      <w:start w:val="0"/>
      <w:numFmt w:val="bullet"/>
      <w:lvlText w:val="•"/>
      <w:lvlJc w:val="left"/>
      <w:pPr>
        <w:ind w:left="7747" w:hanging="468"/>
      </w:pPr>
      <w:rPr>
        <w:rFonts w:hint="default"/>
        <w:lang w:val="zh-CN" w:eastAsia="zh-CN" w:bidi="zh-CN"/>
      </w:rPr>
    </w:lvl>
  </w:abstractNum>
  <w:abstractNum w:abstractNumId="5">
    <w:nsid w:val="6BB13A2E"/>
    <w:multiLevelType w:val="multilevel"/>
    <w:tmpl w:val="6BB13A2E"/>
    <w:lvl w:ilvl="0" w:tentative="0">
      <w:start w:val="1"/>
      <w:numFmt w:val="decimal"/>
      <w:lvlText w:val="%1."/>
      <w:lvlJc w:val="left"/>
      <w:pPr>
        <w:ind w:left="774" w:hanging="348"/>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1.%2"/>
      <w:lvlJc w:val="left"/>
      <w:pPr>
        <w:ind w:left="369" w:hanging="420"/>
      </w:pPr>
      <w:rPr>
        <w:rFonts w:hint="default" w:ascii="Times New Roman" w:hAnsi="Times New Roman" w:eastAsia="Times New Roman" w:cs="Times New Roman"/>
        <w:spacing w:val="-51"/>
        <w:w w:val="100"/>
        <w:sz w:val="24"/>
        <w:szCs w:val="24"/>
        <w:lang w:val="zh-CN" w:eastAsia="zh-CN" w:bidi="zh-CN"/>
      </w:rPr>
    </w:lvl>
    <w:lvl w:ilvl="2" w:tentative="0">
      <w:start w:val="0"/>
      <w:numFmt w:val="bullet"/>
      <w:lvlText w:val="•"/>
      <w:lvlJc w:val="left"/>
      <w:pPr>
        <w:ind w:left="1260" w:hanging="420"/>
      </w:pPr>
      <w:rPr>
        <w:rFonts w:hint="default"/>
        <w:lang w:val="zh-CN" w:eastAsia="zh-CN" w:bidi="zh-CN"/>
      </w:rPr>
    </w:lvl>
    <w:lvl w:ilvl="3" w:tentative="0">
      <w:start w:val="0"/>
      <w:numFmt w:val="bullet"/>
      <w:lvlText w:val="•"/>
      <w:lvlJc w:val="left"/>
      <w:pPr>
        <w:ind w:left="2288" w:hanging="420"/>
      </w:pPr>
      <w:rPr>
        <w:rFonts w:hint="default"/>
        <w:lang w:val="zh-CN" w:eastAsia="zh-CN" w:bidi="zh-CN"/>
      </w:rPr>
    </w:lvl>
    <w:lvl w:ilvl="4" w:tentative="0">
      <w:start w:val="0"/>
      <w:numFmt w:val="bullet"/>
      <w:lvlText w:val="•"/>
      <w:lvlJc w:val="left"/>
      <w:pPr>
        <w:ind w:left="3316" w:hanging="420"/>
      </w:pPr>
      <w:rPr>
        <w:rFonts w:hint="default"/>
        <w:lang w:val="zh-CN" w:eastAsia="zh-CN" w:bidi="zh-CN"/>
      </w:rPr>
    </w:lvl>
    <w:lvl w:ilvl="5" w:tentative="0">
      <w:start w:val="0"/>
      <w:numFmt w:val="bullet"/>
      <w:lvlText w:val="•"/>
      <w:lvlJc w:val="left"/>
      <w:pPr>
        <w:ind w:left="4344" w:hanging="420"/>
      </w:pPr>
      <w:rPr>
        <w:rFonts w:hint="default"/>
        <w:lang w:val="zh-CN" w:eastAsia="zh-CN" w:bidi="zh-CN"/>
      </w:rPr>
    </w:lvl>
    <w:lvl w:ilvl="6" w:tentative="0">
      <w:start w:val="0"/>
      <w:numFmt w:val="bullet"/>
      <w:lvlText w:val="•"/>
      <w:lvlJc w:val="left"/>
      <w:pPr>
        <w:ind w:left="5373" w:hanging="420"/>
      </w:pPr>
      <w:rPr>
        <w:rFonts w:hint="default"/>
        <w:lang w:val="zh-CN" w:eastAsia="zh-CN" w:bidi="zh-CN"/>
      </w:rPr>
    </w:lvl>
    <w:lvl w:ilvl="7" w:tentative="0">
      <w:start w:val="0"/>
      <w:numFmt w:val="bullet"/>
      <w:lvlText w:val="•"/>
      <w:lvlJc w:val="left"/>
      <w:pPr>
        <w:ind w:left="6401" w:hanging="420"/>
      </w:pPr>
      <w:rPr>
        <w:rFonts w:hint="default"/>
        <w:lang w:val="zh-CN" w:eastAsia="zh-CN" w:bidi="zh-CN"/>
      </w:rPr>
    </w:lvl>
    <w:lvl w:ilvl="8" w:tentative="0">
      <w:start w:val="0"/>
      <w:numFmt w:val="bullet"/>
      <w:lvlText w:val="•"/>
      <w:lvlJc w:val="left"/>
      <w:pPr>
        <w:ind w:left="7429" w:hanging="420"/>
      </w:pPr>
      <w:rPr>
        <w:rFonts w:hint="default"/>
        <w:lang w:val="zh-CN" w:eastAsia="zh-CN" w:bidi="zh-CN"/>
      </w:rPr>
    </w:lvl>
  </w:abstractNum>
  <w:abstractNum w:abstractNumId="6">
    <w:nsid w:val="78C1884B"/>
    <w:multiLevelType w:val="singleLevel"/>
    <w:tmpl w:val="78C1884B"/>
    <w:lvl w:ilvl="0" w:tentative="0">
      <w:start w:val="1"/>
      <w:numFmt w:val="decimal"/>
      <w:suff w:val="nothing"/>
      <w:lvlText w:val="（%1）"/>
      <w:lvlJc w:val="left"/>
      <w:pPr>
        <w:ind w:left="-308"/>
      </w:p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jYmFlYzllYmQwY2JlMDU3NTVhMzczMGE3NjMwZDQifQ=="/>
  </w:docVars>
  <w:rsids>
    <w:rsidRoot w:val="26694122"/>
    <w:rsid w:val="00A3549C"/>
    <w:rsid w:val="00EC2823"/>
    <w:rsid w:val="035227A4"/>
    <w:rsid w:val="07ED2710"/>
    <w:rsid w:val="07FF179A"/>
    <w:rsid w:val="08A060F3"/>
    <w:rsid w:val="0D270472"/>
    <w:rsid w:val="10E462EA"/>
    <w:rsid w:val="112F3DA7"/>
    <w:rsid w:val="11BE3980"/>
    <w:rsid w:val="127751AC"/>
    <w:rsid w:val="147779B8"/>
    <w:rsid w:val="15086DDB"/>
    <w:rsid w:val="15FD6214"/>
    <w:rsid w:val="167E5DFD"/>
    <w:rsid w:val="170A0BE8"/>
    <w:rsid w:val="1E230D73"/>
    <w:rsid w:val="1E6D7CAF"/>
    <w:rsid w:val="1F2C3E78"/>
    <w:rsid w:val="204407B3"/>
    <w:rsid w:val="2245454D"/>
    <w:rsid w:val="23BE7785"/>
    <w:rsid w:val="23D15752"/>
    <w:rsid w:val="25840837"/>
    <w:rsid w:val="258F06E1"/>
    <w:rsid w:val="25A1012D"/>
    <w:rsid w:val="26694122"/>
    <w:rsid w:val="2B596B3C"/>
    <w:rsid w:val="2B9679EF"/>
    <w:rsid w:val="2CFB6213"/>
    <w:rsid w:val="2E9F5C62"/>
    <w:rsid w:val="2F3329F0"/>
    <w:rsid w:val="314825E1"/>
    <w:rsid w:val="32CA6A31"/>
    <w:rsid w:val="32ED62A7"/>
    <w:rsid w:val="368E4F3A"/>
    <w:rsid w:val="37250C2A"/>
    <w:rsid w:val="3884127B"/>
    <w:rsid w:val="38FC695B"/>
    <w:rsid w:val="3B517BDD"/>
    <w:rsid w:val="3BA52E39"/>
    <w:rsid w:val="3BD86C58"/>
    <w:rsid w:val="3C9D1BB1"/>
    <w:rsid w:val="3ECF66DA"/>
    <w:rsid w:val="3F68554F"/>
    <w:rsid w:val="3FEC4A80"/>
    <w:rsid w:val="40235595"/>
    <w:rsid w:val="4093153B"/>
    <w:rsid w:val="4168282C"/>
    <w:rsid w:val="451A3DC8"/>
    <w:rsid w:val="45815C6A"/>
    <w:rsid w:val="45E36925"/>
    <w:rsid w:val="48166030"/>
    <w:rsid w:val="4B2E23F0"/>
    <w:rsid w:val="4B721C30"/>
    <w:rsid w:val="4D9669A5"/>
    <w:rsid w:val="4DEB6A12"/>
    <w:rsid w:val="4FD07F1A"/>
    <w:rsid w:val="50306FB5"/>
    <w:rsid w:val="50B6241D"/>
    <w:rsid w:val="53673A3C"/>
    <w:rsid w:val="53967220"/>
    <w:rsid w:val="5CAA2450"/>
    <w:rsid w:val="61CE31A0"/>
    <w:rsid w:val="64C25C2B"/>
    <w:rsid w:val="65F7724B"/>
    <w:rsid w:val="68934217"/>
    <w:rsid w:val="68D044CD"/>
    <w:rsid w:val="6CE4302B"/>
    <w:rsid w:val="727D7636"/>
    <w:rsid w:val="731D7140"/>
    <w:rsid w:val="736131F1"/>
    <w:rsid w:val="73986025"/>
    <w:rsid w:val="77D95EB1"/>
    <w:rsid w:val="786D1EFA"/>
    <w:rsid w:val="7BCE7779"/>
    <w:rsid w:val="7CC97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99"/>
    <w:pPr>
      <w:keepNext/>
      <w:keepLines/>
      <w:spacing w:before="340" w:after="330" w:line="578" w:lineRule="auto"/>
      <w:outlineLvl w:val="0"/>
    </w:pPr>
    <w:rPr>
      <w:b/>
      <w:bCs/>
      <w:kern w:val="44"/>
      <w:sz w:val="44"/>
      <w:szCs w:val="44"/>
    </w:rPr>
  </w:style>
  <w:style w:type="paragraph" w:styleId="4">
    <w:name w:val="heading 2"/>
    <w:basedOn w:val="1"/>
    <w:next w:val="1"/>
    <w:qFormat/>
    <w:uiPriority w:val="1"/>
    <w:pPr>
      <w:spacing w:before="41"/>
      <w:ind w:left="2661"/>
      <w:outlineLvl w:val="1"/>
    </w:pPr>
    <w:rPr>
      <w:rFonts w:ascii="黑体" w:hAnsi="黑体" w:eastAsia="黑体" w:cs="黑体"/>
      <w:sz w:val="42"/>
      <w:szCs w:val="42"/>
    </w:rPr>
  </w:style>
  <w:style w:type="paragraph" w:styleId="2">
    <w:name w:val="heading 3"/>
    <w:basedOn w:val="1"/>
    <w:next w:val="1"/>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5">
    <w:name w:val="heading 6"/>
    <w:basedOn w:val="1"/>
    <w:next w:val="1"/>
    <w:qFormat/>
    <w:uiPriority w:val="9"/>
    <w:pPr>
      <w:keepNext/>
      <w:keepLines/>
      <w:spacing w:before="240" w:after="64" w:line="320" w:lineRule="auto"/>
      <w:outlineLvl w:val="5"/>
    </w:pPr>
    <w:rPr>
      <w:rFonts w:ascii="Cambria" w:hAnsi="Cambria" w:cs="Times New Roman"/>
      <w:b/>
      <w:bCs/>
      <w:sz w:val="24"/>
      <w:szCs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w:basedOn w:val="1"/>
    <w:next w:val="1"/>
    <w:qFormat/>
    <w:uiPriority w:val="1"/>
    <w:rPr>
      <w:sz w:val="24"/>
      <w:szCs w:val="24"/>
    </w:rPr>
  </w:style>
  <w:style w:type="paragraph" w:styleId="7">
    <w:name w:val="Plain Text"/>
    <w:basedOn w:val="1"/>
    <w:qFormat/>
    <w:uiPriority w:val="0"/>
    <w:pPr>
      <w:autoSpaceDE/>
      <w:autoSpaceDN/>
      <w:jc w:val="both"/>
    </w:pPr>
    <w:rPr>
      <w:rFonts w:hAnsi="Courier New" w:cs="Times New Roman"/>
      <w:kern w:val="2"/>
      <w:sz w:val="21"/>
      <w:szCs w:val="20"/>
      <w:lang w:bidi="ar-SA"/>
    </w:rPr>
  </w:style>
  <w:style w:type="paragraph" w:styleId="8">
    <w:name w:val="Body Text Indent 2"/>
    <w:basedOn w:val="1"/>
    <w:unhideWhenUsed/>
    <w:qFormat/>
    <w:uiPriority w:val="99"/>
    <w:pPr>
      <w:spacing w:after="120" w:line="480" w:lineRule="auto"/>
      <w:ind w:left="420" w:leftChars="200"/>
    </w:pPr>
  </w:style>
  <w:style w:type="paragraph" w:styleId="9">
    <w:name w:val="footer"/>
    <w:basedOn w:val="1"/>
    <w:unhideWhenUsed/>
    <w:qFormat/>
    <w:uiPriority w:val="99"/>
    <w:pPr>
      <w:tabs>
        <w:tab w:val="center" w:pos="4153"/>
        <w:tab w:val="right" w:pos="8306"/>
      </w:tabs>
      <w:snapToGrid w:val="0"/>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Indent 3"/>
    <w:basedOn w:val="1"/>
    <w:unhideWhenUsed/>
    <w:qFormat/>
    <w:uiPriority w:val="99"/>
    <w:pPr>
      <w:spacing w:after="120"/>
      <w:ind w:left="420" w:leftChars="200"/>
    </w:pPr>
    <w:rPr>
      <w:sz w:val="16"/>
      <w:szCs w:val="16"/>
    </w:rPr>
  </w:style>
  <w:style w:type="paragraph" w:styleId="12">
    <w:name w:val="Normal (Web)"/>
    <w:basedOn w:val="1"/>
    <w:unhideWhenUsed/>
    <w:qFormat/>
    <w:uiPriority w:val="99"/>
    <w:pPr>
      <w:widowControl/>
      <w:autoSpaceDE/>
      <w:autoSpaceDN/>
    </w:pPr>
    <w:rPr>
      <w:sz w:val="24"/>
      <w:szCs w:val="24"/>
      <w:lang w:val="en-US" w:bidi="ar-SA"/>
    </w:rPr>
  </w:style>
  <w:style w:type="character" w:styleId="15">
    <w:name w:val="FollowedHyperlink"/>
    <w:basedOn w:val="14"/>
    <w:qFormat/>
    <w:uiPriority w:val="0"/>
    <w:rPr>
      <w:color w:val="000000"/>
      <w:u w:val="none"/>
    </w:rPr>
  </w:style>
  <w:style w:type="character" w:styleId="16">
    <w:name w:val="Hyperlink"/>
    <w:basedOn w:val="14"/>
    <w:unhideWhenUsed/>
    <w:qFormat/>
    <w:uiPriority w:val="99"/>
    <w:rPr>
      <w:color w:val="333333"/>
      <w:u w:val="none"/>
      <w:shd w:val="clear" w:color="auto" w:fill="auto"/>
    </w:rPr>
  </w:style>
  <w:style w:type="paragraph" w:customStyle="1" w:styleId="17">
    <w:name w:val="Table Paragraph"/>
    <w:basedOn w:val="1"/>
    <w:qFormat/>
    <w:uiPriority w:val="1"/>
  </w:style>
  <w:style w:type="paragraph" w:customStyle="1" w:styleId="1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9">
    <w:name w:val="List Paragraph"/>
    <w:basedOn w:val="1"/>
    <w:qFormat/>
    <w:uiPriority w:val="1"/>
    <w:pPr>
      <w:ind w:left="424" w:firstLine="480"/>
    </w:pPr>
  </w:style>
  <w:style w:type="paragraph" w:styleId="20">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48927</Words>
  <Characters>51588</Characters>
  <Lines>0</Lines>
  <Paragraphs>0</Paragraphs>
  <TotalTime>155</TotalTime>
  <ScaleCrop>false</ScaleCrop>
  <LinksUpToDate>false</LinksUpToDate>
  <CharactersWithSpaces>54192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2022-06-28T02:21:00Z</dcterms:created>
  <dc:creator>馨</dc:creator>
  <cp:lastModifiedBy>浮生不语</cp:lastModifiedBy>
  <cp:lastPrinted>2022-09-26T09:12:00Z</cp:lastPrinted>
  <dcterms:modified xsi:type="dcterms:W3CDTF">2022-09-29T02:18:46Z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B60F5EE66C8049D5B244EA5F430E5B88</vt:lpwstr>
  </property>
</Properties>
</file>