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900" w:lineRule="exact"/>
        <w:jc w:val="center"/>
        <w:rPr>
          <w:rFonts w:hint="eastAsia" w:ascii="宋体" w:hAnsi="宋体"/>
          <w:b/>
          <w:color w:val="000000"/>
          <w:sz w:val="48"/>
          <w:szCs w:val="48"/>
          <w:lang w:eastAsia="zh-CN"/>
        </w:rPr>
      </w:pPr>
    </w:p>
    <w:p>
      <w:pPr>
        <w:spacing w:line="900" w:lineRule="exact"/>
        <w:jc w:val="center"/>
        <w:rPr>
          <w:rFonts w:hint="eastAsia" w:ascii="宋体" w:hAnsi="宋体" w:eastAsia="宋体"/>
          <w:b/>
          <w:color w:val="000000"/>
          <w:sz w:val="48"/>
          <w:szCs w:val="48"/>
          <w:lang w:eastAsia="zh-CN"/>
        </w:rPr>
      </w:pPr>
      <w:r>
        <w:rPr>
          <w:rFonts w:hint="eastAsia" w:ascii="宋体" w:hAnsi="宋体"/>
          <w:b/>
          <w:color w:val="000000"/>
          <w:sz w:val="48"/>
          <w:szCs w:val="48"/>
          <w:lang w:eastAsia="zh-CN"/>
        </w:rPr>
        <w:t>大丰中医院体质辨识仪、四诊仪、经络监测仪采购项目（二次）</w:t>
      </w:r>
    </w:p>
    <w:p>
      <w:pPr>
        <w:spacing w:line="360" w:lineRule="auto"/>
        <w:jc w:val="center"/>
        <w:rPr>
          <w:rFonts w:ascii="宋体" w:hAnsi="宋体"/>
          <w:color w:val="000000"/>
          <w:sz w:val="72"/>
          <w:szCs w:val="72"/>
        </w:rPr>
      </w:pPr>
    </w:p>
    <w:p>
      <w:pPr>
        <w:spacing w:line="360" w:lineRule="auto"/>
        <w:jc w:val="both"/>
        <w:rPr>
          <w:rFonts w:ascii="宋体" w:hAnsi="宋体"/>
          <w:color w:val="000000"/>
          <w:sz w:val="72"/>
          <w:szCs w:val="72"/>
        </w:rPr>
      </w:pPr>
    </w:p>
    <w:p>
      <w:pPr>
        <w:spacing w:line="360" w:lineRule="auto"/>
        <w:jc w:val="center"/>
        <w:rPr>
          <w:rFonts w:ascii="宋体" w:hAnsi="宋体"/>
          <w:color w:val="000000"/>
          <w:sz w:val="72"/>
          <w:szCs w:val="72"/>
        </w:rPr>
      </w:pPr>
    </w:p>
    <w:p>
      <w:pPr>
        <w:spacing w:line="360" w:lineRule="auto"/>
        <w:jc w:val="center"/>
        <w:rPr>
          <w:rFonts w:ascii="宋体" w:hAnsi="宋体"/>
          <w:color w:val="000000"/>
          <w:sz w:val="72"/>
          <w:szCs w:val="72"/>
        </w:rPr>
      </w:pPr>
    </w:p>
    <w:p>
      <w:pPr>
        <w:spacing w:line="360" w:lineRule="auto"/>
        <w:jc w:val="center"/>
        <w:rPr>
          <w:rFonts w:ascii="宋体" w:hAnsi="宋体"/>
          <w:b/>
          <w:color w:val="000000"/>
          <w:sz w:val="84"/>
          <w:szCs w:val="84"/>
        </w:rPr>
      </w:pPr>
      <w:r>
        <w:rPr>
          <w:rFonts w:hint="eastAsia" w:ascii="宋体" w:hAnsi="宋体"/>
          <w:b/>
          <w:color w:val="000000"/>
          <w:sz w:val="84"/>
          <w:szCs w:val="84"/>
        </w:rPr>
        <w:t>招 标 文 件</w:t>
      </w:r>
    </w:p>
    <w:p>
      <w:pPr>
        <w:spacing w:line="360" w:lineRule="auto"/>
        <w:jc w:val="center"/>
        <w:rPr>
          <w:rFonts w:ascii="宋体" w:hAnsi="宋体"/>
          <w:b/>
          <w:color w:val="000000"/>
          <w:sz w:val="32"/>
          <w:szCs w:val="32"/>
        </w:rPr>
      </w:pPr>
    </w:p>
    <w:p>
      <w:pPr>
        <w:spacing w:line="360" w:lineRule="auto"/>
        <w:jc w:val="center"/>
        <w:rPr>
          <w:rFonts w:ascii="宋体" w:hAnsi="宋体"/>
          <w:color w:val="000000"/>
          <w:sz w:val="28"/>
          <w:szCs w:val="28"/>
        </w:rPr>
      </w:pPr>
    </w:p>
    <w:p>
      <w:pPr>
        <w:spacing w:line="360" w:lineRule="auto"/>
        <w:rPr>
          <w:rFonts w:ascii="宋体" w:hAnsi="宋体"/>
          <w:color w:val="000000"/>
          <w:sz w:val="28"/>
          <w:szCs w:val="28"/>
        </w:rPr>
      </w:pPr>
    </w:p>
    <w:p>
      <w:pPr>
        <w:spacing w:line="360" w:lineRule="auto"/>
        <w:jc w:val="center"/>
        <w:rPr>
          <w:rFonts w:ascii="宋体" w:hAnsi="宋体"/>
          <w:color w:val="000000"/>
          <w:sz w:val="28"/>
          <w:szCs w:val="28"/>
        </w:rPr>
      </w:pPr>
    </w:p>
    <w:p>
      <w:pPr>
        <w:spacing w:line="360" w:lineRule="auto"/>
        <w:jc w:val="center"/>
        <w:rPr>
          <w:rFonts w:ascii="宋体" w:hAnsi="宋体"/>
          <w:color w:val="000000"/>
          <w:sz w:val="28"/>
          <w:szCs w:val="28"/>
        </w:rPr>
      </w:pPr>
    </w:p>
    <w:p>
      <w:pPr>
        <w:spacing w:line="720" w:lineRule="auto"/>
        <w:ind w:right="-170" w:rightChars="-81" w:firstLine="627" w:firstLineChars="196"/>
        <w:rPr>
          <w:rFonts w:ascii="宋体" w:hAnsi="宋体"/>
          <w:b/>
          <w:color w:val="000000"/>
          <w:sz w:val="32"/>
          <w:szCs w:val="32"/>
        </w:rPr>
      </w:pPr>
      <w:bookmarkStart w:id="0" w:name="_Toc368759509"/>
      <w:bookmarkStart w:id="1" w:name="_Toc363326675"/>
      <w:bookmarkStart w:id="2" w:name="_Toc369077541"/>
      <w:r>
        <w:rPr>
          <w:rFonts w:hint="eastAsia" w:ascii="宋体" w:hAnsi="宋体"/>
          <w:b/>
          <w:color w:val="000000"/>
          <w:sz w:val="32"/>
          <w:szCs w:val="32"/>
        </w:rPr>
        <w:t>招  标  人：</w:t>
      </w:r>
      <w:r>
        <w:rPr>
          <w:rFonts w:hint="eastAsia" w:ascii="宋体" w:hAnsi="宋体"/>
          <w:b/>
          <w:color w:val="000000"/>
          <w:sz w:val="32"/>
          <w:szCs w:val="32"/>
          <w:u w:val="single"/>
        </w:rPr>
        <w:t xml:space="preserve">      盐城市大丰</w:t>
      </w:r>
      <w:r>
        <w:rPr>
          <w:rFonts w:hint="eastAsia" w:ascii="宋体" w:hAnsi="宋体"/>
          <w:b/>
          <w:color w:val="000000"/>
          <w:sz w:val="32"/>
          <w:szCs w:val="32"/>
          <w:u w:val="single"/>
          <w:lang w:eastAsia="zh-CN"/>
        </w:rPr>
        <w:t>中医院</w:t>
      </w:r>
      <w:r>
        <w:rPr>
          <w:rFonts w:hint="eastAsia" w:ascii="宋体" w:hAnsi="宋体"/>
          <w:b/>
          <w:color w:val="000000"/>
          <w:sz w:val="32"/>
          <w:szCs w:val="32"/>
          <w:u w:val="single"/>
        </w:rPr>
        <w:t xml:space="preserve">  </w:t>
      </w:r>
      <w:r>
        <w:rPr>
          <w:rFonts w:hint="eastAsia" w:ascii="宋体" w:hAnsi="宋体"/>
          <w:b/>
          <w:color w:val="000000"/>
          <w:sz w:val="32"/>
          <w:szCs w:val="32"/>
          <w:u w:val="single"/>
          <w:lang w:val="en-US" w:eastAsia="zh-CN"/>
        </w:rPr>
        <w:t xml:space="preserve">   </w:t>
      </w:r>
      <w:r>
        <w:rPr>
          <w:rFonts w:hint="eastAsia" w:ascii="宋体" w:hAnsi="宋体"/>
          <w:b/>
          <w:color w:val="000000"/>
          <w:sz w:val="32"/>
          <w:szCs w:val="32"/>
          <w:u w:val="single"/>
        </w:rPr>
        <w:t>（盖章）</w:t>
      </w:r>
    </w:p>
    <w:p>
      <w:pPr>
        <w:tabs>
          <w:tab w:val="left" w:pos="7560"/>
        </w:tabs>
        <w:spacing w:line="720" w:lineRule="auto"/>
        <w:ind w:right="-111" w:rightChars="-53" w:firstLine="627" w:firstLineChars="196"/>
        <w:rPr>
          <w:rFonts w:ascii="宋体" w:hAnsi="宋体"/>
          <w:b/>
          <w:color w:val="000000"/>
          <w:spacing w:val="-12"/>
          <w:sz w:val="32"/>
          <w:szCs w:val="32"/>
        </w:rPr>
      </w:pPr>
      <w:r>
        <w:rPr>
          <w:rFonts w:hint="eastAsia" w:ascii="宋体" w:hAnsi="宋体"/>
          <w:b/>
          <w:color w:val="000000"/>
          <w:sz w:val="32"/>
          <w:szCs w:val="32"/>
        </w:rPr>
        <w:t>招标代理机构：</w:t>
      </w:r>
      <w:r>
        <w:rPr>
          <w:rFonts w:hint="eastAsia" w:ascii="宋体" w:hAnsi="宋体"/>
          <w:b/>
          <w:color w:val="000000"/>
          <w:sz w:val="32"/>
          <w:szCs w:val="32"/>
          <w:u w:val="single"/>
        </w:rPr>
        <w:t xml:space="preserve">   </w:t>
      </w:r>
      <w:r>
        <w:rPr>
          <w:rFonts w:hint="eastAsia" w:ascii="宋体" w:hAnsi="宋体"/>
          <w:b/>
          <w:color w:val="000000"/>
          <w:spacing w:val="-12"/>
          <w:sz w:val="32"/>
          <w:szCs w:val="32"/>
          <w:u w:val="single"/>
        </w:rPr>
        <w:t>盐城天成项目管理有限公司</w:t>
      </w:r>
      <w:r>
        <w:rPr>
          <w:rFonts w:hint="eastAsia" w:ascii="宋体" w:hAnsi="宋体"/>
          <w:b/>
          <w:color w:val="000000"/>
          <w:spacing w:val="-12"/>
          <w:sz w:val="32"/>
          <w:szCs w:val="32"/>
          <w:u w:val="single"/>
          <w:lang w:val="en-US" w:eastAsia="zh-CN"/>
        </w:rPr>
        <w:t xml:space="preserve"> </w:t>
      </w:r>
      <w:r>
        <w:rPr>
          <w:rFonts w:hint="eastAsia" w:ascii="宋体" w:hAnsi="宋体"/>
          <w:b/>
          <w:color w:val="000000"/>
          <w:spacing w:val="-12"/>
          <w:sz w:val="32"/>
          <w:szCs w:val="32"/>
          <w:u w:val="single"/>
        </w:rPr>
        <w:t>（盖章）</w:t>
      </w:r>
    </w:p>
    <w:p>
      <w:pPr>
        <w:spacing w:line="720" w:lineRule="auto"/>
        <w:ind w:firstLine="640" w:firstLineChars="200"/>
        <w:rPr>
          <w:rFonts w:ascii="宋体" w:hAnsi="宋体"/>
          <w:b/>
          <w:bCs/>
          <w:color w:val="000000"/>
          <w:sz w:val="32"/>
          <w:szCs w:val="32"/>
        </w:rPr>
      </w:pPr>
      <w:r>
        <w:rPr>
          <w:rFonts w:hint="eastAsia" w:ascii="宋体" w:hAnsi="宋体"/>
          <w:b/>
          <w:color w:val="000000"/>
          <w:sz w:val="32"/>
          <w:szCs w:val="32"/>
        </w:rPr>
        <w:t xml:space="preserve">日     期 ： </w:t>
      </w:r>
      <w:r>
        <w:rPr>
          <w:rFonts w:hint="eastAsia" w:ascii="宋体" w:hAnsi="宋体"/>
          <w:b/>
          <w:color w:val="000000"/>
          <w:sz w:val="32"/>
          <w:szCs w:val="32"/>
          <w:u w:val="single"/>
        </w:rPr>
        <w:t xml:space="preserve">          20</w:t>
      </w:r>
      <w:r>
        <w:rPr>
          <w:rFonts w:hint="eastAsia" w:ascii="宋体" w:hAnsi="宋体"/>
          <w:b/>
          <w:color w:val="000000"/>
          <w:sz w:val="32"/>
          <w:szCs w:val="32"/>
          <w:u w:val="single"/>
          <w:lang w:val="en-US" w:eastAsia="zh-CN"/>
        </w:rPr>
        <w:t>20</w:t>
      </w:r>
      <w:r>
        <w:rPr>
          <w:rFonts w:hint="eastAsia" w:ascii="宋体" w:hAnsi="宋体"/>
          <w:b/>
          <w:color w:val="000000"/>
          <w:sz w:val="32"/>
          <w:szCs w:val="32"/>
          <w:u w:val="single"/>
        </w:rPr>
        <w:t>年</w:t>
      </w:r>
      <w:r>
        <w:rPr>
          <w:rFonts w:hint="eastAsia" w:ascii="宋体" w:hAnsi="宋体"/>
          <w:b/>
          <w:color w:val="000000"/>
          <w:sz w:val="32"/>
          <w:szCs w:val="32"/>
          <w:u w:val="single"/>
          <w:lang w:val="en-US" w:eastAsia="zh-CN"/>
        </w:rPr>
        <w:t>8</w:t>
      </w:r>
      <w:r>
        <w:rPr>
          <w:rFonts w:hint="eastAsia" w:ascii="宋体" w:hAnsi="宋体"/>
          <w:b/>
          <w:color w:val="000000"/>
          <w:sz w:val="32"/>
          <w:szCs w:val="32"/>
          <w:u w:val="single"/>
        </w:rPr>
        <w:t xml:space="preserve">月              </w:t>
      </w:r>
    </w:p>
    <w:p>
      <w:pPr>
        <w:jc w:val="center"/>
        <w:rPr>
          <w:rFonts w:hint="eastAsia" w:ascii="宋体" w:hAnsi="宋体"/>
          <w:b/>
          <w:bCs/>
          <w:color w:val="000000"/>
          <w:sz w:val="32"/>
          <w:szCs w:val="32"/>
        </w:rPr>
        <w:sectPr>
          <w:headerReference r:id="rId3" w:type="default"/>
          <w:footerReference r:id="rId4" w:type="even"/>
          <w:pgSz w:w="11906" w:h="16838"/>
          <w:pgMar w:top="1418" w:right="1418" w:bottom="1418" w:left="1418" w:header="851" w:footer="992" w:gutter="0"/>
          <w:pgNumType w:start="0"/>
          <w:cols w:space="720" w:num="1"/>
          <w:titlePg/>
          <w:docGrid w:type="linesAndChars" w:linePitch="312" w:charSpace="0"/>
        </w:sectPr>
      </w:pPr>
    </w:p>
    <w:p>
      <w:pPr>
        <w:jc w:val="center"/>
        <w:rPr>
          <w:rFonts w:ascii="宋体" w:hAnsi="宋体"/>
          <w:b/>
          <w:bCs/>
          <w:color w:val="000000"/>
          <w:sz w:val="32"/>
          <w:szCs w:val="32"/>
        </w:rPr>
      </w:pPr>
      <w:r>
        <w:rPr>
          <w:rFonts w:hint="eastAsia" w:ascii="宋体" w:hAnsi="宋体"/>
          <w:b/>
          <w:bCs/>
          <w:color w:val="000000"/>
          <w:sz w:val="32"/>
          <w:szCs w:val="32"/>
        </w:rPr>
        <w:t>招标文件备案表</w:t>
      </w:r>
    </w:p>
    <w:p>
      <w:pPr>
        <w:jc w:val="center"/>
        <w:rPr>
          <w:rFonts w:ascii="宋体"/>
          <w:b/>
          <w:color w:val="000000"/>
          <w:sz w:val="36"/>
          <w:szCs w:val="36"/>
        </w:rPr>
      </w:pPr>
    </w:p>
    <w:tbl>
      <w:tblPr>
        <w:tblStyle w:val="41"/>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6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3322" w:type="dxa"/>
            <w:vAlign w:val="center"/>
          </w:tcPr>
          <w:p>
            <w:pPr>
              <w:jc w:val="center"/>
              <w:rPr>
                <w:rFonts w:ascii="宋体" w:hAnsi="宋体"/>
                <w:color w:val="000000"/>
                <w:sz w:val="24"/>
              </w:rPr>
            </w:pPr>
            <w:r>
              <w:rPr>
                <w:rFonts w:hint="eastAsia" w:ascii="宋体" w:hAnsi="宋体"/>
                <w:color w:val="000000"/>
                <w:sz w:val="24"/>
              </w:rPr>
              <w:t>招标人及</w:t>
            </w:r>
          </w:p>
          <w:p>
            <w:pPr>
              <w:jc w:val="center"/>
              <w:rPr>
                <w:rFonts w:ascii="宋体" w:hAnsi="宋体"/>
                <w:color w:val="000000"/>
                <w:sz w:val="24"/>
              </w:rPr>
            </w:pPr>
            <w:r>
              <w:rPr>
                <w:rFonts w:hint="eastAsia" w:ascii="宋体" w:hAnsi="宋体"/>
                <w:color w:val="000000"/>
                <w:sz w:val="24"/>
              </w:rPr>
              <w:t>招标代理机构名称</w:t>
            </w:r>
          </w:p>
        </w:tc>
        <w:tc>
          <w:tcPr>
            <w:tcW w:w="6212" w:type="dxa"/>
            <w:vAlign w:val="center"/>
          </w:tcPr>
          <w:p>
            <w:pPr>
              <w:spacing w:line="440" w:lineRule="exact"/>
              <w:jc w:val="center"/>
              <w:rPr>
                <w:rFonts w:hint="eastAsia" w:ascii="宋体" w:hAnsi="宋体" w:eastAsia="宋体"/>
                <w:color w:val="000000"/>
                <w:sz w:val="24"/>
                <w:szCs w:val="24"/>
                <w:lang w:eastAsia="zh-CN"/>
              </w:rPr>
            </w:pPr>
            <w:r>
              <w:rPr>
                <w:rFonts w:hint="eastAsia" w:ascii="宋体" w:hAnsi="宋体"/>
                <w:color w:val="000000"/>
                <w:sz w:val="24"/>
                <w:szCs w:val="24"/>
              </w:rPr>
              <w:t>盐城市大丰</w:t>
            </w:r>
            <w:r>
              <w:rPr>
                <w:rFonts w:hint="eastAsia" w:ascii="宋体" w:hAnsi="宋体"/>
                <w:color w:val="000000"/>
                <w:sz w:val="24"/>
                <w:szCs w:val="24"/>
                <w:lang w:eastAsia="zh-CN"/>
              </w:rPr>
              <w:t>中医院</w:t>
            </w:r>
          </w:p>
          <w:p>
            <w:pPr>
              <w:spacing w:line="440" w:lineRule="exact"/>
              <w:jc w:val="center"/>
              <w:rPr>
                <w:rFonts w:ascii="宋体" w:hAnsi="宋体"/>
                <w:color w:val="000000"/>
                <w:sz w:val="24"/>
                <w:szCs w:val="24"/>
              </w:rPr>
            </w:pPr>
            <w:r>
              <w:rPr>
                <w:rFonts w:hint="eastAsia" w:ascii="宋体" w:hAnsi="宋体"/>
                <w:sz w:val="24"/>
                <w:szCs w:val="24"/>
              </w:rPr>
              <w:t>盐城天成项目管理有限公司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3322" w:type="dxa"/>
            <w:vAlign w:val="center"/>
          </w:tcPr>
          <w:p>
            <w:pPr>
              <w:jc w:val="center"/>
              <w:rPr>
                <w:rFonts w:ascii="宋体" w:hAnsi="宋体"/>
                <w:color w:val="000000"/>
                <w:sz w:val="24"/>
              </w:rPr>
            </w:pPr>
            <w:r>
              <w:rPr>
                <w:rFonts w:hint="eastAsia" w:ascii="宋体" w:hAnsi="宋体"/>
                <w:color w:val="000000"/>
                <w:sz w:val="24"/>
              </w:rPr>
              <w:t>招标内容</w:t>
            </w:r>
          </w:p>
        </w:tc>
        <w:tc>
          <w:tcPr>
            <w:tcW w:w="6212" w:type="dxa"/>
            <w:vAlign w:val="center"/>
          </w:tcPr>
          <w:p>
            <w:pPr>
              <w:jc w:val="center"/>
              <w:rPr>
                <w:rFonts w:hint="eastAsia" w:ascii="宋体" w:hAnsi="宋体" w:eastAsia="宋体"/>
                <w:color w:val="000000"/>
                <w:sz w:val="24"/>
                <w:szCs w:val="24"/>
                <w:lang w:eastAsia="zh-CN"/>
              </w:rPr>
            </w:pPr>
            <w:r>
              <w:rPr>
                <w:rFonts w:hint="eastAsia" w:ascii="宋体" w:hAnsi="宋体"/>
                <w:b w:val="0"/>
                <w:bCs/>
                <w:color w:val="000000"/>
                <w:sz w:val="24"/>
                <w:szCs w:val="24"/>
                <w:u w:val="none"/>
                <w:lang w:eastAsia="zh-CN"/>
              </w:rPr>
              <w:t>大丰中医院体质辨识仪、四诊仪、经络监测仪采购项目（二次）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322" w:type="dxa"/>
            <w:vAlign w:val="center"/>
          </w:tcPr>
          <w:p>
            <w:pPr>
              <w:jc w:val="center"/>
              <w:rPr>
                <w:rFonts w:ascii="宋体" w:hAnsi="宋体"/>
                <w:color w:val="000000"/>
                <w:sz w:val="24"/>
              </w:rPr>
            </w:pPr>
            <w:r>
              <w:rPr>
                <w:rFonts w:hint="eastAsia" w:ascii="宋体" w:hAnsi="宋体"/>
                <w:color w:val="000000"/>
                <w:sz w:val="24"/>
              </w:rPr>
              <w:t>标段编号</w:t>
            </w:r>
          </w:p>
        </w:tc>
        <w:tc>
          <w:tcPr>
            <w:tcW w:w="6212" w:type="dxa"/>
            <w:vAlign w:val="center"/>
          </w:tcPr>
          <w:p>
            <w:pPr>
              <w:jc w:val="center"/>
              <w:rPr>
                <w:rFonts w:hint="eastAsia" w:ascii="宋体" w:hAnsi="宋体" w:eastAsia="宋体"/>
                <w:szCs w:val="21"/>
                <w:lang w:eastAsia="zh-CN"/>
              </w:rPr>
            </w:pPr>
            <w:r>
              <w:rPr>
                <w:rFonts w:ascii="宋体" w:hAnsi="宋体" w:eastAsia="宋体" w:cs="宋体"/>
                <w:color w:val="000000"/>
                <w:sz w:val="24"/>
                <w:szCs w:val="24"/>
                <w:u w:val="none"/>
              </w:rPr>
              <w:t>DFCG20200253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6" w:hRule="atLeast"/>
          <w:jc w:val="center"/>
        </w:trPr>
        <w:tc>
          <w:tcPr>
            <w:tcW w:w="9534" w:type="dxa"/>
            <w:gridSpan w:val="2"/>
          </w:tcPr>
          <w:p>
            <w:pPr>
              <w:spacing w:line="640" w:lineRule="exact"/>
              <w:rPr>
                <w:rFonts w:ascii="宋体" w:hAnsi="宋体"/>
                <w:color w:val="000000"/>
                <w:sz w:val="24"/>
              </w:rPr>
            </w:pPr>
          </w:p>
          <w:p>
            <w:pPr>
              <w:spacing w:line="640" w:lineRule="exact"/>
              <w:ind w:firstLine="555"/>
              <w:rPr>
                <w:rFonts w:ascii="宋体" w:hAnsi="宋体"/>
                <w:color w:val="000000"/>
                <w:sz w:val="24"/>
              </w:rPr>
            </w:pPr>
            <w:r>
              <w:rPr>
                <w:rFonts w:hint="eastAsia" w:ascii="宋体" w:hAnsi="宋体"/>
                <w:color w:val="000000"/>
                <w:sz w:val="24"/>
              </w:rPr>
              <w:t>此文件审查工作已结束，于20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8</w:t>
            </w:r>
            <w:r>
              <w:rPr>
                <w:rFonts w:hint="eastAsia" w:ascii="宋体" w:hAnsi="宋体"/>
                <w:color w:val="000000"/>
                <w:sz w:val="24"/>
              </w:rPr>
              <w:t>月</w:t>
            </w:r>
            <w:r>
              <w:rPr>
                <w:rFonts w:hint="eastAsia" w:ascii="宋体" w:hAnsi="宋体"/>
                <w:color w:val="000000"/>
                <w:sz w:val="24"/>
                <w:lang w:val="en-US" w:eastAsia="zh-CN"/>
              </w:rPr>
              <w:t xml:space="preserve"> 26</w:t>
            </w:r>
            <w:r>
              <w:rPr>
                <w:rFonts w:hint="eastAsia" w:ascii="宋体" w:hAnsi="宋体"/>
                <w:color w:val="000000"/>
                <w:sz w:val="24"/>
              </w:rPr>
              <w:t>日备案，共</w:t>
            </w:r>
            <w:r>
              <w:rPr>
                <w:rFonts w:hint="eastAsia" w:ascii="宋体" w:hAnsi="宋体"/>
                <w:color w:val="000000"/>
                <w:sz w:val="24"/>
                <w:u w:val="single"/>
                <w:lang w:val="en-US" w:eastAsia="zh-CN"/>
              </w:rPr>
              <w:t xml:space="preserve">  44  </w:t>
            </w:r>
            <w:r>
              <w:rPr>
                <w:rFonts w:hint="eastAsia" w:ascii="宋体" w:hAnsi="宋体"/>
                <w:color w:val="000000"/>
                <w:sz w:val="24"/>
              </w:rPr>
              <w:t>页，附件有：</w:t>
            </w:r>
          </w:p>
          <w:p>
            <w:pPr>
              <w:spacing w:line="640" w:lineRule="exact"/>
              <w:ind w:firstLine="555"/>
              <w:rPr>
                <w:rFonts w:ascii="宋体" w:hAnsi="宋体"/>
                <w:color w:val="000000"/>
                <w:sz w:val="24"/>
              </w:rPr>
            </w:pPr>
            <w:r>
              <w:rPr>
                <w:rFonts w:hint="eastAsia" w:ascii="宋体" w:hAnsi="宋体"/>
                <w:color w:val="000000"/>
                <w:sz w:val="24"/>
              </w:rPr>
              <w:t>1、招标采购计划申报表；</w:t>
            </w:r>
          </w:p>
          <w:p>
            <w:pPr>
              <w:spacing w:line="640" w:lineRule="exact"/>
              <w:ind w:firstLine="555"/>
              <w:rPr>
                <w:rFonts w:ascii="宋体" w:hAnsi="宋体"/>
                <w:color w:val="000000"/>
                <w:sz w:val="24"/>
              </w:rPr>
            </w:pPr>
            <w:r>
              <w:rPr>
                <w:rFonts w:hint="eastAsia" w:ascii="宋体" w:hAnsi="宋体"/>
                <w:color w:val="000000"/>
                <w:sz w:val="24"/>
              </w:rPr>
              <w:t>2、采购通知单；</w:t>
            </w:r>
          </w:p>
          <w:p>
            <w:pPr>
              <w:spacing w:line="640" w:lineRule="exact"/>
              <w:ind w:firstLine="555"/>
              <w:rPr>
                <w:rFonts w:ascii="宋体" w:hAnsi="宋体"/>
                <w:color w:val="000000"/>
                <w:sz w:val="24"/>
              </w:rPr>
            </w:pPr>
            <w:r>
              <w:rPr>
                <w:rFonts w:hint="eastAsia" w:ascii="宋体" w:hAnsi="宋体"/>
                <w:color w:val="000000"/>
                <w:sz w:val="24"/>
              </w:rPr>
              <w:t>3、招标代理服务合同。</w:t>
            </w:r>
          </w:p>
          <w:p>
            <w:pPr>
              <w:spacing w:line="640" w:lineRule="exact"/>
              <w:ind w:firstLine="555"/>
              <w:rPr>
                <w:rFonts w:ascii="宋体" w:hAnsi="宋体"/>
                <w:color w:val="000000"/>
                <w:sz w:val="24"/>
              </w:rPr>
            </w:pPr>
          </w:p>
          <w:p>
            <w:pPr>
              <w:spacing w:line="640" w:lineRule="exact"/>
              <w:ind w:firstLine="555"/>
              <w:rPr>
                <w:rFonts w:ascii="宋体" w:hAnsi="宋体"/>
                <w:color w:val="000000"/>
                <w:sz w:val="24"/>
              </w:rPr>
            </w:pPr>
            <w:r>
              <w:rPr>
                <w:rFonts w:hint="eastAsia" w:ascii="宋体" w:hAnsi="宋体"/>
                <w:color w:val="000000"/>
                <w:sz w:val="24"/>
              </w:rPr>
              <w:t xml:space="preserve"> </w:t>
            </w:r>
          </w:p>
          <w:p>
            <w:pPr>
              <w:spacing w:line="640" w:lineRule="exact"/>
              <w:ind w:firstLine="555"/>
              <w:rPr>
                <w:rFonts w:ascii="宋体" w:hAnsi="宋体"/>
                <w:color w:val="000000"/>
                <w:sz w:val="24"/>
              </w:rPr>
            </w:pPr>
          </w:p>
          <w:p>
            <w:pPr>
              <w:spacing w:line="640" w:lineRule="exact"/>
              <w:ind w:firstLine="555"/>
              <w:rPr>
                <w:rFonts w:ascii="宋体" w:hAnsi="宋体"/>
                <w:color w:val="000000"/>
                <w:sz w:val="24"/>
              </w:rPr>
            </w:pPr>
          </w:p>
          <w:p>
            <w:pPr>
              <w:spacing w:line="420" w:lineRule="exact"/>
              <w:ind w:right="480" w:firstLine="2880" w:firstLineChars="1200"/>
              <w:jc w:val="right"/>
              <w:rPr>
                <w:rFonts w:hint="eastAsia" w:ascii="宋体" w:hAnsi="宋体"/>
                <w:color w:val="000000"/>
                <w:sz w:val="24"/>
              </w:rPr>
            </w:pPr>
            <w:r>
              <w:rPr>
                <w:rFonts w:hint="eastAsia" w:ascii="宋体" w:hAnsi="宋体"/>
                <w:color w:val="000000"/>
                <w:sz w:val="24"/>
              </w:rPr>
              <w:t xml:space="preserve">                </w:t>
            </w:r>
          </w:p>
          <w:p>
            <w:pPr>
              <w:spacing w:line="420" w:lineRule="exact"/>
              <w:ind w:right="480" w:firstLine="2880" w:firstLineChars="1200"/>
              <w:jc w:val="right"/>
              <w:rPr>
                <w:rFonts w:hint="eastAsia" w:ascii="宋体" w:hAnsi="宋体"/>
                <w:color w:val="000000"/>
                <w:sz w:val="24"/>
              </w:rPr>
            </w:pPr>
          </w:p>
          <w:p>
            <w:pPr>
              <w:spacing w:line="420" w:lineRule="exact"/>
              <w:ind w:right="480" w:firstLine="2880" w:firstLineChars="1200"/>
              <w:jc w:val="right"/>
              <w:rPr>
                <w:rFonts w:ascii="宋体" w:hAnsi="宋体"/>
                <w:color w:val="000000"/>
                <w:sz w:val="24"/>
              </w:rPr>
            </w:pPr>
            <w:r>
              <w:rPr>
                <w:rFonts w:hint="eastAsia" w:ascii="宋体" w:hAnsi="宋体"/>
                <w:color w:val="000000"/>
                <w:sz w:val="24"/>
              </w:rPr>
              <w:t xml:space="preserve"> 盐城市大丰区</w:t>
            </w:r>
            <w:r>
              <w:rPr>
                <w:rFonts w:hint="eastAsia" w:ascii="宋体" w:hAnsi="宋体"/>
                <w:color w:val="000000"/>
                <w:sz w:val="24"/>
                <w:lang w:eastAsia="zh-CN"/>
              </w:rPr>
              <w:t>行政审批局</w:t>
            </w:r>
            <w:r>
              <w:rPr>
                <w:rFonts w:hint="eastAsia" w:ascii="宋体" w:hAnsi="宋体"/>
                <w:color w:val="000000"/>
                <w:sz w:val="24"/>
              </w:rPr>
              <w:t>采购监管科</w:t>
            </w:r>
          </w:p>
        </w:tc>
      </w:tr>
    </w:tbl>
    <w:p>
      <w:pPr>
        <w:rPr>
          <w:rFonts w:ascii="宋体" w:hAnsi="宋体"/>
          <w:sz w:val="28"/>
          <w:szCs w:val="28"/>
        </w:rPr>
        <w:sectPr>
          <w:footerReference r:id="rId6" w:type="first"/>
          <w:footerReference r:id="rId5" w:type="default"/>
          <w:pgSz w:w="11906" w:h="16838"/>
          <w:pgMar w:top="1418" w:right="1418" w:bottom="1418" w:left="1418" w:header="851" w:footer="992" w:gutter="0"/>
          <w:pgNumType w:start="1"/>
          <w:cols w:space="720" w:num="1"/>
          <w:titlePg/>
          <w:docGrid w:type="linesAndChars" w:linePitch="312" w:charSpace="0"/>
        </w:sectPr>
      </w:pPr>
    </w:p>
    <w:bookmarkEnd w:id="0"/>
    <w:bookmarkEnd w:id="1"/>
    <w:bookmarkEnd w:id="2"/>
    <w:p>
      <w:pPr>
        <w:pStyle w:val="3"/>
        <w:rPr>
          <w:rFonts w:hint="eastAsia" w:eastAsia="宋体"/>
          <w:color w:val="000000"/>
          <w:lang w:eastAsia="zh-CN"/>
        </w:rPr>
      </w:pPr>
      <w:bookmarkStart w:id="3" w:name="_Toc511142436"/>
      <w:bookmarkStart w:id="4" w:name="_Toc369077550"/>
      <w:bookmarkStart w:id="5" w:name="_Toc368759511"/>
      <w:bookmarkStart w:id="6" w:name="_Toc387526373"/>
      <w:bookmarkStart w:id="7" w:name="_Toc387526177"/>
      <w:bookmarkStart w:id="8" w:name="_Toc369077558"/>
      <w:bookmarkStart w:id="9" w:name="_Toc368759512"/>
      <w:bookmarkStart w:id="10" w:name="_Toc363326679"/>
      <w:bookmarkStart w:id="11" w:name="_Toc6770"/>
      <w:bookmarkStart w:id="12" w:name="_Toc397928547"/>
      <w:bookmarkStart w:id="13" w:name="_Toc387526281"/>
      <w:bookmarkStart w:id="14" w:name="_Toc184635069"/>
      <w:r>
        <w:rPr>
          <w:color w:val="000000"/>
        </w:rPr>
        <w:t>第一章</w:t>
      </w:r>
      <w:r>
        <w:rPr>
          <w:rFonts w:hint="eastAsia"/>
          <w:color w:val="000000"/>
        </w:rPr>
        <w:t xml:space="preserve"> </w:t>
      </w:r>
      <w:bookmarkStart w:id="15" w:name="OLE_LINK1"/>
      <w:r>
        <w:rPr>
          <w:color w:val="000000"/>
        </w:rPr>
        <w:t>招标公告</w:t>
      </w:r>
      <w:bookmarkEnd w:id="3"/>
      <w:r>
        <w:rPr>
          <w:rFonts w:hint="eastAsia"/>
          <w:color w:val="000000"/>
          <w:lang w:eastAsia="zh-CN"/>
        </w:rPr>
        <w:t>（二次）</w:t>
      </w:r>
    </w:p>
    <w:bookmarkEnd w:id="4"/>
    <w:bookmarkEnd w:id="5"/>
    <w:bookmarkEnd w:id="15"/>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项目概况：</w:t>
      </w:r>
      <w:r>
        <w:rPr>
          <w:rFonts w:hint="eastAsia" w:ascii="宋体" w:hAnsi="宋体"/>
          <w:b w:val="0"/>
          <w:bCs/>
          <w:color w:val="000000"/>
          <w:sz w:val="21"/>
          <w:szCs w:val="21"/>
          <w:u w:val="none"/>
          <w:lang w:eastAsia="zh-CN"/>
        </w:rPr>
        <w:t>大丰中医院体质辨识仪、四诊仪、经络监测仪采购项目</w:t>
      </w:r>
      <w:r>
        <w:rPr>
          <w:rFonts w:hint="eastAsia" w:ascii="宋体" w:hAnsi="宋体" w:eastAsia="宋体" w:cs="宋体"/>
          <w:i w:val="0"/>
          <w:caps w:val="0"/>
          <w:color w:val="auto"/>
          <w:spacing w:val="0"/>
          <w:kern w:val="0"/>
          <w:sz w:val="21"/>
          <w:szCs w:val="21"/>
          <w:shd w:val="clear" w:color="auto" w:fill="FFFFFF"/>
          <w:lang w:val="en-US" w:eastAsia="zh-CN" w:bidi="ar"/>
        </w:rPr>
        <w:t>的潜在投标人应在大丰公共资源交易平台(http://221.231.122.12/dfhy/)获取招标文件，</w:t>
      </w:r>
      <w:r>
        <w:rPr>
          <w:rFonts w:hint="eastAsia" w:ascii="宋体" w:hAnsi="宋体" w:eastAsia="宋体" w:cs="宋体"/>
          <w:i w:val="0"/>
          <w:caps w:val="0"/>
          <w:color w:val="070DFB"/>
          <w:spacing w:val="0"/>
          <w:kern w:val="0"/>
          <w:sz w:val="21"/>
          <w:szCs w:val="21"/>
          <w:shd w:val="clear" w:color="auto" w:fill="FFFFFF"/>
          <w:lang w:val="en-US" w:eastAsia="zh-CN" w:bidi="ar"/>
        </w:rPr>
        <w:t>并于2020年</w:t>
      </w:r>
      <w:r>
        <w:rPr>
          <w:rFonts w:hint="eastAsia" w:ascii="宋体" w:hAnsi="宋体" w:cs="宋体"/>
          <w:i w:val="0"/>
          <w:caps w:val="0"/>
          <w:color w:val="070DFB"/>
          <w:spacing w:val="0"/>
          <w:kern w:val="0"/>
          <w:sz w:val="21"/>
          <w:szCs w:val="21"/>
          <w:shd w:val="clear" w:color="auto" w:fill="FFFFFF"/>
          <w:lang w:val="en-US" w:eastAsia="zh-CN" w:bidi="ar"/>
        </w:rPr>
        <w:t>9</w:t>
      </w:r>
      <w:r>
        <w:rPr>
          <w:rFonts w:hint="eastAsia" w:ascii="宋体" w:hAnsi="宋体" w:eastAsia="宋体" w:cs="宋体"/>
          <w:i w:val="0"/>
          <w:caps w:val="0"/>
          <w:color w:val="070DFB"/>
          <w:spacing w:val="0"/>
          <w:kern w:val="0"/>
          <w:sz w:val="21"/>
          <w:szCs w:val="21"/>
          <w:shd w:val="clear" w:color="auto" w:fill="FFFFFF"/>
          <w:lang w:val="en-US" w:eastAsia="zh-CN" w:bidi="ar"/>
        </w:rPr>
        <w:t xml:space="preserve">月 </w:t>
      </w:r>
      <w:r>
        <w:rPr>
          <w:rFonts w:hint="eastAsia" w:ascii="宋体" w:hAnsi="宋体" w:cs="宋体"/>
          <w:i w:val="0"/>
          <w:caps w:val="0"/>
          <w:color w:val="070DFB"/>
          <w:spacing w:val="0"/>
          <w:kern w:val="0"/>
          <w:sz w:val="21"/>
          <w:szCs w:val="21"/>
          <w:shd w:val="clear" w:color="auto" w:fill="FFFFFF"/>
          <w:lang w:val="en-US" w:eastAsia="zh-CN" w:bidi="ar"/>
        </w:rPr>
        <w:t>17</w:t>
      </w:r>
      <w:r>
        <w:rPr>
          <w:rFonts w:hint="eastAsia" w:ascii="宋体" w:hAnsi="宋体" w:eastAsia="宋体" w:cs="宋体"/>
          <w:i w:val="0"/>
          <w:caps w:val="0"/>
          <w:color w:val="070DFB"/>
          <w:spacing w:val="0"/>
          <w:kern w:val="0"/>
          <w:sz w:val="21"/>
          <w:szCs w:val="21"/>
          <w:shd w:val="clear" w:color="auto" w:fill="FFFFFF"/>
          <w:lang w:val="en-US" w:eastAsia="zh-CN" w:bidi="ar"/>
        </w:rPr>
        <w:t>日</w:t>
      </w:r>
      <w:r>
        <w:rPr>
          <w:rFonts w:hint="eastAsia" w:ascii="宋体" w:hAnsi="宋体" w:cs="宋体"/>
          <w:i w:val="0"/>
          <w:caps w:val="0"/>
          <w:color w:val="070DFB"/>
          <w:spacing w:val="0"/>
          <w:kern w:val="0"/>
          <w:sz w:val="21"/>
          <w:szCs w:val="21"/>
          <w:shd w:val="clear" w:color="auto" w:fill="FFFFFF"/>
          <w:lang w:val="en-US" w:eastAsia="zh-CN" w:bidi="ar"/>
        </w:rPr>
        <w:t>09</w:t>
      </w:r>
      <w:r>
        <w:rPr>
          <w:rFonts w:hint="eastAsia" w:ascii="宋体" w:hAnsi="宋体" w:eastAsia="宋体" w:cs="宋体"/>
          <w:i w:val="0"/>
          <w:caps w:val="0"/>
          <w:color w:val="070DFB"/>
          <w:spacing w:val="0"/>
          <w:kern w:val="0"/>
          <w:sz w:val="21"/>
          <w:szCs w:val="21"/>
          <w:shd w:val="clear" w:color="auto" w:fill="FFFFFF"/>
          <w:lang w:val="en-US" w:eastAsia="zh-CN" w:bidi="ar"/>
        </w:rPr>
        <w:t>点</w:t>
      </w:r>
      <w:r>
        <w:rPr>
          <w:rFonts w:hint="eastAsia" w:ascii="宋体" w:hAnsi="宋体" w:cs="宋体"/>
          <w:i w:val="0"/>
          <w:caps w:val="0"/>
          <w:color w:val="070DFB"/>
          <w:spacing w:val="0"/>
          <w:kern w:val="0"/>
          <w:sz w:val="21"/>
          <w:szCs w:val="21"/>
          <w:shd w:val="clear" w:color="auto" w:fill="FFFFFF"/>
          <w:lang w:val="en-US" w:eastAsia="zh-CN" w:bidi="ar"/>
        </w:rPr>
        <w:t>00</w:t>
      </w:r>
      <w:r>
        <w:rPr>
          <w:rFonts w:hint="eastAsia" w:ascii="宋体" w:hAnsi="宋体" w:eastAsia="宋体" w:cs="宋体"/>
          <w:i w:val="0"/>
          <w:caps w:val="0"/>
          <w:color w:val="070DFB"/>
          <w:spacing w:val="0"/>
          <w:kern w:val="0"/>
          <w:sz w:val="21"/>
          <w:szCs w:val="21"/>
          <w:shd w:val="clear" w:color="auto" w:fill="FFFFFF"/>
          <w:lang w:val="en-US" w:eastAsia="zh-CN" w:bidi="ar"/>
        </w:rPr>
        <w:t>分</w:t>
      </w:r>
      <w:r>
        <w:rPr>
          <w:rFonts w:hint="eastAsia" w:ascii="宋体" w:hAnsi="宋体" w:eastAsia="宋体" w:cs="宋体"/>
          <w:i w:val="0"/>
          <w:caps w:val="0"/>
          <w:color w:val="auto"/>
          <w:spacing w:val="0"/>
          <w:kern w:val="0"/>
          <w:sz w:val="21"/>
          <w:szCs w:val="21"/>
          <w:shd w:val="clear" w:color="auto" w:fill="FFFFFF"/>
          <w:lang w:val="en-US" w:eastAsia="zh-CN" w:bidi="ar"/>
        </w:rPr>
        <w:t>（北京时间）前递交投标文件。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sz w:val="21"/>
          <w:szCs w:val="21"/>
        </w:rPr>
      </w:pPr>
      <w:r>
        <w:rPr>
          <w:rStyle w:val="44"/>
          <w:rFonts w:hint="eastAsia" w:ascii="宋体" w:hAnsi="宋体" w:eastAsia="宋体" w:cs="宋体"/>
          <w:b/>
          <w:i w:val="0"/>
          <w:caps w:val="0"/>
          <w:color w:val="auto"/>
          <w:spacing w:val="0"/>
          <w:kern w:val="0"/>
          <w:sz w:val="21"/>
          <w:szCs w:val="21"/>
          <w:shd w:val="clear" w:color="auto" w:fill="FFFFFF"/>
          <w:lang w:val="en-US" w:eastAsia="zh-CN" w:bidi="ar"/>
        </w:rPr>
        <w:t>一、项目基本情况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1、项目编号：</w:t>
      </w:r>
      <w:r>
        <w:rPr>
          <w:rFonts w:hint="eastAsia" w:ascii="宋体" w:hAnsi="宋体" w:eastAsia="宋体" w:cs="宋体"/>
          <w:i w:val="0"/>
          <w:caps w:val="0"/>
          <w:color w:val="auto"/>
          <w:spacing w:val="0"/>
          <w:kern w:val="0"/>
          <w:sz w:val="21"/>
          <w:szCs w:val="21"/>
          <w:u w:val="single"/>
          <w:shd w:val="clear" w:color="auto" w:fill="FFFFFF"/>
          <w:lang w:val="en-US" w:eastAsia="zh-CN" w:bidi="ar"/>
        </w:rPr>
        <w:t xml:space="preserve"> </w:t>
      </w:r>
      <w:r>
        <w:rPr>
          <w:rFonts w:ascii="宋体" w:hAnsi="宋体" w:eastAsia="宋体" w:cs="宋体"/>
          <w:color w:val="000000"/>
          <w:sz w:val="21"/>
          <w:szCs w:val="21"/>
          <w:u w:val="single"/>
        </w:rPr>
        <w:t>DFCG20200253</w:t>
      </w:r>
      <w:r>
        <w:rPr>
          <w:rFonts w:hint="eastAsia" w:ascii="宋体" w:hAnsi="宋体" w:eastAsia="宋体" w:cs="宋体"/>
          <w:i w:val="0"/>
          <w:caps w:val="0"/>
          <w:color w:val="auto"/>
          <w:spacing w:val="0"/>
          <w:kern w:val="0"/>
          <w:sz w:val="21"/>
          <w:szCs w:val="21"/>
          <w:u w:val="single"/>
          <w:shd w:val="clear" w:color="auto" w:fill="FFFFFF"/>
          <w:lang w:val="en-US" w:eastAsia="zh-CN" w:bidi="ar"/>
        </w:rPr>
        <w:t xml:space="preserve"> </w:t>
      </w:r>
      <w:r>
        <w:rPr>
          <w:rFonts w:hint="eastAsia" w:ascii="宋体" w:hAnsi="宋体" w:eastAsia="宋体" w:cs="宋体"/>
          <w:i w:val="0"/>
          <w:caps w:val="0"/>
          <w:color w:val="auto"/>
          <w:spacing w:val="0"/>
          <w:kern w:val="0"/>
          <w:sz w:val="21"/>
          <w:szCs w:val="21"/>
          <w:shd w:val="clear" w:color="auto"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2、项目名称：</w:t>
      </w:r>
      <w:r>
        <w:rPr>
          <w:rFonts w:hint="eastAsia" w:ascii="宋体" w:hAnsi="宋体"/>
          <w:b w:val="0"/>
          <w:bCs/>
          <w:color w:val="000000"/>
          <w:sz w:val="21"/>
          <w:szCs w:val="21"/>
          <w:u w:val="single"/>
          <w:lang w:eastAsia="zh-CN"/>
        </w:rPr>
        <w:t>大丰中医院体质辨识仪、四诊仪、经络监测仪采购项目（二次）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3、预算金额：</w:t>
      </w:r>
      <w:r>
        <w:rPr>
          <w:rFonts w:hint="eastAsia" w:ascii="宋体" w:hAnsi="宋体" w:eastAsia="宋体" w:cs="宋体"/>
          <w:i w:val="0"/>
          <w:caps w:val="0"/>
          <w:color w:val="auto"/>
          <w:spacing w:val="0"/>
          <w:kern w:val="0"/>
          <w:sz w:val="21"/>
          <w:szCs w:val="21"/>
          <w:u w:val="single"/>
          <w:shd w:val="clear" w:color="auto" w:fill="FFFFFF"/>
          <w:lang w:val="en-US" w:eastAsia="zh-CN" w:bidi="ar"/>
        </w:rPr>
        <w:t xml:space="preserve"> </w:t>
      </w:r>
      <w:r>
        <w:rPr>
          <w:rFonts w:hint="eastAsia" w:ascii="宋体" w:hAnsi="宋体" w:cs="宋体"/>
          <w:i w:val="0"/>
          <w:caps w:val="0"/>
          <w:color w:val="auto"/>
          <w:spacing w:val="0"/>
          <w:kern w:val="0"/>
          <w:sz w:val="21"/>
          <w:szCs w:val="21"/>
          <w:u w:val="single"/>
          <w:shd w:val="clear" w:color="auto" w:fill="FFFFFF"/>
          <w:lang w:val="en-US" w:eastAsia="zh-CN" w:bidi="ar"/>
        </w:rPr>
        <w:t>41.5</w:t>
      </w:r>
      <w:r>
        <w:rPr>
          <w:rFonts w:hint="eastAsia" w:ascii="宋体" w:hAnsi="宋体" w:eastAsia="宋体" w:cs="宋体"/>
          <w:i w:val="0"/>
          <w:caps w:val="0"/>
          <w:color w:val="auto"/>
          <w:spacing w:val="0"/>
          <w:kern w:val="0"/>
          <w:sz w:val="21"/>
          <w:szCs w:val="21"/>
          <w:u w:val="single"/>
          <w:shd w:val="clear" w:color="auto" w:fill="FFFFFF"/>
          <w:lang w:val="en-US" w:eastAsia="zh-CN" w:bidi="ar"/>
        </w:rPr>
        <w:t>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4、最高限价：</w:t>
      </w:r>
      <w:r>
        <w:rPr>
          <w:rFonts w:hint="eastAsia" w:ascii="宋体" w:hAnsi="宋体" w:eastAsia="宋体" w:cs="宋体"/>
          <w:i w:val="0"/>
          <w:caps w:val="0"/>
          <w:color w:val="auto"/>
          <w:spacing w:val="0"/>
          <w:kern w:val="0"/>
          <w:sz w:val="21"/>
          <w:szCs w:val="21"/>
          <w:u w:val="single"/>
          <w:shd w:val="clear" w:color="auto" w:fill="FFFFFF"/>
          <w:lang w:val="en-US" w:eastAsia="zh-CN" w:bidi="ar"/>
        </w:rPr>
        <w:t xml:space="preserve"> </w:t>
      </w:r>
      <w:r>
        <w:rPr>
          <w:rFonts w:hint="eastAsia" w:ascii="宋体" w:hAnsi="宋体" w:cs="宋体"/>
          <w:i w:val="0"/>
          <w:caps w:val="0"/>
          <w:color w:val="auto"/>
          <w:spacing w:val="0"/>
          <w:kern w:val="0"/>
          <w:sz w:val="21"/>
          <w:szCs w:val="21"/>
          <w:u w:val="single"/>
          <w:shd w:val="clear" w:color="auto" w:fill="FFFFFF"/>
          <w:lang w:val="en-US" w:eastAsia="zh-CN" w:bidi="ar"/>
        </w:rPr>
        <w:t>41.5</w:t>
      </w:r>
      <w:r>
        <w:rPr>
          <w:rFonts w:hint="eastAsia" w:ascii="宋体" w:hAnsi="宋体" w:eastAsia="宋体" w:cs="宋体"/>
          <w:i w:val="0"/>
          <w:caps w:val="0"/>
          <w:color w:val="auto"/>
          <w:spacing w:val="0"/>
          <w:kern w:val="0"/>
          <w:sz w:val="21"/>
          <w:szCs w:val="21"/>
          <w:u w:val="single"/>
          <w:shd w:val="clear" w:color="auto" w:fill="FFFFFF"/>
          <w:lang w:val="en-US" w:eastAsia="zh-CN" w:bidi="ar"/>
        </w:rPr>
        <w:t>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5、采购需求：</w:t>
      </w:r>
      <w:r>
        <w:rPr>
          <w:rFonts w:hint="eastAsia" w:ascii="宋体" w:hAnsi="宋体"/>
          <w:b w:val="0"/>
          <w:bCs/>
          <w:color w:val="000000"/>
          <w:sz w:val="21"/>
          <w:szCs w:val="21"/>
          <w:u w:val="single"/>
          <w:lang w:eastAsia="zh-CN"/>
        </w:rPr>
        <w:t>大丰中医院体质辨识仪、四诊仪、经络监测仪采购项目，</w:t>
      </w:r>
      <w:r>
        <w:rPr>
          <w:rFonts w:hint="eastAsia" w:ascii="宋体" w:hAnsi="宋体" w:cs="宋体"/>
          <w:color w:val="000000"/>
          <w:kern w:val="0"/>
          <w:szCs w:val="21"/>
          <w:u w:val="single"/>
        </w:rPr>
        <w:t>含货物、包装、运输及其保险、安装、调试、培训、试运行直至竣工验收合格、</w:t>
      </w:r>
      <w:r>
        <w:rPr>
          <w:rFonts w:hint="eastAsia" w:ascii="宋体" w:hAnsi="宋体" w:cs="宋体"/>
          <w:color w:val="auto"/>
          <w:kern w:val="0"/>
          <w:szCs w:val="21"/>
          <w:u w:val="single"/>
        </w:rPr>
        <w:t>3年</w:t>
      </w:r>
      <w:r>
        <w:rPr>
          <w:rFonts w:hint="eastAsia" w:ascii="宋体" w:hAnsi="宋体" w:cs="宋体"/>
          <w:color w:val="auto"/>
          <w:kern w:val="0"/>
          <w:szCs w:val="21"/>
          <w:u w:val="single"/>
          <w:lang w:eastAsia="zh-CN"/>
        </w:rPr>
        <w:t>质保期</w:t>
      </w:r>
      <w:r>
        <w:rPr>
          <w:rFonts w:hint="eastAsia" w:ascii="宋体" w:hAnsi="宋体" w:cs="宋体"/>
          <w:color w:val="000000"/>
          <w:kern w:val="0"/>
          <w:szCs w:val="21"/>
          <w:u w:val="single"/>
        </w:rPr>
        <w:t>。质保期内免费提供设备运行所必须的备品备件和专用工具等伴随服务，还包括提供技术资料、技术服务、维修保养等。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6、项目完成期限：</w:t>
      </w:r>
      <w:r>
        <w:rPr>
          <w:rFonts w:hint="eastAsia" w:ascii="宋体" w:hAnsi="宋体" w:cs="宋体"/>
          <w:color w:val="auto"/>
          <w:kern w:val="0"/>
          <w:szCs w:val="21"/>
          <w:highlight w:val="none"/>
          <w:u w:val="single"/>
        </w:rPr>
        <w:t>合同签订后</w:t>
      </w:r>
      <w:r>
        <w:rPr>
          <w:rFonts w:hint="eastAsia" w:ascii="宋体" w:hAnsi="宋体" w:cs="宋体"/>
          <w:color w:val="auto"/>
          <w:kern w:val="0"/>
          <w:szCs w:val="21"/>
          <w:highlight w:val="none"/>
          <w:u w:val="single"/>
          <w:lang w:val="en-US" w:eastAsia="zh-CN"/>
        </w:rPr>
        <w:t>2</w:t>
      </w:r>
      <w:r>
        <w:rPr>
          <w:rFonts w:hint="eastAsia" w:ascii="宋体" w:hAnsi="宋体" w:cs="宋体"/>
          <w:color w:val="auto"/>
          <w:kern w:val="0"/>
          <w:szCs w:val="21"/>
          <w:highlight w:val="none"/>
          <w:u w:val="single"/>
        </w:rPr>
        <w:t>0日历天内安装完毕并通过验收。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7、本项目不接受联合体投标。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sz w:val="21"/>
          <w:szCs w:val="21"/>
        </w:rPr>
      </w:pPr>
      <w:r>
        <w:rPr>
          <w:rStyle w:val="44"/>
          <w:rFonts w:hint="eastAsia" w:ascii="宋体" w:hAnsi="宋体" w:eastAsia="宋体" w:cs="宋体"/>
          <w:b/>
          <w:i w:val="0"/>
          <w:caps w:val="0"/>
          <w:color w:val="auto"/>
          <w:spacing w:val="0"/>
          <w:kern w:val="0"/>
          <w:sz w:val="21"/>
          <w:szCs w:val="21"/>
          <w:shd w:val="clear" w:color="auto" w:fill="FFFFFF"/>
          <w:lang w:val="en-US" w:eastAsia="zh-CN" w:bidi="ar"/>
        </w:rPr>
        <w:t>二、申请人的资格要求：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1、投标人须满足《中华人民共和国政府采购法》第二十二条规定；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（1）投标申请人须在中国境内注册的有相关经营范围的独立法人资格，具有独立订立合同的能力，近三年内没有严重违约和重大质量问题，未处于被责令停业、财产被接管、冻结、破产等状态；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（2）投标人必须具有有效的《医疗器械生产许可证》或《医疗器械经营许可证》或《医疗器械经营备案凭证》。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（3）投标人应保证招标人在使用该采购设备或其任何一部分时不受第三方提出侵犯其专利权、版权、商标权和工业设计权等知识产权的起诉。一旦出现侵权，一律由投标人承担全部责任；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（4）单位负责人为同一人或者存在直接控股、管理关系的不同供应商，不得同时参加本项目采购活动。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2、采购人谢绝投标人以联合体形式投标。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sz w:val="21"/>
          <w:szCs w:val="21"/>
        </w:rPr>
      </w:pPr>
      <w:r>
        <w:rPr>
          <w:rStyle w:val="44"/>
          <w:rFonts w:hint="eastAsia" w:ascii="宋体" w:hAnsi="宋体" w:eastAsia="宋体" w:cs="宋体"/>
          <w:b/>
          <w:i w:val="0"/>
          <w:caps w:val="0"/>
          <w:color w:val="auto"/>
          <w:spacing w:val="0"/>
          <w:kern w:val="0"/>
          <w:sz w:val="21"/>
          <w:szCs w:val="21"/>
          <w:shd w:val="clear" w:color="auto" w:fill="FFFFFF"/>
          <w:lang w:val="en-US" w:eastAsia="zh-CN" w:bidi="ar"/>
        </w:rPr>
        <w:t>三、获取招标文件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070DFB"/>
          <w:spacing w:val="0"/>
          <w:sz w:val="21"/>
          <w:szCs w:val="21"/>
        </w:rPr>
      </w:pPr>
      <w:r>
        <w:rPr>
          <w:rFonts w:hint="eastAsia" w:ascii="宋体" w:hAnsi="宋体" w:eastAsia="宋体" w:cs="宋体"/>
          <w:i w:val="0"/>
          <w:caps w:val="0"/>
          <w:color w:val="070DFB"/>
          <w:spacing w:val="0"/>
          <w:kern w:val="0"/>
          <w:sz w:val="21"/>
          <w:szCs w:val="21"/>
          <w:shd w:val="clear" w:color="auto" w:fill="FFFFFF"/>
          <w:lang w:val="en-US" w:eastAsia="zh-CN" w:bidi="ar"/>
        </w:rPr>
        <w:t>1、时间：2020年</w:t>
      </w:r>
      <w:r>
        <w:rPr>
          <w:rFonts w:hint="eastAsia" w:ascii="宋体" w:hAnsi="宋体" w:cs="宋体"/>
          <w:i w:val="0"/>
          <w:caps w:val="0"/>
          <w:color w:val="070DFB"/>
          <w:spacing w:val="0"/>
          <w:kern w:val="0"/>
          <w:sz w:val="21"/>
          <w:szCs w:val="21"/>
          <w:shd w:val="clear" w:color="auto" w:fill="FFFFFF"/>
          <w:lang w:val="en-US" w:eastAsia="zh-CN" w:bidi="ar"/>
        </w:rPr>
        <w:t>8</w:t>
      </w:r>
      <w:r>
        <w:rPr>
          <w:rFonts w:hint="eastAsia" w:ascii="宋体" w:hAnsi="宋体" w:eastAsia="宋体" w:cs="宋体"/>
          <w:i w:val="0"/>
          <w:caps w:val="0"/>
          <w:color w:val="070DFB"/>
          <w:spacing w:val="0"/>
          <w:kern w:val="0"/>
          <w:sz w:val="21"/>
          <w:szCs w:val="21"/>
          <w:shd w:val="clear" w:color="auto" w:fill="FFFFFF"/>
          <w:lang w:val="en-US" w:eastAsia="zh-CN" w:bidi="ar"/>
        </w:rPr>
        <w:t>月</w:t>
      </w:r>
      <w:r>
        <w:rPr>
          <w:rFonts w:hint="eastAsia" w:ascii="宋体" w:hAnsi="宋体" w:cs="宋体"/>
          <w:i w:val="0"/>
          <w:caps w:val="0"/>
          <w:color w:val="070DFB"/>
          <w:spacing w:val="0"/>
          <w:kern w:val="0"/>
          <w:sz w:val="21"/>
          <w:szCs w:val="21"/>
          <w:shd w:val="clear" w:color="auto" w:fill="FFFFFF"/>
          <w:lang w:val="en-US" w:eastAsia="zh-CN" w:bidi="ar"/>
        </w:rPr>
        <w:t>28</w:t>
      </w:r>
      <w:r>
        <w:rPr>
          <w:rFonts w:hint="eastAsia" w:ascii="宋体" w:hAnsi="宋体" w:eastAsia="宋体" w:cs="宋体"/>
          <w:i w:val="0"/>
          <w:caps w:val="0"/>
          <w:color w:val="070DFB"/>
          <w:spacing w:val="0"/>
          <w:kern w:val="0"/>
          <w:sz w:val="21"/>
          <w:szCs w:val="21"/>
          <w:shd w:val="clear" w:color="auto" w:fill="FFFFFF"/>
          <w:lang w:val="en-US" w:eastAsia="zh-CN" w:bidi="ar"/>
        </w:rPr>
        <w:t xml:space="preserve"> 日8：30至2020年</w:t>
      </w:r>
      <w:r>
        <w:rPr>
          <w:rFonts w:hint="eastAsia" w:ascii="宋体" w:hAnsi="宋体" w:cs="宋体"/>
          <w:i w:val="0"/>
          <w:caps w:val="0"/>
          <w:color w:val="070DFB"/>
          <w:spacing w:val="0"/>
          <w:kern w:val="0"/>
          <w:sz w:val="21"/>
          <w:szCs w:val="21"/>
          <w:shd w:val="clear" w:color="auto" w:fill="FFFFFF"/>
          <w:lang w:val="en-US" w:eastAsia="zh-CN" w:bidi="ar"/>
        </w:rPr>
        <w:t>9</w:t>
      </w:r>
      <w:r>
        <w:rPr>
          <w:rFonts w:hint="eastAsia" w:ascii="宋体" w:hAnsi="宋体" w:eastAsia="宋体" w:cs="宋体"/>
          <w:i w:val="0"/>
          <w:caps w:val="0"/>
          <w:color w:val="070DFB"/>
          <w:spacing w:val="0"/>
          <w:kern w:val="0"/>
          <w:sz w:val="21"/>
          <w:szCs w:val="21"/>
          <w:shd w:val="clear" w:color="auto" w:fill="FFFFFF"/>
          <w:lang w:val="en-US" w:eastAsia="zh-CN" w:bidi="ar"/>
        </w:rPr>
        <w:t xml:space="preserve">月 </w:t>
      </w:r>
      <w:r>
        <w:rPr>
          <w:rFonts w:hint="eastAsia" w:ascii="宋体" w:hAnsi="宋体" w:cs="宋体"/>
          <w:i w:val="0"/>
          <w:caps w:val="0"/>
          <w:color w:val="070DFB"/>
          <w:spacing w:val="0"/>
          <w:kern w:val="0"/>
          <w:sz w:val="21"/>
          <w:szCs w:val="21"/>
          <w:shd w:val="clear" w:color="auto" w:fill="FFFFFF"/>
          <w:lang w:val="en-US" w:eastAsia="zh-CN" w:bidi="ar"/>
        </w:rPr>
        <w:t>3</w:t>
      </w:r>
      <w:r>
        <w:rPr>
          <w:rFonts w:hint="eastAsia" w:ascii="宋体" w:hAnsi="宋体" w:eastAsia="宋体" w:cs="宋体"/>
          <w:i w:val="0"/>
          <w:caps w:val="0"/>
          <w:color w:val="070DFB"/>
          <w:spacing w:val="0"/>
          <w:kern w:val="0"/>
          <w:sz w:val="21"/>
          <w:szCs w:val="21"/>
          <w:shd w:val="clear" w:color="auto" w:fill="FFFFFF"/>
          <w:lang w:val="en-US" w:eastAsia="zh-CN" w:bidi="ar"/>
        </w:rPr>
        <w:t>日1</w:t>
      </w:r>
      <w:r>
        <w:rPr>
          <w:rFonts w:hint="eastAsia" w:ascii="宋体" w:hAnsi="宋体" w:cs="宋体"/>
          <w:i w:val="0"/>
          <w:caps w:val="0"/>
          <w:color w:val="070DFB"/>
          <w:spacing w:val="0"/>
          <w:kern w:val="0"/>
          <w:sz w:val="21"/>
          <w:szCs w:val="21"/>
          <w:shd w:val="clear" w:color="auto" w:fill="FFFFFF"/>
          <w:lang w:val="en-US" w:eastAsia="zh-CN" w:bidi="ar"/>
        </w:rPr>
        <w:t>8</w:t>
      </w:r>
      <w:r>
        <w:rPr>
          <w:rFonts w:hint="eastAsia" w:ascii="宋体" w:hAnsi="宋体" w:eastAsia="宋体" w:cs="宋体"/>
          <w:i w:val="0"/>
          <w:caps w:val="0"/>
          <w:color w:val="070DFB"/>
          <w:spacing w:val="0"/>
          <w:kern w:val="0"/>
          <w:sz w:val="21"/>
          <w:szCs w:val="21"/>
          <w:shd w:val="clear" w:color="auto" w:fill="FFFFFF"/>
          <w:lang w:val="en-US" w:eastAsia="zh-CN" w:bidi="ar"/>
        </w:rPr>
        <w:t>：00（北京时间，法定节假日除外）。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2、方式：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各潜在投标人（供应商）采用网上方式报名及下载招标文件，具体步骤如下：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（1）各潜在投标人（供应商）下载采购类项目网上报名操作指南（网站http://ggzy.dafeng.gov.cn/dfweb/InfoDetail/?InfoID=8a98b92b-4bd3-4d80-afcf-ddb1d664dfbf&amp;CategoryNum=029）；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（2）各潜在投标人（供应商）根据网上报名操作指南进行操作，仔细阅读采购类项目网上报名操作指南，认真掌握操作方法(请牢记登录名和密码)，确保信息准确无误，如填报错误,后果由投标单位自行承担；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（3）各潜在投标人（供应商）在交纳招标文件工本费后，报名视为成功。若未交纳招标文件工本费，视为未报名。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（4）报名技术咨询电话：刘文辉 0515—83927236或咨询本项目的招标代理联系人。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3、售价：250元/份。请各潜在投标人在上述规定的时间内购买和下载招标文件。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sz w:val="21"/>
          <w:szCs w:val="21"/>
        </w:rPr>
      </w:pPr>
      <w:r>
        <w:rPr>
          <w:rStyle w:val="44"/>
          <w:rFonts w:hint="eastAsia" w:ascii="宋体" w:hAnsi="宋体" w:eastAsia="宋体" w:cs="宋体"/>
          <w:b/>
          <w:i w:val="0"/>
          <w:caps w:val="0"/>
          <w:color w:val="auto"/>
          <w:spacing w:val="0"/>
          <w:kern w:val="0"/>
          <w:sz w:val="21"/>
          <w:szCs w:val="21"/>
          <w:shd w:val="clear" w:color="auto" w:fill="FFFFFF"/>
          <w:lang w:val="en-US" w:eastAsia="zh-CN" w:bidi="ar"/>
        </w:rPr>
        <w:t>四、提交投标文件截止时间、开标时间和地点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070DFB"/>
          <w:spacing w:val="0"/>
          <w:sz w:val="21"/>
          <w:szCs w:val="21"/>
        </w:rPr>
      </w:pPr>
      <w:r>
        <w:rPr>
          <w:rFonts w:hint="eastAsia" w:ascii="宋体" w:hAnsi="宋体" w:eastAsia="宋体" w:cs="宋体"/>
          <w:i w:val="0"/>
          <w:caps w:val="0"/>
          <w:color w:val="070DFB"/>
          <w:spacing w:val="0"/>
          <w:kern w:val="0"/>
          <w:sz w:val="21"/>
          <w:szCs w:val="21"/>
          <w:shd w:val="clear" w:color="auto" w:fill="FFFFFF"/>
          <w:lang w:val="en-US" w:eastAsia="zh-CN" w:bidi="ar"/>
        </w:rPr>
        <w:t>1、时间：2020年</w:t>
      </w:r>
      <w:r>
        <w:rPr>
          <w:rFonts w:hint="eastAsia" w:ascii="宋体" w:hAnsi="宋体" w:cs="宋体"/>
          <w:i w:val="0"/>
          <w:caps w:val="0"/>
          <w:color w:val="070DFB"/>
          <w:spacing w:val="0"/>
          <w:kern w:val="0"/>
          <w:sz w:val="21"/>
          <w:szCs w:val="21"/>
          <w:shd w:val="clear" w:color="auto" w:fill="FFFFFF"/>
          <w:lang w:val="en-US" w:eastAsia="zh-CN" w:bidi="ar"/>
        </w:rPr>
        <w:t>9</w:t>
      </w:r>
      <w:r>
        <w:rPr>
          <w:rFonts w:hint="eastAsia" w:ascii="宋体" w:hAnsi="宋体" w:eastAsia="宋体" w:cs="宋体"/>
          <w:i w:val="0"/>
          <w:caps w:val="0"/>
          <w:color w:val="070DFB"/>
          <w:spacing w:val="0"/>
          <w:kern w:val="0"/>
          <w:sz w:val="21"/>
          <w:szCs w:val="21"/>
          <w:shd w:val="clear" w:color="auto" w:fill="FFFFFF"/>
          <w:lang w:val="en-US" w:eastAsia="zh-CN" w:bidi="ar"/>
        </w:rPr>
        <w:t>月</w:t>
      </w:r>
      <w:r>
        <w:rPr>
          <w:rFonts w:hint="eastAsia" w:ascii="宋体" w:hAnsi="宋体" w:cs="宋体"/>
          <w:i w:val="0"/>
          <w:caps w:val="0"/>
          <w:color w:val="070DFB"/>
          <w:spacing w:val="0"/>
          <w:kern w:val="0"/>
          <w:sz w:val="21"/>
          <w:szCs w:val="21"/>
          <w:shd w:val="clear" w:color="auto" w:fill="FFFFFF"/>
          <w:lang w:val="en-US" w:eastAsia="zh-CN" w:bidi="ar"/>
        </w:rPr>
        <w:t>17</w:t>
      </w:r>
      <w:r>
        <w:rPr>
          <w:rFonts w:hint="eastAsia" w:ascii="宋体" w:hAnsi="宋体" w:eastAsia="宋体" w:cs="宋体"/>
          <w:i w:val="0"/>
          <w:caps w:val="0"/>
          <w:color w:val="070DFB"/>
          <w:spacing w:val="0"/>
          <w:kern w:val="0"/>
          <w:sz w:val="21"/>
          <w:szCs w:val="21"/>
          <w:shd w:val="clear" w:color="auto" w:fill="FFFFFF"/>
          <w:lang w:val="en-US" w:eastAsia="zh-CN" w:bidi="ar"/>
        </w:rPr>
        <w:t>日</w:t>
      </w:r>
      <w:r>
        <w:rPr>
          <w:rFonts w:hint="eastAsia" w:ascii="宋体" w:hAnsi="宋体" w:cs="宋体"/>
          <w:i w:val="0"/>
          <w:caps w:val="0"/>
          <w:color w:val="070DFB"/>
          <w:spacing w:val="0"/>
          <w:kern w:val="0"/>
          <w:sz w:val="21"/>
          <w:szCs w:val="21"/>
          <w:shd w:val="clear" w:color="auto" w:fill="FFFFFF"/>
          <w:lang w:val="en-US" w:eastAsia="zh-CN" w:bidi="ar"/>
        </w:rPr>
        <w:t>09</w:t>
      </w:r>
      <w:r>
        <w:rPr>
          <w:rFonts w:hint="eastAsia" w:ascii="宋体" w:hAnsi="宋体" w:eastAsia="宋体" w:cs="宋体"/>
          <w:i w:val="0"/>
          <w:caps w:val="0"/>
          <w:color w:val="070DFB"/>
          <w:spacing w:val="0"/>
          <w:kern w:val="0"/>
          <w:sz w:val="21"/>
          <w:szCs w:val="21"/>
          <w:shd w:val="clear" w:color="auto" w:fill="FFFFFF"/>
          <w:lang w:val="en-US" w:eastAsia="zh-CN" w:bidi="ar"/>
        </w:rPr>
        <w:t>点</w:t>
      </w:r>
      <w:r>
        <w:rPr>
          <w:rFonts w:hint="eastAsia" w:ascii="宋体" w:hAnsi="宋体" w:cs="宋体"/>
          <w:i w:val="0"/>
          <w:caps w:val="0"/>
          <w:color w:val="070DFB"/>
          <w:spacing w:val="0"/>
          <w:kern w:val="0"/>
          <w:sz w:val="21"/>
          <w:szCs w:val="21"/>
          <w:shd w:val="clear" w:color="auto" w:fill="FFFFFF"/>
          <w:lang w:val="en-US" w:eastAsia="zh-CN" w:bidi="ar"/>
        </w:rPr>
        <w:t>00</w:t>
      </w:r>
      <w:r>
        <w:rPr>
          <w:rFonts w:hint="eastAsia" w:ascii="宋体" w:hAnsi="宋体" w:eastAsia="宋体" w:cs="宋体"/>
          <w:i w:val="0"/>
          <w:caps w:val="0"/>
          <w:color w:val="070DFB"/>
          <w:spacing w:val="0"/>
          <w:kern w:val="0"/>
          <w:sz w:val="21"/>
          <w:szCs w:val="21"/>
          <w:shd w:val="clear" w:color="auto" w:fill="FFFFFF"/>
          <w:lang w:val="en-US" w:eastAsia="zh-CN" w:bidi="ar"/>
        </w:rPr>
        <w:t>分（北京时间）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2、地点：盐城市大丰区公共资源交易中心，开标</w:t>
      </w:r>
      <w:r>
        <w:rPr>
          <w:rFonts w:hint="eastAsia" w:ascii="宋体" w:hAnsi="宋体" w:eastAsia="宋体" w:cs="宋体"/>
          <w:i w:val="0"/>
          <w:caps w:val="0"/>
          <w:color w:val="0000FF"/>
          <w:spacing w:val="0"/>
          <w:kern w:val="0"/>
          <w:sz w:val="21"/>
          <w:szCs w:val="21"/>
          <w:shd w:val="clear" w:color="auto" w:fill="FFFFFF"/>
          <w:lang w:val="en-US" w:eastAsia="zh-CN" w:bidi="ar"/>
        </w:rPr>
        <w:t>三</w:t>
      </w:r>
      <w:r>
        <w:rPr>
          <w:rFonts w:hint="eastAsia" w:ascii="宋体" w:hAnsi="宋体" w:eastAsia="宋体" w:cs="宋体"/>
          <w:i w:val="0"/>
          <w:caps w:val="0"/>
          <w:color w:val="auto"/>
          <w:spacing w:val="0"/>
          <w:kern w:val="0"/>
          <w:sz w:val="21"/>
          <w:szCs w:val="21"/>
          <w:shd w:val="clear" w:color="auto" w:fill="FFFFFF"/>
          <w:lang w:val="en-US" w:eastAsia="zh-CN" w:bidi="ar"/>
        </w:rPr>
        <w:t>室（大丰城东新区丰华国际大厦四楼,盐城市大丰区丰华路与飞达路交叉西150米）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sz w:val="21"/>
          <w:szCs w:val="21"/>
        </w:rPr>
      </w:pPr>
      <w:r>
        <w:rPr>
          <w:rStyle w:val="44"/>
          <w:rFonts w:hint="eastAsia" w:ascii="宋体" w:hAnsi="宋体" w:eastAsia="宋体" w:cs="宋体"/>
          <w:b/>
          <w:i w:val="0"/>
          <w:caps w:val="0"/>
          <w:color w:val="auto"/>
          <w:spacing w:val="0"/>
          <w:kern w:val="0"/>
          <w:sz w:val="21"/>
          <w:szCs w:val="21"/>
          <w:shd w:val="clear" w:color="auto" w:fill="FFFFFF"/>
          <w:lang w:val="en-US" w:eastAsia="zh-CN" w:bidi="ar"/>
        </w:rPr>
        <w:t>五、公告期限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自本公告发布之日起5个工作日。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sz w:val="21"/>
          <w:szCs w:val="21"/>
        </w:rPr>
      </w:pPr>
      <w:r>
        <w:rPr>
          <w:rStyle w:val="44"/>
          <w:rFonts w:hint="eastAsia" w:ascii="宋体" w:hAnsi="宋体" w:eastAsia="宋体" w:cs="宋体"/>
          <w:b/>
          <w:i w:val="0"/>
          <w:caps w:val="0"/>
          <w:color w:val="auto"/>
          <w:spacing w:val="0"/>
          <w:kern w:val="0"/>
          <w:sz w:val="21"/>
          <w:szCs w:val="21"/>
          <w:shd w:val="clear" w:color="auto" w:fill="FFFFFF"/>
          <w:lang w:val="en-US" w:eastAsia="zh-CN" w:bidi="ar"/>
        </w:rPr>
        <w:t>六、其他补充事宜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1、投标保证金</w:t>
      </w:r>
    </w:p>
    <w:p>
      <w:pPr>
        <w:keepNext w:val="0"/>
        <w:keepLines w:val="0"/>
        <w:pageBreakBefore w:val="0"/>
        <w:widowControl/>
        <w:kinsoku/>
        <w:wordWrap/>
        <w:topLinePunct w:val="0"/>
        <w:bidi w:val="0"/>
        <w:snapToGrid/>
        <w:spacing w:line="360" w:lineRule="auto"/>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本项目投标保证金人民币：</w:t>
      </w:r>
      <w:r>
        <w:rPr>
          <w:rFonts w:hint="eastAsia" w:ascii="宋体" w:hAnsi="宋体" w:cs="宋体"/>
          <w:color w:val="auto"/>
          <w:kern w:val="0"/>
          <w:sz w:val="21"/>
          <w:szCs w:val="21"/>
          <w:u w:val="single"/>
          <w:lang w:eastAsia="zh-CN"/>
        </w:rPr>
        <w:t>捌</w:t>
      </w:r>
      <w:r>
        <w:rPr>
          <w:rFonts w:hint="eastAsia" w:ascii="宋体" w:hAnsi="宋体" w:eastAsia="宋体" w:cs="宋体"/>
          <w:color w:val="auto"/>
          <w:kern w:val="0"/>
          <w:sz w:val="21"/>
          <w:szCs w:val="21"/>
          <w:u w:val="single"/>
          <w:lang w:eastAsia="zh-CN"/>
        </w:rPr>
        <w:t>仟</w:t>
      </w:r>
      <w:r>
        <w:rPr>
          <w:rFonts w:hint="eastAsia" w:ascii="宋体" w:hAnsi="宋体" w:eastAsia="宋体" w:cs="宋体"/>
          <w:color w:val="auto"/>
          <w:kern w:val="0"/>
          <w:sz w:val="21"/>
          <w:szCs w:val="21"/>
          <w:u w:val="single"/>
        </w:rPr>
        <w:t>元整</w:t>
      </w:r>
      <w:r>
        <w:rPr>
          <w:rFonts w:hint="eastAsia" w:ascii="宋体" w:hAnsi="宋体" w:eastAsia="宋体" w:cs="宋体"/>
          <w:color w:val="auto"/>
          <w:kern w:val="0"/>
          <w:sz w:val="21"/>
          <w:szCs w:val="21"/>
        </w:rPr>
        <w:t>（</w:t>
      </w:r>
      <w:r>
        <w:rPr>
          <w:rFonts w:hint="eastAsia" w:ascii="宋体" w:hAnsi="宋体" w:cs="宋体"/>
          <w:color w:val="auto"/>
          <w:kern w:val="0"/>
          <w:sz w:val="21"/>
          <w:szCs w:val="21"/>
          <w:u w:val="single"/>
          <w:lang w:val="en-US" w:eastAsia="zh-CN"/>
        </w:rPr>
        <w:t>8</w:t>
      </w:r>
      <w:r>
        <w:rPr>
          <w:rFonts w:hint="eastAsia" w:ascii="宋体" w:hAnsi="宋体" w:eastAsia="宋体" w:cs="宋体"/>
          <w:color w:val="auto"/>
          <w:kern w:val="0"/>
          <w:sz w:val="21"/>
          <w:szCs w:val="21"/>
          <w:u w:val="single"/>
        </w:rPr>
        <w:t>000.00</w:t>
      </w:r>
      <w:r>
        <w:rPr>
          <w:rFonts w:hint="eastAsia" w:ascii="宋体" w:hAnsi="宋体" w:eastAsia="宋体" w:cs="宋体"/>
          <w:color w:val="auto"/>
          <w:kern w:val="0"/>
          <w:sz w:val="21"/>
          <w:szCs w:val="21"/>
        </w:rPr>
        <w:t>元），投标人必须在投标文件递交截止时间前将投标保证金从投标人本单位的基本账户上直接转（汇）至盐城市大丰区公共资源交易中心投标保证金标段子帐户：</w:t>
      </w:r>
    </w:p>
    <w:p>
      <w:pPr>
        <w:keepNext w:val="0"/>
        <w:keepLines w:val="0"/>
        <w:pageBreakBefore w:val="0"/>
        <w:widowControl/>
        <w:kinsoku/>
        <w:wordWrap/>
        <w:topLinePunct w:val="0"/>
        <w:bidi w:val="0"/>
        <w:snapToGrid/>
        <w:spacing w:line="360" w:lineRule="auto"/>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收款单位：盐城市大丰区公共资源交易中心；</w:t>
      </w:r>
    </w:p>
    <w:p>
      <w:pPr>
        <w:keepNext w:val="0"/>
        <w:keepLines w:val="0"/>
        <w:pageBreakBefore w:val="0"/>
        <w:widowControl/>
        <w:kinsoku/>
        <w:wordWrap/>
        <w:topLinePunct w:val="0"/>
        <w:bidi w:val="0"/>
        <w:snapToGrid/>
        <w:spacing w:line="360" w:lineRule="auto"/>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开户银行：大丰农村商业银行创业支行；</w:t>
      </w:r>
    </w:p>
    <w:p>
      <w:pPr>
        <w:keepNext w:val="0"/>
        <w:keepLines w:val="0"/>
        <w:pageBreakBefore w:val="0"/>
        <w:widowControl/>
        <w:kinsoku/>
        <w:wordWrap/>
        <w:topLinePunct w:val="0"/>
        <w:bidi w:val="0"/>
        <w:snapToGrid/>
        <w:spacing w:line="360" w:lineRule="auto"/>
        <w:ind w:firstLine="48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账号</w:t>
      </w:r>
      <w:r>
        <w:rPr>
          <w:rFonts w:hint="eastAsia" w:ascii="宋体" w:hAnsi="宋体" w:eastAsia="宋体" w:cs="宋体"/>
          <w:color w:val="0000FF"/>
          <w:kern w:val="0"/>
          <w:sz w:val="21"/>
          <w:szCs w:val="21"/>
          <w:highlight w:val="none"/>
        </w:rPr>
        <w:t>：</w:t>
      </w:r>
      <w:r>
        <w:rPr>
          <w:rFonts w:hint="eastAsia" w:ascii="宋体" w:hAnsi="宋体" w:eastAsia="宋体" w:cs="宋体"/>
          <w:color w:val="auto"/>
          <w:kern w:val="0"/>
          <w:sz w:val="21"/>
          <w:szCs w:val="21"/>
          <w:highlight w:val="none"/>
        </w:rPr>
        <w:t xml:space="preserve"> </w:t>
      </w:r>
      <w:r>
        <w:rPr>
          <w:rFonts w:ascii="宋体" w:hAnsi="宋体" w:eastAsia="宋体" w:cs="宋体"/>
          <w:color w:val="000000"/>
          <w:sz w:val="21"/>
          <w:szCs w:val="21"/>
          <w:bdr w:val="none" w:color="auto" w:sz="0" w:space="0"/>
        </w:rPr>
        <w:t>3209820531010000103215</w:t>
      </w:r>
      <w:r>
        <w:rPr>
          <w:rFonts w:hint="eastAsia" w:ascii="宋体" w:hAnsi="宋体" w:eastAsia="宋体" w:cs="宋体"/>
          <w:color w:val="auto"/>
          <w:kern w:val="0"/>
          <w:sz w:val="21"/>
          <w:szCs w:val="21"/>
          <w:highlight w:val="none"/>
          <w:lang w:val="en-US" w:eastAsia="zh-CN"/>
        </w:rPr>
        <w:t xml:space="preserve"> </w:t>
      </w:r>
    </w:p>
    <w:p>
      <w:pPr>
        <w:keepNext w:val="0"/>
        <w:keepLines w:val="0"/>
        <w:pageBreakBefore w:val="0"/>
        <w:widowControl/>
        <w:kinsoku/>
        <w:wordWrap/>
        <w:topLinePunct w:val="0"/>
        <w:bidi w:val="0"/>
        <w:snapToGrid/>
        <w:spacing w:line="360" w:lineRule="auto"/>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联系电话：</w:t>
      </w:r>
      <w:r>
        <w:rPr>
          <w:rFonts w:hint="eastAsia" w:ascii="宋体" w:hAnsi="宋体" w:cs="宋体"/>
          <w:color w:val="auto"/>
          <w:kern w:val="0"/>
          <w:sz w:val="21"/>
          <w:szCs w:val="21"/>
          <w:lang w:eastAsia="zh-CN"/>
        </w:rPr>
        <w:t>朱会计</w:t>
      </w:r>
      <w:r>
        <w:rPr>
          <w:rFonts w:hint="eastAsia" w:ascii="宋体" w:hAnsi="宋体" w:eastAsia="宋体" w:cs="宋体"/>
          <w:color w:val="auto"/>
          <w:kern w:val="0"/>
          <w:sz w:val="21"/>
          <w:szCs w:val="21"/>
        </w:rPr>
        <w:t>0515-83927046</w:t>
      </w:r>
    </w:p>
    <w:p>
      <w:pPr>
        <w:keepNext w:val="0"/>
        <w:keepLines w:val="0"/>
        <w:pageBreakBefore w:val="0"/>
        <w:widowControl/>
        <w:kinsoku/>
        <w:wordWrap/>
        <w:topLinePunct w:val="0"/>
        <w:bidi w:val="0"/>
        <w:snapToGrid/>
        <w:spacing w:line="360" w:lineRule="auto"/>
        <w:ind w:firstLine="480"/>
        <w:jc w:val="left"/>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注:（1）获得投标保证金账号后，投标单位通过基本户选择以下方式缴纳保证金，请投标单位根据所使用的支付方式把握保证金缴纳开始时间和到账截止时间。</w:t>
      </w:r>
    </w:p>
    <w:p>
      <w:pPr>
        <w:keepNext w:val="0"/>
        <w:keepLines w:val="0"/>
        <w:pageBreakBefore w:val="0"/>
        <w:widowControl/>
        <w:kinsoku/>
        <w:wordWrap/>
        <w:topLinePunct w:val="0"/>
        <w:bidi w:val="0"/>
        <w:snapToGrid/>
        <w:spacing w:line="360" w:lineRule="auto"/>
        <w:ind w:firstLine="480"/>
        <w:jc w:val="left"/>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投标人可通过所开立的基本户选择网上银行、柜面电汇二种方式支付保证金。（重要提醒：无论是通过网银汇款还是柜面电汇，请在工作日9：00至17：00办理，以便于您的资金可以及时到账，同时，防止少数银行要求不一样，汇款前请先向您的基本户开户银行做好咨询）。</w:t>
      </w:r>
    </w:p>
    <w:p>
      <w:pPr>
        <w:keepNext w:val="0"/>
        <w:keepLines w:val="0"/>
        <w:pageBreakBefore w:val="0"/>
        <w:widowControl/>
        <w:numPr>
          <w:ilvl w:val="0"/>
          <w:numId w:val="0"/>
        </w:numPr>
        <w:kinsoku/>
        <w:wordWrap/>
        <w:topLinePunct w:val="0"/>
        <w:bidi w:val="0"/>
        <w:snapToGrid/>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b w:val="0"/>
          <w:bCs/>
          <w:color w:val="auto"/>
          <w:kern w:val="0"/>
          <w:sz w:val="21"/>
          <w:szCs w:val="21"/>
        </w:rPr>
        <w:t>（</w:t>
      </w:r>
      <w:r>
        <w:rPr>
          <w:rFonts w:hint="eastAsia" w:ascii="宋体" w:hAnsi="宋体" w:eastAsia="宋体" w:cs="宋体"/>
          <w:b w:val="0"/>
          <w:bCs/>
          <w:color w:val="auto"/>
          <w:kern w:val="0"/>
          <w:sz w:val="21"/>
          <w:szCs w:val="21"/>
          <w:lang w:val="en-US" w:eastAsia="zh-CN"/>
        </w:rPr>
        <w:t>2</w:t>
      </w:r>
      <w:r>
        <w:rPr>
          <w:rFonts w:hint="eastAsia" w:ascii="宋体" w:hAnsi="宋体" w:eastAsia="宋体" w:cs="宋体"/>
          <w:b w:val="0"/>
          <w:bCs/>
          <w:color w:val="auto"/>
          <w:kern w:val="0"/>
          <w:sz w:val="21"/>
          <w:szCs w:val="21"/>
        </w:rPr>
        <w:t>）开标时间截止前，请务必查询保证金到账情况，确认在会员系统保证金缴纳明细查看页面查询到记录，否则可能会导致标书不予接收。</w:t>
      </w:r>
    </w:p>
    <w:p>
      <w:pPr>
        <w:keepNext w:val="0"/>
        <w:keepLines w:val="0"/>
        <w:pageBreakBefore w:val="0"/>
        <w:widowControl/>
        <w:kinsoku/>
        <w:wordWrap/>
        <w:topLinePunct w:val="0"/>
        <w:bidi w:val="0"/>
        <w:snapToGrid/>
        <w:spacing w:line="360" w:lineRule="auto"/>
        <w:ind w:firstLine="480"/>
        <w:jc w:val="left"/>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（3）投标单位应尽量避免在缴纳保证金截止日汇入资金，充分考虑资金在途时间，以免失去投标资格。</w:t>
      </w:r>
    </w:p>
    <w:p>
      <w:pPr>
        <w:keepNext w:val="0"/>
        <w:keepLines w:val="0"/>
        <w:pageBreakBefore w:val="0"/>
        <w:widowControl/>
        <w:kinsoku/>
        <w:wordWrap/>
        <w:topLinePunct w:val="0"/>
        <w:bidi w:val="0"/>
        <w:snapToGrid/>
        <w:spacing w:line="360" w:lineRule="auto"/>
        <w:ind w:firstLine="480"/>
        <w:jc w:val="left"/>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（4）投标人不需要到窗口换取保证金收据。</w:t>
      </w:r>
    </w:p>
    <w:p>
      <w:pPr>
        <w:keepNext w:val="0"/>
        <w:keepLines w:val="0"/>
        <w:pageBreakBefore w:val="0"/>
        <w:widowControl/>
        <w:kinsoku/>
        <w:wordWrap/>
        <w:topLinePunct w:val="0"/>
        <w:bidi w:val="0"/>
        <w:snapToGrid/>
        <w:spacing w:line="360" w:lineRule="auto"/>
        <w:ind w:firstLine="48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注：投标保证金请提前数日缴纳转账，缴纳后立即至报名界面对投标保证金进行同步，若无法同步，说明投标保证金没有到帐。详情咨询18105113825 0515-83927236</w:t>
      </w:r>
    </w:p>
    <w:p>
      <w:pPr>
        <w:keepNext w:val="0"/>
        <w:keepLines w:val="0"/>
        <w:pageBreakBefore w:val="0"/>
        <w:widowControl/>
        <w:kinsoku/>
        <w:wordWrap/>
        <w:topLinePunct w:val="0"/>
        <w:bidi w:val="0"/>
        <w:snapToGrid/>
        <w:spacing w:line="360" w:lineRule="auto"/>
        <w:ind w:firstLine="480"/>
        <w:jc w:val="left"/>
        <w:rPr>
          <w:rFonts w:hint="eastAsia" w:ascii="宋体" w:hAnsi="宋体" w:eastAsia="宋体" w:cs="宋体"/>
          <w:color w:val="auto"/>
          <w:kern w:val="0"/>
          <w:sz w:val="21"/>
          <w:szCs w:val="21"/>
          <w:lang w:val="en-US" w:eastAsia="zh-CN"/>
        </w:rPr>
      </w:pPr>
      <w:r>
        <w:rPr>
          <w:rFonts w:hint="eastAsia" w:ascii="宋体" w:hAnsi="宋体" w:eastAsia="宋体" w:cs="宋体"/>
          <w:b w:val="0"/>
          <w:bCs/>
          <w:color w:val="auto"/>
          <w:kern w:val="0"/>
          <w:sz w:val="21"/>
          <w:szCs w:val="21"/>
          <w:lang w:val="en-US" w:eastAsia="zh-CN"/>
        </w:rPr>
        <w:t>2、</w:t>
      </w:r>
      <w:r>
        <w:rPr>
          <w:rFonts w:hint="eastAsia" w:ascii="宋体" w:hAnsi="宋体" w:eastAsia="宋体" w:cs="宋体"/>
          <w:color w:val="auto"/>
          <w:kern w:val="0"/>
          <w:sz w:val="21"/>
          <w:szCs w:val="21"/>
          <w:lang w:val="en-US" w:eastAsia="zh-CN"/>
        </w:rPr>
        <w:t>根据《国务院办公厅转发国家发展改革委关于深化公共资源交易平台整合共享指导意见的通知》（国办函〔2019〕41号）、国家发改委发布《关于积极应对疫情创新做好招投标工作保障经济平稳运行的通知》等文件精神，全面逐步推行不见面投标开标等招投标活动。结合当前疫情防控要求，本项目开标方式为不见面纸质文件开标。开标当日，投标人无需到达开标现场，仅需在任意地点通过PC端或移动端的“腾讯会议”及相应的配套硬件设备参加开标会议。</w:t>
      </w:r>
    </w:p>
    <w:p>
      <w:pPr>
        <w:keepNext w:val="0"/>
        <w:keepLines w:val="0"/>
        <w:pageBreakBefore w:val="0"/>
        <w:widowControl/>
        <w:kinsoku/>
        <w:wordWrap/>
        <w:topLinePunct w:val="0"/>
        <w:bidi w:val="0"/>
        <w:snapToGrid/>
        <w:spacing w:line="360" w:lineRule="auto"/>
        <w:ind w:firstLine="480"/>
        <w:jc w:val="left"/>
        <w:rPr>
          <w:rFonts w:hint="eastAsia" w:ascii="宋体" w:hAnsi="宋体" w:eastAsia="宋体" w:cs="宋体"/>
          <w:i w:val="0"/>
          <w:caps w:val="0"/>
          <w:color w:val="auto"/>
          <w:spacing w:val="0"/>
          <w:sz w:val="21"/>
          <w:szCs w:val="21"/>
        </w:rPr>
      </w:pPr>
      <w:r>
        <w:rPr>
          <w:rStyle w:val="44"/>
          <w:rFonts w:hint="eastAsia" w:ascii="宋体" w:hAnsi="宋体" w:eastAsia="宋体" w:cs="宋体"/>
          <w:b/>
          <w:i w:val="0"/>
          <w:caps w:val="0"/>
          <w:color w:val="auto"/>
          <w:spacing w:val="0"/>
          <w:kern w:val="0"/>
          <w:sz w:val="21"/>
          <w:szCs w:val="21"/>
          <w:shd w:val="clear" w:color="auto" w:fill="FFFFFF"/>
          <w:lang w:val="en-US" w:eastAsia="zh-CN" w:bidi="ar"/>
        </w:rPr>
        <w:t>七、对本次招标提出询问，请按以下方式联系。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1、采购人信息</w:t>
      </w:r>
    </w:p>
    <w:p>
      <w:pPr>
        <w:keepNext w:val="0"/>
        <w:keepLines w:val="0"/>
        <w:pageBreakBefore w:val="0"/>
        <w:widowControl/>
        <w:kinsoku/>
        <w:wordWrap/>
        <w:topLinePunct w:val="0"/>
        <w:bidi w:val="0"/>
        <w:snapToGrid/>
        <w:spacing w:line="360" w:lineRule="auto"/>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招标人：</w:t>
      </w:r>
      <w:r>
        <w:rPr>
          <w:rFonts w:hint="eastAsia" w:ascii="宋体" w:hAnsi="宋体" w:eastAsia="宋体" w:cs="宋体"/>
          <w:color w:val="auto"/>
          <w:kern w:val="0"/>
          <w:sz w:val="21"/>
          <w:szCs w:val="21"/>
          <w:u w:val="single"/>
          <w:lang w:eastAsia="zh-CN"/>
        </w:rPr>
        <w:t>盐城市大丰中医院</w:t>
      </w:r>
      <w:r>
        <w:rPr>
          <w:rFonts w:hint="eastAsia" w:ascii="宋体" w:hAnsi="宋体" w:eastAsia="宋体" w:cs="宋体"/>
          <w:color w:val="auto"/>
          <w:kern w:val="0"/>
          <w:sz w:val="21"/>
          <w:szCs w:val="21"/>
        </w:rPr>
        <w:t> </w:t>
      </w:r>
    </w:p>
    <w:p>
      <w:pPr>
        <w:keepNext w:val="0"/>
        <w:keepLines w:val="0"/>
        <w:pageBreakBefore w:val="0"/>
        <w:widowControl/>
        <w:kinsoku/>
        <w:wordWrap/>
        <w:topLinePunct w:val="0"/>
        <w:bidi w:val="0"/>
        <w:snapToGrid/>
        <w:spacing w:line="360" w:lineRule="auto"/>
        <w:ind w:firstLine="480"/>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联系人：</w:t>
      </w:r>
      <w:r>
        <w:rPr>
          <w:rFonts w:hint="eastAsia" w:ascii="宋体" w:hAnsi="宋体" w:eastAsia="宋体" w:cs="宋体"/>
          <w:color w:val="auto"/>
          <w:kern w:val="0"/>
          <w:sz w:val="21"/>
          <w:szCs w:val="21"/>
          <w:u w:val="single"/>
          <w:lang w:val="en-US" w:eastAsia="zh-CN"/>
        </w:rPr>
        <w:t>陈先生</w:t>
      </w:r>
      <w:r>
        <w:rPr>
          <w:rFonts w:hint="eastAsia" w:ascii="宋体" w:hAnsi="宋体" w:eastAsia="宋体" w:cs="宋体"/>
          <w:color w:val="auto"/>
          <w:kern w:val="0"/>
          <w:sz w:val="21"/>
          <w:szCs w:val="21"/>
          <w:u w:val="none"/>
        </w:rPr>
        <w:t> </w:t>
      </w:r>
      <w:r>
        <w:rPr>
          <w:rFonts w:hint="eastAsia" w:ascii="宋体" w:hAnsi="宋体" w:eastAsia="宋体" w:cs="宋体"/>
          <w:color w:val="auto"/>
          <w:kern w:val="0"/>
          <w:sz w:val="21"/>
          <w:szCs w:val="21"/>
          <w:u w:val="none"/>
          <w:lang w:val="en-US" w:eastAsia="zh-CN"/>
        </w:rPr>
        <w:t xml:space="preserve">          </w:t>
      </w:r>
      <w:r>
        <w:rPr>
          <w:rFonts w:hint="eastAsia" w:ascii="宋体" w:hAnsi="宋体" w:eastAsia="宋体" w:cs="宋体"/>
          <w:color w:val="auto"/>
          <w:kern w:val="0"/>
          <w:sz w:val="21"/>
          <w:szCs w:val="21"/>
        </w:rPr>
        <w:t>联系电话：</w:t>
      </w:r>
      <w:r>
        <w:rPr>
          <w:rFonts w:hint="eastAsia" w:ascii="宋体" w:hAnsi="宋体" w:eastAsia="宋体" w:cs="宋体"/>
          <w:color w:val="auto"/>
          <w:kern w:val="0"/>
          <w:sz w:val="21"/>
          <w:szCs w:val="21"/>
          <w:u w:val="single"/>
          <w:lang w:val="en-US" w:eastAsia="zh-CN"/>
        </w:rPr>
        <w:t>18021894866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left="0" w:right="0" w:firstLine="48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2、采购代理机构信息</w:t>
      </w:r>
    </w:p>
    <w:p>
      <w:pPr>
        <w:keepNext w:val="0"/>
        <w:keepLines w:val="0"/>
        <w:pageBreakBefore w:val="0"/>
        <w:widowControl/>
        <w:kinsoku/>
        <w:wordWrap/>
        <w:topLinePunct w:val="0"/>
        <w:bidi w:val="0"/>
        <w:snapToGrid/>
        <w:spacing w:line="360" w:lineRule="auto"/>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招标代理：</w:t>
      </w:r>
      <w:r>
        <w:rPr>
          <w:rFonts w:hint="eastAsia" w:ascii="宋体" w:hAnsi="宋体" w:eastAsia="宋体" w:cs="宋体"/>
          <w:color w:val="auto"/>
          <w:kern w:val="0"/>
          <w:sz w:val="21"/>
          <w:szCs w:val="21"/>
          <w:u w:val="single"/>
        </w:rPr>
        <w:t>盐城天成项目管理有限公司</w:t>
      </w:r>
    </w:p>
    <w:p>
      <w:pPr>
        <w:keepNext w:val="0"/>
        <w:keepLines w:val="0"/>
        <w:pageBreakBefore w:val="0"/>
        <w:widowControl/>
        <w:kinsoku/>
        <w:wordWrap/>
        <w:topLinePunct w:val="0"/>
        <w:bidi w:val="0"/>
        <w:snapToGrid/>
        <w:spacing w:line="360" w:lineRule="auto"/>
        <w:ind w:firstLine="480"/>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联系地址：</w:t>
      </w:r>
      <w:r>
        <w:rPr>
          <w:rFonts w:hint="eastAsia" w:ascii="宋体" w:hAnsi="宋体" w:eastAsia="宋体" w:cs="宋体"/>
          <w:color w:val="auto"/>
          <w:kern w:val="0"/>
          <w:sz w:val="21"/>
          <w:szCs w:val="21"/>
          <w:u w:val="single"/>
        </w:rPr>
        <w:t>大丰高新区五一路希望小镇</w:t>
      </w:r>
      <w:r>
        <w:rPr>
          <w:rFonts w:hint="eastAsia" w:ascii="宋体" w:hAnsi="宋体" w:eastAsia="宋体" w:cs="宋体"/>
          <w:color w:val="auto"/>
          <w:kern w:val="0"/>
          <w:sz w:val="21"/>
          <w:szCs w:val="21"/>
          <w:u w:val="single"/>
          <w:lang w:val="en-US" w:eastAsia="zh-CN"/>
        </w:rPr>
        <w:t>5</w:t>
      </w:r>
      <w:r>
        <w:rPr>
          <w:rFonts w:hint="eastAsia" w:ascii="宋体" w:hAnsi="宋体" w:eastAsia="宋体" w:cs="宋体"/>
          <w:color w:val="auto"/>
          <w:kern w:val="0"/>
          <w:sz w:val="21"/>
          <w:szCs w:val="21"/>
          <w:u w:val="single"/>
        </w:rPr>
        <w:t>#楼</w:t>
      </w:r>
      <w:r>
        <w:rPr>
          <w:rFonts w:hint="eastAsia" w:ascii="宋体" w:hAnsi="宋体" w:eastAsia="宋体" w:cs="宋体"/>
          <w:color w:val="auto"/>
          <w:kern w:val="0"/>
          <w:sz w:val="21"/>
          <w:szCs w:val="21"/>
          <w:u w:val="single"/>
          <w:lang w:val="en-US" w:eastAsia="zh-CN"/>
        </w:rPr>
        <w:t>301室</w:t>
      </w:r>
    </w:p>
    <w:p>
      <w:pPr>
        <w:keepNext w:val="0"/>
        <w:keepLines w:val="0"/>
        <w:pageBreakBefore w:val="0"/>
        <w:widowControl/>
        <w:kinsoku/>
        <w:wordWrap/>
        <w:topLinePunct w:val="0"/>
        <w:bidi w:val="0"/>
        <w:snapToGrid/>
        <w:spacing w:line="360" w:lineRule="auto"/>
        <w:ind w:firstLine="482"/>
        <w:jc w:val="left"/>
        <w:rPr>
          <w:rFonts w:hint="default" w:ascii="宋体" w:hAnsi="宋体" w:eastAsia="宋体" w:cs="宋体"/>
          <w:color w:val="auto"/>
          <w:kern w:val="0"/>
          <w:sz w:val="21"/>
          <w:szCs w:val="21"/>
          <w:u w:val="single"/>
          <w:lang w:val="en-US" w:eastAsia="zh-CN"/>
        </w:rPr>
      </w:pPr>
      <w:r>
        <w:rPr>
          <w:rFonts w:hint="eastAsia" w:ascii="宋体" w:hAnsi="宋体" w:eastAsia="宋体" w:cs="宋体"/>
          <w:color w:val="auto"/>
          <w:kern w:val="0"/>
          <w:sz w:val="21"/>
          <w:szCs w:val="21"/>
        </w:rPr>
        <w:t>联系人：</w:t>
      </w:r>
      <w:r>
        <w:rPr>
          <w:rFonts w:hint="eastAsia" w:ascii="宋体" w:hAnsi="宋体" w:eastAsia="宋体" w:cs="宋体"/>
          <w:color w:val="auto"/>
          <w:kern w:val="0"/>
          <w:sz w:val="21"/>
          <w:szCs w:val="21"/>
          <w:u w:val="single"/>
        </w:rPr>
        <w:t> </w:t>
      </w:r>
      <w:r>
        <w:rPr>
          <w:rFonts w:hint="eastAsia" w:ascii="宋体" w:hAnsi="宋体" w:eastAsia="宋体" w:cs="宋体"/>
          <w:color w:val="auto"/>
          <w:kern w:val="0"/>
          <w:sz w:val="21"/>
          <w:szCs w:val="21"/>
          <w:u w:val="single"/>
          <w:lang w:eastAsia="zh-CN"/>
        </w:rPr>
        <w:t>杭永鹏</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联系电话：</w:t>
      </w:r>
      <w:r>
        <w:rPr>
          <w:rFonts w:hint="eastAsia" w:ascii="宋体" w:hAnsi="宋体" w:eastAsia="宋体" w:cs="宋体"/>
          <w:color w:val="auto"/>
          <w:kern w:val="0"/>
          <w:sz w:val="21"/>
          <w:szCs w:val="21"/>
          <w:u w:val="single"/>
        </w:rPr>
        <w:t>0515-83913900 、</w:t>
      </w:r>
      <w:r>
        <w:rPr>
          <w:rFonts w:hint="eastAsia" w:ascii="宋体" w:hAnsi="宋体" w:eastAsia="宋体" w:cs="宋体"/>
          <w:color w:val="auto"/>
          <w:kern w:val="0"/>
          <w:sz w:val="21"/>
          <w:szCs w:val="21"/>
          <w:u w:val="single"/>
          <w:lang w:val="en-US" w:eastAsia="zh-CN"/>
        </w:rPr>
        <w:t>15295697317</w:t>
      </w:r>
    </w:p>
    <w:p>
      <w:pPr>
        <w:widowControl/>
        <w:snapToGrid w:val="0"/>
        <w:spacing w:line="360" w:lineRule="auto"/>
        <w:ind w:firstLine="482"/>
        <w:jc w:val="left"/>
        <w:rPr>
          <w:rFonts w:ascii="宋体" w:hAnsi="宋体" w:cs="宋体"/>
          <w:color w:val="000000"/>
          <w:kern w:val="0"/>
          <w:szCs w:val="21"/>
          <w:u w:val="single"/>
        </w:rPr>
      </w:pPr>
    </w:p>
    <w:p>
      <w:pPr>
        <w:pStyle w:val="3"/>
        <w:spacing w:line="360" w:lineRule="auto"/>
        <w:rPr>
          <w:color w:val="000000"/>
        </w:rPr>
      </w:pPr>
      <w:r>
        <w:rPr>
          <w:color w:val="000000"/>
        </w:rPr>
        <w:br w:type="page"/>
      </w:r>
      <w:bookmarkStart w:id="16" w:name="_Toc511142437"/>
      <w:r>
        <w:rPr>
          <w:color w:val="000000"/>
        </w:rPr>
        <w:t>第二章  投标人须知</w:t>
      </w:r>
      <w:bookmarkEnd w:id="6"/>
      <w:bookmarkEnd w:id="7"/>
      <w:bookmarkEnd w:id="8"/>
      <w:bookmarkEnd w:id="9"/>
      <w:bookmarkEnd w:id="10"/>
      <w:bookmarkEnd w:id="11"/>
      <w:bookmarkEnd w:id="12"/>
      <w:bookmarkEnd w:id="13"/>
      <w:bookmarkEnd w:id="14"/>
      <w:bookmarkEnd w:id="16"/>
    </w:p>
    <w:p>
      <w:pPr>
        <w:pStyle w:val="118"/>
      </w:pPr>
      <w:bookmarkStart w:id="17" w:name="_Toc387526374"/>
      <w:bookmarkStart w:id="18" w:name="_Toc397928548"/>
      <w:bookmarkStart w:id="19" w:name="_Toc369077559"/>
      <w:bookmarkStart w:id="20" w:name="_Toc511142438"/>
      <w:bookmarkStart w:id="21" w:name="_Toc387526282"/>
      <w:bookmarkStart w:id="22" w:name="_Toc16205"/>
      <w:bookmarkStart w:id="23" w:name="_Toc387526178"/>
      <w:r>
        <w:rPr>
          <w:rFonts w:hint="eastAsia"/>
        </w:rPr>
        <w:t xml:space="preserve">1. </w:t>
      </w:r>
      <w:r>
        <w:t>投标人须知前附表</w:t>
      </w:r>
      <w:bookmarkEnd w:id="17"/>
      <w:bookmarkEnd w:id="18"/>
      <w:bookmarkEnd w:id="19"/>
      <w:bookmarkEnd w:id="20"/>
      <w:bookmarkEnd w:id="21"/>
      <w:bookmarkEnd w:id="22"/>
      <w:bookmarkEnd w:id="23"/>
    </w:p>
    <w:tbl>
      <w:tblPr>
        <w:tblStyle w:val="41"/>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2726"/>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jc w:val="center"/>
              <w:rPr>
                <w:b/>
                <w:color w:val="000000"/>
                <w:szCs w:val="21"/>
              </w:rPr>
            </w:pPr>
            <w:r>
              <w:rPr>
                <w:b/>
                <w:color w:val="000000"/>
                <w:szCs w:val="21"/>
              </w:rPr>
              <w:t>条款号</w:t>
            </w:r>
          </w:p>
        </w:tc>
        <w:tc>
          <w:tcPr>
            <w:tcW w:w="2726" w:type="dxa"/>
            <w:vAlign w:val="center"/>
          </w:tcPr>
          <w:p>
            <w:pPr>
              <w:jc w:val="center"/>
              <w:rPr>
                <w:b/>
                <w:color w:val="000000"/>
                <w:szCs w:val="21"/>
              </w:rPr>
            </w:pPr>
            <w:r>
              <w:rPr>
                <w:b/>
                <w:color w:val="000000"/>
                <w:szCs w:val="21"/>
              </w:rPr>
              <w:t>条 款 名 称</w:t>
            </w:r>
          </w:p>
        </w:tc>
        <w:tc>
          <w:tcPr>
            <w:tcW w:w="5757" w:type="dxa"/>
            <w:vAlign w:val="center"/>
          </w:tcPr>
          <w:p>
            <w:pPr>
              <w:jc w:val="center"/>
              <w:rPr>
                <w:b/>
                <w:color w:val="000000"/>
                <w:szCs w:val="21"/>
              </w:rPr>
            </w:pPr>
            <w:r>
              <w:rPr>
                <w:b/>
                <w:color w:val="00000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14" w:type="dxa"/>
            <w:vAlign w:val="center"/>
          </w:tcPr>
          <w:p>
            <w:pPr>
              <w:jc w:val="center"/>
              <w:rPr>
                <w:color w:val="000000"/>
                <w:szCs w:val="21"/>
              </w:rPr>
            </w:pPr>
            <w:r>
              <w:rPr>
                <w:color w:val="000000"/>
                <w:szCs w:val="21"/>
              </w:rPr>
              <w:t>1.1.2</w:t>
            </w:r>
          </w:p>
        </w:tc>
        <w:tc>
          <w:tcPr>
            <w:tcW w:w="2726" w:type="dxa"/>
            <w:vAlign w:val="center"/>
          </w:tcPr>
          <w:p>
            <w:pPr>
              <w:spacing w:line="240" w:lineRule="auto"/>
              <w:rPr>
                <w:color w:val="000000"/>
                <w:szCs w:val="21"/>
              </w:rPr>
            </w:pPr>
            <w:r>
              <w:rPr>
                <w:color w:val="000000"/>
                <w:szCs w:val="21"/>
              </w:rPr>
              <w:t>招标人</w:t>
            </w:r>
          </w:p>
        </w:tc>
        <w:tc>
          <w:tcPr>
            <w:tcW w:w="5757" w:type="dxa"/>
            <w:vAlign w:val="center"/>
          </w:tcPr>
          <w:p>
            <w:pPr>
              <w:spacing w:line="240" w:lineRule="auto"/>
              <w:jc w:val="left"/>
              <w:rPr>
                <w:rFonts w:hint="eastAsia" w:ascii="宋体" w:hAnsi="宋体" w:eastAsia="宋体"/>
                <w:color w:val="000000"/>
                <w:szCs w:val="21"/>
                <w:lang w:eastAsia="zh-CN"/>
              </w:rPr>
            </w:pPr>
            <w:r>
              <w:rPr>
                <w:rFonts w:hint="eastAsia" w:ascii="宋体" w:hAnsi="宋体"/>
                <w:color w:val="000000"/>
                <w:szCs w:val="21"/>
              </w:rPr>
              <w:t>盐城市大丰</w:t>
            </w:r>
            <w:r>
              <w:rPr>
                <w:rFonts w:hint="eastAsia" w:ascii="宋体" w:hAnsi="宋体"/>
                <w:color w:val="000000"/>
                <w:szCs w:val="21"/>
                <w:lang w:eastAsia="zh-CN"/>
              </w:rPr>
              <w:t>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14" w:type="dxa"/>
            <w:vAlign w:val="center"/>
          </w:tcPr>
          <w:p>
            <w:pPr>
              <w:jc w:val="center"/>
              <w:rPr>
                <w:color w:val="000000"/>
                <w:szCs w:val="21"/>
              </w:rPr>
            </w:pPr>
            <w:r>
              <w:rPr>
                <w:color w:val="000000"/>
                <w:szCs w:val="21"/>
              </w:rPr>
              <w:t>1.1.3</w:t>
            </w:r>
          </w:p>
        </w:tc>
        <w:tc>
          <w:tcPr>
            <w:tcW w:w="2726" w:type="dxa"/>
            <w:vAlign w:val="center"/>
          </w:tcPr>
          <w:p>
            <w:pPr>
              <w:spacing w:line="240" w:lineRule="auto"/>
              <w:rPr>
                <w:color w:val="000000"/>
                <w:szCs w:val="21"/>
              </w:rPr>
            </w:pPr>
            <w:r>
              <w:rPr>
                <w:color w:val="000000"/>
                <w:szCs w:val="21"/>
              </w:rPr>
              <w:t>招标代理机构</w:t>
            </w:r>
          </w:p>
        </w:tc>
        <w:tc>
          <w:tcPr>
            <w:tcW w:w="5757" w:type="dxa"/>
            <w:vAlign w:val="center"/>
          </w:tcPr>
          <w:p>
            <w:pPr>
              <w:spacing w:line="240" w:lineRule="auto"/>
              <w:jc w:val="left"/>
              <w:rPr>
                <w:color w:val="000000"/>
                <w:szCs w:val="21"/>
              </w:rPr>
            </w:pPr>
            <w:r>
              <w:rPr>
                <w:rFonts w:hint="eastAsia" w:ascii="宋体" w:hAnsi="宋体"/>
                <w:szCs w:val="21"/>
              </w:rPr>
              <w:t>盐城天成项目管理有限公司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jc w:val="center"/>
              <w:rPr>
                <w:color w:val="000000"/>
                <w:szCs w:val="21"/>
              </w:rPr>
            </w:pPr>
            <w:r>
              <w:rPr>
                <w:color w:val="000000"/>
                <w:szCs w:val="21"/>
              </w:rPr>
              <w:t>1.1.4</w:t>
            </w:r>
          </w:p>
        </w:tc>
        <w:tc>
          <w:tcPr>
            <w:tcW w:w="2726" w:type="dxa"/>
            <w:vAlign w:val="center"/>
          </w:tcPr>
          <w:p>
            <w:pPr>
              <w:spacing w:line="240" w:lineRule="auto"/>
              <w:rPr>
                <w:color w:val="000000"/>
                <w:szCs w:val="21"/>
              </w:rPr>
            </w:pPr>
            <w:r>
              <w:rPr>
                <w:color w:val="000000"/>
                <w:szCs w:val="21"/>
              </w:rPr>
              <w:t>项目名称</w:t>
            </w:r>
          </w:p>
        </w:tc>
        <w:tc>
          <w:tcPr>
            <w:tcW w:w="575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napToGrid/>
              <w:spacing w:before="0" w:beforeAutospacing="0" w:after="0" w:afterAutospacing="0" w:line="360" w:lineRule="auto"/>
              <w:ind w:right="0"/>
              <w:jc w:val="left"/>
              <w:rPr>
                <w:rFonts w:hint="eastAsia" w:eastAsia="宋体"/>
                <w:color w:val="000000"/>
                <w:szCs w:val="21"/>
                <w:lang w:eastAsia="zh-CN"/>
              </w:rPr>
            </w:pPr>
            <w:r>
              <w:rPr>
                <w:rFonts w:hint="eastAsia" w:ascii="宋体" w:hAnsi="宋体"/>
                <w:b w:val="0"/>
                <w:bCs/>
                <w:color w:val="000000"/>
                <w:sz w:val="21"/>
                <w:szCs w:val="21"/>
                <w:lang w:eastAsia="zh-CN"/>
              </w:rPr>
              <w:t>大丰中医院体质辨识仪、四诊仪、经络监测仪采购项目（二次）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jc w:val="center"/>
              <w:rPr>
                <w:color w:val="000000"/>
                <w:szCs w:val="21"/>
              </w:rPr>
            </w:pPr>
            <w:r>
              <w:rPr>
                <w:color w:val="000000"/>
                <w:szCs w:val="21"/>
              </w:rPr>
              <w:t>1.2.1</w:t>
            </w:r>
          </w:p>
        </w:tc>
        <w:tc>
          <w:tcPr>
            <w:tcW w:w="2726" w:type="dxa"/>
            <w:vAlign w:val="center"/>
          </w:tcPr>
          <w:p>
            <w:pPr>
              <w:rPr>
                <w:color w:val="000000"/>
                <w:szCs w:val="21"/>
              </w:rPr>
            </w:pPr>
            <w:r>
              <w:rPr>
                <w:color w:val="000000"/>
                <w:szCs w:val="21"/>
              </w:rPr>
              <w:t>资金来源</w:t>
            </w:r>
          </w:p>
        </w:tc>
        <w:tc>
          <w:tcPr>
            <w:tcW w:w="5757" w:type="dxa"/>
            <w:vAlign w:val="center"/>
          </w:tcPr>
          <w:p>
            <w:pPr>
              <w:jc w:val="left"/>
              <w:rPr>
                <w:rFonts w:hint="eastAsia" w:eastAsia="宋体"/>
                <w:color w:val="000000"/>
                <w:szCs w:val="21"/>
                <w:lang w:eastAsia="zh-CN"/>
              </w:rPr>
            </w:pPr>
            <w:r>
              <w:rPr>
                <w:rFonts w:hint="eastAsia"/>
                <w:color w:val="0000FF"/>
                <w:szCs w:val="21"/>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jc w:val="center"/>
              <w:rPr>
                <w:color w:val="000000"/>
                <w:szCs w:val="21"/>
              </w:rPr>
            </w:pPr>
            <w:r>
              <w:rPr>
                <w:color w:val="000000"/>
                <w:szCs w:val="21"/>
              </w:rPr>
              <w:t>1.2.2</w:t>
            </w:r>
          </w:p>
        </w:tc>
        <w:tc>
          <w:tcPr>
            <w:tcW w:w="2726" w:type="dxa"/>
            <w:vAlign w:val="center"/>
          </w:tcPr>
          <w:p>
            <w:pPr>
              <w:rPr>
                <w:color w:val="000000"/>
                <w:szCs w:val="21"/>
              </w:rPr>
            </w:pPr>
            <w:r>
              <w:rPr>
                <w:color w:val="000000"/>
                <w:szCs w:val="21"/>
              </w:rPr>
              <w:t>出资比例</w:t>
            </w:r>
          </w:p>
        </w:tc>
        <w:tc>
          <w:tcPr>
            <w:tcW w:w="5757" w:type="dxa"/>
            <w:vAlign w:val="center"/>
          </w:tcPr>
          <w:p>
            <w:pPr>
              <w:jc w:val="left"/>
              <w:rPr>
                <w:color w:val="000000"/>
                <w:szCs w:val="21"/>
              </w:rPr>
            </w:pPr>
            <w:r>
              <w:rPr>
                <w:rFonts w:hint="eastAsia" w:ascii="宋体" w:hAnsi="宋体" w:eastAsia="宋体" w:cs="宋体"/>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jc w:val="center"/>
              <w:rPr>
                <w:color w:val="000000"/>
                <w:szCs w:val="21"/>
              </w:rPr>
            </w:pPr>
            <w:r>
              <w:rPr>
                <w:color w:val="000000"/>
                <w:szCs w:val="21"/>
              </w:rPr>
              <w:t>1.2.3</w:t>
            </w:r>
          </w:p>
        </w:tc>
        <w:tc>
          <w:tcPr>
            <w:tcW w:w="2726" w:type="dxa"/>
            <w:vAlign w:val="center"/>
          </w:tcPr>
          <w:p>
            <w:pPr>
              <w:rPr>
                <w:color w:val="000000"/>
                <w:szCs w:val="21"/>
              </w:rPr>
            </w:pPr>
            <w:r>
              <w:rPr>
                <w:color w:val="000000"/>
                <w:szCs w:val="21"/>
              </w:rPr>
              <w:t>资金落实情况</w:t>
            </w:r>
          </w:p>
        </w:tc>
        <w:tc>
          <w:tcPr>
            <w:tcW w:w="5757" w:type="dxa"/>
            <w:vAlign w:val="center"/>
          </w:tcPr>
          <w:p>
            <w:pPr>
              <w:jc w:val="left"/>
              <w:rPr>
                <w:color w:val="000000"/>
                <w:szCs w:val="21"/>
              </w:rPr>
            </w:pPr>
            <w:r>
              <w:rPr>
                <w:color w:val="00000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4" w:type="dxa"/>
            <w:vAlign w:val="center"/>
          </w:tcPr>
          <w:p>
            <w:pPr>
              <w:jc w:val="center"/>
              <w:rPr>
                <w:color w:val="000000"/>
                <w:szCs w:val="21"/>
              </w:rPr>
            </w:pPr>
            <w:r>
              <w:rPr>
                <w:color w:val="000000"/>
                <w:szCs w:val="21"/>
              </w:rPr>
              <w:t>1.3.1</w:t>
            </w:r>
          </w:p>
        </w:tc>
        <w:tc>
          <w:tcPr>
            <w:tcW w:w="2726" w:type="dxa"/>
            <w:vAlign w:val="center"/>
          </w:tcPr>
          <w:p>
            <w:pPr>
              <w:rPr>
                <w:color w:val="000000"/>
                <w:szCs w:val="21"/>
              </w:rPr>
            </w:pPr>
            <w:r>
              <w:rPr>
                <w:color w:val="000000"/>
                <w:szCs w:val="21"/>
              </w:rPr>
              <w:t>招标范围</w:t>
            </w:r>
          </w:p>
        </w:tc>
        <w:tc>
          <w:tcPr>
            <w:tcW w:w="5757" w:type="dxa"/>
            <w:vAlign w:val="center"/>
          </w:tcPr>
          <w:p>
            <w:pPr>
              <w:rPr>
                <w:color w:val="000000"/>
                <w:szCs w:val="21"/>
              </w:rPr>
            </w:pPr>
            <w:r>
              <w:rPr>
                <w:rFonts w:hint="eastAsia"/>
                <w:color w:val="000000"/>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jc w:val="center"/>
              <w:rPr>
                <w:color w:val="000000"/>
                <w:szCs w:val="21"/>
              </w:rPr>
            </w:pPr>
            <w:r>
              <w:rPr>
                <w:color w:val="000000"/>
                <w:szCs w:val="21"/>
              </w:rPr>
              <w:t>1.3.2</w:t>
            </w:r>
          </w:p>
        </w:tc>
        <w:tc>
          <w:tcPr>
            <w:tcW w:w="2726" w:type="dxa"/>
            <w:vAlign w:val="center"/>
          </w:tcPr>
          <w:p>
            <w:pPr>
              <w:rPr>
                <w:color w:val="000000"/>
                <w:szCs w:val="21"/>
              </w:rPr>
            </w:pPr>
            <w:r>
              <w:rPr>
                <w:rFonts w:hint="eastAsia"/>
                <w:color w:val="000000"/>
                <w:szCs w:val="21"/>
              </w:rPr>
              <w:t>交货期或交付使用期</w:t>
            </w:r>
          </w:p>
        </w:tc>
        <w:tc>
          <w:tcPr>
            <w:tcW w:w="5757" w:type="dxa"/>
            <w:vAlign w:val="center"/>
          </w:tcPr>
          <w:p>
            <w:pPr>
              <w:tabs>
                <w:tab w:val="left" w:pos="360"/>
                <w:tab w:val="left" w:pos="1200"/>
              </w:tabs>
              <w:spacing w:line="400" w:lineRule="exact"/>
              <w:rPr>
                <w:rFonts w:ascii="宋体" w:hAnsi="宋体" w:cs="宋体"/>
                <w:color w:val="333333"/>
                <w:szCs w:val="21"/>
              </w:rPr>
            </w:pPr>
            <w:r>
              <w:rPr>
                <w:rFonts w:hint="eastAsia"/>
                <w:color w:val="000000"/>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jc w:val="center"/>
              <w:rPr>
                <w:color w:val="000000"/>
                <w:szCs w:val="21"/>
              </w:rPr>
            </w:pPr>
            <w:r>
              <w:rPr>
                <w:color w:val="000000"/>
                <w:szCs w:val="21"/>
              </w:rPr>
              <w:t>1.3.3</w:t>
            </w:r>
          </w:p>
        </w:tc>
        <w:tc>
          <w:tcPr>
            <w:tcW w:w="2726" w:type="dxa"/>
            <w:vAlign w:val="center"/>
          </w:tcPr>
          <w:p>
            <w:pPr>
              <w:rPr>
                <w:bCs/>
                <w:color w:val="000000"/>
                <w:szCs w:val="21"/>
              </w:rPr>
            </w:pPr>
            <w:r>
              <w:rPr>
                <w:bCs/>
                <w:color w:val="000000"/>
                <w:szCs w:val="21"/>
              </w:rPr>
              <w:t>交货</w:t>
            </w:r>
            <w:r>
              <w:rPr>
                <w:rFonts w:hint="eastAsia"/>
                <w:bCs/>
                <w:color w:val="000000"/>
                <w:szCs w:val="21"/>
              </w:rPr>
              <w:t>或服务</w:t>
            </w:r>
            <w:r>
              <w:rPr>
                <w:bCs/>
                <w:color w:val="000000"/>
                <w:szCs w:val="21"/>
              </w:rPr>
              <w:t>地点</w:t>
            </w:r>
          </w:p>
        </w:tc>
        <w:tc>
          <w:tcPr>
            <w:tcW w:w="5757" w:type="dxa"/>
            <w:vAlign w:val="center"/>
          </w:tcPr>
          <w:p>
            <w:pPr>
              <w:jc w:val="left"/>
              <w:rPr>
                <w:rFonts w:hint="eastAsia" w:eastAsia="宋体"/>
                <w:bCs/>
                <w:color w:val="000000"/>
                <w:szCs w:val="21"/>
                <w:lang w:eastAsia="zh-CN"/>
              </w:rPr>
            </w:pPr>
            <w:r>
              <w:rPr>
                <w:rFonts w:hint="eastAsia"/>
                <w:color w:val="000000"/>
                <w:szCs w:val="21"/>
              </w:rPr>
              <w:t>盐城市大丰</w:t>
            </w:r>
            <w:r>
              <w:rPr>
                <w:rFonts w:hint="eastAsia"/>
                <w:color w:val="000000"/>
                <w:szCs w:val="21"/>
                <w:lang w:eastAsia="zh-CN"/>
              </w:rPr>
              <w:t>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14" w:type="dxa"/>
            <w:vAlign w:val="center"/>
          </w:tcPr>
          <w:p>
            <w:pPr>
              <w:jc w:val="center"/>
              <w:rPr>
                <w:color w:val="000000"/>
                <w:szCs w:val="21"/>
              </w:rPr>
            </w:pPr>
            <w:r>
              <w:rPr>
                <w:color w:val="000000"/>
                <w:szCs w:val="21"/>
              </w:rPr>
              <w:t>1.3.4</w:t>
            </w:r>
          </w:p>
        </w:tc>
        <w:tc>
          <w:tcPr>
            <w:tcW w:w="2726" w:type="dxa"/>
            <w:vAlign w:val="center"/>
          </w:tcPr>
          <w:p>
            <w:pPr>
              <w:rPr>
                <w:color w:val="000000"/>
                <w:szCs w:val="21"/>
              </w:rPr>
            </w:pPr>
            <w:r>
              <w:rPr>
                <w:color w:val="000000"/>
                <w:szCs w:val="21"/>
              </w:rPr>
              <w:t>质量</w:t>
            </w:r>
            <w:r>
              <w:rPr>
                <w:rFonts w:hint="eastAsia"/>
                <w:color w:val="000000"/>
                <w:szCs w:val="21"/>
              </w:rPr>
              <w:t>要求及验收标准</w:t>
            </w:r>
          </w:p>
        </w:tc>
        <w:tc>
          <w:tcPr>
            <w:tcW w:w="5757" w:type="dxa"/>
            <w:vAlign w:val="center"/>
          </w:tcPr>
          <w:p>
            <w:pPr>
              <w:rPr>
                <w:color w:val="000000"/>
                <w:szCs w:val="21"/>
              </w:rPr>
            </w:pPr>
            <w:r>
              <w:rPr>
                <w:rFonts w:hint="eastAsia"/>
                <w:color w:val="000000"/>
                <w:szCs w:val="21"/>
              </w:rPr>
              <w:t>相关质量验收规范合格标准，本</w:t>
            </w:r>
            <w:r>
              <w:rPr>
                <w:rFonts w:hint="eastAsia"/>
                <w:color w:val="000000"/>
                <w:szCs w:val="21"/>
                <w:lang w:eastAsia="zh-CN"/>
              </w:rPr>
              <w:t>项目</w:t>
            </w:r>
            <w:r>
              <w:rPr>
                <w:rFonts w:hint="eastAsia"/>
                <w:color w:val="000000"/>
                <w:szCs w:val="21"/>
              </w:rPr>
              <w:t>招标人或项目所在地质量技术监督部门或招标人委托的第三方检测机构对中标人的所供产品进行验收，如抽检不合格导致的费用损失由中标人承担，所有返工、拆除、更换等费用均由中标人承担，给招标人造成损失的，招标人将依法追偿。</w:t>
            </w:r>
          </w:p>
          <w:p>
            <w:pPr>
              <w:rPr>
                <w:color w:val="000000"/>
                <w:szCs w:val="21"/>
              </w:rPr>
            </w:pPr>
            <w:r>
              <w:rPr>
                <w:rFonts w:hint="eastAsia"/>
                <w:color w:val="000000"/>
                <w:szCs w:val="21"/>
              </w:rPr>
              <w:t>验收执行标准：国家或行业最新标准、招标文件各项技术参数指标、投标文件投标承诺所达到的各项技术参数指标（招标文件、投标文件、国家或行业标准不一致处以最高标准执行）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jc w:val="center"/>
              <w:rPr>
                <w:color w:val="000000"/>
                <w:szCs w:val="21"/>
              </w:rPr>
            </w:pPr>
            <w:r>
              <w:rPr>
                <w:color w:val="000000"/>
                <w:szCs w:val="21"/>
              </w:rPr>
              <w:t>1.4.1</w:t>
            </w:r>
          </w:p>
        </w:tc>
        <w:tc>
          <w:tcPr>
            <w:tcW w:w="2726" w:type="dxa"/>
            <w:vAlign w:val="center"/>
          </w:tcPr>
          <w:p>
            <w:pPr>
              <w:rPr>
                <w:color w:val="000000"/>
                <w:szCs w:val="21"/>
              </w:rPr>
            </w:pPr>
            <w:r>
              <w:rPr>
                <w:color w:val="000000"/>
                <w:szCs w:val="21"/>
              </w:rPr>
              <w:t>投标人资格要求</w:t>
            </w:r>
          </w:p>
        </w:tc>
        <w:tc>
          <w:tcPr>
            <w:tcW w:w="5757" w:type="dxa"/>
            <w:vAlign w:val="center"/>
          </w:tcPr>
          <w:p>
            <w:pPr>
              <w:rPr>
                <w:color w:val="000000"/>
                <w:szCs w:val="21"/>
              </w:rPr>
            </w:pPr>
            <w:r>
              <w:rPr>
                <w:rFonts w:hint="eastAsia"/>
                <w:color w:val="000000"/>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14" w:type="dxa"/>
            <w:vAlign w:val="center"/>
          </w:tcPr>
          <w:p>
            <w:pPr>
              <w:jc w:val="center"/>
              <w:rPr>
                <w:color w:val="000000"/>
                <w:szCs w:val="21"/>
              </w:rPr>
            </w:pPr>
            <w:r>
              <w:rPr>
                <w:color w:val="000000"/>
                <w:szCs w:val="21"/>
              </w:rPr>
              <w:t>1.4.2</w:t>
            </w:r>
          </w:p>
        </w:tc>
        <w:tc>
          <w:tcPr>
            <w:tcW w:w="2726" w:type="dxa"/>
            <w:vAlign w:val="center"/>
          </w:tcPr>
          <w:p>
            <w:pPr>
              <w:rPr>
                <w:color w:val="000000"/>
                <w:szCs w:val="21"/>
              </w:rPr>
            </w:pPr>
            <w:r>
              <w:rPr>
                <w:color w:val="000000"/>
                <w:szCs w:val="21"/>
              </w:rPr>
              <w:t>是否接受联合体投标</w:t>
            </w:r>
          </w:p>
        </w:tc>
        <w:tc>
          <w:tcPr>
            <w:tcW w:w="5757" w:type="dxa"/>
            <w:vAlign w:val="center"/>
          </w:tcPr>
          <w:p>
            <w:pPr>
              <w:rPr>
                <w:color w:val="000000"/>
                <w:kern w:val="0"/>
                <w:szCs w:val="21"/>
              </w:rPr>
            </w:pPr>
            <w:r>
              <w:rPr>
                <w:rFonts w:hint="eastAsia"/>
                <w:color w:val="00000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14" w:type="dxa"/>
            <w:vAlign w:val="center"/>
          </w:tcPr>
          <w:p>
            <w:pPr>
              <w:jc w:val="center"/>
              <w:rPr>
                <w:rFonts w:ascii="宋体" w:hAnsi="宋体"/>
                <w:b/>
                <w:color w:val="000000"/>
                <w:szCs w:val="21"/>
              </w:rPr>
            </w:pPr>
            <w:r>
              <w:rPr>
                <w:rFonts w:hint="eastAsia" w:ascii="宋体" w:hAnsi="宋体"/>
                <w:color w:val="000000"/>
                <w:szCs w:val="21"/>
              </w:rPr>
              <w:t>1.9.1</w:t>
            </w:r>
          </w:p>
        </w:tc>
        <w:tc>
          <w:tcPr>
            <w:tcW w:w="2726" w:type="dxa"/>
            <w:vAlign w:val="center"/>
          </w:tcPr>
          <w:p>
            <w:pPr>
              <w:rPr>
                <w:rFonts w:ascii="宋体" w:hAnsi="宋体"/>
                <w:b/>
                <w:color w:val="000000"/>
                <w:szCs w:val="21"/>
              </w:rPr>
            </w:pPr>
            <w:r>
              <w:rPr>
                <w:rFonts w:hint="eastAsia" w:ascii="宋体" w:cs="宋体"/>
                <w:color w:val="000000"/>
                <w:kern w:val="0"/>
                <w:szCs w:val="21"/>
              </w:rPr>
              <w:t>踏勘现场</w:t>
            </w:r>
          </w:p>
        </w:tc>
        <w:tc>
          <w:tcPr>
            <w:tcW w:w="5757" w:type="dxa"/>
            <w:vAlign w:val="center"/>
          </w:tcPr>
          <w:p>
            <w:pPr>
              <w:rPr>
                <w:rFonts w:ascii="宋体" w:hAnsi="宋体"/>
                <w:b/>
                <w:color w:val="000000"/>
                <w:szCs w:val="21"/>
                <w:u w:val="single"/>
              </w:rPr>
            </w:pPr>
            <w:r>
              <w:rPr>
                <w:rFonts w:hint="eastAsia"/>
                <w:color w:val="000000"/>
                <w:szCs w:val="21"/>
              </w:rPr>
              <w:t xml:space="preserve">由意向投标人自行组织，充分了解实际使用环境及特点。 </w:t>
            </w:r>
            <w:r>
              <w:rPr>
                <w:rFonts w:hint="eastAsia" w:ascii="宋体" w:hAnsi="宋体" w:cs="宋体"/>
                <w:color w:val="000000"/>
                <w:kern w:val="0"/>
                <w:szCs w:val="21"/>
              </w:rPr>
              <w:t xml:space="preserve">  </w:t>
            </w:r>
            <w:r>
              <w:rPr>
                <w:rFonts w:hint="eastAsia" w:ascii="宋体" w:hAnsi="TimesNewRomanPSMT"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14" w:type="dxa"/>
            <w:vAlign w:val="center"/>
          </w:tcPr>
          <w:p>
            <w:pPr>
              <w:jc w:val="center"/>
              <w:rPr>
                <w:color w:val="000000"/>
                <w:szCs w:val="21"/>
              </w:rPr>
            </w:pPr>
            <w:r>
              <w:rPr>
                <w:color w:val="000000"/>
                <w:szCs w:val="21"/>
              </w:rPr>
              <w:t>1.10</w:t>
            </w:r>
          </w:p>
        </w:tc>
        <w:tc>
          <w:tcPr>
            <w:tcW w:w="2726" w:type="dxa"/>
            <w:vAlign w:val="center"/>
          </w:tcPr>
          <w:p>
            <w:pPr>
              <w:rPr>
                <w:color w:val="000000"/>
                <w:szCs w:val="21"/>
              </w:rPr>
            </w:pPr>
            <w:r>
              <w:rPr>
                <w:color w:val="000000"/>
                <w:szCs w:val="21"/>
              </w:rPr>
              <w:t>投标预备会</w:t>
            </w:r>
          </w:p>
        </w:tc>
        <w:tc>
          <w:tcPr>
            <w:tcW w:w="5757" w:type="dxa"/>
            <w:vAlign w:val="center"/>
          </w:tcPr>
          <w:p>
            <w:pPr>
              <w:rPr>
                <w:color w:val="000000"/>
                <w:szCs w:val="21"/>
              </w:rPr>
            </w:pPr>
            <w:r>
              <w:rPr>
                <w:rFonts w:ascii="宋体" w:hAnsi="宋体"/>
                <w:color w:val="000000"/>
                <w:kern w:val="0"/>
                <w:szCs w:val="21"/>
              </w:rPr>
              <w:fldChar w:fldCharType="begin"/>
            </w:r>
            <w:r>
              <w:rPr>
                <w:rFonts w:ascii="宋体" w:hAnsi="宋体"/>
                <w:color w:val="000000"/>
                <w:kern w:val="0"/>
                <w:szCs w:val="21"/>
              </w:rPr>
              <w:instrText xml:space="preserve"> </w:instrText>
            </w:r>
            <w:r>
              <w:rPr>
                <w:rFonts w:hint="eastAsia" w:ascii="宋体" w:hAnsi="宋体"/>
                <w:color w:val="000000"/>
                <w:kern w:val="0"/>
                <w:szCs w:val="21"/>
              </w:rPr>
              <w:instrText xml:space="preserve">eq \o\ac(□,</w:instrText>
            </w:r>
            <w:r>
              <w:rPr>
                <w:rFonts w:hint="eastAsia" w:ascii="宋体" w:hAnsi="宋体"/>
                <w:color w:val="000000"/>
                <w:kern w:val="0"/>
                <w:position w:val="2"/>
                <w:szCs w:val="21"/>
              </w:rPr>
              <w:instrText xml:space="preserve">√</w:instrText>
            </w:r>
            <w:r>
              <w:rPr>
                <w:rFonts w:hint="eastAsia" w:ascii="宋体" w:hAnsi="宋体"/>
                <w:color w:val="000000"/>
                <w:kern w:val="0"/>
                <w:szCs w:val="21"/>
              </w:rPr>
              <w:instrText xml:space="preserve">)</w:instrText>
            </w:r>
            <w:r>
              <w:rPr>
                <w:rFonts w:ascii="宋体" w:hAnsi="宋体"/>
                <w:color w:val="000000"/>
                <w:kern w:val="0"/>
                <w:szCs w:val="21"/>
              </w:rPr>
              <w:fldChar w:fldCharType="end"/>
            </w:r>
            <w:r>
              <w:rPr>
                <w:color w:val="000000"/>
                <w:szCs w:val="21"/>
              </w:rPr>
              <w:t>不召开</w:t>
            </w:r>
          </w:p>
          <w:p>
            <w:pPr>
              <w:rPr>
                <w:color w:val="000000"/>
                <w:szCs w:val="21"/>
              </w:rPr>
            </w:pPr>
            <w:r>
              <w:rPr>
                <w:rFonts w:ascii="宋体" w:hAnsi="宋体"/>
                <w:color w:val="000000"/>
                <w:kern w:val="0"/>
                <w:szCs w:val="21"/>
              </w:rPr>
              <w:t>□</w:t>
            </w:r>
            <w:r>
              <w:rPr>
                <w:color w:val="000000"/>
                <w:szCs w:val="21"/>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114" w:type="dxa"/>
            <w:vAlign w:val="center"/>
          </w:tcPr>
          <w:p>
            <w:pPr>
              <w:jc w:val="center"/>
              <w:rPr>
                <w:color w:val="000000"/>
                <w:szCs w:val="21"/>
              </w:rPr>
            </w:pPr>
            <w:r>
              <w:rPr>
                <w:color w:val="000000"/>
                <w:szCs w:val="21"/>
              </w:rPr>
              <w:t>1.11</w:t>
            </w:r>
          </w:p>
        </w:tc>
        <w:tc>
          <w:tcPr>
            <w:tcW w:w="2726" w:type="dxa"/>
            <w:vAlign w:val="center"/>
          </w:tcPr>
          <w:p>
            <w:pPr>
              <w:rPr>
                <w:color w:val="000000"/>
                <w:szCs w:val="21"/>
              </w:rPr>
            </w:pPr>
            <w:r>
              <w:rPr>
                <w:color w:val="000000"/>
                <w:szCs w:val="21"/>
              </w:rPr>
              <w:t>偏离</w:t>
            </w:r>
          </w:p>
        </w:tc>
        <w:tc>
          <w:tcPr>
            <w:tcW w:w="5757" w:type="dxa"/>
            <w:vAlign w:val="center"/>
          </w:tcPr>
          <w:p>
            <w:pPr>
              <w:rPr>
                <w:color w:val="000000"/>
                <w:szCs w:val="21"/>
              </w:rPr>
            </w:pPr>
            <w:r>
              <w:rPr>
                <w:rFonts w:ascii="宋体" w:hAnsi="宋体"/>
                <w:color w:val="000000"/>
                <w:kern w:val="0"/>
                <w:szCs w:val="21"/>
              </w:rPr>
              <w:t>□</w:t>
            </w:r>
            <w:r>
              <w:rPr>
                <w:color w:val="000000"/>
                <w:szCs w:val="21"/>
              </w:rPr>
              <w:t>不</w:t>
            </w:r>
            <w:r>
              <w:rPr>
                <w:rFonts w:hint="eastAsia"/>
                <w:color w:val="000000"/>
                <w:szCs w:val="21"/>
              </w:rPr>
              <w:t>允许</w:t>
            </w:r>
          </w:p>
          <w:p>
            <w:pPr>
              <w:rPr>
                <w:color w:val="000000"/>
                <w:szCs w:val="21"/>
              </w:rPr>
            </w:pPr>
            <w:r>
              <w:rPr>
                <w:rFonts w:ascii="宋体" w:hAnsi="宋体"/>
                <w:color w:val="000000"/>
                <w:kern w:val="0"/>
                <w:szCs w:val="21"/>
              </w:rPr>
              <w:fldChar w:fldCharType="begin"/>
            </w:r>
            <w:r>
              <w:rPr>
                <w:rFonts w:ascii="宋体" w:hAnsi="宋体"/>
                <w:color w:val="000000"/>
                <w:kern w:val="0"/>
                <w:szCs w:val="21"/>
              </w:rPr>
              <w:instrText xml:space="preserve"> </w:instrText>
            </w:r>
            <w:r>
              <w:rPr>
                <w:rFonts w:hint="eastAsia" w:ascii="宋体" w:hAnsi="宋体"/>
                <w:color w:val="000000"/>
                <w:kern w:val="0"/>
                <w:szCs w:val="21"/>
              </w:rPr>
              <w:instrText xml:space="preserve">eq \o\ac(□,</w:instrText>
            </w:r>
            <w:r>
              <w:rPr>
                <w:rFonts w:hint="eastAsia" w:ascii="宋体" w:hAnsi="宋体"/>
                <w:color w:val="000000"/>
                <w:kern w:val="0"/>
                <w:position w:val="2"/>
                <w:szCs w:val="21"/>
              </w:rPr>
              <w:instrText xml:space="preserve">√</w:instrText>
            </w:r>
            <w:r>
              <w:rPr>
                <w:rFonts w:hint="eastAsia" w:ascii="宋体" w:hAnsi="宋体"/>
                <w:color w:val="000000"/>
                <w:kern w:val="0"/>
                <w:szCs w:val="21"/>
              </w:rPr>
              <w:instrText xml:space="preserve">)</w:instrText>
            </w:r>
            <w:r>
              <w:rPr>
                <w:rFonts w:ascii="宋体" w:hAnsi="宋体"/>
                <w:color w:val="000000"/>
                <w:kern w:val="0"/>
                <w:szCs w:val="21"/>
              </w:rPr>
              <w:fldChar w:fldCharType="end"/>
            </w:r>
            <w:r>
              <w:rPr>
                <w:color w:val="000000"/>
                <w:szCs w:val="21"/>
              </w:rPr>
              <w:t>允许，允许偏离范围</w:t>
            </w:r>
            <w:r>
              <w:rPr>
                <w:rFonts w:hint="eastAsia"/>
                <w:color w:val="000000"/>
                <w:szCs w:val="21"/>
              </w:rPr>
              <w:t>、幅度</w:t>
            </w:r>
            <w:r>
              <w:rPr>
                <w:color w:val="000000"/>
                <w:szCs w:val="21"/>
              </w:rPr>
              <w:t>：</w:t>
            </w:r>
            <w:r>
              <w:rPr>
                <w:rFonts w:hint="eastAsia"/>
                <w:color w:val="000000"/>
                <w:szCs w:val="21"/>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14" w:type="dxa"/>
            <w:vAlign w:val="center"/>
          </w:tcPr>
          <w:p>
            <w:pPr>
              <w:jc w:val="center"/>
              <w:rPr>
                <w:rFonts w:ascii="宋体" w:hAnsi="宋体" w:cs="宋体"/>
                <w:color w:val="000000"/>
                <w:szCs w:val="21"/>
              </w:rPr>
            </w:pPr>
            <w:r>
              <w:rPr>
                <w:rFonts w:hint="eastAsia"/>
                <w:color w:val="000000"/>
                <w:szCs w:val="21"/>
              </w:rPr>
              <w:t>2.1.1</w:t>
            </w:r>
          </w:p>
        </w:tc>
        <w:tc>
          <w:tcPr>
            <w:tcW w:w="2726" w:type="dxa"/>
            <w:vAlign w:val="center"/>
          </w:tcPr>
          <w:p>
            <w:pPr>
              <w:rPr>
                <w:rFonts w:ascii="宋体" w:hAnsi="宋体" w:cs="宋体"/>
                <w:color w:val="000000"/>
                <w:kern w:val="0"/>
                <w:szCs w:val="21"/>
              </w:rPr>
            </w:pPr>
            <w:r>
              <w:rPr>
                <w:rFonts w:hint="eastAsia" w:ascii="宋体" w:hAnsi="宋体" w:cs="宋体"/>
                <w:color w:val="000000"/>
                <w:kern w:val="0"/>
                <w:szCs w:val="21"/>
              </w:rPr>
              <w:t>构成招标文件的其它材料</w:t>
            </w:r>
          </w:p>
        </w:tc>
        <w:tc>
          <w:tcPr>
            <w:tcW w:w="5757" w:type="dxa"/>
            <w:vAlign w:val="center"/>
          </w:tcPr>
          <w:p>
            <w:pPr>
              <w:rPr>
                <w:rFonts w:ascii="宋体" w:hAnsi="宋体"/>
                <w:color w:val="000000"/>
                <w:kern w:val="0"/>
                <w:szCs w:val="21"/>
              </w:rPr>
            </w:pPr>
            <w:r>
              <w:rPr>
                <w:rFonts w:hint="eastAsia"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14" w:type="dxa"/>
            <w:vAlign w:val="center"/>
          </w:tcPr>
          <w:p>
            <w:pPr>
              <w:jc w:val="center"/>
              <w:rPr>
                <w:color w:val="auto"/>
                <w:szCs w:val="21"/>
              </w:rPr>
            </w:pPr>
            <w:r>
              <w:rPr>
                <w:color w:val="auto"/>
                <w:szCs w:val="21"/>
              </w:rPr>
              <w:t>2.2.1</w:t>
            </w:r>
          </w:p>
        </w:tc>
        <w:tc>
          <w:tcPr>
            <w:tcW w:w="2726" w:type="dxa"/>
            <w:vAlign w:val="center"/>
          </w:tcPr>
          <w:p>
            <w:pPr>
              <w:rPr>
                <w:color w:val="auto"/>
                <w:szCs w:val="21"/>
              </w:rPr>
            </w:pPr>
            <w:r>
              <w:rPr>
                <w:rFonts w:hint="eastAsia"/>
                <w:color w:val="auto"/>
                <w:szCs w:val="21"/>
              </w:rPr>
              <w:t>要求招标人澄清招标文件截至时间</w:t>
            </w:r>
          </w:p>
        </w:tc>
        <w:tc>
          <w:tcPr>
            <w:tcW w:w="5757" w:type="dxa"/>
            <w:vAlign w:val="center"/>
          </w:tcPr>
          <w:p>
            <w:pPr>
              <w:rPr>
                <w:color w:val="auto"/>
                <w:szCs w:val="21"/>
              </w:rPr>
            </w:pPr>
            <w:r>
              <w:rPr>
                <w:rFonts w:hint="eastAsia" w:ascii="宋体" w:hAnsi="宋体" w:eastAsia="宋体" w:cs="宋体"/>
                <w:color w:val="FF0000"/>
                <w:szCs w:val="21"/>
              </w:rPr>
              <w:t>20</w:t>
            </w:r>
            <w:r>
              <w:rPr>
                <w:rFonts w:hint="eastAsia" w:ascii="宋体" w:hAnsi="宋体" w:eastAsia="宋体" w:cs="宋体"/>
                <w:color w:val="FF0000"/>
                <w:szCs w:val="21"/>
                <w:lang w:val="en-US" w:eastAsia="zh-CN"/>
              </w:rPr>
              <w:t>20</w:t>
            </w:r>
            <w:r>
              <w:rPr>
                <w:rFonts w:hint="eastAsia"/>
                <w:color w:val="FF0000"/>
                <w:szCs w:val="21"/>
              </w:rPr>
              <w:t>年</w:t>
            </w:r>
            <w:r>
              <w:rPr>
                <w:rFonts w:hint="eastAsia" w:ascii="宋体" w:hAnsi="宋体" w:cs="宋体"/>
                <w:color w:val="FF0000"/>
                <w:szCs w:val="21"/>
                <w:lang w:val="en-US" w:eastAsia="zh-CN"/>
              </w:rPr>
              <w:t>9</w:t>
            </w:r>
            <w:r>
              <w:rPr>
                <w:rFonts w:hint="eastAsia"/>
                <w:color w:val="FF0000"/>
                <w:szCs w:val="21"/>
              </w:rPr>
              <w:t>月</w:t>
            </w:r>
            <w:r>
              <w:rPr>
                <w:rFonts w:hint="eastAsia" w:ascii="宋体" w:hAnsi="宋体" w:cs="宋体"/>
                <w:color w:val="FF0000"/>
                <w:szCs w:val="21"/>
                <w:lang w:val="en-US" w:eastAsia="zh-CN"/>
              </w:rPr>
              <w:t>4</w:t>
            </w:r>
            <w:r>
              <w:rPr>
                <w:rFonts w:hint="eastAsia"/>
                <w:color w:val="FF0000"/>
                <w:szCs w:val="21"/>
              </w:rPr>
              <w:t>日</w:t>
            </w:r>
            <w:r>
              <w:rPr>
                <w:rFonts w:hint="eastAsia" w:ascii="宋体" w:hAnsi="宋体" w:eastAsia="宋体" w:cs="宋体"/>
                <w:color w:val="FF0000"/>
                <w:szCs w:val="21"/>
              </w:rPr>
              <w:t>18</w:t>
            </w:r>
            <w:r>
              <w:rPr>
                <w:rFonts w:hint="eastAsia"/>
                <w:color w:val="FF0000"/>
                <w:szCs w:val="21"/>
              </w:rPr>
              <w:t>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14" w:type="dxa"/>
            <w:vAlign w:val="center"/>
          </w:tcPr>
          <w:p>
            <w:pPr>
              <w:jc w:val="center"/>
              <w:rPr>
                <w:color w:val="000000"/>
                <w:szCs w:val="21"/>
              </w:rPr>
            </w:pPr>
            <w:r>
              <w:rPr>
                <w:color w:val="000000"/>
                <w:szCs w:val="21"/>
              </w:rPr>
              <w:t>2.2.3</w:t>
            </w:r>
          </w:p>
        </w:tc>
        <w:tc>
          <w:tcPr>
            <w:tcW w:w="2726" w:type="dxa"/>
            <w:vAlign w:val="center"/>
          </w:tcPr>
          <w:p>
            <w:pPr>
              <w:rPr>
                <w:color w:val="000000"/>
                <w:szCs w:val="21"/>
              </w:rPr>
            </w:pPr>
            <w:r>
              <w:rPr>
                <w:color w:val="000000"/>
                <w:szCs w:val="21"/>
              </w:rPr>
              <w:t>投标人确认收到招标文件澄清时间</w:t>
            </w:r>
          </w:p>
        </w:tc>
        <w:tc>
          <w:tcPr>
            <w:tcW w:w="5757" w:type="dxa"/>
            <w:vAlign w:val="center"/>
          </w:tcPr>
          <w:p>
            <w:pPr>
              <w:rPr>
                <w:color w:val="000000"/>
                <w:szCs w:val="21"/>
                <w:u w:val="single"/>
              </w:rPr>
            </w:pPr>
            <w:r>
              <w:rPr>
                <w:rFonts w:hint="eastAsia"/>
                <w:color w:val="000000"/>
                <w:szCs w:val="21"/>
              </w:rPr>
              <w:t>投标人自行网上查询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14" w:type="dxa"/>
            <w:vAlign w:val="center"/>
          </w:tcPr>
          <w:p>
            <w:pPr>
              <w:jc w:val="center"/>
              <w:rPr>
                <w:color w:val="000000"/>
                <w:szCs w:val="21"/>
              </w:rPr>
            </w:pPr>
            <w:r>
              <w:rPr>
                <w:color w:val="000000"/>
                <w:szCs w:val="21"/>
              </w:rPr>
              <w:t>2.3.2</w:t>
            </w:r>
          </w:p>
        </w:tc>
        <w:tc>
          <w:tcPr>
            <w:tcW w:w="2726" w:type="dxa"/>
            <w:vAlign w:val="center"/>
          </w:tcPr>
          <w:p>
            <w:pPr>
              <w:rPr>
                <w:color w:val="000000"/>
                <w:szCs w:val="21"/>
              </w:rPr>
            </w:pPr>
            <w:r>
              <w:rPr>
                <w:color w:val="000000"/>
                <w:szCs w:val="21"/>
              </w:rPr>
              <w:t>投标人确认收到招标文件修改时间</w:t>
            </w:r>
          </w:p>
        </w:tc>
        <w:tc>
          <w:tcPr>
            <w:tcW w:w="5757" w:type="dxa"/>
            <w:vAlign w:val="center"/>
          </w:tcPr>
          <w:p>
            <w:pPr>
              <w:rPr>
                <w:color w:val="000000"/>
                <w:szCs w:val="21"/>
              </w:rPr>
            </w:pPr>
            <w:r>
              <w:rPr>
                <w:rFonts w:hint="eastAsia"/>
                <w:color w:val="000000"/>
                <w:szCs w:val="21"/>
              </w:rPr>
              <w:t>投标人自行网上查询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114" w:type="dxa"/>
            <w:vAlign w:val="center"/>
          </w:tcPr>
          <w:p>
            <w:pPr>
              <w:jc w:val="center"/>
              <w:rPr>
                <w:color w:val="000000"/>
                <w:szCs w:val="21"/>
              </w:rPr>
            </w:pPr>
            <w:r>
              <w:rPr>
                <w:rFonts w:hint="eastAsia"/>
                <w:color w:val="000000"/>
                <w:szCs w:val="21"/>
              </w:rPr>
              <w:t>3.1.1</w:t>
            </w:r>
          </w:p>
        </w:tc>
        <w:tc>
          <w:tcPr>
            <w:tcW w:w="2726" w:type="dxa"/>
            <w:vAlign w:val="center"/>
          </w:tcPr>
          <w:p>
            <w:pPr>
              <w:rPr>
                <w:color w:val="000000"/>
                <w:szCs w:val="21"/>
              </w:rPr>
            </w:pPr>
            <w:r>
              <w:rPr>
                <w:rFonts w:hint="eastAsia"/>
                <w:color w:val="000000"/>
                <w:szCs w:val="21"/>
              </w:rPr>
              <w:t>投标文件的组成</w:t>
            </w:r>
          </w:p>
        </w:tc>
        <w:tc>
          <w:tcPr>
            <w:tcW w:w="5757" w:type="dxa"/>
            <w:vAlign w:val="center"/>
          </w:tcPr>
          <w:p>
            <w:pPr>
              <w:rPr>
                <w:rFonts w:hint="eastAsia" w:ascii="宋体" w:hAnsi="宋体" w:eastAsia="宋体" w:cs="宋体"/>
                <w:color w:val="000000"/>
                <w:szCs w:val="21"/>
              </w:rPr>
            </w:pPr>
            <w:r>
              <w:rPr>
                <w:rFonts w:hint="eastAsia" w:ascii="宋体" w:hAnsi="宋体" w:eastAsia="宋体" w:cs="宋体"/>
                <w:color w:val="000000"/>
                <w:szCs w:val="21"/>
              </w:rPr>
              <w:t>投标文件一般包括资质文件、商务文件、技术文件等，详见投标人须知3.1投标文件的组成）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jc w:val="center"/>
              <w:rPr>
                <w:color w:val="000000"/>
                <w:szCs w:val="21"/>
              </w:rPr>
            </w:pPr>
            <w:r>
              <w:rPr>
                <w:rFonts w:hint="eastAsia"/>
                <w:color w:val="000000"/>
                <w:szCs w:val="21"/>
              </w:rPr>
              <w:t>3.1.3</w:t>
            </w:r>
          </w:p>
        </w:tc>
        <w:tc>
          <w:tcPr>
            <w:tcW w:w="2726" w:type="dxa"/>
            <w:vAlign w:val="center"/>
          </w:tcPr>
          <w:p>
            <w:pPr>
              <w:rPr>
                <w:color w:val="000000"/>
                <w:szCs w:val="21"/>
              </w:rPr>
            </w:pPr>
            <w:r>
              <w:rPr>
                <w:rFonts w:hint="eastAsia"/>
                <w:color w:val="000000"/>
                <w:szCs w:val="21"/>
              </w:rPr>
              <w:t>须提交核验的原件材料</w:t>
            </w:r>
          </w:p>
        </w:tc>
        <w:tc>
          <w:tcPr>
            <w:tcW w:w="5757" w:type="dxa"/>
            <w:vAlign w:val="center"/>
          </w:tcPr>
          <w:p>
            <w:pPr>
              <w:rPr>
                <w:rFonts w:hint="eastAsia" w:ascii="宋体" w:hAnsi="宋体" w:eastAsia="宋体" w:cs="宋体"/>
                <w:color w:val="000000"/>
                <w:szCs w:val="21"/>
                <w:u w:val="single"/>
              </w:rPr>
            </w:pPr>
            <w:r>
              <w:rPr>
                <w:rFonts w:hint="eastAsia" w:ascii="宋体" w:hAnsi="宋体" w:eastAsia="宋体" w:cs="宋体"/>
                <w:color w:val="000000"/>
                <w:szCs w:val="21"/>
              </w:rPr>
              <w:t>详见投标人须知3.1投标文件的组成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jc w:val="center"/>
              <w:rPr>
                <w:color w:val="auto"/>
                <w:szCs w:val="21"/>
              </w:rPr>
            </w:pPr>
            <w:r>
              <w:rPr>
                <w:color w:val="auto"/>
                <w:szCs w:val="21"/>
              </w:rPr>
              <w:t>3.2.</w:t>
            </w:r>
            <w:r>
              <w:rPr>
                <w:rFonts w:hint="eastAsia"/>
                <w:color w:val="auto"/>
                <w:szCs w:val="21"/>
              </w:rPr>
              <w:t>2</w:t>
            </w:r>
          </w:p>
        </w:tc>
        <w:tc>
          <w:tcPr>
            <w:tcW w:w="2726" w:type="dxa"/>
            <w:vAlign w:val="center"/>
          </w:tcPr>
          <w:p>
            <w:pPr>
              <w:rPr>
                <w:color w:val="auto"/>
                <w:szCs w:val="21"/>
              </w:rPr>
            </w:pPr>
            <w:r>
              <w:rPr>
                <w:color w:val="auto"/>
                <w:szCs w:val="21"/>
              </w:rPr>
              <w:t>投标报价</w:t>
            </w:r>
            <w:r>
              <w:rPr>
                <w:rFonts w:hint="eastAsia"/>
                <w:color w:val="auto"/>
                <w:szCs w:val="21"/>
              </w:rPr>
              <w:t>要求</w:t>
            </w:r>
          </w:p>
        </w:tc>
        <w:tc>
          <w:tcPr>
            <w:tcW w:w="5757" w:type="dxa"/>
            <w:vAlign w:val="center"/>
          </w:tcPr>
          <w:p>
            <w:pPr>
              <w:rPr>
                <w:color w:val="auto"/>
                <w:szCs w:val="21"/>
              </w:rPr>
            </w:pPr>
            <w:r>
              <w:rPr>
                <w:color w:val="auto"/>
                <w:szCs w:val="21"/>
              </w:rPr>
              <w:t>固定</w:t>
            </w:r>
            <w:r>
              <w:rPr>
                <w:rFonts w:hint="eastAsia"/>
                <w:color w:val="auto"/>
                <w:szCs w:val="21"/>
                <w:lang w:eastAsia="zh-CN"/>
              </w:rPr>
              <w:t>单</w:t>
            </w:r>
            <w:r>
              <w:rPr>
                <w:color w:val="auto"/>
                <w:szCs w:val="21"/>
              </w:rPr>
              <w:t>价报价</w:t>
            </w:r>
            <w:r>
              <w:rPr>
                <w:rFonts w:hint="eastAsia"/>
                <w:color w:val="auto"/>
                <w:szCs w:val="21"/>
              </w:rPr>
              <w:t>，</w:t>
            </w:r>
            <w:r>
              <w:rPr>
                <w:rFonts w:hint="eastAsia" w:ascii="宋体" w:hAnsi="宋体" w:eastAsia="宋体" w:cs="宋体"/>
                <w:sz w:val="21"/>
                <w:szCs w:val="21"/>
                <w:lang w:val="en-US" w:eastAsia="zh-CN"/>
              </w:rPr>
              <w:t>投标报价是履行合同的最终结算价（如采购需求发生变化，采购数量按实结算，中标单价不变）</w:t>
            </w:r>
            <w:r>
              <w:rPr>
                <w:rFonts w:hint="eastAsia"/>
                <w:color w:val="auto"/>
                <w:szCs w:val="21"/>
              </w:rPr>
              <w:t>。报价时须充分考虑货物价格（</w:t>
            </w:r>
            <w:r>
              <w:rPr>
                <w:rFonts w:hint="eastAsia" w:ascii="新宋体" w:hAnsi="新宋体" w:eastAsia="新宋体" w:cs="新宋体"/>
                <w:color w:val="auto"/>
                <w:szCs w:val="21"/>
              </w:rPr>
              <w:t>包括全部货物和服务的价格</w:t>
            </w:r>
            <w:r>
              <w:rPr>
                <w:rFonts w:hint="eastAsia"/>
                <w:color w:val="auto"/>
                <w:szCs w:val="21"/>
              </w:rPr>
              <w:t>、辅材、备品备件、专用工具、技术资料等）、方案设计费、包装费、运杂费、保险费、安装调试费、设备运至采购人指定地点后的保管费</w:t>
            </w:r>
            <w:r>
              <w:rPr>
                <w:rFonts w:hint="eastAsia" w:ascii="新宋体" w:hAnsi="新宋体" w:eastAsia="新宋体" w:cs="新宋体"/>
                <w:color w:val="auto"/>
                <w:szCs w:val="21"/>
              </w:rPr>
              <w:t>、平台系统的集成对接、测试</w:t>
            </w:r>
            <w:r>
              <w:rPr>
                <w:rFonts w:hint="eastAsia"/>
                <w:color w:val="auto"/>
                <w:szCs w:val="21"/>
              </w:rPr>
              <w:t>、质量保修期内的维护费用、调试费、验收费、技术服务费、培训费、税费、企业管理费、利润、招标代理费等服务费用以及所有不可预见的全部相关费用（应充分考虑所有风险、责任等），结算时招标采购单位不因此增加任何费用给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jc w:val="center"/>
              <w:rPr>
                <w:color w:val="000000"/>
                <w:szCs w:val="21"/>
              </w:rPr>
            </w:pPr>
            <w:r>
              <w:rPr>
                <w:color w:val="000000"/>
                <w:szCs w:val="21"/>
              </w:rPr>
              <w:t>3.2.3</w:t>
            </w:r>
          </w:p>
        </w:tc>
        <w:tc>
          <w:tcPr>
            <w:tcW w:w="2726" w:type="dxa"/>
            <w:vAlign w:val="center"/>
          </w:tcPr>
          <w:p>
            <w:pPr>
              <w:rPr>
                <w:color w:val="000000"/>
                <w:szCs w:val="21"/>
              </w:rPr>
            </w:pPr>
            <w:r>
              <w:rPr>
                <w:color w:val="000000"/>
                <w:szCs w:val="21"/>
              </w:rPr>
              <w:t>最高投标限价</w:t>
            </w:r>
          </w:p>
        </w:tc>
        <w:tc>
          <w:tcPr>
            <w:tcW w:w="5757" w:type="dxa"/>
            <w:vAlign w:val="center"/>
          </w:tcPr>
          <w:p>
            <w:pPr>
              <w:rPr>
                <w:color w:val="000000"/>
                <w:szCs w:val="21"/>
              </w:rPr>
            </w:pPr>
            <w:r>
              <w:rPr>
                <w:rFonts w:hint="eastAsia" w:ascii="宋体" w:hAnsi="宋体" w:eastAsia="宋体" w:cs="宋体"/>
                <w:color w:val="0000FF"/>
                <w:szCs w:val="21"/>
                <w:u w:val="single"/>
                <w:lang w:val="en-US" w:eastAsia="zh-CN"/>
              </w:rPr>
              <w:t>41.5</w:t>
            </w:r>
            <w:r>
              <w:rPr>
                <w:rFonts w:hint="eastAsia" w:ascii="宋体" w:hAnsi="宋体" w:eastAsia="宋体" w:cs="宋体"/>
                <w:color w:val="0000FF"/>
                <w:szCs w:val="21"/>
                <w:u w:val="singl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4" w:type="dxa"/>
            <w:vAlign w:val="center"/>
          </w:tcPr>
          <w:p>
            <w:pPr>
              <w:jc w:val="center"/>
              <w:rPr>
                <w:color w:val="000000"/>
                <w:szCs w:val="21"/>
              </w:rPr>
            </w:pPr>
            <w:r>
              <w:rPr>
                <w:color w:val="000000"/>
                <w:szCs w:val="21"/>
              </w:rPr>
              <w:t>3.3.1</w:t>
            </w:r>
          </w:p>
        </w:tc>
        <w:tc>
          <w:tcPr>
            <w:tcW w:w="2726" w:type="dxa"/>
            <w:vAlign w:val="center"/>
          </w:tcPr>
          <w:p>
            <w:pPr>
              <w:rPr>
                <w:color w:val="000000"/>
                <w:szCs w:val="21"/>
              </w:rPr>
            </w:pPr>
            <w:r>
              <w:rPr>
                <w:color w:val="000000"/>
                <w:szCs w:val="21"/>
              </w:rPr>
              <w:t>投标有效期</w:t>
            </w:r>
          </w:p>
        </w:tc>
        <w:tc>
          <w:tcPr>
            <w:tcW w:w="5757" w:type="dxa"/>
            <w:vAlign w:val="center"/>
          </w:tcPr>
          <w:p>
            <w:pPr>
              <w:rPr>
                <w:color w:val="000000"/>
                <w:szCs w:val="21"/>
              </w:rPr>
            </w:pPr>
            <w:r>
              <w:rPr>
                <w:rFonts w:hint="eastAsia" w:asciiTheme="minorEastAsia" w:hAnsiTheme="minorEastAsia" w:eastAsiaTheme="minorEastAsia" w:cstheme="minorEastAsia"/>
                <w:color w:val="000000"/>
                <w:szCs w:val="21"/>
                <w:highlight w:val="white"/>
                <w:u w:val="single"/>
                <w:lang w:val="zh-CN"/>
              </w:rPr>
              <w:t xml:space="preserve"> 60</w:t>
            </w:r>
            <w:r>
              <w:rPr>
                <w:color w:val="000000"/>
                <w:szCs w:val="21"/>
                <w:highlight w:val="white"/>
                <w:u w:val="single"/>
                <w:lang w:val="zh-CN"/>
              </w:rPr>
              <w:t xml:space="preserve"> </w:t>
            </w:r>
            <w:r>
              <w:rPr>
                <w:color w:val="000000"/>
                <w:szCs w:val="21"/>
                <w:highlight w:val="white"/>
                <w:lang w:val="zh-CN"/>
              </w:rPr>
              <w:t>日（从投标截止之日算起）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14" w:type="dxa"/>
            <w:vAlign w:val="center"/>
          </w:tcPr>
          <w:p>
            <w:pPr>
              <w:jc w:val="center"/>
              <w:rPr>
                <w:color w:val="000000"/>
                <w:szCs w:val="21"/>
              </w:rPr>
            </w:pPr>
            <w:r>
              <w:rPr>
                <w:color w:val="000000"/>
                <w:szCs w:val="21"/>
              </w:rPr>
              <w:t>3.4.1</w:t>
            </w:r>
          </w:p>
        </w:tc>
        <w:tc>
          <w:tcPr>
            <w:tcW w:w="2726" w:type="dxa"/>
            <w:vAlign w:val="center"/>
          </w:tcPr>
          <w:p>
            <w:pPr>
              <w:rPr>
                <w:color w:val="000000"/>
                <w:szCs w:val="21"/>
              </w:rPr>
            </w:pPr>
            <w:r>
              <w:rPr>
                <w:rFonts w:hint="eastAsia"/>
                <w:color w:val="000000"/>
                <w:szCs w:val="21"/>
              </w:rPr>
              <w:t>投标保证金</w:t>
            </w:r>
          </w:p>
        </w:tc>
        <w:tc>
          <w:tcPr>
            <w:tcW w:w="5757" w:type="dxa"/>
            <w:vAlign w:val="center"/>
          </w:tcPr>
          <w:p>
            <w:pPr>
              <w:rPr>
                <w:color w:val="000000"/>
                <w:szCs w:val="21"/>
                <w:u w:val="single"/>
              </w:rPr>
            </w:pPr>
            <w:r>
              <w:rPr>
                <w:rFonts w:hint="eastAsia"/>
                <w:color w:val="000000"/>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14" w:type="dxa"/>
            <w:vAlign w:val="center"/>
          </w:tcPr>
          <w:p>
            <w:pPr>
              <w:jc w:val="center"/>
              <w:rPr>
                <w:color w:val="000000"/>
                <w:szCs w:val="21"/>
              </w:rPr>
            </w:pPr>
            <w:r>
              <w:rPr>
                <w:rFonts w:hint="eastAsia"/>
                <w:color w:val="000000"/>
                <w:szCs w:val="21"/>
              </w:rPr>
              <w:t>3.6</w:t>
            </w:r>
          </w:p>
        </w:tc>
        <w:tc>
          <w:tcPr>
            <w:tcW w:w="2726" w:type="dxa"/>
            <w:vAlign w:val="center"/>
          </w:tcPr>
          <w:p>
            <w:pPr>
              <w:rPr>
                <w:color w:val="000000"/>
                <w:szCs w:val="21"/>
              </w:rPr>
            </w:pPr>
            <w:r>
              <w:rPr>
                <w:color w:val="000000"/>
                <w:szCs w:val="21"/>
              </w:rPr>
              <w:t>是否允许递交备选投标方案</w:t>
            </w:r>
          </w:p>
        </w:tc>
        <w:tc>
          <w:tcPr>
            <w:tcW w:w="5757" w:type="dxa"/>
            <w:vAlign w:val="center"/>
          </w:tcPr>
          <w:p>
            <w:pPr>
              <w:rPr>
                <w:color w:val="000000"/>
                <w:szCs w:val="21"/>
              </w:rPr>
            </w:pPr>
            <w:r>
              <w:rPr>
                <w:rFonts w:ascii="宋体" w:hAnsi="宋体"/>
                <w:color w:val="000000"/>
                <w:kern w:val="0"/>
                <w:szCs w:val="21"/>
              </w:rPr>
              <w:fldChar w:fldCharType="begin"/>
            </w:r>
            <w:r>
              <w:rPr>
                <w:rFonts w:ascii="宋体" w:hAnsi="宋体"/>
                <w:color w:val="000000"/>
                <w:kern w:val="0"/>
                <w:szCs w:val="21"/>
              </w:rPr>
              <w:instrText xml:space="preserve"> </w:instrText>
            </w:r>
            <w:r>
              <w:rPr>
                <w:rFonts w:hint="eastAsia" w:ascii="宋体" w:hAnsi="宋体"/>
                <w:color w:val="000000"/>
                <w:kern w:val="0"/>
                <w:szCs w:val="21"/>
              </w:rPr>
              <w:instrText xml:space="preserve">eq \o\ac(□,</w:instrText>
            </w:r>
            <w:r>
              <w:rPr>
                <w:rFonts w:hint="eastAsia" w:ascii="宋体" w:hAnsi="宋体"/>
                <w:color w:val="000000"/>
                <w:kern w:val="0"/>
                <w:position w:val="2"/>
                <w:szCs w:val="21"/>
              </w:rPr>
              <w:instrText xml:space="preserve">√</w:instrText>
            </w:r>
            <w:r>
              <w:rPr>
                <w:rFonts w:hint="eastAsia" w:ascii="宋体" w:hAnsi="宋体"/>
                <w:color w:val="000000"/>
                <w:kern w:val="0"/>
                <w:szCs w:val="21"/>
              </w:rPr>
              <w:instrText xml:space="preserve">)</w:instrText>
            </w:r>
            <w:r>
              <w:rPr>
                <w:rFonts w:ascii="宋体" w:hAnsi="宋体"/>
                <w:color w:val="000000"/>
                <w:kern w:val="0"/>
                <w:szCs w:val="21"/>
              </w:rPr>
              <w:fldChar w:fldCharType="end"/>
            </w:r>
            <w:r>
              <w:rPr>
                <w:color w:val="000000"/>
                <w:szCs w:val="21"/>
              </w:rPr>
              <w:t>不允许</w:t>
            </w:r>
          </w:p>
          <w:p>
            <w:pPr>
              <w:rPr>
                <w:color w:val="000000"/>
                <w:szCs w:val="21"/>
              </w:rPr>
            </w:pPr>
            <w:r>
              <w:rPr>
                <w:rFonts w:ascii="宋体" w:hAnsi="宋体"/>
                <w:color w:val="000000"/>
                <w:kern w:val="0"/>
                <w:szCs w:val="21"/>
              </w:rPr>
              <w:t>□</w:t>
            </w:r>
            <w:r>
              <w:rPr>
                <w:color w:val="000000"/>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14" w:type="dxa"/>
            <w:vAlign w:val="center"/>
          </w:tcPr>
          <w:p>
            <w:pPr>
              <w:jc w:val="center"/>
              <w:rPr>
                <w:color w:val="000000"/>
                <w:szCs w:val="21"/>
              </w:rPr>
            </w:pPr>
            <w:r>
              <w:rPr>
                <w:rFonts w:hint="eastAsia"/>
                <w:color w:val="000000"/>
                <w:szCs w:val="21"/>
              </w:rPr>
              <w:t>3.7.4</w:t>
            </w:r>
          </w:p>
        </w:tc>
        <w:tc>
          <w:tcPr>
            <w:tcW w:w="2726" w:type="dxa"/>
            <w:vAlign w:val="center"/>
          </w:tcPr>
          <w:p>
            <w:pPr>
              <w:jc w:val="left"/>
              <w:rPr>
                <w:color w:val="000000"/>
                <w:szCs w:val="21"/>
              </w:rPr>
            </w:pPr>
            <w:r>
              <w:rPr>
                <w:rFonts w:hint="eastAsia"/>
                <w:color w:val="000000"/>
                <w:szCs w:val="21"/>
              </w:rPr>
              <w:t>投标文件数量</w:t>
            </w:r>
          </w:p>
        </w:tc>
        <w:tc>
          <w:tcPr>
            <w:tcW w:w="5757" w:type="dxa"/>
            <w:vAlign w:val="center"/>
          </w:tcPr>
          <w:p>
            <w:pPr>
              <w:rPr>
                <w:rFonts w:ascii="宋体" w:hAnsi="宋体"/>
                <w:color w:val="000000"/>
                <w:kern w:val="0"/>
                <w:szCs w:val="21"/>
              </w:rPr>
            </w:pPr>
            <w:r>
              <w:rPr>
                <w:rFonts w:hint="eastAsia" w:ascii="宋体" w:hAnsi="宋体"/>
                <w:color w:val="000000"/>
                <w:kern w:val="0"/>
                <w:szCs w:val="21"/>
              </w:rPr>
              <w:t>一式五份，正本一份，副本四份（投标文件的全部内容以PDF文档形式拷贝到投标人自备的U盘中，U盘单独用信封包封后，在信封面上加盖投标人公章，并由法定代表人（或授权代表）签字或盖章,密封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14" w:type="dxa"/>
            <w:vAlign w:val="center"/>
          </w:tcPr>
          <w:p>
            <w:pPr>
              <w:jc w:val="center"/>
              <w:rPr>
                <w:color w:val="000000"/>
                <w:szCs w:val="21"/>
              </w:rPr>
            </w:pPr>
            <w:r>
              <w:rPr>
                <w:rFonts w:hint="eastAsia"/>
                <w:color w:val="000000"/>
                <w:szCs w:val="21"/>
              </w:rPr>
              <w:t>3.7.5</w:t>
            </w:r>
          </w:p>
        </w:tc>
        <w:tc>
          <w:tcPr>
            <w:tcW w:w="2726" w:type="dxa"/>
            <w:vAlign w:val="center"/>
          </w:tcPr>
          <w:p>
            <w:pPr>
              <w:jc w:val="left"/>
              <w:rPr>
                <w:color w:val="000000"/>
                <w:szCs w:val="21"/>
              </w:rPr>
            </w:pPr>
            <w:r>
              <w:rPr>
                <w:rFonts w:hint="eastAsia"/>
                <w:color w:val="000000"/>
                <w:szCs w:val="21"/>
              </w:rPr>
              <w:t>投标文件装订要求</w:t>
            </w:r>
          </w:p>
        </w:tc>
        <w:tc>
          <w:tcPr>
            <w:tcW w:w="5757" w:type="dxa"/>
            <w:vAlign w:val="center"/>
          </w:tcPr>
          <w:p>
            <w:pPr>
              <w:rPr>
                <w:rFonts w:ascii="宋体" w:hAnsi="宋体"/>
                <w:color w:val="000000"/>
                <w:kern w:val="0"/>
                <w:szCs w:val="21"/>
              </w:rPr>
            </w:pPr>
            <w:r>
              <w:rPr>
                <w:rFonts w:hint="eastAsia" w:ascii="宋体" w:hAnsi="宋体"/>
                <w:color w:val="000000"/>
                <w:kern w:val="0"/>
                <w:szCs w:val="21"/>
              </w:rPr>
              <w:t>投标人应密封封装投标文件，密封袋包装封面上应注明投标人名称、投标项目名称、项目编号、“开标时启封”字样，并加盖投标人公章。投标文件不得采用活页夹、拉杆夹、夹杆夹等可拆换内页的装订形式（否则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114" w:type="dxa"/>
            <w:vAlign w:val="center"/>
          </w:tcPr>
          <w:p>
            <w:pPr>
              <w:jc w:val="center"/>
              <w:rPr>
                <w:color w:val="auto"/>
                <w:szCs w:val="21"/>
              </w:rPr>
            </w:pPr>
            <w:r>
              <w:rPr>
                <w:color w:val="auto"/>
                <w:szCs w:val="21"/>
              </w:rPr>
              <w:t>4.2.1</w:t>
            </w:r>
          </w:p>
        </w:tc>
        <w:tc>
          <w:tcPr>
            <w:tcW w:w="2726" w:type="dxa"/>
            <w:vAlign w:val="center"/>
          </w:tcPr>
          <w:p>
            <w:pPr>
              <w:rPr>
                <w:color w:val="auto"/>
                <w:szCs w:val="21"/>
              </w:rPr>
            </w:pPr>
            <w:r>
              <w:rPr>
                <w:color w:val="auto"/>
                <w:szCs w:val="21"/>
              </w:rPr>
              <w:t>投标文件递交截止时间</w:t>
            </w:r>
            <w:r>
              <w:rPr>
                <w:rFonts w:hint="eastAsia"/>
                <w:color w:val="auto"/>
                <w:szCs w:val="21"/>
              </w:rPr>
              <w:t>和地点</w:t>
            </w:r>
          </w:p>
        </w:tc>
        <w:tc>
          <w:tcPr>
            <w:tcW w:w="5757" w:type="dxa"/>
            <w:vAlign w:val="center"/>
          </w:tcPr>
          <w:p>
            <w:pPr>
              <w:rPr>
                <w:color w:val="auto"/>
                <w:szCs w:val="21"/>
              </w:rPr>
            </w:pPr>
            <w:r>
              <w:rPr>
                <w:rFonts w:hint="eastAsia"/>
                <w:color w:val="auto"/>
                <w:szCs w:val="21"/>
              </w:rPr>
              <w:t>时间：</w:t>
            </w:r>
            <w:r>
              <w:rPr>
                <w:rFonts w:hint="eastAsia" w:ascii="宋体" w:hAnsi="宋体" w:eastAsia="宋体" w:cs="宋体"/>
                <w:color w:val="0000FF"/>
                <w:szCs w:val="21"/>
                <w:u w:val="single"/>
              </w:rPr>
              <w:t>20</w:t>
            </w:r>
            <w:r>
              <w:rPr>
                <w:rFonts w:hint="eastAsia" w:ascii="宋体" w:hAnsi="宋体" w:eastAsia="宋体" w:cs="宋体"/>
                <w:color w:val="0000FF"/>
                <w:szCs w:val="21"/>
                <w:u w:val="single"/>
                <w:lang w:val="en-US" w:eastAsia="zh-CN"/>
              </w:rPr>
              <w:t>20</w:t>
            </w:r>
            <w:r>
              <w:rPr>
                <w:rFonts w:hint="eastAsia" w:ascii="宋体" w:hAnsi="宋体" w:eastAsia="宋体" w:cs="宋体"/>
                <w:color w:val="0000FF"/>
                <w:szCs w:val="21"/>
                <w:u w:val="single"/>
              </w:rPr>
              <w:t>年</w:t>
            </w:r>
            <w:r>
              <w:rPr>
                <w:rFonts w:hint="eastAsia" w:ascii="宋体" w:hAnsi="宋体" w:eastAsia="宋体" w:cs="宋体"/>
                <w:color w:val="0000FF"/>
                <w:szCs w:val="21"/>
                <w:u w:val="single"/>
                <w:lang w:val="en-US" w:eastAsia="zh-CN"/>
              </w:rPr>
              <w:t xml:space="preserve"> </w:t>
            </w:r>
            <w:r>
              <w:rPr>
                <w:rFonts w:hint="eastAsia" w:ascii="宋体" w:hAnsi="宋体" w:cs="宋体"/>
                <w:color w:val="0000FF"/>
                <w:szCs w:val="21"/>
                <w:u w:val="single"/>
                <w:lang w:val="en-US" w:eastAsia="zh-CN"/>
              </w:rPr>
              <w:t>9</w:t>
            </w:r>
            <w:r>
              <w:rPr>
                <w:rFonts w:hint="eastAsia" w:ascii="宋体" w:hAnsi="宋体" w:eastAsia="宋体" w:cs="宋体"/>
                <w:color w:val="0000FF"/>
                <w:szCs w:val="21"/>
                <w:u w:val="single"/>
                <w:lang w:val="en-US" w:eastAsia="zh-CN"/>
              </w:rPr>
              <w:t xml:space="preserve"> </w:t>
            </w:r>
            <w:r>
              <w:rPr>
                <w:rFonts w:hint="eastAsia" w:ascii="宋体" w:hAnsi="宋体" w:eastAsia="宋体" w:cs="宋体"/>
                <w:color w:val="0000FF"/>
                <w:szCs w:val="21"/>
                <w:u w:val="single"/>
              </w:rPr>
              <w:t>月</w:t>
            </w:r>
            <w:r>
              <w:rPr>
                <w:rFonts w:hint="eastAsia" w:ascii="宋体" w:hAnsi="宋体" w:eastAsia="宋体" w:cs="宋体"/>
                <w:color w:val="0000FF"/>
                <w:szCs w:val="21"/>
                <w:u w:val="single"/>
                <w:lang w:val="en-US" w:eastAsia="zh-CN"/>
              </w:rPr>
              <w:t xml:space="preserve"> </w:t>
            </w:r>
            <w:r>
              <w:rPr>
                <w:rFonts w:hint="eastAsia" w:ascii="宋体" w:hAnsi="宋体" w:cs="宋体"/>
                <w:color w:val="0000FF"/>
                <w:szCs w:val="21"/>
                <w:u w:val="single"/>
                <w:lang w:val="en-US" w:eastAsia="zh-CN"/>
              </w:rPr>
              <w:t xml:space="preserve">17 </w:t>
            </w:r>
            <w:r>
              <w:rPr>
                <w:rFonts w:hint="eastAsia" w:ascii="宋体" w:hAnsi="宋体" w:eastAsia="宋体" w:cs="宋体"/>
                <w:color w:val="0000FF"/>
                <w:szCs w:val="21"/>
                <w:u w:val="single"/>
              </w:rPr>
              <w:t>日</w:t>
            </w:r>
            <w:r>
              <w:rPr>
                <w:rFonts w:hint="eastAsia" w:ascii="宋体" w:hAnsi="宋体" w:cs="宋体"/>
                <w:color w:val="0000FF"/>
                <w:szCs w:val="21"/>
                <w:u w:val="single"/>
                <w:lang w:val="en-US" w:eastAsia="zh-CN"/>
              </w:rPr>
              <w:t>09</w:t>
            </w:r>
            <w:r>
              <w:rPr>
                <w:rFonts w:hint="eastAsia" w:ascii="宋体" w:hAnsi="宋体" w:eastAsia="宋体" w:cs="宋体"/>
                <w:color w:val="0000FF"/>
                <w:szCs w:val="21"/>
                <w:u w:val="single"/>
              </w:rPr>
              <w:t>时</w:t>
            </w:r>
            <w:r>
              <w:rPr>
                <w:rFonts w:hint="eastAsia" w:ascii="宋体" w:hAnsi="宋体" w:cs="宋体"/>
                <w:color w:val="0000FF"/>
                <w:szCs w:val="21"/>
                <w:u w:val="single"/>
                <w:lang w:val="en-US" w:eastAsia="zh-CN"/>
              </w:rPr>
              <w:t>0</w:t>
            </w:r>
            <w:r>
              <w:rPr>
                <w:rFonts w:hint="eastAsia" w:ascii="宋体" w:hAnsi="宋体" w:eastAsia="宋体" w:cs="宋体"/>
                <w:color w:val="0000FF"/>
                <w:szCs w:val="21"/>
                <w:u w:val="single"/>
                <w:lang w:val="en-US" w:eastAsia="zh-CN"/>
              </w:rPr>
              <w:t>0</w:t>
            </w:r>
            <w:r>
              <w:rPr>
                <w:rFonts w:hint="eastAsia" w:ascii="宋体" w:hAnsi="宋体" w:eastAsia="宋体" w:cs="宋体"/>
                <w:color w:val="0000FF"/>
                <w:szCs w:val="21"/>
                <w:u w:val="single"/>
              </w:rPr>
              <w:t>分</w:t>
            </w:r>
          </w:p>
          <w:p>
            <w:pPr>
              <w:rPr>
                <w:color w:val="auto"/>
                <w:szCs w:val="21"/>
                <w:u w:val="single"/>
              </w:rPr>
            </w:pPr>
            <w:r>
              <w:rPr>
                <w:rFonts w:hint="eastAsia"/>
                <w:color w:val="auto"/>
                <w:szCs w:val="21"/>
              </w:rPr>
              <w:t>地点：盐城市大丰区丰华国际大厦</w:t>
            </w:r>
            <w:r>
              <w:rPr>
                <w:rFonts w:hint="eastAsia"/>
                <w:color w:val="auto"/>
                <w:szCs w:val="21"/>
                <w:lang w:val="en-US" w:eastAsia="zh-CN"/>
              </w:rPr>
              <w:t>1</w:t>
            </w:r>
            <w:r>
              <w:rPr>
                <w:rFonts w:hint="eastAsia"/>
                <w:color w:val="auto"/>
                <w:szCs w:val="21"/>
              </w:rPr>
              <w:t>楼</w:t>
            </w:r>
            <w:r>
              <w:rPr>
                <w:rFonts w:hint="eastAsia"/>
                <w:color w:val="auto"/>
                <w:szCs w:val="21"/>
                <w:u w:val="single"/>
                <w:lang w:eastAsia="zh-CN"/>
              </w:rPr>
              <w:t>大厅</w:t>
            </w:r>
            <w:r>
              <w:rPr>
                <w:rFonts w:hint="eastAsia"/>
                <w:color w:val="auto"/>
                <w:szCs w:val="21"/>
              </w:rPr>
              <w:t>（盐城市大丰区丰华路与飞达路交叉西150米），逾期送达或者未送达指定地点的投标文件，招标人不予受理。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14" w:type="dxa"/>
            <w:vAlign w:val="center"/>
          </w:tcPr>
          <w:p>
            <w:pPr>
              <w:jc w:val="center"/>
              <w:rPr>
                <w:color w:val="000000"/>
                <w:szCs w:val="21"/>
              </w:rPr>
            </w:pPr>
            <w:r>
              <w:rPr>
                <w:color w:val="000000"/>
                <w:szCs w:val="21"/>
              </w:rPr>
              <w:t>4.2.3</w:t>
            </w:r>
          </w:p>
        </w:tc>
        <w:tc>
          <w:tcPr>
            <w:tcW w:w="2726" w:type="dxa"/>
            <w:vAlign w:val="center"/>
          </w:tcPr>
          <w:p>
            <w:pPr>
              <w:rPr>
                <w:color w:val="000000"/>
                <w:szCs w:val="21"/>
              </w:rPr>
            </w:pPr>
            <w:r>
              <w:rPr>
                <w:color w:val="000000"/>
                <w:szCs w:val="21"/>
              </w:rPr>
              <w:t>是否退还投标文件</w:t>
            </w:r>
          </w:p>
        </w:tc>
        <w:tc>
          <w:tcPr>
            <w:tcW w:w="5757" w:type="dxa"/>
            <w:vAlign w:val="center"/>
          </w:tcPr>
          <w:p>
            <w:pPr>
              <w:rPr>
                <w:color w:val="000000"/>
                <w:szCs w:val="21"/>
              </w:rPr>
            </w:pPr>
            <w:r>
              <w:rPr>
                <w:rFonts w:ascii="宋体" w:hAnsi="宋体"/>
                <w:color w:val="000000"/>
                <w:kern w:val="0"/>
                <w:szCs w:val="21"/>
              </w:rPr>
              <w:fldChar w:fldCharType="begin"/>
            </w:r>
            <w:r>
              <w:rPr>
                <w:rFonts w:ascii="宋体" w:hAnsi="宋体"/>
                <w:color w:val="000000"/>
                <w:kern w:val="0"/>
                <w:szCs w:val="21"/>
              </w:rPr>
              <w:instrText xml:space="preserve"> </w:instrText>
            </w:r>
            <w:r>
              <w:rPr>
                <w:rFonts w:hint="eastAsia" w:ascii="宋体" w:hAnsi="宋体"/>
                <w:color w:val="000000"/>
                <w:kern w:val="0"/>
                <w:szCs w:val="21"/>
              </w:rPr>
              <w:instrText xml:space="preserve">eq \o\ac(□,</w:instrText>
            </w:r>
            <w:r>
              <w:rPr>
                <w:rFonts w:hint="eastAsia" w:ascii="宋体" w:hAnsi="宋体"/>
                <w:color w:val="000000"/>
                <w:kern w:val="0"/>
                <w:position w:val="1"/>
                <w:szCs w:val="21"/>
              </w:rPr>
              <w:instrText xml:space="preserve">√</w:instrText>
            </w:r>
            <w:r>
              <w:rPr>
                <w:rFonts w:hint="eastAsia" w:ascii="宋体" w:hAnsi="宋体"/>
                <w:color w:val="000000"/>
                <w:kern w:val="0"/>
                <w:szCs w:val="21"/>
              </w:rPr>
              <w:instrText xml:space="preserve">)</w:instrText>
            </w:r>
            <w:r>
              <w:rPr>
                <w:rFonts w:ascii="宋体" w:hAnsi="宋体"/>
                <w:color w:val="000000"/>
                <w:kern w:val="0"/>
                <w:szCs w:val="21"/>
              </w:rPr>
              <w:fldChar w:fldCharType="end"/>
            </w:r>
            <w:r>
              <w:rPr>
                <w:color w:val="000000"/>
                <w:szCs w:val="21"/>
              </w:rPr>
              <w:t>否</w:t>
            </w:r>
            <w:r>
              <w:rPr>
                <w:rFonts w:hint="eastAsia"/>
                <w:color w:val="000000"/>
                <w:szCs w:val="21"/>
              </w:rPr>
              <w:t>，原件除外</w:t>
            </w:r>
          </w:p>
          <w:p>
            <w:pPr>
              <w:rPr>
                <w:color w:val="000000"/>
                <w:szCs w:val="21"/>
                <w:u w:val="single"/>
              </w:rPr>
            </w:pPr>
            <w:r>
              <w:rPr>
                <w:rFonts w:ascii="宋体" w:hAnsi="宋体"/>
                <w:color w:val="000000"/>
                <w:kern w:val="0"/>
                <w:szCs w:val="21"/>
              </w:rPr>
              <w:t>□</w:t>
            </w:r>
            <w:r>
              <w:rPr>
                <w:color w:val="00000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14" w:type="dxa"/>
            <w:vAlign w:val="center"/>
          </w:tcPr>
          <w:p>
            <w:pPr>
              <w:jc w:val="center"/>
              <w:rPr>
                <w:color w:val="000000"/>
                <w:szCs w:val="21"/>
              </w:rPr>
            </w:pPr>
            <w:r>
              <w:rPr>
                <w:color w:val="000000"/>
                <w:szCs w:val="21"/>
              </w:rPr>
              <w:t>5.1</w:t>
            </w:r>
          </w:p>
        </w:tc>
        <w:tc>
          <w:tcPr>
            <w:tcW w:w="2726" w:type="dxa"/>
            <w:vAlign w:val="center"/>
          </w:tcPr>
          <w:p>
            <w:pPr>
              <w:rPr>
                <w:color w:val="000000"/>
                <w:szCs w:val="21"/>
              </w:rPr>
            </w:pPr>
            <w:r>
              <w:rPr>
                <w:color w:val="000000"/>
                <w:szCs w:val="21"/>
              </w:rPr>
              <w:t>开标时间和地点</w:t>
            </w:r>
          </w:p>
        </w:tc>
        <w:tc>
          <w:tcPr>
            <w:tcW w:w="5757" w:type="dxa"/>
            <w:vAlign w:val="center"/>
          </w:tcPr>
          <w:p>
            <w:pPr>
              <w:rPr>
                <w:color w:val="000000"/>
                <w:szCs w:val="21"/>
              </w:rPr>
            </w:pPr>
            <w:r>
              <w:rPr>
                <w:color w:val="000000"/>
                <w:szCs w:val="21"/>
              </w:rPr>
              <w:t>开标时间：</w:t>
            </w:r>
            <w:r>
              <w:rPr>
                <w:rFonts w:hint="eastAsia"/>
                <w:color w:val="000000"/>
                <w:szCs w:val="21"/>
              </w:rPr>
              <w:t>同投标截止时间</w:t>
            </w:r>
          </w:p>
          <w:p>
            <w:pPr>
              <w:rPr>
                <w:color w:val="000000"/>
                <w:szCs w:val="21"/>
                <w:u w:val="single"/>
              </w:rPr>
            </w:pPr>
            <w:r>
              <w:rPr>
                <w:color w:val="000000"/>
                <w:szCs w:val="21"/>
              </w:rPr>
              <w:t>开标地点：</w:t>
            </w:r>
            <w:r>
              <w:rPr>
                <w:rFonts w:hint="eastAsia" w:ascii="宋体" w:hAnsi="宋体" w:cs="宋体"/>
                <w:color w:val="000000"/>
                <w:szCs w:val="21"/>
              </w:rPr>
              <w:t>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14" w:type="dxa"/>
            <w:vAlign w:val="center"/>
          </w:tcPr>
          <w:p>
            <w:pPr>
              <w:jc w:val="center"/>
              <w:rPr>
                <w:color w:val="000000"/>
                <w:szCs w:val="21"/>
              </w:rPr>
            </w:pPr>
            <w:r>
              <w:rPr>
                <w:rFonts w:hint="eastAsia"/>
                <w:color w:val="000000"/>
                <w:szCs w:val="21"/>
              </w:rPr>
              <w:t>8</w:t>
            </w:r>
            <w:r>
              <w:rPr>
                <w:color w:val="000000"/>
                <w:szCs w:val="21"/>
              </w:rPr>
              <w:t>.1</w:t>
            </w:r>
          </w:p>
        </w:tc>
        <w:tc>
          <w:tcPr>
            <w:tcW w:w="2726" w:type="dxa"/>
            <w:vAlign w:val="center"/>
          </w:tcPr>
          <w:p>
            <w:pPr>
              <w:rPr>
                <w:color w:val="000000"/>
                <w:szCs w:val="21"/>
              </w:rPr>
            </w:pPr>
            <w:r>
              <w:rPr>
                <w:color w:val="000000"/>
                <w:szCs w:val="21"/>
              </w:rPr>
              <w:t>是否授权评标委员会确定中标人</w:t>
            </w:r>
          </w:p>
        </w:tc>
        <w:tc>
          <w:tcPr>
            <w:tcW w:w="5757" w:type="dxa"/>
            <w:vAlign w:val="center"/>
          </w:tcPr>
          <w:p>
            <w:pPr>
              <w:rPr>
                <w:color w:val="000000"/>
                <w:szCs w:val="21"/>
              </w:rPr>
            </w:pPr>
            <w:r>
              <w:rPr>
                <w:rFonts w:ascii="宋体" w:hAnsi="宋体"/>
                <w:color w:val="000000"/>
                <w:kern w:val="0"/>
                <w:szCs w:val="21"/>
              </w:rPr>
              <w:fldChar w:fldCharType="begin"/>
            </w:r>
            <w:r>
              <w:rPr>
                <w:rFonts w:ascii="宋体" w:hAnsi="宋体"/>
                <w:color w:val="000000"/>
                <w:kern w:val="0"/>
                <w:szCs w:val="21"/>
              </w:rPr>
              <w:instrText xml:space="preserve"> </w:instrText>
            </w:r>
            <w:r>
              <w:rPr>
                <w:rFonts w:hint="eastAsia" w:ascii="宋体" w:hAnsi="宋体"/>
                <w:color w:val="000000"/>
                <w:kern w:val="0"/>
                <w:szCs w:val="21"/>
              </w:rPr>
              <w:instrText xml:space="preserve">eq \o\ac(□,</w:instrText>
            </w:r>
            <w:r>
              <w:rPr>
                <w:rFonts w:hint="eastAsia" w:ascii="宋体" w:hAnsi="宋体"/>
                <w:color w:val="000000"/>
                <w:kern w:val="0"/>
                <w:position w:val="1"/>
                <w:szCs w:val="21"/>
              </w:rPr>
              <w:instrText xml:space="preserve">√</w:instrText>
            </w:r>
            <w:r>
              <w:rPr>
                <w:rFonts w:hint="eastAsia" w:ascii="宋体" w:hAnsi="宋体"/>
                <w:color w:val="000000"/>
                <w:kern w:val="0"/>
                <w:szCs w:val="21"/>
              </w:rPr>
              <w:instrText xml:space="preserve">)</w:instrText>
            </w:r>
            <w:r>
              <w:rPr>
                <w:rFonts w:ascii="宋体" w:hAnsi="宋体"/>
                <w:color w:val="000000"/>
                <w:kern w:val="0"/>
                <w:szCs w:val="21"/>
              </w:rPr>
              <w:fldChar w:fldCharType="end"/>
            </w:r>
            <w:r>
              <w:rPr>
                <w:color w:val="000000"/>
                <w:szCs w:val="21"/>
              </w:rPr>
              <w:t>是</w:t>
            </w:r>
          </w:p>
          <w:p>
            <w:pPr>
              <w:rPr>
                <w:color w:val="000000"/>
                <w:szCs w:val="21"/>
                <w:u w:val="single"/>
              </w:rPr>
            </w:pPr>
            <w:r>
              <w:rPr>
                <w:rFonts w:ascii="宋体" w:hAnsi="宋体"/>
                <w:color w:val="000000"/>
                <w:kern w:val="0"/>
                <w:szCs w:val="21"/>
              </w:rPr>
              <w:t>□</w:t>
            </w:r>
            <w:r>
              <w:rPr>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14" w:type="dxa"/>
            <w:vAlign w:val="center"/>
          </w:tcPr>
          <w:p>
            <w:pPr>
              <w:jc w:val="center"/>
              <w:rPr>
                <w:color w:val="000000"/>
                <w:szCs w:val="21"/>
              </w:rPr>
            </w:pPr>
            <w:r>
              <w:rPr>
                <w:rFonts w:hint="eastAsia"/>
                <w:color w:val="000000"/>
                <w:szCs w:val="21"/>
              </w:rPr>
              <w:t>8.3</w:t>
            </w:r>
          </w:p>
        </w:tc>
        <w:tc>
          <w:tcPr>
            <w:tcW w:w="2726" w:type="dxa"/>
            <w:vAlign w:val="center"/>
          </w:tcPr>
          <w:p>
            <w:pPr>
              <w:rPr>
                <w:color w:val="000000"/>
                <w:szCs w:val="21"/>
              </w:rPr>
            </w:pPr>
            <w:r>
              <w:rPr>
                <w:color w:val="000000"/>
                <w:szCs w:val="21"/>
              </w:rPr>
              <w:t>履约保证金</w:t>
            </w:r>
          </w:p>
        </w:tc>
        <w:tc>
          <w:tcPr>
            <w:tcW w:w="5757" w:type="dxa"/>
            <w:vAlign w:val="center"/>
          </w:tcPr>
          <w:p>
            <w:pPr>
              <w:rPr>
                <w:rFonts w:hint="eastAsia" w:ascii="宋体" w:hAnsi="宋体" w:eastAsia="宋体" w:cs="宋体"/>
                <w:bCs/>
                <w:color w:val="000000"/>
                <w:szCs w:val="21"/>
              </w:rPr>
            </w:pPr>
            <w:r>
              <w:rPr>
                <w:bCs/>
                <w:color w:val="000000"/>
                <w:szCs w:val="21"/>
              </w:rPr>
              <w:t xml:space="preserve">履约保证金的形式： </w:t>
            </w:r>
            <w:r>
              <w:rPr>
                <w:rFonts w:hint="eastAsia"/>
                <w:bCs/>
                <w:color w:val="000000"/>
                <w:szCs w:val="21"/>
              </w:rPr>
              <w:t>银行转</w:t>
            </w:r>
            <w:r>
              <w:rPr>
                <w:rFonts w:hint="eastAsia" w:ascii="宋体" w:hAnsi="宋体" w:eastAsia="宋体" w:cs="宋体"/>
                <w:bCs/>
                <w:color w:val="000000"/>
                <w:szCs w:val="21"/>
              </w:rPr>
              <w:t>帐、电汇。</w:t>
            </w:r>
          </w:p>
          <w:p>
            <w:pPr>
              <w:rPr>
                <w:bCs/>
                <w:color w:val="000000"/>
                <w:szCs w:val="21"/>
              </w:rPr>
            </w:pPr>
            <w:r>
              <w:rPr>
                <w:rFonts w:hint="eastAsia" w:ascii="宋体" w:hAnsi="宋体" w:eastAsia="宋体" w:cs="宋体"/>
                <w:bCs/>
                <w:color w:val="000000"/>
                <w:szCs w:val="21"/>
              </w:rPr>
              <w:t>履约保证金的金额：中标价的10%，履约保证金在完成全部项目经验收合格且连续运行无故障6个月</w:t>
            </w:r>
            <w:r>
              <w:rPr>
                <w:rFonts w:hint="eastAsia"/>
                <w:bCs/>
                <w:color w:val="000000"/>
                <w:szCs w:val="21"/>
              </w:rPr>
              <w:t>后一周内无息退还。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14" w:type="dxa"/>
            <w:vAlign w:val="center"/>
          </w:tcPr>
          <w:p>
            <w:pPr>
              <w:jc w:val="center"/>
              <w:rPr>
                <w:color w:val="000000"/>
                <w:szCs w:val="21"/>
              </w:rPr>
            </w:pPr>
            <w:r>
              <w:rPr>
                <w:rFonts w:hint="eastAsia"/>
                <w:color w:val="000000"/>
                <w:szCs w:val="21"/>
              </w:rPr>
              <w:t>8.4</w:t>
            </w:r>
          </w:p>
        </w:tc>
        <w:tc>
          <w:tcPr>
            <w:tcW w:w="2726" w:type="dxa"/>
            <w:vAlign w:val="center"/>
          </w:tcPr>
          <w:p>
            <w:pPr>
              <w:rPr>
                <w:color w:val="000000"/>
                <w:szCs w:val="21"/>
              </w:rPr>
            </w:pPr>
            <w:r>
              <w:rPr>
                <w:rFonts w:hint="eastAsia"/>
                <w:color w:val="000000"/>
                <w:szCs w:val="21"/>
              </w:rPr>
              <w:t>质保期</w:t>
            </w:r>
          </w:p>
        </w:tc>
        <w:tc>
          <w:tcPr>
            <w:tcW w:w="5757" w:type="dxa"/>
            <w:vAlign w:val="center"/>
          </w:tcPr>
          <w:p>
            <w:pPr>
              <w:rPr>
                <w:bCs/>
                <w:color w:val="000000"/>
                <w:szCs w:val="21"/>
              </w:rPr>
            </w:pPr>
            <w:r>
              <w:rPr>
                <w:rFonts w:hint="eastAsia" w:ascii="宋体" w:hAnsi="宋体" w:eastAsia="宋体" w:cs="宋体"/>
                <w:color w:val="0000FF"/>
                <w:szCs w:val="21"/>
              </w:rPr>
              <w:t>3</w:t>
            </w:r>
            <w:r>
              <w:rPr>
                <w:rFonts w:hint="eastAsia"/>
                <w:color w:val="0000FF"/>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14" w:type="dxa"/>
            <w:vAlign w:val="center"/>
          </w:tcPr>
          <w:p>
            <w:pPr>
              <w:jc w:val="center"/>
              <w:rPr>
                <w:color w:val="auto"/>
                <w:szCs w:val="21"/>
              </w:rPr>
            </w:pPr>
            <w:r>
              <w:rPr>
                <w:rFonts w:hint="eastAsia"/>
                <w:color w:val="auto"/>
                <w:szCs w:val="21"/>
              </w:rPr>
              <w:t>10</w:t>
            </w:r>
          </w:p>
        </w:tc>
        <w:tc>
          <w:tcPr>
            <w:tcW w:w="2726" w:type="dxa"/>
            <w:vAlign w:val="center"/>
          </w:tcPr>
          <w:p>
            <w:pPr>
              <w:rPr>
                <w:color w:val="auto"/>
                <w:szCs w:val="21"/>
              </w:rPr>
            </w:pPr>
            <w:r>
              <w:rPr>
                <w:rFonts w:hint="eastAsia"/>
                <w:color w:val="auto"/>
                <w:szCs w:val="21"/>
              </w:rPr>
              <w:t>付款方式</w:t>
            </w:r>
          </w:p>
        </w:tc>
        <w:tc>
          <w:tcPr>
            <w:tcW w:w="5757" w:type="dxa"/>
            <w:vAlign w:val="center"/>
          </w:tcPr>
          <w:p>
            <w:pPr>
              <w:rPr>
                <w:bCs/>
                <w:color w:val="auto"/>
                <w:szCs w:val="21"/>
              </w:rPr>
            </w:pPr>
            <w:r>
              <w:rPr>
                <w:rFonts w:hint="eastAsia" w:ascii="宋体" w:hAnsi="宋体" w:eastAsia="宋体" w:cs="宋体"/>
                <w:bCs/>
                <w:color w:val="auto"/>
                <w:szCs w:val="21"/>
                <w:u w:val="none"/>
              </w:rPr>
              <w:t>本项目无预付款，所有项目安装调试完毕经采购人检查验收合格后运行三个月无质量问题付合同价的</w:t>
            </w:r>
            <w:r>
              <w:rPr>
                <w:rFonts w:hint="eastAsia" w:ascii="宋体" w:hAnsi="宋体" w:cs="宋体"/>
                <w:bCs/>
                <w:color w:val="auto"/>
                <w:szCs w:val="21"/>
                <w:u w:val="none"/>
                <w:lang w:val="en-US" w:eastAsia="zh-CN"/>
              </w:rPr>
              <w:t>6</w:t>
            </w:r>
            <w:r>
              <w:rPr>
                <w:rFonts w:hint="eastAsia" w:ascii="宋体" w:hAnsi="宋体" w:eastAsia="宋体" w:cs="宋体"/>
                <w:bCs/>
                <w:color w:val="auto"/>
                <w:szCs w:val="21"/>
                <w:u w:val="none"/>
              </w:rPr>
              <w:t>0%，首次付款</w:t>
            </w:r>
            <w:r>
              <w:rPr>
                <w:rFonts w:hint="eastAsia" w:ascii="宋体" w:hAnsi="宋体" w:cs="宋体"/>
                <w:bCs/>
                <w:color w:val="auto"/>
                <w:szCs w:val="21"/>
                <w:u w:val="none"/>
                <w:lang w:eastAsia="zh-CN"/>
              </w:rPr>
              <w:t>满六个月</w:t>
            </w:r>
            <w:r>
              <w:rPr>
                <w:rFonts w:hint="eastAsia" w:ascii="宋体" w:hAnsi="宋体" w:eastAsia="宋体" w:cs="宋体"/>
                <w:bCs/>
                <w:color w:val="auto"/>
                <w:szCs w:val="21"/>
                <w:u w:val="none"/>
              </w:rPr>
              <w:t>后付至合同价的</w:t>
            </w:r>
            <w:r>
              <w:rPr>
                <w:rFonts w:hint="eastAsia" w:ascii="宋体" w:hAnsi="宋体" w:cs="宋体"/>
                <w:bCs/>
                <w:color w:val="auto"/>
                <w:szCs w:val="21"/>
                <w:u w:val="none"/>
                <w:lang w:val="en-US" w:eastAsia="zh-CN"/>
              </w:rPr>
              <w:t>8</w:t>
            </w:r>
            <w:r>
              <w:rPr>
                <w:rFonts w:hint="eastAsia" w:ascii="宋体" w:hAnsi="宋体" w:eastAsia="宋体" w:cs="宋体"/>
                <w:bCs/>
                <w:color w:val="auto"/>
                <w:szCs w:val="21"/>
                <w:u w:val="none"/>
              </w:rPr>
              <w:t>0%，首次付款</w:t>
            </w:r>
            <w:r>
              <w:rPr>
                <w:rFonts w:hint="eastAsia" w:ascii="宋体" w:hAnsi="宋体" w:cs="宋体"/>
                <w:bCs/>
                <w:color w:val="auto"/>
                <w:szCs w:val="21"/>
                <w:u w:val="none"/>
                <w:lang w:eastAsia="zh-CN"/>
              </w:rPr>
              <w:t>满</w:t>
            </w:r>
            <w:r>
              <w:rPr>
                <w:rFonts w:hint="eastAsia" w:ascii="宋体" w:hAnsi="宋体" w:cs="宋体"/>
                <w:bCs/>
                <w:color w:val="auto"/>
                <w:szCs w:val="21"/>
                <w:u w:val="none"/>
                <w:lang w:val="en-US" w:eastAsia="zh-CN"/>
              </w:rPr>
              <w:t>15个月</w:t>
            </w:r>
            <w:r>
              <w:rPr>
                <w:rFonts w:hint="eastAsia" w:ascii="宋体" w:hAnsi="宋体" w:eastAsia="宋体" w:cs="宋体"/>
                <w:bCs/>
                <w:color w:val="auto"/>
                <w:szCs w:val="21"/>
                <w:u w:val="none"/>
              </w:rPr>
              <w:t>后付至合同价的</w:t>
            </w:r>
            <w:r>
              <w:rPr>
                <w:rFonts w:hint="eastAsia" w:ascii="宋体" w:hAnsi="宋体" w:cs="宋体"/>
                <w:bCs/>
                <w:color w:val="auto"/>
                <w:szCs w:val="21"/>
                <w:u w:val="none"/>
                <w:lang w:val="en-US" w:eastAsia="zh-CN"/>
              </w:rPr>
              <w:t>9</w:t>
            </w:r>
            <w:r>
              <w:rPr>
                <w:rFonts w:hint="eastAsia" w:ascii="宋体" w:hAnsi="宋体" w:eastAsia="宋体" w:cs="宋体"/>
                <w:bCs/>
                <w:color w:val="auto"/>
                <w:szCs w:val="21"/>
                <w:u w:val="none"/>
              </w:rPr>
              <w:t>0%，余款作为质保金待质保期满后一次性付清。按以上进度付款无任何利息补偿。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14" w:type="dxa"/>
            <w:vAlign w:val="center"/>
          </w:tcPr>
          <w:p>
            <w:pPr>
              <w:jc w:val="center"/>
              <w:rPr>
                <w:rFonts w:hint="eastAsia" w:eastAsia="宋体"/>
                <w:color w:val="000000"/>
                <w:szCs w:val="21"/>
                <w:lang w:eastAsia="zh-CN"/>
              </w:rPr>
            </w:pPr>
            <w:r>
              <w:rPr>
                <w:rFonts w:hint="eastAsia"/>
                <w:color w:val="000000"/>
                <w:szCs w:val="21"/>
              </w:rPr>
              <w:t>10.</w:t>
            </w:r>
            <w:r>
              <w:rPr>
                <w:rFonts w:hint="eastAsia"/>
                <w:color w:val="000000"/>
                <w:szCs w:val="21"/>
                <w:lang w:val="en-US" w:eastAsia="zh-CN"/>
              </w:rPr>
              <w:t>2</w:t>
            </w:r>
          </w:p>
        </w:tc>
        <w:tc>
          <w:tcPr>
            <w:tcW w:w="2726" w:type="dxa"/>
            <w:vAlign w:val="center"/>
          </w:tcPr>
          <w:p>
            <w:pPr>
              <w:rPr>
                <w:color w:val="000000"/>
                <w:szCs w:val="21"/>
              </w:rPr>
            </w:pPr>
            <w:r>
              <w:rPr>
                <w:rFonts w:hint="eastAsia"/>
                <w:color w:val="000000"/>
                <w:szCs w:val="21"/>
              </w:rPr>
              <w:t>收费标准</w:t>
            </w:r>
          </w:p>
        </w:tc>
        <w:tc>
          <w:tcPr>
            <w:tcW w:w="5757" w:type="dxa"/>
            <w:vAlign w:val="center"/>
          </w:tcPr>
          <w:p>
            <w:pPr>
              <w:rPr>
                <w:color w:val="000000"/>
                <w:szCs w:val="21"/>
              </w:rPr>
            </w:pPr>
            <w:r>
              <w:rPr>
                <w:rFonts w:hint="eastAsia"/>
                <w:bCs/>
                <w:color w:val="000000"/>
                <w:szCs w:val="21"/>
              </w:rPr>
              <w:t>本项目招标代理费向中标单位收取，招标代理费按国家发改价格</w:t>
            </w:r>
            <w:r>
              <w:rPr>
                <w:rFonts w:hint="eastAsia" w:ascii="宋体" w:hAnsi="宋体" w:eastAsia="宋体" w:cs="宋体"/>
                <w:bCs/>
                <w:color w:val="000000"/>
                <w:szCs w:val="21"/>
              </w:rPr>
              <w:t>[2011]534</w:t>
            </w:r>
            <w:r>
              <w:rPr>
                <w:rFonts w:hint="eastAsia"/>
                <w:bCs/>
                <w:color w:val="000000"/>
                <w:szCs w:val="21"/>
              </w:rPr>
              <w:t>号文件规定货物类标准</w:t>
            </w:r>
            <w:r>
              <w:rPr>
                <w:rFonts w:hint="eastAsia" w:ascii="宋体" w:hAnsi="宋体" w:eastAsia="宋体" w:cs="宋体"/>
                <w:bCs/>
                <w:color w:val="000000"/>
                <w:szCs w:val="21"/>
                <w:lang w:val="en-US" w:eastAsia="zh-CN"/>
              </w:rPr>
              <w:t>60%</w:t>
            </w:r>
            <w:r>
              <w:rPr>
                <w:rFonts w:hint="eastAsia"/>
                <w:bCs/>
                <w:color w:val="000000"/>
                <w:szCs w:val="21"/>
              </w:rPr>
              <w:t>缴纳；请投标人考虑在投标报价中，但不单列，自行分摊至投标单价、合价中。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14" w:type="dxa"/>
            <w:vAlign w:val="center"/>
          </w:tcPr>
          <w:p>
            <w:pPr>
              <w:jc w:val="center"/>
              <w:rPr>
                <w:rFonts w:hint="default" w:eastAsia="宋体"/>
                <w:color w:val="000000"/>
                <w:szCs w:val="21"/>
                <w:lang w:val="en-US" w:eastAsia="zh-CN"/>
              </w:rPr>
            </w:pPr>
            <w:r>
              <w:rPr>
                <w:rFonts w:hint="eastAsia"/>
                <w:color w:val="000000"/>
                <w:szCs w:val="21"/>
                <w:lang w:val="en-US" w:eastAsia="zh-CN"/>
              </w:rPr>
              <w:t>11</w:t>
            </w:r>
          </w:p>
        </w:tc>
        <w:tc>
          <w:tcPr>
            <w:tcW w:w="2726" w:type="dxa"/>
            <w:vAlign w:val="center"/>
          </w:tcPr>
          <w:p>
            <w:pPr>
              <w:rPr>
                <w:rFonts w:hint="eastAsia"/>
                <w:color w:val="000000"/>
                <w:szCs w:val="21"/>
              </w:rPr>
            </w:pPr>
            <w:r>
              <w:rPr>
                <w:rFonts w:hint="eastAsia"/>
                <w:color w:val="000000"/>
                <w:szCs w:val="21"/>
                <w:lang w:eastAsia="zh-CN"/>
              </w:rPr>
              <w:t>不见面开标</w:t>
            </w:r>
          </w:p>
        </w:tc>
        <w:tc>
          <w:tcPr>
            <w:tcW w:w="5757" w:type="dxa"/>
            <w:vAlign w:val="center"/>
          </w:tcPr>
          <w:p>
            <w:pPr>
              <w:jc w:val="left"/>
              <w:rPr>
                <w:rFonts w:hint="eastAsia"/>
                <w:bCs/>
                <w:color w:val="auto"/>
                <w:szCs w:val="21"/>
                <w:lang w:val="en-US" w:eastAsia="zh-CN"/>
              </w:rPr>
            </w:pPr>
            <w:r>
              <w:rPr>
                <w:rFonts w:hint="eastAsia"/>
                <w:bCs/>
                <w:color w:val="auto"/>
                <w:szCs w:val="21"/>
                <w:lang w:val="en-US" w:eastAsia="zh-CN"/>
              </w:rPr>
              <w:t>根据《国务院办公厅转发国家发展改革委关于深化公共资源交易平台整合共享指导意见的通知》（国办函〔2019〕41号）、国家发改委发布《关于积极应对疫情创新做好招投标工作保障经济平稳运行的通知》等文件精神，全面逐步推行不见面投标开标等招投标活动。结合当前疫情防控要求，本项目开标方式为不见面纸质文件开标。开标当日，投标人无需到达开标现场，仅需在任意地点通过 PC端或移动端的“腾讯会议”及相应的配套硬件设备参加开标会议。</w:t>
            </w:r>
          </w:p>
          <w:p>
            <w:pPr>
              <w:ind w:firstLine="420" w:firstLineChars="200"/>
              <w:rPr>
                <w:rFonts w:hint="eastAsia"/>
                <w:bCs/>
                <w:color w:val="000000"/>
                <w:szCs w:val="21"/>
              </w:rPr>
            </w:pPr>
            <w:r>
              <w:rPr>
                <w:rFonts w:hint="eastAsia"/>
                <w:bCs/>
                <w:color w:val="auto"/>
                <w:szCs w:val="21"/>
                <w:lang w:val="en-US" w:eastAsia="zh-CN"/>
              </w:rPr>
              <w:t>参加会议的方法：电脑或智能手机可以搜索下载并安装“</w:t>
            </w:r>
            <w:r>
              <w:rPr>
                <w:rFonts w:hint="eastAsia"/>
                <w:bCs/>
                <w:color w:val="070DFB"/>
                <w:szCs w:val="21"/>
                <w:lang w:val="en-US" w:eastAsia="zh-CN"/>
              </w:rPr>
              <w:t>腾讯会议</w:t>
            </w:r>
            <w:r>
              <w:rPr>
                <w:rFonts w:hint="eastAsia"/>
                <w:bCs/>
                <w:color w:val="auto"/>
                <w:szCs w:val="21"/>
                <w:lang w:val="en-US" w:eastAsia="zh-CN"/>
              </w:rPr>
              <w:t>”，注册完成后点击“加入会议”，输入会议号</w:t>
            </w:r>
            <w:r>
              <w:rPr>
                <w:rFonts w:hint="eastAsia"/>
                <w:bCs/>
                <w:color w:val="070DFB"/>
                <w:szCs w:val="21"/>
                <w:lang w:val="en-US" w:eastAsia="zh-CN"/>
              </w:rPr>
              <w:t>“</w:t>
            </w:r>
            <w:r>
              <w:rPr>
                <w:rFonts w:hint="eastAsia" w:asciiTheme="minorEastAsia" w:hAnsiTheme="minorEastAsia" w:eastAsiaTheme="minorEastAsia" w:cstheme="minorEastAsia"/>
                <w:bCs/>
                <w:color w:val="070DFB"/>
                <w:szCs w:val="21"/>
                <w:lang w:val="en-US" w:eastAsia="zh-CN"/>
              </w:rPr>
              <w:t>261 457 143</w:t>
            </w:r>
            <w:r>
              <w:rPr>
                <w:rFonts w:hint="eastAsia"/>
                <w:bCs/>
                <w:color w:val="070DFB"/>
                <w:szCs w:val="21"/>
                <w:lang w:val="en-US" w:eastAsia="zh-CN"/>
              </w:rPr>
              <w:t>”</w:t>
            </w:r>
            <w:r>
              <w:rPr>
                <w:rFonts w:hint="eastAsia"/>
                <w:bCs/>
                <w:color w:val="auto"/>
                <w:szCs w:val="21"/>
                <w:lang w:val="en-US" w:eastAsia="zh-CN"/>
              </w:rPr>
              <w:t>，“您的姓名”按“单位简称+授权委托人姓名”格式填写，然后点击“加入会议”。会议系统将在投标截止时间前10分钟开放。</w:t>
            </w:r>
          </w:p>
        </w:tc>
      </w:tr>
    </w:tbl>
    <w:p>
      <w:pPr>
        <w:spacing w:line="360" w:lineRule="auto"/>
        <w:rPr>
          <w:b/>
          <w:color w:val="000000"/>
          <w:sz w:val="24"/>
        </w:rPr>
      </w:pPr>
      <w:bookmarkStart w:id="24" w:name="_Toc184635071"/>
      <w:bookmarkStart w:id="25" w:name="_Toc368759375"/>
      <w:bookmarkStart w:id="26" w:name="_Toc369077561"/>
      <w:bookmarkStart w:id="27" w:name="_Toc368760427"/>
      <w:bookmarkStart w:id="28" w:name="_Toc367894798"/>
      <w:bookmarkStart w:id="29" w:name="_Toc363329370"/>
      <w:r>
        <w:rPr>
          <w:b/>
          <w:color w:val="000000"/>
          <w:sz w:val="24"/>
        </w:rPr>
        <w:t>特别提醒：</w:t>
      </w:r>
    </w:p>
    <w:p>
      <w:pPr>
        <w:spacing w:line="360" w:lineRule="auto"/>
        <w:ind w:firstLine="480" w:firstLineChars="200"/>
        <w:rPr>
          <w:b/>
          <w:color w:val="000000"/>
          <w:sz w:val="24"/>
        </w:rPr>
      </w:pPr>
      <w:r>
        <w:rPr>
          <w:rFonts w:hint="eastAsia"/>
          <w:b/>
          <w:color w:val="000000"/>
          <w:sz w:val="24"/>
        </w:rPr>
        <w:t>1、</w:t>
      </w:r>
      <w:r>
        <w:rPr>
          <w:b/>
          <w:color w:val="000000"/>
          <w:sz w:val="24"/>
        </w:rPr>
        <w:t>招标人会根据招标需要，可能会不定期在</w:t>
      </w:r>
      <w:r>
        <w:rPr>
          <w:rFonts w:hint="eastAsia"/>
          <w:b/>
          <w:color w:val="000000"/>
          <w:sz w:val="24"/>
        </w:rPr>
        <w:t>大丰公共资源交易平台</w:t>
      </w:r>
      <w:r>
        <w:rPr>
          <w:b/>
          <w:color w:val="000000"/>
          <w:sz w:val="24"/>
        </w:rPr>
        <w:t>上</w:t>
      </w:r>
      <w:r>
        <w:rPr>
          <w:rStyle w:val="48"/>
          <w:b/>
          <w:color w:val="000000"/>
          <w:sz w:val="24"/>
        </w:rPr>
        <w:t>(</w:t>
      </w:r>
      <w:r>
        <w:rPr>
          <w:rStyle w:val="48"/>
          <w:rFonts w:hint="eastAsia"/>
          <w:b/>
          <w:color w:val="000000"/>
          <w:sz w:val="24"/>
        </w:rPr>
        <w:t>http://ggzy.dafeng.gov.cn/dfweb/)</w:t>
      </w:r>
      <w:r>
        <w:rPr>
          <w:b/>
          <w:color w:val="000000"/>
          <w:sz w:val="24"/>
        </w:rPr>
        <w:t>发布该项目补充答疑等澄清修改文件，请各投标人自行网上查询，未能及时查阅响应而影响投标的，结果由投标人负责。</w:t>
      </w:r>
    </w:p>
    <w:p>
      <w:pPr>
        <w:spacing w:line="360" w:lineRule="auto"/>
        <w:ind w:firstLine="480" w:firstLineChars="200"/>
        <w:rPr>
          <w:b/>
          <w:color w:val="000000"/>
          <w:sz w:val="24"/>
        </w:rPr>
      </w:pPr>
      <w:r>
        <w:rPr>
          <w:rFonts w:hint="eastAsia"/>
          <w:b/>
          <w:color w:val="000000"/>
          <w:sz w:val="24"/>
        </w:rPr>
        <w:t>2、</w:t>
      </w:r>
      <w:r>
        <w:rPr>
          <w:rFonts w:hint="eastAsia"/>
          <w:b/>
          <w:color w:val="0000FF"/>
          <w:sz w:val="24"/>
        </w:rPr>
        <w:t>投标单位的法定代表人或其委托代理人须</w:t>
      </w:r>
      <w:r>
        <w:rPr>
          <w:rFonts w:hint="eastAsia"/>
          <w:b/>
          <w:color w:val="0000FF"/>
          <w:sz w:val="24"/>
          <w:lang w:eastAsia="zh-CN"/>
        </w:rPr>
        <w:t>在唱标过程中出示</w:t>
      </w:r>
      <w:r>
        <w:rPr>
          <w:rFonts w:hint="eastAsia"/>
          <w:b/>
          <w:color w:val="0000FF"/>
          <w:sz w:val="24"/>
        </w:rPr>
        <w:t>有效身份证明原件，否则其投标将被拒绝。</w:t>
      </w:r>
    </w:p>
    <w:p>
      <w:pPr>
        <w:spacing w:line="240" w:lineRule="auto"/>
        <w:ind w:firstLine="480" w:firstLineChars="200"/>
        <w:rPr>
          <w:rFonts w:hint="eastAsia" w:asciiTheme="minorEastAsia" w:hAnsiTheme="minorEastAsia" w:eastAsiaTheme="minorEastAsia" w:cstheme="minorEastAsia"/>
          <w:b/>
          <w:color w:val="000000"/>
          <w:sz w:val="32"/>
          <w:szCs w:val="32"/>
        </w:rPr>
      </w:pPr>
      <w:r>
        <w:rPr>
          <w:rFonts w:ascii="宋体" w:hAnsi="宋体"/>
          <w:color w:val="000000"/>
          <w:sz w:val="24"/>
        </w:rPr>
        <w:br w:type="page"/>
      </w:r>
      <w:bookmarkStart w:id="30" w:name="_Toc397928549"/>
      <w:bookmarkStart w:id="31" w:name="_Toc387526179"/>
      <w:bookmarkStart w:id="32" w:name="_Toc387526283"/>
      <w:bookmarkStart w:id="33" w:name="_Toc387526375"/>
      <w:bookmarkStart w:id="34" w:name="_Toc18948"/>
      <w:r>
        <w:rPr>
          <w:rFonts w:hint="eastAsia" w:asciiTheme="minorEastAsia" w:hAnsiTheme="minorEastAsia" w:eastAsiaTheme="minorEastAsia" w:cstheme="minorEastAsia"/>
          <w:b/>
          <w:color w:val="000000"/>
          <w:sz w:val="32"/>
          <w:szCs w:val="32"/>
        </w:rPr>
        <w:t>1.总则</w:t>
      </w:r>
      <w:bookmarkEnd w:id="24"/>
      <w:bookmarkEnd w:id="25"/>
      <w:bookmarkEnd w:id="26"/>
      <w:bookmarkEnd w:id="27"/>
      <w:bookmarkEnd w:id="28"/>
      <w:bookmarkEnd w:id="29"/>
      <w:bookmarkEnd w:id="30"/>
      <w:bookmarkEnd w:id="31"/>
      <w:bookmarkEnd w:id="32"/>
      <w:bookmarkEnd w:id="33"/>
      <w:bookmarkEnd w:id="34"/>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35" w:name="_Toc387526376"/>
      <w:bookmarkStart w:id="36" w:name="_Toc5365"/>
      <w:bookmarkStart w:id="37" w:name="_Toc397928550"/>
      <w:bookmarkStart w:id="38" w:name="_Toc387526284"/>
      <w:bookmarkStart w:id="39" w:name="_Toc511142439"/>
      <w:bookmarkStart w:id="40" w:name="_Toc387526180"/>
      <w:r>
        <w:rPr>
          <w:rFonts w:hint="eastAsia" w:asciiTheme="minorEastAsia" w:hAnsiTheme="minorEastAsia" w:eastAsiaTheme="minorEastAsia" w:cstheme="minorEastAsia"/>
          <w:color w:val="000000"/>
          <w:sz w:val="21"/>
          <w:szCs w:val="21"/>
          <w:highlight w:val="white"/>
        </w:rPr>
        <w:t>1.1 项目概况</w:t>
      </w:r>
      <w:bookmarkEnd w:id="35"/>
      <w:bookmarkEnd w:id="36"/>
      <w:bookmarkEnd w:id="37"/>
      <w:bookmarkEnd w:id="38"/>
      <w:bookmarkEnd w:id="39"/>
      <w:bookmarkEnd w:id="40"/>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1.1.1根据有关法律、法规和规章的规定，本招标项目已具备招标条件，现对本项目</w:t>
      </w:r>
      <w:r>
        <w:rPr>
          <w:rFonts w:hint="eastAsia" w:asciiTheme="minorEastAsia" w:hAnsiTheme="minorEastAsia" w:eastAsiaTheme="minorEastAsia" w:cstheme="minorEastAsia"/>
          <w:color w:val="000000"/>
          <w:szCs w:val="21"/>
        </w:rPr>
        <w:t>货物</w:t>
      </w:r>
      <w:r>
        <w:rPr>
          <w:rFonts w:hint="eastAsia" w:asciiTheme="minorEastAsia" w:hAnsiTheme="minorEastAsia" w:eastAsiaTheme="minorEastAsia" w:cstheme="minorEastAsia"/>
          <w:color w:val="000000"/>
          <w:szCs w:val="21"/>
          <w:highlight w:val="white"/>
        </w:rPr>
        <w:t>进行招标。</w:t>
      </w:r>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1.1.2本招标项目招标人：见投标人须知前附表。</w:t>
      </w:r>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1.1.3本招标项目招标代理机构：见投标人须知前附表。</w:t>
      </w:r>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1.1.4本招标项目名称：见投标人须知前附表。</w:t>
      </w:r>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41" w:name="_Toc511142440"/>
      <w:bookmarkStart w:id="42" w:name="_Toc397928551"/>
      <w:bookmarkStart w:id="43" w:name="_Toc387526181"/>
      <w:bookmarkStart w:id="44" w:name="_Toc387526377"/>
      <w:bookmarkStart w:id="45" w:name="_Toc387526285"/>
      <w:bookmarkStart w:id="46" w:name="_Toc11796"/>
      <w:r>
        <w:rPr>
          <w:rFonts w:hint="eastAsia" w:asciiTheme="minorEastAsia" w:hAnsiTheme="minorEastAsia" w:eastAsiaTheme="minorEastAsia" w:cstheme="minorEastAsia"/>
          <w:color w:val="000000"/>
          <w:sz w:val="21"/>
          <w:szCs w:val="21"/>
          <w:highlight w:val="white"/>
        </w:rPr>
        <w:t>1.2 资金来源和落实情况</w:t>
      </w:r>
      <w:bookmarkEnd w:id="41"/>
      <w:bookmarkEnd w:id="42"/>
      <w:bookmarkEnd w:id="43"/>
      <w:bookmarkEnd w:id="44"/>
      <w:bookmarkEnd w:id="45"/>
      <w:bookmarkEnd w:id="46"/>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1.2.1本招标项目的资金来源：见投标人须知前附表。</w:t>
      </w:r>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1.2.2本招标项目的出资比例：见投标人须知前附表。</w:t>
      </w:r>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1.2.3本招标项目的资金落实情况：见投标人须知前附表。</w:t>
      </w:r>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47" w:name="_Toc387526286"/>
      <w:bookmarkStart w:id="48" w:name="_Toc853"/>
      <w:bookmarkStart w:id="49" w:name="_Toc387526378"/>
      <w:bookmarkStart w:id="50" w:name="_Toc397928552"/>
      <w:bookmarkStart w:id="51" w:name="_Toc387526182"/>
      <w:bookmarkStart w:id="52" w:name="_Toc511142441"/>
      <w:r>
        <w:rPr>
          <w:rFonts w:hint="eastAsia" w:asciiTheme="minorEastAsia" w:hAnsiTheme="minorEastAsia" w:eastAsiaTheme="minorEastAsia" w:cstheme="minorEastAsia"/>
          <w:color w:val="000000"/>
          <w:sz w:val="21"/>
          <w:szCs w:val="21"/>
          <w:highlight w:val="white"/>
        </w:rPr>
        <w:t>1.3 招标范围、交货期或工期和质量要求</w:t>
      </w:r>
      <w:bookmarkEnd w:id="47"/>
      <w:bookmarkEnd w:id="48"/>
      <w:bookmarkEnd w:id="49"/>
      <w:bookmarkEnd w:id="50"/>
      <w:bookmarkEnd w:id="51"/>
      <w:bookmarkEnd w:id="52"/>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1.3.1本次招标范围：见投标人须知前附表。</w:t>
      </w:r>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1.3.2本招标项目的交货期或工期：见投标人须知前附表。</w:t>
      </w:r>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1.3.3本招标项目的交货或服务地点：见投标人须知前附表。</w:t>
      </w:r>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1.3.4本招标项目的质量要求及验收标准：见投标人须知前附表。</w:t>
      </w:r>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53" w:name="_Toc387526379"/>
      <w:bookmarkStart w:id="54" w:name="_Toc397928553"/>
      <w:bookmarkStart w:id="55" w:name="_Toc511142442"/>
      <w:bookmarkStart w:id="56" w:name="_Toc387526183"/>
      <w:bookmarkStart w:id="57" w:name="_Toc387526287"/>
      <w:bookmarkStart w:id="58" w:name="_Toc13930"/>
      <w:r>
        <w:rPr>
          <w:rFonts w:hint="eastAsia" w:asciiTheme="minorEastAsia" w:hAnsiTheme="minorEastAsia" w:eastAsiaTheme="minorEastAsia" w:cstheme="minorEastAsia"/>
          <w:color w:val="000000"/>
          <w:sz w:val="21"/>
          <w:szCs w:val="21"/>
          <w:highlight w:val="white"/>
        </w:rPr>
        <w:t>1.4 投标人资格要求</w:t>
      </w:r>
      <w:bookmarkEnd w:id="53"/>
      <w:bookmarkEnd w:id="54"/>
      <w:bookmarkEnd w:id="55"/>
      <w:bookmarkEnd w:id="56"/>
      <w:bookmarkEnd w:id="57"/>
      <w:bookmarkEnd w:id="58"/>
    </w:p>
    <w:p>
      <w:pPr>
        <w:autoSpaceDE w:val="0"/>
        <w:autoSpaceDN w:val="0"/>
        <w:adjustRightInd w:val="0"/>
        <w:spacing w:line="240" w:lineRule="auto"/>
        <w:ind w:firstLine="420" w:firstLineChars="200"/>
        <w:jc w:val="left"/>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1.4.1 投标人应具备的资格要求见投标人须知前附表。</w:t>
      </w:r>
    </w:p>
    <w:p>
      <w:pPr>
        <w:autoSpaceDE w:val="0"/>
        <w:autoSpaceDN w:val="0"/>
        <w:adjustRightInd w:val="0"/>
        <w:spacing w:line="240" w:lineRule="auto"/>
        <w:ind w:firstLine="420" w:firstLineChars="200"/>
        <w:jc w:val="left"/>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1.4.2 投标人须知前附表规定接受联合体投标的，除应符合本章第1.4.1项和投标人须知前附表的要求外，还应遵守以下规定：</w:t>
      </w:r>
    </w:p>
    <w:p>
      <w:pPr>
        <w:autoSpaceDE w:val="0"/>
        <w:autoSpaceDN w:val="0"/>
        <w:adjustRightInd w:val="0"/>
        <w:spacing w:line="240" w:lineRule="auto"/>
        <w:ind w:firstLine="420" w:firstLineChars="200"/>
        <w:jc w:val="left"/>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（1）联合体各方应按招标文件提供的格式签订联合体协议书，明确联合体牵头人和各方的权利义务；</w:t>
      </w:r>
    </w:p>
    <w:p>
      <w:pPr>
        <w:autoSpaceDE w:val="0"/>
        <w:autoSpaceDN w:val="0"/>
        <w:adjustRightInd w:val="0"/>
        <w:spacing w:line="240" w:lineRule="auto"/>
        <w:ind w:firstLine="420" w:firstLineChars="200"/>
        <w:jc w:val="left"/>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（2）由同一专业的单位组成的联合体，按照资质等级较低的单位确定资质等级；</w:t>
      </w:r>
    </w:p>
    <w:p>
      <w:pPr>
        <w:autoSpaceDE w:val="0"/>
        <w:autoSpaceDN w:val="0"/>
        <w:adjustRightInd w:val="0"/>
        <w:spacing w:line="240" w:lineRule="auto"/>
        <w:ind w:firstLine="420" w:firstLineChars="2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szCs w:val="21"/>
          <w:highlight w:val="white"/>
        </w:rPr>
        <w:t>（3）联合体各方不得再以自己名义单独或加入其他联合体在同一标段中参加</w:t>
      </w:r>
      <w:r>
        <w:rPr>
          <w:rFonts w:hint="eastAsia" w:asciiTheme="minorEastAsia" w:hAnsiTheme="minorEastAsia" w:eastAsiaTheme="minorEastAsia" w:cstheme="minorEastAsia"/>
          <w:color w:val="000000"/>
          <w:szCs w:val="21"/>
        </w:rPr>
        <w:t>投标</w:t>
      </w:r>
      <w:r>
        <w:rPr>
          <w:rFonts w:hint="eastAsia" w:asciiTheme="minorEastAsia" w:hAnsiTheme="minorEastAsia" w:eastAsiaTheme="minorEastAsia" w:cstheme="minorEastAsia"/>
          <w:color w:val="000000"/>
          <w:kern w:val="0"/>
          <w:szCs w:val="21"/>
        </w:rPr>
        <w:t>。</w:t>
      </w:r>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highlight w:val="white"/>
        </w:rPr>
        <w:t>1.4.3 投标</w:t>
      </w:r>
      <w:r>
        <w:rPr>
          <w:rFonts w:hint="eastAsia" w:asciiTheme="minorEastAsia" w:hAnsiTheme="minorEastAsia" w:eastAsiaTheme="minorEastAsia" w:cstheme="minorEastAsia"/>
          <w:color w:val="000000"/>
          <w:szCs w:val="21"/>
        </w:rPr>
        <w:t xml:space="preserve">人不得存在下列情形之一： </w:t>
      </w:r>
    </w:p>
    <w:p>
      <w:pPr>
        <w:spacing w:line="240" w:lineRule="auto"/>
        <w:ind w:firstLine="420" w:firstLineChars="200"/>
        <w:rPr>
          <w:rFonts w:hint="eastAsia" w:asciiTheme="minorEastAsia" w:hAnsiTheme="minorEastAsia" w:eastAsiaTheme="minorEastAsia" w:cstheme="minorEastAsia"/>
          <w:color w:val="000000"/>
          <w:szCs w:val="21"/>
        </w:rPr>
      </w:pPr>
      <w:bookmarkStart w:id="59" w:name="_Toc387526184"/>
      <w:bookmarkStart w:id="60" w:name="_Toc387526288"/>
      <w:bookmarkStart w:id="61" w:name="_Toc1684"/>
      <w:bookmarkStart w:id="62" w:name="_Toc387526380"/>
      <w:r>
        <w:rPr>
          <w:rFonts w:hint="eastAsia" w:asciiTheme="minorEastAsia" w:hAnsiTheme="minorEastAsia" w:eastAsiaTheme="minorEastAsia" w:cstheme="minorEastAsia"/>
          <w:color w:val="000000"/>
          <w:szCs w:val="21"/>
        </w:rPr>
        <w:t xml:space="preserve">（1）为招标人的附属机构（单位）； </w:t>
      </w:r>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（2）为本标段的监理人；</w:t>
      </w:r>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（3）为本标段的代建人；</w:t>
      </w:r>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（4）为本标段提供招标代理服务的；</w:t>
      </w:r>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（5）与本标段的监理人或代建人或招标代理机构的单位负责人为同一个人的； </w:t>
      </w:r>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（6）与本标段的监理人或代建人或招标代理机构相互控股或参股的；</w:t>
      </w:r>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（7）与本标段的其他申请人的单位负责人为同一个人的；</w:t>
      </w:r>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（8）与本标段的其他申请人之间存在控股、管理关系或母公司、全资子公司关系的；</w:t>
      </w:r>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（9）法律法规规定的其他情形。</w:t>
      </w:r>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63" w:name="_Toc511142443"/>
      <w:bookmarkStart w:id="64" w:name="_Toc397928554"/>
      <w:r>
        <w:rPr>
          <w:rFonts w:hint="eastAsia" w:asciiTheme="minorEastAsia" w:hAnsiTheme="minorEastAsia" w:eastAsiaTheme="minorEastAsia" w:cstheme="minorEastAsia"/>
          <w:color w:val="000000"/>
          <w:sz w:val="21"/>
          <w:szCs w:val="21"/>
          <w:highlight w:val="white"/>
        </w:rPr>
        <w:t>1.5 费用承担</w:t>
      </w:r>
      <w:bookmarkEnd w:id="59"/>
      <w:bookmarkEnd w:id="60"/>
      <w:bookmarkEnd w:id="61"/>
      <w:bookmarkEnd w:id="62"/>
      <w:bookmarkEnd w:id="63"/>
      <w:bookmarkEnd w:id="64"/>
    </w:p>
    <w:p>
      <w:pPr>
        <w:autoSpaceDE w:val="0"/>
        <w:autoSpaceDN w:val="0"/>
        <w:adjustRightInd w:val="0"/>
        <w:spacing w:line="240" w:lineRule="auto"/>
        <w:ind w:firstLine="420" w:firstLineChars="200"/>
        <w:jc w:val="left"/>
        <w:rPr>
          <w:rFonts w:hint="eastAsia" w:asciiTheme="minorEastAsia" w:hAnsiTheme="minorEastAsia" w:eastAsiaTheme="minorEastAsia" w:cstheme="minorEastAsia"/>
          <w:b/>
          <w:color w:val="000000"/>
          <w:szCs w:val="21"/>
          <w:highlight w:val="white"/>
        </w:rPr>
      </w:pPr>
      <w:r>
        <w:rPr>
          <w:rFonts w:hint="eastAsia" w:asciiTheme="minorEastAsia" w:hAnsiTheme="minorEastAsia" w:eastAsiaTheme="minorEastAsia" w:cstheme="minorEastAsia"/>
          <w:color w:val="000000"/>
          <w:kern w:val="0"/>
          <w:szCs w:val="21"/>
        </w:rPr>
        <w:t>投标人准备和参加投标活动发生的费用自理。</w:t>
      </w:r>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65" w:name="_Toc511142444"/>
      <w:bookmarkStart w:id="66" w:name="_Toc387526289"/>
      <w:bookmarkStart w:id="67" w:name="_Toc387526185"/>
      <w:bookmarkStart w:id="68" w:name="_Toc397928555"/>
      <w:bookmarkStart w:id="69" w:name="_Toc387526381"/>
      <w:bookmarkStart w:id="70" w:name="_Toc5130"/>
      <w:r>
        <w:rPr>
          <w:rFonts w:hint="eastAsia" w:asciiTheme="minorEastAsia" w:hAnsiTheme="minorEastAsia" w:eastAsiaTheme="minorEastAsia" w:cstheme="minorEastAsia"/>
          <w:color w:val="000000"/>
          <w:sz w:val="21"/>
          <w:szCs w:val="21"/>
          <w:highlight w:val="white"/>
        </w:rPr>
        <w:t>1.6 保密</w:t>
      </w:r>
      <w:bookmarkEnd w:id="65"/>
      <w:bookmarkEnd w:id="66"/>
      <w:bookmarkEnd w:id="67"/>
      <w:bookmarkEnd w:id="68"/>
      <w:bookmarkEnd w:id="69"/>
      <w:bookmarkEnd w:id="70"/>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参与招标投标活动的各方应对招标文件和投标文件中的商业和技术等秘密保密，违者应对由此造成的后果承担法律责任。</w:t>
      </w:r>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71" w:name="_Toc822"/>
      <w:bookmarkStart w:id="72" w:name="_Toc387526382"/>
      <w:bookmarkStart w:id="73" w:name="_Toc397928556"/>
      <w:bookmarkStart w:id="74" w:name="_Toc511142445"/>
      <w:bookmarkStart w:id="75" w:name="_Toc387526290"/>
      <w:bookmarkStart w:id="76" w:name="_Toc387526186"/>
      <w:r>
        <w:rPr>
          <w:rFonts w:hint="eastAsia" w:asciiTheme="minorEastAsia" w:hAnsiTheme="minorEastAsia" w:eastAsiaTheme="minorEastAsia" w:cstheme="minorEastAsia"/>
          <w:color w:val="000000"/>
          <w:sz w:val="21"/>
          <w:szCs w:val="21"/>
          <w:highlight w:val="white"/>
        </w:rPr>
        <w:t>1.7 语言文字</w:t>
      </w:r>
      <w:bookmarkEnd w:id="71"/>
      <w:bookmarkEnd w:id="72"/>
      <w:bookmarkEnd w:id="73"/>
      <w:bookmarkEnd w:id="74"/>
      <w:bookmarkEnd w:id="75"/>
      <w:bookmarkEnd w:id="76"/>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除专用术语外，与招标投标有关的语言均使用中文。必要时专用术语应附有中文注释。</w:t>
      </w:r>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77" w:name="_Toc31413"/>
      <w:bookmarkStart w:id="78" w:name="_Toc387526187"/>
      <w:bookmarkStart w:id="79" w:name="_Toc387526291"/>
      <w:bookmarkStart w:id="80" w:name="_Toc511142446"/>
      <w:bookmarkStart w:id="81" w:name="_Toc387526383"/>
      <w:bookmarkStart w:id="82" w:name="_Toc397928557"/>
      <w:r>
        <w:rPr>
          <w:rFonts w:hint="eastAsia" w:asciiTheme="minorEastAsia" w:hAnsiTheme="minorEastAsia" w:eastAsiaTheme="minorEastAsia" w:cstheme="minorEastAsia"/>
          <w:color w:val="000000"/>
          <w:sz w:val="21"/>
          <w:szCs w:val="21"/>
          <w:highlight w:val="white"/>
        </w:rPr>
        <w:t>1.8 计量单位</w:t>
      </w:r>
      <w:bookmarkEnd w:id="77"/>
      <w:bookmarkEnd w:id="78"/>
      <w:bookmarkEnd w:id="79"/>
      <w:bookmarkEnd w:id="80"/>
      <w:bookmarkEnd w:id="81"/>
      <w:bookmarkEnd w:id="82"/>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所有计量均采用中华人民共和国法定计量单位。</w:t>
      </w:r>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83" w:name="_Toc387526384"/>
      <w:bookmarkStart w:id="84" w:name="_Toc25122"/>
      <w:bookmarkStart w:id="85" w:name="_Toc397928558"/>
      <w:bookmarkStart w:id="86" w:name="_Toc387526292"/>
      <w:bookmarkStart w:id="87" w:name="_Toc511142447"/>
      <w:bookmarkStart w:id="88" w:name="_Toc387526188"/>
      <w:r>
        <w:rPr>
          <w:rFonts w:hint="eastAsia" w:asciiTheme="minorEastAsia" w:hAnsiTheme="minorEastAsia" w:eastAsiaTheme="minorEastAsia" w:cstheme="minorEastAsia"/>
          <w:color w:val="000000"/>
          <w:sz w:val="21"/>
          <w:szCs w:val="21"/>
          <w:highlight w:val="white"/>
        </w:rPr>
        <w:t>1.9 踏勘现场</w:t>
      </w:r>
      <w:bookmarkEnd w:id="83"/>
      <w:bookmarkEnd w:id="84"/>
      <w:bookmarkEnd w:id="85"/>
      <w:bookmarkEnd w:id="86"/>
      <w:bookmarkEnd w:id="87"/>
      <w:bookmarkEnd w:id="88"/>
    </w:p>
    <w:p>
      <w:pPr>
        <w:autoSpaceDE w:val="0"/>
        <w:autoSpaceDN w:val="0"/>
        <w:adjustRightInd w:val="0"/>
        <w:spacing w:line="240" w:lineRule="auto"/>
        <w:ind w:firstLine="420" w:firstLineChars="2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1.9.1招标人不组织投标人踏勘现场，投标人可以自行对工程施工现场和周围环境进行勘察，以获取编制投标文件和签署合同所需的所有资料。施工现场的联系方式见须知前附表。</w:t>
      </w:r>
    </w:p>
    <w:p>
      <w:pPr>
        <w:autoSpaceDE w:val="0"/>
        <w:autoSpaceDN w:val="0"/>
        <w:adjustRightInd w:val="0"/>
        <w:spacing w:line="240" w:lineRule="auto"/>
        <w:ind w:firstLine="420" w:firstLineChars="2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1.9.2 投标人踏勘现场发生的费用自理。</w:t>
      </w:r>
    </w:p>
    <w:p>
      <w:pPr>
        <w:autoSpaceDE w:val="0"/>
        <w:autoSpaceDN w:val="0"/>
        <w:adjustRightInd w:val="0"/>
        <w:spacing w:line="240" w:lineRule="auto"/>
        <w:ind w:firstLine="420" w:firstLineChars="2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1.9.3 除招标人的原因外，投标人自行负责在踏勘现场中所发生的人员伤亡和财产损失。</w:t>
      </w:r>
    </w:p>
    <w:p>
      <w:pPr>
        <w:autoSpaceDE w:val="0"/>
        <w:autoSpaceDN w:val="0"/>
        <w:adjustRightInd w:val="0"/>
        <w:spacing w:line="240" w:lineRule="auto"/>
        <w:ind w:firstLine="420" w:firstLineChars="2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1.9.4 招标人向投标人提供的有关施工现场的资料和数据是招标人现有的能使投标人利用的资料。招标人对投标人由此而做出的推论、理解和结论概不负责。</w:t>
      </w:r>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89" w:name="_Toc387526293"/>
      <w:bookmarkStart w:id="90" w:name="_Toc11088"/>
      <w:bookmarkStart w:id="91" w:name="_Toc387526385"/>
      <w:bookmarkStart w:id="92" w:name="_Toc387526189"/>
      <w:bookmarkStart w:id="93" w:name="_Toc397928559"/>
      <w:bookmarkStart w:id="94" w:name="_Toc511142448"/>
      <w:r>
        <w:rPr>
          <w:rFonts w:hint="eastAsia" w:asciiTheme="minorEastAsia" w:hAnsiTheme="minorEastAsia" w:eastAsiaTheme="minorEastAsia" w:cstheme="minorEastAsia"/>
          <w:color w:val="000000"/>
          <w:sz w:val="21"/>
          <w:szCs w:val="21"/>
          <w:highlight w:val="white"/>
        </w:rPr>
        <w:t>1.10 投标预备会</w:t>
      </w:r>
      <w:bookmarkEnd w:id="89"/>
      <w:bookmarkEnd w:id="90"/>
      <w:bookmarkEnd w:id="91"/>
      <w:bookmarkEnd w:id="92"/>
      <w:bookmarkEnd w:id="93"/>
      <w:bookmarkEnd w:id="94"/>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详见投标须知前附表规定。</w:t>
      </w:r>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95" w:name="_Toc511142449"/>
      <w:bookmarkStart w:id="96" w:name="_Toc387526294"/>
      <w:bookmarkStart w:id="97" w:name="_Toc366679673"/>
      <w:bookmarkStart w:id="98" w:name="_Toc21970"/>
      <w:bookmarkStart w:id="99" w:name="_Toc387526386"/>
      <w:bookmarkStart w:id="100" w:name="_Toc387526190"/>
      <w:bookmarkStart w:id="101" w:name="_Toc397928560"/>
      <w:bookmarkStart w:id="102" w:name="_Toc367894799"/>
      <w:bookmarkStart w:id="103" w:name="_Toc363329371"/>
      <w:r>
        <w:rPr>
          <w:rFonts w:hint="eastAsia" w:asciiTheme="minorEastAsia" w:hAnsiTheme="minorEastAsia" w:eastAsiaTheme="minorEastAsia" w:cstheme="minorEastAsia"/>
          <w:color w:val="000000"/>
          <w:sz w:val="21"/>
          <w:szCs w:val="21"/>
          <w:highlight w:val="white"/>
        </w:rPr>
        <w:t>1.11 偏离</w:t>
      </w:r>
      <w:bookmarkEnd w:id="95"/>
      <w:bookmarkEnd w:id="96"/>
      <w:bookmarkEnd w:id="97"/>
      <w:bookmarkEnd w:id="98"/>
      <w:bookmarkEnd w:id="99"/>
      <w:bookmarkEnd w:id="100"/>
      <w:bookmarkEnd w:id="101"/>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投标人须知前附表允许投标文件偏离招标文件某些要求的，偏离应当符合招标文件规定的偏离范围和幅度。</w:t>
      </w:r>
    </w:p>
    <w:p>
      <w:pPr>
        <w:pStyle w:val="118"/>
        <w:spacing w:line="240" w:lineRule="auto"/>
        <w:rPr>
          <w:rFonts w:hint="eastAsia" w:asciiTheme="minorEastAsia" w:hAnsiTheme="minorEastAsia" w:eastAsiaTheme="minorEastAsia" w:cstheme="minorEastAsia"/>
        </w:rPr>
      </w:pPr>
      <w:bookmarkStart w:id="104" w:name="_Toc387526387"/>
      <w:bookmarkStart w:id="105" w:name="_Toc511142450"/>
      <w:bookmarkStart w:id="106" w:name="_Toc30422"/>
      <w:bookmarkStart w:id="107" w:name="_Toc368759376"/>
      <w:bookmarkStart w:id="108" w:name="_Toc368760428"/>
      <w:bookmarkStart w:id="109" w:name="_Toc397928561"/>
      <w:bookmarkStart w:id="110" w:name="_Toc387526191"/>
      <w:bookmarkStart w:id="111" w:name="_Toc369077562"/>
      <w:bookmarkStart w:id="112" w:name="_Toc387526295"/>
      <w:r>
        <w:rPr>
          <w:rFonts w:hint="eastAsia" w:asciiTheme="minorEastAsia" w:hAnsiTheme="minorEastAsia" w:eastAsiaTheme="minorEastAsia" w:cstheme="minorEastAsia"/>
        </w:rPr>
        <w:t>2. 招标文件</w:t>
      </w:r>
      <w:bookmarkEnd w:id="102"/>
      <w:bookmarkEnd w:id="103"/>
      <w:bookmarkEnd w:id="104"/>
      <w:bookmarkEnd w:id="105"/>
      <w:bookmarkEnd w:id="106"/>
      <w:bookmarkEnd w:id="107"/>
      <w:bookmarkEnd w:id="108"/>
      <w:bookmarkEnd w:id="109"/>
      <w:bookmarkEnd w:id="110"/>
      <w:bookmarkEnd w:id="111"/>
      <w:bookmarkEnd w:id="112"/>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113" w:name="_Toc387526388"/>
      <w:bookmarkStart w:id="114" w:name="_Toc387526296"/>
      <w:bookmarkStart w:id="115" w:name="_Toc387526192"/>
      <w:bookmarkStart w:id="116" w:name="_Toc511142451"/>
      <w:bookmarkStart w:id="117" w:name="_Toc397928562"/>
      <w:bookmarkStart w:id="118" w:name="_Toc23070"/>
      <w:r>
        <w:rPr>
          <w:rFonts w:hint="eastAsia" w:asciiTheme="minorEastAsia" w:hAnsiTheme="minorEastAsia" w:eastAsiaTheme="minorEastAsia" w:cstheme="minorEastAsia"/>
          <w:color w:val="000000"/>
          <w:sz w:val="21"/>
          <w:szCs w:val="21"/>
          <w:highlight w:val="white"/>
        </w:rPr>
        <w:t>2.1 招标文件组成</w:t>
      </w:r>
      <w:bookmarkEnd w:id="113"/>
      <w:bookmarkEnd w:id="114"/>
      <w:bookmarkEnd w:id="115"/>
      <w:bookmarkEnd w:id="116"/>
      <w:bookmarkEnd w:id="117"/>
      <w:bookmarkEnd w:id="118"/>
    </w:p>
    <w:p>
      <w:pPr>
        <w:shd w:val="clear" w:color="auto" w:fill="FFFFFF"/>
        <w:autoSpaceDE w:val="0"/>
        <w:autoSpaceDN w:val="0"/>
        <w:adjustRightInd w:val="0"/>
        <w:spacing w:line="240" w:lineRule="auto"/>
        <w:ind w:firstLine="420" w:firstLineChars="200"/>
        <w:jc w:val="left"/>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2.1.1 本招标文件包括：</w:t>
      </w:r>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（1）招标公告；</w:t>
      </w:r>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（2）投标人须知；</w:t>
      </w:r>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（3）评标办法；</w:t>
      </w:r>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（4）合同条款及格式；</w:t>
      </w:r>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（5）货物需求；</w:t>
      </w:r>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（6）投标文件格式；</w:t>
      </w:r>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（7）投标人须知前附表规定的其他材料。</w:t>
      </w:r>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2.1.2根据本章第1.10款、第2.2款和第2.3款对招标文件所作的澄清、修改，构成招标文件的组成部分。当招标文件相互之间发生矛盾时，以后发出的文件为准。</w:t>
      </w:r>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119" w:name="_Toc366679676"/>
      <w:bookmarkStart w:id="120" w:name="_Toc152042320"/>
      <w:bookmarkStart w:id="121" w:name="_Toc511142452"/>
      <w:bookmarkStart w:id="122" w:name="_Toc9593"/>
      <w:bookmarkStart w:id="123" w:name="_Toc387526389"/>
      <w:bookmarkStart w:id="124" w:name="_Toc387526297"/>
      <w:bookmarkStart w:id="125" w:name="_Toc144974512"/>
      <w:bookmarkStart w:id="126" w:name="_Toc247085703"/>
      <w:bookmarkStart w:id="127" w:name="_Toc246996189"/>
      <w:bookmarkStart w:id="128" w:name="_Toc152045544"/>
      <w:bookmarkStart w:id="129" w:name="_Toc179632562"/>
      <w:bookmarkStart w:id="130" w:name="_Toc246996932"/>
      <w:bookmarkStart w:id="131" w:name="_Toc387526193"/>
      <w:bookmarkStart w:id="132" w:name="_Toc397928563"/>
      <w:r>
        <w:rPr>
          <w:rFonts w:hint="eastAsia" w:asciiTheme="minorEastAsia" w:hAnsiTheme="minorEastAsia" w:eastAsiaTheme="minorEastAsia" w:cstheme="minorEastAsia"/>
          <w:color w:val="000000"/>
          <w:sz w:val="21"/>
          <w:szCs w:val="21"/>
          <w:highlight w:val="white"/>
        </w:rPr>
        <w:t>2.2 招标文件的澄清</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hint="eastAsia" w:asciiTheme="minorEastAsia" w:hAnsiTheme="minorEastAsia" w:eastAsiaTheme="minorEastAsia" w:cstheme="minorEastAsia"/>
          <w:color w:val="000000"/>
          <w:sz w:val="21"/>
          <w:szCs w:val="21"/>
          <w:highlight w:val="white"/>
        </w:rPr>
        <w:t xml:space="preserve"> </w:t>
      </w:r>
    </w:p>
    <w:p>
      <w:pPr>
        <w:shd w:val="clear" w:color="auto" w:fill="FFFFFF"/>
        <w:autoSpaceDE w:val="0"/>
        <w:autoSpaceDN w:val="0"/>
        <w:adjustRightInd w:val="0"/>
        <w:spacing w:line="240" w:lineRule="auto"/>
        <w:ind w:firstLine="420" w:firstLineChars="200"/>
        <w:jc w:val="left"/>
        <w:rPr>
          <w:rFonts w:hint="eastAsia" w:asciiTheme="minorEastAsia" w:hAnsiTheme="minorEastAsia" w:eastAsiaTheme="minorEastAsia" w:cstheme="minorEastAsia"/>
          <w:color w:val="FF0000"/>
          <w:szCs w:val="21"/>
          <w:highlight w:val="white"/>
        </w:rPr>
      </w:pPr>
      <w:r>
        <w:rPr>
          <w:rFonts w:hint="eastAsia" w:asciiTheme="minorEastAsia" w:hAnsiTheme="minorEastAsia" w:eastAsiaTheme="minorEastAsia" w:cstheme="minorEastAsia"/>
          <w:color w:val="000000"/>
          <w:szCs w:val="21"/>
          <w:highlight w:val="white"/>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w:t>
      </w:r>
      <w:r>
        <w:rPr>
          <w:rFonts w:hint="eastAsia" w:asciiTheme="minorEastAsia" w:hAnsiTheme="minorEastAsia" w:eastAsiaTheme="minorEastAsia" w:cstheme="minorEastAsia"/>
          <w:szCs w:val="21"/>
          <w:highlight w:val="white"/>
        </w:rPr>
        <w:t>求招标人对招标文件予以澄清，招标人应当在3个工作日内对供应商依法提出的询问作出答复。</w:t>
      </w:r>
    </w:p>
    <w:p>
      <w:pPr>
        <w:shd w:val="clear" w:color="auto" w:fill="FFFFFF"/>
        <w:autoSpaceDE w:val="0"/>
        <w:autoSpaceDN w:val="0"/>
        <w:adjustRightInd w:val="0"/>
        <w:spacing w:line="240" w:lineRule="auto"/>
        <w:ind w:firstLine="420" w:firstLineChars="200"/>
        <w:jc w:val="left"/>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2.2.2 招标文件的澄清将在投标人须知前附表规定的投标截止时间15天前以“补充答疑”的形式在</w:t>
      </w:r>
      <w:r>
        <w:rPr>
          <w:rFonts w:hint="eastAsia" w:asciiTheme="minorEastAsia" w:hAnsiTheme="minorEastAsia" w:eastAsiaTheme="minorEastAsia" w:cstheme="minorEastAsia"/>
          <w:color w:val="000000"/>
          <w:szCs w:val="21"/>
          <w:highlight w:val="white"/>
          <w:u w:val="single"/>
        </w:rPr>
        <w:t>大丰公共资源交易平台(http://ggzy.dafeng.gov.cn/dfweb/)上</w:t>
      </w:r>
      <w:r>
        <w:rPr>
          <w:rFonts w:hint="eastAsia" w:asciiTheme="minorEastAsia" w:hAnsiTheme="minorEastAsia" w:eastAsiaTheme="minorEastAsia" w:cstheme="minorEastAsia"/>
          <w:color w:val="000000"/>
          <w:szCs w:val="21"/>
          <w:highlight w:val="white"/>
        </w:rPr>
        <w:t>公开发布，但不指明澄清问题的来源。如果澄清发出的时间距投标截止时间不足15天，且澄清内容影响投标文件编制的，相应延长投标截止时间。</w:t>
      </w:r>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133" w:name="_Toc179632563"/>
      <w:bookmarkStart w:id="134" w:name="_Toc247085704"/>
      <w:bookmarkStart w:id="135" w:name="_Toc246996933"/>
      <w:bookmarkStart w:id="136" w:name="_Toc387526194"/>
      <w:bookmarkStart w:id="137" w:name="_Toc387526390"/>
      <w:bookmarkStart w:id="138" w:name="_Toc387526298"/>
      <w:bookmarkStart w:id="139" w:name="_Toc19263"/>
      <w:bookmarkStart w:id="140" w:name="_Toc511142453"/>
      <w:bookmarkStart w:id="141" w:name="_Toc397928564"/>
      <w:bookmarkStart w:id="142" w:name="_Toc246996190"/>
      <w:bookmarkStart w:id="143" w:name="_Toc366679677"/>
      <w:r>
        <w:rPr>
          <w:rFonts w:hint="eastAsia" w:asciiTheme="minorEastAsia" w:hAnsiTheme="minorEastAsia" w:eastAsiaTheme="minorEastAsia" w:cstheme="minorEastAsia"/>
          <w:color w:val="000000"/>
          <w:sz w:val="21"/>
          <w:szCs w:val="21"/>
          <w:highlight w:val="white"/>
        </w:rPr>
        <w:t>2.3 招标文件的修改</w:t>
      </w:r>
      <w:bookmarkEnd w:id="133"/>
      <w:bookmarkEnd w:id="134"/>
      <w:bookmarkEnd w:id="135"/>
      <w:bookmarkEnd w:id="136"/>
      <w:bookmarkEnd w:id="137"/>
      <w:bookmarkEnd w:id="138"/>
      <w:bookmarkEnd w:id="139"/>
      <w:bookmarkEnd w:id="140"/>
      <w:bookmarkEnd w:id="141"/>
      <w:bookmarkEnd w:id="142"/>
      <w:bookmarkEnd w:id="143"/>
    </w:p>
    <w:p>
      <w:pPr>
        <w:shd w:val="clear" w:color="auto" w:fill="FFFFFF"/>
        <w:autoSpaceDE w:val="0"/>
        <w:autoSpaceDN w:val="0"/>
        <w:adjustRightInd w:val="0"/>
        <w:spacing w:line="240" w:lineRule="auto"/>
        <w:ind w:firstLine="420" w:firstLineChars="200"/>
        <w:jc w:val="left"/>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2.3.1 在投标截止时间15天前，招标人可以以“补充答疑”的形式在</w:t>
      </w:r>
      <w:r>
        <w:rPr>
          <w:rFonts w:hint="eastAsia" w:asciiTheme="minorEastAsia" w:hAnsiTheme="minorEastAsia" w:eastAsiaTheme="minorEastAsia" w:cstheme="minorEastAsia"/>
          <w:color w:val="000000"/>
          <w:szCs w:val="21"/>
          <w:highlight w:val="white"/>
          <w:u w:val="single"/>
        </w:rPr>
        <w:t>大丰公共资源交易平台</w:t>
      </w:r>
      <w:r>
        <w:rPr>
          <w:rStyle w:val="48"/>
          <w:rFonts w:hint="eastAsia" w:asciiTheme="minorEastAsia" w:hAnsiTheme="minorEastAsia" w:eastAsiaTheme="minorEastAsia" w:cstheme="minorEastAsia"/>
          <w:b/>
          <w:color w:val="000000"/>
          <w:szCs w:val="21"/>
        </w:rPr>
        <w:t>(http://ggzy.dafeng.gov.cn/dfweb/)</w:t>
      </w:r>
      <w:r>
        <w:rPr>
          <w:rFonts w:hint="eastAsia" w:asciiTheme="minorEastAsia" w:hAnsiTheme="minorEastAsia" w:eastAsiaTheme="minorEastAsia" w:cstheme="minorEastAsia"/>
          <w:color w:val="000000"/>
          <w:szCs w:val="21"/>
          <w:highlight w:val="white"/>
          <w:u w:val="single"/>
        </w:rPr>
        <w:t>上</w:t>
      </w:r>
      <w:r>
        <w:rPr>
          <w:rFonts w:hint="eastAsia" w:asciiTheme="minorEastAsia" w:hAnsiTheme="minorEastAsia" w:eastAsiaTheme="minorEastAsia" w:cstheme="minorEastAsia"/>
          <w:color w:val="000000"/>
          <w:szCs w:val="21"/>
          <w:highlight w:val="white"/>
        </w:rPr>
        <w:t>修改招标文件。如果修改招标文件的时间距投标截止时间不足15天，且修改内容影响投标文件编制的，相应延长投标截止时间。</w:t>
      </w:r>
    </w:p>
    <w:p>
      <w:pPr>
        <w:pStyle w:val="118"/>
        <w:spacing w:line="240" w:lineRule="auto"/>
        <w:rPr>
          <w:rFonts w:hint="eastAsia" w:asciiTheme="minorEastAsia" w:hAnsiTheme="minorEastAsia" w:eastAsiaTheme="minorEastAsia" w:cstheme="minorEastAsia"/>
        </w:rPr>
      </w:pPr>
      <w:bookmarkStart w:id="144" w:name="_Toc397928565"/>
      <w:bookmarkStart w:id="145" w:name="_Toc368760429"/>
      <w:bookmarkStart w:id="146" w:name="_Toc511142454"/>
      <w:bookmarkStart w:id="147" w:name="_Toc387526299"/>
      <w:bookmarkStart w:id="148" w:name="_Toc387526391"/>
      <w:bookmarkStart w:id="149" w:name="_Toc367894800"/>
      <w:bookmarkStart w:id="150" w:name="_Toc363329372"/>
      <w:bookmarkStart w:id="151" w:name="_Toc369077563"/>
      <w:bookmarkStart w:id="152" w:name="_Toc368759377"/>
      <w:bookmarkStart w:id="153" w:name="_Toc19481"/>
      <w:bookmarkStart w:id="154" w:name="_Toc387526195"/>
      <w:bookmarkStart w:id="155" w:name="_Toc119718089"/>
      <w:r>
        <w:rPr>
          <w:rFonts w:hint="eastAsia" w:asciiTheme="minorEastAsia" w:hAnsiTheme="minorEastAsia" w:eastAsiaTheme="minorEastAsia" w:cstheme="minorEastAsia"/>
        </w:rPr>
        <w:t>3. 投标文件</w:t>
      </w:r>
      <w:bookmarkEnd w:id="144"/>
      <w:bookmarkEnd w:id="145"/>
      <w:bookmarkEnd w:id="146"/>
      <w:bookmarkEnd w:id="147"/>
      <w:bookmarkEnd w:id="148"/>
      <w:bookmarkEnd w:id="149"/>
      <w:bookmarkEnd w:id="150"/>
      <w:bookmarkEnd w:id="151"/>
      <w:bookmarkEnd w:id="152"/>
      <w:bookmarkEnd w:id="153"/>
      <w:bookmarkEnd w:id="154"/>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156" w:name="_Toc387526196"/>
      <w:bookmarkStart w:id="157" w:name="_Toc511142455"/>
      <w:bookmarkStart w:id="158" w:name="_Toc387526300"/>
      <w:bookmarkStart w:id="159" w:name="_Toc387526392"/>
      <w:bookmarkStart w:id="160" w:name="_Toc397928566"/>
      <w:bookmarkStart w:id="161" w:name="_Toc5625"/>
      <w:r>
        <w:rPr>
          <w:rFonts w:hint="eastAsia" w:asciiTheme="minorEastAsia" w:hAnsiTheme="minorEastAsia" w:eastAsiaTheme="minorEastAsia" w:cstheme="minorEastAsia"/>
          <w:color w:val="000000"/>
          <w:sz w:val="21"/>
          <w:szCs w:val="21"/>
          <w:highlight w:val="white"/>
        </w:rPr>
        <w:t>3.1 投标文件</w:t>
      </w:r>
      <w:bookmarkEnd w:id="155"/>
      <w:r>
        <w:rPr>
          <w:rFonts w:hint="eastAsia" w:asciiTheme="minorEastAsia" w:hAnsiTheme="minorEastAsia" w:eastAsiaTheme="minorEastAsia" w:cstheme="minorEastAsia"/>
          <w:color w:val="000000"/>
          <w:sz w:val="21"/>
          <w:szCs w:val="21"/>
          <w:highlight w:val="white"/>
        </w:rPr>
        <w:t>的组成</w:t>
      </w:r>
      <w:bookmarkEnd w:id="156"/>
      <w:bookmarkEnd w:id="157"/>
      <w:bookmarkEnd w:id="158"/>
      <w:bookmarkEnd w:id="159"/>
      <w:bookmarkEnd w:id="160"/>
      <w:bookmarkEnd w:id="161"/>
    </w:p>
    <w:p>
      <w:pPr>
        <w:spacing w:line="240" w:lineRule="auto"/>
        <w:ind w:left="478" w:leftChars="228"/>
        <w:rPr>
          <w:rFonts w:hint="eastAsia" w:asciiTheme="minorEastAsia" w:hAnsiTheme="minorEastAsia" w:eastAsiaTheme="minorEastAsia" w:cstheme="minorEastAsia"/>
          <w:b/>
          <w:color w:val="000000"/>
          <w:szCs w:val="21"/>
          <w:highlight w:val="white"/>
        </w:rPr>
      </w:pPr>
      <w:r>
        <w:rPr>
          <w:rFonts w:hint="eastAsia" w:asciiTheme="minorEastAsia" w:hAnsiTheme="minorEastAsia" w:eastAsiaTheme="minorEastAsia" w:cstheme="minorEastAsia"/>
          <w:b/>
          <w:color w:val="000000"/>
          <w:szCs w:val="21"/>
          <w:highlight w:val="white"/>
        </w:rPr>
        <w:t>投标文件由资信文件、商务文件、技术文件、开标一览表共四部份组成。</w:t>
      </w:r>
    </w:p>
    <w:p>
      <w:pPr>
        <w:spacing w:line="240" w:lineRule="auto"/>
        <w:ind w:left="478" w:leftChars="228"/>
        <w:rPr>
          <w:rFonts w:hint="eastAsia" w:asciiTheme="minorEastAsia" w:hAnsiTheme="minorEastAsia" w:eastAsiaTheme="minorEastAsia" w:cstheme="minorEastAsia"/>
          <w:b/>
          <w:color w:val="000000"/>
          <w:szCs w:val="21"/>
          <w:highlight w:val="white"/>
        </w:rPr>
      </w:pPr>
      <w:r>
        <w:rPr>
          <w:rFonts w:hint="eastAsia" w:asciiTheme="minorEastAsia" w:hAnsiTheme="minorEastAsia" w:eastAsiaTheme="minorEastAsia" w:cstheme="minorEastAsia"/>
          <w:b/>
          <w:color w:val="000000"/>
          <w:szCs w:val="21"/>
          <w:highlight w:val="white"/>
        </w:rPr>
        <w:t>3.1.1投标文件包括资信文件、商务文件、技术文件及开标一览表</w:t>
      </w:r>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（1）</w:t>
      </w:r>
      <w:r>
        <w:rPr>
          <w:rFonts w:hint="eastAsia" w:asciiTheme="minorEastAsia" w:hAnsiTheme="minorEastAsia" w:eastAsiaTheme="minorEastAsia" w:cstheme="minorEastAsia"/>
          <w:b/>
          <w:color w:val="000000"/>
          <w:szCs w:val="21"/>
          <w:highlight w:val="white"/>
        </w:rPr>
        <w:t>资信文件</w:t>
      </w:r>
      <w:r>
        <w:rPr>
          <w:rFonts w:hint="eastAsia" w:asciiTheme="minorEastAsia" w:hAnsiTheme="minorEastAsia" w:eastAsiaTheme="minorEastAsia" w:cstheme="minorEastAsia"/>
          <w:color w:val="000000"/>
          <w:szCs w:val="21"/>
          <w:highlight w:val="white"/>
        </w:rPr>
        <w:t>应包括如下内容：</w:t>
      </w:r>
    </w:p>
    <w:p>
      <w:pPr>
        <w:pStyle w:val="5"/>
        <w:spacing w:before="60" w:after="60" w:line="240" w:lineRule="auto"/>
        <w:ind w:firstLine="522" w:firstLineChars="249"/>
        <w:rPr>
          <w:rFonts w:hint="eastAsia" w:asciiTheme="minorEastAsia" w:hAnsiTheme="minorEastAsia" w:eastAsiaTheme="minorEastAsia" w:cstheme="minorEastAsia"/>
          <w:color w:val="000000"/>
          <w:sz w:val="21"/>
          <w:szCs w:val="21"/>
          <w:highlight w:val="white"/>
        </w:rPr>
      </w:pPr>
      <w:bookmarkStart w:id="609" w:name="_GoBack"/>
      <w:bookmarkEnd w:id="609"/>
      <w:r>
        <w:rPr>
          <w:rFonts w:hint="eastAsia" w:asciiTheme="minorEastAsia" w:hAnsiTheme="minorEastAsia" w:eastAsiaTheme="minorEastAsia" w:cstheme="minorEastAsia"/>
          <w:color w:val="000000"/>
          <w:sz w:val="21"/>
          <w:szCs w:val="21"/>
          <w:highlight w:val="white"/>
        </w:rPr>
        <w:t>主要包括下述材料原件和复印件（复印件须装订在投标文件中，原件须同投标文件一并密封提交，不需装订）：</w:t>
      </w:r>
    </w:p>
    <w:p>
      <w:pPr>
        <w:pStyle w:val="5"/>
        <w:spacing w:before="60" w:after="60" w:line="240" w:lineRule="auto"/>
        <w:ind w:firstLine="522" w:firstLineChars="249"/>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①投标企业营业执照（副本）；</w:t>
      </w:r>
      <w:r>
        <w:rPr>
          <w:rFonts w:hint="eastAsia" w:asciiTheme="minorEastAsia" w:hAnsiTheme="minorEastAsia" w:eastAsiaTheme="minorEastAsia" w:cstheme="minorEastAsia"/>
          <w:color w:val="000000"/>
          <w:sz w:val="21"/>
          <w:szCs w:val="21"/>
          <w:highlight w:val="white"/>
          <w:lang w:eastAsia="zh-CN"/>
        </w:rPr>
        <w:t>②</w:t>
      </w:r>
      <w:r>
        <w:rPr>
          <w:rFonts w:hint="eastAsia" w:asciiTheme="minorEastAsia" w:hAnsiTheme="minorEastAsia" w:eastAsiaTheme="minorEastAsia" w:cstheme="minorEastAsia"/>
          <w:color w:val="000000"/>
          <w:sz w:val="21"/>
          <w:szCs w:val="21"/>
          <w:highlight w:val="white"/>
        </w:rPr>
        <w:t>投标人有效的《医疗器械生产许可证》或《医疗器械经营许可证》或《医疗器械经营备案凭证》；③投标人针对本项目评标办法认为需要提供的其他材料。</w:t>
      </w:r>
    </w:p>
    <w:p>
      <w:pPr>
        <w:spacing w:line="240" w:lineRule="auto"/>
        <w:ind w:firstLine="420" w:firstLineChars="200"/>
        <w:rPr>
          <w:rFonts w:hint="eastAsia" w:asciiTheme="minorEastAsia" w:hAnsiTheme="minorEastAsia" w:eastAsiaTheme="minorEastAsia" w:cstheme="minorEastAsia"/>
          <w:b/>
          <w:color w:val="000000"/>
          <w:szCs w:val="21"/>
          <w:highlight w:val="white"/>
        </w:rPr>
      </w:pPr>
      <w:r>
        <w:rPr>
          <w:rFonts w:hint="eastAsia" w:asciiTheme="minorEastAsia" w:hAnsiTheme="minorEastAsia" w:eastAsiaTheme="minorEastAsia" w:cstheme="minorEastAsia"/>
          <w:b/>
          <w:color w:val="000000"/>
          <w:szCs w:val="21"/>
          <w:highlight w:val="white"/>
        </w:rPr>
        <w:t>资格审查内容为①</w:t>
      </w:r>
      <w:r>
        <w:rPr>
          <w:rFonts w:hint="eastAsia" w:asciiTheme="minorEastAsia" w:hAnsiTheme="minorEastAsia" w:eastAsiaTheme="minorEastAsia" w:cstheme="minorEastAsia"/>
          <w:b/>
          <w:color w:val="000000"/>
          <w:szCs w:val="21"/>
          <w:highlight w:val="white"/>
          <w:lang w:eastAsia="zh-CN"/>
        </w:rPr>
        <w:t>、②</w:t>
      </w:r>
      <w:r>
        <w:rPr>
          <w:rFonts w:hint="eastAsia" w:asciiTheme="minorEastAsia" w:hAnsiTheme="minorEastAsia" w:eastAsiaTheme="minorEastAsia" w:cstheme="minorEastAsia"/>
          <w:b/>
          <w:color w:val="000000"/>
          <w:szCs w:val="21"/>
          <w:highlight w:val="white"/>
        </w:rPr>
        <w:t>项，若缺少原件，则资格审查不通过，不进入后续评审。</w:t>
      </w:r>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（2）</w:t>
      </w:r>
      <w:r>
        <w:rPr>
          <w:rFonts w:hint="eastAsia" w:asciiTheme="minorEastAsia" w:hAnsiTheme="minorEastAsia" w:eastAsiaTheme="minorEastAsia" w:cstheme="minorEastAsia"/>
          <w:b/>
          <w:color w:val="000000"/>
          <w:szCs w:val="21"/>
          <w:highlight w:val="white"/>
        </w:rPr>
        <w:t>商务文件</w:t>
      </w:r>
      <w:r>
        <w:rPr>
          <w:rFonts w:hint="eastAsia" w:asciiTheme="minorEastAsia" w:hAnsiTheme="minorEastAsia" w:eastAsiaTheme="minorEastAsia" w:cstheme="minorEastAsia"/>
          <w:color w:val="000000"/>
          <w:szCs w:val="21"/>
          <w:highlight w:val="white"/>
        </w:rPr>
        <w:t>应包括如下内容：</w:t>
      </w:r>
    </w:p>
    <w:p>
      <w:pPr>
        <w:spacing w:line="240" w:lineRule="auto"/>
        <w:ind w:firstLine="1050" w:firstLineChars="5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投标函</w:t>
      </w:r>
    </w:p>
    <w:p>
      <w:pPr>
        <w:spacing w:line="240" w:lineRule="auto"/>
        <w:ind w:firstLine="1050" w:firstLineChars="5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法定代表人证明、投标授权委托书（如有授权）</w:t>
      </w:r>
    </w:p>
    <w:p>
      <w:pPr>
        <w:spacing w:line="240" w:lineRule="auto"/>
        <w:ind w:firstLine="1050" w:firstLineChars="5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投标报价汇总表</w:t>
      </w:r>
      <w:r>
        <w:rPr>
          <w:rFonts w:hint="eastAsia" w:asciiTheme="minorEastAsia" w:hAnsiTheme="minorEastAsia" w:eastAsiaTheme="minorEastAsia" w:cstheme="minorEastAsia"/>
          <w:szCs w:val="21"/>
        </w:rPr>
        <w:t>及分项报价表（至少须含招标需求中的内容的价格构成因素）</w:t>
      </w:r>
    </w:p>
    <w:p>
      <w:pPr>
        <w:spacing w:line="240" w:lineRule="auto"/>
        <w:ind w:firstLine="1050" w:firstLineChars="5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商务及技术条款偏离表</w:t>
      </w:r>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（3）</w:t>
      </w:r>
      <w:r>
        <w:rPr>
          <w:rFonts w:hint="eastAsia" w:asciiTheme="minorEastAsia" w:hAnsiTheme="minorEastAsia" w:eastAsiaTheme="minorEastAsia" w:cstheme="minorEastAsia"/>
          <w:b/>
          <w:color w:val="000000"/>
          <w:szCs w:val="21"/>
          <w:highlight w:val="white"/>
        </w:rPr>
        <w:t>技术文件</w:t>
      </w:r>
      <w:r>
        <w:rPr>
          <w:rFonts w:hint="eastAsia" w:asciiTheme="minorEastAsia" w:hAnsiTheme="minorEastAsia" w:eastAsiaTheme="minorEastAsia" w:cstheme="minorEastAsia"/>
          <w:color w:val="000000"/>
          <w:szCs w:val="21"/>
          <w:highlight w:val="white"/>
        </w:rPr>
        <w:t>应包括如下内容：</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A、投标人针对本项目的总体说明，投标设备主要技术性能、配置、技术参数、功能描述及投标设备规格、技术配置参数；</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B、保证投标设备和系统正常和连续运转行间所需的所有备品备件和专用工具清单；</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C、安装调试方案、安全、质量保证措施：</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包括但不限于以下几个方面：</w:t>
      </w:r>
    </w:p>
    <w:p>
      <w:pPr>
        <w:snapToGrid w:val="0"/>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主要包括拟提供货物和服务的主要技术指标和性能的详细说明、货物安装、验收标准、技术资料，以及投标人的服务承诺应按不低于招标文件中商务要求的标准，</w:t>
      </w:r>
    </w:p>
    <w:p>
      <w:pPr>
        <w:snapToGrid w:val="0"/>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设备硬件及配套软件的售后服务承诺，至少包括下列内容：质保期限，投标人有关售后服务的管理制度、售后服务机构的分布情况、售后服务人员的数量、素质、技术水平及售后服务的反应能力。</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D、其他可以证明投标人资信、相应产品售后服务、相关证书及检测报告等资料：</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E、投标人满足本项目评标办法认为所需提供的其他材料。</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（4）开标一览表的要求</w:t>
      </w:r>
    </w:p>
    <w:p>
      <w:pPr>
        <w:spacing w:line="240" w:lineRule="auto"/>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开标一览表密封袋里须附（法定代表人身份证明书）或（授权委托代理人的身份证复印件及授权委托书）</w:t>
      </w:r>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3.1.2 第六章“投标文件格式”要求提供相关证明材料的复印件作为附件的，投标人应按要求在投标文件中提供相应材料，否则不予认可。</w:t>
      </w:r>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162" w:name="_Toc10820"/>
      <w:bookmarkStart w:id="163" w:name="_Toc397928567"/>
      <w:bookmarkStart w:id="164" w:name="_Toc387526393"/>
      <w:bookmarkStart w:id="165" w:name="_Toc511142456"/>
      <w:bookmarkStart w:id="166" w:name="_Toc387526301"/>
      <w:bookmarkStart w:id="167" w:name="_Toc387526197"/>
      <w:r>
        <w:rPr>
          <w:rFonts w:hint="eastAsia" w:asciiTheme="minorEastAsia" w:hAnsiTheme="minorEastAsia" w:eastAsiaTheme="minorEastAsia" w:cstheme="minorEastAsia"/>
          <w:color w:val="000000"/>
          <w:sz w:val="21"/>
          <w:szCs w:val="21"/>
          <w:highlight w:val="white"/>
        </w:rPr>
        <w:t>3.2 投标报价</w:t>
      </w:r>
      <w:bookmarkEnd w:id="162"/>
      <w:bookmarkEnd w:id="163"/>
      <w:bookmarkEnd w:id="164"/>
      <w:bookmarkEnd w:id="165"/>
      <w:bookmarkEnd w:id="166"/>
      <w:bookmarkEnd w:id="167"/>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3.2.1投标报价应包含本招标文件中的全部内容所需的所有费用。</w:t>
      </w:r>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3.2.2投标人按投标人须知前附表的具体规定进行报价。</w:t>
      </w:r>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3.2.3招标人设有最高投标限价的，投标人的投标报价不得超过最高投标限价，最高投标限价见投标人须知前附表。</w:t>
      </w:r>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3.2.4计价方式</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投标报价是履行合同的最终价格，是</w:t>
      </w:r>
      <w:r>
        <w:rPr>
          <w:rFonts w:hint="eastAsia" w:asciiTheme="minorEastAsia" w:hAnsiTheme="minorEastAsia" w:eastAsiaTheme="minorEastAsia" w:cstheme="minorEastAsia"/>
          <w:color w:val="000000"/>
          <w:szCs w:val="21"/>
        </w:rPr>
        <w:t>投标人承诺的质量目标和项目完成时间内为完成招标文件所确定的招标范围的全部内容的全部价格体现。报价时须充分考虑货物价格（</w:t>
      </w:r>
      <w:r>
        <w:rPr>
          <w:rFonts w:hint="eastAsia" w:asciiTheme="minorEastAsia" w:hAnsiTheme="minorEastAsia" w:eastAsiaTheme="minorEastAsia" w:cstheme="minorEastAsia"/>
          <w:szCs w:val="21"/>
        </w:rPr>
        <w:t>包括全部货物和服务的价格</w:t>
      </w:r>
      <w:r>
        <w:rPr>
          <w:rFonts w:hint="eastAsia" w:asciiTheme="minorEastAsia" w:hAnsiTheme="minorEastAsia" w:eastAsiaTheme="minorEastAsia" w:cstheme="minorEastAsia"/>
          <w:color w:val="000000"/>
          <w:szCs w:val="21"/>
        </w:rPr>
        <w:t>、辅材、备品备件、专用工具、技术资料等）、包装费、运杂费、保险费、安装调试费、设备运至采购人指定地点后的保管费</w:t>
      </w:r>
      <w:r>
        <w:rPr>
          <w:rFonts w:hint="eastAsia" w:asciiTheme="minorEastAsia" w:hAnsiTheme="minorEastAsia" w:eastAsiaTheme="minorEastAsia" w:cstheme="minorEastAsia"/>
          <w:szCs w:val="21"/>
        </w:rPr>
        <w:t>、平台系统的集成对接、测试</w:t>
      </w:r>
      <w:r>
        <w:rPr>
          <w:rFonts w:hint="eastAsia" w:asciiTheme="minorEastAsia" w:hAnsiTheme="minorEastAsia" w:eastAsiaTheme="minorEastAsia" w:cstheme="minorEastAsia"/>
          <w:color w:val="000000"/>
          <w:szCs w:val="21"/>
        </w:rPr>
        <w:t>、质量保修期内的维护费用、调试费、验收费、技术服务费、培训费、税费、企业管理费、利润、招标代理费等服务费用以及所有不可预见的全部相关费用（应充分考虑所有风险、责任等），结算时招标采购单位不因此增加任何费用给中标人。</w:t>
      </w:r>
      <w:r>
        <w:rPr>
          <w:rFonts w:hint="eastAsia" w:asciiTheme="minorEastAsia" w:hAnsiTheme="minorEastAsia" w:eastAsiaTheme="minorEastAsia" w:cstheme="minorEastAsia"/>
        </w:rPr>
        <w:t>投标人亦可注明提供其它优惠免费服务项目。</w:t>
      </w:r>
      <w:r>
        <w:rPr>
          <w:rFonts w:hint="eastAsia" w:asciiTheme="minorEastAsia" w:hAnsiTheme="minorEastAsia" w:eastAsiaTheme="minorEastAsia" w:cstheme="minorEastAsia"/>
          <w:color w:val="000000"/>
          <w:szCs w:val="21"/>
        </w:rPr>
        <w:t>投标报价为最终结算价，因特殊原因并经买卖双方协商同意，投标人不得再要求追加任何费用。同时，除非合同条款中另有规定，否则，投标单位所报单价在合同实施期间不因市场变化因素而变动。</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除非招标人对招标文件予以修改，投标人应按招标人提供的招标需求中列出的设备项目填报单价和合价。每一项目只允许有一个报价。任何有选择的报价将不予接受。投标人未填报设备项目清单中列出的设备项目的单价或合价的项目，在项目实施后，招标人将不予支付，并视为该项费用已包括在其它有价款的单价或合价内。</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所报价格包含为保证本项目的正常运行所必须的设备、配件等，未列入的清单或技术参数（若有缺失项）投标人须自行补充完整，采购人认为参加本项目投标的潜在供应商应是具有足够经验、供货能力的企业，采购文件提供的清单、技术要求仅是对采购设备的不完整描述，采购人在验收时要求成交供应商所供设备具有完整性与成套性，整体设备要求运行可靠，采购文件中所提及技术参数投标人所供设备必须满足或优于。投标人因自身原因考虑不周并不影响合同的履行及最终质量的验收，招标人不因投标人投标时考虑不周而额外补偿任何费用。</w:t>
      </w:r>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投标人应先到项目现场踏勘以充分了解项目实施地点位置、情况、道路、储存空间、装卸限制以及任何其他足以影响承包价的情况，任何因忽视或误解工地情况而导致的索赔或工期延长申请将不被批准。</w:t>
      </w:r>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168" w:name="_Toc387526394"/>
      <w:bookmarkStart w:id="169" w:name="_Toc397928568"/>
      <w:bookmarkStart w:id="170" w:name="_Toc21008"/>
      <w:bookmarkStart w:id="171" w:name="_Toc387526302"/>
      <w:bookmarkStart w:id="172" w:name="_Toc511142457"/>
      <w:bookmarkStart w:id="173" w:name="_Toc387526198"/>
      <w:r>
        <w:rPr>
          <w:rFonts w:hint="eastAsia" w:asciiTheme="minorEastAsia" w:hAnsiTheme="minorEastAsia" w:eastAsiaTheme="minorEastAsia" w:cstheme="minorEastAsia"/>
          <w:color w:val="000000"/>
          <w:sz w:val="21"/>
          <w:szCs w:val="21"/>
          <w:highlight w:val="white"/>
        </w:rPr>
        <w:t>3.3 投标有效期</w:t>
      </w:r>
      <w:bookmarkEnd w:id="168"/>
      <w:bookmarkEnd w:id="169"/>
      <w:bookmarkEnd w:id="170"/>
      <w:bookmarkEnd w:id="171"/>
      <w:bookmarkEnd w:id="172"/>
      <w:bookmarkEnd w:id="173"/>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highlight w:val="white"/>
        </w:rPr>
        <w:t>3.3.1 在投标人须知前附表第3.3.1条规定的投标有效期内，投标人不得要求撤销或修改其投标文件。</w:t>
      </w:r>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 xml:space="preserve">3.3.2出现特殊情况需要延长投标有效期的，招标人应通知所有投标人延长投标有效期。投标人同意延长的，应相应延长其投标保证金的有效期，但不得要求或被允许修改或撤销其投标文件；投标人拒绝延长的，其投标失效，但投标人有权收回其投标保证金。 </w:t>
      </w:r>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174" w:name="_Toc387526199"/>
      <w:bookmarkStart w:id="175" w:name="_Toc387526395"/>
      <w:bookmarkStart w:id="176" w:name="_Toc511142458"/>
      <w:bookmarkStart w:id="177" w:name="_Toc387526303"/>
      <w:bookmarkStart w:id="178" w:name="_Toc397928569"/>
      <w:bookmarkStart w:id="179" w:name="_Toc15701"/>
      <w:r>
        <w:rPr>
          <w:rFonts w:hint="eastAsia" w:asciiTheme="minorEastAsia" w:hAnsiTheme="minorEastAsia" w:eastAsiaTheme="minorEastAsia" w:cstheme="minorEastAsia"/>
          <w:color w:val="000000"/>
          <w:sz w:val="21"/>
          <w:szCs w:val="21"/>
          <w:highlight w:val="white"/>
        </w:rPr>
        <w:t>3.4投标保证金</w:t>
      </w:r>
      <w:bookmarkEnd w:id="174"/>
      <w:bookmarkEnd w:id="175"/>
      <w:bookmarkEnd w:id="176"/>
      <w:bookmarkEnd w:id="177"/>
      <w:bookmarkEnd w:id="178"/>
      <w:bookmarkEnd w:id="179"/>
    </w:p>
    <w:p>
      <w:pPr>
        <w:spacing w:line="240" w:lineRule="auto"/>
        <w:ind w:firstLine="420" w:firstLineChars="200"/>
        <w:rPr>
          <w:rFonts w:hint="eastAsia" w:asciiTheme="minorEastAsia" w:hAnsiTheme="minorEastAsia" w:eastAsiaTheme="minorEastAsia" w:cstheme="minorEastAsia"/>
          <w:color w:val="000000"/>
          <w:szCs w:val="21"/>
          <w:highlight w:val="white"/>
        </w:rPr>
      </w:pPr>
      <w:bookmarkStart w:id="180" w:name="_Toc324255909"/>
      <w:bookmarkStart w:id="181" w:name="_Toc339359765"/>
      <w:bookmarkStart w:id="182" w:name="_Toc269310939"/>
      <w:r>
        <w:rPr>
          <w:rFonts w:hint="eastAsia" w:asciiTheme="minorEastAsia" w:hAnsiTheme="minorEastAsia" w:eastAsiaTheme="minorEastAsia" w:cstheme="minorEastAsia"/>
          <w:color w:val="000000"/>
          <w:szCs w:val="21"/>
          <w:highlight w:val="white"/>
        </w:rPr>
        <w:t>3.4.1 投标人应按投标人须知前附表规定的金额和形式从投标企业的法人基本存款账户缴纳</w:t>
      </w:r>
      <w:r>
        <w:rPr>
          <w:rFonts w:hint="eastAsia" w:asciiTheme="minorEastAsia" w:hAnsiTheme="minorEastAsia" w:eastAsiaTheme="minorEastAsia" w:cstheme="minorEastAsia"/>
          <w:color w:val="000000"/>
          <w:szCs w:val="21"/>
        </w:rPr>
        <w:t>投标保证金</w:t>
      </w:r>
      <w:r>
        <w:rPr>
          <w:rFonts w:hint="eastAsia" w:asciiTheme="minorEastAsia" w:hAnsiTheme="minorEastAsia" w:eastAsiaTheme="minorEastAsia" w:cstheme="minorEastAsia"/>
          <w:color w:val="000000"/>
          <w:szCs w:val="21"/>
          <w:highlight w:val="white"/>
        </w:rPr>
        <w:t>。</w:t>
      </w:r>
      <w:r>
        <w:rPr>
          <w:rFonts w:hint="eastAsia" w:asciiTheme="minorEastAsia" w:hAnsiTheme="minorEastAsia" w:eastAsiaTheme="minorEastAsia" w:cstheme="minorEastAsia"/>
          <w:color w:val="000000"/>
          <w:szCs w:val="21"/>
        </w:rPr>
        <w:t>投标保证金</w:t>
      </w:r>
      <w:r>
        <w:rPr>
          <w:rFonts w:hint="eastAsia" w:asciiTheme="minorEastAsia" w:hAnsiTheme="minorEastAsia" w:eastAsiaTheme="minorEastAsia" w:cstheme="minorEastAsia"/>
          <w:color w:val="000000"/>
          <w:szCs w:val="21"/>
          <w:highlight w:val="white"/>
        </w:rPr>
        <w:t>应当在投标截止时间前进入投标人须知前附表规定的缴纳账户。</w:t>
      </w:r>
      <w:r>
        <w:rPr>
          <w:rFonts w:hint="eastAsia" w:asciiTheme="minorEastAsia" w:hAnsiTheme="minorEastAsia" w:eastAsiaTheme="minorEastAsia" w:cstheme="minorEastAsia"/>
          <w:color w:val="000000"/>
          <w:szCs w:val="21"/>
        </w:rPr>
        <w:t>投标保证金</w:t>
      </w:r>
      <w:r>
        <w:rPr>
          <w:rFonts w:hint="eastAsia" w:asciiTheme="minorEastAsia" w:hAnsiTheme="minorEastAsia" w:eastAsiaTheme="minorEastAsia" w:cstheme="minorEastAsia"/>
          <w:color w:val="000000"/>
          <w:szCs w:val="21"/>
          <w:highlight w:val="white"/>
        </w:rPr>
        <w:t>的核查方式见投标人须知前附表。</w:t>
      </w:r>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3.4.2 投标人不按本章第3.4.1项要求提交</w:t>
      </w:r>
      <w:r>
        <w:rPr>
          <w:rFonts w:hint="eastAsia" w:asciiTheme="minorEastAsia" w:hAnsiTheme="minorEastAsia" w:eastAsiaTheme="minorEastAsia" w:cstheme="minorEastAsia"/>
          <w:color w:val="000000"/>
          <w:szCs w:val="21"/>
        </w:rPr>
        <w:t>投标保证金</w:t>
      </w:r>
      <w:r>
        <w:rPr>
          <w:rFonts w:hint="eastAsia" w:asciiTheme="minorEastAsia" w:hAnsiTheme="minorEastAsia" w:eastAsiaTheme="minorEastAsia" w:cstheme="minorEastAsia"/>
          <w:color w:val="000000"/>
          <w:szCs w:val="21"/>
          <w:highlight w:val="white"/>
        </w:rPr>
        <w:t>的，评标委员会将否决其投标。</w:t>
      </w:r>
    </w:p>
    <w:p>
      <w:pPr>
        <w:spacing w:line="240" w:lineRule="auto"/>
        <w:ind w:firstLine="420" w:firstLineChars="200"/>
        <w:rPr>
          <w:rFonts w:hint="eastAsia" w:asciiTheme="minorEastAsia" w:hAnsiTheme="minorEastAsia" w:eastAsiaTheme="minorEastAsia" w:cstheme="minorEastAsia"/>
          <w:color w:val="000000"/>
          <w:szCs w:val="21"/>
          <w:highlight w:val="white"/>
        </w:rPr>
      </w:pPr>
      <w:bookmarkStart w:id="183" w:name="_Toc24952"/>
      <w:bookmarkStart w:id="184" w:name="_Toc397928570"/>
      <w:r>
        <w:rPr>
          <w:rFonts w:hint="eastAsia" w:asciiTheme="minorEastAsia" w:hAnsiTheme="minorEastAsia" w:eastAsiaTheme="minorEastAsia" w:cstheme="minorEastAsia"/>
          <w:color w:val="000000"/>
          <w:szCs w:val="21"/>
          <w:highlight w:val="white"/>
        </w:rPr>
        <w:t>3.4.3投标保证金退还</w:t>
      </w:r>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1）投标保证金退还时间：中标候选人公示后，退还非中标候选人的投标保证金；在中标公告发出后3个工作日内，退还未中标的中标候选人的投标保证金；合同签订并经招投标主管部门备案后3个工作日内，退还中标人的投标保证金。</w:t>
      </w:r>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（2）有投诉（异议）的项目，中标候选人及异议人（投诉人）投标保证金在招标项目签订合同后予以退还。</w:t>
      </w:r>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 xml:space="preserve">因恶意投诉（异议）的、利用保密信息投诉的及投诉（异议）不实的投诉行为被通报的，自通报之日起6个月内，投诉（异议）人所有投标项目的投标保证金在招标项目签订合同后予以退还。 </w:t>
      </w:r>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投诉人故意捏造事实、伪造证明材料或者以非法手段取得证明材料进行投诉的给他人造成的损失的，投诉人依法承担赔偿责任。招标人直接扣减相应数额，确认应予退还保证金的数额，并经监管机关存档后，办理退款手续。</w:t>
      </w:r>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（3）投标保证金退还：规定的时间内中心窗口进行网上退款。详情咨询盐城市大丰区公共资源交易中心综合服务窗口，电话：0515-83927237（朱会计）</w:t>
      </w:r>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 xml:space="preserve">（4）有下列情形之一的，投标保证金将不予退还： </w:t>
      </w:r>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a.投标人在规定的投标有效期内撤销或修改其投标文件的；</w:t>
      </w:r>
    </w:p>
    <w:p>
      <w:pPr>
        <w:spacing w:line="240" w:lineRule="auto"/>
        <w:ind w:firstLine="420" w:firstLineChars="20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b.中标人在收到中标通知书后，无正当理由拒绝签订合同协议书或未按招标文件规定的提交履约担保。</w:t>
      </w:r>
    </w:p>
    <w:p>
      <w:pPr>
        <w:spacing w:line="240" w:lineRule="auto"/>
        <w:ind w:firstLine="420" w:firstLineChars="200"/>
        <w:jc w:val="left"/>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c.投标人因串通投标、弄虚作假等违法行为被行政监督部门行政处罚的，投标保证金不予退还。</w:t>
      </w:r>
    </w:p>
    <w:p>
      <w:pPr>
        <w:pStyle w:val="5"/>
        <w:spacing w:line="240" w:lineRule="auto"/>
        <w:ind w:firstLine="103"/>
        <w:rPr>
          <w:rFonts w:hint="eastAsia" w:asciiTheme="minorEastAsia" w:hAnsiTheme="minorEastAsia" w:eastAsiaTheme="minorEastAsia" w:cstheme="minorEastAsia"/>
          <w:bCs/>
          <w:color w:val="000000"/>
          <w:sz w:val="21"/>
          <w:szCs w:val="21"/>
        </w:rPr>
      </w:pPr>
      <w:bookmarkStart w:id="185" w:name="_Toc511142459"/>
      <w:r>
        <w:rPr>
          <w:rFonts w:hint="eastAsia" w:asciiTheme="minorEastAsia" w:hAnsiTheme="minorEastAsia" w:eastAsiaTheme="minorEastAsia" w:cstheme="minorEastAsia"/>
          <w:bCs/>
          <w:color w:val="000000"/>
          <w:sz w:val="21"/>
          <w:szCs w:val="21"/>
        </w:rPr>
        <w:t>3.5 资格审查资料</w:t>
      </w:r>
      <w:bookmarkEnd w:id="183"/>
      <w:bookmarkEnd w:id="184"/>
      <w:bookmarkEnd w:id="185"/>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投标人在编制投标文件时，应按照本章3.1的要求提供资料。</w:t>
      </w:r>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186" w:name="_Toc387526200"/>
      <w:bookmarkStart w:id="187" w:name="_Toc397928571"/>
      <w:bookmarkStart w:id="188" w:name="_Toc387526304"/>
      <w:bookmarkStart w:id="189" w:name="_Toc22895"/>
      <w:bookmarkStart w:id="190" w:name="_Toc511142460"/>
      <w:bookmarkStart w:id="191" w:name="_Toc387526396"/>
      <w:r>
        <w:rPr>
          <w:rFonts w:hint="eastAsia" w:asciiTheme="minorEastAsia" w:hAnsiTheme="minorEastAsia" w:eastAsiaTheme="minorEastAsia" w:cstheme="minorEastAsia"/>
          <w:color w:val="000000"/>
          <w:sz w:val="21"/>
          <w:szCs w:val="21"/>
          <w:highlight w:val="white"/>
        </w:rPr>
        <w:t>3.6 备选投标方案</w:t>
      </w:r>
      <w:bookmarkEnd w:id="180"/>
      <w:bookmarkEnd w:id="181"/>
      <w:bookmarkEnd w:id="182"/>
      <w:bookmarkEnd w:id="186"/>
      <w:bookmarkEnd w:id="187"/>
      <w:bookmarkEnd w:id="188"/>
      <w:bookmarkEnd w:id="189"/>
      <w:bookmarkEnd w:id="190"/>
      <w:bookmarkEnd w:id="191"/>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除投标人须知前附表另有规定外，投标人不得提交备选投标方案。</w:t>
      </w:r>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192" w:name="_Toc511142461"/>
      <w:bookmarkStart w:id="193" w:name="_Toc16855"/>
      <w:bookmarkStart w:id="194" w:name="_Toc387526397"/>
      <w:bookmarkStart w:id="195" w:name="_Toc387526305"/>
      <w:bookmarkStart w:id="196" w:name="_Toc387526201"/>
      <w:bookmarkStart w:id="197" w:name="_Toc397928572"/>
      <w:r>
        <w:rPr>
          <w:rFonts w:hint="eastAsia" w:asciiTheme="minorEastAsia" w:hAnsiTheme="minorEastAsia" w:eastAsiaTheme="minorEastAsia" w:cstheme="minorEastAsia"/>
          <w:color w:val="000000"/>
          <w:sz w:val="21"/>
          <w:szCs w:val="21"/>
          <w:highlight w:val="white"/>
        </w:rPr>
        <w:t>3.7 投标文件的编制</w:t>
      </w:r>
      <w:bookmarkEnd w:id="192"/>
      <w:bookmarkEnd w:id="193"/>
      <w:bookmarkEnd w:id="194"/>
      <w:bookmarkEnd w:id="195"/>
      <w:bookmarkEnd w:id="196"/>
      <w:bookmarkEnd w:id="197"/>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3.7.1 投标文件应按“投标文件格式”进行编写，如有必要，可以增加附页，作为投标文件的组成部分。</w:t>
      </w:r>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3.7.2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3.7.3 投标文件正本一份，副本份数见投标人须知前附表。正本和副本的封面上应清楚地标记“正本”或“副本”的字样。当副本和正本不一致时，以正本为准。</w:t>
      </w:r>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3.7.4 投标文件的正本与副本应分别装订成册，并编制目录，具体装订要求见投标人须知前附表规定。</w:t>
      </w:r>
    </w:p>
    <w:p>
      <w:pPr>
        <w:pStyle w:val="118"/>
        <w:spacing w:line="240" w:lineRule="auto"/>
        <w:rPr>
          <w:rFonts w:hint="eastAsia" w:asciiTheme="minorEastAsia" w:hAnsiTheme="minorEastAsia" w:eastAsiaTheme="minorEastAsia" w:cstheme="minorEastAsia"/>
        </w:rPr>
      </w:pPr>
      <w:bookmarkStart w:id="198" w:name="_Toc368759378"/>
      <w:bookmarkStart w:id="199" w:name="_Toc369077564"/>
      <w:bookmarkStart w:id="200" w:name="_Toc184635074"/>
      <w:bookmarkStart w:id="201" w:name="_Toc367894801"/>
      <w:bookmarkStart w:id="202" w:name="_Toc387526398"/>
      <w:bookmarkStart w:id="203" w:name="_Toc387526306"/>
      <w:bookmarkStart w:id="204" w:name="_Toc511142462"/>
      <w:bookmarkStart w:id="205" w:name="_Toc387526202"/>
      <w:bookmarkStart w:id="206" w:name="_Toc363329373"/>
      <w:bookmarkStart w:id="207" w:name="_Toc24421"/>
      <w:bookmarkStart w:id="208" w:name="_Toc368760430"/>
      <w:bookmarkStart w:id="209" w:name="_Toc397928573"/>
      <w:bookmarkStart w:id="210" w:name="_Toc368759379"/>
      <w:bookmarkStart w:id="211" w:name="_Toc184635075"/>
      <w:bookmarkStart w:id="212" w:name="_Toc363329374"/>
      <w:bookmarkStart w:id="213" w:name="_Toc367894802"/>
      <w:r>
        <w:rPr>
          <w:rFonts w:hint="eastAsia" w:asciiTheme="minorEastAsia" w:hAnsiTheme="minorEastAsia" w:eastAsiaTheme="minorEastAsia" w:cstheme="minorEastAsia"/>
        </w:rPr>
        <w:t>4. 投标</w:t>
      </w:r>
      <w:bookmarkEnd w:id="198"/>
      <w:bookmarkEnd w:id="199"/>
      <w:bookmarkEnd w:id="200"/>
      <w:bookmarkEnd w:id="201"/>
      <w:bookmarkEnd w:id="202"/>
      <w:bookmarkEnd w:id="203"/>
      <w:bookmarkEnd w:id="204"/>
      <w:bookmarkEnd w:id="205"/>
      <w:bookmarkEnd w:id="206"/>
      <w:bookmarkEnd w:id="207"/>
      <w:bookmarkEnd w:id="208"/>
      <w:bookmarkEnd w:id="209"/>
    </w:p>
    <w:p>
      <w:pPr>
        <w:pStyle w:val="5"/>
        <w:spacing w:line="240" w:lineRule="auto"/>
        <w:ind w:firstLine="103"/>
        <w:rPr>
          <w:rFonts w:hint="eastAsia" w:asciiTheme="minorEastAsia" w:hAnsiTheme="minorEastAsia" w:eastAsiaTheme="minorEastAsia" w:cstheme="minorEastAsia"/>
          <w:color w:val="000000"/>
          <w:sz w:val="21"/>
          <w:szCs w:val="21"/>
        </w:rPr>
      </w:pPr>
      <w:bookmarkStart w:id="214" w:name="_Toc511142463"/>
      <w:bookmarkStart w:id="215" w:name="_Toc387526203"/>
      <w:bookmarkStart w:id="216" w:name="_Toc27481"/>
      <w:bookmarkStart w:id="217" w:name="_Toc387526399"/>
      <w:bookmarkStart w:id="218" w:name="_Toc397928574"/>
      <w:bookmarkStart w:id="219" w:name="_Toc387526307"/>
      <w:r>
        <w:rPr>
          <w:rFonts w:hint="eastAsia" w:asciiTheme="minorEastAsia" w:hAnsiTheme="minorEastAsia" w:eastAsiaTheme="minorEastAsia" w:cstheme="minorEastAsia"/>
          <w:color w:val="000000"/>
          <w:sz w:val="21"/>
          <w:szCs w:val="21"/>
        </w:rPr>
        <w:t>4.1 投标文件的密封和标记</w:t>
      </w:r>
      <w:bookmarkEnd w:id="214"/>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4.1.1 投标文件应清楚地标记“正本”、“副本”字样，并包装密封提交；</w:t>
      </w:r>
      <w:bookmarkEnd w:id="215"/>
      <w:bookmarkEnd w:id="216"/>
      <w:bookmarkEnd w:id="217"/>
      <w:bookmarkEnd w:id="218"/>
      <w:bookmarkEnd w:id="219"/>
      <w:bookmarkStart w:id="220" w:name="_Toc7888"/>
      <w:bookmarkStart w:id="221" w:name="_Toc387526400"/>
      <w:bookmarkStart w:id="222" w:name="_Toc387526308"/>
      <w:bookmarkStart w:id="223" w:name="_Toc387526204"/>
      <w:r>
        <w:rPr>
          <w:rFonts w:hint="eastAsia" w:asciiTheme="minorEastAsia" w:hAnsiTheme="minorEastAsia" w:eastAsiaTheme="minorEastAsia" w:cstheme="minorEastAsia"/>
          <w:color w:val="000000"/>
          <w:kern w:val="0"/>
          <w:szCs w:val="21"/>
        </w:rPr>
        <w:t>密封袋包装封面上应注明投标人名称、投标项目名称、项目编号、“开标时启封”字样，并加盖投标人公章。</w:t>
      </w:r>
    </w:p>
    <w:p>
      <w:pPr>
        <w:pStyle w:val="5"/>
        <w:spacing w:line="240" w:lineRule="auto"/>
        <w:ind w:firstLine="103"/>
        <w:rPr>
          <w:rFonts w:hint="eastAsia" w:asciiTheme="minorEastAsia" w:hAnsiTheme="minorEastAsia" w:eastAsiaTheme="minorEastAsia" w:cstheme="minorEastAsia"/>
          <w:color w:val="000000"/>
          <w:sz w:val="21"/>
          <w:szCs w:val="21"/>
        </w:rPr>
      </w:pPr>
      <w:bookmarkStart w:id="224" w:name="_Toc397928575"/>
      <w:bookmarkStart w:id="225" w:name="_Toc511142464"/>
      <w:r>
        <w:rPr>
          <w:rFonts w:hint="eastAsia" w:asciiTheme="minorEastAsia" w:hAnsiTheme="minorEastAsia" w:eastAsiaTheme="minorEastAsia" w:cstheme="minorEastAsia"/>
          <w:color w:val="000000"/>
          <w:sz w:val="21"/>
          <w:szCs w:val="21"/>
        </w:rPr>
        <w:t>4.2 投标文件的递交</w:t>
      </w:r>
      <w:bookmarkEnd w:id="220"/>
      <w:bookmarkEnd w:id="221"/>
      <w:bookmarkEnd w:id="222"/>
      <w:bookmarkEnd w:id="223"/>
      <w:bookmarkEnd w:id="224"/>
      <w:bookmarkEnd w:id="225"/>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4.2.1 投标人应在投标人须知前附表规定的投标截止时间前递交投标文件。</w:t>
      </w:r>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4.2.2 投标人递交投标文件的地点：见投标人须知前附表。</w:t>
      </w:r>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4.2.3 除投标人须知前附表另有规定外，投标人所递交的投标文件不予退还。</w:t>
      </w:r>
    </w:p>
    <w:p>
      <w:pPr>
        <w:pStyle w:val="5"/>
        <w:spacing w:line="240" w:lineRule="auto"/>
        <w:ind w:firstLine="103"/>
        <w:rPr>
          <w:rFonts w:hint="eastAsia" w:asciiTheme="minorEastAsia" w:hAnsiTheme="minorEastAsia" w:eastAsiaTheme="minorEastAsia" w:cstheme="minorEastAsia"/>
          <w:color w:val="000000"/>
          <w:sz w:val="21"/>
          <w:szCs w:val="21"/>
        </w:rPr>
      </w:pPr>
      <w:bookmarkStart w:id="226" w:name="_Toc387526309"/>
      <w:bookmarkStart w:id="227" w:name="_Toc387526205"/>
      <w:bookmarkStart w:id="228" w:name="_Toc12008"/>
      <w:bookmarkStart w:id="229" w:name="_Toc511142465"/>
      <w:bookmarkStart w:id="230" w:name="_Toc387526401"/>
      <w:bookmarkStart w:id="231" w:name="_Toc397928576"/>
      <w:r>
        <w:rPr>
          <w:rFonts w:hint="eastAsia" w:asciiTheme="minorEastAsia" w:hAnsiTheme="minorEastAsia" w:eastAsiaTheme="minorEastAsia" w:cstheme="minorEastAsia"/>
          <w:color w:val="000000"/>
          <w:sz w:val="21"/>
          <w:szCs w:val="21"/>
        </w:rPr>
        <w:t>4.3 投标文件的修改与撤回</w:t>
      </w:r>
      <w:bookmarkEnd w:id="226"/>
      <w:bookmarkEnd w:id="227"/>
      <w:bookmarkEnd w:id="228"/>
      <w:bookmarkEnd w:id="229"/>
      <w:bookmarkEnd w:id="230"/>
      <w:bookmarkEnd w:id="231"/>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4.3.1 在投标人须知前附表规定的投标截止时间前，投标人可以修改或撤回已递交的投标文件，但应以书面形式通知招标人。</w:t>
      </w:r>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4.3.2 投标人修改或撤回已递交投标文件的书面通知应按照本章第3.7.2 项的要求签字或盖章。</w:t>
      </w:r>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4.3.3 修改的内容为投标文件的组成部分。修改的投标文件应按照本章规定进行编制、密封、标记和递交，并标明“修改”字样。</w:t>
      </w:r>
    </w:p>
    <w:p>
      <w:pPr>
        <w:pStyle w:val="5"/>
        <w:spacing w:line="240" w:lineRule="auto"/>
        <w:ind w:firstLine="103"/>
        <w:rPr>
          <w:rFonts w:hint="eastAsia" w:asciiTheme="minorEastAsia" w:hAnsiTheme="minorEastAsia" w:eastAsiaTheme="minorEastAsia" w:cstheme="minorEastAsia"/>
          <w:color w:val="000000"/>
          <w:sz w:val="21"/>
          <w:szCs w:val="21"/>
        </w:rPr>
      </w:pPr>
      <w:bookmarkStart w:id="232" w:name="_Toc397928577"/>
      <w:bookmarkStart w:id="233" w:name="_Toc11740"/>
      <w:bookmarkStart w:id="234" w:name="_Toc511142466"/>
      <w:r>
        <w:rPr>
          <w:rFonts w:hint="eastAsia" w:asciiTheme="minorEastAsia" w:hAnsiTheme="minorEastAsia" w:eastAsiaTheme="minorEastAsia" w:cstheme="minorEastAsia"/>
          <w:color w:val="000000"/>
          <w:sz w:val="21"/>
          <w:szCs w:val="21"/>
        </w:rPr>
        <w:t>4.4 不予接收的投标文件</w:t>
      </w:r>
      <w:bookmarkEnd w:id="232"/>
      <w:bookmarkEnd w:id="233"/>
      <w:bookmarkEnd w:id="234"/>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4.4.1未按本章第4.1.1款规定密封的投标文件，招标人有权不予接收。</w:t>
      </w:r>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4.4.2未按规定获取招标文件而来投标的，招标人有权不予接收。</w:t>
      </w:r>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4.4.3逾期送达或者未送达指定地点的投标文件，招标人不予接收；对在争议时间点接收的投标文件，后被认定逾期送达的，视同不予接收。</w:t>
      </w:r>
    </w:p>
    <w:p>
      <w:pPr>
        <w:pStyle w:val="118"/>
        <w:spacing w:line="240" w:lineRule="auto"/>
        <w:rPr>
          <w:rFonts w:hint="eastAsia" w:asciiTheme="minorEastAsia" w:hAnsiTheme="minorEastAsia" w:eastAsiaTheme="minorEastAsia" w:cstheme="minorEastAsia"/>
        </w:rPr>
      </w:pPr>
      <w:bookmarkStart w:id="235" w:name="_Toc387526310"/>
      <w:bookmarkStart w:id="236" w:name="_Toc369077565"/>
      <w:bookmarkStart w:id="237" w:name="_Toc511142467"/>
      <w:bookmarkStart w:id="238" w:name="_Toc22329"/>
      <w:bookmarkStart w:id="239" w:name="_Toc368760431"/>
      <w:bookmarkStart w:id="240" w:name="_Toc387526206"/>
      <w:bookmarkStart w:id="241" w:name="_Toc387526402"/>
      <w:bookmarkStart w:id="242" w:name="_Toc397928578"/>
      <w:bookmarkStart w:id="243" w:name="_Toc152045566"/>
      <w:bookmarkStart w:id="244" w:name="_Toc152042342"/>
      <w:bookmarkStart w:id="245" w:name="_Toc246996953"/>
      <w:bookmarkStart w:id="246" w:name="_Toc144974534"/>
      <w:bookmarkStart w:id="247" w:name="_Toc368759381"/>
      <w:bookmarkStart w:id="248" w:name="_Toc247085724"/>
      <w:bookmarkStart w:id="249" w:name="_Toc366679697"/>
      <w:bookmarkStart w:id="250" w:name="_Toc179632584"/>
      <w:bookmarkStart w:id="251" w:name="_Toc246996210"/>
      <w:r>
        <w:rPr>
          <w:rFonts w:hint="eastAsia" w:asciiTheme="minorEastAsia" w:hAnsiTheme="minorEastAsia" w:eastAsiaTheme="minorEastAsia" w:cstheme="minorEastAsia"/>
        </w:rPr>
        <w:t>5. 开标</w:t>
      </w:r>
      <w:bookmarkEnd w:id="235"/>
      <w:bookmarkEnd w:id="236"/>
      <w:bookmarkEnd w:id="237"/>
      <w:bookmarkEnd w:id="238"/>
      <w:bookmarkEnd w:id="239"/>
      <w:bookmarkEnd w:id="240"/>
      <w:bookmarkEnd w:id="241"/>
      <w:bookmarkEnd w:id="242"/>
    </w:p>
    <w:p>
      <w:pPr>
        <w:pStyle w:val="5"/>
        <w:spacing w:line="240" w:lineRule="auto"/>
        <w:ind w:firstLine="103"/>
        <w:rPr>
          <w:rFonts w:hint="eastAsia" w:asciiTheme="minorEastAsia" w:hAnsiTheme="minorEastAsia" w:eastAsiaTheme="minorEastAsia" w:cstheme="minorEastAsia"/>
          <w:color w:val="000000"/>
          <w:sz w:val="21"/>
          <w:szCs w:val="21"/>
        </w:rPr>
      </w:pPr>
      <w:bookmarkStart w:id="252" w:name="_Toc3233"/>
      <w:bookmarkStart w:id="253" w:name="_Toc511142468"/>
      <w:bookmarkStart w:id="254" w:name="_Toc397928579"/>
      <w:bookmarkStart w:id="255" w:name="_Toc387526403"/>
      <w:bookmarkStart w:id="256" w:name="_Toc387526207"/>
      <w:bookmarkStart w:id="257" w:name="_Toc387526311"/>
      <w:r>
        <w:rPr>
          <w:rFonts w:hint="eastAsia" w:asciiTheme="minorEastAsia" w:hAnsiTheme="minorEastAsia" w:eastAsiaTheme="minorEastAsia" w:cstheme="minorEastAsia"/>
          <w:color w:val="000000"/>
          <w:sz w:val="21"/>
          <w:szCs w:val="21"/>
        </w:rPr>
        <w:t>5.1 开标时间和地点</w:t>
      </w:r>
      <w:bookmarkEnd w:id="252"/>
      <w:bookmarkEnd w:id="253"/>
      <w:bookmarkEnd w:id="254"/>
      <w:bookmarkEnd w:id="255"/>
      <w:bookmarkEnd w:id="256"/>
      <w:bookmarkEnd w:id="257"/>
    </w:p>
    <w:p>
      <w:pPr>
        <w:pStyle w:val="37"/>
        <w:spacing w:after="0" w:line="240" w:lineRule="auto"/>
        <w:ind w:left="0"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highlight w:val="white"/>
        </w:rPr>
        <w:t>招标人在投标人须知前附表规定的开标时间和地点公开开标，并邀请所有投标人准时参加。</w:t>
      </w:r>
    </w:p>
    <w:p>
      <w:pPr>
        <w:pStyle w:val="5"/>
        <w:spacing w:line="240" w:lineRule="auto"/>
        <w:ind w:firstLine="103"/>
        <w:rPr>
          <w:rFonts w:hint="eastAsia" w:asciiTheme="minorEastAsia" w:hAnsiTheme="minorEastAsia" w:eastAsiaTheme="minorEastAsia" w:cstheme="minorEastAsia"/>
          <w:color w:val="000000"/>
          <w:sz w:val="21"/>
          <w:szCs w:val="21"/>
        </w:rPr>
      </w:pPr>
      <w:bookmarkStart w:id="258" w:name="_Toc387526312"/>
      <w:bookmarkStart w:id="259" w:name="_Toc511142469"/>
      <w:bookmarkStart w:id="260" w:name="_Toc11103"/>
      <w:bookmarkStart w:id="261" w:name="_Toc387526208"/>
      <w:bookmarkStart w:id="262" w:name="_Toc387526404"/>
      <w:bookmarkStart w:id="263" w:name="_Toc397928580"/>
      <w:r>
        <w:rPr>
          <w:rFonts w:hint="eastAsia" w:asciiTheme="minorEastAsia" w:hAnsiTheme="minorEastAsia" w:eastAsiaTheme="minorEastAsia" w:cstheme="minorEastAsia"/>
          <w:color w:val="000000"/>
          <w:sz w:val="21"/>
          <w:szCs w:val="21"/>
        </w:rPr>
        <w:t>5.2 开标程序</w:t>
      </w:r>
      <w:bookmarkEnd w:id="258"/>
      <w:bookmarkEnd w:id="259"/>
      <w:bookmarkEnd w:id="260"/>
      <w:bookmarkEnd w:id="261"/>
      <w:bookmarkEnd w:id="262"/>
      <w:bookmarkEnd w:id="263"/>
    </w:p>
    <w:p>
      <w:pPr>
        <w:spacing w:line="240" w:lineRule="auto"/>
        <w:ind w:firstLine="420"/>
        <w:rPr>
          <w:rFonts w:hint="eastAsia" w:asciiTheme="minorEastAsia" w:hAnsiTheme="minorEastAsia" w:eastAsiaTheme="minorEastAsia" w:cstheme="minorEastAsia"/>
          <w:color w:val="000000"/>
          <w:szCs w:val="21"/>
          <w:highlight w:val="white"/>
        </w:rPr>
      </w:pPr>
      <w:bookmarkStart w:id="264" w:name="_Toc184635076"/>
      <w:bookmarkStart w:id="265" w:name="_Toc363329375"/>
      <w:bookmarkStart w:id="266" w:name="_Toc367894803"/>
      <w:bookmarkStart w:id="267" w:name="_Toc368759380"/>
      <w:bookmarkStart w:id="268" w:name="_Toc368760432"/>
      <w:bookmarkStart w:id="269" w:name="_Toc369077566"/>
      <w:r>
        <w:rPr>
          <w:rFonts w:hint="eastAsia" w:asciiTheme="minorEastAsia" w:hAnsiTheme="minorEastAsia" w:eastAsiaTheme="minorEastAsia" w:cstheme="minorEastAsia"/>
          <w:color w:val="000000"/>
          <w:szCs w:val="21"/>
          <w:highlight w:val="white"/>
        </w:rPr>
        <w:t>5.2.1 主持人按下列程序进行开标：</w:t>
      </w:r>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（1）宣布开标纪律；</w:t>
      </w:r>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（2）公布在投标截止时间前递交投标文件的投标人名称，并按投标人须知前附表的要求确认投标人是否派相关人员到场；</w:t>
      </w:r>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（3）宣布相关参会人员姓名；</w:t>
      </w:r>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（4）检查投标文件的密封情况；</w:t>
      </w:r>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（5）当众开标、唱标，并记录在案；</w:t>
      </w:r>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（6）相关参会人员在开标记录上签字确认；</w:t>
      </w:r>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（7）开标结束。</w:t>
      </w:r>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5.2.2投标人对开标有异议的，应当在开标现场提出，招标人应当当场作出答复，并作好记录；如无法现场答复的，可转交评标委员会予以解决。</w:t>
      </w:r>
    </w:p>
    <w:p>
      <w:pPr>
        <w:pStyle w:val="118"/>
        <w:spacing w:line="240" w:lineRule="auto"/>
        <w:rPr>
          <w:rFonts w:hint="eastAsia" w:asciiTheme="minorEastAsia" w:hAnsiTheme="minorEastAsia" w:eastAsiaTheme="minorEastAsia" w:cstheme="minorEastAsia"/>
        </w:rPr>
      </w:pPr>
      <w:bookmarkStart w:id="270" w:name="_Toc511142470"/>
      <w:bookmarkStart w:id="271" w:name="_Toc387526313"/>
      <w:bookmarkStart w:id="272" w:name="_Toc387526405"/>
      <w:bookmarkStart w:id="273" w:name="_Toc22517"/>
      <w:bookmarkStart w:id="274" w:name="_Toc397928581"/>
      <w:bookmarkStart w:id="275" w:name="_Toc387526209"/>
      <w:r>
        <w:rPr>
          <w:rFonts w:hint="eastAsia" w:asciiTheme="minorEastAsia" w:hAnsiTheme="minorEastAsia" w:eastAsiaTheme="minorEastAsia" w:cstheme="minorEastAsia"/>
        </w:rPr>
        <w:t>6. 评标</w:t>
      </w:r>
      <w:bookmarkEnd w:id="264"/>
      <w:bookmarkEnd w:id="265"/>
      <w:bookmarkEnd w:id="266"/>
      <w:bookmarkEnd w:id="267"/>
      <w:bookmarkEnd w:id="268"/>
      <w:bookmarkEnd w:id="269"/>
      <w:bookmarkEnd w:id="270"/>
      <w:bookmarkEnd w:id="271"/>
      <w:bookmarkEnd w:id="272"/>
      <w:bookmarkEnd w:id="273"/>
      <w:bookmarkEnd w:id="274"/>
      <w:bookmarkEnd w:id="275"/>
    </w:p>
    <w:p>
      <w:pPr>
        <w:pStyle w:val="5"/>
        <w:spacing w:line="240" w:lineRule="auto"/>
        <w:ind w:firstLine="103"/>
        <w:rPr>
          <w:rFonts w:hint="eastAsia" w:asciiTheme="minorEastAsia" w:hAnsiTheme="minorEastAsia" w:eastAsiaTheme="minorEastAsia" w:cstheme="minorEastAsia"/>
          <w:color w:val="000000"/>
          <w:sz w:val="21"/>
          <w:szCs w:val="21"/>
        </w:rPr>
      </w:pPr>
      <w:bookmarkStart w:id="276" w:name="_Toc397928582"/>
      <w:bookmarkStart w:id="277" w:name="_Toc387526314"/>
      <w:bookmarkStart w:id="278" w:name="_Toc511142471"/>
      <w:bookmarkStart w:id="279" w:name="_Toc387526406"/>
      <w:bookmarkStart w:id="280" w:name="_Toc9909"/>
      <w:bookmarkStart w:id="281" w:name="_Toc387526210"/>
      <w:r>
        <w:rPr>
          <w:rFonts w:hint="eastAsia" w:asciiTheme="minorEastAsia" w:hAnsiTheme="minorEastAsia" w:eastAsiaTheme="minorEastAsia" w:cstheme="minorEastAsia"/>
          <w:color w:val="000000"/>
          <w:sz w:val="21"/>
          <w:szCs w:val="21"/>
        </w:rPr>
        <w:t>6.1 评标委员会</w:t>
      </w:r>
      <w:bookmarkEnd w:id="276"/>
      <w:bookmarkEnd w:id="277"/>
      <w:bookmarkEnd w:id="278"/>
      <w:bookmarkEnd w:id="279"/>
      <w:bookmarkEnd w:id="280"/>
      <w:bookmarkEnd w:id="281"/>
    </w:p>
    <w:p>
      <w:pPr>
        <w:spacing w:line="240" w:lineRule="auto"/>
        <w:ind w:firstLine="420"/>
        <w:rPr>
          <w:rFonts w:hint="eastAsia" w:asciiTheme="minorEastAsia" w:hAnsiTheme="minorEastAsia" w:eastAsiaTheme="minorEastAsia" w:cstheme="minorEastAsia"/>
          <w:color w:val="000000"/>
          <w:szCs w:val="21"/>
          <w:highlight w:val="white"/>
        </w:rPr>
      </w:pPr>
      <w:bookmarkStart w:id="282" w:name="_Toc324255922"/>
      <w:bookmarkStart w:id="283" w:name="_Toc269310951"/>
      <w:bookmarkStart w:id="284" w:name="_Toc339359778"/>
      <w:r>
        <w:rPr>
          <w:rFonts w:hint="eastAsia" w:asciiTheme="minorEastAsia" w:hAnsiTheme="minorEastAsia" w:eastAsiaTheme="minorEastAsia" w:cstheme="minorEastAsia"/>
          <w:color w:val="000000"/>
          <w:szCs w:val="21"/>
          <w:highlight w:val="white"/>
        </w:rPr>
        <w:t>6.1.1 评标由招标人依法组建的评标委员会负责。评标委员会由招标人代表以及有关技术、经济等方面的专家组成。</w:t>
      </w:r>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6.1.2 评标委员会成员有下列情形之一的，应当回避：</w:t>
      </w:r>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（1）投标人或投标人主要负责人的近亲属；</w:t>
      </w:r>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（2）项目主管部门或者行政监督部门的人员；</w:t>
      </w:r>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（3）与投标人有经济利益关系；</w:t>
      </w:r>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（4）曾因在招标、评标以及其他与招标投标有关活动中从事违法行为而受过行政处罚或刑事处罚的，且在处罚期内。</w:t>
      </w:r>
    </w:p>
    <w:p>
      <w:pPr>
        <w:pStyle w:val="5"/>
        <w:spacing w:line="240" w:lineRule="auto"/>
        <w:ind w:firstLine="103"/>
        <w:rPr>
          <w:rFonts w:hint="eastAsia" w:asciiTheme="minorEastAsia" w:hAnsiTheme="minorEastAsia" w:eastAsiaTheme="minorEastAsia" w:cstheme="minorEastAsia"/>
          <w:color w:val="000000"/>
          <w:sz w:val="21"/>
          <w:szCs w:val="21"/>
        </w:rPr>
      </w:pPr>
      <w:bookmarkStart w:id="285" w:name="_Toc397928583"/>
      <w:bookmarkStart w:id="286" w:name="_Toc387526211"/>
      <w:bookmarkStart w:id="287" w:name="_Toc12316"/>
      <w:bookmarkStart w:id="288" w:name="_Toc511142472"/>
      <w:bookmarkStart w:id="289" w:name="_Toc387526407"/>
      <w:bookmarkStart w:id="290" w:name="_Toc387526315"/>
      <w:r>
        <w:rPr>
          <w:rFonts w:hint="eastAsia" w:asciiTheme="minorEastAsia" w:hAnsiTheme="minorEastAsia" w:eastAsiaTheme="minorEastAsia" w:cstheme="minorEastAsia"/>
          <w:color w:val="000000"/>
          <w:sz w:val="21"/>
          <w:szCs w:val="21"/>
        </w:rPr>
        <w:t>6.2</w:t>
      </w:r>
      <w:bookmarkEnd w:id="282"/>
      <w:bookmarkEnd w:id="283"/>
      <w:bookmarkEnd w:id="284"/>
      <w:r>
        <w:rPr>
          <w:rFonts w:hint="eastAsia" w:asciiTheme="minorEastAsia" w:hAnsiTheme="minorEastAsia" w:eastAsiaTheme="minorEastAsia" w:cstheme="minorEastAsia"/>
          <w:color w:val="000000"/>
          <w:sz w:val="21"/>
          <w:szCs w:val="21"/>
        </w:rPr>
        <w:t xml:space="preserve"> 评标原则</w:t>
      </w:r>
      <w:bookmarkEnd w:id="285"/>
      <w:bookmarkEnd w:id="286"/>
      <w:bookmarkEnd w:id="287"/>
      <w:bookmarkEnd w:id="288"/>
      <w:bookmarkEnd w:id="289"/>
      <w:bookmarkEnd w:id="290"/>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评标活动遵循公平、公正、科学和择优的原则。</w:t>
      </w:r>
    </w:p>
    <w:p>
      <w:pPr>
        <w:pStyle w:val="5"/>
        <w:spacing w:line="240" w:lineRule="auto"/>
        <w:ind w:firstLine="103"/>
        <w:rPr>
          <w:rFonts w:hint="eastAsia" w:asciiTheme="minorEastAsia" w:hAnsiTheme="minorEastAsia" w:eastAsiaTheme="minorEastAsia" w:cstheme="minorEastAsia"/>
          <w:color w:val="000000"/>
          <w:sz w:val="21"/>
          <w:szCs w:val="21"/>
        </w:rPr>
      </w:pPr>
      <w:bookmarkStart w:id="291" w:name="_Toc387526408"/>
      <w:bookmarkStart w:id="292" w:name="_Toc152045565"/>
      <w:bookmarkStart w:id="293" w:name="_Toc387526212"/>
      <w:bookmarkStart w:id="294" w:name="_Toc397928584"/>
      <w:bookmarkStart w:id="295" w:name="_Toc246996209"/>
      <w:bookmarkStart w:id="296" w:name="_Toc6500"/>
      <w:bookmarkStart w:id="297" w:name="_Toc366679696"/>
      <w:bookmarkStart w:id="298" w:name="_Toc246996952"/>
      <w:bookmarkStart w:id="299" w:name="_Toc387526316"/>
      <w:bookmarkStart w:id="300" w:name="_Toc152042341"/>
      <w:bookmarkStart w:id="301" w:name="_Toc144974533"/>
      <w:bookmarkStart w:id="302" w:name="_Toc511142473"/>
      <w:bookmarkStart w:id="303" w:name="_Toc179632583"/>
      <w:bookmarkStart w:id="304" w:name="_Toc247085723"/>
      <w:r>
        <w:rPr>
          <w:rFonts w:hint="eastAsia" w:asciiTheme="minorEastAsia" w:hAnsiTheme="minorEastAsia" w:eastAsiaTheme="minorEastAsia" w:cstheme="minorEastAsia"/>
          <w:color w:val="000000"/>
          <w:sz w:val="21"/>
          <w:szCs w:val="21"/>
        </w:rPr>
        <w:t>6.3 评标</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评标委员会按照第三章“评标办法”规定的方法、评审因素、标准和程序对投标文件进行评审。第三章“评标办法”没有规定的方法、评审因素和标准，不作为评标依据。</w:t>
      </w:r>
    </w:p>
    <w:p>
      <w:pPr>
        <w:pStyle w:val="5"/>
        <w:spacing w:line="240" w:lineRule="auto"/>
        <w:ind w:firstLine="103"/>
        <w:rPr>
          <w:rFonts w:hint="eastAsia" w:asciiTheme="minorEastAsia" w:hAnsiTheme="minorEastAsia" w:eastAsiaTheme="minorEastAsia" w:cstheme="minorEastAsia"/>
          <w:color w:val="000000"/>
          <w:sz w:val="21"/>
          <w:szCs w:val="21"/>
        </w:rPr>
      </w:pPr>
      <w:bookmarkStart w:id="305" w:name="_Toc511142475"/>
      <w:r>
        <w:rPr>
          <w:rFonts w:hint="eastAsia" w:asciiTheme="minorEastAsia" w:hAnsiTheme="minorEastAsia" w:eastAsiaTheme="minorEastAsia" w:cstheme="minorEastAsia"/>
          <w:color w:val="000000"/>
          <w:sz w:val="21"/>
          <w:szCs w:val="21"/>
        </w:rPr>
        <w:t>6.5无效标书条款</w:t>
      </w:r>
      <w:bookmarkEnd w:id="305"/>
    </w:p>
    <w:p>
      <w:pPr>
        <w:shd w:val="clear" w:color="auto" w:fill="FFFFFF"/>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投标文件有下列情况之一的，属于重大偏差，视为未能对招标文件作出实质性响应，应当作为无效投标予以否决：</w:t>
      </w:r>
    </w:p>
    <w:p>
      <w:pPr>
        <w:shd w:val="clear" w:color="auto" w:fill="FFFFFF"/>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（1）投标文件中的投标函未加盖投标人的公章；</w:t>
      </w:r>
    </w:p>
    <w:p>
      <w:pPr>
        <w:shd w:val="clear" w:color="auto" w:fill="FFFFFF"/>
        <w:spacing w:line="240" w:lineRule="auto"/>
        <w:ind w:firstLine="396" w:firstLineChars="189"/>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（2）投标文件中的投标函无企业法定代表人（或企业法定代表人委托代理人）印章（或签字）的；</w:t>
      </w:r>
    </w:p>
    <w:p>
      <w:pPr>
        <w:shd w:val="clear" w:color="auto" w:fill="FFFFFF"/>
        <w:spacing w:line="240" w:lineRule="auto"/>
        <w:ind w:firstLine="396" w:firstLineChars="189"/>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（3）如投标函由企业法定代表人委托代理人加盖印章（或签字）的，企业法定代表人委托代理人没有合法、有效的委托书（原件）的；</w:t>
      </w:r>
    </w:p>
    <w:p>
      <w:pPr>
        <w:shd w:val="clear" w:color="auto" w:fill="FFFFFF"/>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（4）投标人资格条件不符合国家有关规定或招标文件要求的； </w:t>
      </w:r>
    </w:p>
    <w:p>
      <w:pPr>
        <w:shd w:val="clear" w:color="auto" w:fill="FFFFFF"/>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（5）投标文件技术规格中一般参数超出招标文件允许偏离的最大范围或最高项数的，或偏离招标文件规定的不允许偏离的技术参数的；</w:t>
      </w:r>
    </w:p>
    <w:p>
      <w:pPr>
        <w:shd w:val="clear" w:color="auto" w:fill="FFFFFF"/>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（6）投标报价高于招标文件设定的最高投标限价的； </w:t>
      </w:r>
    </w:p>
    <w:p>
      <w:pPr>
        <w:shd w:val="clear" w:color="auto" w:fill="FFFFFF"/>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（7）投标文件的组成不符合招标文件要求的；</w:t>
      </w:r>
    </w:p>
    <w:p>
      <w:pPr>
        <w:shd w:val="clear" w:color="auto" w:fill="FFFFFF"/>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（8）投标人递交两份或多份内容不同的投标文件，或在一份投标文件中对同一招标货物报有两个或多个报价，且未声明哪一个为最终报价的；</w:t>
      </w:r>
    </w:p>
    <w:p>
      <w:pPr>
        <w:shd w:val="clear" w:color="auto" w:fill="FFFFFF"/>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（9）与招标文件提供的货物（设备）清单中的清单数量或规格不相同的； </w:t>
      </w:r>
    </w:p>
    <w:p>
      <w:pPr>
        <w:shd w:val="clear" w:color="auto" w:fill="FFFFFF"/>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（10）未按招标文件要求提供投标保证金（含投标保证金）的； </w:t>
      </w:r>
    </w:p>
    <w:p>
      <w:pPr>
        <w:shd w:val="clear" w:color="auto" w:fill="FFFFFF"/>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（11）投标文件载明的招标项目完成期限超过招标文件规定的期限的，或交货期达不到招标文件规定期限的要求； </w:t>
      </w:r>
    </w:p>
    <w:p>
      <w:pPr>
        <w:shd w:val="clear" w:color="auto" w:fill="FFFFFF"/>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（12）明显不符合技术规范、技术标准的要求的； </w:t>
      </w:r>
    </w:p>
    <w:p>
      <w:pPr>
        <w:shd w:val="clear" w:color="auto" w:fill="FFFFFF"/>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（13）投标文件载明的货物包装方式、检验标准和方法等不符合招标文件的要求的； </w:t>
      </w:r>
    </w:p>
    <w:p>
      <w:pPr>
        <w:shd w:val="clear" w:color="auto" w:fill="FFFFFF"/>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（14）投标文件提出的工程验收、计量、价款结算和付款方式不能满足招标文件要求或招标人不能接受；</w:t>
      </w:r>
    </w:p>
    <w:p>
      <w:pPr>
        <w:shd w:val="clear" w:color="auto" w:fill="FFFFFF"/>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（15）不同投标人的投标文件出现了评标委员会认为不应当雷同的情况的； </w:t>
      </w:r>
    </w:p>
    <w:p>
      <w:pPr>
        <w:shd w:val="clear" w:color="auto" w:fill="FFFFFF"/>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（16）以他人的名义投标、串通投标、以行贿手段谋取中标或者以其他弄虚作假方式投标的；</w:t>
      </w:r>
    </w:p>
    <w:p>
      <w:pPr>
        <w:shd w:val="clear" w:color="auto" w:fill="FFFFFF"/>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（17）不符合招标文件有关要求的。</w:t>
      </w:r>
    </w:p>
    <w:p>
      <w:pPr>
        <w:spacing w:before="100" w:beforeAutospacing="1" w:after="100" w:afterAutospacing="1" w:line="24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FF"/>
          <w:szCs w:val="21"/>
        </w:rPr>
        <w:t xml:space="preserve"> </w:t>
      </w:r>
      <w:r>
        <w:rPr>
          <w:rFonts w:hint="eastAsia" w:asciiTheme="minorEastAsia" w:hAnsiTheme="minorEastAsia" w:eastAsiaTheme="minorEastAsia" w:cstheme="minorEastAsia"/>
          <w:color w:val="auto"/>
          <w:szCs w:val="21"/>
        </w:rPr>
        <w:t>除上述条件外，招标人一般不得另行规定无效标条件。特殊情况招标人需要另行规定无效标条件的，应当将调整的无效标条件及其说明事先征求招投标监管机构意见后写入招标文件。凡招标文件未明确的无效标条件，评标委员会不得作为判定无效标的依据，评标委员会也不得以不符合招标文件中规定的其他实质性要求作为判定无效标的依据。</w:t>
      </w:r>
    </w:p>
    <w:p>
      <w:pPr>
        <w:pStyle w:val="5"/>
        <w:spacing w:line="240" w:lineRule="auto"/>
        <w:ind w:firstLine="103"/>
        <w:rPr>
          <w:rFonts w:hint="eastAsia" w:asciiTheme="minorEastAsia" w:hAnsiTheme="minorEastAsia" w:eastAsiaTheme="minorEastAsia" w:cstheme="minorEastAsia"/>
          <w:color w:val="auto"/>
          <w:sz w:val="21"/>
          <w:szCs w:val="21"/>
          <w:lang w:eastAsia="zh-CN"/>
        </w:rPr>
      </w:pPr>
      <w:bookmarkStart w:id="306" w:name="_Toc511142476"/>
      <w:r>
        <w:rPr>
          <w:rFonts w:hint="eastAsia" w:asciiTheme="minorEastAsia" w:hAnsiTheme="minorEastAsia" w:eastAsiaTheme="minorEastAsia" w:cstheme="minorEastAsia"/>
          <w:color w:val="auto"/>
          <w:sz w:val="21"/>
          <w:szCs w:val="21"/>
        </w:rPr>
        <w:t>6.6</w:t>
      </w:r>
      <w:r>
        <w:rPr>
          <w:rFonts w:hint="eastAsia" w:asciiTheme="minorEastAsia" w:hAnsiTheme="minorEastAsia" w:eastAsiaTheme="minorEastAsia" w:cstheme="minorEastAsia"/>
          <w:b w:val="0"/>
          <w:bCs/>
          <w:sz w:val="21"/>
          <w:szCs w:val="21"/>
        </w:rPr>
        <w:t>重新招标与不再招标</w:t>
      </w:r>
      <w:bookmarkEnd w:id="306"/>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A、重新招标</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有下列情形之一的，招标人应当采取改进措施后重新招标：</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（1）获取招标文件的潜在投标人少于3个的；</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（2）通过符合性评审的投标申请人少于3个的。</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B、不再招标</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重新招标后，仍存在上述A条情形的，属于经相关部门核准后可不再进行招标，招标人可以采取</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竞争性谈判方式”、“单一来源采购方式”等条款评审、确定潜在的中标人。</w:t>
      </w:r>
    </w:p>
    <w:p>
      <w:pPr>
        <w:pStyle w:val="118"/>
        <w:spacing w:line="240" w:lineRule="auto"/>
        <w:rPr>
          <w:rFonts w:hint="eastAsia" w:asciiTheme="minorEastAsia" w:hAnsiTheme="minorEastAsia" w:eastAsiaTheme="minorEastAsia" w:cstheme="minorEastAsia"/>
        </w:rPr>
      </w:pPr>
      <w:bookmarkStart w:id="307" w:name="_Toc387526317"/>
      <w:bookmarkStart w:id="308" w:name="_Toc22985"/>
      <w:bookmarkStart w:id="309" w:name="_Toc387526213"/>
      <w:bookmarkStart w:id="310" w:name="_Toc511142477"/>
      <w:bookmarkStart w:id="311" w:name="_Toc387526409"/>
      <w:bookmarkStart w:id="312" w:name="_Toc397928586"/>
      <w:bookmarkStart w:id="313" w:name="_Toc368760433"/>
      <w:bookmarkStart w:id="314" w:name="_Toc369077567"/>
      <w:r>
        <w:rPr>
          <w:rFonts w:hint="eastAsia" w:asciiTheme="minorEastAsia" w:hAnsiTheme="minorEastAsia" w:eastAsiaTheme="minorEastAsia" w:cstheme="minorEastAsia"/>
        </w:rPr>
        <w:t>7. 评标结果公示</w:t>
      </w:r>
      <w:bookmarkEnd w:id="307"/>
      <w:bookmarkEnd w:id="308"/>
      <w:bookmarkEnd w:id="309"/>
      <w:bookmarkEnd w:id="310"/>
      <w:bookmarkEnd w:id="311"/>
      <w:bookmarkEnd w:id="312"/>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7.1 招标人在收到评标报告之日起3日内，在与招标公告相同的发布媒介上对评标结果进行公示，公示期不少于3日。</w:t>
      </w:r>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7.2 投标人或者其他利害关系人对评标结果有异议的，应当在评标结果公示期间向招标人提出异议。招标人自收到异议之日起3日内作出答复，并在作出答复前暂停招标投标活动。</w:t>
      </w:r>
    </w:p>
    <w:p>
      <w:pPr>
        <w:pStyle w:val="118"/>
        <w:spacing w:line="240" w:lineRule="auto"/>
        <w:rPr>
          <w:rFonts w:hint="eastAsia" w:asciiTheme="minorEastAsia" w:hAnsiTheme="minorEastAsia" w:eastAsiaTheme="minorEastAsia" w:cstheme="minorEastAsia"/>
        </w:rPr>
      </w:pPr>
      <w:bookmarkStart w:id="315" w:name="_Toc387526214"/>
      <w:bookmarkStart w:id="316" w:name="_Toc15824"/>
      <w:bookmarkStart w:id="317" w:name="_Toc387526410"/>
      <w:bookmarkStart w:id="318" w:name="_Toc387526318"/>
      <w:bookmarkStart w:id="319" w:name="_Toc397928587"/>
      <w:bookmarkStart w:id="320" w:name="_Toc511142478"/>
      <w:r>
        <w:rPr>
          <w:rFonts w:hint="eastAsia" w:asciiTheme="minorEastAsia" w:hAnsiTheme="minorEastAsia" w:eastAsiaTheme="minorEastAsia" w:cstheme="minorEastAsia"/>
        </w:rPr>
        <w:t>8. 合同授予</w:t>
      </w:r>
      <w:bookmarkEnd w:id="243"/>
      <w:bookmarkEnd w:id="244"/>
      <w:bookmarkEnd w:id="245"/>
      <w:bookmarkEnd w:id="246"/>
      <w:bookmarkEnd w:id="247"/>
      <w:bookmarkEnd w:id="248"/>
      <w:bookmarkEnd w:id="249"/>
      <w:bookmarkEnd w:id="250"/>
      <w:bookmarkEnd w:id="251"/>
      <w:bookmarkEnd w:id="313"/>
      <w:bookmarkEnd w:id="314"/>
      <w:bookmarkEnd w:id="315"/>
      <w:bookmarkEnd w:id="316"/>
      <w:bookmarkEnd w:id="317"/>
      <w:bookmarkEnd w:id="318"/>
      <w:bookmarkEnd w:id="319"/>
      <w:bookmarkEnd w:id="320"/>
    </w:p>
    <w:p>
      <w:pPr>
        <w:pStyle w:val="5"/>
        <w:spacing w:line="240" w:lineRule="auto"/>
        <w:ind w:firstLine="103"/>
        <w:rPr>
          <w:rFonts w:hint="eastAsia" w:asciiTheme="minorEastAsia" w:hAnsiTheme="minorEastAsia" w:eastAsiaTheme="minorEastAsia" w:cstheme="minorEastAsia"/>
          <w:color w:val="000000"/>
          <w:sz w:val="21"/>
          <w:szCs w:val="21"/>
        </w:rPr>
      </w:pPr>
      <w:bookmarkStart w:id="321" w:name="_Toc5192"/>
      <w:bookmarkStart w:id="322" w:name="_Toc247085725"/>
      <w:bookmarkStart w:id="323" w:name="_Toc144974535"/>
      <w:bookmarkStart w:id="324" w:name="_Toc387526215"/>
      <w:bookmarkStart w:id="325" w:name="_Toc387526411"/>
      <w:bookmarkStart w:id="326" w:name="_Toc397928588"/>
      <w:bookmarkStart w:id="327" w:name="_Toc511142479"/>
      <w:bookmarkStart w:id="328" w:name="_Toc179632585"/>
      <w:bookmarkStart w:id="329" w:name="_Toc152045567"/>
      <w:bookmarkStart w:id="330" w:name="_Toc152042343"/>
      <w:bookmarkStart w:id="331" w:name="_Toc246996954"/>
      <w:bookmarkStart w:id="332" w:name="_Toc387526319"/>
      <w:bookmarkStart w:id="333" w:name="_Toc246996211"/>
      <w:bookmarkStart w:id="334" w:name="_Toc366679698"/>
      <w:r>
        <w:rPr>
          <w:rFonts w:hint="eastAsia" w:asciiTheme="minorEastAsia" w:hAnsiTheme="minorEastAsia" w:eastAsiaTheme="minorEastAsia" w:cstheme="minorEastAsia"/>
          <w:color w:val="000000"/>
          <w:sz w:val="21"/>
          <w:szCs w:val="21"/>
        </w:rPr>
        <w:t>8.1 定标方式</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pPr>
        <w:spacing w:line="240" w:lineRule="auto"/>
        <w:ind w:firstLine="420" w:firstLineChars="200"/>
        <w:rPr>
          <w:rFonts w:hint="eastAsia" w:asciiTheme="minorEastAsia" w:hAnsiTheme="minorEastAsia" w:eastAsiaTheme="minorEastAsia" w:cstheme="minorEastAsia"/>
          <w:color w:val="000000"/>
          <w:szCs w:val="21"/>
        </w:rPr>
      </w:pPr>
      <w:bookmarkStart w:id="335" w:name="_Toc387526412"/>
      <w:bookmarkStart w:id="336" w:name="_Toc387526320"/>
      <w:bookmarkStart w:id="337" w:name="_Toc29357"/>
      <w:bookmarkStart w:id="338" w:name="_Toc387526216"/>
      <w:r>
        <w:rPr>
          <w:rFonts w:hint="eastAsia" w:asciiTheme="minorEastAsia" w:hAnsiTheme="minorEastAsia" w:eastAsiaTheme="minorEastAsia" w:cstheme="minorEastAsia"/>
          <w:color w:val="000000"/>
          <w:szCs w:val="21"/>
        </w:rPr>
        <w:t>除投标人须知前附表规定评标委员会直接确定中标人外，招标人依据评标委员会推荐的中标候选人确定中标人。</w:t>
      </w:r>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pacing w:line="240" w:lineRule="auto"/>
        <w:ind w:firstLine="103"/>
        <w:rPr>
          <w:rFonts w:hint="eastAsia" w:asciiTheme="minorEastAsia" w:hAnsiTheme="minorEastAsia" w:eastAsiaTheme="minorEastAsia" w:cstheme="minorEastAsia"/>
          <w:color w:val="000000"/>
          <w:sz w:val="21"/>
          <w:szCs w:val="21"/>
        </w:rPr>
      </w:pPr>
      <w:bookmarkStart w:id="339" w:name="_Toc397928589"/>
      <w:bookmarkStart w:id="340" w:name="_Toc511142480"/>
      <w:r>
        <w:rPr>
          <w:rFonts w:hint="eastAsia" w:asciiTheme="minorEastAsia" w:hAnsiTheme="minorEastAsia" w:eastAsiaTheme="minorEastAsia" w:cstheme="minorEastAsia"/>
          <w:color w:val="000000"/>
          <w:sz w:val="21"/>
          <w:szCs w:val="21"/>
        </w:rPr>
        <w:t>8.2</w:t>
      </w:r>
      <w:bookmarkEnd w:id="335"/>
      <w:bookmarkEnd w:id="336"/>
      <w:bookmarkEnd w:id="337"/>
      <w:bookmarkEnd w:id="338"/>
      <w:bookmarkStart w:id="341" w:name="_Toc246996212"/>
      <w:bookmarkStart w:id="342" w:name="_Toc179632586"/>
      <w:bookmarkStart w:id="343" w:name="_Toc246996955"/>
      <w:bookmarkStart w:id="344" w:name="_Toc13765"/>
      <w:bookmarkStart w:id="345" w:name="_Toc387526321"/>
      <w:bookmarkStart w:id="346" w:name="_Toc387526413"/>
      <w:bookmarkStart w:id="347" w:name="_Toc387526217"/>
      <w:bookmarkStart w:id="348" w:name="_Toc366679700"/>
      <w:bookmarkStart w:id="349" w:name="_Toc247085726"/>
      <w:r>
        <w:rPr>
          <w:rFonts w:hint="eastAsia" w:asciiTheme="minorEastAsia" w:hAnsiTheme="minorEastAsia" w:eastAsiaTheme="minorEastAsia" w:cstheme="minorEastAsia"/>
          <w:color w:val="000000"/>
          <w:sz w:val="21"/>
          <w:szCs w:val="21"/>
        </w:rPr>
        <w:t>中标通知</w:t>
      </w:r>
      <w:bookmarkEnd w:id="339"/>
      <w:bookmarkEnd w:id="340"/>
      <w:bookmarkEnd w:id="341"/>
      <w:bookmarkEnd w:id="342"/>
      <w:bookmarkEnd w:id="343"/>
      <w:bookmarkEnd w:id="344"/>
      <w:bookmarkEnd w:id="345"/>
      <w:bookmarkEnd w:id="346"/>
      <w:bookmarkEnd w:id="347"/>
      <w:bookmarkEnd w:id="348"/>
      <w:bookmarkEnd w:id="349"/>
    </w:p>
    <w:p>
      <w:pPr>
        <w:spacing w:line="240" w:lineRule="auto"/>
        <w:ind w:firstLine="420" w:firstLineChars="200"/>
        <w:rPr>
          <w:rFonts w:hint="eastAsia" w:asciiTheme="minorEastAsia" w:hAnsiTheme="minorEastAsia" w:eastAsiaTheme="minorEastAsia" w:cstheme="minorEastAsia"/>
          <w:color w:val="000000"/>
          <w:szCs w:val="21"/>
        </w:rPr>
      </w:pPr>
      <w:bookmarkStart w:id="350" w:name="_Toc247085727"/>
      <w:bookmarkStart w:id="351" w:name="_Toc366679701"/>
      <w:bookmarkStart w:id="352" w:name="_Toc246996956"/>
      <w:bookmarkStart w:id="353" w:name="_Toc246996213"/>
      <w:bookmarkStart w:id="354" w:name="_Toc179632587"/>
      <w:r>
        <w:rPr>
          <w:rFonts w:hint="eastAsia" w:asciiTheme="minorEastAsia" w:hAnsiTheme="minorEastAsia" w:eastAsiaTheme="minorEastAsia" w:cstheme="minorEastAsia"/>
          <w:color w:val="000000"/>
          <w:szCs w:val="21"/>
        </w:rPr>
        <w:t>招标人在本招标文件规定的投标有效期内以书面形式向中标人发出中标通知书。</w:t>
      </w:r>
    </w:p>
    <w:p>
      <w:pPr>
        <w:pStyle w:val="5"/>
        <w:spacing w:line="240" w:lineRule="auto"/>
        <w:ind w:firstLine="103"/>
        <w:rPr>
          <w:rFonts w:hint="eastAsia" w:asciiTheme="minorEastAsia" w:hAnsiTheme="minorEastAsia" w:eastAsiaTheme="minorEastAsia" w:cstheme="minorEastAsia"/>
          <w:color w:val="000000"/>
          <w:sz w:val="21"/>
          <w:szCs w:val="21"/>
        </w:rPr>
      </w:pPr>
      <w:bookmarkStart w:id="355" w:name="_Toc397928590"/>
      <w:bookmarkStart w:id="356" w:name="_Toc26386"/>
      <w:bookmarkStart w:id="357" w:name="_Toc387526414"/>
      <w:bookmarkStart w:id="358" w:name="_Toc387526322"/>
      <w:bookmarkStart w:id="359" w:name="_Toc387526218"/>
      <w:bookmarkStart w:id="360" w:name="_Toc511142481"/>
      <w:r>
        <w:rPr>
          <w:rFonts w:hint="eastAsia" w:asciiTheme="minorEastAsia" w:hAnsiTheme="minorEastAsia" w:eastAsiaTheme="minorEastAsia" w:cstheme="minorEastAsia"/>
          <w:color w:val="000000"/>
          <w:sz w:val="21"/>
          <w:szCs w:val="21"/>
        </w:rPr>
        <w:t>8.3 履约保证金</w:t>
      </w:r>
      <w:bookmarkEnd w:id="350"/>
      <w:bookmarkEnd w:id="351"/>
      <w:bookmarkEnd w:id="352"/>
      <w:bookmarkEnd w:id="353"/>
      <w:bookmarkEnd w:id="354"/>
      <w:bookmarkEnd w:id="355"/>
      <w:bookmarkEnd w:id="356"/>
      <w:bookmarkEnd w:id="357"/>
      <w:bookmarkEnd w:id="358"/>
      <w:bookmarkEnd w:id="359"/>
      <w:bookmarkEnd w:id="360"/>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8.3.1在签订合同前，中标人应按招标公告、投标人须知前附表规定的形式向招标人提交履约保证金。</w:t>
      </w:r>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8.3.2 中标人不能按本章第8.3.1项要求提交履约保证金的，视为放弃中标，其投标保证金不予退还，给招标人造成的损失超过投标保证金数额的，中标人还应当对超过部分予以赔偿。</w:t>
      </w:r>
    </w:p>
    <w:p>
      <w:pPr>
        <w:pStyle w:val="5"/>
        <w:spacing w:line="240" w:lineRule="auto"/>
        <w:ind w:firstLine="103"/>
        <w:rPr>
          <w:rFonts w:hint="eastAsia" w:asciiTheme="minorEastAsia" w:hAnsiTheme="minorEastAsia" w:eastAsiaTheme="minorEastAsia" w:cstheme="minorEastAsia"/>
          <w:color w:val="000000"/>
          <w:sz w:val="21"/>
          <w:szCs w:val="21"/>
        </w:rPr>
      </w:pPr>
      <w:bookmarkStart w:id="361" w:name="_Toc246996214"/>
      <w:bookmarkStart w:id="362" w:name="_Toc179632588"/>
      <w:bookmarkStart w:id="363" w:name="_Toc246996957"/>
      <w:bookmarkStart w:id="364" w:name="_Toc10565"/>
      <w:bookmarkStart w:id="365" w:name="_Toc387526415"/>
      <w:bookmarkStart w:id="366" w:name="_Toc366679702"/>
      <w:bookmarkStart w:id="367" w:name="_Toc511142482"/>
      <w:bookmarkStart w:id="368" w:name="_Toc387526219"/>
      <w:bookmarkStart w:id="369" w:name="_Toc387526323"/>
      <w:bookmarkStart w:id="370" w:name="_Toc247085728"/>
      <w:bookmarkStart w:id="371" w:name="_Toc397928591"/>
      <w:r>
        <w:rPr>
          <w:rFonts w:hint="eastAsia" w:asciiTheme="minorEastAsia" w:hAnsiTheme="minorEastAsia" w:eastAsiaTheme="minorEastAsia" w:cstheme="minorEastAsia"/>
          <w:color w:val="000000"/>
          <w:sz w:val="21"/>
          <w:szCs w:val="21"/>
        </w:rPr>
        <w:t>8.4 签订合同</w:t>
      </w:r>
      <w:bookmarkEnd w:id="361"/>
      <w:bookmarkEnd w:id="362"/>
      <w:bookmarkEnd w:id="363"/>
      <w:bookmarkEnd w:id="364"/>
      <w:bookmarkEnd w:id="365"/>
      <w:bookmarkEnd w:id="366"/>
      <w:bookmarkEnd w:id="367"/>
      <w:bookmarkEnd w:id="368"/>
      <w:bookmarkEnd w:id="369"/>
      <w:bookmarkEnd w:id="370"/>
      <w:bookmarkEnd w:id="371"/>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8.4.1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8.4.2 发出中标通知书后，招标人无正当理由拒签合同的，招标人向中标人退还投标保证金；给中标人造成损失的，还应当赔偿损失。</w:t>
      </w:r>
    </w:p>
    <w:bookmarkEnd w:id="210"/>
    <w:bookmarkEnd w:id="211"/>
    <w:bookmarkEnd w:id="212"/>
    <w:bookmarkEnd w:id="213"/>
    <w:p>
      <w:pPr>
        <w:pStyle w:val="118"/>
        <w:spacing w:line="240" w:lineRule="auto"/>
        <w:rPr>
          <w:rFonts w:hint="eastAsia" w:asciiTheme="minorEastAsia" w:hAnsiTheme="minorEastAsia" w:eastAsiaTheme="minorEastAsia" w:cstheme="minorEastAsia"/>
        </w:rPr>
      </w:pPr>
      <w:bookmarkStart w:id="372" w:name="_Toc322503149"/>
      <w:bookmarkStart w:id="373" w:name="_Toc397928592"/>
      <w:bookmarkStart w:id="374" w:name="_Toc30717"/>
      <w:bookmarkStart w:id="375" w:name="_Toc387526416"/>
      <w:bookmarkStart w:id="376" w:name="_Toc387526324"/>
      <w:bookmarkStart w:id="377" w:name="_Toc387526220"/>
      <w:bookmarkStart w:id="378" w:name="_Toc368759383"/>
      <w:bookmarkStart w:id="379" w:name="_Toc369077569"/>
      <w:bookmarkStart w:id="380" w:name="_Toc368760435"/>
      <w:bookmarkStart w:id="381" w:name="_Toc511142483"/>
      <w:bookmarkStart w:id="382" w:name="_Toc367894807"/>
      <w:bookmarkStart w:id="383" w:name="_Toc363329380"/>
      <w:r>
        <w:rPr>
          <w:rFonts w:hint="eastAsia" w:asciiTheme="minorEastAsia" w:hAnsiTheme="minorEastAsia" w:eastAsiaTheme="minorEastAsia" w:cstheme="minorEastAsia"/>
        </w:rPr>
        <w:t>9. 纪律和监督</w:t>
      </w:r>
      <w:bookmarkEnd w:id="372"/>
      <w:bookmarkEnd w:id="373"/>
      <w:bookmarkEnd w:id="374"/>
      <w:bookmarkEnd w:id="375"/>
      <w:bookmarkEnd w:id="376"/>
      <w:bookmarkEnd w:id="377"/>
      <w:bookmarkEnd w:id="378"/>
      <w:bookmarkEnd w:id="379"/>
      <w:bookmarkEnd w:id="380"/>
      <w:bookmarkEnd w:id="381"/>
      <w:bookmarkEnd w:id="382"/>
      <w:bookmarkEnd w:id="383"/>
    </w:p>
    <w:p>
      <w:pPr>
        <w:pStyle w:val="5"/>
        <w:spacing w:line="240" w:lineRule="auto"/>
        <w:ind w:firstLine="103"/>
        <w:rPr>
          <w:rFonts w:hint="eastAsia" w:asciiTheme="minorEastAsia" w:hAnsiTheme="minorEastAsia" w:eastAsiaTheme="minorEastAsia" w:cstheme="minorEastAsia"/>
          <w:color w:val="000000"/>
          <w:sz w:val="21"/>
          <w:szCs w:val="21"/>
        </w:rPr>
      </w:pPr>
      <w:bookmarkStart w:id="384" w:name="_Toc29855"/>
      <w:bookmarkStart w:id="385" w:name="_Toc387526417"/>
      <w:bookmarkStart w:id="386" w:name="_Toc397928593"/>
      <w:bookmarkStart w:id="387" w:name="_Toc387526325"/>
      <w:bookmarkStart w:id="388" w:name="_Toc387526221"/>
      <w:bookmarkStart w:id="389" w:name="_Toc144974543"/>
      <w:bookmarkStart w:id="390" w:name="_Toc152042351"/>
      <w:bookmarkStart w:id="391" w:name="_Toc152045575"/>
      <w:bookmarkStart w:id="392" w:name="_Toc511142484"/>
      <w:bookmarkStart w:id="393" w:name="_Toc269310963"/>
      <w:bookmarkStart w:id="394" w:name="_Toc322503150"/>
      <w:r>
        <w:rPr>
          <w:rFonts w:hint="eastAsia" w:asciiTheme="minorEastAsia" w:hAnsiTheme="minorEastAsia" w:eastAsiaTheme="minorEastAsia" w:cstheme="minorEastAsia"/>
          <w:color w:val="000000"/>
          <w:sz w:val="21"/>
          <w:szCs w:val="21"/>
        </w:rPr>
        <w:t>9.1 对招标人的纪律要求</w:t>
      </w:r>
      <w:bookmarkEnd w:id="384"/>
      <w:bookmarkEnd w:id="385"/>
      <w:bookmarkEnd w:id="386"/>
      <w:bookmarkEnd w:id="387"/>
      <w:bookmarkEnd w:id="388"/>
      <w:bookmarkEnd w:id="389"/>
      <w:bookmarkEnd w:id="390"/>
      <w:bookmarkEnd w:id="391"/>
      <w:bookmarkEnd w:id="392"/>
      <w:bookmarkEnd w:id="393"/>
      <w:bookmarkEnd w:id="394"/>
    </w:p>
    <w:p>
      <w:pPr>
        <w:spacing w:line="240" w:lineRule="auto"/>
        <w:ind w:firstLine="420"/>
        <w:rPr>
          <w:rFonts w:hint="eastAsia" w:asciiTheme="minorEastAsia" w:hAnsiTheme="minorEastAsia" w:eastAsiaTheme="minorEastAsia" w:cstheme="minorEastAsia"/>
          <w:color w:val="000000"/>
          <w:szCs w:val="21"/>
          <w:highlight w:val="white"/>
        </w:rPr>
      </w:pPr>
      <w:r>
        <w:rPr>
          <w:rFonts w:hint="eastAsia" w:asciiTheme="minorEastAsia" w:hAnsiTheme="minorEastAsia" w:eastAsiaTheme="minorEastAsia" w:cstheme="minorEastAsia"/>
          <w:color w:val="000000"/>
          <w:szCs w:val="21"/>
          <w:highlight w:val="white"/>
        </w:rPr>
        <w:t>招标人不得泄露招标投标活动中应当保密的情况和资料，不得与投标人串通损害国家利益、社会公众利益或者他人合法权益。</w:t>
      </w:r>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395" w:name="_Toc269310964"/>
      <w:bookmarkStart w:id="396" w:name="_Toc152045576"/>
      <w:bookmarkStart w:id="397" w:name="_Toc144974544"/>
      <w:bookmarkStart w:id="398" w:name="_Toc387526222"/>
      <w:bookmarkStart w:id="399" w:name="_Toc387526326"/>
      <w:bookmarkStart w:id="400" w:name="_Toc387526418"/>
      <w:bookmarkStart w:id="401" w:name="_Toc152042352"/>
      <w:bookmarkStart w:id="402" w:name="_Toc1420"/>
      <w:bookmarkStart w:id="403" w:name="_Toc397928594"/>
      <w:bookmarkStart w:id="404" w:name="_Toc511142485"/>
      <w:bookmarkStart w:id="405" w:name="_Toc322503151"/>
      <w:r>
        <w:rPr>
          <w:rFonts w:hint="eastAsia" w:asciiTheme="minorEastAsia" w:hAnsiTheme="minorEastAsia" w:eastAsiaTheme="minorEastAsia" w:cstheme="minorEastAsia"/>
          <w:color w:val="000000"/>
          <w:sz w:val="21"/>
          <w:szCs w:val="21"/>
          <w:highlight w:val="white"/>
        </w:rPr>
        <w:t>9.2 对投标人的纪律要求</w:t>
      </w:r>
      <w:bookmarkEnd w:id="395"/>
      <w:bookmarkEnd w:id="396"/>
      <w:bookmarkEnd w:id="397"/>
      <w:bookmarkEnd w:id="398"/>
      <w:bookmarkEnd w:id="399"/>
      <w:bookmarkEnd w:id="400"/>
      <w:bookmarkEnd w:id="401"/>
      <w:bookmarkEnd w:id="402"/>
      <w:bookmarkEnd w:id="403"/>
      <w:bookmarkEnd w:id="404"/>
      <w:bookmarkEnd w:id="405"/>
    </w:p>
    <w:p>
      <w:pPr>
        <w:spacing w:line="240" w:lineRule="auto"/>
        <w:ind w:firstLine="420"/>
        <w:rPr>
          <w:rFonts w:hint="eastAsia" w:asciiTheme="minorEastAsia" w:hAnsiTheme="minorEastAsia" w:eastAsiaTheme="minorEastAsia" w:cstheme="minorEastAsia"/>
          <w:color w:val="000000"/>
          <w:szCs w:val="21"/>
          <w:highlight w:val="white"/>
        </w:rPr>
      </w:pPr>
      <w:bookmarkStart w:id="406" w:name="_Toc152042353"/>
      <w:bookmarkStart w:id="407" w:name="_Toc144974545"/>
      <w:bookmarkStart w:id="408" w:name="_Toc322503152"/>
      <w:bookmarkStart w:id="409" w:name="_Toc269310965"/>
      <w:bookmarkStart w:id="410" w:name="_Toc152045577"/>
      <w:r>
        <w:rPr>
          <w:rFonts w:hint="eastAsia" w:asciiTheme="minorEastAsia" w:hAnsiTheme="minorEastAsia" w:eastAsiaTheme="minorEastAsia" w:cstheme="minorEastAsia"/>
          <w:color w:val="000000"/>
          <w:szCs w:val="21"/>
          <w:highlight w:val="whit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411" w:name="_Toc397928595"/>
      <w:bookmarkStart w:id="412" w:name="_Toc511142486"/>
      <w:bookmarkStart w:id="413" w:name="_Toc387526223"/>
      <w:bookmarkStart w:id="414" w:name="_Toc387526327"/>
      <w:bookmarkStart w:id="415" w:name="_Toc387526419"/>
      <w:bookmarkStart w:id="416" w:name="_Toc16374"/>
      <w:r>
        <w:rPr>
          <w:rFonts w:hint="eastAsia" w:asciiTheme="minorEastAsia" w:hAnsiTheme="minorEastAsia" w:eastAsiaTheme="minorEastAsia" w:cstheme="minorEastAsia"/>
          <w:color w:val="000000"/>
          <w:sz w:val="21"/>
          <w:szCs w:val="21"/>
          <w:highlight w:val="white"/>
        </w:rPr>
        <w:t>9.3 对评标委员会成员的纪律要求</w:t>
      </w:r>
      <w:bookmarkEnd w:id="406"/>
      <w:bookmarkEnd w:id="407"/>
      <w:bookmarkEnd w:id="408"/>
      <w:bookmarkEnd w:id="409"/>
      <w:bookmarkEnd w:id="410"/>
      <w:bookmarkEnd w:id="411"/>
      <w:bookmarkEnd w:id="412"/>
      <w:bookmarkEnd w:id="413"/>
      <w:bookmarkEnd w:id="414"/>
      <w:bookmarkEnd w:id="415"/>
      <w:bookmarkEnd w:id="416"/>
    </w:p>
    <w:p>
      <w:pPr>
        <w:spacing w:line="240" w:lineRule="auto"/>
        <w:ind w:firstLine="420"/>
        <w:rPr>
          <w:rFonts w:hint="eastAsia" w:asciiTheme="minorEastAsia" w:hAnsiTheme="minorEastAsia" w:eastAsiaTheme="minorEastAsia" w:cstheme="minorEastAsia"/>
          <w:color w:val="000000"/>
          <w:szCs w:val="21"/>
          <w:highlight w:val="white"/>
        </w:rPr>
      </w:pPr>
      <w:bookmarkStart w:id="417" w:name="_Toc247085736"/>
      <w:bookmarkStart w:id="418" w:name="_Toc366679707"/>
      <w:bookmarkStart w:id="419" w:name="_Toc152042354"/>
      <w:bookmarkStart w:id="420" w:name="_Toc152045578"/>
      <w:bookmarkStart w:id="421" w:name="_Toc179632596"/>
      <w:bookmarkStart w:id="422" w:name="_Toc246996222"/>
      <w:bookmarkStart w:id="423" w:name="_Toc246996965"/>
      <w:bookmarkStart w:id="424" w:name="_Toc144974546"/>
      <w:r>
        <w:rPr>
          <w:rFonts w:hint="eastAsia" w:asciiTheme="minorEastAsia" w:hAnsiTheme="minorEastAsia" w:eastAsiaTheme="minorEastAsia" w:cstheme="minorEastAsia"/>
          <w:color w:val="000000"/>
          <w:szCs w:val="21"/>
          <w:highlight w:val="whit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425" w:name="_Toc1042"/>
      <w:bookmarkStart w:id="426" w:name="_Toc397928596"/>
      <w:bookmarkStart w:id="427" w:name="_Toc511142487"/>
      <w:bookmarkStart w:id="428" w:name="_Toc387526224"/>
      <w:bookmarkStart w:id="429" w:name="_Toc387526328"/>
      <w:bookmarkStart w:id="430" w:name="_Toc387526420"/>
      <w:r>
        <w:rPr>
          <w:rFonts w:hint="eastAsia" w:asciiTheme="minorEastAsia" w:hAnsiTheme="minorEastAsia" w:eastAsiaTheme="minorEastAsia" w:cstheme="minorEastAsia"/>
          <w:color w:val="000000"/>
          <w:sz w:val="21"/>
          <w:szCs w:val="21"/>
          <w:highlight w:val="white"/>
        </w:rPr>
        <w:t>9.4 对与评标活动有关的工作人员的纪律要求</w:t>
      </w:r>
      <w:bookmarkEnd w:id="417"/>
      <w:bookmarkEnd w:id="418"/>
      <w:bookmarkEnd w:id="419"/>
      <w:bookmarkEnd w:id="420"/>
      <w:bookmarkEnd w:id="421"/>
      <w:bookmarkEnd w:id="422"/>
      <w:bookmarkEnd w:id="423"/>
      <w:bookmarkEnd w:id="425"/>
      <w:bookmarkEnd w:id="426"/>
      <w:bookmarkEnd w:id="427"/>
      <w:bookmarkEnd w:id="428"/>
      <w:bookmarkEnd w:id="429"/>
      <w:bookmarkEnd w:id="430"/>
    </w:p>
    <w:p>
      <w:pPr>
        <w:spacing w:line="240" w:lineRule="auto"/>
        <w:ind w:firstLine="420"/>
        <w:rPr>
          <w:rFonts w:hint="eastAsia" w:asciiTheme="minorEastAsia" w:hAnsiTheme="minorEastAsia" w:eastAsiaTheme="minorEastAsia" w:cstheme="minorEastAsia"/>
          <w:color w:val="000000"/>
          <w:szCs w:val="21"/>
          <w:highlight w:val="white"/>
        </w:rPr>
      </w:pPr>
      <w:bookmarkStart w:id="431" w:name="_Toc152042355"/>
      <w:bookmarkStart w:id="432" w:name="_Toc179632597"/>
      <w:bookmarkStart w:id="433" w:name="_Toc246996223"/>
      <w:bookmarkStart w:id="434" w:name="_Toc246996966"/>
      <w:bookmarkStart w:id="435" w:name="_Toc247085737"/>
      <w:bookmarkStart w:id="436" w:name="_Toc366679708"/>
      <w:bookmarkStart w:id="437" w:name="_Toc152042356"/>
      <w:bookmarkStart w:id="438" w:name="_Toc152045579"/>
      <w:r>
        <w:rPr>
          <w:rFonts w:hint="eastAsia" w:asciiTheme="minorEastAsia" w:hAnsiTheme="minorEastAsia" w:eastAsiaTheme="minorEastAsia" w:cstheme="minorEastAsia"/>
          <w:color w:val="000000"/>
          <w:szCs w:val="21"/>
          <w:highlight w:val="whit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31"/>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439" w:name="_Toc387526329"/>
      <w:bookmarkStart w:id="440" w:name="_Toc397928597"/>
      <w:bookmarkStart w:id="441" w:name="_Toc511142488"/>
      <w:bookmarkStart w:id="442" w:name="_Toc387526225"/>
      <w:bookmarkStart w:id="443" w:name="_Toc387526421"/>
      <w:bookmarkStart w:id="444" w:name="_Toc27873"/>
      <w:r>
        <w:rPr>
          <w:rFonts w:hint="eastAsia" w:asciiTheme="minorEastAsia" w:hAnsiTheme="minorEastAsia" w:eastAsiaTheme="minorEastAsia" w:cstheme="minorEastAsia"/>
          <w:color w:val="000000"/>
          <w:sz w:val="21"/>
          <w:szCs w:val="21"/>
          <w:highlight w:val="white"/>
        </w:rPr>
        <w:t>9.5 投诉</w:t>
      </w:r>
      <w:bookmarkEnd w:id="424"/>
      <w:bookmarkEnd w:id="432"/>
      <w:bookmarkEnd w:id="433"/>
      <w:bookmarkEnd w:id="434"/>
      <w:bookmarkEnd w:id="435"/>
      <w:bookmarkEnd w:id="436"/>
      <w:bookmarkEnd w:id="437"/>
      <w:bookmarkEnd w:id="438"/>
      <w:bookmarkEnd w:id="439"/>
      <w:bookmarkEnd w:id="440"/>
      <w:bookmarkEnd w:id="441"/>
      <w:bookmarkEnd w:id="442"/>
      <w:bookmarkEnd w:id="443"/>
      <w:bookmarkEnd w:id="444"/>
    </w:p>
    <w:p>
      <w:pPr>
        <w:spacing w:line="240" w:lineRule="auto"/>
        <w:ind w:firstLine="420"/>
        <w:rPr>
          <w:rFonts w:hint="eastAsia" w:asciiTheme="minorEastAsia" w:hAnsiTheme="minorEastAsia" w:eastAsiaTheme="minorEastAsia" w:cstheme="minorEastAsia"/>
          <w:color w:val="000000"/>
          <w:szCs w:val="21"/>
        </w:rPr>
      </w:pPr>
      <w:bookmarkStart w:id="445" w:name="_Toc9600"/>
      <w:bookmarkStart w:id="446" w:name="_Toc387526226"/>
      <w:bookmarkStart w:id="447" w:name="_Toc387526330"/>
      <w:bookmarkStart w:id="448" w:name="_Toc387526422"/>
      <w:r>
        <w:rPr>
          <w:rFonts w:hint="eastAsia" w:asciiTheme="minorEastAsia" w:hAnsiTheme="minorEastAsia" w:eastAsiaTheme="minorEastAsia" w:cstheme="minorEastAsia"/>
          <w:color w:val="000000"/>
          <w:szCs w:val="21"/>
        </w:rPr>
        <w:t>投标人或者其他利害关系人认为招标投标活动不符合法律、行政法规规定的，可以自知道或者应当知道之日起10日内向有关行政监督部门投诉。投标人或者其他利害关系人就招标文件（含补充、澄清、答疑等文件）、开标、评标结果事项投诉的，应当先向招标人提出异议。</w:t>
      </w:r>
    </w:p>
    <w:p>
      <w:pPr>
        <w:pStyle w:val="5"/>
        <w:spacing w:before="60" w:after="60" w:line="240" w:lineRule="auto"/>
        <w:ind w:firstLine="103"/>
        <w:rPr>
          <w:rFonts w:hint="eastAsia" w:asciiTheme="minorEastAsia" w:hAnsiTheme="minorEastAsia" w:eastAsiaTheme="minorEastAsia" w:cstheme="minorEastAsia"/>
          <w:color w:val="000000"/>
          <w:sz w:val="21"/>
          <w:szCs w:val="21"/>
          <w:highlight w:val="white"/>
        </w:rPr>
      </w:pPr>
      <w:bookmarkStart w:id="449" w:name="_Toc511142489"/>
      <w:r>
        <w:rPr>
          <w:rFonts w:hint="eastAsia" w:asciiTheme="minorEastAsia" w:hAnsiTheme="minorEastAsia" w:eastAsiaTheme="minorEastAsia" w:cstheme="minorEastAsia"/>
          <w:color w:val="000000"/>
          <w:sz w:val="21"/>
          <w:szCs w:val="21"/>
          <w:highlight w:val="white"/>
        </w:rPr>
        <w:t>9.6差别待遇或者歧视待遇现象</w:t>
      </w:r>
      <w:bookmarkEnd w:id="449"/>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采购人或者采购代理机构有下列情形之一的，属于以不合理的条件对供应商实行差别待遇或者歧视待遇：</w:t>
      </w:r>
    </w:p>
    <w:p>
      <w:pPr>
        <w:spacing w:line="24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（一）就同一采购项目向供应商提供有差别的项目信息；</w:t>
      </w:r>
    </w:p>
    <w:p>
      <w:pPr>
        <w:spacing w:line="24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（二）设定的资格、技术、商务条件与采购项目的具体特点和实际需要不相适应或者与合同履行无关；</w:t>
      </w:r>
    </w:p>
    <w:p>
      <w:pPr>
        <w:spacing w:line="24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（三）采购需求中的技术、服务等要求指向特定供应商、特定产品；</w:t>
      </w:r>
    </w:p>
    <w:p>
      <w:pPr>
        <w:spacing w:line="24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（四）以特定行政区域或者特定行业的业绩、奖项作为加分条件或者中标、成交条件；</w:t>
      </w:r>
    </w:p>
    <w:p>
      <w:pPr>
        <w:spacing w:line="24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（五）对供应商采取不同的资格审查或者评审标准；</w:t>
      </w:r>
    </w:p>
    <w:p>
      <w:pPr>
        <w:spacing w:line="24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（六）限定或者指定特定的专利、商标、品牌或者供应商；</w:t>
      </w:r>
    </w:p>
    <w:p>
      <w:pPr>
        <w:spacing w:line="240" w:lineRule="auto"/>
        <w:ind w:firstLine="405"/>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（七）非法限定供应商的所有制形式、组织形式或者所在地；</w:t>
      </w:r>
    </w:p>
    <w:p>
      <w:pPr>
        <w:spacing w:line="240" w:lineRule="auto"/>
        <w:ind w:firstLine="405"/>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（八）以其他不合理条件限制或者排斥潜在供应商。</w:t>
      </w:r>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若有以上现象，评委将本招标文件相关条款执行。</w:t>
      </w:r>
    </w:p>
    <w:p>
      <w:pPr>
        <w:pStyle w:val="118"/>
        <w:spacing w:line="240" w:lineRule="auto"/>
        <w:rPr>
          <w:rFonts w:hint="eastAsia" w:asciiTheme="minorEastAsia" w:hAnsiTheme="minorEastAsia" w:eastAsiaTheme="minorEastAsia" w:cstheme="minorEastAsia"/>
          <w:szCs w:val="21"/>
        </w:rPr>
      </w:pPr>
      <w:bookmarkStart w:id="450" w:name="_Toc397928598"/>
      <w:bookmarkStart w:id="451" w:name="_Toc511142490"/>
      <w:r>
        <w:rPr>
          <w:rFonts w:hint="eastAsia" w:asciiTheme="minorEastAsia" w:hAnsiTheme="minorEastAsia" w:eastAsiaTheme="minorEastAsia" w:cstheme="minorEastAsia"/>
        </w:rPr>
        <w:t>10. 招标人需要补充的其他内容</w:t>
      </w:r>
      <w:bookmarkEnd w:id="445"/>
      <w:bookmarkEnd w:id="446"/>
      <w:bookmarkEnd w:id="447"/>
      <w:bookmarkEnd w:id="448"/>
      <w:bookmarkEnd w:id="450"/>
      <w:bookmarkEnd w:id="451"/>
    </w:p>
    <w:p>
      <w:pPr>
        <w:spacing w:line="240" w:lineRule="auto"/>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招标人在发出中标通知书前将根据需要组织相关部门或单位对中标候选人进行全面考察，如发现投标人有不列情形的（包括但不限于），将被取消中标资格：</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（1）投标人在近3年实施的项目中有不按规定履行合同或无故拖延工期或发生安全事故造成社会不良影响的。</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（2）投标文件所提交的材料经查实存在虚假情形的。</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（3）投标人不具备本项目生产或供货能力的。</w:t>
      </w:r>
    </w:p>
    <w:p>
      <w:pPr>
        <w:pStyle w:val="5"/>
        <w:spacing w:before="60" w:after="60" w:line="240" w:lineRule="auto"/>
        <w:ind w:firstLine="103"/>
        <w:rPr>
          <w:rFonts w:hint="eastAsia" w:asciiTheme="minorEastAsia" w:hAnsiTheme="minorEastAsia" w:eastAsiaTheme="minorEastAsia" w:cstheme="minorEastAsia"/>
          <w:color w:val="000000"/>
          <w:sz w:val="21"/>
          <w:szCs w:val="21"/>
        </w:rPr>
      </w:pPr>
      <w:bookmarkStart w:id="452" w:name="_Toc511142491"/>
      <w:r>
        <w:rPr>
          <w:rFonts w:hint="eastAsia" w:asciiTheme="minorEastAsia" w:hAnsiTheme="minorEastAsia" w:eastAsiaTheme="minorEastAsia" w:cstheme="minorEastAsia"/>
          <w:color w:val="000000"/>
          <w:sz w:val="21"/>
          <w:szCs w:val="21"/>
        </w:rPr>
        <w:t>10.</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收费标准</w:t>
      </w:r>
      <w:bookmarkEnd w:id="452"/>
    </w:p>
    <w:p>
      <w:pPr>
        <w:spacing w:line="24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本项目招标代理费向中标单位收取，招标代理费按国家发改价格[2011]534号文件规定货物类标准</w:t>
      </w:r>
      <w:r>
        <w:rPr>
          <w:rFonts w:hint="eastAsia" w:asciiTheme="minorEastAsia" w:hAnsiTheme="minorEastAsia" w:eastAsiaTheme="minorEastAsia" w:cstheme="minorEastAsia"/>
          <w:color w:val="000000"/>
          <w:szCs w:val="21"/>
          <w:lang w:val="en-US" w:eastAsia="zh-CN"/>
        </w:rPr>
        <w:t>60%</w:t>
      </w:r>
      <w:r>
        <w:rPr>
          <w:rFonts w:hint="eastAsia" w:asciiTheme="minorEastAsia" w:hAnsiTheme="minorEastAsia" w:eastAsiaTheme="minorEastAsia" w:cstheme="minorEastAsia"/>
          <w:color w:val="000000"/>
          <w:szCs w:val="21"/>
        </w:rPr>
        <w:t>缴纳，请投标人考虑在投标报价中，但不单列。</w:t>
      </w:r>
    </w:p>
    <w:p>
      <w:pPr>
        <w:pStyle w:val="5"/>
        <w:spacing w:before="60" w:after="60" w:line="240" w:lineRule="auto"/>
        <w:ind w:firstLine="103"/>
        <w:rPr>
          <w:rFonts w:hint="eastAsia" w:asciiTheme="minorEastAsia" w:hAnsiTheme="minorEastAsia" w:eastAsiaTheme="minorEastAsia" w:cstheme="minorEastAsia"/>
          <w:color w:val="000000"/>
          <w:sz w:val="21"/>
          <w:szCs w:val="21"/>
        </w:rPr>
      </w:pPr>
      <w:bookmarkStart w:id="453" w:name="_Toc511142492"/>
      <w:r>
        <w:rPr>
          <w:rFonts w:hint="eastAsia" w:asciiTheme="minorEastAsia" w:hAnsiTheme="minorEastAsia" w:eastAsiaTheme="minorEastAsia" w:cstheme="minorEastAsia"/>
          <w:color w:val="000000"/>
          <w:sz w:val="21"/>
          <w:szCs w:val="21"/>
        </w:rPr>
        <w:t>10.</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其它内容</w:t>
      </w:r>
      <w:bookmarkEnd w:id="453"/>
    </w:p>
    <w:p>
      <w:pPr>
        <w:pStyle w:val="5"/>
        <w:spacing w:before="60" w:after="60" w:line="240" w:lineRule="auto"/>
        <w:ind w:firstLine="103"/>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无。</w:t>
      </w:r>
    </w:p>
    <w:p>
      <w:pPr>
        <w:pStyle w:val="5"/>
        <w:spacing w:before="60" w:after="60" w:line="240" w:lineRule="auto"/>
        <w:rPr>
          <w:rFonts w:hint="eastAsia" w:asciiTheme="minorEastAsia" w:hAnsiTheme="minorEastAsia" w:eastAsiaTheme="minorEastAsia" w:cstheme="minorEastAsia"/>
          <w:b/>
          <w:bCs/>
          <w:color w:val="000000"/>
          <w:sz w:val="32"/>
          <w:szCs w:val="32"/>
          <w:lang w:val="en-US" w:eastAsia="zh-CN"/>
        </w:rPr>
      </w:pPr>
      <w:r>
        <w:rPr>
          <w:rFonts w:hint="eastAsia" w:asciiTheme="minorEastAsia" w:hAnsiTheme="minorEastAsia" w:eastAsiaTheme="minorEastAsia" w:cstheme="minorEastAsia"/>
          <w:b/>
          <w:bCs/>
          <w:color w:val="000000"/>
          <w:sz w:val="32"/>
          <w:szCs w:val="32"/>
          <w:lang w:val="en-US" w:eastAsia="zh-CN"/>
        </w:rPr>
        <w:t>11、不见面开标</w:t>
      </w:r>
    </w:p>
    <w:p>
      <w:pPr>
        <w:pStyle w:val="5"/>
        <w:spacing w:before="60" w:after="60" w:line="240" w:lineRule="auto"/>
        <w:ind w:firstLine="522" w:firstLineChars="24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根据《国务院办公厅转发国家发展改革委关于深化公共资源交易平台整合共享指导意见的通知》（国办函〔2019〕41号）、国家发改委发布《关于积极应对疫情创新做好招投标工作保障经济平稳运行的通知》等文件精神，全面逐步推行不见面投标开标等招投标活动。结合当前疫情防控要求，本项目开标方式为不见面纸质文件开标。开标当日，投标人无需到达开标现场，仅需在任意地点通过 PC端或移动端的“腾讯会议”及相应的配套硬件设备参加开标会议。</w:t>
      </w:r>
    </w:p>
    <w:p>
      <w:pPr>
        <w:pStyle w:val="5"/>
        <w:spacing w:before="60" w:after="60" w:line="240" w:lineRule="auto"/>
        <w:ind w:firstLine="522" w:firstLineChars="24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参加会议的方法：电脑或智能手机可以搜索下载并安装“腾讯会议”，注册完成后点击“加入会议”，</w:t>
      </w:r>
      <w:r>
        <w:rPr>
          <w:rFonts w:hint="eastAsia" w:asciiTheme="minorEastAsia" w:hAnsiTheme="minorEastAsia" w:eastAsiaTheme="minorEastAsia" w:cstheme="minorEastAsia"/>
          <w:color w:val="FF0000"/>
          <w:sz w:val="21"/>
          <w:szCs w:val="21"/>
          <w:lang w:val="en-US" w:eastAsia="zh-CN"/>
        </w:rPr>
        <w:t>输入会议号“261 457 143</w:t>
      </w:r>
      <w:r>
        <w:rPr>
          <w:rFonts w:hint="eastAsia" w:asciiTheme="minorEastAsia" w:hAnsiTheme="minorEastAsia" w:eastAsiaTheme="minorEastAsia" w:cstheme="minorEastAsia"/>
          <w:color w:val="000000"/>
          <w:sz w:val="21"/>
          <w:szCs w:val="21"/>
          <w:lang w:val="en-US" w:eastAsia="zh-CN"/>
        </w:rPr>
        <w:t>”，“您的姓名”按“单位简称+授权委托人姓名”格式填写，然后点击“加入会议”。会议系统将在投标截止时间前10分钟开放。</w:t>
      </w:r>
    </w:p>
    <w:p>
      <w:pPr>
        <w:ind w:firstLine="400" w:firstLineChars="200"/>
        <w:jc w:val="center"/>
        <w:rPr>
          <w:color w:val="000000"/>
        </w:rPr>
      </w:pPr>
      <w:r>
        <w:rPr>
          <w:rFonts w:hint="eastAsia"/>
          <w:color w:val="000000"/>
          <w:sz w:val="20"/>
          <w:szCs w:val="20"/>
        </w:rPr>
        <w:br w:type="page"/>
      </w:r>
      <w:bookmarkStart w:id="454" w:name="_Toc511142493"/>
      <w:bookmarkStart w:id="455" w:name="_Toc397928599"/>
      <w:r>
        <w:rPr>
          <w:rFonts w:hint="eastAsia"/>
          <w:b/>
          <w:bCs/>
          <w:color w:val="000000"/>
          <w:sz w:val="36"/>
          <w:szCs w:val="36"/>
        </w:rPr>
        <w:t>第三章 评标办法（综合评分法）</w:t>
      </w:r>
      <w:bookmarkEnd w:id="454"/>
      <w:bookmarkEnd w:id="455"/>
    </w:p>
    <w:p>
      <w:pPr>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000000"/>
          <w:kern w:val="0"/>
          <w:szCs w:val="21"/>
        </w:rPr>
      </w:pPr>
    </w:p>
    <w:p>
      <w:pPr>
        <w:pStyle w:val="4"/>
        <w:pageBreakBefore w:val="0"/>
        <w:widowControl w:val="0"/>
        <w:kinsoku/>
        <w:wordWrap/>
        <w:overflowPunct/>
        <w:topLinePunct w:val="0"/>
        <w:bidi w:val="0"/>
        <w:adjustRightInd/>
        <w:snapToGrid/>
        <w:spacing w:before="0" w:after="0" w:line="312" w:lineRule="auto"/>
        <w:textAlignment w:val="auto"/>
        <w:rPr>
          <w:rFonts w:hint="eastAsia" w:asciiTheme="minorEastAsia" w:hAnsiTheme="minorEastAsia" w:eastAsiaTheme="minorEastAsia" w:cstheme="minorEastAsia"/>
          <w:color w:val="000000"/>
        </w:rPr>
      </w:pPr>
      <w:bookmarkStart w:id="456" w:name="_Toc397928601"/>
      <w:bookmarkStart w:id="457" w:name="_Toc511142494"/>
      <w:bookmarkStart w:id="458" w:name="_Toc184635093"/>
      <w:bookmarkStart w:id="459" w:name="_Toc12629"/>
      <w:r>
        <w:rPr>
          <w:rFonts w:hint="eastAsia" w:asciiTheme="minorEastAsia" w:hAnsiTheme="minorEastAsia" w:eastAsiaTheme="minorEastAsia" w:cstheme="minorEastAsia"/>
          <w:color w:val="000000"/>
        </w:rPr>
        <w:t>1． 评标方法</w:t>
      </w:r>
      <w:bookmarkEnd w:id="456"/>
      <w:bookmarkEnd w:id="457"/>
      <w:bookmarkEnd w:id="458"/>
      <w:bookmarkEnd w:id="459"/>
    </w:p>
    <w:p>
      <w:pPr>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本次评标采用综合评分法。评标委员会对满足招标文件实质性要求的投标文件，按照本招标文件规定的评分标准进行打分，并按得分由高到低顺序推荐中标候选人，或根据招标人授权直接确定中标人。综合评分相等时，以投标报价低的优先；投标报价也相等的，由招标人抽签确定。最低报价及任何单项因素的最优均不是中标的必要条件。</w:t>
      </w:r>
    </w:p>
    <w:p>
      <w:pPr>
        <w:pStyle w:val="4"/>
        <w:pageBreakBefore w:val="0"/>
        <w:widowControl w:val="0"/>
        <w:kinsoku/>
        <w:wordWrap/>
        <w:overflowPunct/>
        <w:topLinePunct w:val="0"/>
        <w:bidi w:val="0"/>
        <w:adjustRightInd/>
        <w:snapToGrid/>
        <w:spacing w:before="0" w:after="0" w:line="312" w:lineRule="auto"/>
        <w:textAlignment w:val="auto"/>
        <w:rPr>
          <w:rFonts w:hint="eastAsia" w:asciiTheme="minorEastAsia" w:hAnsiTheme="minorEastAsia" w:eastAsiaTheme="minorEastAsia" w:cstheme="minorEastAsia"/>
          <w:color w:val="000000"/>
        </w:rPr>
      </w:pPr>
      <w:bookmarkStart w:id="460" w:name="_Toc10088"/>
      <w:bookmarkStart w:id="461" w:name="_Toc397928602"/>
      <w:bookmarkStart w:id="462" w:name="_Toc511142495"/>
      <w:bookmarkStart w:id="463" w:name="_Toc184635094"/>
      <w:r>
        <w:rPr>
          <w:rFonts w:hint="eastAsia" w:asciiTheme="minorEastAsia" w:hAnsiTheme="minorEastAsia" w:eastAsiaTheme="minorEastAsia" w:cstheme="minorEastAsia"/>
          <w:color w:val="000000"/>
        </w:rPr>
        <w:t>2． 评审标准</w:t>
      </w:r>
      <w:bookmarkEnd w:id="460"/>
      <w:bookmarkEnd w:id="461"/>
      <w:bookmarkEnd w:id="462"/>
      <w:bookmarkEnd w:id="463"/>
    </w:p>
    <w:p>
      <w:pPr>
        <w:pageBreakBefore w:val="0"/>
        <w:widowControl w:val="0"/>
        <w:kinsoku/>
        <w:wordWrap/>
        <w:overflowPunct/>
        <w:topLinePunct w:val="0"/>
        <w:bidi w:val="0"/>
        <w:adjustRightInd/>
        <w:snapToGrid/>
        <w:spacing w:line="312" w:lineRule="auto"/>
        <w:ind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(如涉及到产品的参考品牌，在评审前评标委员会对照招标文件品牌的要求先进行品牌评审认定。)</w:t>
      </w:r>
    </w:p>
    <w:p>
      <w:pPr>
        <w:pStyle w:val="5"/>
        <w:pageBreakBefore w:val="0"/>
        <w:widowControl w:val="0"/>
        <w:kinsoku/>
        <w:wordWrap/>
        <w:overflowPunct/>
        <w:topLinePunct w:val="0"/>
        <w:bidi w:val="0"/>
        <w:adjustRightInd/>
        <w:snapToGrid/>
        <w:spacing w:before="0" w:after="0" w:line="312" w:lineRule="auto"/>
        <w:ind w:firstLine="103"/>
        <w:textAlignment w:val="auto"/>
        <w:rPr>
          <w:rFonts w:hint="eastAsia" w:asciiTheme="minorEastAsia" w:hAnsiTheme="minorEastAsia" w:eastAsiaTheme="minorEastAsia" w:cstheme="minorEastAsia"/>
          <w:color w:val="000000"/>
          <w:sz w:val="21"/>
          <w:szCs w:val="21"/>
        </w:rPr>
      </w:pPr>
      <w:bookmarkStart w:id="464" w:name="_Toc511142496"/>
      <w:bookmarkStart w:id="465" w:name="_Toc314"/>
      <w:bookmarkStart w:id="466" w:name="_Toc397928603"/>
      <w:r>
        <w:rPr>
          <w:rFonts w:hint="eastAsia" w:asciiTheme="minorEastAsia" w:hAnsiTheme="minorEastAsia" w:eastAsiaTheme="minorEastAsia" w:cstheme="minorEastAsia"/>
          <w:color w:val="000000"/>
          <w:sz w:val="21"/>
          <w:szCs w:val="21"/>
        </w:rPr>
        <w:t>2.1 初步评审标准</w:t>
      </w:r>
      <w:bookmarkEnd w:id="464"/>
      <w:bookmarkEnd w:id="465"/>
      <w:bookmarkEnd w:id="466"/>
    </w:p>
    <w:p>
      <w:pPr>
        <w:pageBreakBefore w:val="0"/>
        <w:widowControl w:val="0"/>
        <w:kinsoku/>
        <w:wordWrap/>
        <w:overflowPunct/>
        <w:topLinePunct w:val="0"/>
        <w:bidi w:val="0"/>
        <w:adjustRightInd/>
        <w:snapToGrid/>
        <w:spacing w:line="312" w:lineRule="auto"/>
        <w:ind w:left="0" w:leftChars="0"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2.1.1 资质性评审标准：</w:t>
      </w:r>
    </w:p>
    <w:p>
      <w:pPr>
        <w:pageBreakBefore w:val="0"/>
        <w:widowControl w:val="0"/>
        <w:kinsoku/>
        <w:wordWrap/>
        <w:overflowPunct/>
        <w:topLinePunct w:val="0"/>
        <w:bidi w:val="0"/>
        <w:adjustRightInd/>
        <w:snapToGrid/>
        <w:spacing w:line="312" w:lineRule="auto"/>
        <w:ind w:firstLine="420" w:firstLineChars="200"/>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在投标时应按招标文件要求将上述原件放入资质标书封袋内随投标文件一起递交，未提交上述原件资料或资料不全的，资格审查不予通过。</w:t>
      </w:r>
    </w:p>
    <w:p>
      <w:pPr>
        <w:pageBreakBefore w:val="0"/>
        <w:widowControl w:val="0"/>
        <w:kinsoku/>
        <w:wordWrap/>
        <w:overflowPunct/>
        <w:topLinePunct w:val="0"/>
        <w:bidi w:val="0"/>
        <w:adjustRightInd/>
        <w:snapToGrid/>
        <w:spacing w:line="312" w:lineRule="auto"/>
        <w:ind w:left="0" w:leftChars="0"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2.1.2 符合性评审标准：依据招标文件的规定，从投标文件的有效性、完整性和对招标文件的响应程度进行审查，以确定是否对招标文件的实质性要求作出响应。</w:t>
      </w:r>
    </w:p>
    <w:p>
      <w:pPr>
        <w:pageBreakBefore w:val="0"/>
        <w:widowControl w:val="0"/>
        <w:kinsoku/>
        <w:wordWrap/>
        <w:overflowPunct/>
        <w:topLinePunct w:val="0"/>
        <w:bidi w:val="0"/>
        <w:adjustRightInd/>
        <w:snapToGrid/>
        <w:spacing w:line="312" w:lineRule="auto"/>
        <w:ind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审查标准主要有投标文件签字盖章、投标文件的组成、投标文件及报价唯一、交货期或工期、质量要求、投标保证金等方面。</w:t>
      </w:r>
    </w:p>
    <w:p>
      <w:pPr>
        <w:pStyle w:val="5"/>
        <w:pageBreakBefore w:val="0"/>
        <w:widowControl w:val="0"/>
        <w:kinsoku/>
        <w:wordWrap/>
        <w:overflowPunct/>
        <w:topLinePunct w:val="0"/>
        <w:bidi w:val="0"/>
        <w:adjustRightInd/>
        <w:snapToGrid/>
        <w:spacing w:before="0" w:after="0" w:line="312" w:lineRule="auto"/>
        <w:ind w:left="0" w:leftChars="0" w:firstLine="420" w:firstLineChars="200"/>
        <w:textAlignment w:val="auto"/>
        <w:rPr>
          <w:rFonts w:hint="eastAsia" w:asciiTheme="minorEastAsia" w:hAnsiTheme="minorEastAsia" w:eastAsiaTheme="minorEastAsia" w:cstheme="minorEastAsia"/>
          <w:color w:val="000000"/>
          <w:sz w:val="21"/>
          <w:szCs w:val="21"/>
        </w:rPr>
      </w:pPr>
      <w:bookmarkStart w:id="467" w:name="_Toc397928604"/>
      <w:bookmarkStart w:id="468" w:name="_Toc511142497"/>
      <w:bookmarkStart w:id="469" w:name="_Toc32592"/>
      <w:r>
        <w:rPr>
          <w:rFonts w:hint="eastAsia" w:asciiTheme="minorEastAsia" w:hAnsiTheme="minorEastAsia" w:eastAsiaTheme="minorEastAsia" w:cstheme="minorEastAsia"/>
          <w:color w:val="000000"/>
          <w:sz w:val="21"/>
          <w:szCs w:val="21"/>
        </w:rPr>
        <w:t>2.2 分值构成与评分标准</w:t>
      </w:r>
      <w:bookmarkEnd w:id="467"/>
      <w:bookmarkEnd w:id="468"/>
      <w:bookmarkEnd w:id="469"/>
    </w:p>
    <w:tbl>
      <w:tblPr>
        <w:tblStyle w:val="41"/>
        <w:tblW w:w="9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20"/>
        <w:gridCol w:w="1080"/>
        <w:gridCol w:w="7210"/>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2100" w:type="dxa"/>
            <w:gridSpan w:val="2"/>
            <w:vMerge w:val="restart"/>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评审项目</w:t>
            </w:r>
          </w:p>
        </w:tc>
        <w:tc>
          <w:tcPr>
            <w:tcW w:w="7210" w:type="dxa"/>
            <w:vMerge w:val="restart"/>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评分标准</w:t>
            </w:r>
          </w:p>
        </w:tc>
        <w:tc>
          <w:tcPr>
            <w:tcW w:w="576" w:type="dxa"/>
            <w:vMerge w:val="restart"/>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2100" w:type="dxa"/>
            <w:gridSpan w:val="2"/>
            <w:vMerge w:val="continue"/>
            <w:vAlign w:val="center"/>
          </w:tcPr>
          <w:p>
            <w:pPr>
              <w:jc w:val="center"/>
              <w:rPr>
                <w:rFonts w:hint="eastAsia" w:asciiTheme="minorEastAsia" w:hAnsiTheme="minorEastAsia" w:eastAsiaTheme="minorEastAsia" w:cstheme="minorEastAsia"/>
                <w:color w:val="auto"/>
                <w:sz w:val="21"/>
                <w:szCs w:val="21"/>
              </w:rPr>
            </w:pPr>
          </w:p>
        </w:tc>
        <w:tc>
          <w:tcPr>
            <w:tcW w:w="7210" w:type="dxa"/>
            <w:vMerge w:val="continue"/>
            <w:vAlign w:val="center"/>
          </w:tcPr>
          <w:p>
            <w:pPr>
              <w:jc w:val="center"/>
              <w:rPr>
                <w:rFonts w:hint="eastAsia" w:asciiTheme="minorEastAsia" w:hAnsiTheme="minorEastAsia" w:eastAsiaTheme="minorEastAsia" w:cstheme="minorEastAsia"/>
                <w:color w:val="auto"/>
                <w:sz w:val="21"/>
                <w:szCs w:val="21"/>
              </w:rPr>
            </w:pPr>
          </w:p>
        </w:tc>
        <w:tc>
          <w:tcPr>
            <w:tcW w:w="576" w:type="dxa"/>
            <w:vMerge w:val="continue"/>
            <w:vAlign w:val="center"/>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2100" w:type="dxa"/>
            <w:gridSpan w:val="2"/>
            <w:vMerge w:val="restart"/>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报价部分（</w:t>
            </w:r>
            <w:r>
              <w:rPr>
                <w:rFonts w:hint="eastAsia" w:asciiTheme="minorEastAsia" w:hAnsiTheme="minorEastAsia" w:eastAsiaTheme="minorEastAsia" w:cstheme="minorEastAsia"/>
                <w:color w:val="auto"/>
                <w:kern w:val="0"/>
                <w:sz w:val="21"/>
                <w:szCs w:val="21"/>
                <w:lang w:val="en-US" w:eastAsia="zh-CN"/>
              </w:rPr>
              <w:t>40</w:t>
            </w:r>
            <w:r>
              <w:rPr>
                <w:rFonts w:hint="eastAsia" w:asciiTheme="minorEastAsia" w:hAnsiTheme="minorEastAsia" w:eastAsiaTheme="minorEastAsia" w:cstheme="minorEastAsia"/>
                <w:color w:val="auto"/>
                <w:kern w:val="0"/>
                <w:sz w:val="21"/>
                <w:szCs w:val="21"/>
              </w:rPr>
              <w:t>分）</w:t>
            </w:r>
          </w:p>
        </w:tc>
        <w:tc>
          <w:tcPr>
            <w:tcW w:w="7210" w:type="dxa"/>
            <w:vMerge w:val="restart"/>
            <w:vAlign w:val="center"/>
          </w:tcPr>
          <w:p>
            <w:pPr>
              <w:widowControl/>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满足采购文件要求且经评审的有效报价最低值为评标基准价，其报价为满分。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其他有效供应商报价分统一按照下列公式计算：                 </w:t>
            </w:r>
          </w:p>
          <w:p>
            <w:pPr>
              <w:widowControl/>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投标报价得分＝（评标基准价÷投标报价）×</w:t>
            </w:r>
            <w:r>
              <w:rPr>
                <w:rFonts w:hint="eastAsia" w:asciiTheme="minorEastAsia" w:hAnsiTheme="minorEastAsia" w:eastAsiaTheme="minorEastAsia" w:cstheme="minorEastAsia"/>
                <w:color w:val="auto"/>
                <w:kern w:val="0"/>
                <w:sz w:val="21"/>
                <w:szCs w:val="21"/>
                <w:lang w:val="en-US" w:eastAsia="zh-CN"/>
              </w:rPr>
              <w:t>40</w:t>
            </w:r>
            <w:r>
              <w:rPr>
                <w:rFonts w:hint="eastAsia" w:asciiTheme="minorEastAsia" w:hAnsiTheme="minorEastAsia" w:eastAsiaTheme="minorEastAsia" w:cstheme="minorEastAsia"/>
                <w:color w:val="auto"/>
                <w:kern w:val="0"/>
                <w:sz w:val="21"/>
                <w:szCs w:val="21"/>
              </w:rPr>
              <w:t>。</w:t>
            </w:r>
          </w:p>
          <w:p>
            <w:pPr>
              <w:widowControl/>
              <w:jc w:val="left"/>
              <w:textAlignment w:val="center"/>
              <w:rPr>
                <w:rFonts w:hint="eastAsia" w:asciiTheme="minorEastAsia" w:hAnsiTheme="minorEastAsia" w:eastAsiaTheme="minorEastAsia" w:cstheme="minorEastAsia"/>
                <w:color w:val="auto"/>
                <w:sz w:val="21"/>
                <w:szCs w:val="21"/>
              </w:rPr>
            </w:pPr>
            <w:r>
              <w:rPr>
                <w:rFonts w:hint="eastAsia" w:ascii="宋体" w:hAnsi="宋体"/>
                <w:color w:val="000000"/>
                <w:szCs w:val="21"/>
              </w:rPr>
              <w:t>上述方法的评标基准价不因评标后招投标当事人质疑、投诉、复议以及其它任何情形而改变（计算错误除外）</w:t>
            </w:r>
            <w:r>
              <w:rPr>
                <w:rFonts w:hint="eastAsia" w:ascii="宋体" w:hAnsi="宋体"/>
                <w:color w:val="000000"/>
                <w:szCs w:val="21"/>
                <w:lang w:eastAsia="zh-CN"/>
              </w:rPr>
              <w:t>，</w:t>
            </w:r>
            <w:r>
              <w:rPr>
                <w:rFonts w:hint="eastAsia" w:asciiTheme="minorEastAsia" w:hAnsiTheme="minorEastAsia" w:eastAsiaTheme="minorEastAsia" w:cstheme="minorEastAsia"/>
                <w:color w:val="auto"/>
                <w:kern w:val="0"/>
                <w:sz w:val="21"/>
                <w:szCs w:val="21"/>
              </w:rPr>
              <w:t>保留小数点后两位有效数字。</w:t>
            </w:r>
          </w:p>
        </w:tc>
        <w:tc>
          <w:tcPr>
            <w:tcW w:w="576" w:type="dxa"/>
            <w:vMerge w:val="restart"/>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2100" w:type="dxa"/>
            <w:gridSpan w:val="2"/>
            <w:vMerge w:val="continue"/>
            <w:vAlign w:val="center"/>
          </w:tcPr>
          <w:p>
            <w:pPr>
              <w:jc w:val="center"/>
              <w:rPr>
                <w:rFonts w:hint="eastAsia" w:asciiTheme="minorEastAsia" w:hAnsiTheme="minorEastAsia" w:eastAsiaTheme="minorEastAsia" w:cstheme="minorEastAsia"/>
                <w:color w:val="auto"/>
                <w:sz w:val="21"/>
                <w:szCs w:val="21"/>
              </w:rPr>
            </w:pPr>
          </w:p>
        </w:tc>
        <w:tc>
          <w:tcPr>
            <w:tcW w:w="7210" w:type="dxa"/>
            <w:vMerge w:val="continue"/>
            <w:vAlign w:val="center"/>
          </w:tcPr>
          <w:p>
            <w:pPr>
              <w:jc w:val="left"/>
              <w:rPr>
                <w:rFonts w:hint="eastAsia" w:asciiTheme="minorEastAsia" w:hAnsiTheme="minorEastAsia" w:eastAsiaTheme="minorEastAsia" w:cstheme="minorEastAsia"/>
                <w:color w:val="auto"/>
                <w:sz w:val="21"/>
                <w:szCs w:val="21"/>
              </w:rPr>
            </w:pPr>
          </w:p>
        </w:tc>
        <w:tc>
          <w:tcPr>
            <w:tcW w:w="576" w:type="dxa"/>
            <w:vMerge w:val="continue"/>
            <w:vAlign w:val="center"/>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6" w:hRule="atLeast"/>
          <w:jc w:val="center"/>
        </w:trPr>
        <w:tc>
          <w:tcPr>
            <w:tcW w:w="2100" w:type="dxa"/>
            <w:gridSpan w:val="2"/>
            <w:vMerge w:val="continue"/>
            <w:vAlign w:val="center"/>
          </w:tcPr>
          <w:p>
            <w:pPr>
              <w:jc w:val="center"/>
              <w:rPr>
                <w:rFonts w:hint="eastAsia" w:asciiTheme="minorEastAsia" w:hAnsiTheme="minorEastAsia" w:eastAsiaTheme="minorEastAsia" w:cstheme="minorEastAsia"/>
                <w:color w:val="auto"/>
                <w:sz w:val="21"/>
                <w:szCs w:val="21"/>
              </w:rPr>
            </w:pPr>
          </w:p>
        </w:tc>
        <w:tc>
          <w:tcPr>
            <w:tcW w:w="7210" w:type="dxa"/>
            <w:vMerge w:val="continue"/>
            <w:vAlign w:val="center"/>
          </w:tcPr>
          <w:p>
            <w:pPr>
              <w:jc w:val="left"/>
              <w:rPr>
                <w:rFonts w:hint="eastAsia" w:asciiTheme="minorEastAsia" w:hAnsiTheme="minorEastAsia" w:eastAsiaTheme="minorEastAsia" w:cstheme="minorEastAsia"/>
                <w:color w:val="auto"/>
                <w:sz w:val="21"/>
                <w:szCs w:val="21"/>
              </w:rPr>
            </w:pPr>
          </w:p>
        </w:tc>
        <w:tc>
          <w:tcPr>
            <w:tcW w:w="576" w:type="dxa"/>
            <w:vMerge w:val="continue"/>
            <w:vAlign w:val="center"/>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020" w:type="dxa"/>
            <w:vMerge w:val="restart"/>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商务部分（</w:t>
            </w: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分）</w:t>
            </w:r>
          </w:p>
        </w:tc>
        <w:tc>
          <w:tcPr>
            <w:tcW w:w="1080" w:type="dxa"/>
            <w:vAlign w:val="center"/>
          </w:tcPr>
          <w:p>
            <w:pPr>
              <w:widowControl/>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0"/>
                <w:sz w:val="21"/>
                <w:szCs w:val="21"/>
              </w:rPr>
              <w:t>同类业绩</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6分</w:t>
            </w:r>
            <w:r>
              <w:rPr>
                <w:rFonts w:hint="eastAsia" w:asciiTheme="minorEastAsia" w:hAnsiTheme="minorEastAsia" w:eastAsiaTheme="minorEastAsia" w:cstheme="minorEastAsia"/>
                <w:color w:val="auto"/>
                <w:kern w:val="0"/>
                <w:sz w:val="21"/>
                <w:szCs w:val="21"/>
                <w:lang w:eastAsia="zh-CN"/>
              </w:rPr>
              <w:t>）</w:t>
            </w:r>
          </w:p>
        </w:tc>
        <w:tc>
          <w:tcPr>
            <w:tcW w:w="7210" w:type="dxa"/>
            <w:vAlign w:val="center"/>
          </w:tcPr>
          <w:p>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供应商提供</w:t>
            </w:r>
            <w:r>
              <w:rPr>
                <w:rFonts w:hint="eastAsia" w:asciiTheme="minorEastAsia" w:hAnsiTheme="minorEastAsia" w:eastAsiaTheme="minorEastAsia" w:cstheme="minorEastAsia"/>
                <w:color w:val="auto"/>
                <w:sz w:val="21"/>
                <w:szCs w:val="21"/>
                <w:lang w:eastAsia="zh-CN"/>
              </w:rPr>
              <w:t>同规模</w:t>
            </w:r>
            <w:r>
              <w:rPr>
                <w:rFonts w:hint="eastAsia" w:asciiTheme="minorEastAsia" w:hAnsiTheme="minorEastAsia" w:eastAsiaTheme="minorEastAsia" w:cstheme="minorEastAsia"/>
                <w:color w:val="auto"/>
                <w:sz w:val="21"/>
                <w:szCs w:val="21"/>
              </w:rPr>
              <w:t>同类</w:t>
            </w:r>
            <w:r>
              <w:rPr>
                <w:rFonts w:hint="eastAsia" w:asciiTheme="minorEastAsia" w:hAnsiTheme="minorEastAsia" w:eastAsiaTheme="minorEastAsia" w:cstheme="minorEastAsia"/>
                <w:color w:val="auto"/>
                <w:sz w:val="21"/>
                <w:szCs w:val="21"/>
                <w:lang w:eastAsia="zh-CN"/>
              </w:rPr>
              <w:t>型</w:t>
            </w:r>
            <w:r>
              <w:rPr>
                <w:rFonts w:hint="eastAsia" w:asciiTheme="minorEastAsia" w:hAnsiTheme="minorEastAsia" w:eastAsiaTheme="minorEastAsia" w:cstheme="minorEastAsia"/>
                <w:color w:val="auto"/>
                <w:sz w:val="21"/>
                <w:szCs w:val="21"/>
              </w:rPr>
              <w:t>项目业绩的，有一个得1分，最高得</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分。（响应文件中提供合同及中标通知书复印件，合同及中标通知书原件在评审时备查，未提供不得分）</w:t>
            </w:r>
          </w:p>
        </w:tc>
        <w:tc>
          <w:tcPr>
            <w:tcW w:w="576" w:type="dxa"/>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020" w:type="dxa"/>
            <w:vMerge w:val="continue"/>
            <w:vAlign w:val="center"/>
          </w:tcPr>
          <w:p>
            <w:pPr>
              <w:widowControl/>
              <w:jc w:val="left"/>
              <w:textAlignment w:val="center"/>
              <w:rPr>
                <w:rFonts w:hint="eastAsia" w:asciiTheme="minorEastAsia" w:hAnsiTheme="minorEastAsia" w:eastAsiaTheme="minorEastAsia" w:cstheme="minorEastAsia"/>
                <w:color w:val="auto"/>
                <w:kern w:val="0"/>
                <w:sz w:val="21"/>
                <w:szCs w:val="21"/>
              </w:rPr>
            </w:pPr>
          </w:p>
        </w:tc>
        <w:tc>
          <w:tcPr>
            <w:tcW w:w="1080" w:type="dxa"/>
            <w:vAlign w:val="center"/>
          </w:tcPr>
          <w:p>
            <w:pPr>
              <w:widowControl/>
              <w:jc w:val="center"/>
              <w:textAlignment w:val="center"/>
              <w:rPr>
                <w:rFonts w:hint="eastAsia" w:asciiTheme="minorEastAsia" w:hAnsiTheme="minorEastAsia" w:eastAsiaTheme="minorEastAsia" w:cstheme="minorEastAsia"/>
                <w:color w:val="0000FF"/>
                <w:kern w:val="0"/>
                <w:sz w:val="21"/>
                <w:szCs w:val="21"/>
                <w:lang w:eastAsia="zh-CN"/>
              </w:rPr>
            </w:pPr>
            <w:r>
              <w:rPr>
                <w:rFonts w:hint="eastAsia" w:asciiTheme="minorEastAsia" w:hAnsiTheme="minorEastAsia" w:eastAsiaTheme="minorEastAsia" w:cstheme="minorEastAsia"/>
                <w:color w:val="auto"/>
                <w:kern w:val="0"/>
                <w:sz w:val="21"/>
                <w:szCs w:val="21"/>
              </w:rPr>
              <w:t>投标人综合实力</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2分</w:t>
            </w:r>
            <w:r>
              <w:rPr>
                <w:rFonts w:hint="eastAsia" w:asciiTheme="minorEastAsia" w:hAnsiTheme="minorEastAsia" w:eastAsiaTheme="minorEastAsia" w:cstheme="minorEastAsia"/>
                <w:color w:val="auto"/>
                <w:kern w:val="0"/>
                <w:sz w:val="21"/>
                <w:szCs w:val="21"/>
                <w:lang w:eastAsia="zh-CN"/>
              </w:rPr>
              <w:t>）</w:t>
            </w:r>
          </w:p>
        </w:tc>
        <w:tc>
          <w:tcPr>
            <w:tcW w:w="7210" w:type="dxa"/>
            <w:vAlign w:val="center"/>
          </w:tcPr>
          <w:p>
            <w:pPr>
              <w:widowControl/>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1、四诊仪</w:t>
            </w:r>
            <w:r>
              <w:rPr>
                <w:rFonts w:hint="eastAsia" w:asciiTheme="minorEastAsia" w:hAnsiTheme="minorEastAsia" w:eastAsiaTheme="minorEastAsia" w:cstheme="minorEastAsia"/>
                <w:color w:val="auto"/>
                <w:sz w:val="21"/>
                <w:szCs w:val="21"/>
              </w:rPr>
              <w:t>具有产品注册证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产品软件拥有中国计算机软件著作权登记证书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同时具备得</w:t>
            </w: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val="en-US" w:eastAsia="zh-CN"/>
              </w:rPr>
              <w:t>，提供不全或未提供不得分</w:t>
            </w:r>
            <w:r>
              <w:rPr>
                <w:rFonts w:hint="eastAsia" w:asciiTheme="minorEastAsia" w:hAnsiTheme="minorEastAsia" w:eastAsiaTheme="minorEastAsia" w:cstheme="minorEastAsia"/>
                <w:color w:val="auto"/>
                <w:sz w:val="21"/>
                <w:szCs w:val="21"/>
              </w:rPr>
              <w:t>。（原件备查）</w:t>
            </w:r>
          </w:p>
          <w:p>
            <w:pPr>
              <w:widowControl/>
              <w:textAlignment w:val="center"/>
              <w:rPr>
                <w:rFonts w:hint="eastAsia" w:asciiTheme="minorEastAsia" w:hAnsiTheme="minorEastAsia" w:eastAsiaTheme="minorEastAsia" w:cstheme="minorEastAsia"/>
                <w:color w:val="0000FF"/>
                <w:kern w:val="0"/>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获得行政主管部门颁发的“守合同、重信用”证书的,得</w:t>
            </w:r>
            <w:r>
              <w:rPr>
                <w:rFonts w:hint="eastAsia" w:asciiTheme="minorEastAsia" w:hAnsiTheme="minorEastAsia" w:eastAsiaTheme="minorEastAsia" w:cstheme="minorEastAsia"/>
                <w:color w:val="auto"/>
                <w:sz w:val="21"/>
                <w:szCs w:val="21"/>
                <w:lang w:val="en-US" w:eastAsia="zh-CN"/>
              </w:rPr>
              <w:t>0.5</w:t>
            </w:r>
            <w:r>
              <w:rPr>
                <w:rFonts w:hint="eastAsia" w:asciiTheme="minorEastAsia" w:hAnsiTheme="minorEastAsia" w:eastAsiaTheme="minorEastAsia" w:cstheme="minorEastAsia"/>
                <w:color w:val="auto"/>
                <w:sz w:val="21"/>
                <w:szCs w:val="21"/>
              </w:rPr>
              <w:t>分（须在有效期内）</w:t>
            </w:r>
          </w:p>
        </w:tc>
        <w:tc>
          <w:tcPr>
            <w:tcW w:w="576" w:type="dxa"/>
            <w:vAlign w:val="center"/>
          </w:tcPr>
          <w:p>
            <w:pPr>
              <w:widowControl/>
              <w:jc w:val="center"/>
              <w:textAlignment w:val="center"/>
              <w:rPr>
                <w:rFonts w:hint="default" w:asciiTheme="minorEastAsia" w:hAnsiTheme="minorEastAsia" w:eastAsiaTheme="minorEastAsia" w:cstheme="minorEastAsia"/>
                <w:color w:val="0000FF"/>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6" w:hRule="atLeast"/>
          <w:jc w:val="center"/>
        </w:trPr>
        <w:tc>
          <w:tcPr>
            <w:tcW w:w="1020" w:type="dxa"/>
            <w:vMerge w:val="restart"/>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技术部分（</w:t>
            </w:r>
            <w:r>
              <w:rPr>
                <w:rFonts w:hint="eastAsia" w:asciiTheme="minorEastAsia" w:hAnsiTheme="minorEastAsia" w:eastAsiaTheme="minorEastAsia" w:cstheme="minorEastAsia"/>
                <w:color w:val="auto"/>
                <w:kern w:val="0"/>
                <w:sz w:val="21"/>
                <w:szCs w:val="21"/>
                <w:lang w:val="en-US" w:eastAsia="zh-CN"/>
              </w:rPr>
              <w:t>52</w:t>
            </w:r>
            <w:r>
              <w:rPr>
                <w:rFonts w:hint="eastAsia" w:asciiTheme="minorEastAsia" w:hAnsiTheme="minorEastAsia" w:eastAsiaTheme="minorEastAsia" w:cstheme="minorEastAsia"/>
                <w:color w:val="auto"/>
                <w:kern w:val="0"/>
                <w:sz w:val="21"/>
                <w:szCs w:val="21"/>
              </w:rPr>
              <w:t>分）</w:t>
            </w:r>
          </w:p>
        </w:tc>
        <w:tc>
          <w:tcPr>
            <w:tcW w:w="1080" w:type="dxa"/>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技术先进性（</w:t>
            </w:r>
            <w:r>
              <w:rPr>
                <w:rFonts w:hint="eastAsia" w:asciiTheme="minorEastAsia" w:hAnsiTheme="minorEastAsia" w:eastAsiaTheme="minorEastAsia" w:cstheme="minorEastAsia"/>
                <w:color w:val="auto"/>
                <w:kern w:val="0"/>
                <w:sz w:val="21"/>
                <w:szCs w:val="21"/>
                <w:lang w:val="en-US" w:eastAsia="zh-CN"/>
              </w:rPr>
              <w:t>30</w:t>
            </w:r>
            <w:r>
              <w:rPr>
                <w:rFonts w:hint="eastAsia" w:asciiTheme="minorEastAsia" w:hAnsiTheme="minorEastAsia" w:eastAsiaTheme="minorEastAsia" w:cstheme="minorEastAsia"/>
                <w:color w:val="auto"/>
                <w:kern w:val="0"/>
                <w:sz w:val="21"/>
                <w:szCs w:val="21"/>
              </w:rPr>
              <w:t>分）</w:t>
            </w:r>
          </w:p>
        </w:tc>
        <w:tc>
          <w:tcPr>
            <w:tcW w:w="7210" w:type="dxa"/>
            <w:vAlign w:val="center"/>
          </w:tcPr>
          <w:p>
            <w:pPr>
              <w:widowControl/>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根据所供产品对招标文件技术参数的响应情况打分：产品配置完全响应的得30分。（带</w:t>
            </w:r>
            <w:r>
              <w:rPr>
                <w:rFonts w:hint="eastAsia" w:ascii="宋体" w:hAnsi="宋体"/>
                <w:b/>
                <w:bCs/>
                <w:sz w:val="21"/>
                <w:szCs w:val="21"/>
              </w:rPr>
              <w:t>*</w:t>
            </w:r>
            <w:r>
              <w:rPr>
                <w:rFonts w:hint="eastAsia" w:asciiTheme="minorEastAsia" w:hAnsiTheme="minorEastAsia" w:eastAsiaTheme="minorEastAsia" w:cstheme="minorEastAsia"/>
                <w:color w:val="auto"/>
                <w:sz w:val="21"/>
                <w:szCs w:val="21"/>
                <w:lang w:eastAsia="zh-CN"/>
              </w:rPr>
              <w:t>号的）参数有负偏离的，每有一项扣</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分，（不带</w:t>
            </w:r>
            <w:r>
              <w:rPr>
                <w:rFonts w:hint="eastAsia" w:ascii="宋体" w:hAnsi="宋体"/>
                <w:b/>
                <w:bCs/>
                <w:sz w:val="21"/>
                <w:szCs w:val="21"/>
              </w:rPr>
              <w:t>*</w:t>
            </w:r>
            <w:r>
              <w:rPr>
                <w:rFonts w:hint="eastAsia" w:asciiTheme="minorEastAsia" w:hAnsiTheme="minorEastAsia" w:eastAsiaTheme="minorEastAsia" w:cstheme="minorEastAsia"/>
                <w:color w:val="auto"/>
                <w:sz w:val="21"/>
                <w:szCs w:val="21"/>
                <w:lang w:eastAsia="zh-CN"/>
              </w:rPr>
              <w:t>号的）参数有负偏离的，每有一项扣</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分，扣完为止。</w:t>
            </w:r>
          </w:p>
        </w:tc>
        <w:tc>
          <w:tcPr>
            <w:tcW w:w="576" w:type="dxa"/>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1" w:hRule="atLeast"/>
          <w:jc w:val="center"/>
        </w:trPr>
        <w:tc>
          <w:tcPr>
            <w:tcW w:w="1020" w:type="dxa"/>
            <w:vMerge w:val="continue"/>
            <w:vAlign w:val="center"/>
          </w:tcPr>
          <w:p>
            <w:pPr>
              <w:jc w:val="center"/>
              <w:rPr>
                <w:rFonts w:hint="eastAsia" w:asciiTheme="minorEastAsia" w:hAnsiTheme="minorEastAsia" w:eastAsiaTheme="minorEastAsia" w:cstheme="minorEastAsia"/>
                <w:color w:val="auto"/>
                <w:sz w:val="21"/>
                <w:szCs w:val="21"/>
              </w:rPr>
            </w:pPr>
          </w:p>
        </w:tc>
        <w:tc>
          <w:tcPr>
            <w:tcW w:w="1080" w:type="dxa"/>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安装方案</w:t>
            </w:r>
          </w:p>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分）</w:t>
            </w:r>
          </w:p>
        </w:tc>
        <w:tc>
          <w:tcPr>
            <w:tcW w:w="7210" w:type="dxa"/>
            <w:vAlign w:val="center"/>
          </w:tcPr>
          <w:p>
            <w:pPr>
              <w:pStyle w:val="51"/>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投标人提供供货组织计划和施工安装方案，评标委员会根据内容的合理性、具体性，由评委进行综合评分</w:t>
            </w:r>
            <w:r>
              <w:rPr>
                <w:rFonts w:hint="eastAsia" w:asciiTheme="minorEastAsia" w:hAnsiTheme="minorEastAsia" w:eastAsiaTheme="minorEastAsia" w:cstheme="minorEastAsia"/>
                <w:color w:val="auto"/>
                <w:kern w:val="0"/>
                <w:sz w:val="21"/>
                <w:szCs w:val="21"/>
                <w:lang w:eastAsia="zh-CN"/>
              </w:rPr>
              <w:t>。</w:t>
            </w:r>
          </w:p>
        </w:tc>
        <w:tc>
          <w:tcPr>
            <w:tcW w:w="576" w:type="dxa"/>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0" w:hRule="atLeast"/>
          <w:jc w:val="center"/>
        </w:trPr>
        <w:tc>
          <w:tcPr>
            <w:tcW w:w="1020" w:type="dxa"/>
            <w:vMerge w:val="continue"/>
            <w:vAlign w:val="center"/>
          </w:tcPr>
          <w:p>
            <w:pPr>
              <w:jc w:val="center"/>
              <w:rPr>
                <w:rFonts w:hint="eastAsia" w:asciiTheme="minorEastAsia" w:hAnsiTheme="minorEastAsia" w:eastAsiaTheme="minorEastAsia" w:cstheme="minorEastAsia"/>
                <w:color w:val="auto"/>
                <w:sz w:val="21"/>
                <w:szCs w:val="21"/>
              </w:rPr>
            </w:pPr>
          </w:p>
        </w:tc>
        <w:tc>
          <w:tcPr>
            <w:tcW w:w="1080" w:type="dxa"/>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售后</w:t>
            </w:r>
            <w:r>
              <w:rPr>
                <w:rFonts w:hint="eastAsia" w:asciiTheme="minorEastAsia" w:hAnsiTheme="minorEastAsia" w:eastAsiaTheme="minorEastAsia" w:cstheme="minorEastAsia"/>
                <w:color w:val="auto"/>
                <w:kern w:val="0"/>
                <w:sz w:val="21"/>
                <w:szCs w:val="21"/>
              </w:rPr>
              <w:t>服务</w:t>
            </w:r>
          </w:p>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分）</w:t>
            </w:r>
          </w:p>
        </w:tc>
        <w:tc>
          <w:tcPr>
            <w:tcW w:w="7210" w:type="dxa"/>
            <w:vAlign w:val="center"/>
          </w:tcPr>
          <w:p>
            <w:pPr>
              <w:widowControl/>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为保证产品售后服务便利和及时性，投标人在江苏省地区有固定的办公及售后服务场所，能提供全天24小时维修服务（提供售后服务机构营业执照）的得2分。如江苏省地区没有固定的办公及售后服务场但承诺中标后设立售后服务场所的得0.5分，没有不得分。本项最高得2分。</w:t>
            </w:r>
          </w:p>
        </w:tc>
        <w:tc>
          <w:tcPr>
            <w:tcW w:w="576" w:type="dxa"/>
            <w:vAlign w:val="center"/>
          </w:tcPr>
          <w:p>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5" w:hRule="atLeast"/>
          <w:jc w:val="center"/>
        </w:trPr>
        <w:tc>
          <w:tcPr>
            <w:tcW w:w="1020" w:type="dxa"/>
            <w:vMerge w:val="continue"/>
            <w:vAlign w:val="center"/>
          </w:tcPr>
          <w:p>
            <w:pPr>
              <w:jc w:val="center"/>
              <w:rPr>
                <w:rFonts w:hint="eastAsia" w:asciiTheme="minorEastAsia" w:hAnsiTheme="minorEastAsia" w:eastAsiaTheme="minorEastAsia" w:cstheme="minorEastAsia"/>
                <w:color w:val="auto"/>
                <w:sz w:val="21"/>
                <w:szCs w:val="21"/>
              </w:rPr>
            </w:pPr>
          </w:p>
        </w:tc>
        <w:tc>
          <w:tcPr>
            <w:tcW w:w="1080" w:type="dxa"/>
            <w:vMerge w:val="restart"/>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产品质量保证措施</w:t>
            </w:r>
          </w:p>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10</w:t>
            </w:r>
            <w:r>
              <w:rPr>
                <w:rFonts w:hint="eastAsia" w:asciiTheme="minorEastAsia" w:hAnsiTheme="minorEastAsia" w:eastAsiaTheme="minorEastAsia" w:cstheme="minorEastAsia"/>
                <w:color w:val="auto"/>
                <w:kern w:val="0"/>
                <w:sz w:val="21"/>
                <w:szCs w:val="21"/>
              </w:rPr>
              <w:t>分）</w:t>
            </w:r>
          </w:p>
        </w:tc>
        <w:tc>
          <w:tcPr>
            <w:tcW w:w="7210" w:type="dxa"/>
            <w:vAlign w:val="center"/>
          </w:tcPr>
          <w:p>
            <w:pPr>
              <w:widowControl/>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投标单位所投产品具有明确的质保方案、具体质量保证措施的，由评委进行横向比较综合评分。</w:t>
            </w:r>
          </w:p>
        </w:tc>
        <w:tc>
          <w:tcPr>
            <w:tcW w:w="576" w:type="dxa"/>
            <w:vAlign w:val="center"/>
          </w:tcPr>
          <w:p>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020" w:type="dxa"/>
            <w:vMerge w:val="continue"/>
            <w:vAlign w:val="center"/>
          </w:tcPr>
          <w:p>
            <w:pPr>
              <w:widowControl/>
              <w:jc w:val="center"/>
              <w:textAlignment w:val="center"/>
              <w:rPr>
                <w:rFonts w:hint="eastAsia" w:asciiTheme="minorEastAsia" w:hAnsiTheme="minorEastAsia" w:eastAsiaTheme="minorEastAsia" w:cstheme="minorEastAsia"/>
                <w:color w:val="auto"/>
                <w:kern w:val="0"/>
                <w:sz w:val="21"/>
                <w:szCs w:val="21"/>
              </w:rPr>
            </w:pPr>
          </w:p>
        </w:tc>
        <w:tc>
          <w:tcPr>
            <w:tcW w:w="1080" w:type="dxa"/>
            <w:vMerge w:val="continue"/>
            <w:vAlign w:val="center"/>
          </w:tcPr>
          <w:p>
            <w:pPr>
              <w:widowControl/>
              <w:jc w:val="center"/>
              <w:textAlignment w:val="center"/>
              <w:rPr>
                <w:rFonts w:hint="eastAsia" w:asciiTheme="minorEastAsia" w:hAnsiTheme="minorEastAsia" w:eastAsiaTheme="minorEastAsia" w:cstheme="minorEastAsia"/>
                <w:color w:val="auto"/>
                <w:kern w:val="0"/>
                <w:sz w:val="21"/>
                <w:szCs w:val="21"/>
              </w:rPr>
            </w:pPr>
          </w:p>
        </w:tc>
        <w:tc>
          <w:tcPr>
            <w:tcW w:w="7210" w:type="dxa"/>
            <w:vAlign w:val="center"/>
          </w:tcPr>
          <w:p>
            <w:pPr>
              <w:widowControl/>
              <w:tabs>
                <w:tab w:val="left" w:pos="780"/>
              </w:tabs>
              <w:jc w:val="left"/>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提供详细的备品备件及易损件价格清单得</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分，并承诺在质保期满后只收成本费、不收人工费，再得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分，本项最高得</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w:t>
            </w:r>
          </w:p>
        </w:tc>
        <w:tc>
          <w:tcPr>
            <w:tcW w:w="576" w:type="dxa"/>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9" w:hRule="atLeast"/>
          <w:jc w:val="center"/>
        </w:trPr>
        <w:tc>
          <w:tcPr>
            <w:tcW w:w="1020" w:type="dxa"/>
            <w:vMerge w:val="continue"/>
            <w:vAlign w:val="center"/>
          </w:tcPr>
          <w:p>
            <w:pPr>
              <w:widowControl/>
              <w:jc w:val="left"/>
              <w:textAlignment w:val="center"/>
              <w:rPr>
                <w:rFonts w:hint="eastAsia" w:asciiTheme="minorEastAsia" w:hAnsiTheme="minorEastAsia" w:eastAsiaTheme="minorEastAsia" w:cstheme="minorEastAsia"/>
                <w:color w:val="auto"/>
                <w:kern w:val="0"/>
                <w:sz w:val="21"/>
                <w:szCs w:val="21"/>
              </w:rPr>
            </w:pPr>
          </w:p>
        </w:tc>
        <w:tc>
          <w:tcPr>
            <w:tcW w:w="1080" w:type="dxa"/>
            <w:vAlign w:val="center"/>
          </w:tcPr>
          <w:p>
            <w:pPr>
              <w:widowControl/>
              <w:jc w:val="center"/>
              <w:textAlignment w:val="center"/>
              <w:rPr>
                <w:rFonts w:hint="eastAsia" w:asciiTheme="minorEastAsia" w:hAnsiTheme="minorEastAsia" w:eastAsiaTheme="minorEastAsia" w:cstheme="minorEastAsia"/>
                <w:color w:val="0000FF"/>
                <w:kern w:val="0"/>
                <w:sz w:val="21"/>
                <w:szCs w:val="21"/>
              </w:rPr>
            </w:pPr>
            <w:r>
              <w:rPr>
                <w:rFonts w:hint="eastAsia" w:asciiTheme="minorEastAsia" w:hAnsiTheme="minorEastAsia" w:eastAsiaTheme="minorEastAsia" w:cstheme="minorEastAsia"/>
                <w:color w:val="auto"/>
                <w:kern w:val="0"/>
                <w:sz w:val="21"/>
                <w:szCs w:val="21"/>
                <w:lang w:eastAsia="zh-CN"/>
              </w:rPr>
              <w:t>投标产品实力</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分）</w:t>
            </w:r>
          </w:p>
        </w:tc>
        <w:tc>
          <w:tcPr>
            <w:tcW w:w="7210" w:type="dxa"/>
            <w:vAlign w:val="center"/>
          </w:tcPr>
          <w:p>
            <w:pPr>
              <w:widowControl/>
              <w:jc w:val="left"/>
              <w:textAlignment w:val="center"/>
              <w:rPr>
                <w:rFonts w:hint="eastAsia" w:asciiTheme="minorEastAsia" w:hAnsiTheme="minorEastAsia" w:eastAsiaTheme="minorEastAsia" w:cstheme="minorEastAsia"/>
                <w:color w:val="0000FF"/>
                <w:kern w:val="0"/>
                <w:sz w:val="21"/>
                <w:szCs w:val="21"/>
              </w:rPr>
            </w:pPr>
            <w:r>
              <w:rPr>
                <w:rFonts w:hint="eastAsia" w:asciiTheme="minorEastAsia" w:hAnsiTheme="minorEastAsia" w:eastAsiaTheme="minorEastAsia" w:cstheme="minorEastAsia"/>
                <w:sz w:val="21"/>
                <w:szCs w:val="21"/>
                <w:lang w:val="en-US" w:eastAsia="zh-CN"/>
              </w:rPr>
              <w:t>投标单位所投产品的市场占有率，品牌综合实力，用户反馈等方面，由评委进行横向比较综合评分。</w:t>
            </w:r>
          </w:p>
        </w:tc>
        <w:tc>
          <w:tcPr>
            <w:tcW w:w="576" w:type="dxa"/>
            <w:vAlign w:val="center"/>
          </w:tcPr>
          <w:p>
            <w:pPr>
              <w:widowControl/>
              <w:jc w:val="center"/>
              <w:textAlignment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2" w:hRule="atLeast"/>
          <w:jc w:val="center"/>
        </w:trPr>
        <w:tc>
          <w:tcPr>
            <w:tcW w:w="9310" w:type="dxa"/>
            <w:gridSpan w:val="3"/>
            <w:vAlign w:val="center"/>
          </w:tcPr>
          <w:p>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rPr>
              <w:t>合计</w:t>
            </w:r>
          </w:p>
        </w:tc>
        <w:tc>
          <w:tcPr>
            <w:tcW w:w="576" w:type="dxa"/>
            <w:vAlign w:val="center"/>
          </w:tcPr>
          <w:p>
            <w:pPr>
              <w:widowControl/>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rPr>
              <w:t>100</w:t>
            </w:r>
          </w:p>
        </w:tc>
      </w:tr>
    </w:tbl>
    <w:p>
      <w:pPr>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eastAsia="zh-CN"/>
        </w:rPr>
        <w:t>注：</w:t>
      </w:r>
      <w:r>
        <w:rPr>
          <w:rFonts w:hint="eastAsia"/>
          <w:lang w:val="en-US" w:eastAsia="zh-CN"/>
        </w:rPr>
        <w:t>1、根据相关法律法规，本项目对中小型和微型企业的产品价格给予10%的扣除，用扣除后的价格参与评审。参加招投标活动的中小微企业应当提供《中小企业声明函》（见附件）</w:t>
      </w:r>
    </w:p>
    <w:p>
      <w:pPr>
        <w:pStyle w:val="2"/>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lang w:val="en-US" w:eastAsia="zh-CN"/>
        </w:rPr>
      </w:pPr>
      <w:r>
        <w:rPr>
          <w:rFonts w:hint="eastAsia" w:ascii="宋体" w:hAnsi="宋体" w:cs="宋体"/>
          <w:b w:val="0"/>
          <w:bCs/>
          <w:color w:val="0000FF"/>
          <w:sz w:val="21"/>
          <w:szCs w:val="21"/>
          <w:lang w:val="en-US" w:eastAsia="zh-CN"/>
        </w:rPr>
        <w:t>2、主观打分项之间高低相差0.5分及以上的，相应的评委在打分项纸上简述实际原因或理由，并由组长核实签字。</w:t>
      </w:r>
    </w:p>
    <w:p>
      <w:pPr>
        <w:pStyle w:val="4"/>
        <w:spacing w:line="240" w:lineRule="auto"/>
        <w:rPr>
          <w:rFonts w:ascii="宋体" w:hAnsi="宋体" w:eastAsia="宋体"/>
          <w:color w:val="000000"/>
        </w:rPr>
      </w:pPr>
      <w:bookmarkStart w:id="470" w:name="_Toc511142498"/>
      <w:bookmarkStart w:id="471" w:name="_Toc25437"/>
      <w:bookmarkStart w:id="472" w:name="_Toc184635095"/>
      <w:bookmarkStart w:id="473" w:name="_Toc397928605"/>
      <w:r>
        <w:rPr>
          <w:rFonts w:ascii="宋体" w:hAnsi="宋体" w:eastAsia="宋体"/>
          <w:color w:val="000000"/>
        </w:rPr>
        <w:t>3</w:t>
      </w:r>
      <w:r>
        <w:rPr>
          <w:rFonts w:hint="eastAsia" w:ascii="宋体" w:hAnsi="宋体" w:eastAsia="宋体"/>
          <w:color w:val="000000"/>
        </w:rPr>
        <w:t>． 评标程序</w:t>
      </w:r>
      <w:bookmarkEnd w:id="470"/>
      <w:bookmarkEnd w:id="471"/>
      <w:bookmarkEnd w:id="472"/>
      <w:bookmarkEnd w:id="473"/>
    </w:p>
    <w:p>
      <w:pPr>
        <w:pStyle w:val="5"/>
        <w:spacing w:line="240" w:lineRule="auto"/>
        <w:ind w:firstLine="103"/>
        <w:rPr>
          <w:color w:val="000000"/>
          <w:sz w:val="21"/>
          <w:szCs w:val="21"/>
        </w:rPr>
      </w:pPr>
      <w:bookmarkStart w:id="474" w:name="_Toc22907"/>
      <w:bookmarkStart w:id="475" w:name="_Toc397928606"/>
      <w:bookmarkStart w:id="476" w:name="_Toc511142499"/>
      <w:r>
        <w:rPr>
          <w:color w:val="000000"/>
          <w:kern w:val="0"/>
          <w:sz w:val="21"/>
          <w:szCs w:val="21"/>
        </w:rPr>
        <w:t xml:space="preserve">3.1 </w:t>
      </w:r>
      <w:r>
        <w:rPr>
          <w:rFonts w:hint="eastAsia"/>
          <w:color w:val="000000"/>
          <w:kern w:val="0"/>
          <w:sz w:val="21"/>
          <w:szCs w:val="21"/>
        </w:rPr>
        <w:t>评标准备</w:t>
      </w:r>
      <w:bookmarkEnd w:id="474"/>
      <w:bookmarkEnd w:id="475"/>
      <w:bookmarkEnd w:id="476"/>
    </w:p>
    <w:p>
      <w:pPr>
        <w:autoSpaceDE w:val="0"/>
        <w:autoSpaceDN w:val="0"/>
        <w:spacing w:line="240" w:lineRule="auto"/>
        <w:ind w:firstLine="420" w:firstLineChars="200"/>
        <w:jc w:val="left"/>
        <w:rPr>
          <w:color w:val="000000"/>
          <w:kern w:val="0"/>
          <w:szCs w:val="21"/>
        </w:rPr>
      </w:pPr>
      <w:r>
        <w:rPr>
          <w:rFonts w:hint="eastAsia" w:ascii="宋体" w:hAnsi="宋体"/>
          <w:color w:val="000000"/>
          <w:kern w:val="0"/>
          <w:szCs w:val="21"/>
        </w:rPr>
        <w:t>3.1.1 评标委员会成员到达评标现场时应在签到表上签到</w:t>
      </w:r>
      <w:r>
        <w:rPr>
          <w:rFonts w:hint="eastAsia" w:ascii="宋体" w:hAnsi="TimesNewRomanPSMT" w:cs="宋体"/>
          <w:color w:val="000000"/>
          <w:kern w:val="0"/>
          <w:szCs w:val="21"/>
        </w:rPr>
        <w:t>（或通过门禁系统签到）</w:t>
      </w:r>
      <w:r>
        <w:rPr>
          <w:rFonts w:hint="eastAsia" w:ascii="宋体" w:hAnsi="宋体"/>
          <w:color w:val="000000"/>
          <w:kern w:val="0"/>
          <w:szCs w:val="21"/>
        </w:rPr>
        <w:t>以证明其出席。</w:t>
      </w:r>
    </w:p>
    <w:p>
      <w:pPr>
        <w:autoSpaceDE w:val="0"/>
        <w:autoSpaceDN w:val="0"/>
        <w:spacing w:line="240" w:lineRule="auto"/>
        <w:ind w:firstLine="420" w:firstLineChars="200"/>
        <w:jc w:val="left"/>
        <w:rPr>
          <w:color w:val="000000"/>
          <w:kern w:val="0"/>
          <w:szCs w:val="21"/>
        </w:rPr>
      </w:pPr>
      <w:r>
        <w:rPr>
          <w:rFonts w:hint="eastAsia" w:ascii="宋体" w:hAnsi="宋体"/>
          <w:color w:val="000000"/>
          <w:kern w:val="0"/>
          <w:szCs w:val="21"/>
        </w:rPr>
        <w:t>3.1.2 评标委员会成员首先推选一名评标委员会负责人，负责评标活动的组织领导工作。</w:t>
      </w:r>
    </w:p>
    <w:p>
      <w:pPr>
        <w:autoSpaceDE w:val="0"/>
        <w:autoSpaceDN w:val="0"/>
        <w:spacing w:line="240" w:lineRule="auto"/>
        <w:ind w:firstLine="420" w:firstLineChars="200"/>
        <w:jc w:val="left"/>
        <w:rPr>
          <w:color w:val="000000"/>
          <w:kern w:val="0"/>
          <w:szCs w:val="21"/>
        </w:rPr>
      </w:pPr>
      <w:r>
        <w:rPr>
          <w:rFonts w:hint="eastAsia" w:ascii="宋体" w:hAnsi="宋体"/>
          <w:color w:val="000000"/>
          <w:kern w:val="0"/>
          <w:szCs w:val="21"/>
        </w:rPr>
        <w:t>3.1.3 招标人或招标代理机构应向评标委员会提供评标所需的信息和数据。评标委员会负责人应组织评标委员会成员认真研究招标文件，未在招标文件中规定的标准和方法不得作为评标的依据。</w:t>
      </w:r>
    </w:p>
    <w:p>
      <w:pPr>
        <w:pStyle w:val="5"/>
        <w:spacing w:line="240" w:lineRule="auto"/>
        <w:ind w:firstLine="103"/>
        <w:rPr>
          <w:color w:val="000000"/>
          <w:sz w:val="21"/>
          <w:szCs w:val="21"/>
        </w:rPr>
      </w:pPr>
      <w:bookmarkStart w:id="477" w:name="_Toc6331"/>
      <w:bookmarkStart w:id="478" w:name="_Toc511142500"/>
      <w:bookmarkStart w:id="479" w:name="_Toc397928607"/>
      <w:r>
        <w:rPr>
          <w:color w:val="000000"/>
          <w:sz w:val="21"/>
          <w:szCs w:val="21"/>
        </w:rPr>
        <w:t xml:space="preserve">3.2 </w:t>
      </w:r>
      <w:r>
        <w:rPr>
          <w:rFonts w:hint="eastAsia"/>
          <w:color w:val="000000"/>
          <w:sz w:val="21"/>
          <w:szCs w:val="21"/>
        </w:rPr>
        <w:t>初步评审</w:t>
      </w:r>
      <w:bookmarkEnd w:id="477"/>
      <w:bookmarkEnd w:id="478"/>
      <w:bookmarkEnd w:id="479"/>
    </w:p>
    <w:p>
      <w:pPr>
        <w:spacing w:line="240" w:lineRule="auto"/>
        <w:ind w:firstLine="420" w:firstLineChars="200"/>
        <w:rPr>
          <w:rFonts w:ascii="宋体" w:hAnsi="宋体"/>
          <w:color w:val="000000"/>
          <w:szCs w:val="21"/>
        </w:rPr>
      </w:pPr>
      <w:r>
        <w:rPr>
          <w:rFonts w:hint="eastAsia" w:ascii="宋体" w:hAnsi="宋体"/>
          <w:color w:val="000000"/>
          <w:szCs w:val="21"/>
        </w:rPr>
        <w:t>3.2.1评标委员会依据本章第2.1 款规定的标准对投标文件进行初步评审。</w:t>
      </w:r>
    </w:p>
    <w:p>
      <w:pPr>
        <w:spacing w:line="240" w:lineRule="auto"/>
        <w:ind w:firstLine="420" w:firstLineChars="200"/>
        <w:rPr>
          <w:rFonts w:ascii="宋体" w:hAnsi="宋体"/>
          <w:color w:val="000000"/>
          <w:szCs w:val="21"/>
        </w:rPr>
      </w:pPr>
      <w:r>
        <w:rPr>
          <w:rFonts w:hint="eastAsia" w:ascii="宋体" w:hAnsi="宋体"/>
          <w:color w:val="000000"/>
          <w:szCs w:val="21"/>
        </w:rPr>
        <w:t>3.2.2投标文件不符合本章第2.1款评审标准的，属于重大偏差，视为未能对招标文件作出实质性响应，应当作为无效投标予以否决。</w:t>
      </w:r>
    </w:p>
    <w:p>
      <w:pPr>
        <w:spacing w:line="240" w:lineRule="auto"/>
        <w:ind w:firstLine="420" w:firstLineChars="200"/>
        <w:rPr>
          <w:rFonts w:ascii="宋体" w:hAnsi="宋体"/>
          <w:color w:val="000000"/>
          <w:szCs w:val="21"/>
        </w:rPr>
      </w:pPr>
      <w:r>
        <w:rPr>
          <w:rFonts w:hint="eastAsia" w:ascii="宋体" w:hAnsi="宋体"/>
          <w:color w:val="000000"/>
          <w:szCs w:val="21"/>
        </w:rPr>
        <w:t>3.2.3对照投标人须知6.5款，投标文件有上述情况之一，视为未能对招标文件作出实质性响应，凡招标文件未明确标明无效标条款的，</w:t>
      </w:r>
      <w:r>
        <w:rPr>
          <w:rFonts w:ascii="宋体" w:hAnsi="宋体"/>
          <w:color w:val="000000"/>
          <w:szCs w:val="21"/>
        </w:rPr>
        <w:t>评标委员会</w:t>
      </w:r>
      <w:r>
        <w:rPr>
          <w:rFonts w:hint="eastAsia" w:ascii="宋体" w:hAnsi="宋体"/>
          <w:color w:val="000000"/>
          <w:szCs w:val="21"/>
        </w:rPr>
        <w:t>不得作为判定无效投标的依据。</w:t>
      </w:r>
    </w:p>
    <w:p>
      <w:pPr>
        <w:spacing w:line="240" w:lineRule="auto"/>
        <w:ind w:firstLine="420" w:firstLineChars="200"/>
        <w:rPr>
          <w:color w:val="000000"/>
          <w:szCs w:val="21"/>
        </w:rPr>
      </w:pPr>
      <w:r>
        <w:rPr>
          <w:rFonts w:hint="eastAsia" w:ascii="宋体" w:hAnsi="宋体"/>
          <w:color w:val="000000"/>
          <w:szCs w:val="21"/>
        </w:rPr>
        <w:t>3.2.4 投标报价有算术错误的，评标委员会按以下原则对投标报价进行修正，修正的价格经投标人书面确认后具有约束力。</w:t>
      </w:r>
    </w:p>
    <w:p>
      <w:pPr>
        <w:spacing w:line="240" w:lineRule="auto"/>
        <w:ind w:firstLine="420" w:firstLineChars="200"/>
        <w:rPr>
          <w:color w:val="000000"/>
          <w:szCs w:val="21"/>
        </w:rPr>
      </w:pPr>
      <w:r>
        <w:rPr>
          <w:rFonts w:hint="eastAsia" w:ascii="宋体" w:hAnsi="宋体"/>
          <w:color w:val="000000"/>
          <w:szCs w:val="21"/>
        </w:rPr>
        <w:t>(1）投标文件中的大写金额与小写金额不一致的，以大写金额为准；</w:t>
      </w:r>
    </w:p>
    <w:p>
      <w:pPr>
        <w:spacing w:line="240" w:lineRule="auto"/>
        <w:ind w:firstLine="420" w:firstLineChars="200"/>
        <w:rPr>
          <w:rFonts w:ascii="宋体" w:hAnsi="宋体"/>
          <w:color w:val="000000"/>
          <w:szCs w:val="21"/>
        </w:rPr>
      </w:pPr>
      <w:r>
        <w:rPr>
          <w:rFonts w:hint="eastAsia" w:ascii="宋体" w:hAnsi="宋体"/>
          <w:color w:val="000000"/>
          <w:szCs w:val="21"/>
        </w:rPr>
        <w:t>(2）总价金额与依据单价计算出的结果不一致的，以单价金额为准修正总价，但单价金额小数点有明显错误的除外。</w:t>
      </w:r>
    </w:p>
    <w:p>
      <w:pPr>
        <w:spacing w:line="240" w:lineRule="auto"/>
        <w:ind w:firstLine="420" w:firstLineChars="200"/>
        <w:rPr>
          <w:rFonts w:ascii="宋体" w:hAnsi="宋体"/>
          <w:color w:val="000000"/>
          <w:szCs w:val="21"/>
        </w:rPr>
      </w:pPr>
      <w:r>
        <w:rPr>
          <w:rFonts w:hint="eastAsia" w:ascii="宋体" w:hAnsi="宋体"/>
          <w:color w:val="000000"/>
          <w:szCs w:val="21"/>
        </w:rPr>
        <w:t>3.2.5只有通过初步评审的投标文件才能进入详细评审。</w:t>
      </w:r>
    </w:p>
    <w:p>
      <w:pPr>
        <w:pStyle w:val="5"/>
        <w:spacing w:line="240" w:lineRule="auto"/>
        <w:ind w:firstLine="103"/>
        <w:rPr>
          <w:color w:val="000000"/>
          <w:sz w:val="21"/>
          <w:szCs w:val="21"/>
        </w:rPr>
      </w:pPr>
      <w:bookmarkStart w:id="480" w:name="_Toc397928608"/>
      <w:bookmarkStart w:id="481" w:name="_Toc7389"/>
      <w:bookmarkStart w:id="482" w:name="_Toc511142501"/>
      <w:r>
        <w:rPr>
          <w:color w:val="000000"/>
          <w:sz w:val="21"/>
          <w:szCs w:val="21"/>
        </w:rPr>
        <w:t xml:space="preserve">3.3 </w:t>
      </w:r>
      <w:r>
        <w:rPr>
          <w:rFonts w:hint="eastAsia"/>
          <w:color w:val="000000"/>
          <w:sz w:val="21"/>
          <w:szCs w:val="21"/>
        </w:rPr>
        <w:t>详细评审</w:t>
      </w:r>
      <w:bookmarkEnd w:id="480"/>
      <w:bookmarkEnd w:id="481"/>
      <w:bookmarkEnd w:id="482"/>
    </w:p>
    <w:p>
      <w:pPr>
        <w:spacing w:line="240" w:lineRule="auto"/>
        <w:ind w:firstLine="420" w:firstLineChars="200"/>
        <w:rPr>
          <w:color w:val="000000"/>
          <w:szCs w:val="21"/>
        </w:rPr>
      </w:pPr>
      <w:r>
        <w:rPr>
          <w:rFonts w:hint="eastAsia"/>
          <w:color w:val="000000"/>
          <w:szCs w:val="21"/>
        </w:rPr>
        <w:t>3.3.1 在详细评审发现符合“无效标书条款”的，应当作为无效投标予以否决，其投标报价亦不作为评标基准价A值的依据。</w:t>
      </w:r>
    </w:p>
    <w:p>
      <w:pPr>
        <w:spacing w:line="240" w:lineRule="auto"/>
        <w:ind w:firstLine="420" w:firstLineChars="200"/>
        <w:rPr>
          <w:color w:val="000000"/>
          <w:szCs w:val="21"/>
        </w:rPr>
      </w:pPr>
      <w:r>
        <w:rPr>
          <w:rFonts w:hint="eastAsia"/>
          <w:color w:val="000000"/>
          <w:szCs w:val="21"/>
        </w:rPr>
        <w:t>3.3.2 评标委员会按本章第2.2款规定的量化因素和分值进行打分，并计算出综合评估得分。</w:t>
      </w:r>
    </w:p>
    <w:p>
      <w:pPr>
        <w:spacing w:line="240" w:lineRule="auto"/>
        <w:ind w:firstLine="420" w:firstLineChars="200"/>
        <w:rPr>
          <w:color w:val="000000"/>
          <w:szCs w:val="21"/>
        </w:rPr>
      </w:pPr>
      <w:r>
        <w:rPr>
          <w:rFonts w:hint="eastAsia"/>
          <w:color w:val="000000"/>
          <w:szCs w:val="21"/>
        </w:rPr>
        <w:t>3.3.3 评分分值计算保留小数点后两位，小数点后第三位“四舍五入”。</w:t>
      </w:r>
    </w:p>
    <w:p>
      <w:pPr>
        <w:pStyle w:val="5"/>
        <w:spacing w:line="240" w:lineRule="auto"/>
        <w:ind w:firstLine="103"/>
        <w:rPr>
          <w:color w:val="000000"/>
          <w:sz w:val="21"/>
          <w:szCs w:val="21"/>
        </w:rPr>
      </w:pPr>
      <w:bookmarkStart w:id="483" w:name="_Toc511142502"/>
      <w:bookmarkStart w:id="484" w:name="_Toc5826"/>
      <w:bookmarkStart w:id="485" w:name="_Toc397928609"/>
      <w:r>
        <w:rPr>
          <w:color w:val="000000"/>
          <w:sz w:val="21"/>
          <w:szCs w:val="21"/>
        </w:rPr>
        <w:t xml:space="preserve">3.4 </w:t>
      </w:r>
      <w:r>
        <w:rPr>
          <w:rFonts w:hint="eastAsia"/>
          <w:color w:val="000000"/>
          <w:sz w:val="21"/>
          <w:szCs w:val="21"/>
        </w:rPr>
        <w:t>投标文件的澄清和补正</w:t>
      </w:r>
      <w:bookmarkEnd w:id="483"/>
      <w:bookmarkEnd w:id="484"/>
      <w:bookmarkEnd w:id="485"/>
    </w:p>
    <w:p>
      <w:pPr>
        <w:spacing w:line="240" w:lineRule="auto"/>
        <w:ind w:firstLine="420" w:firstLineChars="200"/>
        <w:rPr>
          <w:color w:val="000000"/>
          <w:szCs w:val="21"/>
        </w:rPr>
      </w:pPr>
      <w:r>
        <w:rPr>
          <w:rFonts w:hint="eastAsia" w:ascii="宋体" w:hAnsi="宋体"/>
          <w:color w:val="000000"/>
          <w:szCs w:val="21"/>
        </w:rPr>
        <w:t>3.4.1 在评标过程中，评标委员会可以书面形式要求投标人对所提交投标文件中不明确的内容进行书面澄清或说明，或者对细微偏差进行补正。评标委员会不接受投标人主动提出的澄清、说明或补正。</w:t>
      </w:r>
    </w:p>
    <w:p>
      <w:pPr>
        <w:spacing w:line="240" w:lineRule="auto"/>
        <w:ind w:firstLine="420" w:firstLineChars="200"/>
        <w:rPr>
          <w:color w:val="000000"/>
          <w:szCs w:val="21"/>
        </w:rPr>
      </w:pPr>
      <w:r>
        <w:rPr>
          <w:rFonts w:hint="eastAsia" w:ascii="宋体" w:hAnsi="宋体"/>
          <w:color w:val="000000"/>
          <w:szCs w:val="21"/>
        </w:rPr>
        <w:t>3.4.2 澄清、说明和补正不得改变投标文件的实质性内容（算术性错误修正的除外）。投标人的书面澄清、说明和补正属于投标文件的组成部分。</w:t>
      </w:r>
    </w:p>
    <w:p>
      <w:pPr>
        <w:spacing w:line="240" w:lineRule="auto"/>
        <w:ind w:firstLine="420" w:firstLineChars="200"/>
        <w:rPr>
          <w:color w:val="000000"/>
          <w:szCs w:val="21"/>
        </w:rPr>
      </w:pPr>
      <w:r>
        <w:rPr>
          <w:rFonts w:hint="eastAsia" w:ascii="宋体" w:hAnsi="宋体"/>
          <w:color w:val="000000"/>
          <w:szCs w:val="21"/>
        </w:rPr>
        <w:t>3.4.3 评标委员会对投标人提交的澄清、说明或补正有疑问的，可以要求投标人进一步澄清、说明或补正。</w:t>
      </w:r>
    </w:p>
    <w:p>
      <w:pPr>
        <w:pStyle w:val="5"/>
        <w:spacing w:line="240" w:lineRule="auto"/>
        <w:ind w:firstLine="103"/>
        <w:rPr>
          <w:b/>
          <w:color w:val="000000"/>
          <w:kern w:val="0"/>
          <w:sz w:val="21"/>
          <w:szCs w:val="21"/>
        </w:rPr>
      </w:pPr>
      <w:bookmarkStart w:id="486" w:name="_Toc29288"/>
      <w:bookmarkStart w:id="487" w:name="_Toc397928610"/>
      <w:bookmarkStart w:id="488" w:name="_Toc511142503"/>
      <w:r>
        <w:rPr>
          <w:rFonts w:hint="eastAsia"/>
          <w:color w:val="000000"/>
          <w:sz w:val="21"/>
          <w:szCs w:val="21"/>
        </w:rPr>
        <w:t>3.5 推荐中标候选人或直接确定中标人</w:t>
      </w:r>
      <w:bookmarkEnd w:id="486"/>
      <w:bookmarkEnd w:id="487"/>
      <w:bookmarkEnd w:id="488"/>
    </w:p>
    <w:p>
      <w:pPr>
        <w:autoSpaceDE w:val="0"/>
        <w:autoSpaceDN w:val="0"/>
        <w:spacing w:line="240" w:lineRule="auto"/>
        <w:ind w:firstLine="420" w:firstLineChars="200"/>
        <w:jc w:val="left"/>
        <w:rPr>
          <w:rFonts w:ascii="宋体" w:hAnsi="TimesNewRomanPSMT"/>
          <w:color w:val="000000"/>
          <w:kern w:val="0"/>
          <w:szCs w:val="21"/>
        </w:rPr>
      </w:pPr>
      <w:r>
        <w:rPr>
          <w:rFonts w:hint="eastAsia" w:ascii="黑体" w:hAnsi="TimesNewRomanPSMT" w:eastAsia="黑体"/>
          <w:color w:val="000000"/>
          <w:kern w:val="0"/>
          <w:szCs w:val="21"/>
        </w:rPr>
        <w:t xml:space="preserve">3.5.1 </w:t>
      </w:r>
      <w:r>
        <w:rPr>
          <w:rFonts w:hint="eastAsia" w:ascii="宋体" w:hAnsi="TimesNewRomanPSMT"/>
          <w:color w:val="000000"/>
          <w:kern w:val="0"/>
          <w:szCs w:val="21"/>
        </w:rPr>
        <w:t>除投标人须知前附表授权直接确定中标人外，评标委员会在推荐中标候选人时，应遵照以下原则:</w:t>
      </w:r>
    </w:p>
    <w:p>
      <w:pPr>
        <w:autoSpaceDE w:val="0"/>
        <w:autoSpaceDN w:val="0"/>
        <w:spacing w:line="240" w:lineRule="auto"/>
        <w:ind w:firstLine="420" w:firstLineChars="200"/>
        <w:jc w:val="left"/>
        <w:rPr>
          <w:rFonts w:ascii="宋体" w:hAnsi="TimesNewRomanPSMT"/>
          <w:color w:val="000000"/>
          <w:kern w:val="0"/>
          <w:szCs w:val="21"/>
        </w:rPr>
      </w:pPr>
      <w:r>
        <w:rPr>
          <w:rFonts w:hint="eastAsia" w:ascii="宋体" w:hAnsi="TimesNewRomanPSMT"/>
          <w:color w:val="000000"/>
          <w:kern w:val="0"/>
          <w:szCs w:val="21"/>
        </w:rPr>
        <w:t>评标委员会按照最终得分由高至低的次序排列，并根据投标人须知前附表规定的中标候选人数量，将排序在前的投标人推荐为中标候选人。</w:t>
      </w:r>
    </w:p>
    <w:p>
      <w:pPr>
        <w:pStyle w:val="5"/>
        <w:spacing w:line="240" w:lineRule="auto"/>
        <w:ind w:firstLine="103"/>
        <w:rPr>
          <w:color w:val="000000"/>
          <w:sz w:val="21"/>
          <w:szCs w:val="21"/>
        </w:rPr>
      </w:pPr>
      <w:bookmarkStart w:id="489" w:name="_Toc397928611"/>
      <w:bookmarkStart w:id="490" w:name="_Toc511142504"/>
      <w:r>
        <w:rPr>
          <w:rFonts w:hint="eastAsia"/>
          <w:color w:val="000000"/>
          <w:sz w:val="21"/>
          <w:szCs w:val="21"/>
        </w:rPr>
        <w:t>3.6 提交评标报告</w:t>
      </w:r>
      <w:bookmarkEnd w:id="489"/>
      <w:bookmarkEnd w:id="490"/>
      <w:r>
        <w:rPr>
          <w:rFonts w:hint="eastAsia"/>
          <w:color w:val="000000"/>
          <w:sz w:val="21"/>
          <w:szCs w:val="21"/>
        </w:rPr>
        <w:t xml:space="preserve"> </w:t>
      </w:r>
    </w:p>
    <w:p>
      <w:pPr>
        <w:autoSpaceDE w:val="0"/>
        <w:autoSpaceDN w:val="0"/>
        <w:spacing w:line="240" w:lineRule="auto"/>
        <w:ind w:firstLine="420" w:firstLineChars="200"/>
        <w:jc w:val="left"/>
        <w:rPr>
          <w:rFonts w:ascii="宋体" w:hAnsi="TimesNewRomanPSMT"/>
          <w:color w:val="000000"/>
          <w:kern w:val="0"/>
          <w:szCs w:val="21"/>
        </w:rPr>
      </w:pPr>
      <w:r>
        <w:rPr>
          <w:rFonts w:hint="eastAsia" w:ascii="宋体" w:hAnsi="TimesNewRomanPSMT"/>
          <w:color w:val="000000"/>
          <w:kern w:val="0"/>
          <w:szCs w:val="21"/>
        </w:rPr>
        <w:t>评标委员会完成评标后，应当向招标人提交书面评标报告。评标报告应当由全体评标委员会成员签字，并于评标结束时抄送有关行政监督部门。</w:t>
      </w:r>
    </w:p>
    <w:p>
      <w:pPr>
        <w:pStyle w:val="4"/>
        <w:spacing w:line="240" w:lineRule="auto"/>
        <w:rPr>
          <w:rFonts w:ascii="宋体" w:hAnsi="宋体" w:eastAsia="宋体"/>
          <w:color w:val="000000"/>
        </w:rPr>
      </w:pPr>
      <w:bookmarkStart w:id="491" w:name="_Toc511142505"/>
      <w:r>
        <w:rPr>
          <w:rFonts w:hint="eastAsia" w:ascii="宋体" w:hAnsi="宋体" w:eastAsia="宋体"/>
          <w:color w:val="000000"/>
        </w:rPr>
        <w:t>4． 通用评标规则</w:t>
      </w:r>
      <w:bookmarkEnd w:id="491"/>
    </w:p>
    <w:p>
      <w:pPr>
        <w:pStyle w:val="5"/>
        <w:spacing w:line="240" w:lineRule="auto"/>
        <w:ind w:firstLine="103"/>
        <w:rPr>
          <w:color w:val="000000"/>
          <w:sz w:val="21"/>
          <w:szCs w:val="21"/>
        </w:rPr>
      </w:pPr>
      <w:bookmarkStart w:id="492" w:name="_Toc511142506"/>
      <w:r>
        <w:rPr>
          <w:rFonts w:hint="eastAsia"/>
          <w:color w:val="000000"/>
          <w:sz w:val="21"/>
          <w:szCs w:val="21"/>
        </w:rPr>
        <w:t>4.1 评标程序</w:t>
      </w:r>
      <w:bookmarkEnd w:id="492"/>
    </w:p>
    <w:p>
      <w:pPr>
        <w:snapToGrid w:val="0"/>
        <w:spacing w:line="240" w:lineRule="auto"/>
        <w:ind w:firstLine="420" w:firstLineChars="200"/>
        <w:rPr>
          <w:rFonts w:hAnsi="黑体" w:eastAsia="黑体"/>
          <w:color w:val="000000"/>
          <w:kern w:val="0"/>
          <w:szCs w:val="21"/>
        </w:rPr>
      </w:pPr>
      <w:r>
        <w:rPr>
          <w:rFonts w:hint="eastAsia" w:ascii="宋体" w:hAnsi="TimesNewRomanPSMT"/>
          <w:color w:val="000000"/>
          <w:kern w:val="0"/>
          <w:szCs w:val="21"/>
        </w:rPr>
        <w:t>资质标、商务标、技术标应分别评审，评审后不得更改。</w:t>
      </w:r>
    </w:p>
    <w:p>
      <w:pPr>
        <w:pStyle w:val="5"/>
        <w:spacing w:line="240" w:lineRule="auto"/>
        <w:ind w:firstLine="103"/>
        <w:rPr>
          <w:color w:val="000000"/>
          <w:sz w:val="21"/>
          <w:szCs w:val="21"/>
        </w:rPr>
      </w:pPr>
      <w:bookmarkStart w:id="493" w:name="_Toc511142507"/>
      <w:r>
        <w:rPr>
          <w:rFonts w:hint="eastAsia"/>
          <w:color w:val="000000"/>
          <w:sz w:val="21"/>
          <w:szCs w:val="21"/>
        </w:rPr>
        <w:t>4.2不规范标书</w:t>
      </w:r>
      <w:bookmarkEnd w:id="493"/>
    </w:p>
    <w:p>
      <w:pPr>
        <w:snapToGrid w:val="0"/>
        <w:spacing w:line="240" w:lineRule="auto"/>
        <w:ind w:firstLine="420" w:firstLineChars="200"/>
        <w:rPr>
          <w:rFonts w:ascii="宋体" w:hAnsi="TimesNewRomanPSMT"/>
          <w:color w:val="000000"/>
          <w:kern w:val="0"/>
          <w:szCs w:val="21"/>
        </w:rPr>
      </w:pPr>
      <w:r>
        <w:rPr>
          <w:rFonts w:hint="eastAsia" w:ascii="宋体" w:hAnsi="TimesNewRomanPSMT"/>
          <w:color w:val="000000"/>
          <w:kern w:val="0"/>
          <w:szCs w:val="21"/>
        </w:rPr>
        <w:t>评标审查中有发现投标书或投标人行为属不规范者，评标办法采用综合评分法的，且无法形成无效投标的，经评标委员会认定后扣减0.3—2分。</w:t>
      </w:r>
    </w:p>
    <w:p>
      <w:pPr>
        <w:pStyle w:val="5"/>
        <w:spacing w:line="240" w:lineRule="auto"/>
        <w:ind w:firstLine="103"/>
        <w:rPr>
          <w:rFonts w:ascii="宋体" w:hAnsi="TimesNewRomanPSMT"/>
          <w:color w:val="000000"/>
          <w:kern w:val="0"/>
          <w:sz w:val="21"/>
          <w:szCs w:val="21"/>
        </w:rPr>
      </w:pPr>
      <w:bookmarkStart w:id="494" w:name="_Toc511142508"/>
      <w:r>
        <w:rPr>
          <w:rFonts w:hint="eastAsia"/>
          <w:color w:val="000000"/>
          <w:sz w:val="21"/>
          <w:szCs w:val="21"/>
        </w:rPr>
        <w:t>4.3计价文件评审规定</w:t>
      </w:r>
      <w:bookmarkEnd w:id="494"/>
    </w:p>
    <w:p>
      <w:pPr>
        <w:snapToGrid w:val="0"/>
        <w:spacing w:line="240" w:lineRule="auto"/>
        <w:ind w:firstLine="420" w:firstLineChars="200"/>
        <w:rPr>
          <w:rFonts w:ascii="宋体" w:hAnsi="TimesNewRomanPSMT"/>
          <w:color w:val="000000"/>
          <w:kern w:val="0"/>
          <w:szCs w:val="21"/>
        </w:rPr>
      </w:pPr>
      <w:r>
        <w:rPr>
          <w:rFonts w:hint="eastAsia" w:ascii="宋体" w:hAnsi="TimesNewRomanPSMT"/>
          <w:color w:val="000000"/>
          <w:kern w:val="0"/>
          <w:szCs w:val="21"/>
        </w:rPr>
        <w:t>评标委员会认为投标人的投标报价有可能低于其个别成本时，应当要求投标人以书面方式作出澄清，并提供相关证明材料后再进行认定。</w:t>
      </w:r>
    </w:p>
    <w:p>
      <w:pPr>
        <w:pStyle w:val="5"/>
        <w:spacing w:line="240" w:lineRule="auto"/>
        <w:ind w:firstLine="103"/>
        <w:rPr>
          <w:color w:val="000000"/>
          <w:sz w:val="21"/>
          <w:szCs w:val="21"/>
        </w:rPr>
      </w:pPr>
      <w:bookmarkStart w:id="495" w:name="_Toc511142509"/>
      <w:r>
        <w:rPr>
          <w:rFonts w:hint="eastAsia"/>
          <w:color w:val="000000"/>
          <w:sz w:val="21"/>
          <w:szCs w:val="21"/>
        </w:rPr>
        <w:t>4.4打分</w:t>
      </w:r>
      <w:bookmarkEnd w:id="495"/>
    </w:p>
    <w:p>
      <w:pPr>
        <w:snapToGrid w:val="0"/>
        <w:spacing w:line="240" w:lineRule="auto"/>
        <w:ind w:firstLine="420" w:firstLineChars="200"/>
        <w:rPr>
          <w:rFonts w:ascii="宋体" w:hAnsi="TimesNewRomanPSMT"/>
          <w:color w:val="000000"/>
          <w:kern w:val="0"/>
          <w:szCs w:val="21"/>
        </w:rPr>
      </w:pPr>
      <w:r>
        <w:rPr>
          <w:rFonts w:hint="eastAsia" w:ascii="宋体" w:hAnsi="TimesNewRomanPSMT"/>
          <w:color w:val="000000"/>
          <w:kern w:val="0"/>
          <w:szCs w:val="21"/>
        </w:rPr>
        <w:t>评委应记名打分，打分未记名的和未按招标文件规定的打分办法打分的，一律按无效票处理。设区间计分项的，其计分包括区间两端值。评审过程中，除招标文件另有规定外，如发现投标文件无相关资料、数据的，经评标委员会认定，可确定其该项不得分（即取消保底分值）。</w:t>
      </w:r>
    </w:p>
    <w:p>
      <w:pPr>
        <w:pStyle w:val="5"/>
        <w:numPr>
          <w:ins w:id="0" w:author="微软用户" w:date=""/>
        </w:numPr>
        <w:spacing w:line="240" w:lineRule="auto"/>
        <w:ind w:firstLine="103"/>
        <w:rPr>
          <w:color w:val="000000"/>
          <w:sz w:val="21"/>
          <w:szCs w:val="21"/>
        </w:rPr>
      </w:pPr>
      <w:bookmarkStart w:id="496" w:name="_Toc511142510"/>
      <w:r>
        <w:rPr>
          <w:rFonts w:hint="eastAsia"/>
          <w:color w:val="000000"/>
          <w:sz w:val="21"/>
          <w:szCs w:val="21"/>
        </w:rPr>
        <w:t>4.5争议处理</w:t>
      </w:r>
      <w:bookmarkEnd w:id="496"/>
    </w:p>
    <w:p>
      <w:pPr>
        <w:snapToGrid w:val="0"/>
        <w:spacing w:line="240" w:lineRule="auto"/>
        <w:rPr>
          <w:rFonts w:ascii="宋体" w:hAnsi="TimesNewRomanPSMT"/>
          <w:color w:val="000000"/>
          <w:kern w:val="0"/>
          <w:szCs w:val="21"/>
        </w:rPr>
      </w:pPr>
      <w:r>
        <w:rPr>
          <w:rFonts w:hint="eastAsia" w:ascii="宋体" w:hAnsi="TimesNewRomanPSMT"/>
          <w:color w:val="000000"/>
          <w:kern w:val="0"/>
          <w:szCs w:val="21"/>
        </w:rPr>
        <w:t xml:space="preserve">    评标中发生重大情况或重大争议，需要进一步调查了解、协调处理的，现场监督人员报招标投标管理部门同意后可暂时休会，待有关问题得到澄清后再行复会。休会期间，所有招投标资料一律封存盐城市大丰区公共资源交易中心档案室，所有与会人员一律不得泄露评标情况。</w:t>
      </w:r>
    </w:p>
    <w:p>
      <w:pPr>
        <w:pStyle w:val="5"/>
        <w:spacing w:line="240" w:lineRule="auto"/>
        <w:ind w:firstLine="103"/>
        <w:rPr>
          <w:color w:val="000000"/>
          <w:sz w:val="21"/>
          <w:szCs w:val="21"/>
        </w:rPr>
      </w:pPr>
      <w:bookmarkStart w:id="497" w:name="_Toc511142511"/>
      <w:r>
        <w:rPr>
          <w:rFonts w:hint="eastAsia"/>
          <w:color w:val="000000"/>
          <w:sz w:val="21"/>
          <w:szCs w:val="21"/>
        </w:rPr>
        <w:t>4.6违法违纪行为</w:t>
      </w:r>
      <w:bookmarkEnd w:id="497"/>
    </w:p>
    <w:p>
      <w:pPr>
        <w:spacing w:line="240" w:lineRule="auto"/>
        <w:ind w:firstLine="420" w:firstLineChars="200"/>
        <w:rPr>
          <w:rFonts w:ascii="宋体" w:hAnsi="TimesNewRomanPSMT"/>
          <w:color w:val="000000"/>
          <w:kern w:val="0"/>
          <w:szCs w:val="21"/>
        </w:rPr>
      </w:pPr>
      <w:r>
        <w:rPr>
          <w:rFonts w:hint="eastAsia" w:ascii="宋体" w:hAnsi="TimesNewRomanPSMT"/>
          <w:color w:val="000000"/>
          <w:kern w:val="0"/>
          <w:szCs w:val="21"/>
        </w:rPr>
        <w:t>在招投标过程中发生行贿受贿、扰乱招投标活动秩序及其他严重违法违纪行为的，一律取消有关责任人参与招投标活动的资格；影响评审结果的，应宣布评审结果无效。</w:t>
      </w:r>
    </w:p>
    <w:p>
      <w:pPr>
        <w:pStyle w:val="5"/>
        <w:spacing w:line="240" w:lineRule="auto"/>
        <w:ind w:firstLine="103"/>
        <w:rPr>
          <w:color w:val="000000"/>
          <w:sz w:val="21"/>
          <w:szCs w:val="21"/>
        </w:rPr>
      </w:pPr>
      <w:bookmarkStart w:id="498" w:name="_Toc511142512"/>
      <w:r>
        <w:rPr>
          <w:rFonts w:hint="eastAsia"/>
          <w:color w:val="000000"/>
          <w:sz w:val="21"/>
          <w:szCs w:val="21"/>
        </w:rPr>
        <w:t>4.7其它</w:t>
      </w:r>
      <w:bookmarkEnd w:id="498"/>
    </w:p>
    <w:p>
      <w:pPr>
        <w:spacing w:line="240" w:lineRule="auto"/>
        <w:ind w:firstLine="420" w:firstLineChars="200"/>
        <w:rPr>
          <w:rFonts w:ascii="宋体" w:hAnsi="TimesNewRomanPSMT"/>
          <w:b/>
          <w:color w:val="000000"/>
          <w:kern w:val="0"/>
          <w:szCs w:val="21"/>
        </w:rPr>
      </w:pPr>
      <w:r>
        <w:rPr>
          <w:rFonts w:hint="eastAsia" w:ascii="宋体" w:hAnsi="TimesNewRomanPSMT"/>
          <w:b/>
          <w:color w:val="000000"/>
          <w:kern w:val="0"/>
          <w:szCs w:val="21"/>
        </w:rPr>
        <w:t>在评审过程中，一旦发现招标文件中发现以下现象的，经评标委员会认定，删除该项评审或记分。</w:t>
      </w:r>
    </w:p>
    <w:p>
      <w:pPr>
        <w:spacing w:line="240" w:lineRule="auto"/>
        <w:ind w:firstLine="420" w:firstLineChars="200"/>
        <w:rPr>
          <w:rFonts w:ascii="宋体" w:hAnsi="TimesNewRomanPSMT"/>
          <w:b/>
          <w:color w:val="000000"/>
          <w:kern w:val="0"/>
          <w:szCs w:val="21"/>
        </w:rPr>
      </w:pPr>
      <w:r>
        <w:rPr>
          <w:rFonts w:hint="eastAsia" w:ascii="宋体" w:hAnsi="TimesNewRomanPSMT"/>
          <w:b/>
          <w:color w:val="000000"/>
          <w:kern w:val="0"/>
          <w:szCs w:val="21"/>
        </w:rPr>
        <w:t>（1）招标文件内容中某项条款，有明显倾向或歧视的；</w:t>
      </w:r>
    </w:p>
    <w:p>
      <w:pPr>
        <w:spacing w:line="240" w:lineRule="auto"/>
        <w:ind w:firstLine="420" w:firstLineChars="200"/>
        <w:rPr>
          <w:rFonts w:ascii="宋体" w:hAnsi="TimesNewRomanPSMT"/>
          <w:b/>
          <w:color w:val="000000"/>
          <w:kern w:val="0"/>
          <w:szCs w:val="21"/>
        </w:rPr>
      </w:pPr>
      <w:r>
        <w:rPr>
          <w:rFonts w:hint="eastAsia" w:ascii="宋体" w:hAnsi="TimesNewRomanPSMT"/>
          <w:b/>
          <w:color w:val="000000"/>
          <w:kern w:val="0"/>
          <w:szCs w:val="21"/>
        </w:rPr>
        <w:t>（2）招标文件内容中某项条款有多种解释的。</w:t>
      </w:r>
    </w:p>
    <w:p>
      <w:pPr>
        <w:spacing w:line="240" w:lineRule="auto"/>
        <w:ind w:firstLine="420" w:firstLineChars="200"/>
        <w:jc w:val="left"/>
        <w:rPr>
          <w:rFonts w:ascii="宋体" w:hAnsi="TimesNewRomanPSMT"/>
          <w:color w:val="000000"/>
          <w:kern w:val="0"/>
          <w:szCs w:val="21"/>
        </w:rPr>
      </w:pPr>
      <w:r>
        <w:rPr>
          <w:rFonts w:hint="eastAsia" w:ascii="宋体" w:hAnsi="TimesNewRomanPSMT"/>
          <w:color w:val="000000"/>
          <w:kern w:val="0"/>
          <w:szCs w:val="21"/>
        </w:rPr>
        <w:t>评标委员会对优、良、中分档记分的，必须先确定优、良、中档次，再独立记分。评标委员会在评审中意见不统一并可能影响结果的，请评委各自留下书面意见，并以少数服从多数形成结论。</w:t>
      </w:r>
    </w:p>
    <w:p>
      <w:pPr>
        <w:autoSpaceDE w:val="0"/>
        <w:autoSpaceDN w:val="0"/>
        <w:spacing w:line="240" w:lineRule="auto"/>
        <w:ind w:firstLine="420" w:firstLineChars="200"/>
        <w:rPr>
          <w:rFonts w:ascii="宋体" w:hAnsi="TimesNewRomanPSMT"/>
          <w:color w:val="000000"/>
          <w:kern w:val="0"/>
          <w:szCs w:val="21"/>
        </w:rPr>
      </w:pPr>
      <w:r>
        <w:rPr>
          <w:rFonts w:hint="eastAsia" w:ascii="宋体" w:hAnsi="TimesNewRomanPSMT"/>
          <w:color w:val="000000"/>
          <w:kern w:val="0"/>
          <w:szCs w:val="21"/>
        </w:rPr>
        <w:t>经评审委员会评审，认为所有投标都不符合招标文件要求的，或符合的投标人少于三家的，可以否决所有投标；也可以根据《政府采购货物和服务招标投标管理办法》相关规定：“在评标期间，出现符合专业条件的供应商或者对招标文件作出实质性响应的供应商不足三家情形的，经相关主管部门同意，可以采取竞争性谈判方式”等条款评审，具体依据政府采购法第三十八条“竞争性谈判程序”执行。</w:t>
      </w:r>
    </w:p>
    <w:p>
      <w:pPr>
        <w:autoSpaceDE w:val="0"/>
        <w:autoSpaceDN w:val="0"/>
        <w:spacing w:line="360" w:lineRule="auto"/>
        <w:rPr>
          <w:rFonts w:ascii="宋体" w:hAnsi="TimesNewRomanPSMT"/>
          <w:color w:val="000000"/>
          <w:kern w:val="0"/>
          <w:szCs w:val="21"/>
        </w:rPr>
      </w:pPr>
    </w:p>
    <w:p>
      <w:pPr>
        <w:autoSpaceDE w:val="0"/>
        <w:autoSpaceDN w:val="0"/>
        <w:spacing w:line="360" w:lineRule="auto"/>
        <w:rPr>
          <w:rFonts w:ascii="宋体" w:hAnsi="TimesNewRomanPSMT"/>
          <w:color w:val="000000"/>
          <w:kern w:val="0"/>
          <w:szCs w:val="21"/>
        </w:rPr>
      </w:pPr>
    </w:p>
    <w:p>
      <w:pPr>
        <w:pStyle w:val="3"/>
        <w:spacing w:line="240" w:lineRule="auto"/>
        <w:rPr>
          <w:color w:val="000000"/>
        </w:rPr>
      </w:pPr>
      <w:bookmarkStart w:id="499" w:name="_Toc152045609"/>
      <w:bookmarkStart w:id="500" w:name="_Toc144974577"/>
      <w:bookmarkStart w:id="501" w:name="_Toc17692"/>
      <w:bookmarkStart w:id="502" w:name="_Toc246996252"/>
      <w:bookmarkStart w:id="503" w:name="_Toc246996995"/>
      <w:bookmarkStart w:id="504" w:name="_Toc366679736"/>
      <w:bookmarkStart w:id="505" w:name="_Toc387526436"/>
      <w:bookmarkStart w:id="506" w:name="_Toc179632627"/>
      <w:bookmarkStart w:id="507" w:name="_Toc511142513"/>
      <w:bookmarkStart w:id="508" w:name="_Toc387526344"/>
      <w:bookmarkStart w:id="509" w:name="_Toc397928625"/>
      <w:bookmarkStart w:id="510" w:name="_Toc152042387"/>
      <w:bookmarkStart w:id="511" w:name="_Toc247085767"/>
      <w:bookmarkStart w:id="512" w:name="_Toc387526240"/>
      <w:r>
        <w:rPr>
          <w:rFonts w:hint="eastAsia"/>
          <w:color w:val="000000"/>
        </w:rPr>
        <w:br w:type="page"/>
      </w:r>
      <w:r>
        <w:rPr>
          <w:rFonts w:hint="eastAsia"/>
          <w:color w:val="000000"/>
        </w:rPr>
        <w:t>第四章 合同条款及格式</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pPr>
        <w:pStyle w:val="12"/>
        <w:overflowPunct w:val="0"/>
        <w:snapToGrid w:val="0"/>
        <w:spacing w:line="240" w:lineRule="auto"/>
        <w:ind w:firstLine="426"/>
        <w:jc w:val="center"/>
        <w:outlineLvl w:val="0"/>
        <w:rPr>
          <w:rFonts w:ascii="宋体" w:hAnsi="宋体"/>
          <w:b w:val="0"/>
          <w:kern w:val="44"/>
          <w:sz w:val="30"/>
          <w:szCs w:val="30"/>
        </w:rPr>
      </w:pPr>
      <w:bookmarkStart w:id="513" w:name="_Toc511142514"/>
      <w:r>
        <w:rPr>
          <w:rFonts w:hint="eastAsia" w:ascii="宋体" w:hAnsi="宋体"/>
          <w:b w:val="0"/>
          <w:kern w:val="44"/>
          <w:sz w:val="30"/>
          <w:szCs w:val="30"/>
        </w:rPr>
        <w:t>（一</w:t>
      </w:r>
      <w:r>
        <w:rPr>
          <w:rFonts w:ascii="宋体" w:hAnsi="宋体"/>
          <w:b w:val="0"/>
          <w:kern w:val="44"/>
          <w:sz w:val="30"/>
          <w:szCs w:val="30"/>
        </w:rPr>
        <w:t>）</w:t>
      </w:r>
      <w:r>
        <w:rPr>
          <w:rFonts w:hint="eastAsia" w:ascii="宋体" w:hAnsi="宋体"/>
          <w:b w:val="0"/>
          <w:kern w:val="44"/>
          <w:sz w:val="30"/>
          <w:szCs w:val="30"/>
        </w:rPr>
        <w:t>合同一般条款</w:t>
      </w:r>
      <w:bookmarkEnd w:id="513"/>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b/>
          <w:szCs w:val="21"/>
        </w:rPr>
      </w:pPr>
      <w:bookmarkStart w:id="514" w:name="_Toc13543213"/>
      <w:r>
        <w:rPr>
          <w:rFonts w:ascii="宋体" w:hAnsi="宋体" w:cs="Arial"/>
          <w:b/>
          <w:szCs w:val="21"/>
        </w:rPr>
        <w:t>一、合同文件</w:t>
      </w:r>
      <w:bookmarkEnd w:id="514"/>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b/>
          <w:szCs w:val="21"/>
        </w:rPr>
      </w:pPr>
      <w:r>
        <w:rPr>
          <w:rFonts w:ascii="宋体" w:hAnsi="宋体" w:cs="Arial"/>
          <w:b/>
          <w:szCs w:val="21"/>
        </w:rPr>
        <w:t>1、合同文件适用法律</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szCs w:val="21"/>
        </w:rPr>
      </w:pPr>
      <w:r>
        <w:rPr>
          <w:rFonts w:ascii="宋体" w:hAnsi="宋体" w:cs="Arial"/>
          <w:szCs w:val="21"/>
        </w:rPr>
        <w:t>适用于合同文件的法律是中华人民共和国现行法律、法规及甲方所在地的地方性法规。</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b/>
          <w:szCs w:val="21"/>
        </w:rPr>
      </w:pPr>
      <w:r>
        <w:rPr>
          <w:rFonts w:ascii="宋体" w:hAnsi="宋体" w:cs="Arial"/>
          <w:b/>
          <w:szCs w:val="21"/>
        </w:rPr>
        <w:t>2、合同文件组成和解释顺序</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szCs w:val="21"/>
        </w:rPr>
      </w:pPr>
      <w:r>
        <w:rPr>
          <w:rFonts w:ascii="宋体" w:hAnsi="宋体" w:cs="Arial"/>
          <w:szCs w:val="21"/>
        </w:rPr>
        <w:t>2.1、合同文件的组成和解释顺序如下：</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szCs w:val="21"/>
        </w:rPr>
      </w:pPr>
      <w:r>
        <w:rPr>
          <w:rFonts w:ascii="宋体" w:hAnsi="宋体" w:cs="Arial"/>
          <w:szCs w:val="21"/>
        </w:rPr>
        <w:t>2.1.1、合同的特殊性条款。</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szCs w:val="21"/>
        </w:rPr>
      </w:pPr>
      <w:r>
        <w:rPr>
          <w:rFonts w:ascii="宋体" w:hAnsi="宋体" w:cs="Arial"/>
          <w:szCs w:val="21"/>
        </w:rPr>
        <w:t>2.1.2、合同的一般性条款。</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szCs w:val="21"/>
        </w:rPr>
      </w:pPr>
      <w:r>
        <w:rPr>
          <w:rFonts w:ascii="宋体" w:hAnsi="宋体" w:cs="Arial"/>
          <w:szCs w:val="21"/>
        </w:rPr>
        <w:t>2.1.3、洽商、变更等明确双方权利义务的纪要、协议。</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szCs w:val="21"/>
        </w:rPr>
      </w:pPr>
      <w:r>
        <w:rPr>
          <w:rFonts w:ascii="宋体" w:hAnsi="宋体" w:cs="Arial"/>
          <w:szCs w:val="21"/>
        </w:rPr>
        <w:t>2.1.4、中标通知书、投标书和招标文件。</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szCs w:val="21"/>
        </w:rPr>
      </w:pPr>
      <w:r>
        <w:rPr>
          <w:rFonts w:ascii="宋体" w:hAnsi="宋体" w:cs="Arial"/>
          <w:szCs w:val="21"/>
        </w:rPr>
        <w:t>2.1.5、有关图纸。</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szCs w:val="21"/>
        </w:rPr>
      </w:pPr>
      <w:r>
        <w:rPr>
          <w:rFonts w:ascii="宋体" w:hAnsi="宋体" w:cs="Arial"/>
          <w:szCs w:val="21"/>
        </w:rPr>
        <w:t>2.1.6、标准、规范的其它相关技术资料和技术要求。</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szCs w:val="21"/>
        </w:rPr>
      </w:pPr>
      <w:r>
        <w:rPr>
          <w:rFonts w:ascii="宋体" w:hAnsi="宋体" w:cs="Arial"/>
          <w:szCs w:val="21"/>
        </w:rPr>
        <w:t>2.2</w:t>
      </w:r>
      <w:r>
        <w:rPr>
          <w:rFonts w:hint="eastAsia" w:ascii="宋体" w:hAnsi="宋体" w:cs="Arial"/>
          <w:szCs w:val="21"/>
        </w:rPr>
        <w:t>合</w:t>
      </w:r>
      <w:r>
        <w:rPr>
          <w:rFonts w:ascii="宋体" w:hAnsi="宋体" w:cs="Arial"/>
          <w:szCs w:val="21"/>
        </w:rPr>
        <w:t>同的特殊性条款的效力优于合同的一般性条款的效力。</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b/>
          <w:szCs w:val="21"/>
        </w:rPr>
      </w:pPr>
      <w:r>
        <w:rPr>
          <w:rFonts w:ascii="宋体" w:hAnsi="宋体" w:cs="Arial"/>
          <w:b/>
          <w:szCs w:val="21"/>
        </w:rPr>
        <w:t>3、合同文件使用文字</w:t>
      </w:r>
    </w:p>
    <w:p>
      <w:pPr>
        <w:pStyle w:val="12"/>
        <w:keepNext w:val="0"/>
        <w:keepLines w:val="0"/>
        <w:pageBreakBefore w:val="0"/>
        <w:widowControl w:val="0"/>
        <w:kinsoku/>
        <w:wordWrap/>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3.1、合同文件使用中文书写、解释和说明。</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 xml:space="preserve">3.2、合同文件使用特殊性条款约定的国家标准和规范；国家没有相应标准、规范时，可使用特殊性条款约定的行业或甲方所在地地方的标准、规范。甲方应按特殊性条款约定的时间向乙方提供一式两份约定的标准和规范。 </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b/>
          <w:szCs w:val="21"/>
        </w:rPr>
      </w:pPr>
      <w:bookmarkStart w:id="515" w:name="_Toc13543214"/>
      <w:r>
        <w:rPr>
          <w:rFonts w:ascii="宋体" w:hAnsi="宋体" w:cs="Arial"/>
          <w:b/>
          <w:szCs w:val="21"/>
        </w:rPr>
        <w:t>二、标的物的一般条款</w:t>
      </w:r>
      <w:bookmarkEnd w:id="515"/>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b/>
          <w:szCs w:val="21"/>
        </w:rPr>
      </w:pPr>
      <w:r>
        <w:rPr>
          <w:rFonts w:ascii="宋体" w:hAnsi="宋体" w:cs="Arial"/>
          <w:b/>
          <w:szCs w:val="21"/>
        </w:rPr>
        <w:t>4、完整物权</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szCs w:val="21"/>
        </w:rPr>
      </w:pPr>
      <w:r>
        <w:rPr>
          <w:rFonts w:ascii="宋体" w:hAnsi="宋体" w:cs="Arial"/>
          <w:szCs w:val="21"/>
        </w:rPr>
        <w:t>对于出卖的标的物，乙方应当拥有完整物权，并且乙方负有保证第三人不得向甲方主张任何权利（包括知识产权）的义务。</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b/>
          <w:szCs w:val="21"/>
        </w:rPr>
      </w:pPr>
      <w:r>
        <w:rPr>
          <w:rFonts w:ascii="宋体" w:hAnsi="宋体" w:cs="Arial"/>
          <w:b/>
          <w:szCs w:val="21"/>
        </w:rPr>
        <w:t>5、质量保证</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5.1、乙方应保证所供的标的物是全新的（未使用过的、非积压的库存商品），完全符合合同规定的质量、规格和性能的要求，乙方应保证其提供的标的物在正确安装，正常使用和保养条件下，在其标称的使用寿命期内应具有满意的性能。在乙方承诺的质量保证期限内，乙方应对由于设计、工艺或材料的缺陷及伴随服务而造成的任何不足或故障负责。</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5.2、根据甲方按检验标准自己检验的结果或当地技监部门的检验结果，或者在质量保证期内，如果标的物的数量、质量或规格与合同不符或证实标的物是有缺陷的，包括潜在缺陷或使用不符合要求的材料等，甲方应尽快以书面形式通知乙方并提出索赔。</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5.3、除合同特殊条款规定外，合同条款中标的物的质量保证期均自标的物通过最终验收之日起计算，且质量保证期不低于承诺，具体质保期按国家标准和乙方承诺的高于国家标准的质保期（甲方有特殊要求的除外）。</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b/>
          <w:szCs w:val="21"/>
        </w:rPr>
      </w:pPr>
      <w:r>
        <w:rPr>
          <w:rFonts w:ascii="宋体" w:hAnsi="宋体" w:cs="Arial"/>
          <w:b/>
          <w:szCs w:val="21"/>
        </w:rPr>
        <w:t>6、包装</w:t>
      </w:r>
    </w:p>
    <w:p>
      <w:pPr>
        <w:pStyle w:val="12"/>
        <w:keepNext w:val="0"/>
        <w:keepLines w:val="0"/>
        <w:pageBreakBefore w:val="0"/>
        <w:widowControl w:val="0"/>
        <w:kinsoku/>
        <w:wordWrap/>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乙方应当按照约定的包装方式交付标的物。对包装方式没有约定或者约定不明确的，应当按照双方补充协议约定的方式包装，或者按照通用的方式包装，没有通用方式的，应当采取足以保护标的物的包装方式。</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b/>
          <w:szCs w:val="21"/>
        </w:rPr>
      </w:pPr>
      <w:r>
        <w:rPr>
          <w:rFonts w:ascii="宋体" w:hAnsi="宋体" w:cs="Arial"/>
          <w:b/>
          <w:szCs w:val="21"/>
        </w:rPr>
        <w:t>7、伴随服务</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bookmarkStart w:id="516" w:name="_Toc13543215"/>
      <w:r>
        <w:rPr>
          <w:rFonts w:ascii="宋体" w:hAnsi="宋体" w:cs="Arial"/>
          <w:b w:val="0"/>
          <w:sz w:val="21"/>
          <w:szCs w:val="21"/>
        </w:rPr>
        <w:t>7.1、乙方除应履行按期按量交付合格标的物的义务之外，还应提供下列服务。</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7.1.1、标的物的现场安装、启动、调试、监督（如果必须安装、调试的话）。</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7.1.2、提供标的物组装和一般维修所必须的工具。</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7.1.3、在合同规定的期限内对所提供标的物实行运行监督、维修服务的前提条件是该服务并不能免除乙方在质量保证期内所承担的义务。</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7.1.4、对甲方技术人员的技术指导或培训。</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7.2、除合同另有规定之外，伴随服务的费用均已含在合同价款中，甲方不再另行支付。</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b/>
          <w:szCs w:val="21"/>
        </w:rPr>
      </w:pPr>
      <w:r>
        <w:rPr>
          <w:rFonts w:ascii="宋体" w:hAnsi="宋体" w:cs="Arial"/>
          <w:b/>
          <w:szCs w:val="21"/>
        </w:rPr>
        <w:t>三、标的物的交付、检验和验收</w:t>
      </w:r>
      <w:bookmarkEnd w:id="516"/>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b/>
          <w:szCs w:val="21"/>
        </w:rPr>
      </w:pPr>
      <w:r>
        <w:rPr>
          <w:rFonts w:ascii="宋体" w:hAnsi="宋体" w:cs="Arial"/>
          <w:b/>
          <w:szCs w:val="21"/>
        </w:rPr>
        <w:t>8.标的物的交付</w:t>
      </w:r>
    </w:p>
    <w:p>
      <w:pPr>
        <w:pStyle w:val="12"/>
        <w:keepNext w:val="0"/>
        <w:keepLines w:val="0"/>
        <w:pageBreakBefore w:val="0"/>
        <w:widowControl w:val="0"/>
        <w:kinsoku/>
        <w:wordWrap/>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8.1、标的物的所有权自标的物交付时转移。</w:t>
      </w:r>
    </w:p>
    <w:p>
      <w:pPr>
        <w:pStyle w:val="12"/>
        <w:keepNext w:val="0"/>
        <w:keepLines w:val="0"/>
        <w:pageBreakBefore w:val="0"/>
        <w:widowControl w:val="0"/>
        <w:kinsoku/>
        <w:wordWrap/>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8.2、乙方应当按照约定的期限和约定的地点交付标的物。</w:t>
      </w:r>
    </w:p>
    <w:p>
      <w:pPr>
        <w:pStyle w:val="12"/>
        <w:keepNext w:val="0"/>
        <w:keepLines w:val="0"/>
        <w:pageBreakBefore w:val="0"/>
        <w:widowControl w:val="0"/>
        <w:kinsoku/>
        <w:wordWrap/>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8.3、乙方应当按照约定或者交易习惯向甲方交付提取标的物单证以外的有关单证和资料。</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b/>
          <w:szCs w:val="21"/>
        </w:rPr>
      </w:pPr>
      <w:r>
        <w:rPr>
          <w:rFonts w:ascii="宋体" w:hAnsi="宋体" w:cs="Arial"/>
          <w:b/>
          <w:szCs w:val="21"/>
        </w:rPr>
        <w:t>9、检验和验收</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9.1、在交货前，乙方应对标的物的质量、规格、性能、数量等进行详细而全面的检验，并出具一份合格检验证明，合格检验证明作为甲方验收的依据，但不能作为有关标的物质量、规格、数量或性能的最终检验结果。</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bCs/>
          <w:color w:val="auto"/>
          <w:sz w:val="21"/>
          <w:szCs w:val="21"/>
          <w:u w:val="single"/>
        </w:rPr>
      </w:pPr>
      <w:r>
        <w:rPr>
          <w:rFonts w:ascii="宋体" w:hAnsi="宋体" w:cs="Arial"/>
          <w:b/>
          <w:bCs/>
          <w:color w:val="auto"/>
          <w:sz w:val="21"/>
          <w:szCs w:val="21"/>
          <w:u w:val="single"/>
        </w:rPr>
        <w:t>9.2、甲方根据合同规定的内容和验收标准进行验收，同时比较乙方出具的检验证明，经检验</w:t>
      </w:r>
      <w:r>
        <w:rPr>
          <w:rFonts w:hint="eastAsia" w:ascii="宋体" w:hAnsi="宋体" w:cs="Arial"/>
          <w:b/>
          <w:bCs/>
          <w:color w:val="auto"/>
          <w:sz w:val="21"/>
          <w:szCs w:val="21"/>
          <w:u w:val="single"/>
        </w:rPr>
        <w:t>合格</w:t>
      </w:r>
      <w:r>
        <w:rPr>
          <w:rFonts w:ascii="宋体" w:hAnsi="宋体" w:cs="Arial"/>
          <w:b/>
          <w:bCs/>
          <w:color w:val="auto"/>
          <w:sz w:val="21"/>
          <w:szCs w:val="21"/>
          <w:u w:val="single"/>
        </w:rPr>
        <w:t>后出具验收合格证明，该证明作为最终付款所需文件的组成部分。</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9.3、验收期限自标的物交付之日起三十天内。特殊情况需延长的，双方应在合同的特殊条款中约定。</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9.4、如双方对验收结果有分歧，则以技术质量监督部门的检验结果为准，检验费用由有过失的一方支付。</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b/>
          <w:szCs w:val="21"/>
        </w:rPr>
      </w:pPr>
      <w:bookmarkStart w:id="517" w:name="_Toc13543216"/>
      <w:r>
        <w:rPr>
          <w:rFonts w:ascii="宋体" w:hAnsi="宋体" w:cs="Arial"/>
          <w:b/>
          <w:szCs w:val="21"/>
        </w:rPr>
        <w:t>四、对标的物提出异议的时间和办法</w:t>
      </w:r>
      <w:bookmarkEnd w:id="517"/>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10.1、甲方在验收过程中，应当于双方约定的检验期间内将标的物的数量或质量不符合约定的情形及处理方式以书面形式通知乙方。</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10.2、如甲方在验收期满后既不出具验收合格证明又未提出书面异议的视为乙方所交标的物符合合同规定。</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10.3、乙方应在收到甲方书面异议后七天内负责处理问题，否则将视为默认甲方提出的异议和处理意见。</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b/>
          <w:szCs w:val="21"/>
        </w:rPr>
      </w:pPr>
      <w:bookmarkStart w:id="518" w:name="_Toc13543217"/>
      <w:r>
        <w:rPr>
          <w:rFonts w:ascii="宋体" w:hAnsi="宋体" w:cs="Arial"/>
          <w:b/>
          <w:szCs w:val="21"/>
        </w:rPr>
        <w:t>五、合同价款和支付</w:t>
      </w:r>
      <w:bookmarkEnd w:id="518"/>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11.1、本合同的结算货币为人民币，单位元。</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11.2、乙方应按照双方签订的合同规定交货并在合同特殊条款规定的期限内持下列单据结算货款：</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11.2.1、合格的销售发票。</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11.2.2、甲方盖章签收后的送货回单和验收合格证明。</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11.3、甲方应按合同特殊条款规定的期限和方式付款。</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11.4、根据现行税法规定与本合同有关的一切税费对甲方征收的由甲方承担，对乙方征收的由乙方承担。</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b/>
          <w:szCs w:val="21"/>
        </w:rPr>
      </w:pPr>
      <w:bookmarkStart w:id="519" w:name="_Toc13543218"/>
      <w:r>
        <w:rPr>
          <w:rFonts w:ascii="宋体" w:hAnsi="宋体" w:cs="Arial"/>
          <w:b/>
          <w:szCs w:val="21"/>
        </w:rPr>
        <w:t>六、违约责任</w:t>
      </w:r>
      <w:bookmarkEnd w:id="519"/>
    </w:p>
    <w:p>
      <w:pPr>
        <w:pStyle w:val="12"/>
        <w:keepNext w:val="0"/>
        <w:keepLines w:val="0"/>
        <w:pageBreakBefore w:val="0"/>
        <w:widowControl w:val="0"/>
        <w:kinsoku/>
        <w:wordWrap/>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合同一方不履行合同义务或者履行合同义务不符合约定的，应当承担继续履行、采取补救措施或者赔偿损失等违约责任。</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b/>
          <w:szCs w:val="21"/>
        </w:rPr>
      </w:pPr>
      <w:r>
        <w:rPr>
          <w:rFonts w:ascii="宋体" w:hAnsi="宋体" w:cs="Arial"/>
          <w:b/>
          <w:szCs w:val="21"/>
        </w:rPr>
        <w:t>12、甲方违约责任</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12.1、甲方逾期付款的应按照逾期付款金额的每天万分之</w:t>
      </w:r>
      <w:r>
        <w:rPr>
          <w:rFonts w:hint="eastAsia" w:ascii="宋体" w:hAnsi="宋体" w:cs="Arial"/>
          <w:b w:val="0"/>
          <w:sz w:val="21"/>
          <w:szCs w:val="21"/>
        </w:rPr>
        <w:t>五</w:t>
      </w:r>
      <w:r>
        <w:rPr>
          <w:rFonts w:ascii="宋体" w:hAnsi="宋体" w:cs="Arial"/>
          <w:b w:val="0"/>
          <w:sz w:val="21"/>
          <w:szCs w:val="21"/>
        </w:rPr>
        <w:t>支付逾期付款违约金。</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12.</w:t>
      </w:r>
      <w:r>
        <w:rPr>
          <w:rFonts w:hint="eastAsia" w:ascii="宋体" w:hAnsi="宋体" w:cs="Arial"/>
          <w:b w:val="0"/>
          <w:sz w:val="21"/>
          <w:szCs w:val="21"/>
        </w:rPr>
        <w:t>2</w:t>
      </w:r>
      <w:r>
        <w:rPr>
          <w:rFonts w:ascii="宋体" w:hAnsi="宋体" w:cs="Arial"/>
          <w:b w:val="0"/>
          <w:sz w:val="21"/>
          <w:szCs w:val="21"/>
        </w:rPr>
        <w:t>、甲方违反合同规定，拒绝接收乙方交付的合格标的物，应当承担乙方由此造成的损失。</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b/>
          <w:szCs w:val="21"/>
        </w:rPr>
      </w:pPr>
      <w:r>
        <w:rPr>
          <w:rFonts w:ascii="宋体" w:hAnsi="宋体" w:cs="Arial"/>
          <w:b/>
          <w:szCs w:val="21"/>
        </w:rPr>
        <w:t>13、乙方违约责任</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13.1、乙方不能交货（逾期超过</w:t>
      </w:r>
      <w:r>
        <w:rPr>
          <w:rFonts w:hint="eastAsia" w:ascii="宋体" w:hAnsi="宋体" w:cs="Arial"/>
          <w:b w:val="0"/>
          <w:sz w:val="21"/>
          <w:szCs w:val="21"/>
        </w:rPr>
        <w:t>五</w:t>
      </w:r>
      <w:r>
        <w:rPr>
          <w:rFonts w:ascii="宋体" w:hAnsi="宋体" w:cs="Arial"/>
          <w:b w:val="0"/>
          <w:sz w:val="21"/>
          <w:szCs w:val="21"/>
        </w:rPr>
        <w:t>天视为不能交货），或交货不合格从而影响甲方按期正常使用的，应向甲方偿付合同总价款5%的违约金，违约金不足以补偿损失的甲方有权要求乙方补足。</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13.2、乙方逾期交货的，应在发货前与甲方</w:t>
      </w:r>
      <w:r>
        <w:rPr>
          <w:rFonts w:hint="eastAsia" w:ascii="宋体" w:hAnsi="宋体" w:cs="Arial"/>
          <w:b w:val="0"/>
          <w:sz w:val="21"/>
          <w:szCs w:val="21"/>
        </w:rPr>
        <w:t>联系</w:t>
      </w:r>
      <w:r>
        <w:rPr>
          <w:rFonts w:ascii="宋体" w:hAnsi="宋体" w:cs="Arial"/>
          <w:b w:val="0"/>
          <w:sz w:val="21"/>
          <w:szCs w:val="21"/>
        </w:rPr>
        <w:t>，甲方仍需求的，乙方应立即发货并按</w:t>
      </w:r>
      <w:r>
        <w:rPr>
          <w:rFonts w:hint="eastAsia" w:ascii="宋体" w:hAnsi="宋体" w:cs="Arial"/>
          <w:b w:val="0"/>
          <w:sz w:val="21"/>
          <w:szCs w:val="21"/>
        </w:rPr>
        <w:t>5000元/</w:t>
      </w:r>
      <w:r>
        <w:rPr>
          <w:rFonts w:ascii="宋体" w:hAnsi="宋体" w:cs="Arial"/>
          <w:b w:val="0"/>
          <w:sz w:val="21"/>
          <w:szCs w:val="21"/>
        </w:rPr>
        <w:t>天</w:t>
      </w:r>
      <w:r>
        <w:rPr>
          <w:rFonts w:hint="eastAsia" w:ascii="宋体" w:hAnsi="宋体" w:cs="Arial"/>
          <w:b w:val="0"/>
          <w:sz w:val="21"/>
          <w:szCs w:val="21"/>
        </w:rPr>
        <w:t>的计</w:t>
      </w:r>
      <w:r>
        <w:rPr>
          <w:rFonts w:ascii="宋体" w:hAnsi="宋体" w:cs="Arial"/>
          <w:b w:val="0"/>
          <w:sz w:val="21"/>
          <w:szCs w:val="21"/>
        </w:rPr>
        <w:t>违约金，同时承担甲方因此遭致的损失费用。</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b/>
          <w:szCs w:val="21"/>
        </w:rPr>
      </w:pPr>
      <w:r>
        <w:rPr>
          <w:rFonts w:ascii="宋体" w:hAnsi="宋体" w:cs="Arial"/>
          <w:b/>
          <w:szCs w:val="21"/>
        </w:rPr>
        <w:t>14、不可抗力</w:t>
      </w:r>
    </w:p>
    <w:p>
      <w:pPr>
        <w:pStyle w:val="12"/>
        <w:keepNext w:val="0"/>
        <w:keepLines w:val="0"/>
        <w:pageBreakBefore w:val="0"/>
        <w:widowControl w:val="0"/>
        <w:kinsoku/>
        <w:wordWrap/>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14.1、因不可抗力不能履行合同的，根据不可抗力的影响，部分或者全部免除责任。但合同一方迟延履行后发生不可抗力的，不能免除责任。</w:t>
      </w:r>
    </w:p>
    <w:p>
      <w:pPr>
        <w:pStyle w:val="12"/>
        <w:keepNext w:val="0"/>
        <w:keepLines w:val="0"/>
        <w:pageBreakBefore w:val="0"/>
        <w:widowControl w:val="0"/>
        <w:kinsoku/>
        <w:wordWrap/>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14.2、合同一方因不可抗力不能履行合同的，应当及时通知对方，以减轻可能给对方造成的损失，并应当在合理期限内提供证明。</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b/>
          <w:szCs w:val="21"/>
        </w:rPr>
      </w:pPr>
      <w:bookmarkStart w:id="520" w:name="_Toc13543219"/>
      <w:r>
        <w:rPr>
          <w:rFonts w:ascii="宋体" w:hAnsi="宋体" w:cs="Arial"/>
          <w:b/>
          <w:szCs w:val="21"/>
        </w:rPr>
        <w:t>七、索赔</w:t>
      </w:r>
      <w:bookmarkEnd w:id="520"/>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15.1、甲方有权根据当地产品质量检验机构或其它有权部门出具的检验证书向乙方提出索赔。</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15.2、在本合同规定的检验期和质量保证期内，如果乙方对甲方提出的索赔或差异有责任，则乙方应按甲方同意的下列一种或多种方式解决索赔事宜：</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15.2.1、乙方同意退货，并按合同规定的货币将货款退还给甲方，并承担由此发生的一切损失和费用，包括利息、银行手续费、运费、保险费、检验费、仓储费、装卸费以及为保护退回标的物所需的其它必要费用。</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15.2.2、根据标的物的低劣程度、损坏程度以及甲方遭受损失的数额，经双方协商确定降低标的物的价格。</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15.2.3、用符合规格、质量和性能要求的新零件、部件或标的物来更换有缺陷的部分或修补缺陷部分，乙方应承担一切费用和风险并负担甲方所发生的一切直接费用。同时，乙方应按合同规定，相应延长修补或被更换部件或标的物的质量保证期。</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15.3、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w:t>
      </w:r>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15.4、甲方提出索赔的书面材料应报政府招标管理部门备案。乙方同意的索赔方案应报政府招标管理部门审核。</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b/>
          <w:szCs w:val="21"/>
        </w:rPr>
      </w:pPr>
      <w:bookmarkStart w:id="521" w:name="_Toc13543221"/>
      <w:r>
        <w:rPr>
          <w:rFonts w:ascii="宋体" w:hAnsi="宋体" w:cs="Arial"/>
          <w:b/>
          <w:szCs w:val="21"/>
        </w:rPr>
        <w:t>八、合同的解除和转让</w:t>
      </w:r>
      <w:bookmarkEnd w:id="521"/>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Arial"/>
          <w:szCs w:val="21"/>
        </w:rPr>
      </w:pPr>
      <w:r>
        <w:rPr>
          <w:rFonts w:ascii="宋体" w:hAnsi="宋体" w:cs="Arial"/>
          <w:szCs w:val="21"/>
        </w:rPr>
        <w:t>17、合同的解除</w:t>
      </w:r>
    </w:p>
    <w:p>
      <w:pPr>
        <w:pStyle w:val="12"/>
        <w:keepNext w:val="0"/>
        <w:keepLines w:val="0"/>
        <w:pageBreakBefore w:val="0"/>
        <w:widowControl w:val="0"/>
        <w:kinsoku/>
        <w:wordWrap/>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17.1、甲方和乙方协商一致，可以解除合同。</w:t>
      </w:r>
    </w:p>
    <w:p>
      <w:pPr>
        <w:pStyle w:val="12"/>
        <w:keepNext w:val="0"/>
        <w:keepLines w:val="0"/>
        <w:pageBreakBefore w:val="0"/>
        <w:widowControl w:val="0"/>
        <w:kinsoku/>
        <w:wordWrap/>
        <w:topLinePunct w:val="0"/>
        <w:autoSpaceDE/>
        <w:autoSpaceDN/>
        <w:bidi w:val="0"/>
        <w:snapToGrid w:val="0"/>
        <w:spacing w:line="380" w:lineRule="exact"/>
        <w:ind w:firstLineChars="200"/>
        <w:textAlignment w:val="auto"/>
        <w:rPr>
          <w:rFonts w:ascii="宋体" w:hAnsi="宋体" w:cs="Arial"/>
          <w:b w:val="0"/>
          <w:sz w:val="21"/>
          <w:szCs w:val="21"/>
        </w:rPr>
      </w:pPr>
      <w:r>
        <w:rPr>
          <w:rFonts w:ascii="宋体" w:hAnsi="宋体" w:cs="Arial"/>
          <w:b w:val="0"/>
          <w:sz w:val="21"/>
          <w:szCs w:val="21"/>
        </w:rPr>
        <w:t>17.2、有下列情形之一，合同一方可以解除合同：</w:t>
      </w:r>
    </w:p>
    <w:p>
      <w:pPr>
        <w:pStyle w:val="12"/>
        <w:keepNext w:val="0"/>
        <w:keepLines w:val="0"/>
        <w:pageBreakBefore w:val="0"/>
        <w:widowControl w:val="0"/>
        <w:kinsoku/>
        <w:wordWrap/>
        <w:topLinePunct w:val="0"/>
        <w:autoSpaceDE/>
        <w:autoSpaceDN/>
        <w:bidi w:val="0"/>
        <w:snapToGrid w:val="0"/>
        <w:spacing w:line="380" w:lineRule="exact"/>
        <w:ind w:firstLineChars="200"/>
        <w:textAlignment w:val="auto"/>
        <w:rPr>
          <w:rFonts w:ascii="宋体" w:hAnsi="宋体" w:cs="宋体"/>
          <w:b w:val="0"/>
          <w:sz w:val="21"/>
          <w:szCs w:val="21"/>
        </w:rPr>
      </w:pPr>
      <w:r>
        <w:rPr>
          <w:rFonts w:ascii="宋体" w:hAnsi="宋体" w:cs="Arial"/>
          <w:b w:val="0"/>
          <w:sz w:val="21"/>
          <w:szCs w:val="21"/>
        </w:rPr>
        <w:t>17.2.1、</w:t>
      </w:r>
      <w:r>
        <w:rPr>
          <w:rFonts w:hint="eastAsia" w:ascii="宋体" w:hAnsi="宋体" w:cs="宋体"/>
          <w:b w:val="0"/>
          <w:sz w:val="21"/>
          <w:szCs w:val="21"/>
        </w:rPr>
        <w:t>因不可抗力致使不能实现合同目的，未受不可抗力影响的一方有权解除合同。</w:t>
      </w:r>
    </w:p>
    <w:p>
      <w:pPr>
        <w:pStyle w:val="12"/>
        <w:keepNext w:val="0"/>
        <w:keepLines w:val="0"/>
        <w:pageBreakBefore w:val="0"/>
        <w:widowControl w:val="0"/>
        <w:kinsoku/>
        <w:wordWrap/>
        <w:topLinePunct w:val="0"/>
        <w:autoSpaceDE/>
        <w:autoSpaceDN/>
        <w:bidi w:val="0"/>
        <w:snapToGrid w:val="0"/>
        <w:spacing w:line="380" w:lineRule="exact"/>
        <w:ind w:firstLineChars="200"/>
        <w:textAlignment w:val="auto"/>
        <w:rPr>
          <w:rFonts w:ascii="宋体" w:hAnsi="宋体" w:cs="宋体"/>
          <w:b w:val="0"/>
          <w:sz w:val="21"/>
          <w:szCs w:val="21"/>
        </w:rPr>
      </w:pPr>
      <w:r>
        <w:rPr>
          <w:rFonts w:hint="eastAsia" w:ascii="宋体" w:hAnsi="宋体" w:cs="宋体"/>
          <w:b w:val="0"/>
          <w:sz w:val="21"/>
          <w:szCs w:val="21"/>
        </w:rPr>
        <w:t>17.2.2、因合同一方违约导致合同不能履行，另一方有权解除合同。</w:t>
      </w:r>
    </w:p>
    <w:p>
      <w:pPr>
        <w:pStyle w:val="12"/>
        <w:keepNext w:val="0"/>
        <w:keepLines w:val="0"/>
        <w:pageBreakBefore w:val="0"/>
        <w:widowControl w:val="0"/>
        <w:kinsoku/>
        <w:wordWrap/>
        <w:topLinePunct w:val="0"/>
        <w:autoSpaceDE/>
        <w:autoSpaceDN/>
        <w:bidi w:val="0"/>
        <w:snapToGrid w:val="0"/>
        <w:spacing w:line="380" w:lineRule="exact"/>
        <w:ind w:firstLineChars="200"/>
        <w:textAlignment w:val="auto"/>
        <w:rPr>
          <w:rFonts w:ascii="宋体" w:hAnsi="宋体" w:cs="宋体"/>
          <w:b w:val="0"/>
          <w:sz w:val="21"/>
          <w:szCs w:val="21"/>
        </w:rPr>
      </w:pPr>
      <w:r>
        <w:rPr>
          <w:rFonts w:hint="eastAsia" w:ascii="宋体" w:hAnsi="宋体" w:cs="宋体"/>
          <w:b w:val="0"/>
          <w:sz w:val="21"/>
          <w:szCs w:val="21"/>
        </w:rPr>
        <w:t>17.3、有权解除合同的一方，应当在违约事实或不可抗力发生之后三十天内书面通知对方以主张解除合同，合同在书面通知到达对方时解除。</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宋体"/>
          <w:b/>
          <w:szCs w:val="21"/>
        </w:rPr>
      </w:pPr>
      <w:r>
        <w:rPr>
          <w:rFonts w:hint="eastAsia" w:ascii="宋体" w:hAnsi="宋体" w:cs="宋体"/>
          <w:b/>
          <w:szCs w:val="21"/>
        </w:rPr>
        <w:t>18、合同的转让</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宋体"/>
          <w:szCs w:val="21"/>
        </w:rPr>
      </w:pPr>
      <w:r>
        <w:rPr>
          <w:rFonts w:hint="eastAsia" w:ascii="宋体" w:hAnsi="宋体" w:cs="宋体"/>
          <w:szCs w:val="21"/>
        </w:rPr>
        <w:t>合同的部分和全部都不得转让。</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宋体"/>
          <w:b/>
          <w:szCs w:val="21"/>
        </w:rPr>
      </w:pPr>
      <w:bookmarkStart w:id="522" w:name="_Toc13543222"/>
      <w:r>
        <w:rPr>
          <w:rFonts w:hint="eastAsia" w:ascii="宋体" w:hAnsi="宋体" w:cs="宋体"/>
          <w:b/>
          <w:szCs w:val="21"/>
        </w:rPr>
        <w:t>九、合同的生效</w:t>
      </w:r>
      <w:bookmarkEnd w:id="522"/>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宋体"/>
          <w:szCs w:val="21"/>
        </w:rPr>
      </w:pPr>
      <w:r>
        <w:rPr>
          <w:rFonts w:hint="eastAsia" w:ascii="宋体" w:hAnsi="宋体" w:cs="宋体"/>
          <w:szCs w:val="21"/>
        </w:rPr>
        <w:t>本合同在双方签字盖章后，经政府采购管理机构备案后生效。</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宋体"/>
          <w:b/>
          <w:szCs w:val="21"/>
        </w:rPr>
      </w:pPr>
      <w:bookmarkStart w:id="523" w:name="_Toc13543223"/>
      <w:r>
        <w:rPr>
          <w:rFonts w:hint="eastAsia" w:ascii="宋体" w:hAnsi="宋体" w:cs="宋体"/>
          <w:b/>
          <w:szCs w:val="21"/>
        </w:rPr>
        <w:t>十、争议解决</w:t>
      </w:r>
      <w:bookmarkEnd w:id="523"/>
    </w:p>
    <w:p>
      <w:pPr>
        <w:pStyle w:val="12"/>
        <w:keepNext w:val="0"/>
        <w:keepLines w:val="0"/>
        <w:pageBreakBefore w:val="0"/>
        <w:widowControl w:val="0"/>
        <w:kinsoku/>
        <w:wordWrap/>
        <w:overflowPunct w:val="0"/>
        <w:topLinePunct w:val="0"/>
        <w:autoSpaceDE/>
        <w:autoSpaceDN/>
        <w:bidi w:val="0"/>
        <w:snapToGrid w:val="0"/>
        <w:spacing w:line="380" w:lineRule="exact"/>
        <w:ind w:firstLineChars="200"/>
        <w:textAlignment w:val="auto"/>
        <w:rPr>
          <w:rFonts w:ascii="宋体" w:hAnsi="宋体" w:cs="宋体"/>
          <w:b w:val="0"/>
          <w:sz w:val="21"/>
          <w:szCs w:val="21"/>
        </w:rPr>
      </w:pPr>
      <w:r>
        <w:rPr>
          <w:rFonts w:hint="eastAsia" w:ascii="宋体" w:hAnsi="宋体" w:cs="宋体"/>
          <w:b w:val="0"/>
          <w:sz w:val="21"/>
          <w:szCs w:val="21"/>
        </w:rPr>
        <w:t>甲乙双方因合同发生争议，应在招标方的主持下进行调解，协商不成，任何一方可以向甲方所在地人民法院起诉。</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宋体"/>
          <w:b/>
          <w:szCs w:val="21"/>
        </w:rPr>
      </w:pPr>
      <w:bookmarkStart w:id="524" w:name="_Toc13543224"/>
      <w:r>
        <w:rPr>
          <w:rFonts w:hint="eastAsia" w:ascii="宋体" w:hAnsi="宋体" w:cs="宋体"/>
          <w:b/>
          <w:szCs w:val="21"/>
        </w:rPr>
        <w:t>十一、附则</w:t>
      </w:r>
      <w:bookmarkEnd w:id="524"/>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宋体"/>
          <w:szCs w:val="21"/>
        </w:rPr>
      </w:pPr>
      <w:r>
        <w:rPr>
          <w:rFonts w:hint="eastAsia" w:ascii="宋体" w:hAnsi="宋体"/>
          <w:color w:val="000000"/>
          <w:szCs w:val="21"/>
        </w:rPr>
        <w:t>本合同一式五份，以中文书写，双方各执两份，一份用于备案。</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宋体"/>
          <w:b/>
          <w:szCs w:val="21"/>
        </w:rPr>
      </w:pPr>
      <w:r>
        <w:rPr>
          <w:rFonts w:hint="eastAsia" w:ascii="宋体" w:hAnsi="宋体" w:cs="宋体"/>
          <w:b/>
          <w:szCs w:val="21"/>
        </w:rPr>
        <w:t>十二、未尽事宜</w:t>
      </w:r>
    </w:p>
    <w:p>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ascii="宋体" w:hAnsi="宋体" w:cs="宋体"/>
          <w:szCs w:val="21"/>
        </w:rPr>
      </w:pPr>
      <w:r>
        <w:rPr>
          <w:rFonts w:hint="eastAsia" w:ascii="宋体" w:hAnsi="宋体" w:cs="宋体"/>
          <w:szCs w:val="21"/>
        </w:rPr>
        <w:t>本合同未尽事宜应按《中华人民共和国合同法》、《中华人民共和国产品质量法》、《中华人民共和国政府采购法》之规定解释。</w:t>
      </w:r>
    </w:p>
    <w:p>
      <w:pPr>
        <w:pStyle w:val="117"/>
        <w:snapToGrid w:val="0"/>
        <w:spacing w:line="240" w:lineRule="auto"/>
        <w:ind w:firstLine="422"/>
        <w:jc w:val="center"/>
        <w:outlineLvl w:val="0"/>
        <w:rPr>
          <w:rFonts w:hAnsi="宋体" w:cs="宋体"/>
          <w:b/>
          <w:sz w:val="30"/>
          <w:szCs w:val="30"/>
        </w:rPr>
      </w:pPr>
      <w:bookmarkStart w:id="525" w:name="_Toc13642117"/>
      <w:bookmarkStart w:id="526" w:name="_Toc13889377"/>
      <w:r>
        <w:rPr>
          <w:rFonts w:hAnsi="宋体" w:cs="宋体"/>
          <w:b/>
          <w:sz w:val="21"/>
          <w:szCs w:val="21"/>
        </w:rPr>
        <w:br w:type="page"/>
      </w:r>
      <w:bookmarkStart w:id="527" w:name="_Toc386925396"/>
      <w:bookmarkStart w:id="528" w:name="_Toc263938160"/>
      <w:r>
        <w:rPr>
          <w:rFonts w:hAnsi="宋体" w:cs="宋体"/>
          <w:b/>
          <w:sz w:val="30"/>
          <w:szCs w:val="30"/>
        </w:rPr>
        <w:t xml:space="preserve"> </w:t>
      </w:r>
      <w:bookmarkEnd w:id="525"/>
      <w:bookmarkEnd w:id="526"/>
      <w:r>
        <w:rPr>
          <w:rFonts w:hAnsi="宋体" w:cs="宋体"/>
          <w:b/>
          <w:sz w:val="30"/>
          <w:szCs w:val="30"/>
        </w:rPr>
        <w:t xml:space="preserve"> </w:t>
      </w:r>
      <w:bookmarkStart w:id="529" w:name="_Toc511142515"/>
      <w:r>
        <w:rPr>
          <w:rFonts w:hAnsi="宋体" w:cs="宋体"/>
          <w:b/>
          <w:sz w:val="30"/>
          <w:szCs w:val="30"/>
        </w:rPr>
        <w:t>（二）合同专用条款</w:t>
      </w:r>
      <w:bookmarkEnd w:id="527"/>
      <w:bookmarkEnd w:id="528"/>
      <w:bookmarkEnd w:id="529"/>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int="eastAsia" w:hAnsi="宋体" w:eastAsia="宋体" w:cs="宋体"/>
          <w:sz w:val="21"/>
          <w:szCs w:val="21"/>
          <w:lang w:eastAsia="zh-CN"/>
        </w:rPr>
      </w:pPr>
      <w:r>
        <w:rPr>
          <w:rFonts w:hAnsi="宋体" w:cs="宋体"/>
          <w:sz w:val="21"/>
          <w:szCs w:val="21"/>
        </w:rPr>
        <w:t>甲方：</w:t>
      </w:r>
      <w:r>
        <w:rPr>
          <w:rFonts w:hint="eastAsia" w:hAnsi="宋体" w:cs="宋体"/>
          <w:sz w:val="21"/>
          <w:szCs w:val="21"/>
        </w:rPr>
        <w:t>盐城市大丰</w:t>
      </w:r>
      <w:r>
        <w:rPr>
          <w:rFonts w:hint="eastAsia" w:hAnsi="宋体" w:cs="宋体"/>
          <w:sz w:val="21"/>
          <w:szCs w:val="21"/>
          <w:lang w:eastAsia="zh-CN"/>
        </w:rPr>
        <w:t>中医院</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乙方：中标单位名称</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甲、乙双方根据公开招标的中标结果及中标通知书，签署本合同。</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一、合同内容</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1.项目名称：</w:t>
      </w:r>
      <w:r>
        <w:rPr>
          <w:rFonts w:hAnsi="宋体" w:cs="宋体"/>
          <w:sz w:val="21"/>
          <w:szCs w:val="21"/>
          <w:u w:val="single"/>
        </w:rPr>
        <w:t xml:space="preserve"> </w:t>
      </w:r>
      <w:r>
        <w:rPr>
          <w:rFonts w:hint="eastAsia" w:ascii="宋体" w:hAnsi="宋体"/>
          <w:b w:val="0"/>
          <w:bCs/>
          <w:color w:val="000000"/>
          <w:sz w:val="21"/>
          <w:szCs w:val="21"/>
          <w:u w:val="single"/>
          <w:lang w:eastAsia="zh-CN"/>
        </w:rPr>
        <w:t>大丰中医院体质辨识仪、四诊仪、经络</w:t>
      </w:r>
      <w:r>
        <w:rPr>
          <w:rFonts w:hint="eastAsia" w:hAnsi="宋体"/>
          <w:b w:val="0"/>
          <w:bCs/>
          <w:color w:val="000000"/>
          <w:sz w:val="21"/>
          <w:szCs w:val="21"/>
          <w:u w:val="single"/>
          <w:lang w:eastAsia="zh-CN"/>
        </w:rPr>
        <w:t>监</w:t>
      </w:r>
      <w:r>
        <w:rPr>
          <w:rFonts w:hint="eastAsia" w:ascii="宋体" w:hAnsi="宋体"/>
          <w:b w:val="0"/>
          <w:bCs/>
          <w:color w:val="000000"/>
          <w:sz w:val="21"/>
          <w:szCs w:val="21"/>
          <w:u w:val="single"/>
          <w:lang w:eastAsia="zh-CN"/>
        </w:rPr>
        <w:t>测仪采购项目</w:t>
      </w:r>
      <w:r>
        <w:rPr>
          <w:rFonts w:hAnsi="宋体" w:cs="宋体"/>
          <w:sz w:val="21"/>
          <w:szCs w:val="21"/>
          <w:u w:val="single"/>
        </w:rPr>
        <w:t xml:space="preserve"> </w:t>
      </w:r>
      <w:r>
        <w:rPr>
          <w:rFonts w:hAnsi="宋体" w:cs="宋体"/>
          <w:sz w:val="21"/>
          <w:szCs w:val="21"/>
        </w:rPr>
        <w:t xml:space="preserve"> </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2.项目内容：本项目招标文件规定的全部工作内容</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二、合同金额</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1、本合同金额为人民币（大写）：</w:t>
      </w:r>
      <w:r>
        <w:rPr>
          <w:rFonts w:hAnsi="宋体" w:cs="宋体"/>
          <w:sz w:val="21"/>
          <w:szCs w:val="21"/>
          <w:u w:val="single"/>
        </w:rPr>
        <w:t xml:space="preserve">            </w:t>
      </w:r>
      <w:r>
        <w:rPr>
          <w:rFonts w:hAnsi="宋体" w:cs="宋体"/>
          <w:sz w:val="21"/>
          <w:szCs w:val="21"/>
        </w:rPr>
        <w:t>元（￥</w:t>
      </w:r>
      <w:r>
        <w:rPr>
          <w:rFonts w:hAnsi="宋体" w:cs="宋体"/>
          <w:sz w:val="21"/>
          <w:szCs w:val="21"/>
          <w:u w:val="single"/>
        </w:rPr>
        <w:t xml:space="preserve">         </w:t>
      </w:r>
      <w:r>
        <w:rPr>
          <w:rFonts w:hAnsi="宋体" w:cs="宋体"/>
          <w:sz w:val="21"/>
          <w:szCs w:val="21"/>
        </w:rPr>
        <w:t>元）。</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三、技术性能和技术资料</w:t>
      </w:r>
    </w:p>
    <w:p>
      <w:pPr>
        <w:keepNext w:val="0"/>
        <w:keepLines w:val="0"/>
        <w:pageBreakBefore w:val="0"/>
        <w:widowControl w:val="0"/>
        <w:kinsoku/>
        <w:wordWrap/>
        <w:topLinePunct w:val="0"/>
        <w:autoSpaceDE/>
        <w:autoSpaceDN/>
        <w:bidi w:val="0"/>
        <w:adjustRightInd/>
        <w:spacing w:line="380" w:lineRule="exact"/>
        <w:ind w:firstLine="420" w:firstLineChars="200"/>
        <w:textAlignment w:val="auto"/>
        <w:rPr>
          <w:rFonts w:ascii="宋体" w:hAnsi="宋体" w:cs="宋体"/>
          <w:szCs w:val="21"/>
        </w:rPr>
      </w:pPr>
      <w:r>
        <w:rPr>
          <w:rFonts w:hint="eastAsia" w:ascii="宋体" w:hAnsi="宋体" w:cs="宋体"/>
          <w:szCs w:val="21"/>
        </w:rPr>
        <w:t>1. 乙方所提供货物和服务的技术规格、内容应与招标文件规定的技术规范和需要相一致；符合国家有关部门最新颁布的标准及规范。</w:t>
      </w:r>
    </w:p>
    <w:p>
      <w:pPr>
        <w:pStyle w:val="21"/>
        <w:keepNext w:val="0"/>
        <w:keepLines w:val="0"/>
        <w:pageBreakBefore w:val="0"/>
        <w:widowControl w:val="0"/>
        <w:kinsoku/>
        <w:wordWrap/>
        <w:topLinePunct w:val="0"/>
        <w:autoSpaceDE/>
        <w:autoSpaceDN/>
        <w:bidi w:val="0"/>
        <w:adjustRightInd/>
        <w:snapToGrid w:val="0"/>
        <w:spacing w:before="120" w:after="120" w:line="380" w:lineRule="exact"/>
        <w:ind w:left="1" w:firstLine="420" w:firstLineChars="200"/>
        <w:textAlignment w:val="auto"/>
        <w:rPr>
          <w:rFonts w:hAnsi="宋体" w:cs="宋体"/>
          <w:sz w:val="21"/>
          <w:szCs w:val="21"/>
        </w:rPr>
      </w:pPr>
      <w:r>
        <w:rPr>
          <w:rFonts w:hAnsi="宋体" w:cs="宋体"/>
          <w:sz w:val="21"/>
          <w:szCs w:val="21"/>
        </w:rPr>
        <w:t>2. 没有招标人事先书面同意，乙方不得将由招标人提供的有关合同或任何合同条文、规格、计划、图纸、样品或资料提供给与履行本合同无关的任何其他人。即使向履行本合同有关的人员提供，也应注意保密并限于履行合同的必需范围。</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四、知识产权</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乙方应保证所提供的货物及服务或其任何一部分均不会侵犯任何第三方的知识产权，乙方对买方提供的业务资料、技术资料应严格保密，不得扩散。乙方应保证买方在使用、接受本合同货物和服务或其任何一部分时不受乙方及第三方提出侵犯其专利权、版权、商标权和工业设计权等知识产权的起诉。一旦出现侵权，由乙方负全部责任。</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五、产权担保</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乙方保证所交付的货物的所有权完全属于乙方且无任何抵押、查封等产权瑕疵。</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六、履约保证金</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乙方交纳人民币（项目中标价的</w:t>
      </w:r>
      <w:r>
        <w:rPr>
          <w:rFonts w:hAnsi="宋体" w:cs="宋体"/>
          <w:sz w:val="21"/>
          <w:szCs w:val="21"/>
          <w:u w:val="single"/>
        </w:rPr>
        <w:t>10</w:t>
      </w:r>
      <w:r>
        <w:rPr>
          <w:rFonts w:hAnsi="宋体" w:cs="宋体"/>
          <w:sz w:val="21"/>
          <w:szCs w:val="21"/>
        </w:rPr>
        <w:t>%）元作为本合同的履约保证金，履约保证金在完成全部项目经验收合格且连续运行无故障6个月后一周内无息退还。</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七、转包或分包</w:t>
      </w:r>
    </w:p>
    <w:p>
      <w:pPr>
        <w:keepNext w:val="0"/>
        <w:keepLines w:val="0"/>
        <w:pageBreakBefore w:val="0"/>
        <w:widowControl w:val="0"/>
        <w:kinsoku/>
        <w:wordWrap/>
        <w:topLinePunct w:val="0"/>
        <w:autoSpaceDE/>
        <w:autoSpaceDN/>
        <w:bidi w:val="0"/>
        <w:adjustRightInd/>
        <w:snapToGrid w:val="0"/>
        <w:spacing w:beforeLines="50" w:afterLines="50" w:line="380" w:lineRule="exact"/>
        <w:ind w:firstLine="420" w:firstLineChars="200"/>
        <w:textAlignment w:val="auto"/>
        <w:rPr>
          <w:rFonts w:ascii="宋体" w:hAnsi="宋体" w:cs="宋体"/>
          <w:szCs w:val="21"/>
        </w:rPr>
      </w:pPr>
      <w:r>
        <w:rPr>
          <w:rFonts w:hint="eastAsia" w:ascii="宋体" w:hAnsi="宋体" w:cs="宋体"/>
          <w:szCs w:val="21"/>
        </w:rPr>
        <w:t>1.本合同范围的货物，应由乙方直接供应，不得转让他人供应；</w:t>
      </w:r>
    </w:p>
    <w:p>
      <w:pPr>
        <w:keepNext w:val="0"/>
        <w:keepLines w:val="0"/>
        <w:pageBreakBefore w:val="0"/>
        <w:widowControl w:val="0"/>
        <w:kinsoku/>
        <w:wordWrap/>
        <w:topLinePunct w:val="0"/>
        <w:autoSpaceDE/>
        <w:autoSpaceDN/>
        <w:bidi w:val="0"/>
        <w:adjustRightInd/>
        <w:snapToGrid w:val="0"/>
        <w:spacing w:beforeLines="50" w:afterLines="50" w:line="380" w:lineRule="exact"/>
        <w:ind w:firstLine="420" w:firstLineChars="200"/>
        <w:textAlignment w:val="auto"/>
        <w:rPr>
          <w:rFonts w:ascii="宋体" w:hAnsi="宋体" w:cs="宋体"/>
          <w:szCs w:val="21"/>
        </w:rPr>
      </w:pPr>
      <w:r>
        <w:rPr>
          <w:rFonts w:hint="eastAsia" w:ascii="宋体" w:hAnsi="宋体" w:cs="宋体"/>
          <w:szCs w:val="21"/>
        </w:rPr>
        <w:t>2.除非得到招标人的书面同意，乙方不得将本合同范围的货物全部或部分分包给他人供应；</w:t>
      </w:r>
    </w:p>
    <w:p>
      <w:pPr>
        <w:keepNext w:val="0"/>
        <w:keepLines w:val="0"/>
        <w:pageBreakBefore w:val="0"/>
        <w:widowControl w:val="0"/>
        <w:kinsoku/>
        <w:wordWrap/>
        <w:topLinePunct w:val="0"/>
        <w:autoSpaceDE/>
        <w:autoSpaceDN/>
        <w:bidi w:val="0"/>
        <w:adjustRightInd/>
        <w:snapToGrid w:val="0"/>
        <w:spacing w:beforeLines="50" w:afterLines="50" w:line="380" w:lineRule="exact"/>
        <w:ind w:firstLine="420" w:firstLineChars="200"/>
        <w:textAlignment w:val="auto"/>
        <w:rPr>
          <w:rFonts w:ascii="宋体" w:hAnsi="宋体" w:cs="宋体"/>
          <w:szCs w:val="21"/>
        </w:rPr>
      </w:pPr>
      <w:r>
        <w:rPr>
          <w:rFonts w:hint="eastAsia" w:ascii="宋体" w:hAnsi="宋体" w:cs="宋体"/>
          <w:szCs w:val="21"/>
        </w:rPr>
        <w:t>3.如有转让和未经招标人同意的分包行为，招标人有权解除合同，没收履约保证金并追究乙方的违约责任。</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八、质保金</w:t>
      </w:r>
    </w:p>
    <w:p>
      <w:pPr>
        <w:pStyle w:val="21"/>
        <w:keepNext w:val="0"/>
        <w:keepLines w:val="0"/>
        <w:pageBreakBefore w:val="0"/>
        <w:widowControl w:val="0"/>
        <w:kinsoku/>
        <w:wordWrap/>
        <w:topLinePunct w:val="0"/>
        <w:autoSpaceDE/>
        <w:autoSpaceDN/>
        <w:bidi w:val="0"/>
        <w:adjustRightInd/>
        <w:snapToGrid w:val="0"/>
        <w:spacing w:before="120" w:after="120" w:line="380" w:lineRule="exact"/>
        <w:ind w:left="1" w:firstLine="420" w:firstLineChars="200"/>
        <w:textAlignment w:val="auto"/>
        <w:rPr>
          <w:rFonts w:hAnsi="宋体" w:cs="宋体"/>
          <w:sz w:val="21"/>
          <w:szCs w:val="21"/>
        </w:rPr>
      </w:pPr>
      <w:r>
        <w:rPr>
          <w:rFonts w:hAnsi="宋体" w:cs="宋体"/>
          <w:sz w:val="21"/>
          <w:szCs w:val="21"/>
        </w:rPr>
        <w:t>1.</w:t>
      </w:r>
      <w:r>
        <w:rPr>
          <w:rFonts w:hAnsi="宋体" w:cs="宋体"/>
          <w:b/>
          <w:bCs/>
          <w:color w:val="auto"/>
          <w:sz w:val="21"/>
          <w:szCs w:val="21"/>
        </w:rPr>
        <w:t>本项目质保金为项目合同价款的</w:t>
      </w:r>
      <w:r>
        <w:rPr>
          <w:rFonts w:hint="eastAsia" w:hAnsi="宋体" w:cs="宋体"/>
          <w:b/>
          <w:bCs/>
          <w:color w:val="auto"/>
          <w:sz w:val="21"/>
          <w:szCs w:val="21"/>
          <w:u w:val="single"/>
        </w:rPr>
        <w:t>1</w:t>
      </w:r>
      <w:r>
        <w:rPr>
          <w:rFonts w:hint="eastAsia" w:hAnsi="宋体" w:cs="宋体"/>
          <w:b/>
          <w:bCs/>
          <w:color w:val="auto"/>
          <w:sz w:val="21"/>
          <w:szCs w:val="21"/>
          <w:u w:val="single"/>
          <w:lang w:val="en-US" w:eastAsia="zh-CN"/>
        </w:rPr>
        <w:t>0</w:t>
      </w:r>
      <w:r>
        <w:rPr>
          <w:rFonts w:hAnsi="宋体" w:cs="宋体"/>
          <w:b/>
          <w:bCs/>
          <w:color w:val="auto"/>
          <w:sz w:val="21"/>
          <w:szCs w:val="21"/>
          <w:u w:val="single"/>
        </w:rPr>
        <w:t>%</w:t>
      </w:r>
      <w:r>
        <w:rPr>
          <w:rFonts w:hAnsi="宋体" w:cs="宋体"/>
          <w:sz w:val="21"/>
          <w:szCs w:val="21"/>
        </w:rPr>
        <w:t>。质保金的返还：与项目付款相一致。</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九、项目完成时间、交货方式及交货地点</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1. 项目完成时间：（投标人承诺时间）。</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2. 交货方式：</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（1）乙方交货前应对产品作出全面检查和对验收文件进行整理，并列出清单，作为招标人收货验收和使用的技术条件依据，检验的结果应随货物交招标人。</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（2）货物、材料运抵现场后，甲方对乙方提交的货物依据招标文件上的技术规格要求和国家有关质量标准进行现场初步验收，外观、说明书符合招标文件技术要求的，给予签收，初步验收不合格的不予签收。</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3）对设备、材料的品牌、型号、数量、产地等进行检查和清点，同类型的所有设备和材料应属同一制造商的同一地产品。如检验中发现短缺、损坏或假冒伪劣商品，乙方应立即采取补救措施，不得因此影响施工，否则一切损失由乙方负责。</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（4）所有税费均由乙方承担。</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525" w:firstLineChars="250"/>
        <w:textAlignment w:val="auto"/>
        <w:rPr>
          <w:rFonts w:hAnsi="宋体" w:cs="宋体"/>
          <w:sz w:val="21"/>
          <w:szCs w:val="21"/>
        </w:rPr>
      </w:pPr>
      <w:r>
        <w:rPr>
          <w:rFonts w:hAnsi="宋体" w:cs="宋体"/>
          <w:sz w:val="21"/>
          <w:szCs w:val="21"/>
        </w:rPr>
        <w:t>3．交货地点：招标人指定地点。</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525" w:firstLineChars="250"/>
        <w:textAlignment w:val="auto"/>
        <w:rPr>
          <w:rFonts w:hAnsi="宋体" w:cs="宋体"/>
          <w:b/>
          <w:bCs/>
          <w:sz w:val="21"/>
          <w:szCs w:val="21"/>
        </w:rPr>
      </w:pPr>
      <w:r>
        <w:rPr>
          <w:rFonts w:hint="eastAsia" w:hAnsi="宋体" w:cs="宋体"/>
          <w:b/>
          <w:bCs/>
          <w:sz w:val="21"/>
          <w:szCs w:val="21"/>
        </w:rPr>
        <w:t>4. 验收时乙方必须在现场，验收完毕后作出验收结果报告。</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十、合同价款与支付</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Cs w:val="21"/>
          <w:u w:val="single"/>
        </w:rPr>
      </w:pPr>
      <w:r>
        <w:rPr>
          <w:rFonts w:hAnsi="宋体" w:cs="宋体"/>
          <w:sz w:val="21"/>
          <w:szCs w:val="21"/>
        </w:rPr>
        <w:t>1、付款方式：</w:t>
      </w:r>
      <w:r>
        <w:rPr>
          <w:rFonts w:hint="eastAsia" w:hAnsi="宋体" w:cs="宋体"/>
          <w:sz w:val="21"/>
          <w:szCs w:val="21"/>
        </w:rPr>
        <w:t>详见投标须知。</w:t>
      </w:r>
    </w:p>
    <w:p>
      <w:pPr>
        <w:keepNext w:val="0"/>
        <w:keepLines w:val="0"/>
        <w:pageBreakBefore w:val="0"/>
        <w:widowControl w:val="0"/>
        <w:kinsoku/>
        <w:wordWrap/>
        <w:topLinePunct w:val="0"/>
        <w:autoSpaceDE/>
        <w:autoSpaceDN/>
        <w:bidi w:val="0"/>
        <w:adjustRightInd/>
        <w:spacing w:line="380" w:lineRule="exact"/>
        <w:ind w:firstLine="420" w:firstLineChars="200"/>
        <w:textAlignment w:val="auto"/>
        <w:rPr>
          <w:rFonts w:ascii="宋体" w:hAnsi="宋体" w:cs="宋体"/>
          <w:szCs w:val="21"/>
        </w:rPr>
      </w:pPr>
      <w:r>
        <w:rPr>
          <w:rFonts w:hint="eastAsia" w:ascii="宋体" w:hAnsi="宋体" w:cs="宋体"/>
          <w:szCs w:val="21"/>
        </w:rPr>
        <w:t>2、结算方式：本项目除采购人签证外，其他因素均包括在风险范围之内（不论材料价格的涨跌、政策性文件是否调整，结算时一律不调整中标单价）。</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若因建设需求改变或项目变更等引起项目的增减和费用变化，按中标单价相应增减结算价款；</w:t>
      </w:r>
    </w:p>
    <w:p>
      <w:pPr>
        <w:keepNext w:val="0"/>
        <w:keepLines w:val="0"/>
        <w:pageBreakBefore w:val="0"/>
        <w:widowControl w:val="0"/>
        <w:kinsoku/>
        <w:wordWrap/>
        <w:topLinePunct w:val="0"/>
        <w:autoSpaceDE/>
        <w:autoSpaceDN/>
        <w:bidi w:val="0"/>
        <w:adjustRightInd/>
        <w:snapToGrid w:val="0"/>
        <w:spacing w:beforeLines="50" w:afterLines="50" w:line="380" w:lineRule="exact"/>
        <w:ind w:firstLine="420" w:firstLineChars="200"/>
        <w:textAlignment w:val="auto"/>
        <w:rPr>
          <w:rFonts w:ascii="宋体" w:hAnsi="宋体" w:cs="宋体"/>
          <w:szCs w:val="21"/>
        </w:rPr>
      </w:pPr>
      <w:r>
        <w:rPr>
          <w:rFonts w:hint="eastAsia" w:ascii="宋体" w:hAnsi="宋体" w:cs="宋体"/>
          <w:szCs w:val="21"/>
        </w:rPr>
        <w:t>十一、税费</w:t>
      </w:r>
    </w:p>
    <w:p>
      <w:pPr>
        <w:keepNext w:val="0"/>
        <w:keepLines w:val="0"/>
        <w:pageBreakBefore w:val="0"/>
        <w:widowControl w:val="0"/>
        <w:kinsoku/>
        <w:wordWrap/>
        <w:topLinePunct w:val="0"/>
        <w:autoSpaceDE/>
        <w:autoSpaceDN/>
        <w:bidi w:val="0"/>
        <w:adjustRightInd/>
        <w:snapToGrid w:val="0"/>
        <w:spacing w:beforeLines="50" w:afterLines="50" w:line="380" w:lineRule="exact"/>
        <w:ind w:firstLine="420" w:firstLineChars="200"/>
        <w:textAlignment w:val="auto"/>
        <w:rPr>
          <w:rFonts w:ascii="宋体" w:hAnsi="宋体" w:cs="宋体"/>
          <w:szCs w:val="21"/>
        </w:rPr>
      </w:pPr>
      <w:r>
        <w:rPr>
          <w:rFonts w:hint="eastAsia" w:ascii="宋体" w:hAnsi="宋体" w:cs="宋体"/>
          <w:szCs w:val="21"/>
        </w:rPr>
        <w:t>本合同执行中相关的一切税费均由乙方负担。</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十二、质量保证及售后服务</w:t>
      </w:r>
    </w:p>
    <w:p>
      <w:pPr>
        <w:keepNext w:val="0"/>
        <w:keepLines w:val="0"/>
        <w:pageBreakBefore w:val="0"/>
        <w:widowControl w:val="0"/>
        <w:kinsoku/>
        <w:wordWrap/>
        <w:topLinePunct w:val="0"/>
        <w:autoSpaceDE/>
        <w:autoSpaceDN/>
        <w:bidi w:val="0"/>
        <w:adjustRightInd/>
        <w:spacing w:line="380" w:lineRule="exact"/>
        <w:ind w:firstLine="420" w:firstLineChars="200"/>
        <w:textAlignment w:val="auto"/>
        <w:rPr>
          <w:rFonts w:ascii="宋体" w:hAnsi="宋体" w:cs="Arial"/>
          <w:szCs w:val="21"/>
        </w:rPr>
      </w:pPr>
      <w:r>
        <w:rPr>
          <w:rFonts w:hint="eastAsia" w:ascii="宋体" w:hAnsi="宋体" w:cs="Arial"/>
          <w:szCs w:val="21"/>
        </w:rPr>
        <w:t>1、乙方负责提供本项目范围内所使用的所有设备、材料、装置的原产地证明、质保、售后文件和相应的等级标准证明并承诺向甲方提供有关制造业的质保证明。</w:t>
      </w:r>
    </w:p>
    <w:p>
      <w:pPr>
        <w:keepNext w:val="0"/>
        <w:keepLines w:val="0"/>
        <w:pageBreakBefore w:val="0"/>
        <w:widowControl w:val="0"/>
        <w:kinsoku/>
        <w:wordWrap/>
        <w:topLinePunct w:val="0"/>
        <w:autoSpaceDE/>
        <w:autoSpaceDN/>
        <w:bidi w:val="0"/>
        <w:adjustRightInd/>
        <w:spacing w:line="380" w:lineRule="exact"/>
        <w:ind w:firstLine="420" w:firstLineChars="200"/>
        <w:textAlignment w:val="auto"/>
        <w:rPr>
          <w:rFonts w:ascii="宋体" w:hAnsi="宋体" w:cs="Arial"/>
          <w:szCs w:val="21"/>
        </w:rPr>
      </w:pPr>
      <w:r>
        <w:rPr>
          <w:rFonts w:hint="eastAsia" w:ascii="宋体" w:hAnsi="宋体" w:cs="Arial"/>
          <w:szCs w:val="21"/>
        </w:rPr>
        <w:t>2、乙方应保证货物是全新、未使用过的，是用一流的工艺和最佳材料制造的、合法渠道进</w:t>
      </w:r>
    </w:p>
    <w:p>
      <w:pPr>
        <w:keepNext w:val="0"/>
        <w:keepLines w:val="0"/>
        <w:pageBreakBefore w:val="0"/>
        <w:widowControl w:val="0"/>
        <w:kinsoku/>
        <w:wordWrap/>
        <w:topLinePunct w:val="0"/>
        <w:autoSpaceDE/>
        <w:autoSpaceDN/>
        <w:bidi w:val="0"/>
        <w:adjustRightInd/>
        <w:spacing w:line="380" w:lineRule="exact"/>
        <w:textAlignment w:val="auto"/>
        <w:rPr>
          <w:rFonts w:ascii="宋体" w:hAnsi="宋体" w:cs="Arial"/>
          <w:szCs w:val="21"/>
        </w:rPr>
      </w:pPr>
      <w:r>
        <w:rPr>
          <w:rFonts w:hint="eastAsia" w:ascii="宋体" w:hAnsi="宋体" w:cs="Arial"/>
          <w:szCs w:val="21"/>
        </w:rPr>
        <w:t>货的正宗、原装合格正品，并完全符合合同规定的质量、规格和性能的要求。乙方应保证其货物在正确安装、正常使用和保养条件下，在其使用寿命期内应具有满意的性能。货物最终验收后，在质量保证期内，乙方应对由于设计、工艺或材料的缺陷而发生的任何不足或故障负责，费用由乙方负担。</w:t>
      </w:r>
    </w:p>
    <w:p>
      <w:pPr>
        <w:keepNext w:val="0"/>
        <w:keepLines w:val="0"/>
        <w:pageBreakBefore w:val="0"/>
        <w:widowControl w:val="0"/>
        <w:kinsoku/>
        <w:wordWrap/>
        <w:topLinePunct w:val="0"/>
        <w:autoSpaceDE/>
        <w:autoSpaceDN/>
        <w:bidi w:val="0"/>
        <w:adjustRightInd/>
        <w:spacing w:line="380" w:lineRule="exact"/>
        <w:ind w:firstLine="420" w:firstLineChars="200"/>
        <w:textAlignment w:val="auto"/>
        <w:rPr>
          <w:rFonts w:ascii="宋体" w:hAnsi="宋体" w:cs="Arial"/>
          <w:szCs w:val="21"/>
        </w:rPr>
      </w:pPr>
      <w:r>
        <w:rPr>
          <w:rFonts w:hint="eastAsia" w:ascii="宋体" w:hAnsi="宋体" w:cs="Arial"/>
          <w:szCs w:val="21"/>
        </w:rPr>
        <w:t>3、在质量保证期内，如果货物的数量、质量或规格与合同及招标需求不符，或证明货物是有缺陷的，包括潜在的缺陷或使用不符合要求的材料等，甲方以书面形式向乙方提出维修、更换和索赔。</w:t>
      </w:r>
    </w:p>
    <w:p>
      <w:pPr>
        <w:keepNext w:val="0"/>
        <w:keepLines w:val="0"/>
        <w:pageBreakBefore w:val="0"/>
        <w:widowControl w:val="0"/>
        <w:kinsoku/>
        <w:wordWrap/>
        <w:topLinePunct w:val="0"/>
        <w:autoSpaceDE/>
        <w:autoSpaceDN/>
        <w:bidi w:val="0"/>
        <w:adjustRightInd/>
        <w:spacing w:line="380" w:lineRule="exact"/>
        <w:ind w:firstLine="420" w:firstLineChars="200"/>
        <w:textAlignment w:val="auto"/>
        <w:rPr>
          <w:rFonts w:ascii="宋体" w:hAnsi="宋体" w:cs="Arial"/>
          <w:szCs w:val="21"/>
        </w:rPr>
      </w:pPr>
      <w:r>
        <w:rPr>
          <w:rFonts w:hint="eastAsia" w:ascii="宋体" w:hAnsi="宋体" w:cs="Arial"/>
          <w:szCs w:val="21"/>
        </w:rPr>
        <w:t>4、乙方在收到通知后，应在合同中所附服务承诺约定的时间内必须主动协助甲方对设备免费维修、更换有缺陷的货物或部件。</w:t>
      </w:r>
    </w:p>
    <w:p>
      <w:pPr>
        <w:keepNext w:val="0"/>
        <w:keepLines w:val="0"/>
        <w:pageBreakBefore w:val="0"/>
        <w:widowControl w:val="0"/>
        <w:kinsoku/>
        <w:wordWrap/>
        <w:topLinePunct w:val="0"/>
        <w:autoSpaceDE/>
        <w:autoSpaceDN/>
        <w:bidi w:val="0"/>
        <w:adjustRightInd/>
        <w:spacing w:line="380" w:lineRule="exact"/>
        <w:ind w:firstLine="420" w:firstLineChars="200"/>
        <w:textAlignment w:val="auto"/>
        <w:rPr>
          <w:rFonts w:ascii="宋体" w:hAnsi="宋体" w:cs="Arial"/>
          <w:szCs w:val="21"/>
        </w:rPr>
      </w:pPr>
      <w:r>
        <w:rPr>
          <w:rFonts w:hint="eastAsia" w:ascii="宋体" w:hAnsi="宋体" w:cs="Arial"/>
          <w:szCs w:val="21"/>
        </w:rPr>
        <w:t>5、如果乙方在收到通知后，在合同中所附服务承诺约定的时间内没有弥补缺陷，甲方可采取必要的补救措施，但风险和费用将由乙方承担。</w:t>
      </w:r>
    </w:p>
    <w:p>
      <w:pPr>
        <w:keepNext w:val="0"/>
        <w:keepLines w:val="0"/>
        <w:pageBreakBefore w:val="0"/>
        <w:widowControl w:val="0"/>
        <w:kinsoku/>
        <w:wordWrap/>
        <w:topLinePunct w:val="0"/>
        <w:autoSpaceDE/>
        <w:autoSpaceDN/>
        <w:bidi w:val="0"/>
        <w:adjustRightInd/>
        <w:spacing w:line="380" w:lineRule="exact"/>
        <w:ind w:firstLine="420" w:firstLineChars="200"/>
        <w:textAlignment w:val="auto"/>
        <w:rPr>
          <w:rFonts w:ascii="宋体" w:hAnsi="宋体" w:cs="Arial"/>
          <w:szCs w:val="21"/>
        </w:rPr>
      </w:pPr>
      <w:r>
        <w:rPr>
          <w:rFonts w:hint="eastAsia" w:ascii="宋体" w:hAnsi="宋体" w:cs="Arial"/>
          <w:szCs w:val="21"/>
        </w:rPr>
        <w:t>6、</w:t>
      </w:r>
      <w:r>
        <w:rPr>
          <w:rFonts w:hint="eastAsia" w:ascii="宋体" w:hAnsi="宋体" w:cs="Arial"/>
          <w:bCs/>
          <w:szCs w:val="21"/>
        </w:rPr>
        <w:t>合同期间，中标人须配备针对本项目的维护专业人员随时准备解决各类系统出现的问题；提供质保期内日常维护和保养计划，维护保养记录交招标人备案，质保期内的维护维修情况纳入考核。</w:t>
      </w:r>
    </w:p>
    <w:p>
      <w:pPr>
        <w:keepNext w:val="0"/>
        <w:keepLines w:val="0"/>
        <w:pageBreakBefore w:val="0"/>
        <w:widowControl w:val="0"/>
        <w:kinsoku/>
        <w:wordWrap/>
        <w:topLinePunct w:val="0"/>
        <w:autoSpaceDE/>
        <w:autoSpaceDN/>
        <w:bidi w:val="0"/>
        <w:adjustRightInd/>
        <w:spacing w:line="380" w:lineRule="exact"/>
        <w:ind w:firstLine="420" w:firstLineChars="200"/>
        <w:textAlignment w:val="auto"/>
        <w:rPr>
          <w:rFonts w:ascii="宋体" w:hAnsi="宋体" w:cs="Arial"/>
          <w:szCs w:val="21"/>
        </w:rPr>
      </w:pPr>
      <w:r>
        <w:rPr>
          <w:rFonts w:hint="eastAsia" w:ascii="宋体" w:hAnsi="宋体" w:cs="Arial"/>
          <w:szCs w:val="21"/>
        </w:rPr>
        <w:t>7</w:t>
      </w:r>
      <w:r>
        <w:rPr>
          <w:rFonts w:ascii="宋体" w:hAnsi="宋体" w:cs="Arial"/>
          <w:szCs w:val="21"/>
        </w:rPr>
        <w:t>、在质保期内，乙方应对货物出现的质量及安全问题负责处理解决并承担一切费用。</w:t>
      </w:r>
    </w:p>
    <w:p>
      <w:pPr>
        <w:keepNext w:val="0"/>
        <w:keepLines w:val="0"/>
        <w:pageBreakBefore w:val="0"/>
        <w:widowControl w:val="0"/>
        <w:kinsoku/>
        <w:wordWrap/>
        <w:topLinePunct w:val="0"/>
        <w:autoSpaceDE/>
        <w:autoSpaceDN/>
        <w:bidi w:val="0"/>
        <w:adjustRightInd/>
        <w:spacing w:line="380" w:lineRule="exact"/>
        <w:ind w:firstLine="420" w:firstLineChars="200"/>
        <w:textAlignment w:val="auto"/>
        <w:rPr>
          <w:rFonts w:ascii="宋体" w:hAnsi="宋体" w:cs="Arial"/>
          <w:szCs w:val="21"/>
        </w:rPr>
      </w:pPr>
      <w:r>
        <w:rPr>
          <w:rFonts w:hint="eastAsia" w:ascii="宋体" w:hAnsi="宋体" w:cs="Arial"/>
          <w:szCs w:val="21"/>
        </w:rPr>
        <w:t>8</w:t>
      </w:r>
      <w:r>
        <w:rPr>
          <w:rFonts w:ascii="宋体" w:hAnsi="宋体" w:cs="Arial"/>
          <w:szCs w:val="21"/>
        </w:rPr>
        <w:t>、质量保证及售后服务要求：本项目质保期为</w:t>
      </w:r>
      <w:r>
        <w:rPr>
          <w:rFonts w:ascii="宋体" w:hAnsi="宋体" w:cs="Arial"/>
          <w:szCs w:val="21"/>
          <w:u w:val="single"/>
        </w:rPr>
        <w:t xml:space="preserve"> （以投标时限为准）</w:t>
      </w:r>
      <w:r>
        <w:rPr>
          <w:rFonts w:hint="eastAsia" w:ascii="宋体" w:hAnsi="宋体" w:cs="Arial"/>
          <w:szCs w:val="21"/>
        </w:rPr>
        <w:t>。</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int="eastAsia" w:hAnsi="宋体" w:cs="宋体"/>
          <w:sz w:val="21"/>
          <w:szCs w:val="21"/>
        </w:rPr>
        <w:t>9</w:t>
      </w:r>
      <w:r>
        <w:rPr>
          <w:rFonts w:hAnsi="宋体" w:cs="宋体"/>
          <w:sz w:val="21"/>
          <w:szCs w:val="21"/>
        </w:rPr>
        <w:t>、售后服务计划：</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u w:val="single"/>
        </w:rPr>
      </w:pPr>
      <w:r>
        <w:rPr>
          <w:rFonts w:hAnsi="宋体" w:cs="宋体"/>
          <w:sz w:val="21"/>
          <w:szCs w:val="21"/>
        </w:rPr>
        <w:t>售后服务机构地址：</w:t>
      </w:r>
      <w:r>
        <w:rPr>
          <w:rFonts w:hAnsi="宋体" w:cs="宋体"/>
          <w:sz w:val="21"/>
          <w:szCs w:val="21"/>
          <w:u w:val="single"/>
        </w:rPr>
        <w:t xml:space="preserve">                                              </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联系电话：</w:t>
      </w:r>
      <w:r>
        <w:rPr>
          <w:rFonts w:hAnsi="宋体" w:cs="宋体"/>
          <w:sz w:val="21"/>
          <w:szCs w:val="21"/>
          <w:u w:val="single"/>
        </w:rPr>
        <w:t xml:space="preserve">                                                      </w:t>
      </w:r>
      <w:r>
        <w:rPr>
          <w:rFonts w:hAnsi="宋体" w:cs="宋体"/>
          <w:sz w:val="21"/>
          <w:szCs w:val="21"/>
        </w:rPr>
        <w:t xml:space="preserve"> </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 xml:space="preserve">其他服务承诺：                                                  </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int="eastAsia" w:hAnsi="宋体" w:cs="宋体"/>
          <w:sz w:val="21"/>
          <w:szCs w:val="21"/>
        </w:rPr>
        <w:t>10</w:t>
      </w:r>
      <w:r>
        <w:rPr>
          <w:rFonts w:hAnsi="宋体" w:cs="宋体"/>
          <w:sz w:val="21"/>
          <w:szCs w:val="21"/>
        </w:rPr>
        <w:t>、人员培训：供方免费对需方人员进行技术培训，直到需方人员熟练操作或掌握为准。</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培训场地：</w:t>
      </w:r>
      <w:r>
        <w:rPr>
          <w:rFonts w:hAnsi="宋体" w:cs="宋体"/>
          <w:sz w:val="21"/>
          <w:szCs w:val="21"/>
          <w:u w:val="single"/>
        </w:rPr>
        <w:t xml:space="preserve">                     </w:t>
      </w:r>
      <w:r>
        <w:rPr>
          <w:rFonts w:hAnsi="宋体" w:cs="宋体"/>
          <w:sz w:val="21"/>
          <w:szCs w:val="21"/>
        </w:rPr>
        <w:t>培训时间：</w:t>
      </w:r>
      <w:r>
        <w:rPr>
          <w:rFonts w:hAnsi="宋体" w:cs="宋体"/>
          <w:sz w:val="21"/>
          <w:szCs w:val="21"/>
          <w:u w:val="single"/>
        </w:rPr>
        <w:t xml:space="preserve">                      </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 xml:space="preserve">培训方式： </w:t>
      </w:r>
      <w:r>
        <w:rPr>
          <w:rFonts w:hAnsi="宋体" w:cs="宋体"/>
          <w:sz w:val="21"/>
          <w:szCs w:val="21"/>
          <w:u w:val="single"/>
        </w:rPr>
        <w:t xml:space="preserve">                                                     </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十三、调试和验收</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1、本项目在使用前进行调试时，乙方需负责安装并培训招标人的使用操作人员，并协助招标人一起调试，直到符合技术要求，招标人才做最终验收。</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2、乙方在安装调试过程中必须确保安全，乙方自行承担设备安装调试过程中的质量、任何状况下的安全责任，发生的一切问题和责任与招标人无关，相关一切费用或民事、刑事责任均由乙方自理。若乙方不能及时处理所发生的问题和责任，并且影响到系统总体进度时，招标人有权处理相关事务，所发生的费用在支付合同款时扣除。</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color w:val="auto"/>
          <w:sz w:val="21"/>
          <w:szCs w:val="21"/>
          <w:u w:val="single"/>
        </w:rPr>
      </w:pPr>
      <w:r>
        <w:rPr>
          <w:rFonts w:hint="eastAsia" w:hAnsi="宋体" w:cs="宋体"/>
          <w:color w:val="auto"/>
          <w:sz w:val="21"/>
          <w:szCs w:val="21"/>
          <w:u w:val="single"/>
        </w:rPr>
        <w:t>3、验收由甲方或项目所在地质量技术监督部门或</w:t>
      </w:r>
      <w:r>
        <w:rPr>
          <w:rFonts w:hint="eastAsia" w:hAnsi="宋体" w:cs="宋体"/>
          <w:color w:val="auto"/>
          <w:sz w:val="21"/>
          <w:szCs w:val="21"/>
          <w:u w:val="single"/>
          <w:lang w:eastAsia="zh-CN"/>
        </w:rPr>
        <w:t>甲方</w:t>
      </w:r>
      <w:r>
        <w:rPr>
          <w:rFonts w:hint="eastAsia" w:hAnsi="宋体" w:cs="宋体"/>
          <w:color w:val="auto"/>
          <w:sz w:val="21"/>
          <w:szCs w:val="21"/>
          <w:u w:val="single"/>
        </w:rPr>
        <w:t>委托的第三方检测机构对</w:t>
      </w:r>
      <w:r>
        <w:rPr>
          <w:rFonts w:hint="eastAsia" w:hAnsi="宋体" w:cs="宋体"/>
          <w:color w:val="auto"/>
          <w:sz w:val="21"/>
          <w:szCs w:val="21"/>
          <w:u w:val="single"/>
          <w:lang w:eastAsia="zh-CN"/>
        </w:rPr>
        <w:t>乙方</w:t>
      </w:r>
      <w:r>
        <w:rPr>
          <w:rFonts w:hint="eastAsia" w:hAnsi="宋体" w:cs="宋体"/>
          <w:color w:val="auto"/>
          <w:sz w:val="21"/>
          <w:szCs w:val="21"/>
          <w:u w:val="single"/>
        </w:rPr>
        <w:t>所供产品进行验收，验收过程中乙方需安排人员参加。</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int="eastAsia" w:hAnsi="宋体" w:cs="宋体"/>
          <w:sz w:val="21"/>
          <w:szCs w:val="21"/>
          <w:lang w:val="en-US" w:eastAsia="zh-CN"/>
        </w:rPr>
        <w:t>4</w:t>
      </w:r>
      <w:r>
        <w:rPr>
          <w:rFonts w:hAnsi="宋体" w:cs="宋体"/>
          <w:sz w:val="21"/>
          <w:szCs w:val="21"/>
        </w:rPr>
        <w:t>、本项目涉及验收标准包括但不限于行业部门有关标准规范。</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十四、货物包装、发运及运输</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1. 乙方应在货物发运前对其进行满足运输距离、防潮、防震、防锈和防破损装卸等要求包装，以保证货物安全运达招标人指定地点。</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2. 使用说明书、质量检验证明书、随配附件和工具、质量合格凭证及装箱清单一并附于货物内，安装调试完毕后按设备清单逐一按序交付给招标人。</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3. 所供货物必须首先符合有关国家强制性规定、国家（行业）标准或相关法律法规要求，同时满足招标文件规定的质量要求和使用需求。供方应提供全新未拆封产品（包括零部件、附件、备品备件），如确需拆封的，应在供货前征得采购人同意，否则视为不能交货。供方保证全部按照合同规定的时间和方式向需方提供货物和服务，并负责可能的弥补缺陷。</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4. 货物在交付甲方前发生的风险均由乙方负责。</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十五、违约责任</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1、完成时间：乙方应在投标文件承诺完成期限前完成全部工作内容，并经相关部门验收合格，不能按期完成的，每拖延一天罚款5000元。</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2、项目实施过程中，如果达不到承诺质量目标，无法满足甲方的使用需求，乙方必须无偿整改达到承诺质量目标，另按合同价款的5%向发包人支付违约金，直接从履约保证金或项目结算价款中扣除。由此造成的时间延误将不予顺延，给甲方造成实际损失的还将承担经济赔偿责任。</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十六、不可抗力事件处理</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1. 在合同有效期内，任何一方因不可抗力事件导致不能履行合同，则合同履行期可延长，其延长期与不可抗力影响期相同。</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2. 不可抗力事件发生后，应立即通知对方，并寄送有关权威机构出具的证明。</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3. 不可抗力事件延续120天以上，双方应通过友好协商，确定是否继续履行合同。</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十七、仲裁与诉讼</w:t>
      </w:r>
    </w:p>
    <w:p>
      <w:pPr>
        <w:pStyle w:val="12"/>
        <w:keepNext w:val="0"/>
        <w:keepLines w:val="0"/>
        <w:pageBreakBefore w:val="0"/>
        <w:widowControl w:val="0"/>
        <w:kinsoku/>
        <w:wordWrap/>
        <w:overflowPunct w:val="0"/>
        <w:topLinePunct w:val="0"/>
        <w:autoSpaceDE/>
        <w:autoSpaceDN/>
        <w:bidi w:val="0"/>
        <w:adjustRightInd/>
        <w:snapToGrid w:val="0"/>
        <w:spacing w:line="380" w:lineRule="exact"/>
        <w:ind w:firstLineChars="200"/>
        <w:textAlignment w:val="auto"/>
        <w:rPr>
          <w:rFonts w:ascii="宋体" w:hAnsi="宋体" w:cs="宋体"/>
          <w:b w:val="0"/>
          <w:sz w:val="21"/>
          <w:szCs w:val="21"/>
        </w:rPr>
      </w:pPr>
      <w:r>
        <w:rPr>
          <w:rFonts w:hint="eastAsia" w:ascii="宋体" w:hAnsi="宋体" w:cs="宋体"/>
          <w:b w:val="0"/>
          <w:sz w:val="21"/>
          <w:szCs w:val="21"/>
        </w:rPr>
        <w:t>甲乙双方因合同发生争议，应在招标方的主持下进行调解，协商不成，任何一方可以向甲方所在地人民法院起诉。</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十八、合同附则</w:t>
      </w:r>
    </w:p>
    <w:p>
      <w:pPr>
        <w:pStyle w:val="21"/>
        <w:keepNext w:val="0"/>
        <w:keepLines w:val="0"/>
        <w:pageBreakBefore w:val="0"/>
        <w:widowControl w:val="0"/>
        <w:kinsoku/>
        <w:wordWrap/>
        <w:topLinePunct w:val="0"/>
        <w:autoSpaceDE/>
        <w:autoSpaceDN/>
        <w:bidi w:val="0"/>
        <w:adjustRightInd/>
        <w:snapToGrid w:val="0"/>
        <w:spacing w:before="120" w:after="120" w:line="380" w:lineRule="exact"/>
        <w:ind w:left="1" w:firstLine="420" w:firstLineChars="200"/>
        <w:textAlignment w:val="auto"/>
        <w:rPr>
          <w:rFonts w:hAnsi="宋体" w:cs="宋体"/>
          <w:sz w:val="21"/>
          <w:szCs w:val="21"/>
        </w:rPr>
      </w:pPr>
      <w:r>
        <w:rPr>
          <w:rFonts w:hint="eastAsia" w:hAnsi="宋体" w:cs="宋体"/>
          <w:sz w:val="21"/>
          <w:szCs w:val="21"/>
        </w:rPr>
        <w:t>1、</w:t>
      </w:r>
      <w:r>
        <w:rPr>
          <w:rFonts w:hAnsi="宋体" w:cs="宋体"/>
          <w:sz w:val="21"/>
          <w:szCs w:val="21"/>
        </w:rPr>
        <w:t>设备安装、调试所需的工具、仪表及安装材料由乙方自行解决。</w:t>
      </w:r>
    </w:p>
    <w:p>
      <w:pPr>
        <w:pStyle w:val="21"/>
        <w:keepNext w:val="0"/>
        <w:keepLines w:val="0"/>
        <w:pageBreakBefore w:val="0"/>
        <w:widowControl w:val="0"/>
        <w:kinsoku/>
        <w:wordWrap/>
        <w:topLinePunct w:val="0"/>
        <w:autoSpaceDE/>
        <w:autoSpaceDN/>
        <w:bidi w:val="0"/>
        <w:adjustRightInd/>
        <w:snapToGrid w:val="0"/>
        <w:spacing w:before="120" w:after="120" w:line="380" w:lineRule="exact"/>
        <w:ind w:left="1" w:firstLine="420" w:firstLineChars="200"/>
        <w:textAlignment w:val="auto"/>
        <w:rPr>
          <w:rFonts w:hAnsi="宋体" w:cs="宋体"/>
          <w:sz w:val="21"/>
          <w:szCs w:val="21"/>
        </w:rPr>
      </w:pPr>
      <w:r>
        <w:rPr>
          <w:rFonts w:hint="eastAsia" w:hAnsi="宋体" w:cs="宋体"/>
          <w:sz w:val="21"/>
          <w:szCs w:val="21"/>
        </w:rPr>
        <w:t>2、</w:t>
      </w:r>
      <w:r>
        <w:rPr>
          <w:rFonts w:hAnsi="宋体" w:cs="宋体"/>
          <w:sz w:val="21"/>
          <w:szCs w:val="21"/>
        </w:rPr>
        <w:t>乙方必须响应下列安装、调测要求：</w:t>
      </w:r>
    </w:p>
    <w:p>
      <w:pPr>
        <w:pStyle w:val="21"/>
        <w:keepNext w:val="0"/>
        <w:keepLines w:val="0"/>
        <w:pageBreakBefore w:val="0"/>
        <w:widowControl w:val="0"/>
        <w:kinsoku/>
        <w:wordWrap/>
        <w:topLinePunct w:val="0"/>
        <w:autoSpaceDE/>
        <w:autoSpaceDN/>
        <w:bidi w:val="0"/>
        <w:adjustRightInd/>
        <w:snapToGrid w:val="0"/>
        <w:spacing w:before="120" w:after="120" w:line="380" w:lineRule="exact"/>
        <w:ind w:left="1" w:firstLine="420" w:firstLineChars="200"/>
        <w:textAlignment w:val="auto"/>
        <w:rPr>
          <w:rFonts w:hAnsi="宋体" w:cs="宋体"/>
          <w:sz w:val="21"/>
          <w:szCs w:val="21"/>
        </w:rPr>
      </w:pPr>
      <w:r>
        <w:rPr>
          <w:rFonts w:hAnsi="宋体" w:cs="宋体"/>
          <w:sz w:val="21"/>
          <w:szCs w:val="21"/>
        </w:rPr>
        <w:t>如安装、调测中出现不符合招标文件和合同要求的严重质量问题时，不能满足使用要求的，采购人保留索赔的权利。</w:t>
      </w:r>
    </w:p>
    <w:p>
      <w:pPr>
        <w:pStyle w:val="21"/>
        <w:keepNext w:val="0"/>
        <w:keepLines w:val="0"/>
        <w:pageBreakBefore w:val="0"/>
        <w:widowControl w:val="0"/>
        <w:kinsoku/>
        <w:wordWrap/>
        <w:topLinePunct w:val="0"/>
        <w:autoSpaceDE/>
        <w:autoSpaceDN/>
        <w:bidi w:val="0"/>
        <w:adjustRightInd/>
        <w:snapToGrid w:val="0"/>
        <w:spacing w:before="120" w:after="120" w:line="380" w:lineRule="exact"/>
        <w:ind w:left="1" w:firstLine="420" w:firstLineChars="200"/>
        <w:textAlignment w:val="auto"/>
        <w:rPr>
          <w:rFonts w:hAnsi="宋体" w:cs="宋体"/>
          <w:sz w:val="21"/>
          <w:szCs w:val="21"/>
        </w:rPr>
      </w:pPr>
      <w:r>
        <w:rPr>
          <w:rFonts w:hint="eastAsia" w:hAnsi="宋体" w:cs="宋体"/>
          <w:sz w:val="21"/>
          <w:szCs w:val="21"/>
        </w:rPr>
        <w:t>3</w:t>
      </w:r>
      <w:r>
        <w:rPr>
          <w:rFonts w:hAnsi="宋体" w:cs="宋体"/>
          <w:sz w:val="21"/>
          <w:szCs w:val="21"/>
        </w:rPr>
        <w:t>、测试和验收</w:t>
      </w:r>
    </w:p>
    <w:p>
      <w:pPr>
        <w:pStyle w:val="21"/>
        <w:keepNext w:val="0"/>
        <w:keepLines w:val="0"/>
        <w:pageBreakBefore w:val="0"/>
        <w:widowControl w:val="0"/>
        <w:kinsoku/>
        <w:wordWrap/>
        <w:topLinePunct w:val="0"/>
        <w:autoSpaceDE/>
        <w:autoSpaceDN/>
        <w:bidi w:val="0"/>
        <w:adjustRightInd/>
        <w:snapToGrid w:val="0"/>
        <w:spacing w:before="120" w:after="120" w:line="380" w:lineRule="exact"/>
        <w:ind w:left="1" w:firstLine="420" w:firstLineChars="200"/>
        <w:textAlignment w:val="auto"/>
        <w:rPr>
          <w:rFonts w:hAnsi="宋体" w:cs="宋体"/>
          <w:color w:val="auto"/>
          <w:sz w:val="21"/>
          <w:szCs w:val="21"/>
          <w:u w:val="single"/>
        </w:rPr>
      </w:pPr>
      <w:bookmarkStart w:id="530" w:name="_Toc434980088"/>
      <w:bookmarkStart w:id="531" w:name="_Toc434993238"/>
      <w:bookmarkStart w:id="532" w:name="_Toc513784101"/>
      <w:bookmarkStart w:id="533" w:name="_Toc528414476"/>
      <w:bookmarkStart w:id="534" w:name="_Toc428438296"/>
      <w:bookmarkStart w:id="535" w:name="_Toc428438352"/>
      <w:bookmarkStart w:id="536" w:name="_Toc428677914"/>
      <w:bookmarkStart w:id="537" w:name="_Toc428679010"/>
      <w:bookmarkStart w:id="538" w:name="_Toc428689354"/>
      <w:bookmarkStart w:id="539" w:name="_Toc428689981"/>
      <w:bookmarkStart w:id="540" w:name="_Toc428690227"/>
      <w:bookmarkStart w:id="541" w:name="_Toc428690302"/>
      <w:bookmarkStart w:id="542" w:name="_Toc428690460"/>
      <w:bookmarkStart w:id="543" w:name="_Toc428690533"/>
      <w:bookmarkStart w:id="544" w:name="_Toc428690736"/>
      <w:bookmarkStart w:id="545" w:name="_Toc428695955"/>
      <w:bookmarkStart w:id="546" w:name="_Toc428696080"/>
      <w:bookmarkStart w:id="547" w:name="_Toc428696161"/>
      <w:bookmarkStart w:id="548" w:name="_Toc428696325"/>
      <w:bookmarkStart w:id="549" w:name="_Toc428696416"/>
      <w:bookmarkStart w:id="550" w:name="_Toc428633620"/>
      <w:bookmarkStart w:id="551" w:name="_Toc428769097"/>
      <w:bookmarkStart w:id="552" w:name="_Toc429366392"/>
      <w:bookmarkStart w:id="553" w:name="_Toc429476859"/>
      <w:bookmarkStart w:id="554" w:name="_Toc429540795"/>
      <w:bookmarkStart w:id="555" w:name="_Toc429556560"/>
      <w:bookmarkStart w:id="556" w:name="_Toc430058011"/>
      <w:bookmarkStart w:id="557" w:name="_Toc434121888"/>
      <w:r>
        <w:rPr>
          <w:rFonts w:hAnsi="宋体" w:cs="宋体"/>
          <w:color w:val="auto"/>
          <w:sz w:val="21"/>
          <w:szCs w:val="21"/>
          <w:u w:val="single"/>
        </w:rPr>
        <w:t>乙方应向</w:t>
      </w:r>
      <w:r>
        <w:rPr>
          <w:rFonts w:hint="eastAsia" w:hAnsi="宋体" w:cs="宋体"/>
          <w:color w:val="auto"/>
          <w:sz w:val="21"/>
          <w:szCs w:val="21"/>
          <w:u w:val="single"/>
          <w:lang w:eastAsia="zh-CN"/>
        </w:rPr>
        <w:t>甲方</w:t>
      </w:r>
      <w:r>
        <w:rPr>
          <w:rFonts w:hAnsi="宋体" w:cs="宋体"/>
          <w:color w:val="auto"/>
          <w:sz w:val="21"/>
          <w:szCs w:val="21"/>
          <w:u w:val="single"/>
        </w:rPr>
        <w:t>提交测试内容和方法。经</w:t>
      </w:r>
      <w:r>
        <w:rPr>
          <w:rFonts w:hint="eastAsia" w:hAnsi="宋体" w:cs="宋体"/>
          <w:color w:val="auto"/>
          <w:sz w:val="21"/>
          <w:szCs w:val="21"/>
          <w:u w:val="single"/>
        </w:rPr>
        <w:t>甲方或项目所在地质量技术监督部门或</w:t>
      </w:r>
      <w:r>
        <w:rPr>
          <w:rFonts w:hint="eastAsia" w:hAnsi="宋体" w:cs="宋体"/>
          <w:color w:val="auto"/>
          <w:sz w:val="21"/>
          <w:szCs w:val="21"/>
          <w:u w:val="single"/>
          <w:lang w:eastAsia="zh-CN"/>
        </w:rPr>
        <w:t>甲方</w:t>
      </w:r>
      <w:r>
        <w:rPr>
          <w:rFonts w:hint="eastAsia" w:hAnsi="宋体" w:cs="宋体"/>
          <w:color w:val="auto"/>
          <w:sz w:val="21"/>
          <w:szCs w:val="21"/>
          <w:u w:val="single"/>
        </w:rPr>
        <w:t>委托的第三方检测机构</w:t>
      </w:r>
      <w:r>
        <w:rPr>
          <w:rFonts w:hAnsi="宋体" w:cs="宋体"/>
          <w:color w:val="auto"/>
          <w:sz w:val="21"/>
          <w:szCs w:val="21"/>
          <w:u w:val="single"/>
        </w:rPr>
        <w:t>确认后共同实施。</w:t>
      </w:r>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pStyle w:val="21"/>
        <w:keepNext w:val="0"/>
        <w:keepLines w:val="0"/>
        <w:pageBreakBefore w:val="0"/>
        <w:widowControl w:val="0"/>
        <w:kinsoku/>
        <w:wordWrap/>
        <w:topLinePunct w:val="0"/>
        <w:autoSpaceDE/>
        <w:autoSpaceDN/>
        <w:bidi w:val="0"/>
        <w:adjustRightInd/>
        <w:snapToGrid w:val="0"/>
        <w:spacing w:before="120" w:after="120" w:line="380" w:lineRule="exact"/>
        <w:ind w:left="1" w:firstLine="420" w:firstLineChars="200"/>
        <w:textAlignment w:val="auto"/>
        <w:rPr>
          <w:rFonts w:hAnsi="宋体" w:cs="宋体"/>
          <w:sz w:val="21"/>
          <w:szCs w:val="21"/>
        </w:rPr>
      </w:pPr>
      <w:r>
        <w:rPr>
          <w:rFonts w:hint="eastAsia" w:hAnsi="宋体" w:cs="宋体"/>
          <w:sz w:val="21"/>
          <w:szCs w:val="21"/>
        </w:rPr>
        <w:t>4</w:t>
      </w:r>
      <w:r>
        <w:rPr>
          <w:rFonts w:hAnsi="宋体" w:cs="宋体"/>
          <w:sz w:val="21"/>
          <w:szCs w:val="21"/>
        </w:rPr>
        <w:t>、技术文档要求：</w:t>
      </w:r>
    </w:p>
    <w:p>
      <w:pPr>
        <w:pStyle w:val="21"/>
        <w:keepNext w:val="0"/>
        <w:keepLines w:val="0"/>
        <w:pageBreakBefore w:val="0"/>
        <w:widowControl w:val="0"/>
        <w:kinsoku/>
        <w:wordWrap/>
        <w:topLinePunct w:val="0"/>
        <w:autoSpaceDE/>
        <w:autoSpaceDN/>
        <w:bidi w:val="0"/>
        <w:adjustRightInd/>
        <w:snapToGrid w:val="0"/>
        <w:spacing w:before="120" w:after="120" w:line="380" w:lineRule="exact"/>
        <w:ind w:left="1" w:firstLine="420" w:firstLineChars="200"/>
        <w:textAlignment w:val="auto"/>
        <w:rPr>
          <w:rFonts w:hAnsi="宋体" w:cs="宋体"/>
          <w:sz w:val="21"/>
          <w:szCs w:val="21"/>
        </w:rPr>
      </w:pPr>
      <w:r>
        <w:rPr>
          <w:rFonts w:hAnsi="宋体" w:cs="宋体"/>
          <w:sz w:val="21"/>
          <w:szCs w:val="21"/>
        </w:rPr>
        <w:t>乙方应向采购人提供安装调试过程中的各种文档资料。</w:t>
      </w:r>
    </w:p>
    <w:p>
      <w:pPr>
        <w:pStyle w:val="21"/>
        <w:keepNext w:val="0"/>
        <w:keepLines w:val="0"/>
        <w:pageBreakBefore w:val="0"/>
        <w:widowControl w:val="0"/>
        <w:kinsoku/>
        <w:wordWrap/>
        <w:topLinePunct w:val="0"/>
        <w:autoSpaceDE/>
        <w:autoSpaceDN/>
        <w:bidi w:val="0"/>
        <w:adjustRightInd/>
        <w:snapToGrid w:val="0"/>
        <w:spacing w:before="120" w:after="120" w:line="380" w:lineRule="exact"/>
        <w:ind w:left="1" w:firstLine="420" w:firstLineChars="200"/>
        <w:textAlignment w:val="auto"/>
        <w:rPr>
          <w:rFonts w:hAnsi="宋体" w:cs="宋体"/>
          <w:sz w:val="21"/>
          <w:szCs w:val="21"/>
        </w:rPr>
      </w:pPr>
      <w:r>
        <w:rPr>
          <w:rFonts w:hAnsi="宋体" w:cs="宋体"/>
          <w:sz w:val="21"/>
          <w:szCs w:val="21"/>
        </w:rPr>
        <w:t>1)有关产品正确安装与详细配置（包括安装方法、安装步骤及各种配置参数等）资料要以易理解的方式（包括详细说明及图示）形成中文文档，交与采购人。</w:t>
      </w:r>
    </w:p>
    <w:p>
      <w:pPr>
        <w:pStyle w:val="21"/>
        <w:keepNext w:val="0"/>
        <w:keepLines w:val="0"/>
        <w:pageBreakBefore w:val="0"/>
        <w:widowControl w:val="0"/>
        <w:kinsoku/>
        <w:wordWrap/>
        <w:topLinePunct w:val="0"/>
        <w:autoSpaceDE/>
        <w:autoSpaceDN/>
        <w:bidi w:val="0"/>
        <w:adjustRightInd/>
        <w:snapToGrid w:val="0"/>
        <w:spacing w:before="120" w:after="120" w:line="380" w:lineRule="exact"/>
        <w:ind w:left="1" w:firstLine="420" w:firstLineChars="200"/>
        <w:textAlignment w:val="auto"/>
        <w:rPr>
          <w:rFonts w:hAnsi="宋体" w:cs="宋体"/>
          <w:sz w:val="21"/>
          <w:szCs w:val="21"/>
        </w:rPr>
      </w:pPr>
      <w:r>
        <w:rPr>
          <w:rFonts w:hAnsi="宋体" w:cs="宋体"/>
          <w:sz w:val="21"/>
          <w:szCs w:val="21"/>
        </w:rPr>
        <w:t>2)乙方对本次采购的软、硬件产品提供正式的操作手册和维护手册，提供中文版技术文档。</w:t>
      </w:r>
    </w:p>
    <w:p>
      <w:pPr>
        <w:pStyle w:val="21"/>
        <w:keepNext w:val="0"/>
        <w:keepLines w:val="0"/>
        <w:pageBreakBefore w:val="0"/>
        <w:widowControl w:val="0"/>
        <w:kinsoku/>
        <w:wordWrap/>
        <w:topLinePunct w:val="0"/>
        <w:autoSpaceDE/>
        <w:autoSpaceDN/>
        <w:bidi w:val="0"/>
        <w:adjustRightInd/>
        <w:snapToGrid w:val="0"/>
        <w:spacing w:before="120" w:after="120" w:line="380" w:lineRule="exact"/>
        <w:ind w:left="1" w:firstLine="420" w:firstLineChars="200"/>
        <w:textAlignment w:val="auto"/>
        <w:rPr>
          <w:rFonts w:hAnsi="宋体" w:cs="宋体"/>
          <w:sz w:val="21"/>
          <w:szCs w:val="21"/>
        </w:rPr>
      </w:pPr>
      <w:r>
        <w:rPr>
          <w:rFonts w:hAnsi="宋体" w:cs="宋体"/>
          <w:sz w:val="21"/>
          <w:szCs w:val="21"/>
        </w:rPr>
        <w:t>3)交货时，技术文档应与货物一起交付。乙方提交的技术文档的内容必须与所提供的产品相一致，应尽可能详细。所提交的技术文档必须是正式出版和装订的，复印件无效，其费用应包括在该品目的基本报价中。为了培训的目的，采购人有权复制这些资料而不受限制。</w:t>
      </w:r>
    </w:p>
    <w:p>
      <w:pPr>
        <w:pStyle w:val="21"/>
        <w:keepNext w:val="0"/>
        <w:keepLines w:val="0"/>
        <w:pageBreakBefore w:val="0"/>
        <w:widowControl w:val="0"/>
        <w:kinsoku/>
        <w:wordWrap/>
        <w:topLinePunct w:val="0"/>
        <w:autoSpaceDE/>
        <w:autoSpaceDN/>
        <w:bidi w:val="0"/>
        <w:adjustRightInd/>
        <w:snapToGrid w:val="0"/>
        <w:spacing w:before="120" w:after="120" w:line="380" w:lineRule="exact"/>
        <w:ind w:left="1" w:firstLine="420" w:firstLineChars="200"/>
        <w:textAlignment w:val="auto"/>
        <w:rPr>
          <w:rFonts w:hAnsi="宋体" w:cs="宋体"/>
          <w:sz w:val="21"/>
          <w:szCs w:val="21"/>
        </w:rPr>
      </w:pPr>
      <w:r>
        <w:rPr>
          <w:rFonts w:hAnsi="宋体" w:cs="宋体"/>
          <w:sz w:val="21"/>
          <w:szCs w:val="21"/>
        </w:rPr>
        <w:t>4)在产品验收后，乙方应将所有技术文档和安装、调试资料移交给采购人。</w:t>
      </w:r>
    </w:p>
    <w:p>
      <w:pPr>
        <w:pStyle w:val="21"/>
        <w:keepNext w:val="0"/>
        <w:keepLines w:val="0"/>
        <w:pageBreakBefore w:val="0"/>
        <w:widowControl w:val="0"/>
        <w:kinsoku/>
        <w:wordWrap/>
        <w:topLinePunct w:val="0"/>
        <w:autoSpaceDE/>
        <w:autoSpaceDN/>
        <w:bidi w:val="0"/>
        <w:adjustRightInd/>
        <w:snapToGrid w:val="0"/>
        <w:spacing w:before="120" w:after="120" w:line="380" w:lineRule="exact"/>
        <w:ind w:left="1" w:firstLine="420" w:firstLineChars="200"/>
        <w:textAlignment w:val="auto"/>
        <w:rPr>
          <w:rFonts w:hAnsi="宋体" w:cs="宋体"/>
          <w:sz w:val="21"/>
          <w:szCs w:val="21"/>
        </w:rPr>
      </w:pPr>
      <w:r>
        <w:rPr>
          <w:rFonts w:hAnsi="宋体" w:cs="宋体"/>
          <w:sz w:val="21"/>
          <w:szCs w:val="21"/>
        </w:rPr>
        <w:t>包括但不限于以下资料：</w:t>
      </w:r>
    </w:p>
    <w:p>
      <w:pPr>
        <w:pStyle w:val="21"/>
        <w:keepNext w:val="0"/>
        <w:keepLines w:val="0"/>
        <w:pageBreakBefore w:val="0"/>
        <w:widowControl w:val="0"/>
        <w:kinsoku/>
        <w:wordWrap/>
        <w:topLinePunct w:val="0"/>
        <w:autoSpaceDE/>
        <w:autoSpaceDN/>
        <w:bidi w:val="0"/>
        <w:adjustRightInd/>
        <w:snapToGrid w:val="0"/>
        <w:spacing w:before="120" w:after="120" w:line="380" w:lineRule="exact"/>
        <w:ind w:left="1" w:firstLine="420" w:firstLineChars="200"/>
        <w:textAlignment w:val="auto"/>
        <w:rPr>
          <w:rFonts w:hAnsi="宋体" w:cs="宋体"/>
          <w:sz w:val="21"/>
          <w:szCs w:val="21"/>
        </w:rPr>
      </w:pPr>
      <w:r>
        <w:rPr>
          <w:rFonts w:hAnsi="宋体" w:cs="宋体"/>
          <w:sz w:val="21"/>
          <w:szCs w:val="21"/>
        </w:rPr>
        <w:t>1）对产品各项技术指标的测试报告。</w:t>
      </w:r>
    </w:p>
    <w:p>
      <w:pPr>
        <w:pStyle w:val="21"/>
        <w:keepNext w:val="0"/>
        <w:keepLines w:val="0"/>
        <w:pageBreakBefore w:val="0"/>
        <w:widowControl w:val="0"/>
        <w:kinsoku/>
        <w:wordWrap/>
        <w:topLinePunct w:val="0"/>
        <w:autoSpaceDE/>
        <w:autoSpaceDN/>
        <w:bidi w:val="0"/>
        <w:adjustRightInd/>
        <w:snapToGrid w:val="0"/>
        <w:spacing w:before="120" w:after="120" w:line="380" w:lineRule="exact"/>
        <w:ind w:left="1" w:firstLine="420" w:firstLineChars="200"/>
        <w:textAlignment w:val="auto"/>
        <w:rPr>
          <w:rFonts w:hAnsi="宋体" w:cs="宋体"/>
          <w:sz w:val="21"/>
          <w:szCs w:val="21"/>
        </w:rPr>
      </w:pPr>
      <w:r>
        <w:rPr>
          <w:rFonts w:hAnsi="宋体" w:cs="宋体"/>
          <w:sz w:val="21"/>
          <w:szCs w:val="21"/>
        </w:rPr>
        <w:t>2）技术文件：设备制造、安装、调试、验收、运行、使用、测试、诊断、日常维护和维修的技术文件。</w:t>
      </w:r>
    </w:p>
    <w:p>
      <w:pPr>
        <w:pStyle w:val="21"/>
        <w:keepNext w:val="0"/>
        <w:keepLines w:val="0"/>
        <w:pageBreakBefore w:val="0"/>
        <w:widowControl w:val="0"/>
        <w:kinsoku/>
        <w:wordWrap/>
        <w:topLinePunct w:val="0"/>
        <w:autoSpaceDE/>
        <w:autoSpaceDN/>
        <w:bidi w:val="0"/>
        <w:adjustRightInd/>
        <w:snapToGrid w:val="0"/>
        <w:spacing w:before="120" w:after="120" w:line="380" w:lineRule="exact"/>
        <w:ind w:left="1" w:firstLine="420" w:firstLineChars="200"/>
        <w:textAlignment w:val="auto"/>
        <w:rPr>
          <w:rFonts w:hAnsi="宋体" w:cs="宋体"/>
          <w:sz w:val="21"/>
          <w:szCs w:val="21"/>
        </w:rPr>
      </w:pPr>
      <w:r>
        <w:rPr>
          <w:rFonts w:hAnsi="宋体" w:cs="宋体"/>
          <w:sz w:val="21"/>
          <w:szCs w:val="21"/>
        </w:rPr>
        <w:t>3）详细的产品质量文件：包括外形尺寸、性能检验、产品合格证明书、软件原厂商正版授权等文件。</w:t>
      </w:r>
    </w:p>
    <w:p>
      <w:pPr>
        <w:pStyle w:val="21"/>
        <w:keepNext w:val="0"/>
        <w:keepLines w:val="0"/>
        <w:pageBreakBefore w:val="0"/>
        <w:widowControl w:val="0"/>
        <w:kinsoku/>
        <w:wordWrap/>
        <w:topLinePunct w:val="0"/>
        <w:autoSpaceDE/>
        <w:autoSpaceDN/>
        <w:bidi w:val="0"/>
        <w:adjustRightInd/>
        <w:snapToGrid w:val="0"/>
        <w:spacing w:before="120" w:after="120" w:line="380" w:lineRule="exact"/>
        <w:ind w:left="1" w:firstLine="420" w:firstLineChars="200"/>
        <w:textAlignment w:val="auto"/>
        <w:rPr>
          <w:rFonts w:hAnsi="宋体" w:cs="宋体"/>
          <w:sz w:val="21"/>
          <w:szCs w:val="21"/>
        </w:rPr>
      </w:pPr>
      <w:r>
        <w:rPr>
          <w:rFonts w:hAnsi="宋体" w:cs="宋体"/>
          <w:sz w:val="21"/>
          <w:szCs w:val="21"/>
        </w:rPr>
        <w:t>4）安装计划：至少包括：运输/交货、安装日期、安装测试等。</w:t>
      </w:r>
    </w:p>
    <w:p>
      <w:pPr>
        <w:pStyle w:val="21"/>
        <w:keepNext w:val="0"/>
        <w:keepLines w:val="0"/>
        <w:pageBreakBefore w:val="0"/>
        <w:widowControl w:val="0"/>
        <w:kinsoku/>
        <w:wordWrap/>
        <w:topLinePunct w:val="0"/>
        <w:autoSpaceDE/>
        <w:autoSpaceDN/>
        <w:bidi w:val="0"/>
        <w:adjustRightInd/>
        <w:snapToGrid w:val="0"/>
        <w:spacing w:before="120" w:after="120" w:line="380" w:lineRule="exact"/>
        <w:ind w:left="1" w:firstLine="420" w:firstLineChars="200"/>
        <w:textAlignment w:val="auto"/>
        <w:rPr>
          <w:rFonts w:hAnsi="宋体" w:cs="宋体"/>
          <w:sz w:val="21"/>
          <w:szCs w:val="21"/>
        </w:rPr>
      </w:pPr>
      <w:r>
        <w:rPr>
          <w:rFonts w:hAnsi="宋体" w:cs="宋体"/>
          <w:sz w:val="21"/>
          <w:szCs w:val="21"/>
        </w:rPr>
        <w:t>5）安装指南：乙方应当提供所购软件、硬件设备的安装指南。</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十九、合同生效及其它</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1. 合同经双方法定代表人或授权代表签字并加盖单位公章后生效。</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2. 组成本合同的文件包括：本合同协议书；中标通知书；招标文件及招标答疑文件；投标书及其附件；各类规范文件；双方有关洽商、变更等书面协议或文件。</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0" w:firstLineChars="200"/>
        <w:textAlignment w:val="auto"/>
        <w:rPr>
          <w:rFonts w:hAnsi="宋体" w:cs="宋体"/>
          <w:sz w:val="21"/>
          <w:szCs w:val="21"/>
        </w:rPr>
      </w:pPr>
      <w:r>
        <w:rPr>
          <w:rFonts w:hAnsi="宋体" w:cs="宋体"/>
          <w:sz w:val="21"/>
          <w:szCs w:val="21"/>
        </w:rPr>
        <w:t>3.合同执行中涉及采购资金和采购内容修改或补充的，须经有关部门审批，并签书面补充协议报政府采购监督管理部门备案，方可作为主合同不可分割的一部分。</w:t>
      </w:r>
    </w:p>
    <w:p>
      <w:pPr>
        <w:pStyle w:val="21"/>
        <w:keepNext w:val="0"/>
        <w:keepLines w:val="0"/>
        <w:pageBreakBefore w:val="0"/>
        <w:widowControl w:val="0"/>
        <w:kinsoku/>
        <w:wordWrap/>
        <w:topLinePunct w:val="0"/>
        <w:autoSpaceDE/>
        <w:autoSpaceDN/>
        <w:bidi w:val="0"/>
        <w:adjustRightInd/>
        <w:snapToGrid w:val="0"/>
        <w:spacing w:before="120" w:after="120" w:line="380" w:lineRule="exact"/>
        <w:ind w:left="420" w:firstLine="4" w:firstLineChars="2"/>
        <w:textAlignment w:val="auto"/>
        <w:rPr>
          <w:rFonts w:hAnsi="宋体" w:cs="宋体"/>
          <w:sz w:val="21"/>
          <w:szCs w:val="21"/>
        </w:rPr>
      </w:pPr>
      <w:r>
        <w:rPr>
          <w:rFonts w:hAnsi="宋体" w:cs="宋体"/>
          <w:sz w:val="21"/>
          <w:szCs w:val="21"/>
        </w:rPr>
        <w:t>4.本合同未尽事宜，遵照《合同法》有关条文执行。</w:t>
      </w:r>
    </w:p>
    <w:p>
      <w:pPr>
        <w:pStyle w:val="21"/>
        <w:keepNext w:val="0"/>
        <w:keepLines w:val="0"/>
        <w:pageBreakBefore w:val="0"/>
        <w:widowControl w:val="0"/>
        <w:kinsoku/>
        <w:wordWrap/>
        <w:topLinePunct w:val="0"/>
        <w:autoSpaceDE/>
        <w:autoSpaceDN/>
        <w:bidi w:val="0"/>
        <w:adjustRightInd/>
        <w:snapToGrid w:val="0"/>
        <w:spacing w:before="120" w:after="120" w:line="380" w:lineRule="exact"/>
        <w:ind w:firstLine="422" w:firstLineChars="201"/>
        <w:textAlignment w:val="auto"/>
        <w:rPr>
          <w:rFonts w:hAnsi="宋体" w:cs="宋体"/>
          <w:sz w:val="21"/>
          <w:szCs w:val="21"/>
        </w:rPr>
      </w:pPr>
      <w:r>
        <w:rPr>
          <w:rFonts w:hAnsi="宋体" w:cs="宋体"/>
          <w:sz w:val="21"/>
          <w:szCs w:val="21"/>
        </w:rPr>
        <w:t>5.</w:t>
      </w:r>
      <w:r>
        <w:rPr>
          <w:rFonts w:hint="eastAsia" w:hAnsi="宋体" w:cs="宋体"/>
          <w:sz w:val="21"/>
          <w:szCs w:val="21"/>
        </w:rPr>
        <w:t>本合同一式五份，以中文书写，双方各执两份，一份用于备案。</w:t>
      </w:r>
    </w:p>
    <w:p>
      <w:pPr>
        <w:pStyle w:val="3"/>
        <w:rPr>
          <w:color w:val="000000"/>
        </w:rPr>
      </w:pPr>
      <w:r>
        <w:rPr>
          <w:rFonts w:hint="eastAsia"/>
          <w:color w:val="000000"/>
        </w:rPr>
        <w:br w:type="page"/>
      </w:r>
      <w:bookmarkStart w:id="558" w:name="_Toc511142516"/>
      <w:bookmarkStart w:id="559" w:name="_Toc397928626"/>
      <w:bookmarkStart w:id="560" w:name="_Toc9724"/>
      <w:r>
        <w:rPr>
          <w:rFonts w:hint="eastAsia"/>
          <w:color w:val="000000"/>
        </w:rPr>
        <w:t>第五章 货物需求</w:t>
      </w:r>
      <w:bookmarkEnd w:id="558"/>
      <w:bookmarkEnd w:id="559"/>
      <w:bookmarkEnd w:id="560"/>
    </w:p>
    <w:p>
      <w:pPr>
        <w:rPr>
          <w:rFonts w:hint="eastAsia"/>
          <w:b/>
          <w:sz w:val="28"/>
          <w:szCs w:val="28"/>
        </w:rPr>
      </w:pPr>
      <w:r>
        <w:rPr>
          <w:rFonts w:hint="eastAsia"/>
          <w:b/>
          <w:sz w:val="28"/>
          <w:szCs w:val="28"/>
          <w:lang w:eastAsia="zh-CN"/>
        </w:rPr>
        <w:t>一、货物清单</w:t>
      </w:r>
    </w:p>
    <w:tbl>
      <w:tblPr>
        <w:tblStyle w:val="42"/>
        <w:tblW w:w="8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95"/>
        <w:gridCol w:w="960"/>
        <w:gridCol w:w="204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29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货物名称</w:t>
            </w:r>
          </w:p>
        </w:tc>
        <w:tc>
          <w:tcPr>
            <w:tcW w:w="96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2040"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最高限价（万元）</w:t>
            </w:r>
          </w:p>
        </w:tc>
        <w:tc>
          <w:tcPr>
            <w:tcW w:w="189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295"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体质辨识仪</w:t>
            </w:r>
          </w:p>
        </w:tc>
        <w:tc>
          <w:tcPr>
            <w:tcW w:w="960" w:type="dxa"/>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1台</w:t>
            </w:r>
          </w:p>
        </w:tc>
        <w:tc>
          <w:tcPr>
            <w:tcW w:w="2040" w:type="dxa"/>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1890"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295"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四诊仪</w:t>
            </w:r>
          </w:p>
        </w:tc>
        <w:tc>
          <w:tcPr>
            <w:tcW w:w="96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1台</w:t>
            </w:r>
          </w:p>
        </w:tc>
        <w:tc>
          <w:tcPr>
            <w:tcW w:w="2040" w:type="dxa"/>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1890"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295"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经络监测仪</w:t>
            </w:r>
          </w:p>
        </w:tc>
        <w:tc>
          <w:tcPr>
            <w:tcW w:w="96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1台</w:t>
            </w:r>
          </w:p>
        </w:tc>
        <w:tc>
          <w:tcPr>
            <w:tcW w:w="2040" w:type="dxa"/>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1890" w:type="dxa"/>
            <w:vAlign w:val="center"/>
          </w:tcPr>
          <w:p>
            <w:pPr>
              <w:jc w:val="center"/>
              <w:rPr>
                <w:rFonts w:hint="eastAsia" w:asciiTheme="minorEastAsia" w:hAnsiTheme="minorEastAsia" w:eastAsiaTheme="minorEastAsia" w:cstheme="minorEastAsia"/>
                <w:sz w:val="21"/>
                <w:szCs w:val="21"/>
              </w:rPr>
            </w:pPr>
          </w:p>
        </w:tc>
      </w:tr>
    </w:tbl>
    <w:p>
      <w:pPr>
        <w:rPr>
          <w:rFonts w:hint="eastAsia"/>
          <w:b/>
          <w:sz w:val="28"/>
          <w:szCs w:val="28"/>
        </w:rPr>
      </w:pPr>
      <w:r>
        <w:rPr>
          <w:rFonts w:hint="eastAsia"/>
          <w:b/>
          <w:sz w:val="28"/>
          <w:szCs w:val="28"/>
          <w:lang w:eastAsia="zh-CN"/>
        </w:rPr>
        <w:t>二、产品技术要求</w:t>
      </w:r>
    </w:p>
    <w:p>
      <w:pPr>
        <w:spacing w:line="360" w:lineRule="auto"/>
        <w:rPr>
          <w:rFonts w:ascii="宋体" w:hAnsi="宋体" w:cs="宋体"/>
          <w:b/>
          <w:bCs/>
          <w:sz w:val="24"/>
          <w:szCs w:val="24"/>
          <w:lang w:val="zh-TW"/>
        </w:rPr>
      </w:pPr>
      <w:r>
        <w:rPr>
          <w:rFonts w:hint="eastAsia" w:ascii="宋体" w:hAnsi="宋体"/>
          <w:b/>
          <w:sz w:val="28"/>
          <w:szCs w:val="28"/>
          <w:lang w:eastAsia="zh-CN"/>
        </w:rPr>
        <w:t>（一）</w:t>
      </w:r>
      <w:r>
        <w:rPr>
          <w:rFonts w:hint="eastAsia" w:ascii="宋体" w:hAnsi="宋体" w:cs="宋体"/>
          <w:b/>
          <w:bCs/>
          <w:sz w:val="24"/>
          <w:szCs w:val="24"/>
          <w:lang w:val="zh-TW"/>
        </w:rPr>
        <w:t>体质辨识仪</w:t>
      </w:r>
    </w:p>
    <w:p>
      <w:pPr>
        <w:spacing w:line="360" w:lineRule="auto"/>
        <w:rPr>
          <w:rFonts w:ascii="宋体" w:hAnsi="宋体" w:cs="宋体"/>
          <w:b/>
          <w:bCs/>
          <w:sz w:val="24"/>
          <w:szCs w:val="24"/>
          <w:lang w:val="zh-TW" w:eastAsia="zh-TW"/>
        </w:rPr>
      </w:pPr>
      <w:r>
        <w:rPr>
          <w:rFonts w:ascii="宋体" w:hAnsi="宋体" w:cs="宋体"/>
          <w:b/>
          <w:bCs/>
          <w:sz w:val="24"/>
          <w:szCs w:val="24"/>
          <w:lang w:val="zh-TW" w:eastAsia="zh-TW"/>
        </w:rPr>
        <w:t>自助触摸终端技术要求</w:t>
      </w:r>
    </w:p>
    <w:p>
      <w:pPr>
        <w:spacing w:line="360" w:lineRule="auto"/>
        <w:rPr>
          <w:rFonts w:ascii="宋体" w:hAnsi="宋体" w:cs="宋体"/>
          <w:b/>
          <w:bCs/>
          <w:sz w:val="24"/>
          <w:szCs w:val="24"/>
        </w:rPr>
      </w:pPr>
      <w:r>
        <w:rPr>
          <w:rFonts w:ascii="宋体" w:hAnsi="宋体" w:cs="宋体"/>
          <w:b/>
          <w:bCs/>
          <w:sz w:val="24"/>
          <w:szCs w:val="24"/>
        </w:rPr>
        <w:t>1</w:t>
      </w:r>
      <w:r>
        <w:rPr>
          <w:rFonts w:ascii="宋体" w:hAnsi="宋体" w:cs="宋体"/>
          <w:b/>
          <w:bCs/>
          <w:sz w:val="24"/>
          <w:szCs w:val="24"/>
          <w:lang w:val="zh-TW" w:eastAsia="zh-TW"/>
        </w:rPr>
        <w:t>、显示部分</w:t>
      </w:r>
    </w:p>
    <w:p>
      <w:pPr>
        <w:spacing w:line="360" w:lineRule="auto"/>
        <w:rPr>
          <w:rFonts w:ascii="宋体" w:hAnsi="宋体" w:cs="宋体"/>
          <w:sz w:val="21"/>
          <w:szCs w:val="21"/>
        </w:rPr>
      </w:pPr>
      <w:r>
        <w:rPr>
          <w:rFonts w:ascii="宋体" w:hAnsi="宋体" w:cs="宋体"/>
          <w:sz w:val="21"/>
          <w:szCs w:val="21"/>
        </w:rPr>
        <w:t>“21.5”</w:t>
      </w:r>
      <w:r>
        <w:rPr>
          <w:rFonts w:ascii="宋体" w:hAnsi="宋体" w:cs="宋体"/>
          <w:sz w:val="21"/>
          <w:szCs w:val="21"/>
          <w:lang w:val="zh-TW" w:eastAsia="zh-TW"/>
        </w:rPr>
        <w:t xml:space="preserve">触控显示模块      </w:t>
      </w:r>
    </w:p>
    <w:p>
      <w:pPr>
        <w:spacing w:line="360" w:lineRule="auto"/>
        <w:rPr>
          <w:rFonts w:ascii="宋体" w:hAnsi="宋体" w:cs="宋体"/>
          <w:sz w:val="21"/>
          <w:szCs w:val="21"/>
        </w:rPr>
      </w:pPr>
      <w:r>
        <w:rPr>
          <w:rFonts w:ascii="宋体" w:hAnsi="宋体" w:cs="宋体"/>
          <w:sz w:val="21"/>
          <w:szCs w:val="21"/>
          <w:lang w:val="zh-TW" w:eastAsia="zh-TW"/>
        </w:rPr>
        <w:t>亮度：</w:t>
      </w:r>
      <w:r>
        <w:rPr>
          <w:rFonts w:ascii="宋体" w:hAnsi="宋体" w:cs="宋体"/>
          <w:sz w:val="21"/>
          <w:szCs w:val="21"/>
        </w:rPr>
        <w:t xml:space="preserve">300cd </w:t>
      </w:r>
      <w:r>
        <w:rPr>
          <w:rFonts w:ascii="宋体" w:hAnsi="宋体" w:cs="宋体"/>
          <w:sz w:val="21"/>
          <w:szCs w:val="21"/>
          <w:lang w:val="zh-TW" w:eastAsia="zh-TW"/>
        </w:rPr>
        <w:t>对比度</w:t>
      </w:r>
      <w:r>
        <w:rPr>
          <w:rFonts w:ascii="宋体" w:hAnsi="宋体" w:cs="宋体"/>
          <w:sz w:val="21"/>
          <w:szCs w:val="21"/>
        </w:rPr>
        <w:t>5000</w:t>
      </w:r>
      <w:r>
        <w:rPr>
          <w:rFonts w:ascii="宋体" w:hAnsi="宋体" w:cs="宋体"/>
          <w:sz w:val="21"/>
          <w:szCs w:val="21"/>
          <w:lang w:val="zh-TW" w:eastAsia="zh-TW"/>
        </w:rPr>
        <w:t>：</w:t>
      </w:r>
      <w:r>
        <w:rPr>
          <w:rFonts w:ascii="宋体" w:hAnsi="宋体" w:cs="宋体"/>
          <w:sz w:val="21"/>
          <w:szCs w:val="21"/>
        </w:rPr>
        <w:t>1</w:t>
      </w:r>
    </w:p>
    <w:p>
      <w:pPr>
        <w:spacing w:line="360" w:lineRule="auto"/>
        <w:rPr>
          <w:rFonts w:ascii="宋体" w:hAnsi="宋体" w:cs="宋体"/>
          <w:sz w:val="21"/>
          <w:szCs w:val="21"/>
        </w:rPr>
      </w:pPr>
      <w:r>
        <w:rPr>
          <w:rFonts w:ascii="宋体" w:hAnsi="宋体" w:cs="宋体"/>
          <w:sz w:val="21"/>
          <w:szCs w:val="21"/>
          <w:lang w:val="zh-TW" w:eastAsia="zh-TW"/>
        </w:rPr>
        <w:t>平均故障间隔时间：</w:t>
      </w:r>
      <w:r>
        <w:rPr>
          <w:rFonts w:ascii="宋体" w:hAnsi="宋体" w:cs="宋体"/>
          <w:sz w:val="21"/>
          <w:szCs w:val="21"/>
        </w:rPr>
        <w:t>40000</w:t>
      </w:r>
      <w:r>
        <w:rPr>
          <w:rFonts w:ascii="宋体" w:hAnsi="宋体" w:cs="宋体"/>
          <w:sz w:val="21"/>
          <w:szCs w:val="21"/>
          <w:lang w:val="zh-TW" w:eastAsia="zh-TW"/>
        </w:rPr>
        <w:t>小时</w:t>
      </w:r>
    </w:p>
    <w:p>
      <w:pPr>
        <w:spacing w:line="360" w:lineRule="auto"/>
        <w:rPr>
          <w:rFonts w:ascii="宋体" w:hAnsi="宋体" w:cs="宋体"/>
          <w:sz w:val="21"/>
          <w:szCs w:val="21"/>
        </w:rPr>
      </w:pPr>
      <w:r>
        <w:rPr>
          <w:rFonts w:ascii="宋体" w:hAnsi="宋体" w:cs="宋体"/>
          <w:sz w:val="21"/>
          <w:szCs w:val="21"/>
          <w:lang w:val="zh-TW" w:eastAsia="zh-TW"/>
        </w:rPr>
        <w:t>分辨率</w:t>
      </w:r>
      <w:r>
        <w:rPr>
          <w:rFonts w:ascii="宋体" w:hAnsi="宋体" w:cs="宋体"/>
          <w:sz w:val="21"/>
          <w:szCs w:val="21"/>
        </w:rPr>
        <w:t>1920*1080</w:t>
      </w:r>
    </w:p>
    <w:p>
      <w:pPr>
        <w:spacing w:line="360" w:lineRule="auto"/>
        <w:rPr>
          <w:rFonts w:ascii="宋体" w:hAnsi="宋体" w:cs="宋体"/>
          <w:b/>
          <w:bCs/>
          <w:sz w:val="24"/>
          <w:szCs w:val="24"/>
        </w:rPr>
      </w:pPr>
      <w:r>
        <w:rPr>
          <w:rFonts w:ascii="宋体" w:hAnsi="宋体" w:cs="宋体"/>
          <w:b/>
          <w:bCs/>
          <w:sz w:val="24"/>
          <w:szCs w:val="24"/>
        </w:rPr>
        <w:t>2</w:t>
      </w:r>
      <w:r>
        <w:rPr>
          <w:rFonts w:ascii="宋体" w:hAnsi="宋体" w:cs="宋体"/>
          <w:b/>
          <w:bCs/>
          <w:sz w:val="24"/>
          <w:szCs w:val="24"/>
          <w:lang w:val="zh-TW" w:eastAsia="zh-TW"/>
        </w:rPr>
        <w:t>、触摸部分</w:t>
      </w:r>
    </w:p>
    <w:p>
      <w:pPr>
        <w:spacing w:line="360" w:lineRule="auto"/>
        <w:rPr>
          <w:rFonts w:ascii="宋体" w:hAnsi="宋体" w:cs="宋体"/>
          <w:sz w:val="21"/>
          <w:szCs w:val="21"/>
        </w:rPr>
      </w:pPr>
      <w:r>
        <w:rPr>
          <w:rFonts w:ascii="宋体" w:hAnsi="宋体" w:cs="宋体"/>
          <w:sz w:val="21"/>
          <w:szCs w:val="21"/>
        </w:rPr>
        <w:t>“21.5”</w:t>
      </w:r>
      <w:r>
        <w:rPr>
          <w:rFonts w:ascii="宋体" w:hAnsi="宋体" w:cs="宋体"/>
          <w:sz w:val="21"/>
          <w:szCs w:val="21"/>
          <w:lang w:val="zh-TW" w:eastAsia="zh-TW"/>
        </w:rPr>
        <w:t xml:space="preserve"> 红外</w:t>
      </w:r>
      <w:r>
        <w:rPr>
          <w:rFonts w:ascii="宋体" w:hAnsi="宋体" w:cs="宋体"/>
          <w:sz w:val="21"/>
          <w:szCs w:val="21"/>
        </w:rPr>
        <w:t>2</w:t>
      </w:r>
      <w:r>
        <w:rPr>
          <w:rFonts w:ascii="宋体" w:hAnsi="宋体" w:cs="宋体"/>
          <w:sz w:val="21"/>
          <w:szCs w:val="21"/>
          <w:lang w:val="zh-TW" w:eastAsia="zh-TW"/>
        </w:rPr>
        <w:t>点触摸屏</w:t>
      </w:r>
    </w:p>
    <w:p>
      <w:pPr>
        <w:spacing w:line="360" w:lineRule="auto"/>
        <w:rPr>
          <w:rFonts w:ascii="宋体" w:hAnsi="宋体" w:cs="宋体"/>
          <w:sz w:val="21"/>
          <w:szCs w:val="21"/>
        </w:rPr>
      </w:pPr>
      <w:r>
        <w:rPr>
          <w:rFonts w:ascii="宋体" w:hAnsi="宋体" w:cs="宋体"/>
          <w:sz w:val="21"/>
          <w:szCs w:val="21"/>
          <w:lang w:val="zh-TW" w:eastAsia="zh-TW"/>
        </w:rPr>
        <w:t>感应时间：</w:t>
      </w:r>
      <w:r>
        <w:rPr>
          <w:rFonts w:ascii="宋体" w:hAnsi="宋体" w:cs="宋体"/>
          <w:sz w:val="21"/>
          <w:szCs w:val="21"/>
        </w:rPr>
        <w:t xml:space="preserve">&lt;16ms </w:t>
      </w:r>
      <w:r>
        <w:rPr>
          <w:rFonts w:ascii="宋体" w:hAnsi="宋体" w:cs="宋体"/>
          <w:sz w:val="21"/>
          <w:szCs w:val="21"/>
          <w:lang w:val="zh-TW" w:eastAsia="zh-TW"/>
        </w:rPr>
        <w:t>透光率：</w:t>
      </w:r>
      <w:r>
        <w:rPr>
          <w:rFonts w:ascii="宋体" w:hAnsi="宋体" w:cs="宋体"/>
          <w:sz w:val="21"/>
          <w:szCs w:val="21"/>
        </w:rPr>
        <w:t xml:space="preserve">&gt; 96 %, </w:t>
      </w:r>
      <w:r>
        <w:rPr>
          <w:rFonts w:ascii="宋体" w:hAnsi="宋体" w:cs="宋体"/>
          <w:sz w:val="21"/>
          <w:szCs w:val="21"/>
          <w:lang w:val="zh-TW" w:eastAsia="zh-TW"/>
        </w:rPr>
        <w:t xml:space="preserve">最高可达 </w:t>
      </w:r>
      <w:r>
        <w:rPr>
          <w:rFonts w:ascii="宋体" w:hAnsi="宋体" w:cs="宋体"/>
          <w:sz w:val="21"/>
          <w:szCs w:val="21"/>
        </w:rPr>
        <w:t>100%</w:t>
      </w:r>
    </w:p>
    <w:p>
      <w:pPr>
        <w:spacing w:line="360" w:lineRule="auto"/>
        <w:rPr>
          <w:rFonts w:ascii="宋体" w:hAnsi="宋体" w:cs="宋体"/>
          <w:sz w:val="21"/>
          <w:szCs w:val="21"/>
        </w:rPr>
      </w:pPr>
      <w:r>
        <w:rPr>
          <w:rFonts w:ascii="宋体" w:hAnsi="宋体" w:cs="宋体"/>
          <w:sz w:val="21"/>
          <w:szCs w:val="21"/>
          <w:lang w:val="zh-TW" w:eastAsia="zh-TW"/>
        </w:rPr>
        <w:t>触摸分辨率：</w:t>
      </w:r>
      <w:r>
        <w:rPr>
          <w:rFonts w:ascii="宋体" w:hAnsi="宋体" w:cs="宋体"/>
          <w:sz w:val="21"/>
          <w:szCs w:val="21"/>
        </w:rPr>
        <w:t>32768×32768</w:t>
      </w:r>
    </w:p>
    <w:p>
      <w:pPr>
        <w:spacing w:line="360" w:lineRule="auto"/>
        <w:rPr>
          <w:rFonts w:ascii="宋体" w:hAnsi="宋体" w:cs="宋体"/>
          <w:sz w:val="21"/>
          <w:szCs w:val="21"/>
        </w:rPr>
      </w:pPr>
      <w:r>
        <w:rPr>
          <w:rFonts w:ascii="宋体" w:hAnsi="宋体" w:cs="宋体"/>
          <w:sz w:val="21"/>
          <w:szCs w:val="21"/>
          <w:lang w:val="zh-TW" w:eastAsia="zh-TW"/>
        </w:rPr>
        <w:t>扫描速率：</w:t>
      </w:r>
      <w:r>
        <w:rPr>
          <w:rFonts w:ascii="宋体" w:hAnsi="宋体" w:cs="宋体"/>
          <w:sz w:val="21"/>
          <w:szCs w:val="21"/>
        </w:rPr>
        <w:t>50scans/s</w:t>
      </w:r>
    </w:p>
    <w:p>
      <w:pPr>
        <w:spacing w:line="360" w:lineRule="auto"/>
        <w:rPr>
          <w:rFonts w:ascii="宋体" w:hAnsi="宋体" w:cs="宋体"/>
          <w:sz w:val="21"/>
          <w:szCs w:val="21"/>
        </w:rPr>
      </w:pPr>
      <w:r>
        <w:rPr>
          <w:rFonts w:ascii="宋体" w:hAnsi="宋体" w:cs="宋体"/>
          <w:sz w:val="21"/>
          <w:szCs w:val="21"/>
          <w:lang w:val="zh-TW" w:eastAsia="zh-TW"/>
        </w:rPr>
        <w:t>耐久性：承受超过</w:t>
      </w:r>
      <w:r>
        <w:rPr>
          <w:rFonts w:ascii="宋体" w:hAnsi="宋体" w:cs="宋体"/>
          <w:sz w:val="21"/>
          <w:szCs w:val="21"/>
        </w:rPr>
        <w:t>60,000,000</w:t>
      </w:r>
      <w:r>
        <w:rPr>
          <w:rFonts w:ascii="宋体" w:hAnsi="宋体" w:cs="宋体"/>
          <w:sz w:val="21"/>
          <w:szCs w:val="21"/>
          <w:lang w:val="zh-TW" w:eastAsia="zh-TW"/>
        </w:rPr>
        <w:t>次以上的单点触摸</w:t>
      </w:r>
    </w:p>
    <w:p>
      <w:pPr>
        <w:spacing w:line="360" w:lineRule="auto"/>
        <w:rPr>
          <w:rFonts w:ascii="宋体" w:hAnsi="宋体" w:cs="宋体"/>
          <w:b/>
          <w:bCs/>
          <w:sz w:val="24"/>
          <w:szCs w:val="24"/>
        </w:rPr>
      </w:pPr>
      <w:r>
        <w:rPr>
          <w:rFonts w:ascii="宋体" w:hAnsi="宋体" w:cs="宋体"/>
          <w:b/>
          <w:bCs/>
          <w:sz w:val="24"/>
          <w:szCs w:val="24"/>
        </w:rPr>
        <w:t>3</w:t>
      </w:r>
      <w:r>
        <w:rPr>
          <w:rFonts w:ascii="宋体" w:hAnsi="宋体" w:cs="宋体"/>
          <w:b/>
          <w:bCs/>
          <w:sz w:val="24"/>
          <w:szCs w:val="24"/>
          <w:lang w:val="zh-TW" w:eastAsia="zh-TW"/>
        </w:rPr>
        <w:t>、主机配置</w:t>
      </w:r>
    </w:p>
    <w:p>
      <w:pPr>
        <w:spacing w:line="360" w:lineRule="auto"/>
        <w:rPr>
          <w:rFonts w:ascii="宋体" w:hAnsi="宋体" w:cs="宋体"/>
          <w:color w:val="auto"/>
          <w:sz w:val="21"/>
          <w:szCs w:val="21"/>
        </w:rPr>
      </w:pPr>
      <w:r>
        <w:rPr>
          <w:rFonts w:ascii="宋体" w:hAnsi="宋体" w:cs="宋体"/>
          <w:color w:val="auto"/>
          <w:sz w:val="21"/>
          <w:szCs w:val="21"/>
        </w:rPr>
        <w:t xml:space="preserve">CPU:I3  </w:t>
      </w:r>
      <w:r>
        <w:rPr>
          <w:rFonts w:hint="eastAsia" w:ascii="宋体" w:hAnsi="宋体" w:cs="宋体"/>
          <w:color w:val="auto"/>
          <w:sz w:val="21"/>
          <w:szCs w:val="21"/>
          <w:lang w:val="en-US" w:eastAsia="zh-CN"/>
        </w:rPr>
        <w:t>8</w:t>
      </w:r>
      <w:r>
        <w:rPr>
          <w:rFonts w:ascii="宋体" w:hAnsi="宋体" w:cs="宋体"/>
          <w:color w:val="auto"/>
          <w:sz w:val="21"/>
          <w:szCs w:val="21"/>
        </w:rPr>
        <w:t>G</w:t>
      </w:r>
      <w:r>
        <w:rPr>
          <w:rFonts w:hint="eastAsia" w:ascii="宋体" w:hAnsi="宋体" w:cs="宋体"/>
          <w:color w:val="auto"/>
          <w:sz w:val="21"/>
          <w:szCs w:val="21"/>
          <w:lang w:val="en-US" w:eastAsia="zh-CN"/>
        </w:rPr>
        <w:t xml:space="preserve">B </w:t>
      </w:r>
      <w:r>
        <w:rPr>
          <w:rFonts w:ascii="宋体" w:hAnsi="宋体" w:cs="宋体"/>
          <w:color w:val="auto"/>
          <w:sz w:val="21"/>
          <w:szCs w:val="21"/>
        </w:rPr>
        <w:t>DDR3</w:t>
      </w:r>
      <w:r>
        <w:rPr>
          <w:rFonts w:ascii="宋体" w:hAnsi="宋体" w:cs="宋体"/>
          <w:color w:val="auto"/>
          <w:sz w:val="21"/>
          <w:szCs w:val="21"/>
          <w:lang w:val="zh-TW" w:eastAsia="zh-TW"/>
        </w:rPr>
        <w:t>内存</w:t>
      </w:r>
      <w:r>
        <w:rPr>
          <w:rFonts w:ascii="宋体" w:hAnsi="宋体" w:cs="宋体"/>
          <w:color w:val="auto"/>
          <w:sz w:val="21"/>
          <w:szCs w:val="21"/>
        </w:rPr>
        <w:t xml:space="preserve"> </w:t>
      </w:r>
      <w:r>
        <w:rPr>
          <w:rFonts w:hint="eastAsia" w:ascii="宋体" w:hAnsi="宋体" w:cs="宋体"/>
          <w:color w:val="auto"/>
          <w:sz w:val="21"/>
          <w:szCs w:val="21"/>
          <w:lang w:val="en-US" w:eastAsia="zh-CN"/>
        </w:rPr>
        <w:t>500</w:t>
      </w:r>
      <w:r>
        <w:rPr>
          <w:rFonts w:ascii="宋体" w:hAnsi="宋体" w:cs="宋体"/>
          <w:color w:val="auto"/>
          <w:sz w:val="21"/>
          <w:szCs w:val="21"/>
        </w:rPr>
        <w:t>G</w:t>
      </w:r>
      <w:r>
        <w:rPr>
          <w:rFonts w:ascii="宋体" w:hAnsi="宋体" w:cs="宋体"/>
          <w:color w:val="auto"/>
          <w:sz w:val="21"/>
          <w:szCs w:val="21"/>
          <w:lang w:val="zh-TW" w:eastAsia="zh-TW"/>
        </w:rPr>
        <w:t>固态硬盘</w:t>
      </w:r>
      <w:r>
        <w:rPr>
          <w:rFonts w:ascii="宋体" w:hAnsi="宋体" w:cs="宋体"/>
          <w:color w:val="auto"/>
          <w:sz w:val="21"/>
          <w:szCs w:val="21"/>
        </w:rPr>
        <w:t xml:space="preserve">  </w:t>
      </w:r>
      <w:r>
        <w:rPr>
          <w:rFonts w:ascii="宋体" w:hAnsi="宋体" w:cs="宋体"/>
          <w:color w:val="auto"/>
          <w:sz w:val="21"/>
          <w:szCs w:val="21"/>
          <w:lang w:val="zh-TW" w:eastAsia="zh-TW"/>
        </w:rPr>
        <w:t>超薄电源</w:t>
      </w:r>
    </w:p>
    <w:p>
      <w:pPr>
        <w:spacing w:line="360" w:lineRule="auto"/>
        <w:rPr>
          <w:rFonts w:ascii="宋体" w:hAnsi="宋体" w:cs="宋体"/>
          <w:b/>
          <w:bCs/>
          <w:sz w:val="24"/>
          <w:szCs w:val="24"/>
        </w:rPr>
      </w:pPr>
      <w:r>
        <w:rPr>
          <w:rFonts w:ascii="宋体" w:hAnsi="宋体" w:cs="宋体"/>
          <w:b/>
          <w:bCs/>
          <w:sz w:val="24"/>
          <w:szCs w:val="24"/>
        </w:rPr>
        <w:t>4</w:t>
      </w:r>
      <w:r>
        <w:rPr>
          <w:rFonts w:ascii="宋体" w:hAnsi="宋体" w:cs="宋体"/>
          <w:b/>
          <w:bCs/>
          <w:sz w:val="24"/>
          <w:szCs w:val="24"/>
          <w:lang w:val="zh-TW" w:eastAsia="zh-TW"/>
        </w:rPr>
        <w:t>、机体</w:t>
      </w:r>
    </w:p>
    <w:p>
      <w:pPr>
        <w:spacing w:line="360" w:lineRule="auto"/>
        <w:rPr>
          <w:rFonts w:ascii="宋体" w:hAnsi="宋体" w:cs="宋体"/>
          <w:sz w:val="21"/>
          <w:szCs w:val="21"/>
        </w:rPr>
      </w:pPr>
      <w:r>
        <w:rPr>
          <w:rFonts w:ascii="宋体" w:hAnsi="宋体" w:cs="宋体"/>
          <w:sz w:val="21"/>
          <w:szCs w:val="21"/>
          <w:lang w:val="zh-TW" w:eastAsia="zh-TW"/>
        </w:rPr>
        <w:t>冷轧钢</w:t>
      </w:r>
      <w:r>
        <w:rPr>
          <w:rFonts w:ascii="宋体" w:hAnsi="宋体" w:cs="宋体"/>
          <w:sz w:val="21"/>
          <w:szCs w:val="21"/>
        </w:rPr>
        <w:t>,</w:t>
      </w:r>
      <w:r>
        <w:rPr>
          <w:rFonts w:ascii="宋体" w:hAnsi="宋体" w:cs="宋体"/>
          <w:sz w:val="21"/>
          <w:szCs w:val="21"/>
          <w:lang w:val="zh-TW" w:eastAsia="zh-TW"/>
        </w:rPr>
        <w:t xml:space="preserve">豪华金属烤漆 </w:t>
      </w:r>
    </w:p>
    <w:p>
      <w:pPr>
        <w:spacing w:line="360" w:lineRule="auto"/>
        <w:rPr>
          <w:rFonts w:ascii="宋体" w:hAnsi="宋体" w:cs="宋体"/>
          <w:sz w:val="21"/>
          <w:szCs w:val="21"/>
        </w:rPr>
      </w:pPr>
      <w:r>
        <w:rPr>
          <w:rFonts w:ascii="宋体" w:hAnsi="宋体" w:cs="宋体"/>
          <w:sz w:val="21"/>
          <w:szCs w:val="21"/>
          <w:lang w:val="zh-TW" w:eastAsia="zh-TW"/>
        </w:rPr>
        <w:t>电压：</w:t>
      </w:r>
      <w:r>
        <w:rPr>
          <w:rFonts w:ascii="宋体" w:hAnsi="宋体" w:cs="宋体"/>
          <w:sz w:val="21"/>
          <w:szCs w:val="21"/>
        </w:rPr>
        <w:t>AC220V ± 10% 50HZ ± 1HZ</w:t>
      </w:r>
      <w:r>
        <w:rPr>
          <w:rFonts w:ascii="宋体" w:hAnsi="宋体" w:cs="宋体"/>
          <w:sz w:val="21"/>
          <w:szCs w:val="21"/>
          <w:lang w:val="zh-TW" w:eastAsia="zh-TW"/>
        </w:rPr>
        <w:t>，</w:t>
      </w:r>
    </w:p>
    <w:p>
      <w:pPr>
        <w:spacing w:line="360" w:lineRule="auto"/>
        <w:rPr>
          <w:rFonts w:ascii="宋体" w:hAnsi="宋体" w:cs="宋体"/>
          <w:sz w:val="21"/>
          <w:szCs w:val="21"/>
        </w:rPr>
      </w:pPr>
      <w:r>
        <w:rPr>
          <w:rFonts w:ascii="宋体" w:hAnsi="宋体" w:cs="宋体"/>
          <w:sz w:val="21"/>
          <w:szCs w:val="21"/>
          <w:lang w:val="zh-TW" w:eastAsia="zh-TW"/>
        </w:rPr>
        <w:t>功率：</w:t>
      </w:r>
      <w:r>
        <w:rPr>
          <w:rFonts w:ascii="宋体" w:hAnsi="宋体" w:cs="宋体"/>
          <w:sz w:val="21"/>
          <w:szCs w:val="21"/>
        </w:rPr>
        <w:t>&lt;200W</w:t>
      </w:r>
    </w:p>
    <w:p>
      <w:pPr>
        <w:spacing w:line="360" w:lineRule="auto"/>
        <w:rPr>
          <w:rFonts w:ascii="宋体" w:hAnsi="宋体" w:cs="宋体"/>
          <w:sz w:val="21"/>
          <w:szCs w:val="21"/>
          <w:lang w:val="zh-TW" w:eastAsia="zh-TW"/>
        </w:rPr>
      </w:pPr>
      <w:r>
        <w:rPr>
          <w:rFonts w:ascii="宋体" w:hAnsi="宋体" w:cs="宋体"/>
          <w:sz w:val="21"/>
          <w:szCs w:val="21"/>
          <w:lang w:val="zh-TW" w:eastAsia="zh-TW"/>
        </w:rPr>
        <w:t>内置控制板、音箱、排风扇</w:t>
      </w:r>
    </w:p>
    <w:p>
      <w:pPr>
        <w:spacing w:line="360" w:lineRule="auto"/>
        <w:rPr>
          <w:rFonts w:ascii="宋体" w:hAnsi="宋体" w:cs="宋体"/>
          <w:b/>
          <w:bCs/>
          <w:sz w:val="24"/>
          <w:szCs w:val="24"/>
        </w:rPr>
      </w:pPr>
      <w:r>
        <w:rPr>
          <w:rFonts w:ascii="宋体" w:hAnsi="宋体" w:cs="宋体"/>
          <w:b/>
          <w:bCs/>
          <w:sz w:val="24"/>
          <w:szCs w:val="24"/>
        </w:rPr>
        <w:t>5</w:t>
      </w:r>
      <w:r>
        <w:rPr>
          <w:rFonts w:ascii="宋体" w:hAnsi="宋体" w:cs="宋体"/>
          <w:b/>
          <w:bCs/>
          <w:sz w:val="24"/>
          <w:szCs w:val="24"/>
          <w:lang w:val="zh-TW" w:eastAsia="zh-TW"/>
        </w:rPr>
        <w:t>、附件</w:t>
      </w:r>
    </w:p>
    <w:p>
      <w:pPr>
        <w:spacing w:line="360" w:lineRule="auto"/>
        <w:rPr>
          <w:rFonts w:ascii="宋体" w:hAnsi="宋体" w:cs="宋体"/>
          <w:sz w:val="21"/>
          <w:szCs w:val="21"/>
        </w:rPr>
      </w:pPr>
      <w:r>
        <w:rPr>
          <w:rFonts w:ascii="宋体" w:hAnsi="宋体" w:cs="宋体"/>
          <w:sz w:val="21"/>
          <w:szCs w:val="21"/>
        </w:rPr>
        <w:t>80mm</w:t>
      </w:r>
      <w:r>
        <w:rPr>
          <w:rFonts w:ascii="宋体" w:hAnsi="宋体" w:cs="宋体"/>
          <w:sz w:val="21"/>
          <w:szCs w:val="21"/>
          <w:lang w:val="zh-TW" w:eastAsia="zh-TW"/>
        </w:rPr>
        <w:t>热敏打印机</w:t>
      </w:r>
    </w:p>
    <w:p>
      <w:pPr>
        <w:spacing w:line="360" w:lineRule="auto"/>
        <w:rPr>
          <w:rFonts w:ascii="宋体" w:hAnsi="宋体" w:cs="宋体"/>
          <w:b/>
          <w:bCs/>
          <w:sz w:val="24"/>
          <w:szCs w:val="24"/>
        </w:rPr>
      </w:pPr>
      <w:r>
        <w:rPr>
          <w:rFonts w:ascii="宋体" w:hAnsi="宋体" w:cs="宋体"/>
          <w:b/>
          <w:bCs/>
          <w:sz w:val="24"/>
          <w:szCs w:val="24"/>
        </w:rPr>
        <w:t>6</w:t>
      </w:r>
      <w:r>
        <w:rPr>
          <w:rFonts w:ascii="宋体" w:hAnsi="宋体" w:cs="宋体"/>
          <w:b/>
          <w:bCs/>
          <w:sz w:val="24"/>
          <w:szCs w:val="24"/>
          <w:lang w:val="zh-TW" w:eastAsia="zh-TW"/>
        </w:rPr>
        <w:t>、具有漏电保护功能</w:t>
      </w:r>
    </w:p>
    <w:p>
      <w:pPr>
        <w:spacing w:line="360" w:lineRule="auto"/>
        <w:rPr>
          <w:rFonts w:ascii="宋体" w:hAnsi="宋体" w:cs="宋体"/>
          <w:b/>
          <w:bCs/>
          <w:sz w:val="24"/>
          <w:szCs w:val="24"/>
        </w:rPr>
      </w:pPr>
    </w:p>
    <w:p>
      <w:pPr>
        <w:spacing w:line="360" w:lineRule="auto"/>
        <w:rPr>
          <w:rFonts w:ascii="宋体" w:hAnsi="宋体" w:cs="宋体"/>
          <w:b/>
          <w:bCs/>
          <w:sz w:val="24"/>
          <w:szCs w:val="24"/>
          <w:lang w:val="zh-TW" w:eastAsia="zh-TW"/>
        </w:rPr>
      </w:pPr>
      <w:r>
        <w:rPr>
          <w:rFonts w:ascii="宋体" w:hAnsi="宋体" w:cs="宋体"/>
          <w:b/>
          <w:bCs/>
          <w:sz w:val="24"/>
          <w:szCs w:val="24"/>
          <w:lang w:val="zh-TW" w:eastAsia="zh-TW"/>
        </w:rPr>
        <w:t>产品功能性要求</w:t>
      </w:r>
    </w:p>
    <w:p>
      <w:pPr>
        <w:spacing w:line="360" w:lineRule="auto"/>
        <w:outlineLvl w:val="0"/>
        <w:rPr>
          <w:rFonts w:ascii="宋体" w:hAnsi="宋体" w:cs="宋体"/>
          <w:b/>
          <w:bCs/>
          <w:sz w:val="24"/>
          <w:szCs w:val="24"/>
        </w:rPr>
      </w:pPr>
      <w:r>
        <w:rPr>
          <w:rFonts w:ascii="宋体" w:hAnsi="宋体" w:cs="宋体"/>
          <w:b/>
          <w:bCs/>
          <w:sz w:val="24"/>
          <w:szCs w:val="24"/>
        </w:rPr>
        <w:t>1</w:t>
      </w:r>
      <w:r>
        <w:rPr>
          <w:rFonts w:ascii="宋体" w:hAnsi="宋体" w:cs="宋体"/>
          <w:b/>
          <w:bCs/>
          <w:sz w:val="24"/>
          <w:szCs w:val="24"/>
          <w:lang w:val="zh-TW" w:eastAsia="zh-TW"/>
        </w:rPr>
        <w:t>、</w:t>
      </w:r>
      <w:r>
        <w:rPr>
          <w:rFonts w:ascii="宋体" w:hAnsi="宋体" w:cs="宋体"/>
          <w:b/>
          <w:bCs/>
          <w:kern w:val="0"/>
          <w:sz w:val="24"/>
          <w:szCs w:val="24"/>
          <w:lang w:val="zh-TW" w:eastAsia="zh-TW"/>
        </w:rPr>
        <w:t>体质辨识功能</w:t>
      </w:r>
    </w:p>
    <w:p>
      <w:pPr>
        <w:spacing w:line="360" w:lineRule="auto"/>
        <w:rPr>
          <w:rFonts w:ascii="宋体" w:hAnsi="宋体" w:cs="宋体"/>
          <w:sz w:val="21"/>
          <w:szCs w:val="21"/>
        </w:rPr>
      </w:pPr>
      <w:r>
        <w:rPr>
          <w:rFonts w:ascii="宋体" w:hAnsi="宋体" w:cs="宋体"/>
          <w:sz w:val="21"/>
          <w:szCs w:val="21"/>
        </w:rPr>
        <w:t>1</w:t>
      </w:r>
      <w:r>
        <w:rPr>
          <w:rFonts w:ascii="宋体" w:hAnsi="宋体" w:cs="宋体"/>
          <w:sz w:val="21"/>
          <w:szCs w:val="21"/>
          <w:lang w:val="zh-TW" w:eastAsia="zh-TW"/>
        </w:rPr>
        <w:t xml:space="preserve">）须符合中华中医药学会 </w:t>
      </w:r>
      <w:r>
        <w:rPr>
          <w:rFonts w:ascii="宋体" w:hAnsi="宋体" w:cs="宋体"/>
          <w:sz w:val="21"/>
          <w:szCs w:val="21"/>
        </w:rPr>
        <w:t xml:space="preserve">ZYYXH/T157-2009 </w:t>
      </w:r>
      <w:r>
        <w:rPr>
          <w:rFonts w:ascii="宋体" w:hAnsi="宋体" w:cs="宋体"/>
          <w:sz w:val="21"/>
          <w:szCs w:val="21"/>
          <w:lang w:val="zh-TW" w:eastAsia="zh-TW"/>
        </w:rPr>
        <w:t>《中医体质分类与判定》标准，可输出</w:t>
      </w:r>
      <w:r>
        <w:rPr>
          <w:rFonts w:ascii="宋体" w:hAnsi="宋体" w:cs="宋体"/>
          <w:sz w:val="21"/>
          <w:szCs w:val="21"/>
        </w:rPr>
        <w:t>9</w:t>
      </w:r>
      <w:r>
        <w:rPr>
          <w:rFonts w:ascii="宋体" w:hAnsi="宋体" w:cs="宋体"/>
          <w:sz w:val="21"/>
          <w:szCs w:val="21"/>
          <w:lang w:val="zh-TW" w:eastAsia="zh-TW"/>
        </w:rPr>
        <w:t>种基本体质以及百余种复合体质；</w:t>
      </w:r>
    </w:p>
    <w:p>
      <w:pPr>
        <w:spacing w:line="360" w:lineRule="auto"/>
        <w:rPr>
          <w:rFonts w:ascii="宋体" w:hAnsi="宋体" w:cs="宋体"/>
          <w:sz w:val="21"/>
          <w:szCs w:val="21"/>
        </w:rPr>
      </w:pPr>
      <w:r>
        <w:rPr>
          <w:rFonts w:ascii="宋体" w:hAnsi="宋体" w:cs="宋体"/>
          <w:sz w:val="21"/>
          <w:szCs w:val="21"/>
        </w:rPr>
        <w:t>2</w:t>
      </w:r>
      <w:r>
        <w:rPr>
          <w:rFonts w:ascii="宋体" w:hAnsi="宋体" w:cs="宋体"/>
          <w:sz w:val="21"/>
          <w:szCs w:val="21"/>
          <w:lang w:val="zh-TW" w:eastAsia="zh-TW"/>
        </w:rPr>
        <w:t>）通过问诊模块的人机交互，软件自动分析，给出直观量化的体质辨识分析结果；</w:t>
      </w:r>
    </w:p>
    <w:p>
      <w:pPr>
        <w:spacing w:line="360" w:lineRule="auto"/>
        <w:rPr>
          <w:rFonts w:ascii="宋体" w:hAnsi="宋体" w:cs="宋体"/>
          <w:sz w:val="21"/>
          <w:szCs w:val="21"/>
        </w:rPr>
      </w:pPr>
      <w:r>
        <w:rPr>
          <w:rFonts w:ascii="宋体" w:hAnsi="宋体" w:cs="宋体"/>
          <w:sz w:val="21"/>
          <w:szCs w:val="21"/>
        </w:rPr>
        <w:t>3)</w:t>
      </w:r>
      <w:r>
        <w:rPr>
          <w:rFonts w:ascii="宋体" w:hAnsi="宋体" w:cs="宋体"/>
          <w:sz w:val="21"/>
          <w:szCs w:val="21"/>
        </w:rPr>
        <w:tab/>
      </w:r>
      <w:r>
        <w:rPr>
          <w:rFonts w:ascii="宋体" w:hAnsi="宋体" w:cs="宋体"/>
          <w:sz w:val="21"/>
          <w:szCs w:val="21"/>
          <w:lang w:val="zh-TW" w:eastAsia="zh-TW"/>
        </w:rPr>
        <w:t>可提供体质成因解读，以及易发疾病的风险预警提示；</w:t>
      </w:r>
    </w:p>
    <w:p>
      <w:pPr>
        <w:spacing w:line="360" w:lineRule="auto"/>
        <w:rPr>
          <w:rFonts w:ascii="宋体" w:hAnsi="宋体" w:cs="宋体"/>
          <w:sz w:val="21"/>
          <w:szCs w:val="21"/>
        </w:rPr>
      </w:pPr>
      <w:r>
        <w:rPr>
          <w:rFonts w:ascii="宋体" w:hAnsi="宋体" w:cs="宋体"/>
          <w:sz w:val="21"/>
          <w:szCs w:val="21"/>
        </w:rPr>
        <w:t>4)</w:t>
      </w:r>
      <w:r>
        <w:rPr>
          <w:rFonts w:ascii="宋体" w:hAnsi="宋体" w:cs="宋体"/>
          <w:sz w:val="21"/>
          <w:szCs w:val="21"/>
        </w:rPr>
        <w:tab/>
      </w:r>
      <w:r>
        <w:rPr>
          <w:rFonts w:ascii="宋体" w:hAnsi="宋体" w:cs="宋体"/>
          <w:sz w:val="21"/>
          <w:szCs w:val="21"/>
          <w:lang w:val="zh-TW" w:eastAsia="zh-TW"/>
        </w:rPr>
        <w:t>可提供不同体质对应的当令季节的健康养生指导及干预服务建议；</w:t>
      </w:r>
    </w:p>
    <w:p>
      <w:pPr>
        <w:spacing w:line="360" w:lineRule="auto"/>
        <w:rPr>
          <w:rFonts w:ascii="宋体" w:hAnsi="宋体" w:cs="宋体"/>
          <w:sz w:val="21"/>
          <w:szCs w:val="21"/>
        </w:rPr>
      </w:pPr>
      <w:r>
        <w:rPr>
          <w:rFonts w:ascii="宋体" w:hAnsi="宋体" w:cs="宋体"/>
          <w:sz w:val="21"/>
          <w:szCs w:val="21"/>
        </w:rPr>
        <w:t>5</w:t>
      </w:r>
      <w:r>
        <w:rPr>
          <w:rFonts w:ascii="宋体" w:hAnsi="宋体" w:cs="宋体"/>
          <w:sz w:val="21"/>
          <w:szCs w:val="21"/>
          <w:lang w:val="zh-TW" w:eastAsia="zh-TW"/>
        </w:rPr>
        <w:t>） 所提供的个体化辨体施养方案，包含四季食疗养生、穴位保健等内容，为被测试者提供个体化的健康养生指导建议；</w:t>
      </w:r>
    </w:p>
    <w:p>
      <w:pPr>
        <w:spacing w:line="360" w:lineRule="auto"/>
        <w:rPr>
          <w:rFonts w:ascii="宋体" w:hAnsi="宋体" w:cs="宋体"/>
          <w:sz w:val="21"/>
          <w:szCs w:val="21"/>
        </w:rPr>
      </w:pPr>
      <w:r>
        <w:rPr>
          <w:rFonts w:ascii="宋体" w:hAnsi="宋体" w:cs="宋体"/>
          <w:sz w:val="21"/>
          <w:szCs w:val="21"/>
        </w:rPr>
        <w:t>6</w:t>
      </w:r>
      <w:r>
        <w:rPr>
          <w:rFonts w:ascii="宋体" w:hAnsi="宋体" w:cs="宋体"/>
          <w:sz w:val="21"/>
          <w:szCs w:val="21"/>
          <w:lang w:val="zh-TW" w:eastAsia="zh-TW"/>
        </w:rPr>
        <w:t>）能够根据体质辨识结果，提供个性化中医适宜技术干预方案建议，应包括：耳穴、刮痧、拔罐等中医适宜技术；</w:t>
      </w:r>
    </w:p>
    <w:p>
      <w:pPr>
        <w:spacing w:line="360" w:lineRule="auto"/>
        <w:rPr>
          <w:rFonts w:ascii="宋体" w:hAnsi="宋体" w:eastAsia="PMingLiU" w:cs="宋体"/>
          <w:sz w:val="21"/>
          <w:szCs w:val="21"/>
          <w:lang w:val="zh-TW" w:eastAsia="zh-TW"/>
        </w:rPr>
      </w:pPr>
      <w:r>
        <w:rPr>
          <w:rFonts w:ascii="宋体" w:hAnsi="宋体" w:cs="宋体"/>
          <w:b/>
          <w:bCs/>
          <w:sz w:val="21"/>
          <w:szCs w:val="21"/>
        </w:rPr>
        <w:t>*</w:t>
      </w:r>
      <w:r>
        <w:rPr>
          <w:rFonts w:ascii="宋体" w:hAnsi="宋体" w:cs="宋体"/>
          <w:sz w:val="21"/>
          <w:szCs w:val="21"/>
        </w:rPr>
        <w:t>7</w:t>
      </w:r>
      <w:r>
        <w:rPr>
          <w:rFonts w:ascii="宋体" w:hAnsi="宋体" w:cs="宋体"/>
          <w:sz w:val="21"/>
          <w:szCs w:val="21"/>
          <w:lang w:val="zh-TW" w:eastAsia="zh-TW"/>
        </w:rPr>
        <w:t>）</w:t>
      </w:r>
      <w:r>
        <w:rPr>
          <w:rFonts w:ascii="宋体" w:hAnsi="宋体" w:cs="宋体"/>
          <w:color w:val="auto"/>
          <w:sz w:val="21"/>
          <w:szCs w:val="21"/>
          <w:lang w:val="zh-TW" w:eastAsia="zh-TW"/>
        </w:rPr>
        <w:t>体质辨识功能须经过国家药监部门的检测，并提供国家药监局认定检测机构出具的权威检测报告。</w:t>
      </w:r>
    </w:p>
    <w:p>
      <w:pPr>
        <w:spacing w:line="360" w:lineRule="auto"/>
        <w:rPr>
          <w:rFonts w:ascii="宋体" w:hAnsi="宋体" w:cs="宋体"/>
          <w:b/>
          <w:bCs/>
          <w:sz w:val="24"/>
          <w:szCs w:val="24"/>
        </w:rPr>
      </w:pPr>
      <w:r>
        <w:rPr>
          <w:rFonts w:hint="eastAsia" w:ascii="宋体" w:hAnsi="宋体" w:cs="宋体"/>
          <w:b/>
          <w:bCs/>
          <w:sz w:val="24"/>
          <w:szCs w:val="24"/>
        </w:rPr>
        <w:t>2</w:t>
      </w:r>
      <w:r>
        <w:rPr>
          <w:rFonts w:ascii="宋体" w:hAnsi="宋体" w:cs="宋体"/>
          <w:b/>
          <w:bCs/>
          <w:sz w:val="24"/>
          <w:szCs w:val="24"/>
          <w:lang w:val="zh-TW" w:eastAsia="zh-TW"/>
        </w:rPr>
        <w:t>、糖尿病中医辅助辨证功能</w:t>
      </w:r>
    </w:p>
    <w:p>
      <w:pPr>
        <w:spacing w:line="360" w:lineRule="auto"/>
        <w:rPr>
          <w:rFonts w:ascii="宋体" w:hAnsi="宋体" w:cs="宋体"/>
          <w:kern w:val="0"/>
          <w:sz w:val="21"/>
          <w:szCs w:val="21"/>
        </w:rPr>
      </w:pPr>
      <w:r>
        <w:rPr>
          <w:rFonts w:ascii="宋体" w:hAnsi="宋体" w:cs="宋体"/>
          <w:b/>
          <w:bCs/>
          <w:kern w:val="0"/>
          <w:sz w:val="21"/>
          <w:szCs w:val="21"/>
        </w:rPr>
        <w:t>*</w:t>
      </w:r>
      <w:r>
        <w:rPr>
          <w:rFonts w:ascii="宋体" w:hAnsi="宋体" w:cs="宋体"/>
          <w:kern w:val="0"/>
          <w:sz w:val="21"/>
          <w:szCs w:val="21"/>
        </w:rPr>
        <w:t>1</w:t>
      </w:r>
      <w:r>
        <w:rPr>
          <w:rFonts w:ascii="宋体" w:hAnsi="宋体" w:cs="宋体"/>
          <w:kern w:val="0"/>
          <w:sz w:val="21"/>
          <w:szCs w:val="21"/>
          <w:lang w:val="zh-TW" w:eastAsia="zh-TW"/>
        </w:rPr>
        <w:t>）须根据患者主诉等症状，进行中医脏腑辨证，并可自动分析输出糖尿病慢病中医辅助辨证结果建议；</w:t>
      </w:r>
    </w:p>
    <w:p>
      <w:pPr>
        <w:spacing w:line="360" w:lineRule="auto"/>
        <w:rPr>
          <w:rFonts w:ascii="宋体" w:hAnsi="宋体" w:cs="宋体"/>
          <w:kern w:val="0"/>
          <w:sz w:val="21"/>
          <w:szCs w:val="21"/>
        </w:rPr>
      </w:pPr>
      <w:r>
        <w:rPr>
          <w:rFonts w:ascii="宋体" w:hAnsi="宋体" w:cs="宋体"/>
          <w:kern w:val="0"/>
          <w:sz w:val="21"/>
          <w:szCs w:val="21"/>
        </w:rPr>
        <w:t>2</w:t>
      </w:r>
      <w:r>
        <w:rPr>
          <w:rFonts w:ascii="宋体" w:hAnsi="宋体" w:cs="宋体"/>
          <w:kern w:val="0"/>
          <w:sz w:val="21"/>
          <w:szCs w:val="21"/>
          <w:lang w:val="zh-TW" w:eastAsia="zh-TW"/>
        </w:rPr>
        <w:t>）根据中医辅助辨证结果建议，须提供糖尿病慢病的健康指导方案；</w:t>
      </w:r>
    </w:p>
    <w:p>
      <w:pPr>
        <w:spacing w:line="360" w:lineRule="auto"/>
        <w:rPr>
          <w:rFonts w:ascii="宋体" w:hAnsi="宋体" w:cs="宋体"/>
          <w:kern w:val="0"/>
          <w:sz w:val="21"/>
          <w:szCs w:val="21"/>
        </w:rPr>
      </w:pPr>
      <w:r>
        <w:rPr>
          <w:rFonts w:ascii="宋体" w:hAnsi="宋体" w:cs="宋体"/>
          <w:kern w:val="0"/>
          <w:sz w:val="21"/>
          <w:szCs w:val="21"/>
        </w:rPr>
        <w:t>3</w:t>
      </w:r>
      <w:r>
        <w:rPr>
          <w:rFonts w:ascii="宋体" w:hAnsi="宋体" w:cs="宋体"/>
          <w:kern w:val="0"/>
          <w:sz w:val="21"/>
          <w:szCs w:val="21"/>
          <w:lang w:val="zh-TW" w:eastAsia="zh-TW"/>
        </w:rPr>
        <w:t>）为保证产品知识产权合法性，应提供对应功能的软件著作权证书；</w:t>
      </w:r>
    </w:p>
    <w:p>
      <w:pPr>
        <w:spacing w:line="360" w:lineRule="auto"/>
        <w:rPr>
          <w:rFonts w:ascii="宋体" w:hAnsi="宋体" w:cs="宋体"/>
          <w:b/>
          <w:bCs/>
          <w:sz w:val="24"/>
          <w:szCs w:val="24"/>
        </w:rPr>
      </w:pPr>
      <w:r>
        <w:rPr>
          <w:rFonts w:hint="eastAsia" w:ascii="宋体" w:hAnsi="宋体" w:cs="宋体"/>
          <w:b/>
          <w:bCs/>
          <w:kern w:val="0"/>
          <w:sz w:val="24"/>
          <w:szCs w:val="24"/>
        </w:rPr>
        <w:t>3</w:t>
      </w:r>
      <w:r>
        <w:rPr>
          <w:rFonts w:ascii="宋体" w:hAnsi="宋体" w:cs="宋体"/>
          <w:b/>
          <w:bCs/>
          <w:sz w:val="24"/>
          <w:szCs w:val="24"/>
          <w:lang w:val="zh-TW" w:eastAsia="zh-TW"/>
        </w:rPr>
        <w:t>、老年人高血压病中医辅助辨证功能</w:t>
      </w:r>
    </w:p>
    <w:p>
      <w:pPr>
        <w:spacing w:line="360" w:lineRule="auto"/>
        <w:rPr>
          <w:rFonts w:ascii="宋体" w:hAnsi="宋体" w:cs="宋体"/>
          <w:kern w:val="0"/>
          <w:sz w:val="21"/>
          <w:szCs w:val="21"/>
        </w:rPr>
      </w:pPr>
      <w:r>
        <w:rPr>
          <w:rFonts w:ascii="宋体" w:hAnsi="宋体" w:cs="宋体"/>
          <w:kern w:val="0"/>
          <w:sz w:val="21"/>
          <w:szCs w:val="21"/>
        </w:rPr>
        <w:t>1</w:t>
      </w:r>
      <w:r>
        <w:rPr>
          <w:rFonts w:ascii="宋体" w:hAnsi="宋体" w:cs="宋体"/>
          <w:kern w:val="0"/>
          <w:sz w:val="21"/>
          <w:szCs w:val="21"/>
          <w:lang w:val="zh-TW" w:eastAsia="zh-TW"/>
        </w:rPr>
        <w:t>）须根据患者主诉等症状，进行中医脏腑辨证，并可自动分析输出高血压慢病中医辅助辨证结果建议及对应养生干预方案；</w:t>
      </w:r>
    </w:p>
    <w:p>
      <w:pPr>
        <w:spacing w:line="360" w:lineRule="auto"/>
        <w:rPr>
          <w:rFonts w:ascii="宋体" w:hAnsi="宋体" w:cs="宋体"/>
          <w:sz w:val="24"/>
          <w:szCs w:val="24"/>
        </w:rPr>
      </w:pPr>
      <w:r>
        <w:rPr>
          <w:rFonts w:ascii="宋体" w:hAnsi="宋体" w:cs="宋体"/>
          <w:kern w:val="0"/>
          <w:sz w:val="21"/>
          <w:szCs w:val="21"/>
        </w:rPr>
        <w:t>2</w:t>
      </w:r>
      <w:r>
        <w:rPr>
          <w:rFonts w:ascii="宋体" w:hAnsi="宋体" w:cs="宋体"/>
          <w:kern w:val="0"/>
          <w:sz w:val="21"/>
          <w:szCs w:val="21"/>
          <w:lang w:val="zh-TW" w:eastAsia="zh-TW"/>
        </w:rPr>
        <w:t>）</w:t>
      </w:r>
      <w:r>
        <w:rPr>
          <w:rFonts w:ascii="宋体" w:hAnsi="宋体" w:cs="宋体"/>
          <w:color w:val="auto"/>
          <w:kern w:val="0"/>
          <w:sz w:val="21"/>
          <w:szCs w:val="21"/>
          <w:lang w:val="zh-TW" w:eastAsia="zh-TW"/>
        </w:rPr>
        <w:t>为保证产品知识产权合法性，应提供对应功能的软件著作权证书；</w:t>
      </w:r>
    </w:p>
    <w:p>
      <w:pPr>
        <w:spacing w:line="360" w:lineRule="auto"/>
        <w:ind w:right="210"/>
        <w:rPr>
          <w:rFonts w:ascii="宋体" w:hAnsi="宋体" w:cs="宋体"/>
          <w:b/>
          <w:bCs/>
          <w:sz w:val="24"/>
          <w:szCs w:val="24"/>
        </w:rPr>
      </w:pPr>
      <w:r>
        <w:rPr>
          <w:rFonts w:ascii="宋体" w:hAnsi="宋体" w:cs="宋体"/>
          <w:b/>
          <w:bCs/>
          <w:sz w:val="24"/>
          <w:szCs w:val="24"/>
        </w:rPr>
        <w:t>4</w:t>
      </w:r>
      <w:r>
        <w:rPr>
          <w:rFonts w:ascii="宋体" w:hAnsi="宋体" w:cs="宋体"/>
          <w:b/>
          <w:bCs/>
          <w:sz w:val="24"/>
          <w:szCs w:val="24"/>
          <w:lang w:val="zh-TW" w:eastAsia="zh-TW"/>
        </w:rPr>
        <w:t>、</w:t>
      </w:r>
      <w:r>
        <w:rPr>
          <w:rFonts w:hint="eastAsia" w:ascii="宋体" w:hAnsi="宋体" w:cs="宋体"/>
          <w:b/>
          <w:bCs/>
          <w:sz w:val="24"/>
          <w:szCs w:val="24"/>
          <w:lang w:val="zh-TW" w:eastAsia="zh-TW"/>
        </w:rPr>
        <w:t>女性</w:t>
      </w:r>
      <w:r>
        <w:rPr>
          <w:rFonts w:ascii="宋体" w:hAnsi="宋体" w:cs="宋体"/>
          <w:b/>
          <w:bCs/>
          <w:sz w:val="24"/>
          <w:szCs w:val="24"/>
          <w:lang w:val="zh-TW" w:eastAsia="zh-TW"/>
        </w:rPr>
        <w:t>中医健康测评功能</w:t>
      </w:r>
    </w:p>
    <w:p>
      <w:pPr>
        <w:spacing w:line="360" w:lineRule="auto"/>
        <w:ind w:right="210"/>
        <w:rPr>
          <w:rFonts w:ascii="宋体" w:hAnsi="宋体" w:cs="宋体"/>
          <w:sz w:val="21"/>
          <w:szCs w:val="21"/>
        </w:rPr>
      </w:pPr>
      <w:r>
        <w:rPr>
          <w:rFonts w:ascii="宋体" w:hAnsi="宋体" w:cs="宋体"/>
          <w:b/>
          <w:bCs/>
          <w:sz w:val="21"/>
          <w:szCs w:val="21"/>
        </w:rPr>
        <w:t>*</w:t>
      </w:r>
      <w:r>
        <w:rPr>
          <w:rFonts w:ascii="宋体" w:hAnsi="宋体" w:cs="宋体"/>
          <w:sz w:val="21"/>
          <w:szCs w:val="21"/>
        </w:rPr>
        <w:t>1</w:t>
      </w:r>
      <w:r>
        <w:rPr>
          <w:rFonts w:ascii="宋体" w:hAnsi="宋体" w:cs="宋体"/>
          <w:sz w:val="21"/>
          <w:szCs w:val="21"/>
          <w:lang w:val="zh-TW" w:eastAsia="zh-TW"/>
        </w:rPr>
        <w:t>）</w:t>
      </w:r>
      <w:r>
        <w:rPr>
          <w:rFonts w:hint="eastAsia" w:ascii="宋体" w:hAnsi="宋体" w:cs="宋体"/>
          <w:sz w:val="21"/>
          <w:szCs w:val="21"/>
          <w:lang w:val="zh-TW" w:eastAsia="zh-TW"/>
        </w:rPr>
        <w:t>须可根据女性特有生理特性，从孕期、产后维度，对女性健康状态综合测评，根据测评结果自动生成个体化养生调理建议</w:t>
      </w:r>
      <w:r>
        <w:rPr>
          <w:rFonts w:ascii="宋体" w:hAnsi="宋体" w:cs="宋体"/>
          <w:sz w:val="21"/>
          <w:szCs w:val="21"/>
          <w:lang w:val="zh-TW" w:eastAsia="zh-TW"/>
        </w:rPr>
        <w:t>；</w:t>
      </w:r>
    </w:p>
    <w:p>
      <w:pPr>
        <w:spacing w:line="360" w:lineRule="auto"/>
        <w:ind w:right="210"/>
        <w:rPr>
          <w:rFonts w:ascii="宋体" w:hAnsi="宋体" w:cs="宋体"/>
          <w:sz w:val="21"/>
          <w:szCs w:val="21"/>
        </w:rPr>
      </w:pPr>
      <w:r>
        <w:rPr>
          <w:rFonts w:ascii="宋体" w:hAnsi="宋体" w:cs="宋体"/>
          <w:sz w:val="21"/>
          <w:szCs w:val="21"/>
        </w:rPr>
        <w:t>2</w:t>
      </w:r>
      <w:r>
        <w:rPr>
          <w:rFonts w:ascii="宋体" w:hAnsi="宋体" w:cs="宋体"/>
          <w:sz w:val="21"/>
          <w:szCs w:val="21"/>
          <w:lang w:val="zh-TW" w:eastAsia="zh-TW"/>
        </w:rPr>
        <w:t>）</w:t>
      </w:r>
      <w:r>
        <w:rPr>
          <w:rFonts w:ascii="宋体" w:hAnsi="宋体" w:cs="宋体"/>
          <w:color w:val="auto"/>
          <w:sz w:val="21"/>
          <w:szCs w:val="21"/>
          <w:lang w:val="zh-TW" w:eastAsia="zh-TW"/>
        </w:rPr>
        <w:t>为保证产品知识产权合法性，应提供对应功能的软件著作权证书；</w:t>
      </w:r>
    </w:p>
    <w:p>
      <w:pPr>
        <w:spacing w:line="360" w:lineRule="auto"/>
        <w:outlineLvl w:val="0"/>
        <w:rPr>
          <w:rFonts w:ascii="宋体" w:hAnsi="宋体" w:cs="宋体"/>
          <w:b/>
          <w:bCs/>
          <w:sz w:val="24"/>
          <w:szCs w:val="24"/>
        </w:rPr>
      </w:pPr>
      <w:r>
        <w:rPr>
          <w:rFonts w:ascii="宋体" w:hAnsi="宋体" w:cs="宋体"/>
          <w:b/>
          <w:bCs/>
          <w:sz w:val="24"/>
          <w:szCs w:val="24"/>
        </w:rPr>
        <w:t>5</w:t>
      </w:r>
      <w:r>
        <w:rPr>
          <w:rFonts w:ascii="宋体" w:hAnsi="宋体" w:cs="宋体"/>
          <w:b/>
          <w:bCs/>
          <w:sz w:val="24"/>
          <w:szCs w:val="24"/>
          <w:lang w:val="zh-TW" w:eastAsia="zh-TW"/>
        </w:rPr>
        <w:t>、老年人体质辨识功能</w:t>
      </w:r>
    </w:p>
    <w:p>
      <w:pPr>
        <w:spacing w:line="360" w:lineRule="auto"/>
        <w:rPr>
          <w:rFonts w:ascii="宋体" w:hAnsi="宋体" w:cs="宋体"/>
          <w:sz w:val="21"/>
          <w:szCs w:val="21"/>
        </w:rPr>
      </w:pPr>
      <w:r>
        <w:rPr>
          <w:rFonts w:ascii="宋体" w:hAnsi="宋体" w:cs="宋体"/>
          <w:sz w:val="21"/>
          <w:szCs w:val="21"/>
        </w:rPr>
        <w:t>1</w:t>
      </w:r>
      <w:r>
        <w:rPr>
          <w:rFonts w:ascii="宋体" w:hAnsi="宋体" w:cs="宋体"/>
          <w:sz w:val="21"/>
          <w:szCs w:val="21"/>
          <w:lang w:val="zh-TW" w:eastAsia="zh-TW"/>
        </w:rPr>
        <w:t>）须符合中医药健康管理服务技术规范</w:t>
      </w:r>
      <w:r>
        <w:rPr>
          <w:rFonts w:ascii="宋体" w:hAnsi="宋体" w:cs="宋体"/>
          <w:sz w:val="21"/>
          <w:szCs w:val="21"/>
        </w:rPr>
        <w:t>-</w:t>
      </w:r>
      <w:r>
        <w:rPr>
          <w:rFonts w:ascii="宋体" w:hAnsi="宋体" w:cs="宋体"/>
          <w:sz w:val="21"/>
          <w:szCs w:val="21"/>
          <w:lang w:val="zh-TW" w:eastAsia="zh-TW"/>
        </w:rPr>
        <w:t>老年人中医药健康管理服务的要求；</w:t>
      </w:r>
    </w:p>
    <w:p>
      <w:pPr>
        <w:spacing w:line="360" w:lineRule="auto"/>
        <w:rPr>
          <w:rFonts w:ascii="宋体" w:hAnsi="宋体" w:cs="宋体"/>
          <w:sz w:val="21"/>
          <w:szCs w:val="21"/>
        </w:rPr>
      </w:pPr>
      <w:r>
        <w:rPr>
          <w:rFonts w:ascii="宋体" w:hAnsi="宋体" w:cs="宋体"/>
          <w:sz w:val="21"/>
          <w:szCs w:val="21"/>
        </w:rPr>
        <w:t>2</w:t>
      </w:r>
      <w:r>
        <w:rPr>
          <w:rFonts w:ascii="宋体" w:hAnsi="宋体" w:cs="宋体"/>
          <w:sz w:val="21"/>
          <w:szCs w:val="21"/>
          <w:lang w:val="zh-TW" w:eastAsia="zh-TW"/>
        </w:rPr>
        <w:t>）可提供体质成因解读，以及易发疾病的风险预警提示；</w:t>
      </w:r>
    </w:p>
    <w:p>
      <w:pPr>
        <w:spacing w:line="360" w:lineRule="auto"/>
        <w:rPr>
          <w:rFonts w:ascii="宋体" w:hAnsi="宋体" w:cs="宋体"/>
          <w:sz w:val="21"/>
          <w:szCs w:val="21"/>
        </w:rPr>
      </w:pPr>
      <w:r>
        <w:rPr>
          <w:rFonts w:ascii="宋体" w:hAnsi="宋体" w:cs="宋体"/>
          <w:sz w:val="21"/>
          <w:szCs w:val="21"/>
        </w:rPr>
        <w:t>3</w:t>
      </w:r>
      <w:r>
        <w:rPr>
          <w:rFonts w:ascii="宋体" w:hAnsi="宋体" w:cs="宋体"/>
          <w:sz w:val="21"/>
          <w:szCs w:val="21"/>
          <w:lang w:val="zh-TW" w:eastAsia="zh-TW"/>
        </w:rPr>
        <w:t>）可提供不同体质对应的当令季节的健康养生指导及干预服务；</w:t>
      </w:r>
    </w:p>
    <w:p>
      <w:pPr>
        <w:spacing w:line="360" w:lineRule="auto"/>
        <w:rPr>
          <w:rFonts w:ascii="宋体" w:hAnsi="宋体" w:cs="宋体"/>
          <w:sz w:val="21"/>
          <w:szCs w:val="21"/>
        </w:rPr>
      </w:pPr>
      <w:r>
        <w:rPr>
          <w:rFonts w:ascii="宋体" w:hAnsi="宋体" w:cs="宋体"/>
          <w:sz w:val="21"/>
          <w:szCs w:val="21"/>
        </w:rPr>
        <w:t>4</w:t>
      </w:r>
      <w:r>
        <w:rPr>
          <w:rFonts w:ascii="宋体" w:hAnsi="宋体" w:cs="宋体"/>
          <w:sz w:val="21"/>
          <w:szCs w:val="21"/>
          <w:lang w:val="zh-TW" w:eastAsia="zh-TW"/>
        </w:rPr>
        <w:t>）所提供的个体化辨体施养方案，包含四季食疗养生、足浴保健等内容，为被测试者提供个体化的健康养生指导建议；</w:t>
      </w:r>
    </w:p>
    <w:p>
      <w:pPr>
        <w:spacing w:line="360" w:lineRule="auto"/>
        <w:rPr>
          <w:rFonts w:ascii="宋体" w:hAnsi="宋体" w:cs="宋体"/>
          <w:sz w:val="21"/>
          <w:szCs w:val="21"/>
        </w:rPr>
      </w:pPr>
      <w:r>
        <w:rPr>
          <w:rFonts w:ascii="宋体" w:hAnsi="宋体" w:cs="宋体"/>
          <w:sz w:val="21"/>
          <w:szCs w:val="21"/>
        </w:rPr>
        <w:t>5</w:t>
      </w:r>
      <w:r>
        <w:rPr>
          <w:rFonts w:ascii="宋体" w:hAnsi="宋体" w:cs="宋体"/>
          <w:sz w:val="21"/>
          <w:szCs w:val="21"/>
          <w:lang w:val="zh-TW" w:eastAsia="zh-TW"/>
        </w:rPr>
        <w:t>）能够根据体质辨识结果，提供个性化中医适宜技术干预方案，应包括：耳穴、刮痧、拔罐等中医适宜技术；</w:t>
      </w:r>
    </w:p>
    <w:p>
      <w:pPr>
        <w:spacing w:line="360" w:lineRule="auto"/>
        <w:rPr>
          <w:rFonts w:ascii="宋体" w:hAnsi="宋体" w:cs="宋体"/>
          <w:b/>
          <w:bCs/>
          <w:sz w:val="24"/>
          <w:szCs w:val="24"/>
        </w:rPr>
      </w:pPr>
      <w:r>
        <w:rPr>
          <w:rFonts w:ascii="宋体" w:hAnsi="宋体" w:cs="宋体"/>
          <w:b/>
          <w:bCs/>
          <w:sz w:val="24"/>
          <w:szCs w:val="24"/>
        </w:rPr>
        <w:t>6</w:t>
      </w:r>
      <w:r>
        <w:rPr>
          <w:rFonts w:ascii="宋体" w:hAnsi="宋体" w:cs="宋体"/>
          <w:b/>
          <w:bCs/>
          <w:sz w:val="24"/>
          <w:szCs w:val="24"/>
          <w:lang w:val="zh-TW" w:eastAsia="zh-TW"/>
        </w:rPr>
        <w:t>、中医五态性格测评分析功能</w:t>
      </w:r>
    </w:p>
    <w:p>
      <w:pPr>
        <w:pStyle w:val="127"/>
        <w:spacing w:before="36" w:after="36" w:line="360" w:lineRule="auto"/>
        <w:ind w:firstLine="0"/>
        <w:rPr>
          <w:rFonts w:ascii="宋体" w:hAnsi="宋体" w:eastAsia="宋体" w:cs="宋体"/>
          <w:sz w:val="21"/>
          <w:szCs w:val="21"/>
        </w:rPr>
      </w:pPr>
      <w:r>
        <w:rPr>
          <w:rFonts w:ascii="宋体" w:hAnsi="宋体" w:eastAsia="宋体" w:cs="宋体"/>
          <w:sz w:val="21"/>
          <w:szCs w:val="21"/>
        </w:rPr>
        <w:t>1</w:t>
      </w:r>
      <w:r>
        <w:rPr>
          <w:rFonts w:ascii="宋体" w:hAnsi="宋体" w:eastAsia="宋体" w:cs="宋体"/>
          <w:sz w:val="21"/>
          <w:szCs w:val="21"/>
          <w:lang w:val="zh-TW" w:eastAsia="zh-TW"/>
        </w:rPr>
        <w:t>） 依据《黄帝内经》中《通天篇》所论的</w:t>
      </w:r>
      <w:r>
        <w:rPr>
          <w:rFonts w:ascii="宋体" w:hAnsi="宋体" w:eastAsia="宋体" w:cs="宋体"/>
          <w:sz w:val="21"/>
          <w:szCs w:val="21"/>
        </w:rPr>
        <w:t>“</w:t>
      </w:r>
      <w:r>
        <w:rPr>
          <w:rFonts w:ascii="宋体" w:hAnsi="宋体" w:eastAsia="宋体" w:cs="宋体"/>
          <w:sz w:val="21"/>
          <w:szCs w:val="21"/>
          <w:lang w:val="zh-TW" w:eastAsia="zh-TW"/>
        </w:rPr>
        <w:t>五态人</w:t>
      </w:r>
      <w:r>
        <w:rPr>
          <w:rFonts w:ascii="宋体" w:hAnsi="宋体" w:eastAsia="宋体" w:cs="宋体"/>
          <w:sz w:val="21"/>
          <w:szCs w:val="21"/>
        </w:rPr>
        <w:t>”</w:t>
      </w:r>
      <w:r>
        <w:rPr>
          <w:rFonts w:ascii="宋体" w:hAnsi="宋体" w:eastAsia="宋体" w:cs="宋体"/>
          <w:sz w:val="21"/>
          <w:szCs w:val="21"/>
          <w:lang w:val="zh-TW" w:eastAsia="zh-TW"/>
        </w:rPr>
        <w:t>分类，即</w:t>
      </w:r>
      <w:r>
        <w:rPr>
          <w:rFonts w:ascii="宋体" w:hAnsi="宋体" w:eastAsia="宋体" w:cs="宋体"/>
          <w:sz w:val="21"/>
          <w:szCs w:val="21"/>
        </w:rPr>
        <w:t>“</w:t>
      </w:r>
      <w:r>
        <w:rPr>
          <w:rFonts w:ascii="宋体" w:hAnsi="宋体" w:eastAsia="宋体" w:cs="宋体"/>
          <w:sz w:val="21"/>
          <w:szCs w:val="21"/>
          <w:lang w:val="zh-TW" w:eastAsia="zh-TW"/>
        </w:rPr>
        <w:t>太阴之人，少阴之人，太阳之人，少阳之人和阴阳和平之人</w:t>
      </w:r>
      <w:r>
        <w:rPr>
          <w:rFonts w:ascii="宋体" w:hAnsi="宋体" w:eastAsia="宋体" w:cs="宋体"/>
          <w:sz w:val="21"/>
          <w:szCs w:val="21"/>
        </w:rPr>
        <w:t>”</w:t>
      </w:r>
      <w:r>
        <w:rPr>
          <w:rFonts w:ascii="宋体" w:hAnsi="宋体" w:eastAsia="宋体" w:cs="宋体"/>
          <w:sz w:val="21"/>
          <w:szCs w:val="21"/>
          <w:lang w:val="zh-TW" w:eastAsia="zh-TW"/>
        </w:rPr>
        <w:t>，通过人格量表的人机交互，软件自动分析各人格特征的阴阳含量，并与常模（正常标准）比对，确定人格特征的类型。</w:t>
      </w:r>
    </w:p>
    <w:p>
      <w:pPr>
        <w:spacing w:line="360" w:lineRule="auto"/>
        <w:ind w:right="210"/>
        <w:rPr>
          <w:rFonts w:ascii="宋体" w:hAnsi="宋体" w:cs="宋体"/>
          <w:sz w:val="21"/>
          <w:szCs w:val="21"/>
        </w:rPr>
      </w:pPr>
      <w:r>
        <w:rPr>
          <w:rFonts w:ascii="宋体" w:hAnsi="宋体" w:cs="宋体"/>
          <w:sz w:val="21"/>
          <w:szCs w:val="21"/>
        </w:rPr>
        <w:t>2</w:t>
      </w:r>
      <w:r>
        <w:rPr>
          <w:rFonts w:ascii="宋体" w:hAnsi="宋体" w:cs="宋体"/>
          <w:sz w:val="21"/>
          <w:szCs w:val="21"/>
          <w:lang w:val="zh-TW" w:eastAsia="zh-TW"/>
        </w:rPr>
        <w:t>）根据人格特征的类型，系统自动给出心理、行为等养生干预方案建议。</w:t>
      </w:r>
    </w:p>
    <w:p>
      <w:pPr>
        <w:spacing w:line="360" w:lineRule="auto"/>
        <w:rPr>
          <w:rFonts w:ascii="宋体" w:hAnsi="宋体" w:cs="宋体"/>
          <w:sz w:val="21"/>
          <w:szCs w:val="21"/>
        </w:rPr>
      </w:pPr>
      <w:r>
        <w:rPr>
          <w:rFonts w:ascii="宋体" w:hAnsi="宋体" w:cs="宋体"/>
          <w:b/>
          <w:bCs/>
          <w:sz w:val="21"/>
          <w:szCs w:val="21"/>
        </w:rPr>
        <w:t>*</w:t>
      </w:r>
      <w:r>
        <w:rPr>
          <w:rFonts w:ascii="宋体" w:hAnsi="宋体" w:cs="宋体"/>
          <w:sz w:val="21"/>
          <w:szCs w:val="21"/>
        </w:rPr>
        <w:t>3</w:t>
      </w:r>
      <w:r>
        <w:rPr>
          <w:rFonts w:ascii="宋体" w:hAnsi="宋体" w:cs="宋体"/>
          <w:sz w:val="21"/>
          <w:szCs w:val="21"/>
          <w:lang w:val="zh-TW" w:eastAsia="zh-TW"/>
        </w:rPr>
        <w:t>）</w:t>
      </w:r>
      <w:r>
        <w:rPr>
          <w:rFonts w:ascii="宋体" w:hAnsi="宋体" w:cs="宋体"/>
          <w:color w:val="auto"/>
          <w:sz w:val="21"/>
          <w:szCs w:val="21"/>
          <w:lang w:val="zh-TW" w:eastAsia="zh-TW"/>
        </w:rPr>
        <w:t>五态性格测评系统必须具有计算机软件著作权证书；</w:t>
      </w:r>
    </w:p>
    <w:p>
      <w:pPr>
        <w:spacing w:line="360" w:lineRule="auto"/>
        <w:rPr>
          <w:rFonts w:ascii="宋体" w:hAnsi="宋体" w:cs="宋体"/>
          <w:b/>
          <w:bCs/>
          <w:sz w:val="24"/>
          <w:szCs w:val="24"/>
        </w:rPr>
      </w:pPr>
      <w:r>
        <w:rPr>
          <w:rFonts w:ascii="宋体" w:hAnsi="宋体" w:cs="宋体"/>
          <w:b/>
          <w:bCs/>
          <w:sz w:val="24"/>
          <w:szCs w:val="24"/>
        </w:rPr>
        <w:t>*</w:t>
      </w:r>
      <w:r>
        <w:rPr>
          <w:rFonts w:hint="eastAsia" w:ascii="宋体" w:hAnsi="宋体" w:cs="宋体"/>
          <w:b/>
          <w:bCs/>
          <w:sz w:val="24"/>
          <w:szCs w:val="24"/>
        </w:rPr>
        <w:t>7、须支持与四诊仪数据兼容互通</w:t>
      </w:r>
    </w:p>
    <w:p>
      <w:pPr>
        <w:rPr>
          <w:rFonts w:ascii="宋体" w:hAnsi="宋体"/>
          <w:b/>
          <w:sz w:val="24"/>
          <w:szCs w:val="24"/>
        </w:rPr>
      </w:pPr>
    </w:p>
    <w:p>
      <w:pPr>
        <w:spacing w:line="360" w:lineRule="auto"/>
        <w:outlineLvl w:val="0"/>
        <w:rPr>
          <w:rFonts w:ascii="宋体" w:hAnsi="宋体"/>
          <w:b/>
          <w:sz w:val="24"/>
          <w:szCs w:val="24"/>
        </w:rPr>
      </w:pPr>
      <w:r>
        <w:rPr>
          <w:rFonts w:hint="eastAsia" w:ascii="宋体" w:hAnsi="宋体"/>
          <w:b/>
          <w:sz w:val="24"/>
          <w:szCs w:val="24"/>
          <w:lang w:eastAsia="zh-CN"/>
        </w:rPr>
        <w:t>（二）</w:t>
      </w:r>
      <w:r>
        <w:rPr>
          <w:rFonts w:hint="eastAsia" w:ascii="宋体" w:hAnsi="宋体"/>
          <w:b/>
          <w:sz w:val="24"/>
          <w:szCs w:val="24"/>
        </w:rPr>
        <w:t>四诊仪</w:t>
      </w:r>
    </w:p>
    <w:p>
      <w:pPr>
        <w:spacing w:line="360" w:lineRule="auto"/>
        <w:outlineLvl w:val="0"/>
        <w:rPr>
          <w:rFonts w:ascii="宋体" w:hAnsi="宋体"/>
          <w:b/>
          <w:sz w:val="24"/>
          <w:szCs w:val="24"/>
        </w:rPr>
      </w:pPr>
      <w:r>
        <w:rPr>
          <w:rFonts w:hint="eastAsia" w:ascii="宋体" w:hAnsi="宋体"/>
          <w:b/>
          <w:sz w:val="24"/>
          <w:szCs w:val="24"/>
        </w:rPr>
        <w:t>设备安全性要求</w:t>
      </w:r>
    </w:p>
    <w:p>
      <w:pPr>
        <w:widowControl/>
        <w:wordWrap w:val="0"/>
        <w:spacing w:line="360" w:lineRule="auto"/>
        <w:jc w:val="left"/>
        <w:rPr>
          <w:sz w:val="21"/>
          <w:szCs w:val="21"/>
        </w:rPr>
      </w:pPr>
      <w:r>
        <w:rPr>
          <w:rFonts w:hint="eastAsia" w:ascii="宋体" w:hAnsi="宋体"/>
          <w:b/>
          <w:bCs/>
          <w:sz w:val="21"/>
          <w:szCs w:val="21"/>
        </w:rPr>
        <w:t>*</w:t>
      </w:r>
      <w:r>
        <w:rPr>
          <w:rFonts w:hint="eastAsia" w:ascii="宋体" w:hAnsi="宋体"/>
          <w:sz w:val="21"/>
          <w:szCs w:val="21"/>
        </w:rPr>
        <w:t>1、投标产品须具备舌象、面色等多种中医诊断数据采集与分析功能</w:t>
      </w:r>
      <w:r>
        <w:rPr>
          <w:rFonts w:hint="eastAsia" w:ascii="宋体" w:hAnsi="宋体" w:cs="宋体"/>
          <w:color w:val="000000"/>
          <w:kern w:val="0"/>
          <w:sz w:val="21"/>
          <w:szCs w:val="21"/>
        </w:rPr>
        <w:t>；</w:t>
      </w:r>
    </w:p>
    <w:p>
      <w:pPr>
        <w:spacing w:line="360" w:lineRule="auto"/>
        <w:rPr>
          <w:rFonts w:ascii="宋体" w:hAnsi="宋体"/>
          <w:sz w:val="21"/>
          <w:szCs w:val="21"/>
        </w:rPr>
      </w:pPr>
      <w:r>
        <w:rPr>
          <w:rFonts w:hint="eastAsia" w:ascii="宋体" w:hAnsi="宋体"/>
          <w:sz w:val="21"/>
          <w:szCs w:val="21"/>
        </w:rPr>
        <w:t>2、设备须通过电磁兼容（EMC）安全强制标准检验；</w:t>
      </w:r>
    </w:p>
    <w:p>
      <w:pPr>
        <w:spacing w:line="360" w:lineRule="auto"/>
        <w:rPr>
          <w:rFonts w:ascii="宋体" w:hAnsi="宋体"/>
          <w:sz w:val="21"/>
          <w:szCs w:val="21"/>
        </w:rPr>
      </w:pPr>
      <w:r>
        <w:rPr>
          <w:rFonts w:hint="eastAsia" w:ascii="宋体" w:hAnsi="宋体"/>
          <w:sz w:val="21"/>
          <w:szCs w:val="21"/>
        </w:rPr>
        <w:t>3、设备须通过细胞毒性、过敏反应及皮肤刺激等项目检验；</w:t>
      </w:r>
    </w:p>
    <w:p>
      <w:pPr>
        <w:spacing w:line="360" w:lineRule="auto"/>
        <w:rPr>
          <w:rFonts w:ascii="宋体" w:hAnsi="宋体"/>
          <w:sz w:val="21"/>
          <w:szCs w:val="21"/>
        </w:rPr>
      </w:pPr>
      <w:r>
        <w:rPr>
          <w:rFonts w:hint="eastAsia" w:ascii="宋体" w:hAnsi="宋体"/>
          <w:b/>
          <w:bCs/>
          <w:sz w:val="21"/>
          <w:szCs w:val="21"/>
        </w:rPr>
        <w:t>*</w:t>
      </w:r>
      <w:r>
        <w:rPr>
          <w:rFonts w:hint="eastAsia" w:ascii="宋体" w:hAnsi="宋体"/>
          <w:sz w:val="21"/>
          <w:szCs w:val="21"/>
        </w:rPr>
        <w:t>4、整体</w:t>
      </w:r>
      <w:r>
        <w:rPr>
          <w:rFonts w:ascii="宋体" w:hAnsi="宋体"/>
          <w:sz w:val="21"/>
          <w:szCs w:val="21"/>
        </w:rPr>
        <w:t>设备技术指标须符合</w:t>
      </w:r>
      <w:r>
        <w:rPr>
          <w:rFonts w:hint="eastAsia" w:ascii="宋体" w:hAnsi="宋体"/>
          <w:sz w:val="21"/>
          <w:szCs w:val="21"/>
        </w:rPr>
        <w:t>《YY/T 1488-2016 舌象</w:t>
      </w:r>
      <w:r>
        <w:rPr>
          <w:rFonts w:ascii="宋体" w:hAnsi="宋体"/>
          <w:sz w:val="21"/>
          <w:szCs w:val="21"/>
        </w:rPr>
        <w:t>信息采集设备</w:t>
      </w:r>
      <w:r>
        <w:rPr>
          <w:rFonts w:hint="eastAsia" w:ascii="宋体" w:hAnsi="宋体"/>
          <w:sz w:val="21"/>
          <w:szCs w:val="21"/>
        </w:rPr>
        <w:t>》中华</w:t>
      </w:r>
      <w:r>
        <w:rPr>
          <w:rFonts w:ascii="宋体" w:hAnsi="宋体"/>
          <w:sz w:val="21"/>
          <w:szCs w:val="21"/>
        </w:rPr>
        <w:t>人民共和国</w:t>
      </w:r>
      <w:r>
        <w:rPr>
          <w:rFonts w:hint="eastAsia" w:ascii="宋体" w:hAnsi="宋体"/>
          <w:sz w:val="21"/>
          <w:szCs w:val="21"/>
        </w:rPr>
        <w:t>医药</w:t>
      </w:r>
      <w:r>
        <w:rPr>
          <w:rFonts w:ascii="宋体" w:hAnsi="宋体"/>
          <w:sz w:val="21"/>
          <w:szCs w:val="21"/>
        </w:rPr>
        <w:t>行业</w:t>
      </w:r>
      <w:r>
        <w:rPr>
          <w:rFonts w:hint="eastAsia" w:ascii="宋体" w:hAnsi="宋体"/>
          <w:sz w:val="21"/>
          <w:szCs w:val="21"/>
        </w:rPr>
        <w:t>标准</w:t>
      </w:r>
      <w:r>
        <w:rPr>
          <w:rFonts w:ascii="宋体" w:hAnsi="宋体"/>
          <w:sz w:val="21"/>
          <w:szCs w:val="21"/>
        </w:rPr>
        <w:t>要求</w:t>
      </w:r>
      <w:r>
        <w:rPr>
          <w:rFonts w:hint="eastAsia" w:ascii="宋体" w:hAnsi="宋体"/>
          <w:sz w:val="21"/>
          <w:szCs w:val="21"/>
        </w:rPr>
        <w:t>；</w:t>
      </w:r>
    </w:p>
    <w:p>
      <w:pPr>
        <w:spacing w:line="360" w:lineRule="auto"/>
        <w:outlineLvl w:val="0"/>
        <w:rPr>
          <w:rFonts w:ascii="宋体" w:hAnsi="宋体"/>
          <w:b/>
          <w:sz w:val="24"/>
          <w:szCs w:val="24"/>
        </w:rPr>
      </w:pPr>
      <w:r>
        <w:rPr>
          <w:rFonts w:hint="eastAsia" w:ascii="宋体" w:hAnsi="宋体"/>
          <w:b/>
          <w:sz w:val="24"/>
          <w:szCs w:val="24"/>
        </w:rPr>
        <w:t>设备技术性能要求</w:t>
      </w:r>
    </w:p>
    <w:p>
      <w:pPr>
        <w:spacing w:line="360" w:lineRule="auto"/>
        <w:rPr>
          <w:rFonts w:ascii="宋体" w:hAnsi="宋体"/>
          <w:sz w:val="21"/>
          <w:szCs w:val="21"/>
        </w:rPr>
      </w:pPr>
      <w:r>
        <w:rPr>
          <w:rFonts w:hint="eastAsia" w:ascii="宋体" w:hAnsi="宋体"/>
          <w:sz w:val="21"/>
          <w:szCs w:val="21"/>
        </w:rPr>
        <w:t>1、舌面象采集窗口光源显色指数：Ra≥85；</w:t>
      </w:r>
    </w:p>
    <w:p>
      <w:pPr>
        <w:spacing w:line="360" w:lineRule="auto"/>
        <w:rPr>
          <w:rFonts w:ascii="宋体" w:hAnsi="宋体"/>
          <w:sz w:val="21"/>
          <w:szCs w:val="21"/>
        </w:rPr>
      </w:pPr>
      <w:r>
        <w:rPr>
          <w:rFonts w:hint="eastAsia" w:ascii="宋体" w:hAnsi="宋体"/>
          <w:sz w:val="21"/>
          <w:szCs w:val="21"/>
        </w:rPr>
        <w:t>2、舌面象采集窗口光源色温：4500K≤Tc≤6500K；</w:t>
      </w:r>
    </w:p>
    <w:p>
      <w:pPr>
        <w:spacing w:line="360" w:lineRule="auto"/>
        <w:rPr>
          <w:rFonts w:ascii="宋体" w:hAnsi="宋体"/>
          <w:sz w:val="21"/>
          <w:szCs w:val="21"/>
        </w:rPr>
      </w:pPr>
      <w:r>
        <w:rPr>
          <w:rFonts w:hint="eastAsia" w:ascii="宋体" w:hAnsi="宋体"/>
          <w:b/>
          <w:bCs/>
          <w:sz w:val="21"/>
          <w:szCs w:val="21"/>
        </w:rPr>
        <w:t>*</w:t>
      </w:r>
      <w:r>
        <w:rPr>
          <w:rFonts w:hint="eastAsia" w:ascii="宋体" w:hAnsi="宋体"/>
          <w:sz w:val="21"/>
          <w:szCs w:val="21"/>
        </w:rPr>
        <w:t>3、舌面象采集窗口照度值（Ec）：标称值（X）±10%；</w:t>
      </w:r>
    </w:p>
    <w:p>
      <w:pPr>
        <w:spacing w:line="360" w:lineRule="auto"/>
        <w:rPr>
          <w:rFonts w:ascii="宋体" w:hAnsi="宋体"/>
          <w:sz w:val="21"/>
          <w:szCs w:val="21"/>
        </w:rPr>
      </w:pPr>
      <w:r>
        <w:rPr>
          <w:rFonts w:hint="eastAsia" w:ascii="宋体" w:hAnsi="宋体"/>
          <w:b/>
          <w:bCs/>
          <w:sz w:val="21"/>
          <w:szCs w:val="21"/>
        </w:rPr>
        <w:t>*</w:t>
      </w:r>
      <w:r>
        <w:rPr>
          <w:rFonts w:hint="eastAsia" w:ascii="宋体" w:hAnsi="宋体"/>
          <w:sz w:val="21"/>
          <w:szCs w:val="21"/>
        </w:rPr>
        <w:t>4、舌面采集装置光源须通过光源安全性检验，确保光源安全性；</w:t>
      </w:r>
    </w:p>
    <w:p>
      <w:pPr>
        <w:spacing w:line="360" w:lineRule="auto"/>
        <w:rPr>
          <w:rFonts w:ascii="宋体" w:hAnsi="宋体"/>
          <w:sz w:val="21"/>
          <w:szCs w:val="21"/>
        </w:rPr>
      </w:pPr>
      <w:r>
        <w:rPr>
          <w:rFonts w:hint="eastAsia" w:ascii="宋体" w:hAnsi="宋体"/>
          <w:sz w:val="21"/>
          <w:szCs w:val="21"/>
        </w:rPr>
        <w:t>5、</w:t>
      </w:r>
      <w:r>
        <w:rPr>
          <w:rFonts w:ascii="宋体" w:hAnsi="宋体"/>
          <w:sz w:val="21"/>
          <w:szCs w:val="21"/>
        </w:rPr>
        <w:t>舌面图片采集采用全自动化</w:t>
      </w:r>
      <w:r>
        <w:rPr>
          <w:rFonts w:hint="eastAsia" w:ascii="宋体" w:hAnsi="宋体"/>
          <w:sz w:val="21"/>
          <w:szCs w:val="21"/>
        </w:rPr>
        <w:t>操作</w:t>
      </w:r>
      <w:r>
        <w:rPr>
          <w:rFonts w:ascii="宋体" w:hAnsi="宋体"/>
          <w:sz w:val="21"/>
          <w:szCs w:val="21"/>
        </w:rPr>
        <w:t>；</w:t>
      </w:r>
    </w:p>
    <w:p>
      <w:pPr>
        <w:spacing w:line="360" w:lineRule="auto"/>
        <w:rPr>
          <w:rFonts w:ascii="宋体" w:hAnsi="宋体"/>
          <w:sz w:val="21"/>
          <w:szCs w:val="21"/>
        </w:rPr>
      </w:pPr>
      <w:r>
        <w:rPr>
          <w:rFonts w:hint="eastAsia" w:ascii="宋体" w:hAnsi="宋体"/>
          <w:b/>
          <w:bCs/>
          <w:sz w:val="21"/>
          <w:szCs w:val="21"/>
        </w:rPr>
        <w:t>*</w:t>
      </w:r>
      <w:r>
        <w:rPr>
          <w:rFonts w:hint="eastAsia" w:ascii="宋体" w:hAnsi="宋体"/>
          <w:sz w:val="21"/>
          <w:szCs w:val="21"/>
        </w:rPr>
        <w:t>6、与患者接触部分可拆卸消毒；</w:t>
      </w:r>
    </w:p>
    <w:p>
      <w:pPr>
        <w:spacing w:line="360" w:lineRule="auto"/>
        <w:rPr>
          <w:rFonts w:ascii="宋体" w:hAnsi="宋体"/>
          <w:sz w:val="21"/>
          <w:szCs w:val="21"/>
        </w:rPr>
      </w:pPr>
      <w:r>
        <w:rPr>
          <w:rFonts w:hint="eastAsia" w:ascii="宋体" w:hAnsi="宋体"/>
          <w:sz w:val="21"/>
          <w:szCs w:val="21"/>
        </w:rPr>
        <w:t>7、图像采集装置像素不低于1</w:t>
      </w:r>
      <w:r>
        <w:rPr>
          <w:rFonts w:ascii="宋体" w:hAnsi="宋体"/>
          <w:sz w:val="21"/>
          <w:szCs w:val="21"/>
        </w:rPr>
        <w:t>500</w:t>
      </w:r>
      <w:r>
        <w:rPr>
          <w:rFonts w:hint="eastAsia" w:ascii="宋体" w:hAnsi="宋体"/>
          <w:sz w:val="21"/>
          <w:szCs w:val="21"/>
        </w:rPr>
        <w:t>万像素；</w:t>
      </w:r>
    </w:p>
    <w:p>
      <w:pPr>
        <w:spacing w:line="360" w:lineRule="auto"/>
        <w:outlineLvl w:val="0"/>
        <w:rPr>
          <w:rFonts w:ascii="宋体" w:hAnsi="宋体"/>
          <w:b/>
          <w:sz w:val="24"/>
          <w:szCs w:val="24"/>
        </w:rPr>
      </w:pPr>
      <w:r>
        <w:rPr>
          <w:rFonts w:hint="eastAsia" w:ascii="宋体" w:hAnsi="宋体"/>
          <w:b/>
          <w:sz w:val="24"/>
          <w:szCs w:val="24"/>
        </w:rPr>
        <w:t>软件功能性要求</w:t>
      </w:r>
    </w:p>
    <w:p>
      <w:pPr>
        <w:spacing w:line="360" w:lineRule="auto"/>
        <w:rPr>
          <w:rFonts w:ascii="宋体" w:hAnsi="宋体"/>
          <w:sz w:val="21"/>
          <w:szCs w:val="21"/>
        </w:rPr>
      </w:pPr>
      <w:r>
        <w:rPr>
          <w:rFonts w:hint="eastAsia" w:ascii="宋体" w:hAnsi="宋体"/>
          <w:b/>
          <w:bCs/>
          <w:sz w:val="21"/>
          <w:szCs w:val="21"/>
        </w:rPr>
        <w:t>*</w:t>
      </w:r>
      <w:r>
        <w:rPr>
          <w:rFonts w:ascii="宋体" w:hAnsi="宋体"/>
          <w:sz w:val="21"/>
          <w:szCs w:val="21"/>
        </w:rPr>
        <w:t>1</w:t>
      </w:r>
      <w:r>
        <w:rPr>
          <w:rFonts w:hint="eastAsia" w:ascii="宋体" w:hAnsi="宋体"/>
          <w:sz w:val="21"/>
          <w:szCs w:val="21"/>
        </w:rPr>
        <w:t>、可自动分析舌</w:t>
      </w:r>
      <w:r>
        <w:rPr>
          <w:rFonts w:ascii="宋体" w:hAnsi="宋体"/>
          <w:sz w:val="21"/>
          <w:szCs w:val="21"/>
        </w:rPr>
        <w:t>象</w:t>
      </w:r>
      <w:r>
        <w:rPr>
          <w:rFonts w:hint="eastAsia" w:ascii="宋体" w:hAnsi="宋体"/>
          <w:sz w:val="21"/>
          <w:szCs w:val="21"/>
        </w:rPr>
        <w:t>特征，舌色分析须不低于</w:t>
      </w:r>
      <w:r>
        <w:rPr>
          <w:rFonts w:ascii="宋体" w:hAnsi="宋体"/>
          <w:sz w:val="21"/>
          <w:szCs w:val="21"/>
        </w:rPr>
        <w:t>8</w:t>
      </w:r>
      <w:r>
        <w:rPr>
          <w:rFonts w:hint="eastAsia" w:ascii="宋体" w:hAnsi="宋体"/>
          <w:sz w:val="21"/>
          <w:szCs w:val="21"/>
        </w:rPr>
        <w:t>种结果；苔色分析须不低于4种结果；苔质分析须不低于</w:t>
      </w:r>
      <w:r>
        <w:rPr>
          <w:rFonts w:ascii="宋体" w:hAnsi="宋体"/>
          <w:sz w:val="21"/>
          <w:szCs w:val="21"/>
        </w:rPr>
        <w:t>6</w:t>
      </w:r>
      <w:r>
        <w:rPr>
          <w:rFonts w:hint="eastAsia" w:ascii="宋体" w:hAnsi="宋体"/>
          <w:sz w:val="21"/>
          <w:szCs w:val="21"/>
        </w:rPr>
        <w:t>种结果；舌形分析须不低于</w:t>
      </w:r>
      <w:r>
        <w:rPr>
          <w:rFonts w:ascii="宋体" w:hAnsi="宋体"/>
          <w:sz w:val="21"/>
          <w:szCs w:val="21"/>
        </w:rPr>
        <w:t>4</w:t>
      </w:r>
      <w:r>
        <w:rPr>
          <w:rFonts w:hint="eastAsia" w:ascii="宋体" w:hAnsi="宋体"/>
          <w:sz w:val="21"/>
          <w:szCs w:val="21"/>
        </w:rPr>
        <w:t>种结果；</w:t>
      </w:r>
    </w:p>
    <w:p>
      <w:pPr>
        <w:spacing w:line="360" w:lineRule="auto"/>
        <w:rPr>
          <w:rFonts w:ascii="宋体" w:hAnsi="宋体"/>
          <w:sz w:val="21"/>
          <w:szCs w:val="21"/>
        </w:rPr>
      </w:pPr>
      <w:r>
        <w:rPr>
          <w:rFonts w:hint="eastAsia" w:ascii="宋体" w:hAnsi="宋体"/>
          <w:b/>
          <w:bCs/>
          <w:sz w:val="21"/>
          <w:szCs w:val="21"/>
        </w:rPr>
        <w:t>*</w:t>
      </w:r>
      <w:r>
        <w:rPr>
          <w:rFonts w:ascii="宋体" w:hAnsi="宋体"/>
          <w:sz w:val="21"/>
          <w:szCs w:val="21"/>
        </w:rPr>
        <w:t>2</w:t>
      </w:r>
      <w:r>
        <w:rPr>
          <w:rFonts w:hint="eastAsia" w:ascii="宋体" w:hAnsi="宋体"/>
          <w:sz w:val="21"/>
          <w:szCs w:val="21"/>
        </w:rPr>
        <w:t>、可自动分析面</w:t>
      </w:r>
      <w:r>
        <w:rPr>
          <w:rFonts w:ascii="宋体" w:hAnsi="宋体"/>
          <w:sz w:val="21"/>
          <w:szCs w:val="21"/>
        </w:rPr>
        <w:t>象</w:t>
      </w:r>
      <w:r>
        <w:rPr>
          <w:rFonts w:hint="eastAsia" w:ascii="宋体" w:hAnsi="宋体"/>
          <w:sz w:val="21"/>
          <w:szCs w:val="21"/>
        </w:rPr>
        <w:t>特征，面色分析须不低于1</w:t>
      </w:r>
      <w:r>
        <w:rPr>
          <w:rFonts w:ascii="宋体" w:hAnsi="宋体"/>
          <w:sz w:val="21"/>
          <w:szCs w:val="21"/>
        </w:rPr>
        <w:t>3</w:t>
      </w:r>
      <w:r>
        <w:rPr>
          <w:rFonts w:hint="eastAsia" w:ascii="宋体" w:hAnsi="宋体"/>
          <w:sz w:val="21"/>
          <w:szCs w:val="21"/>
        </w:rPr>
        <w:t>种结果；局部特征分析须不低于2种结果；面部光泽分析须不低于3种结果；唇色分析须不低于</w:t>
      </w:r>
      <w:r>
        <w:rPr>
          <w:rFonts w:ascii="宋体" w:hAnsi="宋体"/>
          <w:sz w:val="21"/>
          <w:szCs w:val="21"/>
        </w:rPr>
        <w:t>3</w:t>
      </w:r>
      <w:r>
        <w:rPr>
          <w:rFonts w:hint="eastAsia" w:ascii="宋体" w:hAnsi="宋体"/>
          <w:sz w:val="21"/>
          <w:szCs w:val="21"/>
        </w:rPr>
        <w:t>种结果；</w:t>
      </w:r>
    </w:p>
    <w:p>
      <w:pPr>
        <w:spacing w:line="360" w:lineRule="auto"/>
        <w:rPr>
          <w:rFonts w:ascii="宋体" w:hAnsi="宋体"/>
          <w:color w:val="000000"/>
          <w:sz w:val="21"/>
          <w:szCs w:val="21"/>
        </w:rPr>
      </w:pPr>
      <w:r>
        <w:rPr>
          <w:rFonts w:hint="eastAsia" w:ascii="宋体" w:hAnsi="宋体"/>
          <w:b/>
          <w:bCs/>
          <w:sz w:val="21"/>
          <w:szCs w:val="21"/>
        </w:rPr>
        <w:t>*</w:t>
      </w:r>
      <w:r>
        <w:rPr>
          <w:rFonts w:hint="eastAsia" w:ascii="宋体" w:hAnsi="宋体"/>
          <w:color w:val="000000"/>
          <w:sz w:val="21"/>
          <w:szCs w:val="21"/>
        </w:rPr>
        <w:t>3、舌面像客观化分析，须采用全自动智能分析技术，可自动分析舌象、面色的客观化定量指标及定性判读结果；</w:t>
      </w:r>
    </w:p>
    <w:p>
      <w:pPr>
        <w:spacing w:line="360" w:lineRule="auto"/>
        <w:rPr>
          <w:rFonts w:ascii="宋体" w:hAnsi="宋体"/>
          <w:color w:val="000000"/>
          <w:sz w:val="21"/>
          <w:szCs w:val="21"/>
        </w:rPr>
      </w:pPr>
      <w:r>
        <w:rPr>
          <w:rFonts w:hint="eastAsia" w:ascii="宋体" w:hAnsi="宋体"/>
          <w:color w:val="000000"/>
          <w:sz w:val="21"/>
          <w:szCs w:val="21"/>
        </w:rPr>
        <w:t>4、舌面象图片本地存储，支持分类数据导出；</w:t>
      </w:r>
    </w:p>
    <w:p>
      <w:pPr>
        <w:spacing w:line="360" w:lineRule="auto"/>
        <w:rPr>
          <w:rFonts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、开放数据接口，支持与医院系统、区域卫生数据平台对接</w:t>
      </w:r>
    </w:p>
    <w:p>
      <w:pPr>
        <w:spacing w:line="360" w:lineRule="auto"/>
        <w:rPr>
          <w:rFonts w:ascii="宋体" w:hAnsi="宋体"/>
          <w:color w:val="000000"/>
          <w:sz w:val="24"/>
          <w:szCs w:val="24"/>
        </w:rPr>
      </w:pPr>
    </w:p>
    <w:p>
      <w:pPr>
        <w:widowControl/>
        <w:jc w:val="left"/>
        <w:rPr>
          <w:rFonts w:ascii="宋体" w:hAnsi="宋体" w:cs="宋体"/>
          <w:sz w:val="24"/>
          <w:szCs w:val="24"/>
        </w:rPr>
      </w:pPr>
      <w:r>
        <w:rPr>
          <w:rFonts w:hint="eastAsia" w:ascii="宋体" w:hAnsi="宋体" w:cs="宋体"/>
          <w:b/>
          <w:bCs/>
          <w:sz w:val="24"/>
          <w:szCs w:val="24"/>
          <w:lang w:val="zh-TW" w:eastAsia="zh-CN"/>
        </w:rPr>
        <w:t>（三）</w:t>
      </w:r>
      <w:r>
        <w:rPr>
          <w:rFonts w:hint="eastAsia" w:ascii="宋体" w:hAnsi="宋体" w:cs="宋体"/>
          <w:b/>
          <w:bCs/>
          <w:sz w:val="24"/>
          <w:szCs w:val="24"/>
          <w:lang w:val="zh-TW" w:eastAsia="zh-TW"/>
        </w:rPr>
        <w:t>经络</w:t>
      </w:r>
      <w:r>
        <w:rPr>
          <w:rFonts w:hint="eastAsia" w:ascii="宋体" w:hAnsi="宋体" w:cs="宋体"/>
          <w:b/>
          <w:bCs/>
          <w:sz w:val="24"/>
          <w:szCs w:val="24"/>
          <w:lang w:val="zh-TW"/>
        </w:rPr>
        <w:t>监</w:t>
      </w:r>
      <w:r>
        <w:rPr>
          <w:rFonts w:hint="eastAsia" w:ascii="宋体" w:hAnsi="宋体" w:cs="宋体"/>
          <w:b/>
          <w:bCs/>
          <w:sz w:val="24"/>
          <w:szCs w:val="24"/>
          <w:lang w:val="zh-TW" w:eastAsia="zh-TW"/>
        </w:rPr>
        <w:t>测</w:t>
      </w:r>
      <w:r>
        <w:rPr>
          <w:rFonts w:hint="eastAsia" w:ascii="宋体" w:hAnsi="宋体" w:cs="宋体"/>
          <w:b/>
          <w:bCs/>
          <w:sz w:val="24"/>
          <w:szCs w:val="24"/>
          <w:lang w:val="zh-TW"/>
        </w:rPr>
        <w:t>仪</w:t>
      </w:r>
    </w:p>
    <w:p>
      <w:pPr>
        <w:widowControl/>
        <w:spacing w:line="360" w:lineRule="auto"/>
        <w:jc w:val="left"/>
        <w:rPr>
          <w:rFonts w:ascii="宋体" w:hAnsi="宋体" w:cs="宋体"/>
          <w:color w:val="000000"/>
          <w:sz w:val="21"/>
          <w:szCs w:val="21"/>
          <w:u w:color="000000"/>
          <w:lang w:val="zh-TW" w:eastAsia="zh-TW"/>
        </w:rPr>
      </w:pPr>
      <w:r>
        <w:rPr>
          <w:rFonts w:hint="eastAsia" w:ascii="宋体" w:hAnsi="宋体" w:cs="宋体"/>
          <w:color w:val="000000"/>
          <w:sz w:val="21"/>
          <w:szCs w:val="21"/>
          <w:u w:color="000000"/>
          <w:lang w:val="zh-TW" w:eastAsia="zh-TW"/>
        </w:rPr>
        <w:t>1、在中医理论指导下，通过检测人体十二经络原穴，分析出中医脏腑功能的阴阳虚实与气血盈亏状态；</w:t>
      </w:r>
    </w:p>
    <w:p>
      <w:pPr>
        <w:widowControl/>
        <w:spacing w:line="360" w:lineRule="auto"/>
        <w:jc w:val="left"/>
        <w:rPr>
          <w:rFonts w:ascii="宋体" w:hAnsi="宋体" w:cs="宋体"/>
          <w:color w:val="000000"/>
          <w:sz w:val="21"/>
          <w:szCs w:val="21"/>
          <w:u w:color="000000"/>
          <w:lang w:val="zh-TW" w:eastAsia="zh-TW"/>
        </w:rPr>
      </w:pPr>
      <w:r>
        <w:rPr>
          <w:rFonts w:hint="eastAsia" w:ascii="宋体" w:hAnsi="宋体" w:cs="宋体"/>
          <w:color w:val="000000"/>
          <w:sz w:val="21"/>
          <w:szCs w:val="21"/>
          <w:u w:color="000000"/>
          <w:lang w:val="zh-TW" w:eastAsia="zh-TW"/>
        </w:rPr>
        <w:t>2、投标设备须能够将经络信息采集分析、问诊信息采集分析结合于一体，为脏腑经络辨证、临床干预提供客观依据；</w:t>
      </w:r>
    </w:p>
    <w:p>
      <w:pPr>
        <w:widowControl/>
        <w:spacing w:line="360" w:lineRule="auto"/>
        <w:jc w:val="left"/>
        <w:rPr>
          <w:rFonts w:ascii="宋体" w:hAnsi="宋体" w:cs="宋体"/>
          <w:color w:val="000000"/>
          <w:sz w:val="21"/>
          <w:szCs w:val="21"/>
          <w:u w:color="000000"/>
          <w:lang w:val="zh-TW" w:eastAsia="zh-TW"/>
        </w:rPr>
      </w:pPr>
      <w:r>
        <w:rPr>
          <w:rFonts w:hint="eastAsia" w:ascii="宋体" w:hAnsi="宋体" w:cs="宋体"/>
          <w:color w:val="000000"/>
          <w:sz w:val="21"/>
          <w:szCs w:val="21"/>
          <w:u w:color="000000"/>
          <w:lang w:val="zh-TW" w:eastAsia="zh-TW"/>
        </w:rPr>
        <w:t>3、投标设备须能够通过数字及图像等形式，输出客观化的量化指标；</w:t>
      </w:r>
    </w:p>
    <w:p>
      <w:pPr>
        <w:widowControl/>
        <w:spacing w:line="360" w:lineRule="auto"/>
        <w:jc w:val="left"/>
        <w:rPr>
          <w:rFonts w:ascii="宋体" w:hAnsi="宋体" w:cs="宋体"/>
          <w:color w:val="000000"/>
          <w:sz w:val="21"/>
          <w:szCs w:val="21"/>
          <w:u w:color="000000"/>
          <w:lang w:val="zh-TW" w:eastAsia="zh-TW"/>
        </w:rPr>
      </w:pPr>
      <w:r>
        <w:rPr>
          <w:rFonts w:hint="eastAsia" w:ascii="宋体" w:hAnsi="宋体" w:cs="宋体"/>
          <w:color w:val="000000"/>
          <w:sz w:val="21"/>
          <w:szCs w:val="21"/>
          <w:u w:color="000000"/>
          <w:lang w:val="zh-TW" w:eastAsia="zh-TW"/>
        </w:rPr>
        <w:t>4、投标设备须具有对常见慢性疾病的未来趋势预测及既存征兆提示功能；</w:t>
      </w:r>
    </w:p>
    <w:p>
      <w:pPr>
        <w:widowControl/>
        <w:spacing w:line="360" w:lineRule="auto"/>
        <w:jc w:val="left"/>
        <w:rPr>
          <w:rFonts w:ascii="宋体" w:hAnsi="宋体" w:cs="宋体"/>
          <w:color w:val="000000"/>
          <w:sz w:val="21"/>
          <w:szCs w:val="21"/>
          <w:u w:color="000000"/>
          <w:lang w:val="zh-TW" w:eastAsia="zh-TW"/>
        </w:rPr>
      </w:pPr>
      <w:r>
        <w:rPr>
          <w:rFonts w:hint="eastAsia" w:ascii="宋体" w:hAnsi="宋体" w:cs="宋体"/>
          <w:color w:val="000000"/>
          <w:sz w:val="21"/>
          <w:szCs w:val="21"/>
          <w:u w:color="000000"/>
          <w:lang w:val="zh-TW" w:eastAsia="zh-TW"/>
        </w:rPr>
        <w:t>5、须具有通过既存征兆提示模型、常见病危险性前瞻评估模型，对现有疾病及可能发生的疾病作出评估与预警的功能，并能够标识各危险因素量化比例，为健康干预方案的制定提供未病先防的客观依据；</w:t>
      </w:r>
    </w:p>
    <w:p>
      <w:pPr>
        <w:jc w:val="left"/>
        <w:rPr>
          <w:rFonts w:ascii="宋体" w:hAnsi="宋体" w:cs="宋体"/>
          <w:color w:val="000000"/>
          <w:sz w:val="21"/>
          <w:szCs w:val="21"/>
          <w:u w:color="000000"/>
          <w:lang w:val="zh-TW" w:eastAsia="zh-TW"/>
        </w:rPr>
      </w:pPr>
      <w:r>
        <w:rPr>
          <w:rFonts w:hint="eastAsia" w:ascii="宋体" w:hAnsi="宋体" w:cs="宋体"/>
          <w:color w:val="000000"/>
          <w:sz w:val="21"/>
          <w:szCs w:val="21"/>
          <w:u w:color="000000"/>
          <w:lang w:val="zh-TW" w:eastAsia="zh-TW"/>
        </w:rPr>
        <w:t>6、投标设备须能够对脏腑功能、虚实寒热、气血盈亏进行分析提示；</w:t>
      </w:r>
    </w:p>
    <w:p>
      <w:pPr>
        <w:widowControl/>
        <w:spacing w:line="360" w:lineRule="auto"/>
        <w:jc w:val="left"/>
        <w:rPr>
          <w:rFonts w:asciiTheme="majorEastAsia" w:hAnsiTheme="majorEastAsia" w:eastAsiaTheme="majorEastAsia"/>
          <w:b/>
          <w:bCs/>
          <w:sz w:val="21"/>
          <w:szCs w:val="21"/>
        </w:rPr>
      </w:pPr>
      <w:r>
        <w:rPr>
          <w:rFonts w:hint="eastAsia" w:ascii="宋体" w:hAnsi="宋体" w:cs="宋体"/>
          <w:color w:val="000000"/>
          <w:sz w:val="21"/>
          <w:szCs w:val="21"/>
          <w:u w:color="000000"/>
          <w:lang w:val="zh-TW" w:eastAsia="zh-TW"/>
        </w:rPr>
        <w:t>7、须能够根据检测结果，提供个体化治未病干预方案；</w:t>
      </w:r>
    </w:p>
    <w:p>
      <w:pPr>
        <w:spacing w:line="360" w:lineRule="auto"/>
        <w:rPr>
          <w:rFonts w:hint="eastAsia"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rPr>
        <w:t>注：</w:t>
      </w:r>
      <w:r>
        <w:rPr>
          <w:rFonts w:hint="eastAsia" w:ascii="宋体" w:hAnsi="宋体" w:cs="宋体"/>
          <w:b/>
          <w:bCs/>
          <w:color w:val="000000"/>
          <w:kern w:val="0"/>
          <w:sz w:val="22"/>
          <w:szCs w:val="22"/>
          <w:lang w:val="en-US" w:eastAsia="zh-CN"/>
        </w:rPr>
        <w:t>1</w:t>
      </w:r>
      <w:bookmarkStart w:id="561" w:name="_Toc397928630"/>
      <w:bookmarkStart w:id="562" w:name="_Toc7525"/>
      <w:r>
        <w:rPr>
          <w:rFonts w:hint="eastAsia" w:ascii="宋体" w:hAnsi="宋体" w:eastAsia="宋体" w:cs="宋体"/>
          <w:b/>
          <w:bCs/>
          <w:color w:val="000000"/>
          <w:kern w:val="0"/>
          <w:sz w:val="22"/>
          <w:szCs w:val="22"/>
          <w:lang w:val="en-US" w:eastAsia="zh-CN"/>
        </w:rPr>
        <w:t>、以上产品带</w:t>
      </w:r>
      <w:r>
        <w:rPr>
          <w:rFonts w:hint="eastAsia" w:ascii="宋体" w:hAnsi="宋体"/>
          <w:b/>
          <w:bCs/>
          <w:sz w:val="21"/>
          <w:szCs w:val="21"/>
        </w:rPr>
        <w:t>*</w:t>
      </w:r>
      <w:r>
        <w:rPr>
          <w:rFonts w:hint="eastAsia" w:ascii="宋体" w:hAnsi="宋体" w:eastAsia="宋体" w:cs="宋体"/>
          <w:b/>
          <w:bCs/>
          <w:color w:val="000000"/>
          <w:kern w:val="0"/>
          <w:sz w:val="22"/>
          <w:szCs w:val="22"/>
          <w:lang w:val="en-US" w:eastAsia="zh-CN"/>
        </w:rPr>
        <w:t>的为重要技术参数。</w:t>
      </w:r>
    </w:p>
    <w:p>
      <w:pPr>
        <w:pStyle w:val="3"/>
        <w:rPr>
          <w:color w:val="000000"/>
        </w:rPr>
      </w:pPr>
    </w:p>
    <w:p>
      <w:pPr>
        <w:pStyle w:val="3"/>
        <w:rPr>
          <w:color w:val="000000"/>
        </w:rPr>
      </w:pPr>
      <w:r>
        <w:rPr>
          <w:color w:val="000000"/>
        </w:rPr>
        <w:br w:type="page"/>
      </w:r>
      <w:bookmarkStart w:id="563" w:name="_Toc511142521"/>
      <w:r>
        <w:rPr>
          <w:rFonts w:hint="eastAsia"/>
          <w:color w:val="000000"/>
        </w:rPr>
        <w:t>第六章 投标文件格式</w:t>
      </w:r>
      <w:bookmarkEnd w:id="561"/>
      <w:bookmarkEnd w:id="562"/>
      <w:bookmarkEnd w:id="563"/>
    </w:p>
    <w:p>
      <w:pPr>
        <w:spacing w:line="360" w:lineRule="auto"/>
        <w:jc w:val="left"/>
        <w:rPr>
          <w:rFonts w:ascii="宋体" w:hAnsi="宋体"/>
          <w:b/>
          <w:color w:val="000000"/>
          <w:sz w:val="32"/>
        </w:rPr>
      </w:pPr>
      <w:bookmarkStart w:id="564" w:name="_Toc397928631"/>
      <w:bookmarkStart w:id="565" w:name="_Toc511142522"/>
      <w:r>
        <w:rPr>
          <w:rStyle w:val="56"/>
          <w:rFonts w:hint="eastAsia" w:ascii="宋体" w:hAnsi="宋体" w:eastAsia="宋体"/>
          <w:color w:val="000000"/>
        </w:rPr>
        <w:t>封面</w:t>
      </w:r>
      <w:bookmarkEnd w:id="564"/>
      <w:bookmarkEnd w:id="565"/>
    </w:p>
    <w:p>
      <w:pPr>
        <w:spacing w:line="360" w:lineRule="auto"/>
        <w:jc w:val="center"/>
        <w:rPr>
          <w:rFonts w:ascii="黑体" w:eastAsia="黑体"/>
          <w:b/>
          <w:color w:val="000000"/>
          <w:sz w:val="32"/>
        </w:rPr>
      </w:pPr>
    </w:p>
    <w:p>
      <w:pPr>
        <w:jc w:val="center"/>
        <w:rPr>
          <w:rFonts w:ascii="宋体" w:hAnsi="宋体"/>
          <w:color w:val="000000"/>
          <w:sz w:val="44"/>
          <w:szCs w:val="44"/>
        </w:rPr>
      </w:pPr>
      <w:r>
        <w:rPr>
          <w:rFonts w:hint="eastAsia" w:ascii="宋体" w:hAnsi="宋体"/>
          <w:color w:val="000000"/>
          <w:sz w:val="44"/>
          <w:szCs w:val="44"/>
        </w:rPr>
        <w:t xml:space="preserve"> </w:t>
      </w:r>
    </w:p>
    <w:p>
      <w:pPr>
        <w:jc w:val="center"/>
        <w:rPr>
          <w:rFonts w:ascii="宋体" w:hAnsi="宋体"/>
          <w:color w:val="000000"/>
          <w:sz w:val="44"/>
          <w:szCs w:val="44"/>
        </w:rPr>
      </w:pPr>
      <w:r>
        <w:rPr>
          <w:rFonts w:hint="eastAsia" w:ascii="宋体" w:hAnsi="宋体"/>
          <w:color w:val="000000"/>
          <w:sz w:val="44"/>
          <w:szCs w:val="44"/>
          <w:u w:val="single"/>
        </w:rPr>
        <w:t xml:space="preserve"> （项目名称及标段）    </w:t>
      </w:r>
      <w:r>
        <w:rPr>
          <w:rFonts w:hint="eastAsia" w:ascii="宋体" w:hAnsi="宋体"/>
          <w:color w:val="000000"/>
          <w:sz w:val="44"/>
          <w:szCs w:val="44"/>
        </w:rPr>
        <w:t>货物招标</w:t>
      </w:r>
    </w:p>
    <w:p>
      <w:pPr>
        <w:spacing w:line="360" w:lineRule="auto"/>
        <w:jc w:val="center"/>
        <w:rPr>
          <w:rFonts w:ascii="宋体" w:hAnsi="宋体"/>
          <w:color w:val="000000"/>
          <w:sz w:val="28"/>
          <w:szCs w:val="28"/>
        </w:rPr>
      </w:pPr>
    </w:p>
    <w:p>
      <w:pPr>
        <w:spacing w:line="360" w:lineRule="auto"/>
        <w:jc w:val="center"/>
        <w:rPr>
          <w:rFonts w:ascii="宋体" w:hAnsi="宋体"/>
          <w:color w:val="000000"/>
          <w:sz w:val="28"/>
          <w:szCs w:val="28"/>
        </w:rPr>
      </w:pPr>
    </w:p>
    <w:p>
      <w:pPr>
        <w:spacing w:line="360" w:lineRule="auto"/>
        <w:jc w:val="center"/>
        <w:rPr>
          <w:rFonts w:ascii="宋体" w:hAnsi="宋体"/>
          <w:color w:val="000000"/>
          <w:sz w:val="72"/>
          <w:szCs w:val="72"/>
        </w:rPr>
      </w:pPr>
    </w:p>
    <w:p>
      <w:pPr>
        <w:spacing w:line="360" w:lineRule="auto"/>
        <w:jc w:val="center"/>
        <w:rPr>
          <w:rFonts w:ascii="黑体" w:hAnsi="黑体" w:eastAsia="黑体"/>
          <w:color w:val="000000"/>
          <w:sz w:val="96"/>
          <w:szCs w:val="96"/>
        </w:rPr>
      </w:pPr>
      <w:r>
        <w:rPr>
          <w:rFonts w:hint="eastAsia" w:ascii="黑体" w:hAnsi="黑体" w:eastAsia="黑体"/>
          <w:color w:val="000000"/>
          <w:sz w:val="96"/>
          <w:szCs w:val="96"/>
        </w:rPr>
        <w:t>投 标 文 件</w:t>
      </w:r>
    </w:p>
    <w:p>
      <w:pPr>
        <w:spacing w:line="360" w:lineRule="auto"/>
        <w:jc w:val="center"/>
        <w:rPr>
          <w:rFonts w:ascii="宋体" w:hAnsi="宋体"/>
          <w:color w:val="000000"/>
          <w:sz w:val="28"/>
          <w:szCs w:val="28"/>
        </w:rPr>
      </w:pPr>
    </w:p>
    <w:p>
      <w:pPr>
        <w:spacing w:line="360" w:lineRule="auto"/>
        <w:jc w:val="center"/>
        <w:rPr>
          <w:rFonts w:ascii="宋体" w:hAnsi="宋体"/>
          <w:color w:val="000000"/>
          <w:sz w:val="28"/>
          <w:szCs w:val="28"/>
        </w:rPr>
      </w:pPr>
      <w:r>
        <w:rPr>
          <w:rFonts w:hint="eastAsia" w:ascii="宋体" w:hAnsi="宋体"/>
          <w:color w:val="000000"/>
          <w:sz w:val="28"/>
          <w:szCs w:val="28"/>
        </w:rPr>
        <w:t xml:space="preserve">招标编号： </w:t>
      </w:r>
    </w:p>
    <w:p>
      <w:pPr>
        <w:spacing w:line="360" w:lineRule="auto"/>
        <w:jc w:val="center"/>
        <w:rPr>
          <w:rFonts w:ascii="宋体" w:hAnsi="宋体"/>
          <w:color w:val="000000"/>
          <w:sz w:val="28"/>
          <w:szCs w:val="28"/>
        </w:rPr>
      </w:pPr>
    </w:p>
    <w:p>
      <w:pPr>
        <w:spacing w:line="360" w:lineRule="auto"/>
        <w:jc w:val="center"/>
        <w:rPr>
          <w:rFonts w:ascii="宋体" w:hAnsi="宋体"/>
          <w:color w:val="000000"/>
          <w:sz w:val="28"/>
          <w:szCs w:val="28"/>
        </w:rPr>
      </w:pPr>
    </w:p>
    <w:p>
      <w:pPr>
        <w:spacing w:line="360" w:lineRule="auto"/>
        <w:jc w:val="center"/>
        <w:rPr>
          <w:rFonts w:ascii="宋体" w:hAnsi="宋体"/>
          <w:color w:val="000000"/>
          <w:sz w:val="28"/>
          <w:szCs w:val="28"/>
        </w:rPr>
      </w:pPr>
    </w:p>
    <w:p>
      <w:pPr>
        <w:spacing w:line="360" w:lineRule="auto"/>
        <w:jc w:val="center"/>
        <w:rPr>
          <w:rFonts w:ascii="宋体" w:hAnsi="宋体"/>
          <w:color w:val="000000"/>
          <w:sz w:val="28"/>
          <w:szCs w:val="28"/>
        </w:rPr>
      </w:pPr>
    </w:p>
    <w:p>
      <w:pPr>
        <w:spacing w:line="360" w:lineRule="auto"/>
        <w:jc w:val="center"/>
        <w:rPr>
          <w:rFonts w:ascii="宋体" w:hAnsi="宋体"/>
          <w:color w:val="000000"/>
          <w:sz w:val="28"/>
          <w:szCs w:val="28"/>
        </w:rPr>
      </w:pPr>
    </w:p>
    <w:p>
      <w:pPr>
        <w:spacing w:line="360" w:lineRule="auto"/>
        <w:jc w:val="center"/>
        <w:rPr>
          <w:rFonts w:ascii="宋体" w:hAnsi="宋体"/>
          <w:color w:val="000000"/>
          <w:sz w:val="28"/>
          <w:szCs w:val="28"/>
        </w:rPr>
      </w:pPr>
    </w:p>
    <w:p>
      <w:pPr>
        <w:spacing w:line="360" w:lineRule="auto"/>
        <w:jc w:val="center"/>
        <w:rPr>
          <w:rFonts w:ascii="宋体" w:hAnsi="宋体"/>
          <w:color w:val="000000"/>
          <w:sz w:val="28"/>
          <w:szCs w:val="28"/>
        </w:rPr>
      </w:pPr>
    </w:p>
    <w:p>
      <w:pPr>
        <w:spacing w:line="360" w:lineRule="auto"/>
        <w:ind w:firstLine="708" w:firstLineChars="253"/>
        <w:jc w:val="left"/>
        <w:rPr>
          <w:rFonts w:ascii="宋体" w:hAnsi="宋体"/>
          <w:color w:val="000000"/>
          <w:sz w:val="28"/>
          <w:szCs w:val="28"/>
          <w:u w:val="single"/>
        </w:rPr>
      </w:pPr>
      <w:r>
        <w:rPr>
          <w:rFonts w:hint="eastAsia" w:ascii="宋体" w:hAnsi="宋体"/>
          <w:color w:val="000000"/>
          <w:sz w:val="28"/>
          <w:szCs w:val="28"/>
        </w:rPr>
        <w:t>投标人（盖章）：</w:t>
      </w:r>
      <w:r>
        <w:rPr>
          <w:rFonts w:hint="eastAsia" w:ascii="宋体" w:hAnsi="宋体"/>
          <w:color w:val="000000"/>
          <w:sz w:val="28"/>
          <w:szCs w:val="28"/>
          <w:u w:val="single"/>
        </w:rPr>
        <w:t xml:space="preserve">                                </w:t>
      </w:r>
    </w:p>
    <w:p>
      <w:pPr>
        <w:spacing w:line="360" w:lineRule="auto"/>
        <w:jc w:val="center"/>
      </w:pPr>
      <w:r>
        <w:rPr>
          <w:rFonts w:hint="eastAsia" w:ascii="宋体" w:hAnsi="宋体"/>
          <w:color w:val="000000"/>
          <w:sz w:val="28"/>
          <w:szCs w:val="28"/>
        </w:rPr>
        <w:t>日期：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bookmarkStart w:id="566" w:name="_Toc397928632"/>
      <w:bookmarkStart w:id="567" w:name="_Toc387526438"/>
      <w:bookmarkStart w:id="568" w:name="_Toc387526242"/>
      <w:bookmarkStart w:id="569" w:name="_Toc387526346"/>
      <w:bookmarkStart w:id="570" w:name="_Toc5230"/>
    </w:p>
    <w:p>
      <w:pPr>
        <w:pStyle w:val="118"/>
        <w:rPr>
          <w:rFonts w:hAnsi="宋体"/>
        </w:rPr>
      </w:pPr>
      <w:bookmarkStart w:id="571" w:name="_Toc511142523"/>
      <w:r>
        <w:rPr>
          <w:rFonts w:hint="eastAsia"/>
        </w:rPr>
        <w:t>1.投标函</w:t>
      </w:r>
      <w:bookmarkEnd w:id="566"/>
      <w:bookmarkEnd w:id="567"/>
      <w:bookmarkEnd w:id="568"/>
      <w:bookmarkEnd w:id="569"/>
      <w:bookmarkEnd w:id="570"/>
      <w:bookmarkEnd w:id="571"/>
    </w:p>
    <w:p>
      <w:pPr>
        <w:pStyle w:val="117"/>
        <w:spacing w:line="360" w:lineRule="auto"/>
        <w:jc w:val="center"/>
        <w:rPr>
          <w:rFonts w:hAnsi="宋体" w:cs="宋体"/>
          <w:color w:val="000000"/>
          <w:sz w:val="32"/>
          <w:szCs w:val="32"/>
        </w:rPr>
      </w:pPr>
      <w:r>
        <w:rPr>
          <w:rFonts w:hint="eastAsia" w:hAnsi="宋体" w:cs="宋体"/>
          <w:color w:val="000000"/>
          <w:sz w:val="32"/>
          <w:szCs w:val="32"/>
        </w:rPr>
        <w:t>投   标   函</w:t>
      </w:r>
    </w:p>
    <w:p>
      <w:pPr>
        <w:pStyle w:val="117"/>
        <w:spacing w:line="360" w:lineRule="auto"/>
        <w:rPr>
          <w:rFonts w:hAnsi="宋体" w:cs="宋体"/>
          <w:color w:val="000000"/>
          <w:sz w:val="21"/>
          <w:szCs w:val="21"/>
        </w:rPr>
      </w:pPr>
      <w:r>
        <w:rPr>
          <w:rFonts w:hint="eastAsia" w:hAnsi="宋体" w:cs="宋体"/>
          <w:color w:val="000000"/>
          <w:sz w:val="21"/>
          <w:szCs w:val="21"/>
          <w:u w:val="single"/>
        </w:rPr>
        <w:t xml:space="preserve">  </w:t>
      </w:r>
      <w:r>
        <w:rPr>
          <w:rFonts w:hint="eastAsia" w:hAnsi="宋体" w:cs="宋体"/>
          <w:iCs/>
          <w:color w:val="000000"/>
          <w:sz w:val="21"/>
          <w:szCs w:val="21"/>
          <w:u w:val="single"/>
        </w:rPr>
        <w:t>（招标人）</w:t>
      </w:r>
      <w:r>
        <w:rPr>
          <w:rFonts w:hint="eastAsia" w:hAnsi="宋体" w:cs="宋体"/>
          <w:color w:val="000000"/>
          <w:sz w:val="21"/>
          <w:szCs w:val="21"/>
          <w:u w:val="single"/>
        </w:rPr>
        <w:t xml:space="preserve">   </w:t>
      </w:r>
      <w:r>
        <w:rPr>
          <w:rFonts w:hint="eastAsia" w:hAnsi="宋体" w:cs="宋体"/>
          <w:color w:val="000000"/>
          <w:sz w:val="21"/>
          <w:szCs w:val="21"/>
        </w:rPr>
        <w:t>：</w:t>
      </w:r>
    </w:p>
    <w:p>
      <w:pPr>
        <w:spacing w:line="360" w:lineRule="auto"/>
        <w:ind w:firstLine="420" w:firstLineChars="200"/>
        <w:rPr>
          <w:color w:val="000000"/>
          <w:szCs w:val="21"/>
        </w:rPr>
      </w:pPr>
      <w:r>
        <w:rPr>
          <w:color w:val="000000"/>
          <w:szCs w:val="21"/>
        </w:rPr>
        <w:t>1．我方已仔细研究了</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ascii="宋体" w:hAnsi="TimesNewRomanPSMT" w:cs="宋体"/>
          <w:color w:val="000000"/>
          <w:kern w:val="0"/>
          <w:szCs w:val="21"/>
        </w:rPr>
        <w:t>（项目名称及标段）货物招标文件</w:t>
      </w:r>
      <w:r>
        <w:rPr>
          <w:color w:val="000000"/>
          <w:szCs w:val="21"/>
        </w:rPr>
        <w:t>的全部内容，愿意以人民币（大写）</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w:t>
      </w:r>
      <w:r>
        <w:rPr>
          <w:color w:val="000000"/>
          <w:szCs w:val="21"/>
          <w:u w:val="single"/>
        </w:rPr>
        <w:t xml:space="preserve">           </w:t>
      </w:r>
      <w:r>
        <w:rPr>
          <w:color w:val="000000"/>
          <w:szCs w:val="21"/>
        </w:rPr>
        <w:t>）</w:t>
      </w:r>
      <w:r>
        <w:rPr>
          <w:rFonts w:hint="eastAsia"/>
          <w:color w:val="000000"/>
          <w:szCs w:val="21"/>
        </w:rPr>
        <w:t>元</w:t>
      </w:r>
      <w:r>
        <w:rPr>
          <w:color w:val="000000"/>
          <w:szCs w:val="21"/>
        </w:rPr>
        <w:t>的投标总报价，以</w:t>
      </w:r>
      <w:r>
        <w:rPr>
          <w:rFonts w:hint="eastAsia" w:hAnsi="宋体" w:cs="宋体"/>
          <w:color w:val="000000"/>
          <w:szCs w:val="21"/>
          <w:u w:val="single"/>
        </w:rPr>
        <w:t xml:space="preserve"> （交货期或交付使用期）  </w:t>
      </w:r>
      <w:r>
        <w:rPr>
          <w:rFonts w:hint="eastAsia" w:hAnsi="宋体" w:cs="宋体"/>
          <w:color w:val="000000"/>
          <w:szCs w:val="21"/>
        </w:rPr>
        <w:t>，并将按招标文件的规定履行合同责任和义务</w:t>
      </w:r>
      <w:r>
        <w:rPr>
          <w:color w:val="000000"/>
          <w:szCs w:val="21"/>
        </w:rPr>
        <w:t>，</w:t>
      </w:r>
      <w:r>
        <w:rPr>
          <w:rFonts w:hint="eastAsia"/>
          <w:color w:val="000000"/>
          <w:szCs w:val="21"/>
        </w:rPr>
        <w:t>实现工程目的</w:t>
      </w:r>
      <w:r>
        <w:rPr>
          <w:color w:val="000000"/>
          <w:szCs w:val="21"/>
        </w:rPr>
        <w:t>。</w:t>
      </w:r>
    </w:p>
    <w:p>
      <w:pPr>
        <w:spacing w:line="360" w:lineRule="auto"/>
        <w:ind w:firstLine="420" w:firstLineChars="200"/>
        <w:rPr>
          <w:color w:val="000000"/>
          <w:szCs w:val="21"/>
        </w:rPr>
      </w:pPr>
      <w:r>
        <w:rPr>
          <w:color w:val="000000"/>
          <w:szCs w:val="21"/>
        </w:rPr>
        <w:t>2．我方承诺在</w:t>
      </w:r>
      <w:r>
        <w:rPr>
          <w:rFonts w:hint="eastAsia"/>
          <w:color w:val="000000"/>
          <w:szCs w:val="21"/>
        </w:rPr>
        <w:t>招标文件规定的</w:t>
      </w:r>
      <w:r>
        <w:rPr>
          <w:color w:val="000000"/>
          <w:szCs w:val="21"/>
        </w:rPr>
        <w:t>投标有效期内不修改、撤销投标文件</w:t>
      </w:r>
      <w:r>
        <w:rPr>
          <w:rFonts w:hint="eastAsia"/>
          <w:color w:val="000000"/>
          <w:szCs w:val="21"/>
        </w:rPr>
        <w:t>。</w:t>
      </w:r>
    </w:p>
    <w:p>
      <w:pPr>
        <w:spacing w:line="360" w:lineRule="auto"/>
        <w:ind w:firstLine="420" w:firstLineChars="200"/>
        <w:rPr>
          <w:color w:val="000000"/>
          <w:szCs w:val="21"/>
        </w:rPr>
      </w:pPr>
      <w:r>
        <w:rPr>
          <w:rFonts w:hint="eastAsia"/>
          <w:color w:val="000000"/>
          <w:szCs w:val="21"/>
        </w:rPr>
        <w:t>3</w:t>
      </w:r>
      <w:r>
        <w:rPr>
          <w:color w:val="000000"/>
          <w:szCs w:val="21"/>
        </w:rPr>
        <w:t>．如我方中标：</w:t>
      </w:r>
    </w:p>
    <w:p>
      <w:pPr>
        <w:spacing w:line="360" w:lineRule="auto"/>
        <w:ind w:firstLine="539" w:firstLineChars="257"/>
        <w:rPr>
          <w:color w:val="000000"/>
          <w:szCs w:val="21"/>
        </w:rPr>
      </w:pPr>
      <w:r>
        <w:rPr>
          <w:color w:val="000000"/>
          <w:szCs w:val="21"/>
        </w:rPr>
        <w:t>（1）我方承诺在收到中标通知书后，在中标通知书规定的期限内与你方签订合同。</w:t>
      </w:r>
    </w:p>
    <w:p>
      <w:pPr>
        <w:spacing w:line="360" w:lineRule="auto"/>
        <w:ind w:firstLine="539" w:firstLineChars="257"/>
        <w:rPr>
          <w:color w:val="000000"/>
          <w:szCs w:val="21"/>
        </w:rPr>
      </w:pPr>
      <w:r>
        <w:rPr>
          <w:color w:val="000000"/>
          <w:szCs w:val="21"/>
        </w:rPr>
        <w:t>（2）我方承诺按照招标文件规定向你方递交履约保证金。</w:t>
      </w:r>
    </w:p>
    <w:p>
      <w:pPr>
        <w:spacing w:line="360" w:lineRule="auto"/>
        <w:ind w:firstLine="539" w:firstLineChars="257"/>
        <w:rPr>
          <w:color w:val="000000"/>
          <w:szCs w:val="21"/>
        </w:rPr>
      </w:pPr>
      <w:r>
        <w:rPr>
          <w:color w:val="000000"/>
          <w:szCs w:val="21"/>
        </w:rPr>
        <w:t>（3）</w:t>
      </w:r>
      <w:r>
        <w:rPr>
          <w:rFonts w:hint="eastAsia"/>
          <w:color w:val="000000"/>
          <w:szCs w:val="21"/>
        </w:rPr>
        <w:t>我方将严格履行本投标文件中的全部承诺和责任，并遵守招标文件中对投标人的所有规定。</w:t>
      </w:r>
    </w:p>
    <w:p>
      <w:pPr>
        <w:spacing w:line="360" w:lineRule="auto"/>
        <w:ind w:firstLine="420" w:firstLineChars="200"/>
        <w:rPr>
          <w:color w:val="000000"/>
          <w:szCs w:val="21"/>
        </w:rPr>
      </w:pPr>
      <w:r>
        <w:rPr>
          <w:rFonts w:hint="eastAsia"/>
          <w:color w:val="000000"/>
          <w:szCs w:val="21"/>
        </w:rPr>
        <w:t>4</w:t>
      </w:r>
      <w:r>
        <w:rPr>
          <w:color w:val="000000"/>
          <w:szCs w:val="21"/>
        </w:rPr>
        <w:t>．</w:t>
      </w:r>
      <w:r>
        <w:rPr>
          <w:rFonts w:hint="eastAsia"/>
          <w:color w:val="000000"/>
        </w:rPr>
        <w:t>我方在此声明，所递交的投标文件及有关资料内容完整、真实和准确，且不存在第二章“投标人须知”第</w:t>
      </w:r>
      <w:r>
        <w:rPr>
          <w:rFonts w:hint="eastAsia" w:ascii="宋体" w:hAnsi="宋体" w:eastAsia="宋体" w:cs="宋体"/>
          <w:color w:val="000000"/>
        </w:rPr>
        <w:t>1.4.3</w:t>
      </w:r>
      <w:r>
        <w:rPr>
          <w:rFonts w:hint="eastAsia"/>
          <w:color w:val="000000"/>
        </w:rPr>
        <w:t>项规定的任何一种情形。</w:t>
      </w:r>
    </w:p>
    <w:p>
      <w:pPr>
        <w:spacing w:line="360" w:lineRule="auto"/>
        <w:ind w:firstLine="420" w:firstLineChars="200"/>
        <w:rPr>
          <w:color w:val="000000"/>
          <w:szCs w:val="21"/>
        </w:rPr>
      </w:pPr>
      <w:r>
        <w:rPr>
          <w:rFonts w:hint="eastAsia"/>
          <w:color w:val="000000"/>
          <w:szCs w:val="21"/>
        </w:rPr>
        <w:t>5．</w:t>
      </w:r>
      <w:r>
        <w:rPr>
          <w:color w:val="000000"/>
          <w:szCs w:val="21"/>
          <w:u w:val="single"/>
        </w:rPr>
        <w:t xml:space="preserve">                                       </w:t>
      </w:r>
      <w:r>
        <w:rPr>
          <w:color w:val="000000"/>
          <w:szCs w:val="21"/>
        </w:rPr>
        <w:t>（</w:t>
      </w:r>
      <w:r>
        <w:rPr>
          <w:rFonts w:hint="eastAsia"/>
          <w:color w:val="000000"/>
          <w:szCs w:val="21"/>
        </w:rPr>
        <w:t>其他</w:t>
      </w:r>
      <w:r>
        <w:rPr>
          <w:color w:val="000000"/>
          <w:szCs w:val="21"/>
        </w:rPr>
        <w:t>补充说明）。</w:t>
      </w:r>
    </w:p>
    <w:p>
      <w:pPr>
        <w:pStyle w:val="117"/>
        <w:spacing w:line="360" w:lineRule="auto"/>
        <w:ind w:firstLine="420" w:firstLineChars="200"/>
        <w:rPr>
          <w:rFonts w:hAnsi="宋体" w:cs="宋体"/>
          <w:color w:val="000000"/>
          <w:sz w:val="21"/>
          <w:szCs w:val="21"/>
        </w:rPr>
      </w:pPr>
    </w:p>
    <w:p>
      <w:pPr>
        <w:pStyle w:val="117"/>
        <w:tabs>
          <w:tab w:val="left" w:pos="5665"/>
          <w:tab w:val="right" w:pos="8360"/>
        </w:tabs>
        <w:spacing w:line="360" w:lineRule="auto"/>
        <w:ind w:right="42" w:firstLine="1560" w:firstLineChars="650"/>
        <w:rPr>
          <w:rFonts w:hAnsi="宋体" w:cs="宋体"/>
          <w:color w:val="000000"/>
          <w:sz w:val="24"/>
        </w:rPr>
      </w:pPr>
    </w:p>
    <w:p>
      <w:pPr>
        <w:pStyle w:val="117"/>
        <w:tabs>
          <w:tab w:val="left" w:pos="5665"/>
          <w:tab w:val="right" w:pos="8360"/>
        </w:tabs>
        <w:spacing w:line="360" w:lineRule="auto"/>
        <w:ind w:right="42" w:firstLine="1560" w:firstLineChars="650"/>
        <w:rPr>
          <w:rFonts w:hAnsi="宋体" w:cs="宋体"/>
          <w:color w:val="000000"/>
          <w:sz w:val="24"/>
          <w:u w:val="single"/>
        </w:rPr>
      </w:pPr>
      <w:r>
        <w:rPr>
          <w:rFonts w:hint="eastAsia" w:hAnsi="宋体" w:cs="宋体"/>
          <w:color w:val="000000"/>
          <w:sz w:val="24"/>
        </w:rPr>
        <w:t>投标人(公章)：</w:t>
      </w:r>
      <w:r>
        <w:rPr>
          <w:rFonts w:hint="eastAsia" w:hAnsi="宋体" w:cs="宋体"/>
          <w:color w:val="000000"/>
          <w:sz w:val="24"/>
          <w:u w:val="single"/>
        </w:rPr>
        <w:t xml:space="preserve">                                  </w:t>
      </w:r>
    </w:p>
    <w:p>
      <w:pPr>
        <w:pStyle w:val="117"/>
        <w:tabs>
          <w:tab w:val="left" w:pos="5665"/>
          <w:tab w:val="right" w:pos="8360"/>
        </w:tabs>
        <w:spacing w:line="360" w:lineRule="auto"/>
        <w:ind w:right="42" w:firstLine="1560" w:firstLineChars="650"/>
        <w:rPr>
          <w:rFonts w:hAnsi="宋体" w:cs="宋体"/>
          <w:color w:val="000000"/>
          <w:sz w:val="24"/>
          <w:u w:val="single"/>
        </w:rPr>
      </w:pPr>
    </w:p>
    <w:p>
      <w:pPr>
        <w:pStyle w:val="117"/>
        <w:tabs>
          <w:tab w:val="left" w:pos="5665"/>
          <w:tab w:val="right" w:pos="8360"/>
        </w:tabs>
        <w:spacing w:line="360" w:lineRule="auto"/>
        <w:ind w:right="42" w:firstLine="1560" w:firstLineChars="650"/>
        <w:rPr>
          <w:rFonts w:hAnsi="宋体" w:cs="宋体"/>
          <w:color w:val="000000"/>
          <w:sz w:val="24"/>
          <w:u w:val="single"/>
        </w:rPr>
      </w:pPr>
    </w:p>
    <w:p>
      <w:pPr>
        <w:pStyle w:val="117"/>
        <w:tabs>
          <w:tab w:val="left" w:pos="5665"/>
          <w:tab w:val="right" w:pos="8360"/>
        </w:tabs>
        <w:spacing w:line="360" w:lineRule="auto"/>
        <w:ind w:right="42" w:firstLine="1560" w:firstLineChars="650"/>
        <w:rPr>
          <w:rFonts w:hAnsi="宋体" w:cs="宋体"/>
          <w:color w:val="000000"/>
          <w:sz w:val="24"/>
          <w:u w:val="single"/>
        </w:rPr>
      </w:pPr>
      <w:r>
        <w:rPr>
          <w:rFonts w:hint="eastAsia" w:hAnsi="宋体" w:cs="宋体"/>
          <w:color w:val="000000"/>
          <w:sz w:val="24"/>
        </w:rPr>
        <w:t>法人代表或授权委托人（签字或印章）：</w:t>
      </w:r>
      <w:r>
        <w:rPr>
          <w:rFonts w:hint="eastAsia" w:hAnsi="宋体" w:cs="宋体"/>
          <w:color w:val="000000"/>
          <w:sz w:val="24"/>
          <w:u w:val="single"/>
        </w:rPr>
        <w:t xml:space="preserve">             </w:t>
      </w:r>
    </w:p>
    <w:p>
      <w:pPr>
        <w:pStyle w:val="117"/>
        <w:tabs>
          <w:tab w:val="left" w:pos="5665"/>
          <w:tab w:val="right" w:pos="8360"/>
        </w:tabs>
        <w:spacing w:line="360" w:lineRule="auto"/>
        <w:ind w:right="42" w:firstLine="1560" w:firstLineChars="650"/>
        <w:rPr>
          <w:rFonts w:hAnsi="宋体" w:cs="宋体"/>
          <w:color w:val="000000"/>
          <w:sz w:val="24"/>
          <w:u w:val="single"/>
        </w:rPr>
      </w:pPr>
    </w:p>
    <w:p>
      <w:pPr>
        <w:pStyle w:val="117"/>
        <w:tabs>
          <w:tab w:val="left" w:pos="5665"/>
          <w:tab w:val="right" w:pos="8360"/>
        </w:tabs>
        <w:spacing w:line="360" w:lineRule="auto"/>
        <w:ind w:right="42" w:firstLine="1560" w:firstLineChars="650"/>
        <w:rPr>
          <w:rFonts w:hAnsi="宋体" w:cs="宋体"/>
          <w:color w:val="000000"/>
          <w:sz w:val="24"/>
          <w:u w:val="single"/>
        </w:rPr>
      </w:pPr>
    </w:p>
    <w:p>
      <w:pPr>
        <w:pStyle w:val="117"/>
        <w:tabs>
          <w:tab w:val="left" w:pos="5665"/>
          <w:tab w:val="right" w:pos="8360"/>
        </w:tabs>
        <w:spacing w:line="360" w:lineRule="auto"/>
        <w:ind w:right="42" w:firstLine="1575" w:firstLineChars="750"/>
        <w:jc w:val="left"/>
        <w:rPr>
          <w:rFonts w:hAnsi="宋体" w:cs="宋体"/>
          <w:color w:val="000000"/>
          <w:sz w:val="21"/>
          <w:szCs w:val="21"/>
          <w:u w:val="single"/>
        </w:rPr>
      </w:pPr>
      <w:r>
        <w:rPr>
          <w:rFonts w:hint="eastAsia" w:hAnsi="宋体" w:cs="宋体"/>
          <w:color w:val="000000"/>
          <w:sz w:val="21"/>
          <w:szCs w:val="21"/>
        </w:rPr>
        <w:t>日 期：</w:t>
      </w:r>
      <w:r>
        <w:rPr>
          <w:rFonts w:hint="eastAsia" w:hAnsi="宋体" w:cs="宋体"/>
          <w:color w:val="000000"/>
          <w:sz w:val="21"/>
          <w:szCs w:val="21"/>
          <w:u w:val="single"/>
        </w:rPr>
        <w:t xml:space="preserve">                                                </w:t>
      </w:r>
    </w:p>
    <w:p>
      <w:pPr>
        <w:pStyle w:val="117"/>
        <w:tabs>
          <w:tab w:val="left" w:pos="5665"/>
          <w:tab w:val="right" w:pos="8360"/>
        </w:tabs>
        <w:spacing w:line="360" w:lineRule="auto"/>
        <w:ind w:right="42" w:firstLine="1365" w:firstLineChars="650"/>
        <w:jc w:val="left"/>
        <w:rPr>
          <w:rFonts w:hAnsi="宋体" w:cs="宋体"/>
          <w:color w:val="000000"/>
          <w:sz w:val="21"/>
          <w:szCs w:val="21"/>
          <w:u w:val="single"/>
        </w:rPr>
      </w:pPr>
    </w:p>
    <w:p>
      <w:pPr>
        <w:pStyle w:val="117"/>
        <w:tabs>
          <w:tab w:val="left" w:pos="5665"/>
          <w:tab w:val="right" w:pos="8360"/>
        </w:tabs>
        <w:spacing w:line="360" w:lineRule="auto"/>
        <w:ind w:right="42" w:firstLine="1365" w:firstLineChars="650"/>
        <w:jc w:val="left"/>
        <w:rPr>
          <w:rFonts w:hAnsi="宋体" w:cs="宋体"/>
          <w:b/>
          <w:color w:val="000000"/>
          <w:sz w:val="21"/>
          <w:szCs w:val="21"/>
          <w:u w:val="single"/>
        </w:rPr>
      </w:pPr>
    </w:p>
    <w:p>
      <w:pPr>
        <w:pStyle w:val="118"/>
        <w:rPr>
          <w:rFonts w:ascii="宋体"/>
          <w:b/>
          <w:color w:val="000000"/>
          <w:sz w:val="24"/>
        </w:rPr>
      </w:pPr>
      <w:bookmarkStart w:id="572" w:name="_Toc387526439"/>
      <w:bookmarkStart w:id="573" w:name="_Toc4085"/>
      <w:bookmarkStart w:id="574" w:name="_Toc387526243"/>
      <w:bookmarkStart w:id="575" w:name="_Toc387526347"/>
      <w:r>
        <w:br w:type="page"/>
      </w:r>
      <w:bookmarkStart w:id="576" w:name="_Toc511142524"/>
      <w:bookmarkStart w:id="577" w:name="_Toc397928633"/>
      <w:r>
        <w:rPr>
          <w:rFonts w:hint="eastAsia"/>
        </w:rPr>
        <w:t>2.</w:t>
      </w:r>
      <w:bookmarkEnd w:id="572"/>
      <w:bookmarkEnd w:id="573"/>
      <w:bookmarkEnd w:id="574"/>
      <w:bookmarkEnd w:id="575"/>
      <w:bookmarkEnd w:id="576"/>
      <w:bookmarkEnd w:id="577"/>
      <w:r>
        <w:rPr>
          <w:rFonts w:hint="eastAsia" w:eastAsia="宋体" w:cs="宋体"/>
        </w:rPr>
        <w:t>货物分项报价表</w:t>
      </w:r>
      <w:r>
        <w:rPr>
          <w:rFonts w:hint="eastAsia" w:ascii="宋体"/>
          <w:b/>
          <w:color w:val="000000"/>
          <w:sz w:val="24"/>
        </w:rPr>
        <w:t xml:space="preserve"> </w:t>
      </w:r>
    </w:p>
    <w:p>
      <w:pPr>
        <w:spacing w:line="360" w:lineRule="auto"/>
        <w:jc w:val="center"/>
        <w:rPr>
          <w:rFonts w:ascii="宋体" w:hAnsi="宋体" w:cs="宋体"/>
          <w:color w:val="000000"/>
          <w:sz w:val="32"/>
          <w:szCs w:val="32"/>
        </w:rPr>
      </w:pPr>
      <w:r>
        <w:rPr>
          <w:rFonts w:hint="eastAsia" w:ascii="宋体" w:hAnsi="宋体" w:cs="宋体"/>
          <w:color w:val="000000"/>
          <w:sz w:val="32"/>
          <w:szCs w:val="32"/>
        </w:rPr>
        <w:t>货物分项报价表</w:t>
      </w:r>
    </w:p>
    <w:p>
      <w:pPr>
        <w:spacing w:line="360" w:lineRule="auto"/>
        <w:rPr>
          <w:rFonts w:ascii="宋体"/>
          <w:color w:val="000000"/>
          <w:sz w:val="24"/>
        </w:rPr>
      </w:pPr>
    </w:p>
    <w:p>
      <w:pPr>
        <w:spacing w:line="360" w:lineRule="auto"/>
        <w:jc w:val="left"/>
        <w:rPr>
          <w:rFonts w:ascii="宋体" w:hAnsi="宋体" w:cs="宋体"/>
          <w:color w:val="000000"/>
          <w:szCs w:val="21"/>
        </w:rPr>
      </w:pPr>
      <w:r>
        <w:rPr>
          <w:rFonts w:hint="eastAsia" w:ascii="宋体" w:hAnsi="宋体" w:cs="宋体"/>
          <w:color w:val="000000"/>
          <w:szCs w:val="21"/>
        </w:rPr>
        <w:t xml:space="preserve">项目名称：                                  </w:t>
      </w:r>
    </w:p>
    <w:p>
      <w:pPr>
        <w:spacing w:line="360" w:lineRule="auto"/>
        <w:jc w:val="left"/>
        <w:rPr>
          <w:rFonts w:ascii="宋体" w:hAnsi="宋体" w:cs="宋体"/>
          <w:color w:val="000000"/>
          <w:szCs w:val="21"/>
        </w:rPr>
      </w:pPr>
      <w:r>
        <w:rPr>
          <w:rFonts w:hint="eastAsia" w:ascii="宋体" w:hAnsi="宋体" w:cs="宋体"/>
          <w:color w:val="000000"/>
          <w:szCs w:val="21"/>
        </w:rPr>
        <w:t xml:space="preserve">招标编号：                         标段号：（如有时）          </w:t>
      </w:r>
    </w:p>
    <w:p>
      <w:pPr>
        <w:spacing w:line="360" w:lineRule="auto"/>
        <w:jc w:val="left"/>
        <w:rPr>
          <w:rFonts w:ascii="宋体" w:hAnsi="宋体" w:cs="宋体"/>
          <w:color w:val="000000"/>
          <w:szCs w:val="21"/>
        </w:rPr>
      </w:pPr>
      <w:r>
        <w:rPr>
          <w:rFonts w:hint="eastAsia" w:ascii="宋体" w:hAnsi="宋体" w:cs="宋体"/>
          <w:color w:val="000000"/>
          <w:szCs w:val="21"/>
        </w:rPr>
        <w:t>报价单位：人民币万元</w:t>
      </w:r>
    </w:p>
    <w:tbl>
      <w:tblPr>
        <w:tblStyle w:val="41"/>
        <w:tblW w:w="8610" w:type="dxa"/>
        <w:tblInd w:w="3" w:type="dxa"/>
        <w:tblLayout w:type="fixed"/>
        <w:tblCellMar>
          <w:top w:w="0" w:type="dxa"/>
          <w:left w:w="108" w:type="dxa"/>
          <w:bottom w:w="0" w:type="dxa"/>
          <w:right w:w="108" w:type="dxa"/>
        </w:tblCellMar>
      </w:tblPr>
      <w:tblGrid>
        <w:gridCol w:w="735"/>
        <w:gridCol w:w="1680"/>
        <w:gridCol w:w="1470"/>
        <w:gridCol w:w="728"/>
        <w:gridCol w:w="784"/>
        <w:gridCol w:w="898"/>
        <w:gridCol w:w="898"/>
        <w:gridCol w:w="1417"/>
      </w:tblGrid>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vAlign w:val="center"/>
          </w:tcPr>
          <w:p>
            <w:pPr>
              <w:autoSpaceDE w:val="0"/>
              <w:autoSpaceDN w:val="0"/>
              <w:spacing w:line="360" w:lineRule="auto"/>
              <w:ind w:right="-5"/>
              <w:jc w:val="center"/>
              <w:textAlignment w:val="bottom"/>
              <w:rPr>
                <w:rFonts w:ascii="宋体" w:hAnsi="宋体" w:cs="宋体"/>
                <w:color w:val="000000"/>
                <w:szCs w:val="21"/>
              </w:rPr>
            </w:pPr>
            <w:r>
              <w:rPr>
                <w:rFonts w:hint="eastAsia" w:ascii="宋体" w:hAnsi="宋体" w:cs="宋体"/>
                <w:color w:val="000000"/>
                <w:szCs w:val="21"/>
              </w:rPr>
              <w:t>序号</w:t>
            </w:r>
          </w:p>
        </w:tc>
        <w:tc>
          <w:tcPr>
            <w:tcW w:w="1680" w:type="dxa"/>
            <w:tcBorders>
              <w:top w:val="single" w:color="auto" w:sz="4" w:space="0"/>
              <w:left w:val="single" w:color="auto" w:sz="6" w:space="0"/>
              <w:bottom w:val="single" w:color="auto" w:sz="4" w:space="0"/>
              <w:right w:val="single" w:color="auto" w:sz="4" w:space="0"/>
            </w:tcBorders>
            <w:vAlign w:val="center"/>
          </w:tcPr>
          <w:p>
            <w:pPr>
              <w:autoSpaceDE w:val="0"/>
              <w:autoSpaceDN w:val="0"/>
              <w:spacing w:line="360" w:lineRule="auto"/>
              <w:ind w:right="-5"/>
              <w:jc w:val="center"/>
              <w:textAlignment w:val="bottom"/>
              <w:rPr>
                <w:rFonts w:ascii="宋体" w:hAnsi="宋体" w:cs="宋体"/>
                <w:color w:val="000000"/>
                <w:szCs w:val="21"/>
              </w:rPr>
            </w:pPr>
            <w:r>
              <w:rPr>
                <w:rFonts w:hint="eastAsia" w:ascii="宋体" w:hAnsi="宋体" w:cs="宋体"/>
                <w:color w:val="000000"/>
                <w:szCs w:val="21"/>
              </w:rPr>
              <w:t>货物名称</w:t>
            </w:r>
          </w:p>
        </w:tc>
        <w:tc>
          <w:tcPr>
            <w:tcW w:w="1470" w:type="dxa"/>
            <w:tcBorders>
              <w:top w:val="single" w:color="auto" w:sz="4" w:space="0"/>
              <w:left w:val="single" w:color="auto" w:sz="4" w:space="0"/>
              <w:bottom w:val="single" w:color="auto" w:sz="4" w:space="0"/>
              <w:right w:val="single" w:color="auto" w:sz="6" w:space="0"/>
            </w:tcBorders>
            <w:vAlign w:val="center"/>
          </w:tcPr>
          <w:p>
            <w:pPr>
              <w:autoSpaceDE w:val="0"/>
              <w:autoSpaceDN w:val="0"/>
              <w:spacing w:line="360" w:lineRule="auto"/>
              <w:ind w:right="-5"/>
              <w:jc w:val="center"/>
              <w:textAlignment w:val="bottom"/>
              <w:rPr>
                <w:rFonts w:ascii="宋体" w:hAnsi="宋体" w:cs="宋体"/>
                <w:color w:val="000000"/>
                <w:szCs w:val="21"/>
              </w:rPr>
            </w:pPr>
            <w:r>
              <w:rPr>
                <w:rFonts w:hint="eastAsia" w:ascii="宋体" w:hAnsi="宋体" w:cs="宋体"/>
                <w:color w:val="000000"/>
                <w:szCs w:val="21"/>
              </w:rPr>
              <w:t>型号及规格</w:t>
            </w:r>
          </w:p>
        </w:tc>
        <w:tc>
          <w:tcPr>
            <w:tcW w:w="728"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360" w:lineRule="auto"/>
              <w:ind w:right="-5"/>
              <w:jc w:val="center"/>
              <w:textAlignment w:val="bottom"/>
              <w:rPr>
                <w:rFonts w:ascii="宋体" w:hAnsi="宋体" w:cs="宋体"/>
                <w:color w:val="000000"/>
                <w:szCs w:val="21"/>
              </w:rPr>
            </w:pPr>
            <w:r>
              <w:rPr>
                <w:rFonts w:hint="eastAsia" w:ascii="宋体" w:hAnsi="宋体" w:cs="宋体"/>
                <w:color w:val="000000"/>
                <w:szCs w:val="21"/>
              </w:rPr>
              <w:t>单位</w:t>
            </w:r>
          </w:p>
        </w:tc>
        <w:tc>
          <w:tcPr>
            <w:tcW w:w="784"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360" w:lineRule="auto"/>
              <w:ind w:right="-5"/>
              <w:jc w:val="center"/>
              <w:textAlignment w:val="bottom"/>
              <w:rPr>
                <w:rFonts w:ascii="宋体" w:hAnsi="宋体" w:cs="宋体"/>
                <w:color w:val="000000"/>
                <w:szCs w:val="21"/>
              </w:rPr>
            </w:pPr>
            <w:r>
              <w:rPr>
                <w:rFonts w:hint="eastAsia" w:ascii="宋体" w:hAnsi="宋体" w:cs="宋体"/>
                <w:color w:val="000000"/>
                <w:szCs w:val="21"/>
              </w:rPr>
              <w:t>数量</w:t>
            </w:r>
          </w:p>
        </w:tc>
        <w:tc>
          <w:tcPr>
            <w:tcW w:w="898"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360" w:lineRule="auto"/>
              <w:ind w:right="-5"/>
              <w:jc w:val="center"/>
              <w:textAlignment w:val="bottom"/>
              <w:rPr>
                <w:rFonts w:ascii="宋体" w:hAnsi="宋体" w:cs="宋体"/>
                <w:color w:val="000000"/>
                <w:szCs w:val="21"/>
              </w:rPr>
            </w:pPr>
            <w:r>
              <w:rPr>
                <w:rFonts w:hint="eastAsia" w:ascii="宋体" w:hAnsi="宋体" w:cs="宋体"/>
                <w:color w:val="000000"/>
                <w:szCs w:val="21"/>
              </w:rPr>
              <w:t>单价</w:t>
            </w:r>
          </w:p>
        </w:tc>
        <w:tc>
          <w:tcPr>
            <w:tcW w:w="898"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360" w:lineRule="auto"/>
              <w:ind w:right="-5"/>
              <w:jc w:val="center"/>
              <w:textAlignment w:val="bottom"/>
              <w:rPr>
                <w:rFonts w:ascii="宋体" w:hAnsi="宋体" w:cs="宋体"/>
                <w:color w:val="000000"/>
                <w:szCs w:val="21"/>
              </w:rPr>
            </w:pPr>
            <w:r>
              <w:rPr>
                <w:rFonts w:hint="eastAsia" w:ascii="宋体" w:hAnsi="宋体" w:cs="宋体"/>
                <w:color w:val="000000"/>
                <w:szCs w:val="21"/>
              </w:rPr>
              <w:t>总价</w:t>
            </w:r>
          </w:p>
        </w:tc>
        <w:tc>
          <w:tcPr>
            <w:tcW w:w="1417" w:type="dxa"/>
            <w:tcBorders>
              <w:top w:val="single" w:color="auto" w:sz="4" w:space="0"/>
              <w:left w:val="single" w:color="auto" w:sz="6" w:space="0"/>
              <w:bottom w:val="single" w:color="auto" w:sz="4" w:space="0"/>
              <w:right w:val="single" w:color="auto" w:sz="4" w:space="0"/>
            </w:tcBorders>
            <w:vAlign w:val="center"/>
          </w:tcPr>
          <w:p>
            <w:pPr>
              <w:autoSpaceDE w:val="0"/>
              <w:autoSpaceDN w:val="0"/>
              <w:spacing w:line="360" w:lineRule="auto"/>
              <w:ind w:right="-5"/>
              <w:jc w:val="center"/>
              <w:textAlignment w:val="bottom"/>
              <w:rPr>
                <w:rFonts w:ascii="宋体" w:hAnsi="宋体" w:cs="宋体"/>
                <w:color w:val="000000"/>
                <w:szCs w:val="21"/>
              </w:rPr>
            </w:pPr>
            <w:r>
              <w:rPr>
                <w:rFonts w:hint="eastAsia" w:ascii="宋体" w:hAnsi="宋体" w:cs="宋体"/>
                <w:color w:val="000000"/>
                <w:szCs w:val="21"/>
              </w:rPr>
              <w:t>制造商/产地</w:t>
            </w: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color w:val="000000"/>
                <w:szCs w:val="21"/>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color w:val="000000"/>
                <w:szCs w:val="21"/>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color w:val="000000"/>
                <w:szCs w:val="21"/>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color w:val="000000"/>
                <w:szCs w:val="21"/>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color w:val="000000"/>
                <w:szCs w:val="21"/>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color w:val="000000"/>
                <w:szCs w:val="21"/>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color w:val="000000"/>
                <w:szCs w:val="21"/>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color w:val="000000"/>
                <w:szCs w:val="21"/>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color w:val="000000"/>
                <w:szCs w:val="21"/>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color w:val="000000"/>
                <w:szCs w:val="21"/>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color w:val="000000"/>
                <w:szCs w:val="21"/>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color w:val="000000"/>
                <w:szCs w:val="21"/>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color w:val="000000"/>
                <w:szCs w:val="21"/>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color w:val="000000"/>
                <w:szCs w:val="21"/>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color w:val="000000"/>
                <w:szCs w:val="21"/>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color w:val="000000"/>
                <w:szCs w:val="21"/>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color w:val="000000"/>
                <w:szCs w:val="21"/>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color w:val="000000"/>
                <w:szCs w:val="21"/>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color w:val="000000"/>
                <w:szCs w:val="21"/>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color w:val="000000"/>
                <w:szCs w:val="21"/>
              </w:rPr>
            </w:pPr>
          </w:p>
        </w:tc>
      </w:tr>
      <w:tr>
        <w:tblPrEx>
          <w:tblCellMar>
            <w:top w:w="0" w:type="dxa"/>
            <w:left w:w="108" w:type="dxa"/>
            <w:bottom w:w="0" w:type="dxa"/>
            <w:right w:w="108" w:type="dxa"/>
          </w:tblCellMar>
        </w:tblPrEx>
        <w:trPr>
          <w:cantSplit/>
          <w:trHeight w:val="655" w:hRule="atLeast"/>
        </w:trPr>
        <w:tc>
          <w:tcPr>
            <w:tcW w:w="6295" w:type="dxa"/>
            <w:gridSpan w:val="6"/>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color w:val="000000"/>
                <w:szCs w:val="21"/>
              </w:rPr>
            </w:pPr>
            <w:r>
              <w:rPr>
                <w:rFonts w:hint="eastAsia" w:ascii="宋体" w:hAnsi="宋体" w:cs="宋体"/>
                <w:color w:val="000000"/>
                <w:szCs w:val="21"/>
              </w:rPr>
              <w:t>货物分项报价汇总</w:t>
            </w:r>
          </w:p>
        </w:tc>
        <w:tc>
          <w:tcPr>
            <w:tcW w:w="2315" w:type="dxa"/>
            <w:gridSpan w:val="2"/>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color w:val="000000"/>
                <w:szCs w:val="21"/>
              </w:rPr>
            </w:pPr>
          </w:p>
        </w:tc>
      </w:tr>
    </w:tbl>
    <w:p>
      <w:pPr>
        <w:spacing w:line="360" w:lineRule="auto"/>
        <w:jc w:val="right"/>
        <w:rPr>
          <w:rFonts w:ascii="宋体"/>
          <w:color w:val="000000"/>
          <w:sz w:val="24"/>
        </w:rPr>
      </w:pPr>
    </w:p>
    <w:p>
      <w:pPr>
        <w:spacing w:line="360" w:lineRule="auto"/>
        <w:rPr>
          <w:rFonts w:ascii="宋体" w:hAnsi="宋体" w:cs="宋体"/>
          <w:color w:val="000000"/>
        </w:rPr>
      </w:pPr>
      <w:r>
        <w:rPr>
          <w:rFonts w:hint="eastAsia" w:ascii="宋体" w:hAnsi="宋体" w:cs="宋体"/>
          <w:color w:val="000000"/>
        </w:rPr>
        <w:t>此表为设备的价格。</w:t>
      </w:r>
    </w:p>
    <w:p>
      <w:pPr>
        <w:pStyle w:val="117"/>
        <w:tabs>
          <w:tab w:val="left" w:pos="5665"/>
          <w:tab w:val="right" w:pos="8360"/>
        </w:tabs>
        <w:ind w:right="42" w:firstLine="1560" w:firstLineChars="650"/>
        <w:rPr>
          <w:rFonts w:hAnsi="宋体" w:cs="宋体"/>
          <w:color w:val="000000"/>
          <w:sz w:val="24"/>
          <w:u w:val="single"/>
        </w:rPr>
      </w:pPr>
      <w:r>
        <w:rPr>
          <w:rFonts w:hint="eastAsia" w:hAnsi="宋体" w:cs="宋体"/>
          <w:color w:val="000000"/>
          <w:sz w:val="24"/>
        </w:rPr>
        <w:t>投标人(公章)：</w:t>
      </w:r>
      <w:r>
        <w:rPr>
          <w:rFonts w:hint="eastAsia" w:hAnsi="宋体" w:cs="宋体"/>
          <w:color w:val="000000"/>
          <w:sz w:val="24"/>
          <w:u w:val="single"/>
        </w:rPr>
        <w:t xml:space="preserve">                                  </w:t>
      </w:r>
    </w:p>
    <w:p>
      <w:pPr>
        <w:pStyle w:val="117"/>
        <w:tabs>
          <w:tab w:val="left" w:pos="5665"/>
          <w:tab w:val="right" w:pos="8360"/>
        </w:tabs>
        <w:ind w:right="42" w:firstLine="1560" w:firstLineChars="650"/>
        <w:rPr>
          <w:rFonts w:hAnsi="宋体" w:cs="宋体"/>
          <w:color w:val="000000"/>
          <w:sz w:val="24"/>
          <w:u w:val="single"/>
        </w:rPr>
      </w:pPr>
    </w:p>
    <w:p>
      <w:pPr>
        <w:pStyle w:val="117"/>
        <w:tabs>
          <w:tab w:val="left" w:pos="5665"/>
          <w:tab w:val="right" w:pos="8360"/>
        </w:tabs>
        <w:ind w:right="42" w:firstLine="1560" w:firstLineChars="650"/>
        <w:rPr>
          <w:rFonts w:hAnsi="宋体" w:cs="宋体"/>
          <w:color w:val="000000"/>
          <w:sz w:val="24"/>
          <w:u w:val="single"/>
        </w:rPr>
      </w:pPr>
      <w:r>
        <w:rPr>
          <w:rFonts w:hint="eastAsia" w:hAnsi="宋体" w:cs="宋体"/>
          <w:color w:val="000000"/>
          <w:sz w:val="24"/>
        </w:rPr>
        <w:t>法人代表或授权委托人（签字或印章）：</w:t>
      </w:r>
      <w:r>
        <w:rPr>
          <w:rFonts w:hint="eastAsia" w:hAnsi="宋体" w:cs="宋体"/>
          <w:color w:val="000000"/>
          <w:sz w:val="24"/>
          <w:u w:val="single"/>
        </w:rPr>
        <w:t xml:space="preserve">             </w:t>
      </w:r>
    </w:p>
    <w:p>
      <w:pPr>
        <w:pStyle w:val="117"/>
        <w:tabs>
          <w:tab w:val="left" w:pos="5665"/>
          <w:tab w:val="right" w:pos="8360"/>
        </w:tabs>
        <w:ind w:right="42" w:firstLine="1560" w:firstLineChars="650"/>
        <w:rPr>
          <w:rFonts w:hAnsi="宋体" w:cs="宋体"/>
          <w:color w:val="000000"/>
          <w:sz w:val="24"/>
          <w:u w:val="single"/>
        </w:rPr>
      </w:pPr>
    </w:p>
    <w:p>
      <w:pPr>
        <w:pStyle w:val="117"/>
        <w:tabs>
          <w:tab w:val="left" w:pos="5665"/>
          <w:tab w:val="right" w:pos="8360"/>
        </w:tabs>
        <w:ind w:right="42" w:firstLine="1575" w:firstLineChars="750"/>
        <w:jc w:val="left"/>
        <w:rPr>
          <w:rFonts w:hAnsi="宋体" w:cs="宋体"/>
          <w:color w:val="000000"/>
          <w:sz w:val="21"/>
          <w:szCs w:val="21"/>
          <w:u w:val="single"/>
        </w:rPr>
      </w:pPr>
      <w:r>
        <w:rPr>
          <w:rFonts w:hint="eastAsia" w:hAnsi="宋体" w:cs="宋体"/>
          <w:color w:val="000000"/>
          <w:sz w:val="21"/>
          <w:szCs w:val="21"/>
        </w:rPr>
        <w:t>日 期：</w:t>
      </w:r>
      <w:r>
        <w:rPr>
          <w:rFonts w:hint="eastAsia" w:hAnsi="宋体" w:cs="宋体"/>
          <w:color w:val="000000"/>
          <w:sz w:val="21"/>
          <w:szCs w:val="21"/>
          <w:u w:val="single"/>
        </w:rPr>
        <w:t xml:space="preserve">                                                </w:t>
      </w:r>
    </w:p>
    <w:p>
      <w:pPr>
        <w:pStyle w:val="118"/>
      </w:pPr>
      <w:r>
        <w:br w:type="page"/>
      </w:r>
      <w:bookmarkStart w:id="578" w:name="_Toc397928634"/>
      <w:bookmarkStart w:id="579" w:name="_Toc387526244"/>
      <w:bookmarkStart w:id="580" w:name="_Toc511142525"/>
      <w:bookmarkStart w:id="581" w:name="_Toc387526348"/>
      <w:bookmarkStart w:id="582" w:name="_Toc27195"/>
      <w:bookmarkStart w:id="583" w:name="_Toc387526440"/>
      <w:r>
        <w:rPr>
          <w:rFonts w:hint="eastAsia"/>
        </w:rPr>
        <w:t>3.商务及技术条款偏离表</w:t>
      </w:r>
      <w:bookmarkEnd w:id="578"/>
      <w:bookmarkEnd w:id="579"/>
      <w:bookmarkEnd w:id="580"/>
      <w:bookmarkEnd w:id="581"/>
      <w:bookmarkEnd w:id="582"/>
      <w:bookmarkEnd w:id="583"/>
    </w:p>
    <w:p>
      <w:pPr>
        <w:pStyle w:val="117"/>
        <w:spacing w:line="360" w:lineRule="auto"/>
        <w:jc w:val="center"/>
        <w:rPr>
          <w:rFonts w:hAnsi="宋体" w:cs="宋体"/>
          <w:color w:val="000000"/>
          <w:sz w:val="32"/>
          <w:szCs w:val="32"/>
        </w:rPr>
      </w:pPr>
      <w:r>
        <w:rPr>
          <w:rFonts w:hint="eastAsia" w:hAnsi="宋体" w:cs="宋体"/>
          <w:color w:val="000000"/>
          <w:sz w:val="32"/>
          <w:szCs w:val="32"/>
        </w:rPr>
        <w:t>商务及技术条款偏离表</w:t>
      </w:r>
    </w:p>
    <w:p>
      <w:pPr>
        <w:spacing w:line="360" w:lineRule="auto"/>
        <w:jc w:val="center"/>
        <w:rPr>
          <w:rFonts w:ascii="宋体" w:hAnsi="宋体" w:cs="宋体"/>
          <w:color w:val="000000"/>
        </w:rPr>
      </w:pPr>
    </w:p>
    <w:p>
      <w:pPr>
        <w:spacing w:line="360" w:lineRule="auto"/>
        <w:ind w:right="-365" w:rightChars="-174" w:firstLine="119" w:firstLineChars="57"/>
        <w:rPr>
          <w:rFonts w:ascii="宋体" w:hAnsi="宋体" w:cs="宋体"/>
          <w:color w:val="000000"/>
          <w:szCs w:val="21"/>
        </w:rPr>
      </w:pPr>
      <w:r>
        <w:rPr>
          <w:rFonts w:hint="eastAsia" w:ascii="宋体" w:hAnsi="宋体" w:cs="宋体"/>
          <w:color w:val="000000"/>
          <w:szCs w:val="21"/>
        </w:rPr>
        <w:t>招标文件编号：                                         标段号（如有时）：</w:t>
      </w:r>
    </w:p>
    <w:tbl>
      <w:tblPr>
        <w:tblStyle w:val="41"/>
        <w:tblW w:w="8276"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240"/>
        <w:gridCol w:w="240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444"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color w:val="000000"/>
                <w:szCs w:val="21"/>
              </w:rPr>
            </w:pPr>
            <w:r>
              <w:rPr>
                <w:rFonts w:hint="eastAsia" w:ascii="宋体" w:hAnsi="宋体" w:cs="宋体"/>
                <w:color w:val="000000"/>
                <w:szCs w:val="21"/>
              </w:rPr>
              <w:t>招标文件</w:t>
            </w:r>
          </w:p>
          <w:p>
            <w:pPr>
              <w:spacing w:line="360" w:lineRule="auto"/>
              <w:jc w:val="center"/>
              <w:rPr>
                <w:rFonts w:ascii="宋体" w:hAnsi="宋体" w:cs="宋体"/>
                <w:color w:val="000000"/>
                <w:szCs w:val="21"/>
              </w:rPr>
            </w:pPr>
            <w:r>
              <w:rPr>
                <w:rFonts w:hint="eastAsia" w:ascii="宋体" w:hAnsi="宋体" w:cs="宋体"/>
                <w:color w:val="000000"/>
                <w:szCs w:val="21"/>
              </w:rPr>
              <w:t>条目号</w:t>
            </w:r>
          </w:p>
        </w:tc>
        <w:tc>
          <w:tcPr>
            <w:tcW w:w="224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color w:val="000000"/>
                <w:szCs w:val="21"/>
              </w:rPr>
            </w:pPr>
            <w:r>
              <w:rPr>
                <w:rFonts w:hint="eastAsia" w:ascii="宋体" w:hAnsi="宋体" w:cs="宋体"/>
                <w:color w:val="000000"/>
                <w:szCs w:val="21"/>
              </w:rPr>
              <w:t>招标文件的</w:t>
            </w:r>
          </w:p>
          <w:p>
            <w:pPr>
              <w:spacing w:line="360" w:lineRule="auto"/>
              <w:jc w:val="center"/>
              <w:rPr>
                <w:rFonts w:ascii="宋体" w:hAnsi="宋体" w:cs="宋体"/>
                <w:color w:val="000000"/>
                <w:szCs w:val="21"/>
              </w:rPr>
            </w:pPr>
            <w:r>
              <w:rPr>
                <w:rFonts w:hint="eastAsia" w:ascii="宋体" w:hAnsi="宋体" w:cs="宋体"/>
                <w:color w:val="000000"/>
                <w:szCs w:val="21"/>
              </w:rPr>
              <w:t>商务、技术条款</w:t>
            </w:r>
          </w:p>
        </w:tc>
        <w:tc>
          <w:tcPr>
            <w:tcW w:w="240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color w:val="000000"/>
                <w:szCs w:val="21"/>
              </w:rPr>
            </w:pPr>
            <w:r>
              <w:rPr>
                <w:rFonts w:hint="eastAsia" w:ascii="宋体" w:hAnsi="宋体" w:cs="宋体"/>
                <w:color w:val="000000"/>
                <w:szCs w:val="21"/>
              </w:rPr>
              <w:t>投标文件的</w:t>
            </w:r>
          </w:p>
          <w:p>
            <w:pPr>
              <w:spacing w:line="360" w:lineRule="auto"/>
              <w:jc w:val="center"/>
              <w:rPr>
                <w:rFonts w:ascii="宋体" w:hAnsi="宋体" w:cs="宋体"/>
                <w:color w:val="000000"/>
                <w:szCs w:val="21"/>
              </w:rPr>
            </w:pPr>
            <w:r>
              <w:rPr>
                <w:rFonts w:hint="eastAsia" w:ascii="宋体" w:hAnsi="宋体" w:cs="宋体"/>
                <w:color w:val="000000"/>
                <w:szCs w:val="21"/>
              </w:rPr>
              <w:t>商务、技术条款</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r>
    </w:tbl>
    <w:p>
      <w:pPr>
        <w:spacing w:line="360" w:lineRule="auto"/>
        <w:ind w:left="630" w:leftChars="100" w:hanging="420" w:hangingChars="200"/>
        <w:rPr>
          <w:rFonts w:ascii="宋体" w:hAnsi="宋体" w:cs="宋体"/>
          <w:color w:val="000000"/>
          <w:szCs w:val="21"/>
        </w:rPr>
      </w:pPr>
      <w:r>
        <w:rPr>
          <w:rFonts w:hint="eastAsia" w:ascii="宋体" w:hAnsi="宋体" w:cs="宋体"/>
          <w:color w:val="000000"/>
          <w:szCs w:val="21"/>
        </w:rPr>
        <w:t>注：投标人必须对招标文件的主要商务技术条款（如供货期、付款方式、履约保证、质保期等）逐条填写。</w:t>
      </w:r>
    </w:p>
    <w:p>
      <w:pPr>
        <w:spacing w:line="360" w:lineRule="auto"/>
        <w:ind w:firstLine="4139" w:firstLineChars="1971"/>
        <w:rPr>
          <w:rFonts w:ascii="宋体" w:hAnsi="宋体" w:cs="宋体"/>
          <w:color w:val="000000"/>
          <w:szCs w:val="21"/>
        </w:rPr>
      </w:pPr>
      <w:r>
        <w:rPr>
          <w:rFonts w:hint="eastAsia" w:ascii="宋体" w:hAnsi="宋体" w:cs="宋体"/>
          <w:color w:val="000000"/>
          <w:szCs w:val="21"/>
        </w:rPr>
        <w:t>授权委托人（签字）：</w:t>
      </w:r>
      <w:r>
        <w:rPr>
          <w:rFonts w:hint="eastAsia" w:ascii="宋体" w:hAnsi="宋体" w:cs="宋体"/>
          <w:color w:val="000000"/>
          <w:szCs w:val="21"/>
          <w:u w:val="single"/>
        </w:rPr>
        <w:t xml:space="preserve">                      </w:t>
      </w:r>
    </w:p>
    <w:p>
      <w:pPr>
        <w:pStyle w:val="117"/>
        <w:spacing w:line="360" w:lineRule="auto"/>
        <w:ind w:firstLine="4139" w:firstLineChars="1971"/>
        <w:rPr>
          <w:rFonts w:hAnsi="宋体" w:cs="宋体"/>
          <w:color w:val="000000"/>
          <w:sz w:val="21"/>
          <w:szCs w:val="21"/>
        </w:rPr>
      </w:pPr>
      <w:r>
        <w:rPr>
          <w:rFonts w:hint="eastAsia" w:hAnsi="宋体" w:cs="宋体"/>
          <w:color w:val="000000"/>
          <w:sz w:val="21"/>
          <w:szCs w:val="21"/>
        </w:rPr>
        <w:t>日             期：</w:t>
      </w:r>
      <w:r>
        <w:rPr>
          <w:rFonts w:hint="eastAsia" w:hAnsi="宋体" w:cs="宋体"/>
          <w:color w:val="000000"/>
          <w:sz w:val="21"/>
          <w:szCs w:val="21"/>
          <w:u w:val="single"/>
        </w:rPr>
        <w:t xml:space="preserve">                      </w:t>
      </w:r>
    </w:p>
    <w:p>
      <w:pPr>
        <w:pStyle w:val="4"/>
        <w:spacing w:line="360" w:lineRule="auto"/>
        <w:rPr>
          <w:rFonts w:ascii="宋体" w:hAnsi="宋体" w:eastAsia="宋体"/>
          <w:color w:val="000000"/>
          <w:sz w:val="36"/>
          <w:szCs w:val="36"/>
        </w:rPr>
      </w:pPr>
      <w:r>
        <w:rPr>
          <w:color w:val="000000"/>
          <w:sz w:val="24"/>
        </w:rPr>
        <w:br w:type="page"/>
      </w:r>
      <w:bookmarkStart w:id="584" w:name="_Toc397928635"/>
      <w:bookmarkStart w:id="585" w:name="_Toc387526349"/>
      <w:bookmarkStart w:id="586" w:name="_Toc387526441"/>
      <w:bookmarkStart w:id="587" w:name="_Toc511142526"/>
      <w:bookmarkStart w:id="588" w:name="_Toc387526245"/>
      <w:bookmarkStart w:id="589" w:name="_Toc5065"/>
      <w:r>
        <w:rPr>
          <w:rFonts w:hint="eastAsia" w:ascii="宋体" w:hAnsi="宋体" w:eastAsia="宋体"/>
          <w:color w:val="000000"/>
        </w:rPr>
        <w:t>4.授权委托书</w:t>
      </w:r>
      <w:bookmarkEnd w:id="584"/>
      <w:bookmarkEnd w:id="585"/>
      <w:bookmarkEnd w:id="586"/>
      <w:bookmarkEnd w:id="587"/>
      <w:bookmarkEnd w:id="588"/>
      <w:bookmarkEnd w:id="589"/>
    </w:p>
    <w:p>
      <w:pPr>
        <w:autoSpaceDE w:val="0"/>
        <w:autoSpaceDN w:val="0"/>
        <w:adjustRightInd w:val="0"/>
        <w:jc w:val="center"/>
        <w:rPr>
          <w:rFonts w:ascii="宋体" w:hAnsi="宋体" w:cs="宋体"/>
          <w:color w:val="000000"/>
          <w:kern w:val="0"/>
          <w:sz w:val="32"/>
          <w:szCs w:val="32"/>
        </w:rPr>
      </w:pPr>
      <w:r>
        <w:rPr>
          <w:rFonts w:hint="eastAsia" w:ascii="宋体" w:hAnsi="宋体" w:cs="宋体"/>
          <w:color w:val="000000"/>
          <w:kern w:val="0"/>
          <w:sz w:val="32"/>
          <w:szCs w:val="32"/>
        </w:rPr>
        <w:t>授权委托书</w:t>
      </w:r>
    </w:p>
    <w:p>
      <w:pPr>
        <w:autoSpaceDE w:val="0"/>
        <w:autoSpaceDN w:val="0"/>
        <w:adjustRightInd w:val="0"/>
        <w:jc w:val="center"/>
        <w:rPr>
          <w:rFonts w:ascii="宋体" w:hAnsi="宋体" w:cs="宋体"/>
          <w:color w:val="000000"/>
          <w:kern w:val="0"/>
          <w:szCs w:val="21"/>
        </w:rPr>
      </w:pPr>
    </w:p>
    <w:p>
      <w:pPr>
        <w:autoSpaceDE w:val="0"/>
        <w:autoSpaceDN w:val="0"/>
        <w:adjustRightIn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本人</w:t>
      </w:r>
      <w:r>
        <w:rPr>
          <w:rFonts w:hint="eastAsia" w:ascii="宋体" w:hAnsi="宋体" w:cs="宋体"/>
          <w:color w:val="000000"/>
          <w:kern w:val="0"/>
          <w:szCs w:val="21"/>
          <w:u w:val="single"/>
        </w:rPr>
        <w:t xml:space="preserve">            </w:t>
      </w:r>
      <w:r>
        <w:rPr>
          <w:rFonts w:hint="eastAsia" w:ascii="宋体" w:hAnsi="宋体" w:cs="宋体"/>
          <w:color w:val="000000"/>
          <w:kern w:val="0"/>
          <w:szCs w:val="21"/>
        </w:rPr>
        <w:t>（姓名）系</w:t>
      </w:r>
      <w:r>
        <w:rPr>
          <w:rFonts w:hint="eastAsia" w:ascii="宋体" w:hAnsi="宋体" w:cs="宋体"/>
          <w:color w:val="000000"/>
          <w:kern w:val="0"/>
          <w:szCs w:val="21"/>
          <w:u w:val="single"/>
        </w:rPr>
        <w:t xml:space="preserve">               </w:t>
      </w:r>
      <w:r>
        <w:rPr>
          <w:rFonts w:hint="eastAsia" w:ascii="宋体" w:hAnsi="宋体" w:cs="宋体"/>
          <w:color w:val="000000"/>
          <w:kern w:val="0"/>
          <w:szCs w:val="21"/>
        </w:rPr>
        <w:t>（投标人名称）的法定代表人，现委托</w:t>
      </w:r>
      <w:r>
        <w:rPr>
          <w:rFonts w:hint="eastAsia" w:ascii="宋体" w:hAnsi="宋体" w:cs="宋体"/>
          <w:color w:val="000000"/>
          <w:kern w:val="0"/>
          <w:szCs w:val="21"/>
          <w:u w:val="single"/>
        </w:rPr>
        <w:t xml:space="preserve">            </w:t>
      </w:r>
      <w:r>
        <w:rPr>
          <w:rFonts w:hint="eastAsia" w:ascii="宋体" w:hAnsi="宋体" w:cs="宋体"/>
          <w:color w:val="000000"/>
          <w:kern w:val="0"/>
          <w:szCs w:val="21"/>
        </w:rPr>
        <w:t>（姓名）为我方代理人。代理人根据授权，以我方名义签署、澄清、说明、补正、递交、撤回、修改</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 xml:space="preserve">         </w:t>
      </w:r>
      <w:r>
        <w:rPr>
          <w:rFonts w:hint="eastAsia" w:ascii="宋体" w:hAnsi="宋体" w:cs="宋体"/>
          <w:color w:val="000000"/>
          <w:kern w:val="0"/>
          <w:szCs w:val="21"/>
          <w:u w:val="single"/>
        </w:rPr>
        <w:t xml:space="preserve"> （项目名称及标段</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投标文件、签订合同和处理有关事宜，其法律后果由我方承担。</w:t>
      </w:r>
    </w:p>
    <w:p>
      <w:pPr>
        <w:autoSpaceDE w:val="0"/>
        <w:autoSpaceDN w:val="0"/>
        <w:adjustRightIn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委托期限：</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p>
      <w:pPr>
        <w:autoSpaceDE w:val="0"/>
        <w:autoSpaceDN w:val="0"/>
        <w:adjustRightIn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代理人无转委托权。</w:t>
      </w:r>
    </w:p>
    <w:p>
      <w:pPr>
        <w:autoSpaceDE w:val="0"/>
        <w:autoSpaceDN w:val="0"/>
        <w:adjustRightInd w:val="0"/>
        <w:spacing w:line="360" w:lineRule="auto"/>
        <w:ind w:firstLine="420" w:firstLineChars="200"/>
        <w:jc w:val="left"/>
        <w:rPr>
          <w:rFonts w:ascii="宋体" w:hAnsi="宋体" w:cs="宋体"/>
          <w:color w:val="000000"/>
          <w:kern w:val="0"/>
          <w:szCs w:val="21"/>
        </w:rPr>
      </w:pPr>
    </w:p>
    <w:p>
      <w:pPr>
        <w:autoSpaceDE w:val="0"/>
        <w:autoSpaceDN w:val="0"/>
        <w:adjustRightIn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附：法定代表人身份证明</w:t>
      </w:r>
    </w:p>
    <w:p>
      <w:pPr>
        <w:autoSpaceDE w:val="0"/>
        <w:autoSpaceDN w:val="0"/>
        <w:adjustRightInd w:val="0"/>
        <w:spacing w:line="360" w:lineRule="auto"/>
        <w:ind w:firstLine="420" w:firstLineChars="200"/>
        <w:jc w:val="left"/>
        <w:rPr>
          <w:rFonts w:ascii="宋体" w:hAnsi="宋体" w:cs="宋体"/>
          <w:color w:val="000000"/>
          <w:kern w:val="0"/>
          <w:szCs w:val="21"/>
        </w:rPr>
      </w:pPr>
    </w:p>
    <w:p>
      <w:pPr>
        <w:autoSpaceDE w:val="0"/>
        <w:autoSpaceDN w:val="0"/>
        <w:adjustRightIn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投  标  人：</w:t>
      </w:r>
      <w:r>
        <w:rPr>
          <w:rFonts w:hint="eastAsia" w:ascii="宋体" w:hAnsi="宋体" w:cs="宋体"/>
          <w:color w:val="000000"/>
          <w:kern w:val="0"/>
          <w:szCs w:val="21"/>
          <w:u w:val="single"/>
        </w:rPr>
        <w:t xml:space="preserve">                        </w:t>
      </w:r>
      <w:r>
        <w:rPr>
          <w:rFonts w:hint="eastAsia" w:ascii="宋体" w:hAnsi="宋体" w:cs="宋体"/>
          <w:color w:val="000000"/>
          <w:kern w:val="0"/>
          <w:szCs w:val="21"/>
        </w:rPr>
        <w:t>（盖单位章）</w:t>
      </w:r>
    </w:p>
    <w:p>
      <w:pPr>
        <w:autoSpaceDE w:val="0"/>
        <w:autoSpaceDN w:val="0"/>
        <w:adjustRightInd w:val="0"/>
        <w:spacing w:line="360" w:lineRule="auto"/>
        <w:ind w:firstLine="420" w:firstLineChars="200"/>
        <w:jc w:val="left"/>
        <w:rPr>
          <w:rFonts w:ascii="宋体" w:hAnsi="宋体" w:cs="宋体"/>
          <w:color w:val="000000"/>
          <w:kern w:val="0"/>
          <w:szCs w:val="21"/>
        </w:rPr>
      </w:pPr>
    </w:p>
    <w:p>
      <w:pPr>
        <w:autoSpaceDE w:val="0"/>
        <w:autoSpaceDN w:val="0"/>
        <w:adjustRightIn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w:t>
      </w:r>
      <w:r>
        <w:rPr>
          <w:rFonts w:hint="eastAsia" w:ascii="宋体" w:hAnsi="宋体" w:cs="宋体"/>
          <w:color w:val="000000"/>
          <w:kern w:val="0"/>
          <w:szCs w:val="21"/>
          <w:u w:val="single"/>
        </w:rPr>
        <w:t xml:space="preserve">                            </w:t>
      </w:r>
      <w:r>
        <w:rPr>
          <w:rFonts w:hint="eastAsia" w:ascii="宋体" w:hAnsi="宋体" w:cs="宋体"/>
          <w:color w:val="000000"/>
          <w:kern w:val="0"/>
          <w:szCs w:val="21"/>
        </w:rPr>
        <w:t>（签字）</w:t>
      </w:r>
    </w:p>
    <w:p>
      <w:pPr>
        <w:autoSpaceDE w:val="0"/>
        <w:autoSpaceDN w:val="0"/>
        <w:adjustRightInd w:val="0"/>
        <w:spacing w:line="360" w:lineRule="auto"/>
        <w:ind w:firstLine="420" w:firstLineChars="200"/>
        <w:jc w:val="left"/>
        <w:rPr>
          <w:rFonts w:ascii="宋体" w:hAnsi="宋体" w:cs="宋体"/>
          <w:color w:val="000000"/>
          <w:kern w:val="0"/>
          <w:szCs w:val="21"/>
        </w:rPr>
      </w:pPr>
    </w:p>
    <w:p>
      <w:pPr>
        <w:autoSpaceDE w:val="0"/>
        <w:autoSpaceDN w:val="0"/>
        <w:adjustRightInd w:val="0"/>
        <w:spacing w:line="360" w:lineRule="auto"/>
        <w:ind w:firstLine="420" w:firstLineChars="200"/>
        <w:jc w:val="left"/>
        <w:rPr>
          <w:rFonts w:ascii="宋体" w:hAnsi="宋体" w:cs="宋体"/>
          <w:color w:val="000000"/>
          <w:kern w:val="0"/>
          <w:szCs w:val="21"/>
          <w:u w:val="single"/>
        </w:rPr>
      </w:pPr>
      <w:r>
        <w:rPr>
          <w:rFonts w:hint="eastAsia" w:ascii="宋体" w:hAnsi="宋体" w:cs="宋体"/>
          <w:color w:val="000000"/>
          <w:kern w:val="0"/>
          <w:szCs w:val="21"/>
        </w:rPr>
        <w:t>身份证号码：</w:t>
      </w:r>
      <w:r>
        <w:rPr>
          <w:rFonts w:hint="eastAsia" w:ascii="宋体" w:hAnsi="宋体" w:cs="宋体"/>
          <w:color w:val="000000"/>
          <w:kern w:val="0"/>
          <w:szCs w:val="21"/>
          <w:u w:val="single"/>
        </w:rPr>
        <w:t xml:space="preserve">                                   </w:t>
      </w:r>
    </w:p>
    <w:p>
      <w:pPr>
        <w:autoSpaceDE w:val="0"/>
        <w:autoSpaceDN w:val="0"/>
        <w:adjustRightInd w:val="0"/>
        <w:spacing w:line="360" w:lineRule="auto"/>
        <w:ind w:firstLine="420" w:firstLineChars="200"/>
        <w:jc w:val="left"/>
        <w:rPr>
          <w:rFonts w:ascii="宋体" w:hAnsi="宋体" w:cs="宋体"/>
          <w:color w:val="000000"/>
          <w:kern w:val="0"/>
          <w:szCs w:val="21"/>
        </w:rPr>
      </w:pPr>
    </w:p>
    <w:p>
      <w:pPr>
        <w:autoSpaceDE w:val="0"/>
        <w:autoSpaceDN w:val="0"/>
        <w:adjustRightIn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委托代理人：</w:t>
      </w:r>
      <w:r>
        <w:rPr>
          <w:rFonts w:hint="eastAsia" w:ascii="宋体" w:hAnsi="宋体" w:cs="宋体"/>
          <w:color w:val="000000"/>
          <w:kern w:val="0"/>
          <w:szCs w:val="21"/>
          <w:u w:val="single"/>
        </w:rPr>
        <w:t xml:space="preserve">                             </w:t>
      </w:r>
      <w:r>
        <w:rPr>
          <w:rFonts w:hint="eastAsia" w:ascii="宋体" w:hAnsi="宋体" w:cs="宋体"/>
          <w:color w:val="000000"/>
          <w:kern w:val="0"/>
          <w:szCs w:val="21"/>
        </w:rPr>
        <w:t>（签字）</w:t>
      </w:r>
    </w:p>
    <w:p>
      <w:pPr>
        <w:autoSpaceDE w:val="0"/>
        <w:autoSpaceDN w:val="0"/>
        <w:adjustRightInd w:val="0"/>
        <w:spacing w:line="360" w:lineRule="auto"/>
        <w:ind w:firstLine="420" w:firstLineChars="200"/>
        <w:jc w:val="left"/>
        <w:rPr>
          <w:rFonts w:ascii="宋体" w:hAnsi="宋体" w:cs="宋体"/>
          <w:color w:val="000000"/>
          <w:kern w:val="0"/>
          <w:szCs w:val="21"/>
        </w:rPr>
      </w:pPr>
    </w:p>
    <w:p>
      <w:pPr>
        <w:autoSpaceDE w:val="0"/>
        <w:autoSpaceDN w:val="0"/>
        <w:adjustRightInd w:val="0"/>
        <w:spacing w:line="360" w:lineRule="auto"/>
        <w:ind w:firstLine="420" w:firstLineChars="200"/>
        <w:jc w:val="left"/>
        <w:rPr>
          <w:rFonts w:ascii="宋体" w:hAnsi="宋体" w:cs="宋体"/>
          <w:color w:val="000000"/>
          <w:kern w:val="0"/>
          <w:szCs w:val="21"/>
          <w:u w:val="single"/>
        </w:rPr>
      </w:pPr>
      <w:r>
        <w:rPr>
          <w:rFonts w:hint="eastAsia" w:ascii="宋体" w:hAnsi="宋体" w:cs="宋体"/>
          <w:color w:val="000000"/>
          <w:kern w:val="0"/>
          <w:szCs w:val="21"/>
        </w:rPr>
        <w:t>身份证号码：</w:t>
      </w:r>
      <w:r>
        <w:rPr>
          <w:rFonts w:hint="eastAsia" w:ascii="宋体" w:hAnsi="宋体" w:cs="宋体"/>
          <w:color w:val="000000"/>
          <w:kern w:val="0"/>
          <w:szCs w:val="21"/>
          <w:u w:val="single"/>
        </w:rPr>
        <w:t xml:space="preserve">                                   </w:t>
      </w:r>
    </w:p>
    <w:p>
      <w:pPr>
        <w:autoSpaceDE w:val="0"/>
        <w:autoSpaceDN w:val="0"/>
        <w:adjustRightInd w:val="0"/>
        <w:spacing w:line="360" w:lineRule="auto"/>
        <w:ind w:firstLine="420" w:firstLineChars="200"/>
        <w:jc w:val="left"/>
        <w:rPr>
          <w:rFonts w:ascii="宋体" w:hAnsi="宋体" w:cs="宋体"/>
          <w:color w:val="000000"/>
          <w:kern w:val="0"/>
          <w:szCs w:val="21"/>
        </w:rPr>
      </w:pPr>
    </w:p>
    <w:p>
      <w:pPr>
        <w:autoSpaceDE w:val="0"/>
        <w:autoSpaceDN w:val="0"/>
        <w:adjustRightInd w:val="0"/>
        <w:spacing w:line="360" w:lineRule="auto"/>
        <w:ind w:firstLine="3255" w:firstLineChars="1550"/>
        <w:jc w:val="left"/>
        <w:rPr>
          <w:rFonts w:ascii="宋体" w:hAnsi="宋体" w:cs="宋体"/>
          <w:color w:val="000000"/>
          <w:kern w:val="0"/>
          <w:szCs w:val="21"/>
          <w:u w:val="single"/>
        </w:rPr>
      </w:pPr>
    </w:p>
    <w:p>
      <w:pPr>
        <w:autoSpaceDE w:val="0"/>
        <w:autoSpaceDN w:val="0"/>
        <w:adjustRightInd w:val="0"/>
        <w:spacing w:line="360" w:lineRule="auto"/>
        <w:ind w:firstLine="3255" w:firstLineChars="1550"/>
        <w:jc w:val="left"/>
        <w:rPr>
          <w:rFonts w:ascii="宋体" w:hAnsi="宋体" w:cs="宋体"/>
          <w:color w:val="000000"/>
          <w:kern w:val="0"/>
          <w:szCs w:val="21"/>
          <w:u w:val="single"/>
        </w:rPr>
      </w:pPr>
    </w:p>
    <w:p>
      <w:pPr>
        <w:autoSpaceDE w:val="0"/>
        <w:autoSpaceDN w:val="0"/>
        <w:adjustRightInd w:val="0"/>
        <w:spacing w:line="360" w:lineRule="auto"/>
        <w:ind w:firstLine="3255" w:firstLineChars="1550"/>
        <w:jc w:val="left"/>
        <w:rPr>
          <w:rFonts w:ascii="宋体" w:hAnsi="宋体" w:cs="宋体"/>
          <w:color w:val="000000"/>
          <w:kern w:val="0"/>
          <w:szCs w:val="21"/>
          <w:u w:val="single"/>
        </w:rPr>
      </w:pPr>
    </w:p>
    <w:p>
      <w:pPr>
        <w:autoSpaceDE w:val="0"/>
        <w:autoSpaceDN w:val="0"/>
        <w:adjustRightInd w:val="0"/>
        <w:spacing w:line="360" w:lineRule="auto"/>
        <w:ind w:firstLine="3255" w:firstLineChars="1550"/>
        <w:jc w:val="left"/>
        <w:rPr>
          <w:rFonts w:ascii="宋体" w:hAnsi="宋体" w:cs="宋体"/>
          <w:color w:val="000000"/>
          <w:kern w:val="0"/>
          <w:szCs w:val="21"/>
        </w:rPr>
      </w:pPr>
      <w:r>
        <w:rPr>
          <w:rFonts w:hint="eastAsia" w:ascii="宋体" w:hAnsi="宋体" w:cs="宋体"/>
          <w:color w:val="000000"/>
          <w:kern w:val="0"/>
          <w:szCs w:val="21"/>
          <w:u w:val="single"/>
        </w:rPr>
        <w:t xml:space="preserve">        </w:t>
      </w:r>
      <w:r>
        <w:rPr>
          <w:rFonts w:hint="eastAsia" w:ascii="宋体" w:hAnsi="宋体" w:cs="宋体"/>
          <w:color w:val="000000"/>
          <w:kern w:val="0"/>
          <w:szCs w:val="21"/>
        </w:rPr>
        <w:t>年</w:t>
      </w:r>
      <w:r>
        <w:rPr>
          <w:rFonts w:hint="eastAsia" w:ascii="宋体" w:hAnsi="宋体" w:cs="宋体"/>
          <w:color w:val="000000"/>
          <w:kern w:val="0"/>
          <w:szCs w:val="21"/>
          <w:u w:val="single"/>
        </w:rPr>
        <w:t xml:space="preserve">        </w:t>
      </w:r>
      <w:r>
        <w:rPr>
          <w:rFonts w:hint="eastAsia" w:ascii="宋体" w:hAnsi="宋体" w:cs="宋体"/>
          <w:color w:val="000000"/>
          <w:kern w:val="0"/>
          <w:szCs w:val="21"/>
        </w:rPr>
        <w:t>月</w:t>
      </w:r>
      <w:r>
        <w:rPr>
          <w:rFonts w:hint="eastAsia" w:ascii="宋体" w:hAnsi="宋体" w:cs="宋体"/>
          <w:color w:val="000000"/>
          <w:kern w:val="0"/>
          <w:szCs w:val="21"/>
          <w:u w:val="single"/>
        </w:rPr>
        <w:t xml:space="preserve">        </w:t>
      </w:r>
      <w:r>
        <w:rPr>
          <w:rFonts w:hint="eastAsia" w:ascii="宋体" w:hAnsi="宋体" w:cs="宋体"/>
          <w:color w:val="000000"/>
          <w:kern w:val="0"/>
          <w:szCs w:val="21"/>
        </w:rPr>
        <w:t>日</w:t>
      </w:r>
    </w:p>
    <w:p>
      <w:pPr>
        <w:pStyle w:val="117"/>
        <w:spacing w:line="360" w:lineRule="auto"/>
        <w:jc w:val="left"/>
        <w:rPr>
          <w:rFonts w:hAnsi="宋体" w:cs="宋体"/>
          <w:color w:val="000000"/>
          <w:sz w:val="24"/>
        </w:rPr>
      </w:pPr>
    </w:p>
    <w:p>
      <w:pPr>
        <w:pStyle w:val="117"/>
        <w:spacing w:line="360" w:lineRule="auto"/>
        <w:jc w:val="left"/>
        <w:rPr>
          <w:rFonts w:hAnsi="宋体" w:cs="宋体"/>
          <w:color w:val="000000"/>
          <w:sz w:val="24"/>
        </w:rPr>
      </w:pPr>
    </w:p>
    <w:p>
      <w:pPr>
        <w:pStyle w:val="117"/>
        <w:spacing w:line="360" w:lineRule="auto"/>
        <w:jc w:val="left"/>
        <w:rPr>
          <w:rFonts w:hAnsi="宋体" w:cs="宋体"/>
          <w:color w:val="000000"/>
          <w:sz w:val="24"/>
        </w:rPr>
      </w:pPr>
    </w:p>
    <w:p>
      <w:pPr>
        <w:pStyle w:val="4"/>
        <w:spacing w:line="360" w:lineRule="auto"/>
        <w:rPr>
          <w:rFonts w:ascii="黑体" w:hAnsi="TimesNewRomanPSMT" w:cs="宋体"/>
          <w:color w:val="000000"/>
          <w:kern w:val="0"/>
          <w:sz w:val="30"/>
          <w:szCs w:val="30"/>
        </w:rPr>
      </w:pPr>
      <w:r>
        <w:rPr>
          <w:rFonts w:hAnsi="宋体" w:cs="宋体"/>
          <w:color w:val="000000"/>
          <w:sz w:val="24"/>
        </w:rPr>
        <w:br w:type="page"/>
      </w:r>
      <w:bookmarkStart w:id="590" w:name="_Toc511142527"/>
      <w:r>
        <w:rPr>
          <w:rFonts w:hint="eastAsia" w:ascii="宋体" w:hAnsi="宋体" w:eastAsia="宋体"/>
          <w:color w:val="000000"/>
        </w:rPr>
        <w:t>5.法定代表人身份证明</w:t>
      </w:r>
      <w:bookmarkEnd w:id="590"/>
    </w:p>
    <w:p>
      <w:pPr>
        <w:autoSpaceDE w:val="0"/>
        <w:autoSpaceDN w:val="0"/>
        <w:adjustRightInd w:val="0"/>
        <w:spacing w:line="360" w:lineRule="auto"/>
        <w:ind w:firstLine="480" w:firstLineChars="200"/>
        <w:jc w:val="left"/>
        <w:rPr>
          <w:rFonts w:ascii="宋体" w:hAnsi="TimesNewRomanPSMT" w:cs="宋体"/>
          <w:color w:val="000000"/>
          <w:kern w:val="0"/>
          <w:sz w:val="24"/>
        </w:rPr>
      </w:pPr>
    </w:p>
    <w:p>
      <w:pPr>
        <w:autoSpaceDE w:val="0"/>
        <w:autoSpaceDN w:val="0"/>
        <w:adjustRightInd w:val="0"/>
        <w:spacing w:line="360" w:lineRule="auto"/>
        <w:ind w:firstLine="480" w:firstLineChars="200"/>
        <w:jc w:val="left"/>
        <w:rPr>
          <w:rFonts w:ascii="宋体" w:hAnsi="TimesNewRomanPSMT" w:cs="宋体"/>
          <w:color w:val="000000"/>
          <w:kern w:val="0"/>
          <w:sz w:val="24"/>
        </w:rPr>
      </w:pPr>
    </w:p>
    <w:p>
      <w:pPr>
        <w:autoSpaceDE w:val="0"/>
        <w:autoSpaceDN w:val="0"/>
        <w:adjustRightInd w:val="0"/>
        <w:spacing w:line="360" w:lineRule="auto"/>
        <w:jc w:val="center"/>
        <w:rPr>
          <w:rFonts w:ascii="宋体" w:hAnsi="宋体" w:cs="宋体"/>
          <w:color w:val="000000"/>
          <w:kern w:val="0"/>
          <w:sz w:val="32"/>
          <w:szCs w:val="32"/>
        </w:rPr>
      </w:pPr>
      <w:r>
        <w:rPr>
          <w:rFonts w:hint="eastAsia" w:ascii="宋体" w:hAnsi="宋体" w:cs="宋体"/>
          <w:color w:val="000000"/>
          <w:kern w:val="0"/>
          <w:sz w:val="32"/>
          <w:szCs w:val="32"/>
        </w:rPr>
        <w:t>法定代表人身份证明</w:t>
      </w:r>
    </w:p>
    <w:p>
      <w:pPr>
        <w:autoSpaceDE w:val="0"/>
        <w:autoSpaceDN w:val="0"/>
        <w:adjustRightInd w:val="0"/>
        <w:spacing w:line="360" w:lineRule="auto"/>
        <w:ind w:firstLine="480" w:firstLineChars="200"/>
        <w:jc w:val="left"/>
        <w:rPr>
          <w:rFonts w:ascii="宋体" w:hAnsi="TimesNewRomanPSMT" w:cs="宋体"/>
          <w:color w:val="000000"/>
          <w:kern w:val="0"/>
          <w:sz w:val="24"/>
        </w:rPr>
      </w:pPr>
    </w:p>
    <w:p>
      <w:pPr>
        <w:autoSpaceDE w:val="0"/>
        <w:autoSpaceDN w:val="0"/>
        <w:adjustRightInd w:val="0"/>
        <w:spacing w:line="360" w:lineRule="auto"/>
        <w:ind w:firstLine="420" w:firstLineChars="200"/>
        <w:jc w:val="left"/>
        <w:rPr>
          <w:rFonts w:ascii="宋体" w:hAnsi="TimesNewRomanPSMT" w:cs="宋体"/>
          <w:color w:val="000000"/>
          <w:kern w:val="0"/>
          <w:szCs w:val="21"/>
        </w:rPr>
      </w:pPr>
      <w:r>
        <w:rPr>
          <w:rFonts w:hint="eastAsia" w:ascii="宋体" w:hAnsi="TimesNewRomanPSMT" w:cs="宋体"/>
          <w:color w:val="000000"/>
          <w:kern w:val="0"/>
          <w:szCs w:val="21"/>
        </w:rPr>
        <w:t>投 标 人：</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 xml:space="preserve"> </w:t>
      </w:r>
    </w:p>
    <w:p>
      <w:pPr>
        <w:autoSpaceDE w:val="0"/>
        <w:autoSpaceDN w:val="0"/>
        <w:adjustRightInd w:val="0"/>
        <w:spacing w:line="360" w:lineRule="auto"/>
        <w:ind w:firstLine="420" w:firstLineChars="200"/>
        <w:jc w:val="left"/>
        <w:rPr>
          <w:rFonts w:ascii="宋体" w:hAnsi="TimesNewRomanPSMT" w:cs="宋体"/>
          <w:color w:val="000000"/>
          <w:kern w:val="0"/>
          <w:szCs w:val="21"/>
        </w:rPr>
      </w:pPr>
      <w:r>
        <w:rPr>
          <w:rFonts w:hint="eastAsia" w:ascii="宋体" w:hAnsi="TimesNewRomanPSMT" w:cs="宋体"/>
          <w:color w:val="000000"/>
          <w:kern w:val="0"/>
          <w:szCs w:val="21"/>
        </w:rPr>
        <w:t>单位性质：</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 xml:space="preserve"> </w:t>
      </w:r>
    </w:p>
    <w:p>
      <w:pPr>
        <w:autoSpaceDE w:val="0"/>
        <w:autoSpaceDN w:val="0"/>
        <w:adjustRightInd w:val="0"/>
        <w:spacing w:line="360" w:lineRule="auto"/>
        <w:ind w:firstLine="420" w:firstLineChars="200"/>
        <w:jc w:val="left"/>
        <w:rPr>
          <w:rFonts w:ascii="宋体" w:hAnsi="TimesNewRomanPSMT" w:cs="宋体"/>
          <w:color w:val="000000"/>
          <w:kern w:val="0"/>
          <w:szCs w:val="21"/>
        </w:rPr>
      </w:pPr>
      <w:r>
        <w:rPr>
          <w:rFonts w:hint="eastAsia" w:ascii="宋体" w:hAnsi="TimesNewRomanPSMT" w:cs="宋体"/>
          <w:color w:val="000000"/>
          <w:kern w:val="0"/>
          <w:szCs w:val="21"/>
        </w:rPr>
        <w:t>地    址：</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 xml:space="preserve"> </w:t>
      </w:r>
    </w:p>
    <w:p>
      <w:pPr>
        <w:autoSpaceDE w:val="0"/>
        <w:autoSpaceDN w:val="0"/>
        <w:adjustRightInd w:val="0"/>
        <w:spacing w:line="360" w:lineRule="auto"/>
        <w:ind w:firstLine="420" w:firstLineChars="200"/>
        <w:jc w:val="left"/>
        <w:rPr>
          <w:rFonts w:ascii="宋体" w:hAnsi="TimesNewRomanPSMT" w:cs="宋体"/>
          <w:color w:val="000000"/>
          <w:kern w:val="0"/>
          <w:szCs w:val="21"/>
        </w:rPr>
      </w:pPr>
      <w:r>
        <w:rPr>
          <w:rFonts w:hint="eastAsia" w:ascii="宋体" w:hAnsi="TimesNewRomanPSMT" w:cs="宋体"/>
          <w:color w:val="000000"/>
          <w:kern w:val="0"/>
          <w:szCs w:val="21"/>
        </w:rPr>
        <w:t>成立时间：</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年</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月</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日</w:t>
      </w:r>
    </w:p>
    <w:p>
      <w:pPr>
        <w:autoSpaceDE w:val="0"/>
        <w:autoSpaceDN w:val="0"/>
        <w:adjustRightInd w:val="0"/>
        <w:spacing w:line="360" w:lineRule="auto"/>
        <w:ind w:firstLine="420" w:firstLineChars="200"/>
        <w:jc w:val="left"/>
        <w:rPr>
          <w:rFonts w:ascii="宋体" w:hAnsi="TimesNewRomanPSMT" w:cs="宋体"/>
          <w:color w:val="000000"/>
          <w:kern w:val="0"/>
          <w:szCs w:val="21"/>
        </w:rPr>
      </w:pPr>
      <w:r>
        <w:rPr>
          <w:rFonts w:hint="eastAsia" w:ascii="宋体" w:hAnsi="TimesNewRomanPSMT" w:cs="宋体"/>
          <w:color w:val="000000"/>
          <w:kern w:val="0"/>
          <w:szCs w:val="21"/>
        </w:rPr>
        <w:t>经营期限：</w:t>
      </w:r>
      <w:r>
        <w:rPr>
          <w:rFonts w:hint="eastAsia" w:ascii="宋体" w:hAnsi="TimesNewRomanPSMT" w:cs="宋体"/>
          <w:color w:val="000000"/>
          <w:kern w:val="0"/>
          <w:szCs w:val="21"/>
          <w:u w:val="single"/>
        </w:rPr>
        <w:t xml:space="preserve">                                                        </w:t>
      </w:r>
    </w:p>
    <w:p>
      <w:pPr>
        <w:autoSpaceDE w:val="0"/>
        <w:autoSpaceDN w:val="0"/>
        <w:adjustRightInd w:val="0"/>
        <w:spacing w:line="360" w:lineRule="auto"/>
        <w:ind w:firstLine="420" w:firstLineChars="200"/>
        <w:jc w:val="left"/>
        <w:rPr>
          <w:rFonts w:ascii="宋体" w:hAnsi="TimesNewRomanPSMT" w:cs="宋体"/>
          <w:color w:val="000000"/>
          <w:kern w:val="0"/>
          <w:szCs w:val="21"/>
        </w:rPr>
      </w:pPr>
      <w:r>
        <w:rPr>
          <w:rFonts w:hint="eastAsia" w:ascii="宋体" w:hAnsi="TimesNewRomanPSMT" w:cs="宋体"/>
          <w:color w:val="000000"/>
          <w:kern w:val="0"/>
          <w:szCs w:val="21"/>
        </w:rPr>
        <w:t>姓    名：</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 xml:space="preserve">    性        别：</w:t>
      </w:r>
      <w:r>
        <w:rPr>
          <w:rFonts w:hint="eastAsia" w:ascii="宋体" w:hAnsi="TimesNewRomanPSMT" w:cs="宋体"/>
          <w:color w:val="000000"/>
          <w:kern w:val="0"/>
          <w:szCs w:val="21"/>
          <w:u w:val="single"/>
        </w:rPr>
        <w:t xml:space="preserve">                </w:t>
      </w:r>
    </w:p>
    <w:p>
      <w:pPr>
        <w:autoSpaceDE w:val="0"/>
        <w:autoSpaceDN w:val="0"/>
        <w:adjustRightInd w:val="0"/>
        <w:spacing w:line="360" w:lineRule="auto"/>
        <w:ind w:firstLine="420" w:firstLineChars="200"/>
        <w:jc w:val="left"/>
        <w:rPr>
          <w:rFonts w:ascii="宋体" w:hAnsi="TimesNewRomanPSMT" w:cs="宋体"/>
          <w:color w:val="000000"/>
          <w:kern w:val="0"/>
          <w:szCs w:val="21"/>
        </w:rPr>
      </w:pPr>
      <w:r>
        <w:rPr>
          <w:rFonts w:hint="eastAsia" w:ascii="宋体" w:hAnsi="TimesNewRomanPSMT" w:cs="宋体"/>
          <w:color w:val="000000"/>
          <w:kern w:val="0"/>
          <w:szCs w:val="21"/>
        </w:rPr>
        <w:t>年    龄：</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 xml:space="preserve">    职        务：</w:t>
      </w:r>
      <w:r>
        <w:rPr>
          <w:rFonts w:hint="eastAsia" w:ascii="宋体" w:hAnsi="TimesNewRomanPSMT" w:cs="宋体"/>
          <w:color w:val="000000"/>
          <w:kern w:val="0"/>
          <w:szCs w:val="21"/>
          <w:u w:val="single"/>
        </w:rPr>
        <w:t xml:space="preserve">                </w:t>
      </w:r>
    </w:p>
    <w:p>
      <w:pPr>
        <w:autoSpaceDE w:val="0"/>
        <w:autoSpaceDN w:val="0"/>
        <w:adjustRightInd w:val="0"/>
        <w:spacing w:line="360" w:lineRule="auto"/>
        <w:ind w:firstLine="420" w:firstLineChars="200"/>
        <w:jc w:val="left"/>
        <w:rPr>
          <w:rFonts w:ascii="宋体" w:hAnsi="TimesNewRomanPSMT" w:cs="宋体"/>
          <w:color w:val="000000"/>
          <w:kern w:val="0"/>
          <w:szCs w:val="21"/>
        </w:rPr>
      </w:pPr>
      <w:r>
        <w:rPr>
          <w:rFonts w:hint="eastAsia" w:ascii="宋体" w:hAnsi="TimesNewRomanPSMT" w:cs="宋体"/>
          <w:color w:val="000000"/>
          <w:kern w:val="0"/>
          <w:szCs w:val="21"/>
        </w:rPr>
        <w:t>系</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（投标人名称）的法定代表人。</w:t>
      </w:r>
    </w:p>
    <w:p>
      <w:pPr>
        <w:autoSpaceDE w:val="0"/>
        <w:autoSpaceDN w:val="0"/>
        <w:adjustRightInd w:val="0"/>
        <w:spacing w:line="360" w:lineRule="auto"/>
        <w:ind w:firstLine="840" w:firstLineChars="400"/>
        <w:jc w:val="left"/>
        <w:rPr>
          <w:rFonts w:ascii="宋体" w:hAnsi="TimesNewRomanPSMT" w:cs="宋体"/>
          <w:color w:val="000000"/>
          <w:kern w:val="0"/>
          <w:szCs w:val="21"/>
        </w:rPr>
      </w:pPr>
      <w:r>
        <w:rPr>
          <w:rFonts w:hint="eastAsia" w:ascii="宋体" w:hAnsi="TimesNewRomanPSMT" w:cs="宋体"/>
          <w:color w:val="000000"/>
          <w:kern w:val="0"/>
          <w:szCs w:val="21"/>
        </w:rPr>
        <w:t>特此证明。</w:t>
      </w:r>
    </w:p>
    <w:p>
      <w:pPr>
        <w:autoSpaceDE w:val="0"/>
        <w:autoSpaceDN w:val="0"/>
        <w:adjustRightInd w:val="0"/>
        <w:spacing w:line="360" w:lineRule="auto"/>
        <w:ind w:firstLine="420" w:firstLineChars="200"/>
        <w:jc w:val="left"/>
        <w:rPr>
          <w:rFonts w:ascii="宋体" w:hAnsi="TimesNewRomanPSMT" w:cs="宋体"/>
          <w:color w:val="000000"/>
          <w:kern w:val="0"/>
          <w:szCs w:val="21"/>
        </w:rPr>
      </w:pPr>
    </w:p>
    <w:p>
      <w:pPr>
        <w:autoSpaceDE w:val="0"/>
        <w:autoSpaceDN w:val="0"/>
        <w:adjustRightInd w:val="0"/>
        <w:spacing w:line="360" w:lineRule="auto"/>
        <w:ind w:firstLine="420" w:firstLineChars="200"/>
        <w:jc w:val="left"/>
        <w:rPr>
          <w:rFonts w:ascii="宋体" w:hAnsi="TimesNewRomanPSMT" w:cs="宋体"/>
          <w:color w:val="000000"/>
          <w:kern w:val="0"/>
          <w:szCs w:val="21"/>
        </w:rPr>
      </w:pPr>
      <w:r>
        <w:rPr>
          <w:rFonts w:hint="eastAsia" w:ascii="宋体" w:hAnsi="TimesNewRomanPSMT" w:cs="宋体"/>
          <w:color w:val="000000"/>
          <w:kern w:val="0"/>
          <w:szCs w:val="21"/>
        </w:rPr>
        <w:t>附：法定代表人身份证复印件。</w:t>
      </w:r>
    </w:p>
    <w:p>
      <w:pPr>
        <w:autoSpaceDE w:val="0"/>
        <w:autoSpaceDN w:val="0"/>
        <w:adjustRightInd w:val="0"/>
        <w:spacing w:line="360" w:lineRule="auto"/>
        <w:ind w:firstLine="420" w:firstLineChars="200"/>
        <w:jc w:val="left"/>
        <w:rPr>
          <w:rFonts w:ascii="宋体" w:hAnsi="TimesNewRomanPSMT" w:cs="宋体"/>
          <w:color w:val="000000"/>
          <w:kern w:val="0"/>
          <w:szCs w:val="21"/>
        </w:rPr>
      </w:pPr>
    </w:p>
    <w:p>
      <w:pPr>
        <w:autoSpaceDE w:val="0"/>
        <w:autoSpaceDN w:val="0"/>
        <w:adjustRightInd w:val="0"/>
        <w:spacing w:line="360" w:lineRule="auto"/>
        <w:ind w:firstLine="420" w:firstLineChars="200"/>
        <w:jc w:val="left"/>
        <w:rPr>
          <w:rFonts w:ascii="宋体" w:hAnsi="TimesNewRomanPSMT" w:cs="宋体"/>
          <w:color w:val="000000"/>
          <w:kern w:val="0"/>
          <w:szCs w:val="21"/>
        </w:rPr>
      </w:pPr>
    </w:p>
    <w:p>
      <w:pPr>
        <w:autoSpaceDE w:val="0"/>
        <w:autoSpaceDN w:val="0"/>
        <w:adjustRightInd w:val="0"/>
        <w:spacing w:line="360" w:lineRule="auto"/>
        <w:ind w:firstLine="420" w:firstLineChars="200"/>
        <w:jc w:val="left"/>
        <w:rPr>
          <w:rFonts w:ascii="宋体" w:hAnsi="TimesNewRomanPSMT" w:cs="宋体"/>
          <w:color w:val="000000"/>
          <w:kern w:val="0"/>
          <w:szCs w:val="21"/>
        </w:rPr>
      </w:pPr>
    </w:p>
    <w:p>
      <w:pPr>
        <w:autoSpaceDE w:val="0"/>
        <w:autoSpaceDN w:val="0"/>
        <w:adjustRightInd w:val="0"/>
        <w:spacing w:line="360" w:lineRule="auto"/>
        <w:ind w:firstLine="420" w:firstLineChars="200"/>
        <w:jc w:val="left"/>
        <w:rPr>
          <w:rFonts w:ascii="宋体" w:hAnsi="TimesNewRomanPSMT" w:cs="宋体"/>
          <w:color w:val="000000"/>
          <w:kern w:val="0"/>
          <w:szCs w:val="21"/>
        </w:rPr>
      </w:pPr>
    </w:p>
    <w:p>
      <w:pPr>
        <w:autoSpaceDE w:val="0"/>
        <w:autoSpaceDN w:val="0"/>
        <w:adjustRightInd w:val="0"/>
        <w:spacing w:line="360" w:lineRule="auto"/>
        <w:ind w:firstLine="1995" w:firstLineChars="950"/>
        <w:jc w:val="left"/>
        <w:rPr>
          <w:rFonts w:ascii="宋体" w:hAnsi="TimesNewRomanPSMT" w:cs="宋体"/>
          <w:color w:val="000000"/>
          <w:kern w:val="0"/>
          <w:szCs w:val="21"/>
        </w:rPr>
      </w:pPr>
      <w:r>
        <w:rPr>
          <w:rFonts w:hint="eastAsia" w:ascii="宋体" w:hAnsi="TimesNewRomanPSMT" w:cs="宋体"/>
          <w:color w:val="000000"/>
          <w:kern w:val="0"/>
          <w:szCs w:val="21"/>
        </w:rPr>
        <w:t>投标人：</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（盖单位章）</w:t>
      </w:r>
    </w:p>
    <w:p>
      <w:pPr>
        <w:autoSpaceDE w:val="0"/>
        <w:autoSpaceDN w:val="0"/>
        <w:adjustRightInd w:val="0"/>
        <w:spacing w:line="360" w:lineRule="auto"/>
        <w:ind w:firstLine="420" w:firstLineChars="200"/>
        <w:jc w:val="left"/>
        <w:rPr>
          <w:rFonts w:ascii="宋体" w:hAnsi="TimesNewRomanPSMT" w:cs="宋体"/>
          <w:color w:val="000000"/>
          <w:kern w:val="0"/>
          <w:szCs w:val="21"/>
        </w:rPr>
      </w:pPr>
      <w:r>
        <w:rPr>
          <w:rFonts w:hint="eastAsia" w:ascii="宋体" w:hAnsi="TimesNewRomanPSMT" w:cs="宋体"/>
          <w:color w:val="000000"/>
          <w:kern w:val="0"/>
          <w:szCs w:val="21"/>
        </w:rPr>
        <w:t xml:space="preserve">                         </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年</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月</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 xml:space="preserve">日  </w:t>
      </w:r>
    </w:p>
    <w:p>
      <w:pPr>
        <w:pStyle w:val="4"/>
        <w:spacing w:line="360" w:lineRule="auto"/>
        <w:rPr>
          <w:rFonts w:ascii="宋体" w:hAnsi="宋体" w:eastAsia="宋体"/>
          <w:color w:val="000000"/>
          <w:sz w:val="24"/>
          <w:szCs w:val="24"/>
        </w:rPr>
      </w:pPr>
    </w:p>
    <w:p>
      <w:pPr>
        <w:pStyle w:val="4"/>
        <w:spacing w:line="360" w:lineRule="auto"/>
        <w:rPr>
          <w:rFonts w:hAnsi="宋体" w:cs="宋体"/>
          <w:color w:val="000000"/>
        </w:rPr>
      </w:pPr>
    </w:p>
    <w:p>
      <w:pPr>
        <w:pStyle w:val="117"/>
        <w:spacing w:line="360" w:lineRule="auto"/>
        <w:rPr>
          <w:rFonts w:hAnsi="宋体" w:cs="宋体"/>
          <w:b/>
          <w:color w:val="000000"/>
          <w:sz w:val="24"/>
        </w:rPr>
      </w:pPr>
    </w:p>
    <w:p>
      <w:pPr>
        <w:pStyle w:val="117"/>
        <w:spacing w:line="360" w:lineRule="auto"/>
        <w:rPr>
          <w:rFonts w:hAnsi="宋体" w:cs="宋体"/>
          <w:color w:val="000000"/>
          <w:sz w:val="24"/>
        </w:rPr>
      </w:pPr>
    </w:p>
    <w:p>
      <w:pPr>
        <w:pStyle w:val="118"/>
      </w:pPr>
      <w:r>
        <w:br w:type="page"/>
      </w:r>
      <w:bookmarkStart w:id="591" w:name="_Toc397928645"/>
      <w:bookmarkStart w:id="592" w:name="_Toc387526451"/>
      <w:bookmarkStart w:id="593" w:name="_Toc387526255"/>
      <w:bookmarkStart w:id="594" w:name="_Toc387526359"/>
      <w:bookmarkStart w:id="595" w:name="_Toc17568"/>
      <w:bookmarkStart w:id="596" w:name="_Toc511142528"/>
      <w:r>
        <w:rPr>
          <w:rFonts w:hint="eastAsia"/>
        </w:rPr>
        <w:t>6.技术参数响应表</w:t>
      </w:r>
      <w:bookmarkEnd w:id="591"/>
      <w:bookmarkEnd w:id="592"/>
      <w:bookmarkEnd w:id="593"/>
      <w:bookmarkEnd w:id="594"/>
      <w:bookmarkEnd w:id="595"/>
      <w:bookmarkEnd w:id="596"/>
    </w:p>
    <w:p>
      <w:pPr>
        <w:pStyle w:val="117"/>
        <w:tabs>
          <w:tab w:val="left" w:pos="6930"/>
          <w:tab w:val="left" w:pos="8360"/>
        </w:tabs>
        <w:spacing w:line="360" w:lineRule="auto"/>
        <w:ind w:right="42"/>
        <w:jc w:val="center"/>
        <w:rPr>
          <w:rFonts w:hAnsi="宋体" w:cs="宋体"/>
          <w:color w:val="000000"/>
          <w:sz w:val="32"/>
          <w:szCs w:val="32"/>
        </w:rPr>
      </w:pPr>
      <w:r>
        <w:rPr>
          <w:rFonts w:hint="eastAsia" w:hAnsi="宋体" w:cs="宋体"/>
          <w:color w:val="000000"/>
          <w:sz w:val="32"/>
          <w:szCs w:val="32"/>
        </w:rPr>
        <w:t>技术参数响应表</w:t>
      </w:r>
    </w:p>
    <w:p>
      <w:pPr>
        <w:spacing w:line="360" w:lineRule="auto"/>
        <w:jc w:val="left"/>
        <w:rPr>
          <w:rFonts w:ascii="宋体" w:hAnsi="宋体" w:cs="宋体"/>
          <w:b/>
          <w:color w:val="000000"/>
          <w:szCs w:val="21"/>
        </w:rPr>
      </w:pPr>
      <w:r>
        <w:rPr>
          <w:rFonts w:hint="eastAsia" w:ascii="宋体" w:hAnsi="宋体" w:cs="宋体"/>
          <w:b/>
          <w:color w:val="000000"/>
          <w:szCs w:val="21"/>
        </w:rPr>
        <w:t>标段号：</w:t>
      </w:r>
    </w:p>
    <w:tbl>
      <w:tblPr>
        <w:tblStyle w:val="4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92"/>
        <w:gridCol w:w="1399"/>
        <w:gridCol w:w="1548"/>
        <w:gridCol w:w="1477"/>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4092" w:type="dxa"/>
            <w:tcBorders>
              <w:top w:val="single" w:color="000000" w:sz="4" w:space="0"/>
              <w:left w:val="single" w:color="auto" w:sz="4" w:space="0"/>
              <w:bottom w:val="single" w:color="000000" w:sz="4" w:space="0"/>
              <w:right w:val="single" w:color="000000" w:sz="4" w:space="0"/>
            </w:tcBorders>
          </w:tcPr>
          <w:p>
            <w:pPr>
              <w:spacing w:line="360" w:lineRule="auto"/>
              <w:jc w:val="left"/>
              <w:rPr>
                <w:rFonts w:ascii="宋体" w:hAnsi="宋体" w:cs="宋体"/>
                <w:color w:val="000000"/>
                <w:szCs w:val="21"/>
              </w:rPr>
            </w:pPr>
            <w:r>
              <w:rPr>
                <w:rFonts w:hint="eastAsia" w:ascii="宋体" w:hAnsi="宋体" w:cs="宋体"/>
                <w:color w:val="000000"/>
                <w:szCs w:val="21"/>
              </w:rPr>
              <w:t>技术参数及要求</w:t>
            </w: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r>
              <w:rPr>
                <w:rFonts w:hint="eastAsia" w:ascii="宋体" w:hAnsi="宋体" w:cs="宋体"/>
                <w:color w:val="000000"/>
                <w:szCs w:val="21"/>
              </w:rPr>
              <w:t>招标要求</w:t>
            </w: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r>
              <w:rPr>
                <w:rFonts w:hint="eastAsia" w:ascii="宋体" w:hAnsi="宋体" w:cs="宋体"/>
                <w:color w:val="000000"/>
                <w:szCs w:val="21"/>
              </w:rPr>
              <w:t>投标响应</w:t>
            </w:r>
          </w:p>
        </w:tc>
        <w:tc>
          <w:tcPr>
            <w:tcW w:w="1483" w:type="dxa"/>
            <w:gridSpan w:val="2"/>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r>
              <w:rPr>
                <w:rFonts w:hint="eastAsia" w:ascii="宋体" w:hAnsi="宋体" w:cs="宋体"/>
                <w:color w:val="000000"/>
                <w:szCs w:val="21"/>
              </w:rPr>
              <w:t>正负偏离情况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color w:val="000000"/>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color w:val="000000"/>
                <w:szCs w:val="21"/>
              </w:rPr>
            </w:pPr>
          </w:p>
        </w:tc>
      </w:tr>
    </w:tbl>
    <w:p>
      <w:pPr>
        <w:spacing w:line="360" w:lineRule="auto"/>
        <w:jc w:val="left"/>
        <w:rPr>
          <w:rFonts w:ascii="宋体" w:hAnsi="宋体" w:cs="宋体"/>
          <w:color w:val="000000"/>
          <w:szCs w:val="21"/>
        </w:rPr>
      </w:pPr>
    </w:p>
    <w:p>
      <w:pPr>
        <w:spacing w:line="360" w:lineRule="auto"/>
        <w:jc w:val="left"/>
        <w:rPr>
          <w:rFonts w:ascii="宋体" w:hAnsi="宋体" w:cs="宋体"/>
          <w:color w:val="000000"/>
          <w:szCs w:val="21"/>
        </w:rPr>
      </w:pPr>
      <w:r>
        <w:rPr>
          <w:rFonts w:hint="eastAsia" w:ascii="宋体" w:hAnsi="宋体" w:cs="宋体"/>
          <w:color w:val="000000"/>
          <w:szCs w:val="21"/>
        </w:rPr>
        <w:t>注：投标人应按招标文件要求的品目号分别填写，逐点应答。</w:t>
      </w:r>
    </w:p>
    <w:p>
      <w:pPr>
        <w:spacing w:line="360" w:lineRule="auto"/>
        <w:jc w:val="left"/>
        <w:rPr>
          <w:rFonts w:ascii="宋体" w:hAnsi="宋体" w:cs="宋体"/>
          <w:b/>
          <w:color w:val="000000"/>
          <w:szCs w:val="21"/>
        </w:rPr>
      </w:pPr>
      <w:r>
        <w:rPr>
          <w:rFonts w:hint="eastAsia" w:ascii="宋体" w:hAnsi="宋体" w:cs="宋体"/>
          <w:b/>
          <w:color w:val="000000"/>
          <w:szCs w:val="21"/>
        </w:rPr>
        <w:t>正偏离表示投标响应高于招标要求，并附页说明，否则可能导致不予认可。</w:t>
      </w:r>
    </w:p>
    <w:p>
      <w:pPr>
        <w:spacing w:line="360" w:lineRule="auto"/>
        <w:jc w:val="left"/>
        <w:rPr>
          <w:rFonts w:ascii="宋体" w:hAnsi="宋体" w:cs="宋体"/>
          <w:b/>
          <w:color w:val="000000"/>
          <w:szCs w:val="21"/>
        </w:rPr>
      </w:pPr>
      <w:r>
        <w:rPr>
          <w:rFonts w:hint="eastAsia" w:ascii="宋体" w:hAnsi="宋体" w:cs="宋体"/>
          <w:b/>
          <w:color w:val="000000"/>
          <w:szCs w:val="21"/>
        </w:rPr>
        <w:t>负偏离表示投标响应低于招标要求，并附页说明，否则可能导致作为不响应投标。</w:t>
      </w:r>
    </w:p>
    <w:p>
      <w:pPr>
        <w:spacing w:line="360" w:lineRule="auto"/>
        <w:jc w:val="left"/>
        <w:rPr>
          <w:rFonts w:ascii="宋体" w:hAnsi="宋体" w:cs="宋体"/>
          <w:b/>
          <w:color w:val="000000"/>
          <w:szCs w:val="21"/>
        </w:rPr>
      </w:pPr>
      <w:r>
        <w:rPr>
          <w:rFonts w:hint="eastAsia" w:ascii="宋体" w:hAnsi="宋体" w:cs="宋体"/>
          <w:b/>
          <w:color w:val="000000"/>
          <w:szCs w:val="21"/>
        </w:rPr>
        <w:t>无偏离表示投标响应等同于招标要求。</w:t>
      </w:r>
    </w:p>
    <w:p>
      <w:pPr>
        <w:pStyle w:val="117"/>
        <w:tabs>
          <w:tab w:val="left" w:pos="6930"/>
          <w:tab w:val="left" w:pos="8360"/>
        </w:tabs>
        <w:spacing w:line="360" w:lineRule="auto"/>
        <w:ind w:right="42"/>
        <w:rPr>
          <w:rFonts w:hAnsi="宋体" w:cs="宋体"/>
          <w:color w:val="000000"/>
          <w:sz w:val="24"/>
        </w:rPr>
      </w:pPr>
    </w:p>
    <w:p>
      <w:pPr>
        <w:pStyle w:val="117"/>
        <w:tabs>
          <w:tab w:val="left" w:pos="6930"/>
          <w:tab w:val="left" w:pos="8360"/>
        </w:tabs>
        <w:spacing w:line="360" w:lineRule="auto"/>
        <w:ind w:right="42"/>
        <w:rPr>
          <w:rFonts w:hAnsi="宋体" w:cs="宋体"/>
          <w:color w:val="000000"/>
          <w:sz w:val="24"/>
        </w:rPr>
      </w:pPr>
    </w:p>
    <w:p>
      <w:pPr>
        <w:pStyle w:val="117"/>
        <w:tabs>
          <w:tab w:val="left" w:pos="6930"/>
          <w:tab w:val="left" w:pos="8360"/>
        </w:tabs>
        <w:spacing w:line="360" w:lineRule="auto"/>
        <w:ind w:right="42"/>
        <w:rPr>
          <w:rFonts w:hAnsi="宋体" w:cs="宋体"/>
          <w:color w:val="000000"/>
          <w:sz w:val="24"/>
        </w:rPr>
      </w:pPr>
    </w:p>
    <w:p>
      <w:pPr>
        <w:pStyle w:val="117"/>
        <w:tabs>
          <w:tab w:val="left" w:pos="6930"/>
          <w:tab w:val="left" w:pos="8360"/>
        </w:tabs>
        <w:spacing w:line="360" w:lineRule="auto"/>
        <w:ind w:right="42"/>
        <w:rPr>
          <w:rFonts w:hAnsi="宋体" w:cs="宋体"/>
          <w:color w:val="000000"/>
          <w:sz w:val="24"/>
        </w:rPr>
      </w:pPr>
    </w:p>
    <w:p>
      <w:pPr>
        <w:pStyle w:val="117"/>
        <w:tabs>
          <w:tab w:val="left" w:pos="6930"/>
          <w:tab w:val="left" w:pos="8360"/>
        </w:tabs>
        <w:spacing w:line="360" w:lineRule="auto"/>
        <w:ind w:right="42"/>
        <w:rPr>
          <w:rFonts w:hAnsi="宋体" w:cs="宋体"/>
          <w:color w:val="000000"/>
          <w:sz w:val="24"/>
        </w:rPr>
      </w:pPr>
    </w:p>
    <w:p>
      <w:pPr>
        <w:pStyle w:val="117"/>
        <w:tabs>
          <w:tab w:val="left" w:pos="6930"/>
          <w:tab w:val="left" w:pos="8360"/>
        </w:tabs>
        <w:spacing w:line="360" w:lineRule="auto"/>
        <w:ind w:right="42"/>
        <w:rPr>
          <w:rFonts w:hAnsi="宋体" w:cs="宋体"/>
          <w:color w:val="000000"/>
          <w:sz w:val="24"/>
        </w:rPr>
      </w:pPr>
    </w:p>
    <w:p>
      <w:pPr>
        <w:pStyle w:val="117"/>
        <w:tabs>
          <w:tab w:val="left" w:pos="6930"/>
          <w:tab w:val="left" w:pos="8360"/>
        </w:tabs>
        <w:spacing w:line="360" w:lineRule="auto"/>
        <w:ind w:right="42"/>
        <w:rPr>
          <w:rFonts w:hAnsi="宋体" w:cs="宋体"/>
          <w:color w:val="000000"/>
          <w:sz w:val="24"/>
        </w:rPr>
      </w:pPr>
    </w:p>
    <w:p>
      <w:pPr>
        <w:pStyle w:val="117"/>
        <w:tabs>
          <w:tab w:val="left" w:pos="6930"/>
          <w:tab w:val="left" w:pos="8360"/>
        </w:tabs>
        <w:spacing w:line="360" w:lineRule="auto"/>
        <w:ind w:right="42"/>
        <w:rPr>
          <w:rFonts w:hAnsi="宋体" w:cs="宋体"/>
          <w:color w:val="000000"/>
          <w:sz w:val="24"/>
        </w:rPr>
      </w:pPr>
    </w:p>
    <w:p>
      <w:pPr>
        <w:spacing w:line="360" w:lineRule="auto"/>
        <w:rPr>
          <w:rFonts w:ascii="宋体" w:hAnsi="宋体" w:cs="宋体"/>
          <w:color w:val="000000"/>
          <w:sz w:val="24"/>
        </w:rPr>
      </w:pPr>
    </w:p>
    <w:p>
      <w:pPr>
        <w:pStyle w:val="118"/>
      </w:pPr>
      <w:bookmarkStart w:id="597" w:name="_Toc15300"/>
      <w:bookmarkStart w:id="598" w:name="_Toc387526360"/>
      <w:bookmarkStart w:id="599" w:name="_Toc387526256"/>
      <w:bookmarkStart w:id="600" w:name="_Toc511142529"/>
      <w:bookmarkStart w:id="601" w:name="_Toc387526452"/>
      <w:bookmarkStart w:id="602" w:name="_Toc397928646"/>
      <w:r>
        <w:rPr>
          <w:rFonts w:hint="eastAsia"/>
        </w:rPr>
        <w:t>7.技术规格书</w:t>
      </w:r>
      <w:bookmarkEnd w:id="597"/>
      <w:bookmarkEnd w:id="598"/>
      <w:bookmarkEnd w:id="599"/>
      <w:bookmarkEnd w:id="600"/>
      <w:bookmarkEnd w:id="601"/>
      <w:bookmarkEnd w:id="602"/>
    </w:p>
    <w:p>
      <w:pPr>
        <w:pStyle w:val="117"/>
        <w:spacing w:line="360" w:lineRule="auto"/>
        <w:jc w:val="center"/>
        <w:rPr>
          <w:rFonts w:hAnsi="宋体" w:cs="宋体"/>
          <w:color w:val="000000"/>
          <w:sz w:val="32"/>
          <w:szCs w:val="32"/>
        </w:rPr>
      </w:pPr>
      <w:r>
        <w:rPr>
          <w:rFonts w:hint="eastAsia" w:hAnsi="宋体" w:cs="宋体"/>
          <w:color w:val="000000"/>
          <w:sz w:val="32"/>
          <w:szCs w:val="32"/>
        </w:rPr>
        <w:t>技术规格书</w:t>
      </w:r>
    </w:p>
    <w:p>
      <w:pPr>
        <w:pStyle w:val="117"/>
        <w:spacing w:line="360" w:lineRule="auto"/>
        <w:ind w:firstLine="420" w:firstLineChars="200"/>
        <w:rPr>
          <w:rFonts w:hAnsi="宋体" w:cs="宋体"/>
          <w:color w:val="000000"/>
          <w:sz w:val="21"/>
          <w:szCs w:val="21"/>
        </w:rPr>
      </w:pPr>
    </w:p>
    <w:p>
      <w:pPr>
        <w:pStyle w:val="117"/>
        <w:spacing w:line="360" w:lineRule="auto"/>
        <w:ind w:firstLine="420" w:firstLineChars="200"/>
        <w:rPr>
          <w:rFonts w:hAnsi="宋体" w:cs="宋体"/>
          <w:color w:val="000000"/>
          <w:sz w:val="21"/>
          <w:szCs w:val="21"/>
        </w:rPr>
      </w:pPr>
      <w:r>
        <w:rPr>
          <w:rFonts w:hint="eastAsia" w:hAnsi="宋体" w:cs="宋体"/>
          <w:color w:val="000000"/>
          <w:sz w:val="21"/>
          <w:szCs w:val="21"/>
        </w:rPr>
        <w:t>1.作为投标文件的一部分，投标人必须提供所供应的货物和服务是合格的，并符合招标文件规定的证明文件。</w:t>
      </w:r>
    </w:p>
    <w:p>
      <w:pPr>
        <w:pStyle w:val="117"/>
        <w:spacing w:line="360" w:lineRule="auto"/>
        <w:ind w:firstLine="420" w:firstLineChars="200"/>
        <w:rPr>
          <w:rFonts w:hAnsi="宋体" w:cs="宋体"/>
          <w:color w:val="000000"/>
          <w:sz w:val="21"/>
          <w:szCs w:val="21"/>
        </w:rPr>
      </w:pPr>
      <w:r>
        <w:rPr>
          <w:rFonts w:hint="eastAsia" w:hAnsi="宋体" w:cs="宋体"/>
          <w:color w:val="000000"/>
          <w:sz w:val="21"/>
          <w:szCs w:val="21"/>
        </w:rPr>
        <w:t>2.证明货物或服务是合格的文件有：</w:t>
      </w:r>
    </w:p>
    <w:p>
      <w:pPr>
        <w:ind w:firstLine="420" w:firstLineChars="200"/>
        <w:rPr>
          <w:rFonts w:ascii="宋体" w:hAnsi="宋体"/>
          <w:color w:val="000000"/>
        </w:rPr>
      </w:pPr>
      <w:r>
        <w:rPr>
          <w:rFonts w:hint="eastAsia" w:ascii="宋体" w:hAnsi="宋体"/>
          <w:color w:val="000000"/>
        </w:rPr>
        <w:t>(1)货物的质量保证资料；</w:t>
      </w:r>
    </w:p>
    <w:p>
      <w:pPr>
        <w:pStyle w:val="117"/>
        <w:spacing w:line="360" w:lineRule="auto"/>
        <w:ind w:firstLine="420" w:firstLineChars="200"/>
        <w:rPr>
          <w:rFonts w:hAnsi="宋体" w:cs="宋体"/>
          <w:color w:val="000000"/>
          <w:sz w:val="21"/>
          <w:szCs w:val="21"/>
        </w:rPr>
      </w:pPr>
      <w:r>
        <w:rPr>
          <w:rFonts w:hint="eastAsia" w:hAnsi="宋体" w:cs="宋体"/>
          <w:color w:val="000000"/>
          <w:sz w:val="21"/>
          <w:szCs w:val="21"/>
        </w:rPr>
        <w:t>(2)货物的主要技术数据和性能特征的详细描述；根据招标货物的要求，除按招标文件第六章（投标文件格式）规定的表格外，还可用文字说明投标货物对该要求的适应性。</w:t>
      </w:r>
    </w:p>
    <w:p>
      <w:pPr>
        <w:pStyle w:val="117"/>
        <w:spacing w:line="360" w:lineRule="auto"/>
        <w:ind w:firstLine="420" w:firstLineChars="200"/>
        <w:rPr>
          <w:rFonts w:hAnsi="宋体" w:cs="宋体"/>
          <w:color w:val="000000"/>
          <w:sz w:val="21"/>
          <w:szCs w:val="21"/>
        </w:rPr>
      </w:pPr>
      <w:r>
        <w:rPr>
          <w:rFonts w:hint="eastAsia" w:hAnsi="宋体" w:cs="宋体"/>
          <w:color w:val="000000"/>
          <w:sz w:val="21"/>
          <w:szCs w:val="21"/>
        </w:rPr>
        <w:t>(3)安装要求以及货物拆装和维修时所需的特殊工具。</w:t>
      </w:r>
    </w:p>
    <w:p>
      <w:pPr>
        <w:pStyle w:val="117"/>
        <w:spacing w:line="360" w:lineRule="auto"/>
        <w:ind w:firstLine="420" w:firstLineChars="200"/>
        <w:rPr>
          <w:rFonts w:hAnsi="宋体" w:cs="宋体"/>
          <w:color w:val="000000"/>
          <w:sz w:val="21"/>
          <w:szCs w:val="21"/>
        </w:rPr>
      </w:pPr>
      <w:r>
        <w:rPr>
          <w:rFonts w:hint="eastAsia" w:hAnsi="宋体" w:cs="宋体"/>
          <w:color w:val="000000"/>
          <w:sz w:val="21"/>
          <w:szCs w:val="21"/>
        </w:rPr>
        <w:t>(4)招标货物的要求和质量标准等。如果投标人对招标的货物有建议时，只能在对招标文件完全应答的基础上，另行提出自己的替代方案。</w:t>
      </w:r>
    </w:p>
    <w:p>
      <w:pPr>
        <w:pStyle w:val="117"/>
        <w:spacing w:line="360" w:lineRule="auto"/>
        <w:rPr>
          <w:rFonts w:hAnsi="宋体" w:cs="宋体"/>
          <w:color w:val="000000"/>
          <w:sz w:val="24"/>
        </w:rPr>
      </w:pPr>
    </w:p>
    <w:p>
      <w:pPr>
        <w:spacing w:line="360" w:lineRule="auto"/>
        <w:rPr>
          <w:rFonts w:ascii="宋体" w:hAnsi="宋体" w:cs="宋体"/>
          <w:color w:val="000000"/>
          <w:szCs w:val="21"/>
        </w:rPr>
      </w:pPr>
    </w:p>
    <w:p>
      <w:pPr>
        <w:pStyle w:val="4"/>
        <w:rPr>
          <w:rFonts w:ascii="宋体" w:hAnsi="宋体" w:eastAsia="宋体"/>
          <w:color w:val="000000"/>
        </w:rPr>
      </w:pPr>
      <w:r>
        <w:rPr>
          <w:rFonts w:ascii="宋体"/>
          <w:color w:val="000000"/>
        </w:rPr>
        <w:br w:type="page"/>
      </w:r>
      <w:bookmarkStart w:id="603" w:name="_Toc511142530"/>
      <w:bookmarkStart w:id="604" w:name="_Toc397928649"/>
      <w:r>
        <w:rPr>
          <w:rFonts w:hint="eastAsia" w:ascii="宋体" w:hAnsi="宋体" w:eastAsia="宋体"/>
          <w:color w:val="000000"/>
        </w:rPr>
        <w:t>8.投标货物的安装、调试等方案</w:t>
      </w:r>
      <w:bookmarkEnd w:id="603"/>
      <w:bookmarkEnd w:id="604"/>
    </w:p>
    <w:p>
      <w:pPr>
        <w:pStyle w:val="117"/>
        <w:spacing w:line="360" w:lineRule="auto"/>
        <w:ind w:firstLine="315" w:firstLineChars="150"/>
        <w:jc w:val="left"/>
        <w:rPr>
          <w:rFonts w:hint="eastAsia" w:hAnsi="宋体" w:eastAsia="宋体" w:cs="宋体"/>
          <w:color w:val="000000"/>
          <w:sz w:val="21"/>
          <w:szCs w:val="21"/>
          <w:lang w:eastAsia="zh-CN"/>
        </w:rPr>
      </w:pPr>
      <w:r>
        <w:rPr>
          <w:rFonts w:hint="eastAsia" w:hAnsi="宋体" w:cs="宋体"/>
          <w:color w:val="000000"/>
          <w:sz w:val="21"/>
          <w:szCs w:val="21"/>
        </w:rPr>
        <w:t>内容应包含组织机构、人员配备、项目负责人、安装计划、实施方案；时间、质量、安全控制措施，以及需买方配合的工作和提供的条件</w:t>
      </w:r>
      <w:r>
        <w:rPr>
          <w:rFonts w:hint="eastAsia" w:hAnsi="宋体" w:cs="宋体"/>
          <w:color w:val="000000"/>
          <w:sz w:val="21"/>
          <w:szCs w:val="21"/>
          <w:lang w:eastAsia="zh-CN"/>
        </w:rPr>
        <w:t>。</w:t>
      </w:r>
    </w:p>
    <w:p>
      <w:pPr>
        <w:pStyle w:val="117"/>
        <w:spacing w:line="360" w:lineRule="auto"/>
        <w:ind w:firstLine="360" w:firstLineChars="150"/>
        <w:jc w:val="left"/>
        <w:rPr>
          <w:rFonts w:hAnsi="宋体" w:cs="宋体"/>
          <w:color w:val="000000"/>
          <w:sz w:val="24"/>
        </w:rPr>
      </w:pPr>
    </w:p>
    <w:p>
      <w:pPr>
        <w:pStyle w:val="4"/>
        <w:rPr>
          <w:rFonts w:hint="eastAsia" w:ascii="宋体" w:hAnsi="宋体" w:eastAsia="宋体"/>
          <w:color w:val="000000"/>
          <w:lang w:eastAsia="zh-CN"/>
        </w:rPr>
      </w:pPr>
      <w:r>
        <w:rPr>
          <w:rFonts w:ascii="宋体" w:hAnsi="宋体" w:eastAsia="宋体"/>
          <w:color w:val="000000"/>
        </w:rPr>
        <w:br w:type="page"/>
      </w:r>
      <w:bookmarkStart w:id="605" w:name="_Toc511142531"/>
      <w:bookmarkStart w:id="606" w:name="_Toc397928650"/>
      <w:r>
        <w:rPr>
          <w:rFonts w:hint="eastAsia" w:ascii="宋体" w:hAnsi="宋体" w:eastAsia="宋体"/>
          <w:color w:val="000000"/>
        </w:rPr>
        <w:t>9.投标货物相关检测报告、证书</w:t>
      </w:r>
      <w:bookmarkEnd w:id="605"/>
      <w:bookmarkEnd w:id="606"/>
      <w:r>
        <w:rPr>
          <w:rFonts w:hint="eastAsia" w:ascii="宋体" w:hAnsi="宋体" w:eastAsia="宋体"/>
          <w:color w:val="000000"/>
          <w:lang w:eastAsia="zh-CN"/>
        </w:rPr>
        <w:t>等</w:t>
      </w:r>
    </w:p>
    <w:p>
      <w:pPr>
        <w:pStyle w:val="117"/>
        <w:spacing w:line="360" w:lineRule="auto"/>
        <w:jc w:val="left"/>
        <w:rPr>
          <w:rFonts w:hAnsi="宋体" w:cs="宋体"/>
          <w:b/>
          <w:color w:val="000000"/>
          <w:sz w:val="24"/>
        </w:rPr>
      </w:pPr>
    </w:p>
    <w:p>
      <w:pPr>
        <w:pStyle w:val="4"/>
        <w:rPr>
          <w:rFonts w:hint="eastAsia" w:ascii="宋体" w:hAnsi="宋体" w:eastAsia="宋体"/>
          <w:color w:val="000000"/>
        </w:rPr>
      </w:pPr>
      <w:bookmarkStart w:id="607" w:name="_Toc397928652"/>
      <w:bookmarkStart w:id="608" w:name="_Toc511142532"/>
    </w:p>
    <w:p>
      <w:pPr>
        <w:pStyle w:val="4"/>
        <w:rPr>
          <w:rFonts w:hint="eastAsia" w:ascii="宋体" w:hAnsi="宋体" w:eastAsia="宋体"/>
          <w:color w:val="000000"/>
        </w:rPr>
      </w:pPr>
    </w:p>
    <w:p>
      <w:pPr>
        <w:pStyle w:val="4"/>
        <w:rPr>
          <w:rFonts w:hint="eastAsia" w:ascii="宋体" w:hAnsi="宋体" w:eastAsia="宋体"/>
          <w:color w:val="000000"/>
        </w:rPr>
      </w:pPr>
    </w:p>
    <w:p>
      <w:pPr>
        <w:pStyle w:val="4"/>
        <w:rPr>
          <w:rFonts w:hint="eastAsia" w:ascii="宋体" w:hAnsi="宋体" w:eastAsia="宋体"/>
          <w:color w:val="000000"/>
        </w:rPr>
      </w:pPr>
    </w:p>
    <w:p>
      <w:pPr>
        <w:pStyle w:val="4"/>
        <w:rPr>
          <w:rFonts w:hint="eastAsia" w:ascii="宋体" w:hAnsi="宋体" w:eastAsia="宋体"/>
          <w:color w:val="000000"/>
        </w:rPr>
      </w:pPr>
    </w:p>
    <w:p>
      <w:pPr>
        <w:pStyle w:val="4"/>
        <w:rPr>
          <w:rFonts w:hint="eastAsia" w:ascii="宋体" w:hAnsi="宋体" w:eastAsia="宋体"/>
          <w:color w:val="000000"/>
        </w:rPr>
      </w:pPr>
    </w:p>
    <w:p>
      <w:pPr>
        <w:pStyle w:val="4"/>
        <w:rPr>
          <w:rFonts w:hint="eastAsia" w:ascii="宋体" w:hAnsi="宋体" w:eastAsia="宋体"/>
          <w:color w:val="000000"/>
        </w:rPr>
      </w:pPr>
    </w:p>
    <w:p>
      <w:pPr>
        <w:rPr>
          <w:rFonts w:hint="eastAsia" w:ascii="宋体" w:hAnsi="宋体" w:eastAsia="宋体"/>
          <w:color w:val="000000"/>
        </w:rPr>
      </w:pPr>
    </w:p>
    <w:p>
      <w:pPr>
        <w:pStyle w:val="2"/>
        <w:rPr>
          <w:rFonts w:hint="eastAsia" w:ascii="宋体" w:hAnsi="宋体" w:eastAsia="宋体"/>
          <w:color w:val="000000"/>
        </w:rPr>
      </w:pPr>
    </w:p>
    <w:p>
      <w:pPr>
        <w:rPr>
          <w:rFonts w:hint="eastAsia" w:ascii="宋体" w:hAnsi="宋体" w:eastAsia="宋体"/>
          <w:color w:val="000000"/>
        </w:rPr>
      </w:pPr>
    </w:p>
    <w:p>
      <w:pPr>
        <w:pStyle w:val="2"/>
        <w:rPr>
          <w:rFonts w:hint="eastAsia" w:ascii="宋体" w:hAnsi="宋体" w:eastAsia="宋体"/>
          <w:color w:val="000000"/>
        </w:rPr>
      </w:pPr>
    </w:p>
    <w:p>
      <w:pPr>
        <w:rPr>
          <w:rFonts w:hint="eastAsia" w:ascii="宋体" w:hAnsi="宋体" w:eastAsia="宋体"/>
          <w:color w:val="000000"/>
        </w:rPr>
      </w:pPr>
    </w:p>
    <w:p>
      <w:pPr>
        <w:pStyle w:val="2"/>
        <w:rPr>
          <w:rFonts w:hint="eastAsia" w:ascii="宋体" w:hAnsi="宋体" w:eastAsia="宋体"/>
          <w:color w:val="000000"/>
        </w:rPr>
      </w:pPr>
    </w:p>
    <w:p>
      <w:pPr>
        <w:rPr>
          <w:rFonts w:hint="eastAsia"/>
        </w:rPr>
      </w:pPr>
    </w:p>
    <w:p>
      <w:pPr>
        <w:pStyle w:val="4"/>
        <w:rPr>
          <w:rFonts w:ascii="宋体" w:hAnsi="宋体" w:eastAsia="宋体"/>
          <w:color w:val="000000"/>
        </w:rPr>
      </w:pPr>
      <w:r>
        <w:rPr>
          <w:rFonts w:hint="eastAsia" w:ascii="宋体" w:hAnsi="宋体" w:eastAsia="宋体"/>
          <w:color w:val="000000"/>
        </w:rPr>
        <w:t>10.</w:t>
      </w:r>
      <w:bookmarkEnd w:id="607"/>
      <w:bookmarkEnd w:id="608"/>
      <w:r>
        <w:rPr>
          <w:rFonts w:hint="eastAsia" w:ascii="宋体" w:hAnsi="宋体" w:eastAsia="宋体"/>
          <w:color w:val="000000"/>
        </w:rPr>
        <w:t>中小企业声明函</w:t>
      </w:r>
    </w:p>
    <w:p>
      <w:pPr>
        <w:pStyle w:val="117"/>
        <w:spacing w:line="360" w:lineRule="auto"/>
        <w:ind w:firstLine="480" w:firstLineChars="200"/>
        <w:rPr>
          <w:rFonts w:hint="eastAsia" w:hAnsi="宋体" w:eastAsia="宋体" w:cs="宋体"/>
          <w:color w:val="000000"/>
          <w:sz w:val="24"/>
          <w:lang w:eastAsia="zh-CN"/>
        </w:rPr>
      </w:pPr>
      <w:r>
        <w:rPr>
          <w:rFonts w:hint="eastAsia" w:hAnsi="宋体" w:cs="宋体"/>
          <w:color w:val="000000"/>
          <w:sz w:val="24"/>
        </w:rPr>
        <w:t>本公司郑重声明</w:t>
      </w:r>
      <w:r>
        <w:rPr>
          <w:rFonts w:hint="eastAsia" w:hAnsi="宋体" w:cs="宋体"/>
          <w:color w:val="000000"/>
          <w:sz w:val="24"/>
          <w:lang w:eastAsia="zh-CN"/>
        </w:rPr>
        <w:t>，</w:t>
      </w:r>
      <w:r>
        <w:rPr>
          <w:rFonts w:hint="eastAsia" w:hAnsi="宋体" w:cs="宋体"/>
          <w:color w:val="000000"/>
          <w:sz w:val="24"/>
        </w:rPr>
        <w:t>根据《政府采购促进中小企业发展暂行办法》（财库（201181号）的规定，本公司为</w:t>
      </w:r>
      <w:r>
        <w:rPr>
          <w:rFonts w:hint="eastAsia" w:hAnsi="宋体" w:cs="宋体"/>
          <w:color w:val="000000"/>
          <w:sz w:val="24"/>
          <w:u w:val="single"/>
        </w:rPr>
        <w:t xml:space="preserve"> </w:t>
      </w:r>
      <w:r>
        <w:rPr>
          <w:rFonts w:hint="eastAsia" w:hAnsi="宋体" w:cs="宋体"/>
          <w:color w:val="000000"/>
          <w:sz w:val="24"/>
          <w:u w:val="single"/>
          <w:lang w:val="en-US" w:eastAsia="zh-CN"/>
        </w:rPr>
        <w:t xml:space="preserve">       </w:t>
      </w:r>
      <w:r>
        <w:rPr>
          <w:rFonts w:hint="eastAsia" w:hAnsi="宋体" w:cs="宋体"/>
          <w:color w:val="000000"/>
          <w:sz w:val="24"/>
          <w:lang w:eastAsia="zh-CN"/>
        </w:rPr>
        <w:t>（</w:t>
      </w:r>
      <w:r>
        <w:rPr>
          <w:rFonts w:hint="eastAsia" w:hAnsi="宋体" w:cs="宋体"/>
          <w:color w:val="000000"/>
          <w:sz w:val="24"/>
        </w:rPr>
        <w:t>请填写：中型、小型</w:t>
      </w:r>
      <w:r>
        <w:rPr>
          <w:rFonts w:hint="eastAsia" w:hAnsi="宋体" w:cs="宋体"/>
          <w:color w:val="000000"/>
          <w:sz w:val="24"/>
          <w:lang w:eastAsia="zh-CN"/>
        </w:rPr>
        <w:t>、</w:t>
      </w:r>
      <w:r>
        <w:rPr>
          <w:rFonts w:hint="eastAsia" w:hAnsi="宋体" w:cs="宋体"/>
          <w:color w:val="000000"/>
          <w:sz w:val="24"/>
        </w:rPr>
        <w:t>微型）企业。即，本公司同时满足以下条件</w:t>
      </w:r>
      <w:r>
        <w:rPr>
          <w:rFonts w:hint="eastAsia" w:hAnsi="宋体" w:cs="宋体"/>
          <w:color w:val="000000"/>
          <w:sz w:val="24"/>
          <w:lang w:eastAsia="zh-CN"/>
        </w:rPr>
        <w:t>：</w:t>
      </w:r>
    </w:p>
    <w:p>
      <w:pPr>
        <w:pStyle w:val="117"/>
        <w:spacing w:line="360" w:lineRule="auto"/>
        <w:ind w:firstLine="480" w:firstLineChars="200"/>
        <w:rPr>
          <w:rFonts w:hint="eastAsia" w:hAnsi="宋体" w:cs="宋体"/>
          <w:color w:val="000000"/>
          <w:sz w:val="24"/>
        </w:rPr>
      </w:pPr>
      <w:r>
        <w:rPr>
          <w:rFonts w:hint="eastAsia" w:hAnsi="宋体" w:cs="宋体"/>
          <w:color w:val="000000"/>
          <w:sz w:val="24"/>
        </w:rPr>
        <w:t>1</w:t>
      </w:r>
      <w:r>
        <w:rPr>
          <w:rFonts w:hint="eastAsia" w:hAnsi="宋体" w:cs="宋体"/>
          <w:color w:val="000000"/>
          <w:sz w:val="24"/>
          <w:lang w:eastAsia="zh-CN"/>
        </w:rPr>
        <w:t>、</w:t>
      </w:r>
      <w:r>
        <w:rPr>
          <w:rFonts w:hint="eastAsia" w:hAnsi="宋体" w:cs="宋体"/>
          <w:color w:val="000000"/>
          <w:sz w:val="24"/>
        </w:rPr>
        <w:t>根据《工业和信息化部、国家统计局、国家发展和改革委员会、财政部关于印发中小企业划型标准规定的通知》（工信部联企业（2011）300号）规定的划分标准，本公司为</w:t>
      </w:r>
      <w:r>
        <w:rPr>
          <w:rFonts w:hint="eastAsia" w:hAnsi="宋体" w:cs="宋体"/>
          <w:color w:val="000000"/>
          <w:sz w:val="24"/>
          <w:u w:val="single"/>
          <w:lang w:val="en-US" w:eastAsia="zh-CN"/>
        </w:rPr>
        <w:t xml:space="preserve">         </w:t>
      </w:r>
      <w:r>
        <w:rPr>
          <w:rFonts w:hint="eastAsia" w:hAnsi="宋体" w:cs="宋体"/>
          <w:color w:val="000000"/>
          <w:sz w:val="24"/>
          <w:u w:val="none"/>
          <w:lang w:val="en-US" w:eastAsia="zh-CN"/>
        </w:rPr>
        <w:t>（</w:t>
      </w:r>
      <w:r>
        <w:rPr>
          <w:rFonts w:hint="eastAsia" w:hAnsi="宋体" w:cs="宋体"/>
          <w:color w:val="000000"/>
          <w:sz w:val="24"/>
        </w:rPr>
        <w:t>请填写：中型</w:t>
      </w:r>
      <w:r>
        <w:rPr>
          <w:rFonts w:hint="eastAsia" w:hAnsi="宋体" w:cs="宋体"/>
          <w:color w:val="000000"/>
          <w:sz w:val="24"/>
          <w:lang w:eastAsia="zh-CN"/>
        </w:rPr>
        <w:t>、</w:t>
      </w:r>
      <w:r>
        <w:rPr>
          <w:rFonts w:hint="eastAsia" w:hAnsi="宋体" w:cs="宋体"/>
          <w:color w:val="000000"/>
          <w:sz w:val="24"/>
        </w:rPr>
        <w:t>小型、微型）企业。</w:t>
      </w:r>
    </w:p>
    <w:p>
      <w:pPr>
        <w:pStyle w:val="117"/>
        <w:spacing w:line="360" w:lineRule="auto"/>
        <w:ind w:firstLine="480" w:firstLineChars="200"/>
        <w:rPr>
          <w:rFonts w:hint="eastAsia" w:hAnsi="宋体" w:cs="宋体"/>
          <w:color w:val="000000"/>
          <w:sz w:val="24"/>
        </w:rPr>
      </w:pPr>
      <w:r>
        <w:rPr>
          <w:rFonts w:hint="eastAsia" w:hAnsi="宋体" w:cs="宋体"/>
          <w:color w:val="000000"/>
          <w:sz w:val="24"/>
        </w:rPr>
        <w:t>2</w:t>
      </w:r>
      <w:r>
        <w:rPr>
          <w:rFonts w:hint="eastAsia" w:hAnsi="宋体" w:cs="宋体"/>
          <w:color w:val="000000"/>
          <w:sz w:val="24"/>
          <w:lang w:eastAsia="zh-CN"/>
        </w:rPr>
        <w:t>、</w:t>
      </w:r>
      <w:r>
        <w:rPr>
          <w:rFonts w:hint="eastAsia" w:hAnsi="宋体" w:cs="宋体"/>
          <w:color w:val="000000"/>
          <w:sz w:val="24"/>
        </w:rPr>
        <w:t>本公司参加</w:t>
      </w:r>
      <w:r>
        <w:rPr>
          <w:rFonts w:hint="eastAsia" w:hAnsi="宋体" w:cs="宋体"/>
          <w:color w:val="000000"/>
          <w:sz w:val="24"/>
          <w:u w:val="single"/>
          <w:lang w:val="en-US" w:eastAsia="zh-CN"/>
        </w:rPr>
        <w:t xml:space="preserve">         </w:t>
      </w:r>
      <w:r>
        <w:rPr>
          <w:rFonts w:hint="eastAsia" w:hAnsi="宋体" w:cs="宋体"/>
          <w:color w:val="000000"/>
          <w:sz w:val="24"/>
        </w:rPr>
        <w:t>单位的</w:t>
      </w:r>
      <w:r>
        <w:rPr>
          <w:rFonts w:hint="eastAsia" w:hAnsi="宋体" w:cs="宋体"/>
          <w:color w:val="000000"/>
          <w:sz w:val="24"/>
          <w:u w:val="single"/>
          <w:lang w:val="en-US" w:eastAsia="zh-CN"/>
        </w:rPr>
        <w:t xml:space="preserve">            </w:t>
      </w:r>
      <w:r>
        <w:rPr>
          <w:rFonts w:hint="eastAsia" w:hAnsi="宋体" w:cs="宋体"/>
          <w:color w:val="000000"/>
          <w:sz w:val="24"/>
        </w:rPr>
        <w:t>项目采购活动提供本企业制造的货物，由本企业承担工程、提供服务，或者提供其他</w:t>
      </w:r>
      <w:r>
        <w:rPr>
          <w:rFonts w:hint="eastAsia" w:hAnsi="宋体" w:cs="宋体"/>
          <w:color w:val="000000"/>
          <w:sz w:val="24"/>
          <w:u w:val="single"/>
          <w:lang w:val="en-US" w:eastAsia="zh-CN"/>
        </w:rPr>
        <w:t xml:space="preserve">              </w:t>
      </w:r>
      <w:r>
        <w:rPr>
          <w:rFonts w:hint="eastAsia" w:hAnsi="宋体" w:cs="宋体"/>
          <w:color w:val="000000"/>
          <w:sz w:val="24"/>
        </w:rPr>
        <w:t>（请填写：中型、小型、微型）企业制造的货物。本条所称货物不包括使用大型企业注册商标的货物。</w:t>
      </w:r>
    </w:p>
    <w:p>
      <w:pPr>
        <w:pStyle w:val="117"/>
        <w:spacing w:line="360" w:lineRule="auto"/>
        <w:ind w:firstLine="480" w:firstLineChars="200"/>
        <w:rPr>
          <w:rFonts w:hint="eastAsia" w:hAnsi="宋体" w:cs="宋体"/>
          <w:color w:val="000000"/>
          <w:sz w:val="24"/>
        </w:rPr>
      </w:pPr>
      <w:r>
        <w:rPr>
          <w:rFonts w:hint="eastAsia" w:hAnsi="宋体" w:cs="宋体"/>
          <w:color w:val="000000"/>
          <w:sz w:val="24"/>
        </w:rPr>
        <w:t>本公司对上述声明的真实性负责。如有虚假，将依法承担相应责任。</w:t>
      </w:r>
    </w:p>
    <w:p>
      <w:pPr>
        <w:pStyle w:val="117"/>
        <w:spacing w:line="360" w:lineRule="auto"/>
        <w:rPr>
          <w:rFonts w:hint="eastAsia" w:hAnsi="宋体" w:cs="宋体"/>
          <w:color w:val="000000"/>
          <w:sz w:val="24"/>
        </w:rPr>
      </w:pPr>
    </w:p>
    <w:p>
      <w:pPr>
        <w:pStyle w:val="117"/>
        <w:spacing w:line="360" w:lineRule="auto"/>
        <w:ind w:firstLine="480" w:firstLineChars="200"/>
        <w:rPr>
          <w:rFonts w:hint="eastAsia" w:hAnsi="宋体" w:cs="宋体"/>
          <w:color w:val="000000"/>
          <w:sz w:val="24"/>
        </w:rPr>
      </w:pPr>
      <w:r>
        <w:rPr>
          <w:rFonts w:hint="eastAsia" w:hAnsi="宋体" w:cs="宋体"/>
          <w:color w:val="000000"/>
          <w:sz w:val="24"/>
        </w:rPr>
        <w:t>企业名称（盖章）：</w:t>
      </w:r>
    </w:p>
    <w:p>
      <w:pPr>
        <w:pStyle w:val="117"/>
        <w:spacing w:line="360" w:lineRule="auto"/>
        <w:ind w:firstLine="480" w:firstLineChars="200"/>
        <w:rPr>
          <w:rFonts w:hint="eastAsia" w:hAnsi="宋体" w:cs="宋体"/>
          <w:color w:val="000000"/>
          <w:sz w:val="24"/>
        </w:rPr>
      </w:pPr>
    </w:p>
    <w:p>
      <w:pPr>
        <w:pStyle w:val="117"/>
        <w:spacing w:line="360" w:lineRule="auto"/>
        <w:ind w:firstLine="480" w:firstLineChars="200"/>
        <w:rPr>
          <w:rFonts w:hint="eastAsia" w:hAnsi="宋体" w:eastAsia="宋体" w:cs="宋体"/>
          <w:color w:val="000000"/>
          <w:sz w:val="24"/>
          <w:lang w:eastAsia="zh-CN"/>
        </w:rPr>
      </w:pPr>
      <w:r>
        <w:rPr>
          <w:rFonts w:hint="eastAsia" w:hAnsi="宋体" w:cs="宋体"/>
          <w:color w:val="000000"/>
          <w:sz w:val="24"/>
          <w:lang w:eastAsia="zh-CN"/>
        </w:rPr>
        <w:t>日</w:t>
      </w:r>
      <w:r>
        <w:rPr>
          <w:rFonts w:hint="eastAsia" w:hAnsi="宋体" w:cs="宋体"/>
          <w:color w:val="000000"/>
          <w:sz w:val="24"/>
          <w:lang w:val="en-US" w:eastAsia="zh-CN"/>
        </w:rPr>
        <w:t xml:space="preserve">  </w:t>
      </w:r>
      <w:r>
        <w:rPr>
          <w:rFonts w:hint="eastAsia" w:hAnsi="宋体" w:cs="宋体"/>
          <w:color w:val="000000"/>
          <w:sz w:val="24"/>
        </w:rPr>
        <w:t>期</w:t>
      </w:r>
      <w:r>
        <w:rPr>
          <w:rFonts w:hint="eastAsia" w:hAnsi="宋体" w:cs="宋体"/>
          <w:color w:val="000000"/>
          <w:sz w:val="24"/>
          <w:lang w:eastAsia="zh-CN"/>
        </w:rPr>
        <w:t>：</w:t>
      </w:r>
    </w:p>
    <w:p>
      <w:pPr>
        <w:pStyle w:val="117"/>
        <w:spacing w:line="360" w:lineRule="auto"/>
        <w:rPr>
          <w:rFonts w:hAnsi="宋体" w:cs="宋体"/>
          <w:color w:val="000000"/>
          <w:sz w:val="24"/>
        </w:rPr>
      </w:pPr>
    </w:p>
    <w:p>
      <w:pPr>
        <w:pStyle w:val="117"/>
        <w:spacing w:line="360" w:lineRule="auto"/>
        <w:rPr>
          <w:rFonts w:hAnsi="宋体" w:cs="宋体"/>
          <w:color w:val="000000"/>
          <w:sz w:val="24"/>
        </w:rPr>
      </w:pPr>
    </w:p>
    <w:p>
      <w:pPr>
        <w:pStyle w:val="117"/>
        <w:spacing w:line="360" w:lineRule="auto"/>
        <w:rPr>
          <w:rFonts w:hAnsi="宋体" w:cs="宋体"/>
          <w:color w:val="000000"/>
          <w:sz w:val="24"/>
        </w:rPr>
        <w:sectPr>
          <w:footerReference r:id="rId7" w:type="default"/>
          <w:footerReference r:id="rId8" w:type="even"/>
          <w:pgSz w:w="11906" w:h="16838"/>
          <w:pgMar w:top="1247" w:right="1418" w:bottom="1134" w:left="1701" w:header="851" w:footer="992" w:gutter="0"/>
          <w:pgNumType w:start="1"/>
          <w:cols w:space="720" w:num="1"/>
          <w:docGrid w:type="linesAndChars" w:linePitch="312" w:charSpace="0"/>
        </w:sectPr>
      </w:pPr>
    </w:p>
    <w:p>
      <w:pPr>
        <w:spacing w:line="440" w:lineRule="exact"/>
        <w:jc w:val="center"/>
        <w:rPr>
          <w:rFonts w:ascii="宋体" w:hAnsi="宋体"/>
          <w:b/>
          <w:sz w:val="32"/>
          <w:szCs w:val="32"/>
        </w:rPr>
      </w:pPr>
      <w:r>
        <w:rPr>
          <w:rFonts w:hint="eastAsia" w:ascii="宋体" w:hAnsi="宋体"/>
          <w:b/>
          <w:sz w:val="32"/>
          <w:szCs w:val="32"/>
        </w:rPr>
        <w:t>11、开标一览表</w:t>
      </w:r>
    </w:p>
    <w:p>
      <w:pPr>
        <w:snapToGrid w:val="0"/>
        <w:spacing w:before="50" w:after="50" w:line="440" w:lineRule="exact"/>
        <w:ind w:firstLine="420" w:firstLineChars="200"/>
        <w:rPr>
          <w:rFonts w:ascii="宋体" w:hAnsi="宋体"/>
          <w:szCs w:val="21"/>
          <w:u w:val="single"/>
        </w:rPr>
      </w:pPr>
      <w:r>
        <w:rPr>
          <w:rFonts w:hint="eastAsia" w:ascii="宋体" w:hAnsi="宋体"/>
          <w:szCs w:val="21"/>
        </w:rPr>
        <w:t>采购项目编号：</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项目名称：</w:t>
      </w:r>
      <w:r>
        <w:rPr>
          <w:rFonts w:ascii="宋体" w:hAnsi="宋体"/>
          <w:szCs w:val="21"/>
          <w:u w:val="single"/>
        </w:rPr>
        <w:t xml:space="preserve">  </w:t>
      </w:r>
      <w:r>
        <w:rPr>
          <w:rFonts w:hint="eastAsia" w:ascii="宋体" w:hAnsi="宋体"/>
          <w:szCs w:val="21"/>
          <w:u w:val="single"/>
        </w:rPr>
        <w:t xml:space="preserve">                           </w:t>
      </w:r>
    </w:p>
    <w:p>
      <w:pPr>
        <w:snapToGrid w:val="0"/>
        <w:spacing w:before="50" w:after="50" w:line="440" w:lineRule="exact"/>
        <w:ind w:firstLine="420" w:firstLineChars="200"/>
        <w:rPr>
          <w:rFonts w:ascii="宋体" w:hAnsi="宋体"/>
          <w:szCs w:val="21"/>
        </w:rPr>
      </w:pPr>
      <w:r>
        <w:rPr>
          <w:rFonts w:hint="eastAsia" w:ascii="宋体" w:hAnsi="宋体"/>
          <w:szCs w:val="21"/>
        </w:rPr>
        <w:t>投标人名称：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单位：元</w:t>
      </w:r>
    </w:p>
    <w:tbl>
      <w:tblPr>
        <w:tblStyle w:val="41"/>
        <w:tblW w:w="1343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6385"/>
        <w:gridCol w:w="63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b/>
                <w:szCs w:val="21"/>
              </w:rPr>
            </w:pPr>
            <w:r>
              <w:rPr>
                <w:rFonts w:hint="eastAsia" w:ascii="宋体" w:hAnsi="宋体"/>
                <w:b/>
                <w:szCs w:val="21"/>
              </w:rPr>
              <w:t>序号</w:t>
            </w:r>
          </w:p>
        </w:tc>
        <w:tc>
          <w:tcPr>
            <w:tcW w:w="63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b/>
                <w:szCs w:val="21"/>
              </w:rPr>
            </w:pPr>
            <w:r>
              <w:rPr>
                <w:rFonts w:hint="eastAsia" w:ascii="宋体" w:hAnsi="宋体"/>
                <w:b/>
                <w:szCs w:val="21"/>
              </w:rPr>
              <w:t>项目名称</w:t>
            </w:r>
          </w:p>
        </w:tc>
        <w:tc>
          <w:tcPr>
            <w:tcW w:w="63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b/>
                <w:szCs w:val="21"/>
              </w:rPr>
            </w:pPr>
            <w:r>
              <w:rPr>
                <w:rFonts w:hint="eastAsia" w:ascii="宋体" w:hAnsi="宋体"/>
                <w:b/>
                <w:szCs w:val="21"/>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0" w:type="dxa"/>
            <w:vMerge w:val="restart"/>
            <w:tcBorders>
              <w:top w:val="single" w:color="auto" w:sz="4" w:space="0"/>
              <w:left w:val="single" w:color="auto" w:sz="4" w:space="0"/>
              <w:right w:val="single" w:color="auto" w:sz="4" w:space="0"/>
            </w:tcBorders>
            <w:vAlign w:val="center"/>
          </w:tcPr>
          <w:p>
            <w:pPr>
              <w:snapToGrid w:val="0"/>
              <w:spacing w:before="50" w:after="50" w:line="440" w:lineRule="exact"/>
              <w:jc w:val="center"/>
              <w:rPr>
                <w:rFonts w:ascii="宋体" w:hAnsi="宋体"/>
                <w:szCs w:val="21"/>
              </w:rPr>
            </w:pPr>
            <w:r>
              <w:rPr>
                <w:rFonts w:hint="eastAsia" w:ascii="宋体" w:hAnsi="宋体"/>
                <w:szCs w:val="21"/>
              </w:rPr>
              <w:t>1</w:t>
            </w:r>
          </w:p>
        </w:tc>
        <w:tc>
          <w:tcPr>
            <w:tcW w:w="638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kern w:val="0"/>
                <w:szCs w:val="21"/>
                <w:lang w:eastAsia="zh-CN"/>
              </w:rPr>
            </w:pPr>
            <w:r>
              <w:rPr>
                <w:rFonts w:hint="eastAsia" w:ascii="宋体" w:hAnsi="宋体"/>
                <w:b w:val="0"/>
                <w:bCs/>
                <w:color w:val="000000"/>
                <w:sz w:val="21"/>
                <w:szCs w:val="21"/>
                <w:u w:val="none"/>
                <w:lang w:eastAsia="zh-CN"/>
              </w:rPr>
              <w:t>大丰中医院体质辨识仪、四诊仪、经络监测仪采购项目（二次）</w:t>
            </w:r>
          </w:p>
        </w:tc>
        <w:tc>
          <w:tcPr>
            <w:tcW w:w="63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right="-861" w:rightChars="-410"/>
              <w:jc w:val="left"/>
              <w:rPr>
                <w:rFonts w:ascii="宋体" w:hAnsi="宋体"/>
                <w:bCs/>
                <w:szCs w:val="21"/>
              </w:rPr>
            </w:pPr>
            <w:r>
              <w:rPr>
                <w:rFonts w:hint="eastAsia" w:ascii="宋体" w:hAnsi="宋体"/>
                <w:bCs/>
                <w:szCs w:val="21"/>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0" w:type="dxa"/>
            <w:vMerge w:val="continue"/>
            <w:tcBorders>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szCs w:val="21"/>
              </w:rPr>
            </w:pPr>
          </w:p>
        </w:tc>
        <w:tc>
          <w:tcPr>
            <w:tcW w:w="638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3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right="-861" w:rightChars="-410"/>
              <w:jc w:val="left"/>
              <w:rPr>
                <w:rFonts w:ascii="宋体" w:hAnsi="宋体"/>
                <w:bCs/>
                <w:szCs w:val="21"/>
              </w:rPr>
            </w:pPr>
            <w:r>
              <w:rPr>
                <w:rFonts w:hint="eastAsia" w:ascii="宋体" w:hAnsi="宋体"/>
                <w:bCs/>
                <w:szCs w:val="21"/>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10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质保期</w:t>
            </w:r>
          </w:p>
        </w:tc>
        <w:tc>
          <w:tcPr>
            <w:tcW w:w="63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Cs w:val="21"/>
              </w:rPr>
            </w:pPr>
            <w:r>
              <w:rPr>
                <w:rFonts w:hint="eastAsia" w:ascii="宋体" w:hAnsi="宋体"/>
                <w:szCs w:val="21"/>
                <w:u w:val="single"/>
              </w:rPr>
              <w:t xml:space="preserve">    </w:t>
            </w: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10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供货期限</w:t>
            </w:r>
          </w:p>
        </w:tc>
        <w:tc>
          <w:tcPr>
            <w:tcW w:w="63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Cs w:val="21"/>
              </w:rPr>
            </w:pPr>
            <w:r>
              <w:rPr>
                <w:rFonts w:hint="eastAsia" w:ascii="宋体" w:hAnsi="宋体"/>
                <w:szCs w:val="21"/>
              </w:rPr>
              <w:t>合同签订后</w:t>
            </w:r>
            <w:r>
              <w:rPr>
                <w:rFonts w:hint="eastAsia" w:ascii="宋体" w:hAnsi="宋体"/>
                <w:szCs w:val="21"/>
                <w:u w:val="single"/>
              </w:rPr>
              <w:t xml:space="preserve">   </w:t>
            </w:r>
            <w:r>
              <w:rPr>
                <w:rFonts w:hint="eastAsia" w:ascii="宋体" w:hAnsi="宋体"/>
                <w:szCs w:val="21"/>
              </w:rPr>
              <w:t>日历天内安装完毕并通过验收。</w:t>
            </w:r>
          </w:p>
        </w:tc>
      </w:tr>
    </w:tbl>
    <w:p>
      <w:pPr>
        <w:snapToGrid w:val="0"/>
        <w:spacing w:line="440" w:lineRule="exact"/>
        <w:ind w:firstLine="420" w:firstLineChars="200"/>
        <w:jc w:val="left"/>
        <w:rPr>
          <w:rFonts w:ascii="宋体" w:hAnsi="宋体"/>
          <w:szCs w:val="21"/>
        </w:rPr>
      </w:pPr>
      <w:r>
        <w:rPr>
          <w:rFonts w:hint="eastAsia" w:ascii="宋体" w:hAnsi="宋体"/>
          <w:szCs w:val="21"/>
        </w:rPr>
        <w:t>注</w:t>
      </w:r>
      <w:r>
        <w:rPr>
          <w:rFonts w:ascii="宋体" w:hAnsi="宋体"/>
          <w:szCs w:val="21"/>
        </w:rPr>
        <w:t>: 1</w:t>
      </w:r>
      <w:r>
        <w:rPr>
          <w:rFonts w:hint="eastAsia" w:ascii="宋体" w:hAnsi="宋体"/>
          <w:szCs w:val="21"/>
        </w:rPr>
        <w:t>、报价一经涂改，应在涂改处加盖单位公章或者由法定代表人或授权委托人签字或盖章，否则其投标作无效标处理。</w:t>
      </w:r>
    </w:p>
    <w:p>
      <w:pPr>
        <w:snapToGrid w:val="0"/>
        <w:spacing w:line="440" w:lineRule="exact"/>
        <w:ind w:left="479" w:leftChars="228" w:firstLine="315" w:firstLineChars="150"/>
        <w:jc w:val="left"/>
        <w:rPr>
          <w:rFonts w:ascii="宋体" w:hAnsi="宋体"/>
          <w:szCs w:val="21"/>
        </w:rPr>
      </w:pPr>
      <w:r>
        <w:rPr>
          <w:rFonts w:ascii="宋体" w:hAnsi="宋体"/>
          <w:szCs w:val="21"/>
        </w:rPr>
        <w:t>2</w:t>
      </w:r>
      <w:r>
        <w:rPr>
          <w:rFonts w:hint="eastAsia" w:ascii="宋体" w:hAnsi="宋体"/>
          <w:szCs w:val="21"/>
        </w:rPr>
        <w:t>、投标费用包括本项目招标文件规定的一切费用。</w:t>
      </w:r>
    </w:p>
    <w:p>
      <w:pPr>
        <w:snapToGrid w:val="0"/>
        <w:spacing w:line="440" w:lineRule="exact"/>
        <w:ind w:left="479" w:leftChars="228" w:firstLine="315" w:firstLineChars="150"/>
        <w:jc w:val="left"/>
        <w:rPr>
          <w:rFonts w:ascii="宋体" w:hAnsi="宋体"/>
          <w:szCs w:val="21"/>
        </w:rPr>
      </w:pPr>
      <w:r>
        <w:rPr>
          <w:rFonts w:hint="eastAsia" w:ascii="宋体" w:hAnsi="宋体"/>
          <w:szCs w:val="21"/>
        </w:rPr>
        <w:t>3、以上报价应与投标报价汇总表、投标报价明细表中的价格相一致。</w:t>
      </w:r>
    </w:p>
    <w:p>
      <w:pPr>
        <w:snapToGrid w:val="0"/>
        <w:spacing w:line="440" w:lineRule="exact"/>
        <w:ind w:left="479" w:leftChars="228" w:firstLine="315" w:firstLineChars="150"/>
        <w:jc w:val="left"/>
        <w:rPr>
          <w:rFonts w:ascii="宋体" w:hAnsi="宋体"/>
          <w:szCs w:val="21"/>
        </w:rPr>
      </w:pPr>
      <w:r>
        <w:rPr>
          <w:rFonts w:hint="eastAsia" w:ascii="宋体" w:hAnsi="宋体"/>
          <w:szCs w:val="21"/>
        </w:rPr>
        <w:t>4、</w:t>
      </w:r>
      <w:r>
        <w:rPr>
          <w:rFonts w:hint="eastAsia" w:ascii="宋体" w:hAnsi="宋体"/>
          <w:szCs w:val="21"/>
          <w:u w:val="single"/>
        </w:rPr>
        <w:t>此表请单独信封密封，密封袋上请注明招标编号、项目名称、投标人名称及“开标一览表”字样，并加盖投标人公章。</w:t>
      </w:r>
    </w:p>
    <w:p>
      <w:pPr>
        <w:pageBreakBefore w:val="0"/>
        <w:widowControl w:val="0"/>
        <w:kinsoku/>
        <w:wordWrap/>
        <w:overflowPunct/>
        <w:topLinePunct w:val="0"/>
        <w:autoSpaceDE/>
        <w:autoSpaceDN/>
        <w:bidi w:val="0"/>
        <w:adjustRightInd/>
        <w:snapToGrid w:val="0"/>
        <w:spacing w:line="440" w:lineRule="exact"/>
        <w:ind w:firstLine="840" w:firstLineChars="400"/>
        <w:jc w:val="left"/>
        <w:textAlignment w:val="auto"/>
        <w:rPr>
          <w:rFonts w:hint="eastAsia" w:ascii="宋体" w:hAnsi="宋体" w:cs="Times New Roman"/>
          <w:szCs w:val="21"/>
          <w:lang w:val="en-US" w:eastAsia="zh-CN"/>
        </w:rPr>
      </w:pPr>
      <w:r>
        <w:rPr>
          <w:rFonts w:hint="eastAsia" w:ascii="宋体" w:hAnsi="宋体"/>
          <w:szCs w:val="21"/>
          <w:lang w:val="en-US" w:eastAsia="zh-CN"/>
        </w:rPr>
        <w:t>5、</w:t>
      </w:r>
      <w:r>
        <w:rPr>
          <w:rFonts w:hint="eastAsia" w:ascii="宋体" w:hAnsi="宋体" w:cs="Times New Roman"/>
          <w:szCs w:val="21"/>
          <w:lang w:val="en-US" w:eastAsia="zh-CN"/>
        </w:rPr>
        <w:t>开标一览表未单独封装的，按无效标书处理。</w:t>
      </w:r>
    </w:p>
    <w:p>
      <w:pPr>
        <w:snapToGrid w:val="0"/>
        <w:spacing w:line="440" w:lineRule="exact"/>
        <w:ind w:left="-2" w:leftChars="-1" w:right="-817" w:rightChars="-389" w:firstLine="420" w:firstLineChars="200"/>
        <w:rPr>
          <w:rFonts w:hint="eastAsia" w:ascii="宋体" w:hAnsi="宋体" w:eastAsia="宋体"/>
          <w:szCs w:val="21"/>
          <w:lang w:val="en-US" w:eastAsia="zh-CN"/>
        </w:rPr>
      </w:pPr>
    </w:p>
    <w:p>
      <w:pPr>
        <w:snapToGrid w:val="0"/>
        <w:spacing w:line="440" w:lineRule="exact"/>
        <w:ind w:left="-2" w:leftChars="-1" w:right="-817" w:rightChars="-389" w:firstLine="420" w:firstLineChars="200"/>
        <w:rPr>
          <w:rFonts w:ascii="宋体" w:hAnsi="宋体"/>
          <w:szCs w:val="21"/>
        </w:rPr>
      </w:pPr>
      <w:r>
        <w:rPr>
          <w:rFonts w:hint="eastAsia" w:ascii="宋体" w:hAnsi="宋体"/>
          <w:szCs w:val="21"/>
        </w:rPr>
        <w:t>投标人名称（盖章）：</w:t>
      </w:r>
      <w:r>
        <w:rPr>
          <w:rFonts w:ascii="宋体" w:hAnsi="宋体"/>
          <w:szCs w:val="21"/>
        </w:rPr>
        <w:t xml:space="preserve"> </w:t>
      </w:r>
      <w:r>
        <w:rPr>
          <w:rFonts w:ascii="宋体" w:hAnsi="宋体"/>
          <w:szCs w:val="21"/>
          <w:u w:val="single"/>
        </w:rPr>
        <w:t xml:space="preserve">                        </w:t>
      </w:r>
      <w:r>
        <w:rPr>
          <w:rFonts w:hint="eastAsia" w:ascii="宋体" w:hAnsi="宋体"/>
          <w:szCs w:val="21"/>
        </w:rPr>
        <w:t xml:space="preserve">              </w:t>
      </w:r>
      <w:r>
        <w:rPr>
          <w:rFonts w:ascii="宋体" w:hAnsi="宋体"/>
          <w:szCs w:val="21"/>
        </w:rPr>
        <w:t xml:space="preserve">        </w:t>
      </w:r>
    </w:p>
    <w:p>
      <w:pPr>
        <w:snapToGrid w:val="0"/>
        <w:spacing w:line="440" w:lineRule="exact"/>
        <w:ind w:left="-2" w:leftChars="-1" w:right="-817" w:rightChars="-389" w:firstLine="420" w:firstLineChars="200"/>
        <w:rPr>
          <w:rFonts w:ascii="宋体" w:hAnsi="宋体"/>
          <w:szCs w:val="21"/>
        </w:rPr>
      </w:pPr>
      <w:r>
        <w:rPr>
          <w:rFonts w:hint="eastAsia" w:ascii="宋体" w:hAnsi="宋体"/>
          <w:szCs w:val="21"/>
        </w:rPr>
        <w:t xml:space="preserve">法定代表人（签字或盖章）： </w:t>
      </w:r>
      <w:r>
        <w:rPr>
          <w:rFonts w:ascii="宋体" w:hAnsi="宋体"/>
          <w:szCs w:val="21"/>
          <w:u w:val="single"/>
        </w:rPr>
        <w:t xml:space="preserve">            </w:t>
      </w:r>
      <w:r>
        <w:rPr>
          <w:rFonts w:hint="eastAsia" w:ascii="宋体" w:hAnsi="宋体"/>
          <w:szCs w:val="21"/>
        </w:rPr>
        <w:t xml:space="preserve">  </w:t>
      </w:r>
    </w:p>
    <w:p>
      <w:pPr>
        <w:snapToGrid w:val="0"/>
        <w:spacing w:line="440" w:lineRule="exact"/>
        <w:ind w:left="-2" w:leftChars="-1" w:right="-817" w:rightChars="-389" w:firstLine="420" w:firstLineChars="200"/>
        <w:rPr>
          <w:rFonts w:ascii="宋体" w:hAnsi="宋体"/>
          <w:szCs w:val="21"/>
          <w:u w:val="single"/>
        </w:rPr>
      </w:pPr>
      <w:r>
        <w:rPr>
          <w:rFonts w:hint="eastAsia" w:ascii="宋体" w:hAnsi="宋体"/>
          <w:szCs w:val="21"/>
        </w:rPr>
        <w:t xml:space="preserve">授权委托代理人（签字或盖章）： </w:t>
      </w:r>
      <w:r>
        <w:rPr>
          <w:rFonts w:ascii="宋体" w:hAnsi="宋体"/>
          <w:szCs w:val="21"/>
          <w:u w:val="single"/>
        </w:rPr>
        <w:t xml:space="preserve">            </w:t>
      </w:r>
      <w:r>
        <w:rPr>
          <w:rFonts w:hint="eastAsia" w:ascii="宋体" w:hAnsi="宋体"/>
          <w:szCs w:val="21"/>
        </w:rPr>
        <w:t xml:space="preserve"> （如有授权）                             日期：</w:t>
      </w:r>
      <w:r>
        <w:rPr>
          <w:rFonts w:ascii="宋体" w:hAnsi="宋体"/>
          <w:szCs w:val="21"/>
          <w:u w:val="single"/>
        </w:rPr>
        <w:t xml:space="preserve">    </w:t>
      </w:r>
      <w:r>
        <w:rPr>
          <w:rFonts w:hint="eastAsia" w:ascii="宋体" w:hAnsi="宋体"/>
          <w:szCs w:val="21"/>
          <w:u w:val="single"/>
        </w:rPr>
        <w:t>年</w:t>
      </w:r>
      <w:r>
        <w:rPr>
          <w:rFonts w:ascii="宋体" w:hAnsi="宋体"/>
          <w:szCs w:val="21"/>
          <w:u w:val="single"/>
        </w:rPr>
        <w:t xml:space="preserve">   </w:t>
      </w:r>
      <w:r>
        <w:rPr>
          <w:rFonts w:hint="eastAsia" w:ascii="宋体" w:hAnsi="宋体"/>
          <w:szCs w:val="21"/>
          <w:u w:val="single"/>
        </w:rPr>
        <w:t>月</w:t>
      </w:r>
      <w:r>
        <w:rPr>
          <w:rFonts w:ascii="宋体" w:hAnsi="宋体"/>
          <w:szCs w:val="21"/>
          <w:u w:val="single"/>
        </w:rPr>
        <w:t xml:space="preserve">   </w:t>
      </w:r>
      <w:r>
        <w:rPr>
          <w:rFonts w:hint="eastAsia" w:ascii="宋体" w:hAnsi="宋体"/>
          <w:szCs w:val="21"/>
          <w:u w:val="single"/>
        </w:rPr>
        <w:t>日</w:t>
      </w:r>
    </w:p>
    <w:p>
      <w:pPr>
        <w:snapToGrid w:val="0"/>
        <w:spacing w:before="50" w:after="50" w:line="440" w:lineRule="exact"/>
        <w:ind w:left="-20" w:leftChars="-72" w:right="-817" w:rightChars="-389" w:hanging="131" w:hangingChars="62"/>
        <w:rPr>
          <w:rFonts w:ascii="宋体" w:hAnsi="宋体"/>
          <w:b/>
          <w:szCs w:val="21"/>
        </w:rPr>
      </w:pPr>
      <w:r>
        <w:rPr>
          <w:rFonts w:hint="eastAsia" w:ascii="宋体" w:hAnsi="宋体"/>
          <w:b/>
          <w:szCs w:val="21"/>
        </w:rPr>
        <w:t>需附：法定代表人身份证明书或授权委托代理人身份证复印件及授权委托书原件</w:t>
      </w:r>
    </w:p>
    <w:sectPr>
      <w:pgSz w:w="16838" w:h="11906" w:orient="landscape"/>
      <w:pgMar w:top="1701" w:right="1247"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font-weight : 400">
    <w:altName w:val="hakuyoxingshu7000"/>
    <w:panose1 w:val="00000000000000000000"/>
    <w:charset w:val="00"/>
    <w:family w:val="auto"/>
    <w:pitch w:val="default"/>
    <w:sig w:usb0="00000000" w:usb1="00000000" w:usb2="00000000" w:usb3="00000000" w:csb0="00040001" w:csb1="00000000"/>
  </w:font>
  <w:font w:name="font-weight : 700">
    <w:altName w:val="hakuyoxingshu7000"/>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Impact">
    <w:panose1 w:val="020B080603090205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华文细黑">
    <w:altName w:val="宋体"/>
    <w:panose1 w:val="02010600040101010101"/>
    <w:charset w:val="86"/>
    <w:family w:val="auto"/>
    <w:pitch w:val="default"/>
    <w:sig w:usb0="00000000" w:usb1="00000000" w:usb2="00000010" w:usb3="00000000" w:csb0="0004009F" w:csb1="00000000"/>
  </w:font>
  <w:font w:name="Arial Unicode MS">
    <w:altName w:val="Arial"/>
    <w:panose1 w:val="020B0604020202020204"/>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separate"/>
    </w:r>
    <w:r>
      <w:rPr>
        <w:rStyle w:val="45"/>
      </w:rPr>
      <w:t>25</w: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3074" o:spid="_x0000_s3074"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1.2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36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separate"/>
    </w:r>
    <w:r>
      <w:rPr>
        <w:rStyle w:val="45"/>
      </w:rPr>
      <w:t>25</w:t>
    </w:r>
    <w: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3B5D"/>
    <w:rsid w:val="00004FD2"/>
    <w:rsid w:val="0001516D"/>
    <w:rsid w:val="00017CFF"/>
    <w:rsid w:val="000218AB"/>
    <w:rsid w:val="000228CD"/>
    <w:rsid w:val="00022DF9"/>
    <w:rsid w:val="00026B2B"/>
    <w:rsid w:val="00026D0C"/>
    <w:rsid w:val="00035661"/>
    <w:rsid w:val="00035F52"/>
    <w:rsid w:val="000458B7"/>
    <w:rsid w:val="000503D1"/>
    <w:rsid w:val="0005448E"/>
    <w:rsid w:val="00057B7A"/>
    <w:rsid w:val="00065FDE"/>
    <w:rsid w:val="0007232A"/>
    <w:rsid w:val="000815E4"/>
    <w:rsid w:val="00081B9D"/>
    <w:rsid w:val="0008426D"/>
    <w:rsid w:val="00084762"/>
    <w:rsid w:val="000850E9"/>
    <w:rsid w:val="00087836"/>
    <w:rsid w:val="00091771"/>
    <w:rsid w:val="00092A74"/>
    <w:rsid w:val="000953BD"/>
    <w:rsid w:val="00097686"/>
    <w:rsid w:val="000A2035"/>
    <w:rsid w:val="000A6AD1"/>
    <w:rsid w:val="000B4828"/>
    <w:rsid w:val="000C0E9B"/>
    <w:rsid w:val="000C6033"/>
    <w:rsid w:val="000C6396"/>
    <w:rsid w:val="000D1538"/>
    <w:rsid w:val="000D6FD2"/>
    <w:rsid w:val="000E3654"/>
    <w:rsid w:val="000E4830"/>
    <w:rsid w:val="000E6B15"/>
    <w:rsid w:val="000E7DD8"/>
    <w:rsid w:val="000F3A20"/>
    <w:rsid w:val="000F54D6"/>
    <w:rsid w:val="000F5553"/>
    <w:rsid w:val="000F5FE7"/>
    <w:rsid w:val="000F60D3"/>
    <w:rsid w:val="001050EB"/>
    <w:rsid w:val="001066F6"/>
    <w:rsid w:val="00107A5D"/>
    <w:rsid w:val="00111371"/>
    <w:rsid w:val="00114741"/>
    <w:rsid w:val="001167C7"/>
    <w:rsid w:val="00116C40"/>
    <w:rsid w:val="0012726A"/>
    <w:rsid w:val="00127C83"/>
    <w:rsid w:val="001363C3"/>
    <w:rsid w:val="0013786B"/>
    <w:rsid w:val="00147B6C"/>
    <w:rsid w:val="00147C37"/>
    <w:rsid w:val="00160EB2"/>
    <w:rsid w:val="0016548D"/>
    <w:rsid w:val="001655DF"/>
    <w:rsid w:val="00167D24"/>
    <w:rsid w:val="0017024E"/>
    <w:rsid w:val="0017144B"/>
    <w:rsid w:val="001718FF"/>
    <w:rsid w:val="00172A27"/>
    <w:rsid w:val="00175994"/>
    <w:rsid w:val="00177A2E"/>
    <w:rsid w:val="001810A8"/>
    <w:rsid w:val="00184892"/>
    <w:rsid w:val="001855A0"/>
    <w:rsid w:val="00185CF1"/>
    <w:rsid w:val="00193ADB"/>
    <w:rsid w:val="001A052D"/>
    <w:rsid w:val="001A2A7E"/>
    <w:rsid w:val="001A6236"/>
    <w:rsid w:val="001A7BB6"/>
    <w:rsid w:val="001B632F"/>
    <w:rsid w:val="001C4306"/>
    <w:rsid w:val="001C7684"/>
    <w:rsid w:val="001D2121"/>
    <w:rsid w:val="001D21A4"/>
    <w:rsid w:val="001D6F90"/>
    <w:rsid w:val="001E2497"/>
    <w:rsid w:val="001E25FF"/>
    <w:rsid w:val="001E5D34"/>
    <w:rsid w:val="001E6116"/>
    <w:rsid w:val="001E61EE"/>
    <w:rsid w:val="001E6E3B"/>
    <w:rsid w:val="001F0421"/>
    <w:rsid w:val="001F0AEB"/>
    <w:rsid w:val="00201933"/>
    <w:rsid w:val="00201FCB"/>
    <w:rsid w:val="00211677"/>
    <w:rsid w:val="00211E26"/>
    <w:rsid w:val="0022281C"/>
    <w:rsid w:val="00226D4B"/>
    <w:rsid w:val="00226D73"/>
    <w:rsid w:val="002271EA"/>
    <w:rsid w:val="0023025D"/>
    <w:rsid w:val="002341EC"/>
    <w:rsid w:val="002374D6"/>
    <w:rsid w:val="00243856"/>
    <w:rsid w:val="002452F1"/>
    <w:rsid w:val="0024632E"/>
    <w:rsid w:val="002467C8"/>
    <w:rsid w:val="00250D02"/>
    <w:rsid w:val="00251E62"/>
    <w:rsid w:val="002520FB"/>
    <w:rsid w:val="00253308"/>
    <w:rsid w:val="00257E3E"/>
    <w:rsid w:val="0026007E"/>
    <w:rsid w:val="00260AD5"/>
    <w:rsid w:val="002625A6"/>
    <w:rsid w:val="00262F03"/>
    <w:rsid w:val="00266BC4"/>
    <w:rsid w:val="0026712C"/>
    <w:rsid w:val="00270E4B"/>
    <w:rsid w:val="002723F2"/>
    <w:rsid w:val="00276D49"/>
    <w:rsid w:val="0028138F"/>
    <w:rsid w:val="002819B0"/>
    <w:rsid w:val="00283A00"/>
    <w:rsid w:val="00283D48"/>
    <w:rsid w:val="00293DC3"/>
    <w:rsid w:val="00295B8F"/>
    <w:rsid w:val="00296BD6"/>
    <w:rsid w:val="002A5ABE"/>
    <w:rsid w:val="002A5EF0"/>
    <w:rsid w:val="002B1C86"/>
    <w:rsid w:val="002B6E8C"/>
    <w:rsid w:val="002D2821"/>
    <w:rsid w:val="002D3356"/>
    <w:rsid w:val="002E0C66"/>
    <w:rsid w:val="002E3C57"/>
    <w:rsid w:val="002E3D5C"/>
    <w:rsid w:val="002F0886"/>
    <w:rsid w:val="002F61A5"/>
    <w:rsid w:val="003069FB"/>
    <w:rsid w:val="00307277"/>
    <w:rsid w:val="00307C80"/>
    <w:rsid w:val="003131D6"/>
    <w:rsid w:val="00313410"/>
    <w:rsid w:val="00314355"/>
    <w:rsid w:val="0032372E"/>
    <w:rsid w:val="00325AF5"/>
    <w:rsid w:val="00325F0E"/>
    <w:rsid w:val="0033160F"/>
    <w:rsid w:val="0033161F"/>
    <w:rsid w:val="0033231C"/>
    <w:rsid w:val="00335205"/>
    <w:rsid w:val="00335B47"/>
    <w:rsid w:val="003437CA"/>
    <w:rsid w:val="003446B3"/>
    <w:rsid w:val="00345297"/>
    <w:rsid w:val="0035048B"/>
    <w:rsid w:val="00355514"/>
    <w:rsid w:val="00355C5D"/>
    <w:rsid w:val="003563C7"/>
    <w:rsid w:val="00362482"/>
    <w:rsid w:val="003624C3"/>
    <w:rsid w:val="0036418C"/>
    <w:rsid w:val="00364D9B"/>
    <w:rsid w:val="00365B86"/>
    <w:rsid w:val="0037043A"/>
    <w:rsid w:val="0037325F"/>
    <w:rsid w:val="00375D46"/>
    <w:rsid w:val="00380EA0"/>
    <w:rsid w:val="00381C4E"/>
    <w:rsid w:val="00381CB6"/>
    <w:rsid w:val="00385BB8"/>
    <w:rsid w:val="003A2CC4"/>
    <w:rsid w:val="003B4149"/>
    <w:rsid w:val="003B4A71"/>
    <w:rsid w:val="003B6A91"/>
    <w:rsid w:val="003B72B8"/>
    <w:rsid w:val="003B7566"/>
    <w:rsid w:val="003C103F"/>
    <w:rsid w:val="003C27C4"/>
    <w:rsid w:val="003C3091"/>
    <w:rsid w:val="003D240C"/>
    <w:rsid w:val="003E27A4"/>
    <w:rsid w:val="003E2F6E"/>
    <w:rsid w:val="003E43EB"/>
    <w:rsid w:val="003E46CA"/>
    <w:rsid w:val="003E7C20"/>
    <w:rsid w:val="003F073B"/>
    <w:rsid w:val="003F15DD"/>
    <w:rsid w:val="003F536E"/>
    <w:rsid w:val="003F5F12"/>
    <w:rsid w:val="004001ED"/>
    <w:rsid w:val="0040403C"/>
    <w:rsid w:val="00405C69"/>
    <w:rsid w:val="004129BA"/>
    <w:rsid w:val="00412F37"/>
    <w:rsid w:val="004204A9"/>
    <w:rsid w:val="00423A58"/>
    <w:rsid w:val="004249A8"/>
    <w:rsid w:val="00431468"/>
    <w:rsid w:val="00433456"/>
    <w:rsid w:val="00436E54"/>
    <w:rsid w:val="00445180"/>
    <w:rsid w:val="00445B3B"/>
    <w:rsid w:val="00447359"/>
    <w:rsid w:val="00451462"/>
    <w:rsid w:val="00452FA5"/>
    <w:rsid w:val="00460E96"/>
    <w:rsid w:val="0046367B"/>
    <w:rsid w:val="00464867"/>
    <w:rsid w:val="00467968"/>
    <w:rsid w:val="00467EE4"/>
    <w:rsid w:val="00470992"/>
    <w:rsid w:val="00470CF1"/>
    <w:rsid w:val="00474345"/>
    <w:rsid w:val="00477D81"/>
    <w:rsid w:val="0048019B"/>
    <w:rsid w:val="004801C4"/>
    <w:rsid w:val="00481623"/>
    <w:rsid w:val="00481A65"/>
    <w:rsid w:val="0049076F"/>
    <w:rsid w:val="00494D4F"/>
    <w:rsid w:val="00495C05"/>
    <w:rsid w:val="004A004B"/>
    <w:rsid w:val="004A03B1"/>
    <w:rsid w:val="004A0DAD"/>
    <w:rsid w:val="004A2FB9"/>
    <w:rsid w:val="004A3D0C"/>
    <w:rsid w:val="004B0392"/>
    <w:rsid w:val="004B38B9"/>
    <w:rsid w:val="004B58DE"/>
    <w:rsid w:val="004B6972"/>
    <w:rsid w:val="004C094C"/>
    <w:rsid w:val="004C1AF5"/>
    <w:rsid w:val="004C264F"/>
    <w:rsid w:val="004C3A87"/>
    <w:rsid w:val="004C6614"/>
    <w:rsid w:val="004D0F22"/>
    <w:rsid w:val="004D6AE6"/>
    <w:rsid w:val="004E0ABD"/>
    <w:rsid w:val="004E5BFC"/>
    <w:rsid w:val="004F0092"/>
    <w:rsid w:val="00501107"/>
    <w:rsid w:val="00501692"/>
    <w:rsid w:val="005018F6"/>
    <w:rsid w:val="00504AD2"/>
    <w:rsid w:val="005050CA"/>
    <w:rsid w:val="0050781A"/>
    <w:rsid w:val="00510905"/>
    <w:rsid w:val="00514E7A"/>
    <w:rsid w:val="005174FE"/>
    <w:rsid w:val="00526A78"/>
    <w:rsid w:val="00537C21"/>
    <w:rsid w:val="005418F9"/>
    <w:rsid w:val="00542200"/>
    <w:rsid w:val="005466C6"/>
    <w:rsid w:val="005473B4"/>
    <w:rsid w:val="00557085"/>
    <w:rsid w:val="00557C4A"/>
    <w:rsid w:val="00561F97"/>
    <w:rsid w:val="00562099"/>
    <w:rsid w:val="00562908"/>
    <w:rsid w:val="0056708A"/>
    <w:rsid w:val="00567A66"/>
    <w:rsid w:val="00574B49"/>
    <w:rsid w:val="00582907"/>
    <w:rsid w:val="0058671A"/>
    <w:rsid w:val="00587EA3"/>
    <w:rsid w:val="005955F6"/>
    <w:rsid w:val="00596CFD"/>
    <w:rsid w:val="005970A4"/>
    <w:rsid w:val="005A044D"/>
    <w:rsid w:val="005A2158"/>
    <w:rsid w:val="005A3D87"/>
    <w:rsid w:val="005B018F"/>
    <w:rsid w:val="005B2E4C"/>
    <w:rsid w:val="005B657E"/>
    <w:rsid w:val="005B669C"/>
    <w:rsid w:val="005B7205"/>
    <w:rsid w:val="005C55F1"/>
    <w:rsid w:val="005C6512"/>
    <w:rsid w:val="005D6FA2"/>
    <w:rsid w:val="005D7B30"/>
    <w:rsid w:val="005E0594"/>
    <w:rsid w:val="005E4450"/>
    <w:rsid w:val="005E6E9F"/>
    <w:rsid w:val="005E7D85"/>
    <w:rsid w:val="005F1592"/>
    <w:rsid w:val="005F2D07"/>
    <w:rsid w:val="005F2DF4"/>
    <w:rsid w:val="006057A5"/>
    <w:rsid w:val="00605EEE"/>
    <w:rsid w:val="006136F7"/>
    <w:rsid w:val="00613BAA"/>
    <w:rsid w:val="006164A4"/>
    <w:rsid w:val="00617B22"/>
    <w:rsid w:val="00620B28"/>
    <w:rsid w:val="00621902"/>
    <w:rsid w:val="0062548F"/>
    <w:rsid w:val="00625C05"/>
    <w:rsid w:val="0064374C"/>
    <w:rsid w:val="00645BA6"/>
    <w:rsid w:val="00645F11"/>
    <w:rsid w:val="006472B5"/>
    <w:rsid w:val="006473FB"/>
    <w:rsid w:val="00651E26"/>
    <w:rsid w:val="0066197C"/>
    <w:rsid w:val="006661E3"/>
    <w:rsid w:val="00670787"/>
    <w:rsid w:val="00671574"/>
    <w:rsid w:val="006734A2"/>
    <w:rsid w:val="00674696"/>
    <w:rsid w:val="006751BE"/>
    <w:rsid w:val="00680089"/>
    <w:rsid w:val="00680819"/>
    <w:rsid w:val="00680DAE"/>
    <w:rsid w:val="00682CF4"/>
    <w:rsid w:val="00690FE4"/>
    <w:rsid w:val="006A0FDC"/>
    <w:rsid w:val="006A7DE5"/>
    <w:rsid w:val="006B0C66"/>
    <w:rsid w:val="006B1B38"/>
    <w:rsid w:val="006B36BE"/>
    <w:rsid w:val="006B4C9F"/>
    <w:rsid w:val="006B5442"/>
    <w:rsid w:val="006B61E1"/>
    <w:rsid w:val="006B7DC5"/>
    <w:rsid w:val="006B7FE7"/>
    <w:rsid w:val="006C013F"/>
    <w:rsid w:val="006C124A"/>
    <w:rsid w:val="006C4F65"/>
    <w:rsid w:val="006C5DEF"/>
    <w:rsid w:val="006D2940"/>
    <w:rsid w:val="006D68F2"/>
    <w:rsid w:val="006D6A46"/>
    <w:rsid w:val="006D725F"/>
    <w:rsid w:val="006E037B"/>
    <w:rsid w:val="006E0935"/>
    <w:rsid w:val="006E1537"/>
    <w:rsid w:val="006E4454"/>
    <w:rsid w:val="006E6A2B"/>
    <w:rsid w:val="006E7543"/>
    <w:rsid w:val="006F35D2"/>
    <w:rsid w:val="006F381A"/>
    <w:rsid w:val="006F56E3"/>
    <w:rsid w:val="007009F3"/>
    <w:rsid w:val="007017D8"/>
    <w:rsid w:val="007077A7"/>
    <w:rsid w:val="007077B5"/>
    <w:rsid w:val="00707EE9"/>
    <w:rsid w:val="0071564B"/>
    <w:rsid w:val="00715D1F"/>
    <w:rsid w:val="007200CA"/>
    <w:rsid w:val="0072455A"/>
    <w:rsid w:val="0072569E"/>
    <w:rsid w:val="0072623C"/>
    <w:rsid w:val="00726CA6"/>
    <w:rsid w:val="007304FE"/>
    <w:rsid w:val="00740FB1"/>
    <w:rsid w:val="00742A33"/>
    <w:rsid w:val="00743891"/>
    <w:rsid w:val="00744601"/>
    <w:rsid w:val="00746812"/>
    <w:rsid w:val="00755B1D"/>
    <w:rsid w:val="00764F59"/>
    <w:rsid w:val="00770A4A"/>
    <w:rsid w:val="00770DC1"/>
    <w:rsid w:val="007748F1"/>
    <w:rsid w:val="0077588A"/>
    <w:rsid w:val="00776FE8"/>
    <w:rsid w:val="00780691"/>
    <w:rsid w:val="0078134D"/>
    <w:rsid w:val="00782962"/>
    <w:rsid w:val="007850E6"/>
    <w:rsid w:val="007864CE"/>
    <w:rsid w:val="007870B2"/>
    <w:rsid w:val="00791963"/>
    <w:rsid w:val="007A0118"/>
    <w:rsid w:val="007A2763"/>
    <w:rsid w:val="007A39FD"/>
    <w:rsid w:val="007A48E6"/>
    <w:rsid w:val="007A4B1E"/>
    <w:rsid w:val="007B46AC"/>
    <w:rsid w:val="007C0EE3"/>
    <w:rsid w:val="007C2FC9"/>
    <w:rsid w:val="007C3224"/>
    <w:rsid w:val="007C6D1F"/>
    <w:rsid w:val="007D0661"/>
    <w:rsid w:val="007D22B6"/>
    <w:rsid w:val="007D23FF"/>
    <w:rsid w:val="007D2739"/>
    <w:rsid w:val="007D2907"/>
    <w:rsid w:val="007D3A3C"/>
    <w:rsid w:val="007D5831"/>
    <w:rsid w:val="007D6328"/>
    <w:rsid w:val="007D7670"/>
    <w:rsid w:val="007E521E"/>
    <w:rsid w:val="007E56CF"/>
    <w:rsid w:val="007E68EB"/>
    <w:rsid w:val="007E74D4"/>
    <w:rsid w:val="007E7E55"/>
    <w:rsid w:val="007F36F0"/>
    <w:rsid w:val="007F4BBA"/>
    <w:rsid w:val="007F7798"/>
    <w:rsid w:val="00801586"/>
    <w:rsid w:val="008047E7"/>
    <w:rsid w:val="00804D8A"/>
    <w:rsid w:val="008105C6"/>
    <w:rsid w:val="008107C1"/>
    <w:rsid w:val="00813A03"/>
    <w:rsid w:val="00813DDC"/>
    <w:rsid w:val="008156CA"/>
    <w:rsid w:val="00825A64"/>
    <w:rsid w:val="00830620"/>
    <w:rsid w:val="00831637"/>
    <w:rsid w:val="00837658"/>
    <w:rsid w:val="00837A1B"/>
    <w:rsid w:val="008402E9"/>
    <w:rsid w:val="008410B2"/>
    <w:rsid w:val="00841C10"/>
    <w:rsid w:val="00841F7D"/>
    <w:rsid w:val="008448BD"/>
    <w:rsid w:val="00846071"/>
    <w:rsid w:val="00846AC1"/>
    <w:rsid w:val="0084797D"/>
    <w:rsid w:val="00852780"/>
    <w:rsid w:val="00864B51"/>
    <w:rsid w:val="008700EA"/>
    <w:rsid w:val="00874692"/>
    <w:rsid w:val="00875028"/>
    <w:rsid w:val="008757C5"/>
    <w:rsid w:val="008765AF"/>
    <w:rsid w:val="008767BE"/>
    <w:rsid w:val="00887223"/>
    <w:rsid w:val="0089311A"/>
    <w:rsid w:val="00894C86"/>
    <w:rsid w:val="00895ADB"/>
    <w:rsid w:val="008A69B5"/>
    <w:rsid w:val="008B4644"/>
    <w:rsid w:val="008B4E3F"/>
    <w:rsid w:val="008C0601"/>
    <w:rsid w:val="008C0AEB"/>
    <w:rsid w:val="008C1E62"/>
    <w:rsid w:val="008C4DA7"/>
    <w:rsid w:val="008C7CC5"/>
    <w:rsid w:val="008D369F"/>
    <w:rsid w:val="008E77D8"/>
    <w:rsid w:val="008E7970"/>
    <w:rsid w:val="008F2228"/>
    <w:rsid w:val="008F2A8E"/>
    <w:rsid w:val="008F3283"/>
    <w:rsid w:val="008F33E9"/>
    <w:rsid w:val="008F3632"/>
    <w:rsid w:val="009014B3"/>
    <w:rsid w:val="00904615"/>
    <w:rsid w:val="00906429"/>
    <w:rsid w:val="00912374"/>
    <w:rsid w:val="00913066"/>
    <w:rsid w:val="00914E62"/>
    <w:rsid w:val="00922331"/>
    <w:rsid w:val="009238AD"/>
    <w:rsid w:val="00924347"/>
    <w:rsid w:val="0092458D"/>
    <w:rsid w:val="009268AC"/>
    <w:rsid w:val="00931830"/>
    <w:rsid w:val="0093244A"/>
    <w:rsid w:val="009354AE"/>
    <w:rsid w:val="009365E8"/>
    <w:rsid w:val="009379D4"/>
    <w:rsid w:val="009425B0"/>
    <w:rsid w:val="00944FB1"/>
    <w:rsid w:val="00953624"/>
    <w:rsid w:val="00953AC0"/>
    <w:rsid w:val="00955F0F"/>
    <w:rsid w:val="00956BC5"/>
    <w:rsid w:val="0096031E"/>
    <w:rsid w:val="00960976"/>
    <w:rsid w:val="00964FF5"/>
    <w:rsid w:val="0097046C"/>
    <w:rsid w:val="00970C27"/>
    <w:rsid w:val="00970FFC"/>
    <w:rsid w:val="00974666"/>
    <w:rsid w:val="0097537E"/>
    <w:rsid w:val="00985756"/>
    <w:rsid w:val="009872F3"/>
    <w:rsid w:val="0099008D"/>
    <w:rsid w:val="00993A8C"/>
    <w:rsid w:val="00995589"/>
    <w:rsid w:val="00995B9B"/>
    <w:rsid w:val="00996930"/>
    <w:rsid w:val="009A04ED"/>
    <w:rsid w:val="009A497E"/>
    <w:rsid w:val="009A4E7C"/>
    <w:rsid w:val="009A53E1"/>
    <w:rsid w:val="009A6A32"/>
    <w:rsid w:val="009B01D0"/>
    <w:rsid w:val="009B2CF4"/>
    <w:rsid w:val="009B50C7"/>
    <w:rsid w:val="009B5269"/>
    <w:rsid w:val="009B6295"/>
    <w:rsid w:val="009C5AA4"/>
    <w:rsid w:val="009C6409"/>
    <w:rsid w:val="009C7071"/>
    <w:rsid w:val="009D0C67"/>
    <w:rsid w:val="009D41C6"/>
    <w:rsid w:val="009D48AD"/>
    <w:rsid w:val="009D51B3"/>
    <w:rsid w:val="009E1B92"/>
    <w:rsid w:val="009E75AD"/>
    <w:rsid w:val="009F0E61"/>
    <w:rsid w:val="009F3293"/>
    <w:rsid w:val="00A05C6C"/>
    <w:rsid w:val="00A10741"/>
    <w:rsid w:val="00A167F8"/>
    <w:rsid w:val="00A20D1C"/>
    <w:rsid w:val="00A219CE"/>
    <w:rsid w:val="00A225E4"/>
    <w:rsid w:val="00A25234"/>
    <w:rsid w:val="00A317D9"/>
    <w:rsid w:val="00A33876"/>
    <w:rsid w:val="00A344E1"/>
    <w:rsid w:val="00A358C5"/>
    <w:rsid w:val="00A42186"/>
    <w:rsid w:val="00A4245B"/>
    <w:rsid w:val="00A44F46"/>
    <w:rsid w:val="00A4766C"/>
    <w:rsid w:val="00A51EB6"/>
    <w:rsid w:val="00A546AA"/>
    <w:rsid w:val="00A54AB3"/>
    <w:rsid w:val="00A5759B"/>
    <w:rsid w:val="00A57E9D"/>
    <w:rsid w:val="00A62A2D"/>
    <w:rsid w:val="00A64EB5"/>
    <w:rsid w:val="00A66445"/>
    <w:rsid w:val="00A67790"/>
    <w:rsid w:val="00A717FE"/>
    <w:rsid w:val="00A77056"/>
    <w:rsid w:val="00A84432"/>
    <w:rsid w:val="00A84DDD"/>
    <w:rsid w:val="00A86C78"/>
    <w:rsid w:val="00A90E56"/>
    <w:rsid w:val="00A93DC4"/>
    <w:rsid w:val="00A9510F"/>
    <w:rsid w:val="00AA02F8"/>
    <w:rsid w:val="00AA6E77"/>
    <w:rsid w:val="00AB0444"/>
    <w:rsid w:val="00AB24D7"/>
    <w:rsid w:val="00AB3810"/>
    <w:rsid w:val="00AB54EB"/>
    <w:rsid w:val="00AC18B6"/>
    <w:rsid w:val="00AC57D0"/>
    <w:rsid w:val="00AC638F"/>
    <w:rsid w:val="00AD0B01"/>
    <w:rsid w:val="00AD2A3E"/>
    <w:rsid w:val="00AE0EF8"/>
    <w:rsid w:val="00AE2510"/>
    <w:rsid w:val="00AE2639"/>
    <w:rsid w:val="00AE3642"/>
    <w:rsid w:val="00AE3916"/>
    <w:rsid w:val="00AE518B"/>
    <w:rsid w:val="00AF14B7"/>
    <w:rsid w:val="00AF20FB"/>
    <w:rsid w:val="00AF2985"/>
    <w:rsid w:val="00AF4A8C"/>
    <w:rsid w:val="00B0151F"/>
    <w:rsid w:val="00B064F3"/>
    <w:rsid w:val="00B07227"/>
    <w:rsid w:val="00B07754"/>
    <w:rsid w:val="00B1072F"/>
    <w:rsid w:val="00B11445"/>
    <w:rsid w:val="00B11644"/>
    <w:rsid w:val="00B11AE5"/>
    <w:rsid w:val="00B12011"/>
    <w:rsid w:val="00B261FB"/>
    <w:rsid w:val="00B26CC3"/>
    <w:rsid w:val="00B27446"/>
    <w:rsid w:val="00B32E1C"/>
    <w:rsid w:val="00B357F9"/>
    <w:rsid w:val="00B35A9D"/>
    <w:rsid w:val="00B37DA4"/>
    <w:rsid w:val="00B41883"/>
    <w:rsid w:val="00B434DC"/>
    <w:rsid w:val="00B45FCB"/>
    <w:rsid w:val="00B5235F"/>
    <w:rsid w:val="00B528E7"/>
    <w:rsid w:val="00B5403B"/>
    <w:rsid w:val="00B55D75"/>
    <w:rsid w:val="00B57B7E"/>
    <w:rsid w:val="00B6206C"/>
    <w:rsid w:val="00B629B7"/>
    <w:rsid w:val="00B646FD"/>
    <w:rsid w:val="00B656AA"/>
    <w:rsid w:val="00B6638A"/>
    <w:rsid w:val="00B67EAC"/>
    <w:rsid w:val="00B70AD0"/>
    <w:rsid w:val="00B733E3"/>
    <w:rsid w:val="00B750F5"/>
    <w:rsid w:val="00B75852"/>
    <w:rsid w:val="00B805F9"/>
    <w:rsid w:val="00B81D1C"/>
    <w:rsid w:val="00B8413B"/>
    <w:rsid w:val="00B8439F"/>
    <w:rsid w:val="00B84939"/>
    <w:rsid w:val="00B84ECA"/>
    <w:rsid w:val="00B903A9"/>
    <w:rsid w:val="00B91322"/>
    <w:rsid w:val="00B91801"/>
    <w:rsid w:val="00B970DF"/>
    <w:rsid w:val="00B97E4E"/>
    <w:rsid w:val="00BA2A90"/>
    <w:rsid w:val="00BA2F7C"/>
    <w:rsid w:val="00BB1D78"/>
    <w:rsid w:val="00BB3E6F"/>
    <w:rsid w:val="00BB46B5"/>
    <w:rsid w:val="00BB6577"/>
    <w:rsid w:val="00BC0F25"/>
    <w:rsid w:val="00BD321F"/>
    <w:rsid w:val="00BD3DF0"/>
    <w:rsid w:val="00BD7BD5"/>
    <w:rsid w:val="00BE2D51"/>
    <w:rsid w:val="00BF4591"/>
    <w:rsid w:val="00BF5CF6"/>
    <w:rsid w:val="00BF667A"/>
    <w:rsid w:val="00C00AC8"/>
    <w:rsid w:val="00C0274A"/>
    <w:rsid w:val="00C05D7C"/>
    <w:rsid w:val="00C10699"/>
    <w:rsid w:val="00C141BA"/>
    <w:rsid w:val="00C16B60"/>
    <w:rsid w:val="00C21B7A"/>
    <w:rsid w:val="00C2208B"/>
    <w:rsid w:val="00C2491D"/>
    <w:rsid w:val="00C25135"/>
    <w:rsid w:val="00C25B18"/>
    <w:rsid w:val="00C2766C"/>
    <w:rsid w:val="00C30177"/>
    <w:rsid w:val="00C31E35"/>
    <w:rsid w:val="00C32D0E"/>
    <w:rsid w:val="00C33A3F"/>
    <w:rsid w:val="00C353ED"/>
    <w:rsid w:val="00C35FD5"/>
    <w:rsid w:val="00C404E0"/>
    <w:rsid w:val="00C41F82"/>
    <w:rsid w:val="00C4314A"/>
    <w:rsid w:val="00C44B32"/>
    <w:rsid w:val="00C47AD1"/>
    <w:rsid w:val="00C53589"/>
    <w:rsid w:val="00C617DD"/>
    <w:rsid w:val="00C625B2"/>
    <w:rsid w:val="00C63723"/>
    <w:rsid w:val="00C637E3"/>
    <w:rsid w:val="00C775D1"/>
    <w:rsid w:val="00C77AD2"/>
    <w:rsid w:val="00C81068"/>
    <w:rsid w:val="00C8156D"/>
    <w:rsid w:val="00C85A0C"/>
    <w:rsid w:val="00C8613B"/>
    <w:rsid w:val="00C91A32"/>
    <w:rsid w:val="00CA2B0D"/>
    <w:rsid w:val="00CA4297"/>
    <w:rsid w:val="00CA6752"/>
    <w:rsid w:val="00CA6B0F"/>
    <w:rsid w:val="00CA7064"/>
    <w:rsid w:val="00CB0618"/>
    <w:rsid w:val="00CB0F05"/>
    <w:rsid w:val="00CB1110"/>
    <w:rsid w:val="00CB703F"/>
    <w:rsid w:val="00CB782E"/>
    <w:rsid w:val="00CC11F9"/>
    <w:rsid w:val="00CC2D18"/>
    <w:rsid w:val="00CD3CD0"/>
    <w:rsid w:val="00CD4512"/>
    <w:rsid w:val="00CD7C3B"/>
    <w:rsid w:val="00CE1F88"/>
    <w:rsid w:val="00CE221A"/>
    <w:rsid w:val="00CE4108"/>
    <w:rsid w:val="00CF00BE"/>
    <w:rsid w:val="00CF23FB"/>
    <w:rsid w:val="00D0057C"/>
    <w:rsid w:val="00D03881"/>
    <w:rsid w:val="00D10753"/>
    <w:rsid w:val="00D10BB6"/>
    <w:rsid w:val="00D12A1D"/>
    <w:rsid w:val="00D15DE3"/>
    <w:rsid w:val="00D211E9"/>
    <w:rsid w:val="00D21ACC"/>
    <w:rsid w:val="00D2393D"/>
    <w:rsid w:val="00D23EB2"/>
    <w:rsid w:val="00D25593"/>
    <w:rsid w:val="00D25926"/>
    <w:rsid w:val="00D27831"/>
    <w:rsid w:val="00D3262F"/>
    <w:rsid w:val="00D32C93"/>
    <w:rsid w:val="00D37CC6"/>
    <w:rsid w:val="00D512DB"/>
    <w:rsid w:val="00D537D9"/>
    <w:rsid w:val="00D5512B"/>
    <w:rsid w:val="00D56C5A"/>
    <w:rsid w:val="00D65E49"/>
    <w:rsid w:val="00D67DAD"/>
    <w:rsid w:val="00D70F22"/>
    <w:rsid w:val="00D74E8C"/>
    <w:rsid w:val="00D91A79"/>
    <w:rsid w:val="00D942D7"/>
    <w:rsid w:val="00DA1223"/>
    <w:rsid w:val="00DA369F"/>
    <w:rsid w:val="00DA6872"/>
    <w:rsid w:val="00DA7ECE"/>
    <w:rsid w:val="00DB2487"/>
    <w:rsid w:val="00DB66C2"/>
    <w:rsid w:val="00DC20B2"/>
    <w:rsid w:val="00DC2F33"/>
    <w:rsid w:val="00DC31F1"/>
    <w:rsid w:val="00DC4E52"/>
    <w:rsid w:val="00DC547A"/>
    <w:rsid w:val="00DC6F1E"/>
    <w:rsid w:val="00DC7577"/>
    <w:rsid w:val="00DD0D9A"/>
    <w:rsid w:val="00DD12FF"/>
    <w:rsid w:val="00DD1938"/>
    <w:rsid w:val="00DD44B9"/>
    <w:rsid w:val="00DD6D4D"/>
    <w:rsid w:val="00DE06D4"/>
    <w:rsid w:val="00DE11A0"/>
    <w:rsid w:val="00DE4A6D"/>
    <w:rsid w:val="00DE6E52"/>
    <w:rsid w:val="00DF0870"/>
    <w:rsid w:val="00DF1961"/>
    <w:rsid w:val="00DF20A6"/>
    <w:rsid w:val="00DF2B58"/>
    <w:rsid w:val="00E0240C"/>
    <w:rsid w:val="00E025E2"/>
    <w:rsid w:val="00E0523F"/>
    <w:rsid w:val="00E11641"/>
    <w:rsid w:val="00E143BE"/>
    <w:rsid w:val="00E151EE"/>
    <w:rsid w:val="00E154B0"/>
    <w:rsid w:val="00E15A73"/>
    <w:rsid w:val="00E23314"/>
    <w:rsid w:val="00E24BC3"/>
    <w:rsid w:val="00E260DD"/>
    <w:rsid w:val="00E30371"/>
    <w:rsid w:val="00E37F4F"/>
    <w:rsid w:val="00E40FCC"/>
    <w:rsid w:val="00E4141E"/>
    <w:rsid w:val="00E4370E"/>
    <w:rsid w:val="00E43755"/>
    <w:rsid w:val="00E457EC"/>
    <w:rsid w:val="00E45D57"/>
    <w:rsid w:val="00E53051"/>
    <w:rsid w:val="00E551DC"/>
    <w:rsid w:val="00E5574E"/>
    <w:rsid w:val="00E611DD"/>
    <w:rsid w:val="00E61F7E"/>
    <w:rsid w:val="00E6470A"/>
    <w:rsid w:val="00E66483"/>
    <w:rsid w:val="00E676BF"/>
    <w:rsid w:val="00E713E4"/>
    <w:rsid w:val="00E82B09"/>
    <w:rsid w:val="00E936BB"/>
    <w:rsid w:val="00E95978"/>
    <w:rsid w:val="00EA0592"/>
    <w:rsid w:val="00EA567C"/>
    <w:rsid w:val="00EA7969"/>
    <w:rsid w:val="00EA7E6B"/>
    <w:rsid w:val="00EB0C89"/>
    <w:rsid w:val="00EC1F2C"/>
    <w:rsid w:val="00EC2981"/>
    <w:rsid w:val="00EC3175"/>
    <w:rsid w:val="00EC4B94"/>
    <w:rsid w:val="00ED3CEB"/>
    <w:rsid w:val="00ED6198"/>
    <w:rsid w:val="00EE04AE"/>
    <w:rsid w:val="00EE1313"/>
    <w:rsid w:val="00EE6AEB"/>
    <w:rsid w:val="00EF0A1F"/>
    <w:rsid w:val="00EF1230"/>
    <w:rsid w:val="00EF3CCC"/>
    <w:rsid w:val="00EF4116"/>
    <w:rsid w:val="00F01B0F"/>
    <w:rsid w:val="00F023CC"/>
    <w:rsid w:val="00F10C4D"/>
    <w:rsid w:val="00F11295"/>
    <w:rsid w:val="00F12747"/>
    <w:rsid w:val="00F17542"/>
    <w:rsid w:val="00F17DD3"/>
    <w:rsid w:val="00F253D4"/>
    <w:rsid w:val="00F257AE"/>
    <w:rsid w:val="00F30B2A"/>
    <w:rsid w:val="00F35045"/>
    <w:rsid w:val="00F36CB0"/>
    <w:rsid w:val="00F4236B"/>
    <w:rsid w:val="00F462F7"/>
    <w:rsid w:val="00F46816"/>
    <w:rsid w:val="00F47D59"/>
    <w:rsid w:val="00F5182F"/>
    <w:rsid w:val="00F51DDD"/>
    <w:rsid w:val="00F539B5"/>
    <w:rsid w:val="00F63A47"/>
    <w:rsid w:val="00F6749F"/>
    <w:rsid w:val="00F675B3"/>
    <w:rsid w:val="00F708B1"/>
    <w:rsid w:val="00F7262B"/>
    <w:rsid w:val="00F77E86"/>
    <w:rsid w:val="00F914CA"/>
    <w:rsid w:val="00F941CA"/>
    <w:rsid w:val="00FA1EC3"/>
    <w:rsid w:val="00FA22DE"/>
    <w:rsid w:val="00FA32B9"/>
    <w:rsid w:val="00FA4138"/>
    <w:rsid w:val="00FA42C0"/>
    <w:rsid w:val="00FA51D8"/>
    <w:rsid w:val="00FA5A17"/>
    <w:rsid w:val="00FA756B"/>
    <w:rsid w:val="00FA7EE2"/>
    <w:rsid w:val="00FB071D"/>
    <w:rsid w:val="00FC0964"/>
    <w:rsid w:val="00FC6AD7"/>
    <w:rsid w:val="00FD5EEC"/>
    <w:rsid w:val="00FD692D"/>
    <w:rsid w:val="00FE003C"/>
    <w:rsid w:val="00FE020E"/>
    <w:rsid w:val="00FE25B5"/>
    <w:rsid w:val="00FE3FFC"/>
    <w:rsid w:val="00FF4DC7"/>
    <w:rsid w:val="01144B6C"/>
    <w:rsid w:val="01B7561A"/>
    <w:rsid w:val="0208612C"/>
    <w:rsid w:val="02785C1C"/>
    <w:rsid w:val="02976F1B"/>
    <w:rsid w:val="02AF2E81"/>
    <w:rsid w:val="03671A80"/>
    <w:rsid w:val="03D93BDE"/>
    <w:rsid w:val="041131B5"/>
    <w:rsid w:val="047B30A2"/>
    <w:rsid w:val="04E741FE"/>
    <w:rsid w:val="060556BD"/>
    <w:rsid w:val="074C3195"/>
    <w:rsid w:val="07AA0F0E"/>
    <w:rsid w:val="07C933DB"/>
    <w:rsid w:val="094B1CC3"/>
    <w:rsid w:val="098E7F2D"/>
    <w:rsid w:val="0A1761FC"/>
    <w:rsid w:val="0A1A23BD"/>
    <w:rsid w:val="0A3E2438"/>
    <w:rsid w:val="0A7E7940"/>
    <w:rsid w:val="0AF35EB0"/>
    <w:rsid w:val="0B4838DB"/>
    <w:rsid w:val="0B516B91"/>
    <w:rsid w:val="0B586C83"/>
    <w:rsid w:val="0CA56866"/>
    <w:rsid w:val="0CC22BC9"/>
    <w:rsid w:val="0CE76B83"/>
    <w:rsid w:val="0E453ED8"/>
    <w:rsid w:val="0E982995"/>
    <w:rsid w:val="0F4D7424"/>
    <w:rsid w:val="0FD37C02"/>
    <w:rsid w:val="0FEE798F"/>
    <w:rsid w:val="108004C4"/>
    <w:rsid w:val="10B70CBA"/>
    <w:rsid w:val="11B77834"/>
    <w:rsid w:val="11FC4165"/>
    <w:rsid w:val="124B0EA0"/>
    <w:rsid w:val="13420C08"/>
    <w:rsid w:val="140172BD"/>
    <w:rsid w:val="141C7FDF"/>
    <w:rsid w:val="142441C6"/>
    <w:rsid w:val="1459038E"/>
    <w:rsid w:val="14EA2145"/>
    <w:rsid w:val="15E44090"/>
    <w:rsid w:val="1627227F"/>
    <w:rsid w:val="164B67EA"/>
    <w:rsid w:val="175820F4"/>
    <w:rsid w:val="181302CA"/>
    <w:rsid w:val="19161108"/>
    <w:rsid w:val="1986475C"/>
    <w:rsid w:val="1AC330BB"/>
    <w:rsid w:val="1B71732E"/>
    <w:rsid w:val="1BA7493B"/>
    <w:rsid w:val="1BBA5C21"/>
    <w:rsid w:val="1BED3DFD"/>
    <w:rsid w:val="1C025542"/>
    <w:rsid w:val="1C062B85"/>
    <w:rsid w:val="1CA1475A"/>
    <w:rsid w:val="1CD100B6"/>
    <w:rsid w:val="1D9F4A3B"/>
    <w:rsid w:val="1DE55A93"/>
    <w:rsid w:val="1E5C3445"/>
    <w:rsid w:val="1E904D70"/>
    <w:rsid w:val="1EDB618B"/>
    <w:rsid w:val="1EEA3C36"/>
    <w:rsid w:val="1F4C5909"/>
    <w:rsid w:val="1F9F5D20"/>
    <w:rsid w:val="20471D8D"/>
    <w:rsid w:val="210E3ECC"/>
    <w:rsid w:val="225715AE"/>
    <w:rsid w:val="22FF051B"/>
    <w:rsid w:val="23F24650"/>
    <w:rsid w:val="249D6791"/>
    <w:rsid w:val="24B929A8"/>
    <w:rsid w:val="25BF00E6"/>
    <w:rsid w:val="26A01A67"/>
    <w:rsid w:val="26B41D07"/>
    <w:rsid w:val="27202BAC"/>
    <w:rsid w:val="287F6D00"/>
    <w:rsid w:val="28DE0169"/>
    <w:rsid w:val="28E305ED"/>
    <w:rsid w:val="294A4BCD"/>
    <w:rsid w:val="29CD2A1E"/>
    <w:rsid w:val="2A0E18C6"/>
    <w:rsid w:val="2A2F2329"/>
    <w:rsid w:val="2AD53E9E"/>
    <w:rsid w:val="2BD32753"/>
    <w:rsid w:val="2CD007D1"/>
    <w:rsid w:val="2D186852"/>
    <w:rsid w:val="2D973018"/>
    <w:rsid w:val="2DF94293"/>
    <w:rsid w:val="2E0A5F5A"/>
    <w:rsid w:val="2E4C3DA4"/>
    <w:rsid w:val="2E6C0EF0"/>
    <w:rsid w:val="2F1F72A6"/>
    <w:rsid w:val="2F5F04E9"/>
    <w:rsid w:val="2FA71B8F"/>
    <w:rsid w:val="30481483"/>
    <w:rsid w:val="30BD220A"/>
    <w:rsid w:val="313246E6"/>
    <w:rsid w:val="31610990"/>
    <w:rsid w:val="31F557F3"/>
    <w:rsid w:val="32695000"/>
    <w:rsid w:val="32764EDB"/>
    <w:rsid w:val="32EB5D6D"/>
    <w:rsid w:val="333D48AD"/>
    <w:rsid w:val="33DB171D"/>
    <w:rsid w:val="35C968EC"/>
    <w:rsid w:val="36A6280F"/>
    <w:rsid w:val="37485297"/>
    <w:rsid w:val="375A0AF9"/>
    <w:rsid w:val="375E2718"/>
    <w:rsid w:val="38080FA9"/>
    <w:rsid w:val="38213B25"/>
    <w:rsid w:val="38252F18"/>
    <w:rsid w:val="38E4563E"/>
    <w:rsid w:val="38F9181A"/>
    <w:rsid w:val="395D3AB1"/>
    <w:rsid w:val="39C0557B"/>
    <w:rsid w:val="39DA3ADF"/>
    <w:rsid w:val="3A2944C6"/>
    <w:rsid w:val="3A701104"/>
    <w:rsid w:val="3AC209AA"/>
    <w:rsid w:val="3B3757F0"/>
    <w:rsid w:val="3B8A3B08"/>
    <w:rsid w:val="3B9D238B"/>
    <w:rsid w:val="3BD93C18"/>
    <w:rsid w:val="3BE03B3E"/>
    <w:rsid w:val="3C437237"/>
    <w:rsid w:val="3C7C5DAC"/>
    <w:rsid w:val="3CF8221C"/>
    <w:rsid w:val="3D351C3D"/>
    <w:rsid w:val="3D5575A3"/>
    <w:rsid w:val="3D5D6B0B"/>
    <w:rsid w:val="3D9502C0"/>
    <w:rsid w:val="3DE4412F"/>
    <w:rsid w:val="3EB10D1F"/>
    <w:rsid w:val="3F0F5FE6"/>
    <w:rsid w:val="403F07C7"/>
    <w:rsid w:val="40403E18"/>
    <w:rsid w:val="40C035D9"/>
    <w:rsid w:val="41407D4A"/>
    <w:rsid w:val="425F7A70"/>
    <w:rsid w:val="42FB5FFE"/>
    <w:rsid w:val="43F037A4"/>
    <w:rsid w:val="449549C4"/>
    <w:rsid w:val="45124DAD"/>
    <w:rsid w:val="46934ED8"/>
    <w:rsid w:val="469769C3"/>
    <w:rsid w:val="46FF53C8"/>
    <w:rsid w:val="48037727"/>
    <w:rsid w:val="487C7EF4"/>
    <w:rsid w:val="48C976EB"/>
    <w:rsid w:val="49573A60"/>
    <w:rsid w:val="4A1F2E72"/>
    <w:rsid w:val="4A65277F"/>
    <w:rsid w:val="4C832C40"/>
    <w:rsid w:val="4CEA4D6E"/>
    <w:rsid w:val="4E224EAC"/>
    <w:rsid w:val="4EAB458E"/>
    <w:rsid w:val="4EDB76A7"/>
    <w:rsid w:val="4F0C27E2"/>
    <w:rsid w:val="4F1163C2"/>
    <w:rsid w:val="4F80673C"/>
    <w:rsid w:val="50C9357F"/>
    <w:rsid w:val="51577913"/>
    <w:rsid w:val="51B321CE"/>
    <w:rsid w:val="5219185C"/>
    <w:rsid w:val="52634BA9"/>
    <w:rsid w:val="52DA1FF5"/>
    <w:rsid w:val="53070962"/>
    <w:rsid w:val="53171F23"/>
    <w:rsid w:val="55141D58"/>
    <w:rsid w:val="555D5044"/>
    <w:rsid w:val="55DF521A"/>
    <w:rsid w:val="5620480F"/>
    <w:rsid w:val="569C75B4"/>
    <w:rsid w:val="56DC0B35"/>
    <w:rsid w:val="57355D6C"/>
    <w:rsid w:val="583910A0"/>
    <w:rsid w:val="58780E6A"/>
    <w:rsid w:val="58887860"/>
    <w:rsid w:val="59835FE2"/>
    <w:rsid w:val="59C7343B"/>
    <w:rsid w:val="59DB3FFC"/>
    <w:rsid w:val="5A277A0A"/>
    <w:rsid w:val="5A765B0D"/>
    <w:rsid w:val="5A7E7DDD"/>
    <w:rsid w:val="5AB72ADF"/>
    <w:rsid w:val="5AD44573"/>
    <w:rsid w:val="5B336DC1"/>
    <w:rsid w:val="5B7E6565"/>
    <w:rsid w:val="5B8E0D1A"/>
    <w:rsid w:val="5B993E6C"/>
    <w:rsid w:val="5BB90E93"/>
    <w:rsid w:val="5BC04AC7"/>
    <w:rsid w:val="5C672CCD"/>
    <w:rsid w:val="5D9D5784"/>
    <w:rsid w:val="5DA23B97"/>
    <w:rsid w:val="5DC04BB6"/>
    <w:rsid w:val="5E664643"/>
    <w:rsid w:val="5FCB3480"/>
    <w:rsid w:val="60250D93"/>
    <w:rsid w:val="60FF11BB"/>
    <w:rsid w:val="62012D2E"/>
    <w:rsid w:val="62447812"/>
    <w:rsid w:val="62DE22AB"/>
    <w:rsid w:val="6515585C"/>
    <w:rsid w:val="654051DD"/>
    <w:rsid w:val="65A42DA0"/>
    <w:rsid w:val="65A6455D"/>
    <w:rsid w:val="667275C4"/>
    <w:rsid w:val="680F7F75"/>
    <w:rsid w:val="6815286C"/>
    <w:rsid w:val="6857727C"/>
    <w:rsid w:val="68925273"/>
    <w:rsid w:val="68AD126F"/>
    <w:rsid w:val="6AD84AF2"/>
    <w:rsid w:val="6BB06336"/>
    <w:rsid w:val="6BD80AF9"/>
    <w:rsid w:val="6C374E22"/>
    <w:rsid w:val="6C650342"/>
    <w:rsid w:val="6D765DFB"/>
    <w:rsid w:val="6DEE28A7"/>
    <w:rsid w:val="6E476F97"/>
    <w:rsid w:val="6EE02A54"/>
    <w:rsid w:val="6EE654D8"/>
    <w:rsid w:val="6FDF4AFA"/>
    <w:rsid w:val="70734A3D"/>
    <w:rsid w:val="707C0A9D"/>
    <w:rsid w:val="708647ED"/>
    <w:rsid w:val="70E03E23"/>
    <w:rsid w:val="70E36B12"/>
    <w:rsid w:val="7108777E"/>
    <w:rsid w:val="719D5628"/>
    <w:rsid w:val="71C62825"/>
    <w:rsid w:val="72323E62"/>
    <w:rsid w:val="72EA59D2"/>
    <w:rsid w:val="738A0218"/>
    <w:rsid w:val="739D6799"/>
    <w:rsid w:val="73F929D7"/>
    <w:rsid w:val="74384C6D"/>
    <w:rsid w:val="74A75232"/>
    <w:rsid w:val="75FE220F"/>
    <w:rsid w:val="761D1706"/>
    <w:rsid w:val="779A6C48"/>
    <w:rsid w:val="78026FC4"/>
    <w:rsid w:val="790D02EE"/>
    <w:rsid w:val="79123F13"/>
    <w:rsid w:val="79B31C17"/>
    <w:rsid w:val="7A162445"/>
    <w:rsid w:val="7C73243B"/>
    <w:rsid w:val="7D115CB3"/>
    <w:rsid w:val="7D2E7738"/>
    <w:rsid w:val="7D316D73"/>
    <w:rsid w:val="7DA77B93"/>
    <w:rsid w:val="7EB15BBB"/>
    <w:rsid w:val="7F332594"/>
    <w:rsid w:val="7FC128C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0"/>
    <w:pPr>
      <w:keepNext/>
      <w:keepLines/>
      <w:spacing w:before="340" w:after="330" w:line="576" w:lineRule="auto"/>
      <w:jc w:val="center"/>
      <w:outlineLvl w:val="0"/>
    </w:pPr>
    <w:rPr>
      <w:b/>
      <w:bCs/>
      <w:kern w:val="44"/>
      <w:sz w:val="44"/>
      <w:szCs w:val="44"/>
    </w:rPr>
  </w:style>
  <w:style w:type="paragraph" w:styleId="4">
    <w:name w:val="heading 2"/>
    <w:basedOn w:val="1"/>
    <w:next w:val="1"/>
    <w:link w:val="56"/>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9"/>
    <w:qFormat/>
    <w:uiPriority w:val="99"/>
    <w:pPr>
      <w:keepNext/>
      <w:keepLines/>
      <w:spacing w:before="20" w:after="20" w:line="415" w:lineRule="auto"/>
      <w:ind w:firstLine="137" w:firstLineChars="49"/>
      <w:outlineLvl w:val="2"/>
    </w:pPr>
    <w:rPr>
      <w:rFonts w:hAnsi="黑体" w:eastAsia="黑体"/>
      <w:sz w:val="24"/>
      <w:szCs w:val="20"/>
    </w:rPr>
  </w:style>
  <w:style w:type="paragraph" w:styleId="2">
    <w:name w:val="heading 4"/>
    <w:basedOn w:val="1"/>
    <w:next w:val="1"/>
    <w:link w:val="69"/>
    <w:qFormat/>
    <w:uiPriority w:val="99"/>
    <w:pPr>
      <w:keepNext/>
      <w:keepLines/>
      <w:spacing w:before="280" w:after="290" w:line="374" w:lineRule="auto"/>
      <w:outlineLvl w:val="3"/>
    </w:pPr>
    <w:rPr>
      <w:rFonts w:hint="eastAsia" w:ascii="Cambria" w:hAnsi="Cambria"/>
      <w:b/>
      <w:sz w:val="28"/>
      <w:szCs w:val="20"/>
    </w:rPr>
  </w:style>
  <w:style w:type="paragraph" w:styleId="6">
    <w:name w:val="heading 5"/>
    <w:basedOn w:val="1"/>
    <w:next w:val="1"/>
    <w:link w:val="90"/>
    <w:qFormat/>
    <w:uiPriority w:val="9"/>
    <w:pPr>
      <w:keepNext/>
      <w:keepLines/>
      <w:spacing w:before="280" w:after="290" w:line="376" w:lineRule="auto"/>
      <w:outlineLvl w:val="4"/>
    </w:pPr>
    <w:rPr>
      <w:b/>
      <w:bCs/>
      <w:sz w:val="28"/>
      <w:szCs w:val="28"/>
    </w:rPr>
  </w:style>
  <w:style w:type="paragraph" w:styleId="7">
    <w:name w:val="heading 6"/>
    <w:basedOn w:val="1"/>
    <w:next w:val="1"/>
    <w:link w:val="85"/>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65"/>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9"/>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link w:val="64"/>
    <w:qFormat/>
    <w:uiPriority w:val="0"/>
    <w:pPr>
      <w:ind w:firstLine="420"/>
    </w:pPr>
    <w:rPr>
      <w:b/>
      <w:sz w:val="24"/>
      <w:szCs w:val="20"/>
    </w:rPr>
  </w:style>
  <w:style w:type="paragraph" w:styleId="13">
    <w:name w:val="caption"/>
    <w:basedOn w:val="1"/>
    <w:next w:val="1"/>
    <w:qFormat/>
    <w:uiPriority w:val="35"/>
    <w:rPr>
      <w:rFonts w:ascii="Cambria" w:hAnsi="Cambria" w:eastAsia="黑体"/>
      <w:sz w:val="20"/>
      <w:szCs w:val="20"/>
    </w:rPr>
  </w:style>
  <w:style w:type="paragraph" w:styleId="14">
    <w:name w:val="Document Map"/>
    <w:basedOn w:val="1"/>
    <w:link w:val="74"/>
    <w:qFormat/>
    <w:uiPriority w:val="0"/>
    <w:pPr>
      <w:shd w:val="clear" w:color="auto" w:fill="000080"/>
    </w:pPr>
  </w:style>
  <w:style w:type="paragraph" w:styleId="15">
    <w:name w:val="annotation text"/>
    <w:basedOn w:val="1"/>
    <w:link w:val="53"/>
    <w:unhideWhenUsed/>
    <w:qFormat/>
    <w:uiPriority w:val="99"/>
    <w:pPr>
      <w:jc w:val="left"/>
    </w:pPr>
    <w:rPr>
      <w:szCs w:val="20"/>
    </w:rPr>
  </w:style>
  <w:style w:type="paragraph" w:styleId="16">
    <w:name w:val="Body Text 3"/>
    <w:basedOn w:val="1"/>
    <w:link w:val="61"/>
    <w:qFormat/>
    <w:uiPriority w:val="0"/>
    <w:rPr>
      <w:rFonts w:ascii="宋体"/>
      <w:sz w:val="24"/>
      <w:szCs w:val="20"/>
    </w:rPr>
  </w:style>
  <w:style w:type="paragraph" w:styleId="17">
    <w:name w:val="Body Text"/>
    <w:basedOn w:val="1"/>
    <w:link w:val="98"/>
    <w:qFormat/>
    <w:uiPriority w:val="0"/>
    <w:pPr>
      <w:spacing w:after="120"/>
    </w:pPr>
  </w:style>
  <w:style w:type="paragraph" w:styleId="18">
    <w:name w:val="Body Text Indent"/>
    <w:basedOn w:val="1"/>
    <w:link w:val="95"/>
    <w:qFormat/>
    <w:uiPriority w:val="0"/>
    <w:pPr>
      <w:spacing w:line="360" w:lineRule="auto"/>
      <w:ind w:firstLine="420"/>
    </w:pPr>
    <w:rPr>
      <w:rFonts w:ascii="宋体"/>
      <w:sz w:val="24"/>
      <w:szCs w:val="20"/>
    </w:rPr>
  </w:style>
  <w:style w:type="paragraph" w:styleId="19">
    <w:name w:val="toc 5"/>
    <w:basedOn w:val="1"/>
    <w:next w:val="1"/>
    <w:qFormat/>
    <w:uiPriority w:val="39"/>
    <w:pPr>
      <w:ind w:left="1680" w:leftChars="800"/>
    </w:pPr>
  </w:style>
  <w:style w:type="paragraph" w:styleId="20">
    <w:name w:val="toc 3"/>
    <w:basedOn w:val="1"/>
    <w:next w:val="1"/>
    <w:qFormat/>
    <w:uiPriority w:val="39"/>
    <w:pPr>
      <w:ind w:left="840" w:leftChars="400"/>
      <w:jc w:val="left"/>
    </w:pPr>
  </w:style>
  <w:style w:type="paragraph" w:styleId="21">
    <w:name w:val="Plain Text"/>
    <w:basedOn w:val="1"/>
    <w:link w:val="83"/>
    <w:qFormat/>
    <w:uiPriority w:val="0"/>
    <w:rPr>
      <w:rFonts w:ascii="宋体" w:hAnsi="Courier New"/>
      <w:sz w:val="28"/>
      <w:szCs w:val="20"/>
    </w:rPr>
  </w:style>
  <w:style w:type="paragraph" w:styleId="22">
    <w:name w:val="toc 8"/>
    <w:basedOn w:val="1"/>
    <w:next w:val="1"/>
    <w:qFormat/>
    <w:uiPriority w:val="39"/>
    <w:pPr>
      <w:ind w:left="2940" w:leftChars="1400"/>
    </w:pPr>
  </w:style>
  <w:style w:type="paragraph" w:styleId="23">
    <w:name w:val="Date"/>
    <w:basedOn w:val="1"/>
    <w:next w:val="1"/>
    <w:qFormat/>
    <w:uiPriority w:val="0"/>
    <w:pPr>
      <w:ind w:left="100" w:leftChars="2500"/>
    </w:pPr>
  </w:style>
  <w:style w:type="paragraph" w:styleId="24">
    <w:name w:val="Body Text Indent 2"/>
    <w:basedOn w:val="1"/>
    <w:link w:val="66"/>
    <w:qFormat/>
    <w:uiPriority w:val="0"/>
    <w:pPr>
      <w:spacing w:line="420" w:lineRule="exact"/>
      <w:ind w:firstLine="525"/>
    </w:pPr>
    <w:rPr>
      <w:rFonts w:ascii="宋体"/>
      <w:szCs w:val="20"/>
    </w:rPr>
  </w:style>
  <w:style w:type="paragraph" w:styleId="25">
    <w:name w:val="Balloon Text"/>
    <w:basedOn w:val="1"/>
    <w:link w:val="97"/>
    <w:unhideWhenUsed/>
    <w:qFormat/>
    <w:uiPriority w:val="99"/>
    <w:rPr>
      <w:sz w:val="18"/>
      <w:szCs w:val="18"/>
    </w:rPr>
  </w:style>
  <w:style w:type="paragraph" w:styleId="26">
    <w:name w:val="footer"/>
    <w:basedOn w:val="1"/>
    <w:link w:val="93"/>
    <w:qFormat/>
    <w:uiPriority w:val="99"/>
    <w:pPr>
      <w:tabs>
        <w:tab w:val="center" w:pos="4153"/>
        <w:tab w:val="right" w:pos="8306"/>
      </w:tabs>
      <w:snapToGrid w:val="0"/>
      <w:jc w:val="left"/>
    </w:pPr>
    <w:rPr>
      <w:sz w:val="18"/>
      <w:szCs w:val="20"/>
    </w:rPr>
  </w:style>
  <w:style w:type="paragraph" w:styleId="27">
    <w:name w:val="header"/>
    <w:basedOn w:val="1"/>
    <w:link w:val="10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styleId="28">
    <w:name w:val="toc 1"/>
    <w:basedOn w:val="1"/>
    <w:next w:val="1"/>
    <w:qFormat/>
    <w:uiPriority w:val="39"/>
    <w:pPr>
      <w:jc w:val="left"/>
    </w:pPr>
  </w:style>
  <w:style w:type="paragraph" w:styleId="29">
    <w:name w:val="toc 4"/>
    <w:basedOn w:val="1"/>
    <w:next w:val="1"/>
    <w:qFormat/>
    <w:uiPriority w:val="39"/>
    <w:pPr>
      <w:ind w:left="1260" w:leftChars="600"/>
    </w:pPr>
  </w:style>
  <w:style w:type="paragraph" w:styleId="30">
    <w:name w:val="Subtitle"/>
    <w:basedOn w:val="1"/>
    <w:next w:val="1"/>
    <w:link w:val="78"/>
    <w:qFormat/>
    <w:uiPriority w:val="11"/>
    <w:pPr>
      <w:spacing w:before="240" w:after="60" w:line="312" w:lineRule="auto"/>
      <w:jc w:val="center"/>
      <w:outlineLvl w:val="1"/>
    </w:pPr>
    <w:rPr>
      <w:rFonts w:ascii="Cambria" w:hAnsi="Cambria"/>
      <w:b/>
      <w:bCs/>
      <w:kern w:val="28"/>
      <w:sz w:val="32"/>
      <w:szCs w:val="32"/>
    </w:rPr>
  </w:style>
  <w:style w:type="paragraph" w:styleId="31">
    <w:name w:val="footnote text"/>
    <w:basedOn w:val="1"/>
    <w:link w:val="54"/>
    <w:qFormat/>
    <w:uiPriority w:val="0"/>
    <w:rPr>
      <w:sz w:val="20"/>
      <w:szCs w:val="20"/>
    </w:rPr>
  </w:style>
  <w:style w:type="paragraph" w:styleId="32">
    <w:name w:val="toc 6"/>
    <w:basedOn w:val="1"/>
    <w:next w:val="1"/>
    <w:qFormat/>
    <w:uiPriority w:val="39"/>
    <w:pPr>
      <w:ind w:left="2100" w:leftChars="1000"/>
    </w:pPr>
  </w:style>
  <w:style w:type="paragraph" w:styleId="33">
    <w:name w:val="Body Text Indent 3"/>
    <w:basedOn w:val="1"/>
    <w:link w:val="57"/>
    <w:qFormat/>
    <w:uiPriority w:val="0"/>
    <w:pPr>
      <w:spacing w:after="120"/>
      <w:ind w:left="420" w:leftChars="200"/>
    </w:pPr>
    <w:rPr>
      <w:sz w:val="16"/>
      <w:szCs w:val="16"/>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ind w:left="420" w:leftChars="200"/>
      <w:jc w:val="left"/>
    </w:pPr>
  </w:style>
  <w:style w:type="paragraph" w:styleId="36">
    <w:name w:val="toc 9"/>
    <w:basedOn w:val="1"/>
    <w:next w:val="1"/>
    <w:qFormat/>
    <w:uiPriority w:val="39"/>
    <w:pPr>
      <w:ind w:left="3360" w:leftChars="1600"/>
    </w:pPr>
  </w:style>
  <w:style w:type="paragraph" w:styleId="37">
    <w:name w:val="List Continue 2"/>
    <w:basedOn w:val="1"/>
    <w:qFormat/>
    <w:uiPriority w:val="0"/>
    <w:pPr>
      <w:spacing w:after="120"/>
      <w:ind w:left="840"/>
    </w:p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link w:val="6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2"/>
    <w:qFormat/>
    <w:uiPriority w:val="0"/>
    <w:rPr>
      <w:b/>
      <w:bCs/>
      <w:szCs w:val="24"/>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22"/>
    <w:rPr>
      <w:b/>
      <w:bCs/>
    </w:rPr>
  </w:style>
  <w:style w:type="character" w:styleId="45">
    <w:name w:val="page number"/>
    <w:qFormat/>
    <w:uiPriority w:val="0"/>
  </w:style>
  <w:style w:type="character" w:styleId="46">
    <w:name w:val="FollowedHyperlink"/>
    <w:basedOn w:val="43"/>
    <w:qFormat/>
    <w:uiPriority w:val="0"/>
    <w:rPr>
      <w:color w:val="800080"/>
      <w:u w:val="none"/>
    </w:rPr>
  </w:style>
  <w:style w:type="character" w:styleId="47">
    <w:name w:val="Emphasis"/>
    <w:qFormat/>
    <w:uiPriority w:val="20"/>
    <w:rPr>
      <w:i/>
      <w:iCs/>
    </w:rPr>
  </w:style>
  <w:style w:type="character" w:styleId="48">
    <w:name w:val="Hyperlink"/>
    <w:basedOn w:val="43"/>
    <w:qFormat/>
    <w:uiPriority w:val="99"/>
    <w:rPr>
      <w:color w:val="0000FF"/>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paragraph" w:customStyle="1" w:styleId="51">
    <w:name w:val="Fließtext"/>
    <w:basedOn w:val="1"/>
    <w:qFormat/>
    <w:uiPriority w:val="0"/>
    <w:pPr>
      <w:overflowPunct w:val="0"/>
      <w:autoSpaceDE w:val="0"/>
      <w:autoSpaceDN w:val="0"/>
      <w:adjustRightInd w:val="0"/>
      <w:textAlignment w:val="baseline"/>
    </w:pPr>
    <w:rPr>
      <w:kern w:val="28"/>
      <w:szCs w:val="20"/>
    </w:rPr>
  </w:style>
  <w:style w:type="paragraph" w:customStyle="1" w:styleId="5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53">
    <w:name w:val="批注文字 Char1"/>
    <w:link w:val="15"/>
    <w:semiHidden/>
    <w:qFormat/>
    <w:uiPriority w:val="99"/>
    <w:rPr>
      <w:kern w:val="2"/>
      <w:sz w:val="21"/>
    </w:rPr>
  </w:style>
  <w:style w:type="character" w:customStyle="1" w:styleId="54">
    <w:name w:val="脚注文本 Char"/>
    <w:link w:val="31"/>
    <w:qFormat/>
    <w:uiPriority w:val="0"/>
    <w:rPr>
      <w:kern w:val="2"/>
    </w:rPr>
  </w:style>
  <w:style w:type="character" w:customStyle="1" w:styleId="55">
    <w:name w:val="Char Char8"/>
    <w:qFormat/>
    <w:uiPriority w:val="0"/>
    <w:rPr>
      <w:rFonts w:ascii="Arial" w:hAnsi="Arial" w:eastAsia="黑体"/>
      <w:b/>
      <w:bCs/>
      <w:kern w:val="2"/>
      <w:sz w:val="32"/>
      <w:szCs w:val="32"/>
      <w:lang w:val="en-US" w:eastAsia="zh-CN" w:bidi="ar-SA"/>
    </w:rPr>
  </w:style>
  <w:style w:type="character" w:customStyle="1" w:styleId="56">
    <w:name w:val="标题 2 Char"/>
    <w:link w:val="4"/>
    <w:qFormat/>
    <w:uiPriority w:val="0"/>
    <w:rPr>
      <w:rFonts w:ascii="Arial" w:hAnsi="Arial" w:eastAsia="黑体"/>
      <w:b/>
      <w:bCs/>
      <w:kern w:val="2"/>
      <w:sz w:val="32"/>
      <w:szCs w:val="32"/>
    </w:rPr>
  </w:style>
  <w:style w:type="character" w:customStyle="1" w:styleId="57">
    <w:name w:val="正文文本缩进 3 Char"/>
    <w:link w:val="33"/>
    <w:qFormat/>
    <w:uiPriority w:val="0"/>
    <w:rPr>
      <w:kern w:val="2"/>
      <w:sz w:val="16"/>
      <w:szCs w:val="16"/>
    </w:rPr>
  </w:style>
  <w:style w:type="character" w:customStyle="1" w:styleId="58">
    <w:name w:val="font01"/>
    <w:basedOn w:val="43"/>
    <w:qFormat/>
    <w:uiPriority w:val="0"/>
    <w:rPr>
      <w:rFonts w:hint="default" w:ascii="font-weight : 400" w:hAnsi="font-weight : 400" w:eastAsia="font-weight : 400" w:cs="font-weight : 400"/>
      <w:color w:val="000000"/>
      <w:sz w:val="22"/>
      <w:szCs w:val="22"/>
      <w:u w:val="none"/>
    </w:rPr>
  </w:style>
  <w:style w:type="character" w:customStyle="1" w:styleId="59">
    <w:name w:val="标题 3 Char1"/>
    <w:link w:val="5"/>
    <w:unhideWhenUsed/>
    <w:qFormat/>
    <w:uiPriority w:val="99"/>
    <w:rPr>
      <w:rFonts w:hint="default" w:hAnsi="黑体" w:eastAsia="黑体"/>
      <w:kern w:val="2"/>
      <w:sz w:val="24"/>
    </w:rPr>
  </w:style>
  <w:style w:type="character" w:customStyle="1" w:styleId="60">
    <w:name w:val="font41"/>
    <w:basedOn w:val="43"/>
    <w:qFormat/>
    <w:uiPriority w:val="0"/>
    <w:rPr>
      <w:rFonts w:ascii="font-weight : 400" w:hAnsi="font-weight : 400" w:eastAsia="font-weight : 400" w:cs="font-weight : 400"/>
      <w:color w:val="FF0000"/>
      <w:sz w:val="22"/>
      <w:szCs w:val="22"/>
      <w:u w:val="none"/>
    </w:rPr>
  </w:style>
  <w:style w:type="character" w:customStyle="1" w:styleId="61">
    <w:name w:val="正文文本 3 Char"/>
    <w:link w:val="16"/>
    <w:qFormat/>
    <w:uiPriority w:val="0"/>
    <w:rPr>
      <w:rFonts w:ascii="宋体"/>
      <w:kern w:val="2"/>
      <w:sz w:val="24"/>
    </w:rPr>
  </w:style>
  <w:style w:type="character" w:customStyle="1" w:styleId="62">
    <w:name w:val="批注主题 Char"/>
    <w:link w:val="40"/>
    <w:qFormat/>
    <w:uiPriority w:val="0"/>
    <w:rPr>
      <w:b/>
      <w:bCs/>
      <w:kern w:val="2"/>
      <w:sz w:val="21"/>
      <w:szCs w:val="24"/>
    </w:rPr>
  </w:style>
  <w:style w:type="character" w:customStyle="1" w:styleId="63">
    <w:name w:val="标题 4 Char"/>
    <w:qFormat/>
    <w:uiPriority w:val="0"/>
    <w:rPr>
      <w:rFonts w:ascii="Arial" w:hAnsi="Arial" w:eastAsia="黑体"/>
      <w:b/>
      <w:bCs/>
      <w:kern w:val="2"/>
      <w:sz w:val="28"/>
      <w:szCs w:val="28"/>
    </w:rPr>
  </w:style>
  <w:style w:type="character" w:customStyle="1" w:styleId="64">
    <w:name w:val="正文缩进 Char"/>
    <w:link w:val="12"/>
    <w:qFormat/>
    <w:uiPriority w:val="0"/>
    <w:rPr>
      <w:b/>
      <w:kern w:val="2"/>
      <w:sz w:val="24"/>
    </w:rPr>
  </w:style>
  <w:style w:type="character" w:customStyle="1" w:styleId="65">
    <w:name w:val="标题 7 Char"/>
    <w:link w:val="8"/>
    <w:qFormat/>
    <w:uiPriority w:val="0"/>
    <w:rPr>
      <w:b/>
      <w:bCs/>
      <w:sz w:val="24"/>
      <w:szCs w:val="24"/>
    </w:rPr>
  </w:style>
  <w:style w:type="character" w:customStyle="1" w:styleId="66">
    <w:name w:val="正文文本缩进 2 Char"/>
    <w:link w:val="24"/>
    <w:qFormat/>
    <w:uiPriority w:val="0"/>
    <w:rPr>
      <w:rFonts w:ascii="宋体"/>
      <w:kern w:val="2"/>
      <w:sz w:val="21"/>
    </w:rPr>
  </w:style>
  <w:style w:type="character" w:customStyle="1" w:styleId="67">
    <w:name w:val="标题 Char"/>
    <w:link w:val="39"/>
    <w:qFormat/>
    <w:uiPriority w:val="0"/>
    <w:rPr>
      <w:rFonts w:ascii="Arial" w:hAnsi="Arial"/>
      <w:b/>
      <w:sz w:val="32"/>
    </w:rPr>
  </w:style>
  <w:style w:type="character" w:customStyle="1" w:styleId="68">
    <w:name w:val="Intense Reference"/>
    <w:qFormat/>
    <w:uiPriority w:val="32"/>
    <w:rPr>
      <w:b/>
      <w:bCs/>
      <w:smallCaps/>
      <w:color w:val="C0504D"/>
      <w:spacing w:val="5"/>
      <w:u w:val="single"/>
    </w:rPr>
  </w:style>
  <w:style w:type="character" w:customStyle="1" w:styleId="69">
    <w:name w:val="标题 4 Char1"/>
    <w:link w:val="2"/>
    <w:unhideWhenUsed/>
    <w:qFormat/>
    <w:uiPriority w:val="99"/>
    <w:rPr>
      <w:rFonts w:hint="eastAsia" w:ascii="Cambria" w:hAnsi="Cambria" w:eastAsia="宋体"/>
      <w:b/>
      <w:kern w:val="2"/>
      <w:sz w:val="28"/>
    </w:rPr>
  </w:style>
  <w:style w:type="character" w:customStyle="1" w:styleId="70">
    <w:name w:val="标题 8 Char"/>
    <w:link w:val="9"/>
    <w:qFormat/>
    <w:uiPriority w:val="0"/>
    <w:rPr>
      <w:rFonts w:ascii="Arial" w:hAnsi="Arial" w:eastAsia="黑体"/>
      <w:sz w:val="24"/>
      <w:szCs w:val="24"/>
    </w:rPr>
  </w:style>
  <w:style w:type="character" w:customStyle="1" w:styleId="71">
    <w:name w:val="Char Char"/>
    <w:qFormat/>
    <w:uiPriority w:val="0"/>
    <w:rPr>
      <w:rFonts w:ascii="Arial" w:hAnsi="Arial" w:eastAsia="黑体"/>
      <w:b/>
      <w:bCs/>
      <w:kern w:val="2"/>
      <w:sz w:val="32"/>
      <w:szCs w:val="32"/>
      <w:lang w:val="en-US" w:eastAsia="zh-CN" w:bidi="ar-SA"/>
    </w:rPr>
  </w:style>
  <w:style w:type="character" w:customStyle="1" w:styleId="72">
    <w:name w:val="Subtle Reference"/>
    <w:qFormat/>
    <w:uiPriority w:val="31"/>
    <w:rPr>
      <w:smallCaps/>
      <w:color w:val="C0504D"/>
      <w:u w:val="single"/>
    </w:rPr>
  </w:style>
  <w:style w:type="character" w:customStyle="1" w:styleId="73">
    <w:name w:val="font51"/>
    <w:basedOn w:val="43"/>
    <w:qFormat/>
    <w:uiPriority w:val="0"/>
    <w:rPr>
      <w:rFonts w:ascii="font-weight : 700" w:hAnsi="font-weight : 700" w:eastAsia="font-weight : 700" w:cs="font-weight : 700"/>
      <w:color w:val="FF0000"/>
      <w:sz w:val="22"/>
      <w:szCs w:val="22"/>
      <w:u w:val="none"/>
    </w:rPr>
  </w:style>
  <w:style w:type="character" w:customStyle="1" w:styleId="74">
    <w:name w:val="文档结构图 Char"/>
    <w:link w:val="14"/>
    <w:qFormat/>
    <w:uiPriority w:val="0"/>
    <w:rPr>
      <w:kern w:val="2"/>
      <w:sz w:val="21"/>
      <w:szCs w:val="24"/>
      <w:shd w:val="clear" w:color="auto" w:fill="000080"/>
    </w:rPr>
  </w:style>
  <w:style w:type="character" w:customStyle="1" w:styleId="75">
    <w:name w:val="Intense Emphasis"/>
    <w:qFormat/>
    <w:uiPriority w:val="21"/>
    <w:rPr>
      <w:b/>
      <w:bCs/>
      <w:i/>
      <w:iCs/>
      <w:color w:val="4F81BD"/>
    </w:rPr>
  </w:style>
  <w:style w:type="character" w:customStyle="1" w:styleId="76">
    <w:name w:val="Book Title"/>
    <w:qFormat/>
    <w:uiPriority w:val="33"/>
    <w:rPr>
      <w:b/>
      <w:bCs/>
      <w:smallCaps/>
      <w:spacing w:val="5"/>
    </w:rPr>
  </w:style>
  <w:style w:type="character" w:customStyle="1" w:styleId="77">
    <w:name w:val="标题 1 Char"/>
    <w:link w:val="3"/>
    <w:qFormat/>
    <w:uiPriority w:val="0"/>
    <w:rPr>
      <w:b/>
      <w:bCs/>
      <w:kern w:val="44"/>
      <w:sz w:val="44"/>
      <w:szCs w:val="44"/>
    </w:rPr>
  </w:style>
  <w:style w:type="character" w:customStyle="1" w:styleId="78">
    <w:name w:val="副标题 Char"/>
    <w:link w:val="30"/>
    <w:qFormat/>
    <w:uiPriority w:val="11"/>
    <w:rPr>
      <w:rFonts w:ascii="Cambria" w:hAnsi="Cambria" w:cs="Times New Roman"/>
      <w:b/>
      <w:bCs/>
      <w:kern w:val="28"/>
      <w:sz w:val="32"/>
      <w:szCs w:val="32"/>
    </w:rPr>
  </w:style>
  <w:style w:type="character" w:customStyle="1" w:styleId="79">
    <w:name w:val="标题 9 Char"/>
    <w:link w:val="10"/>
    <w:qFormat/>
    <w:uiPriority w:val="0"/>
    <w:rPr>
      <w:rFonts w:ascii="Arial" w:hAnsi="Arial" w:eastAsia="黑体"/>
      <w:sz w:val="21"/>
      <w:szCs w:val="21"/>
    </w:rPr>
  </w:style>
  <w:style w:type="character" w:customStyle="1" w:styleId="80">
    <w:name w:val="引用 Char"/>
    <w:link w:val="81"/>
    <w:qFormat/>
    <w:uiPriority w:val="29"/>
    <w:rPr>
      <w:i/>
      <w:iCs/>
      <w:color w:val="000000"/>
      <w:kern w:val="2"/>
      <w:sz w:val="21"/>
      <w:szCs w:val="24"/>
    </w:rPr>
  </w:style>
  <w:style w:type="paragraph" w:styleId="81">
    <w:name w:val="Quote"/>
    <w:basedOn w:val="1"/>
    <w:next w:val="1"/>
    <w:link w:val="80"/>
    <w:qFormat/>
    <w:uiPriority w:val="29"/>
    <w:rPr>
      <w:i/>
      <w:iCs/>
      <w:color w:val="000000"/>
    </w:rPr>
  </w:style>
  <w:style w:type="character" w:customStyle="1" w:styleId="82">
    <w:name w:val="批注文字 Char"/>
    <w:qFormat/>
    <w:uiPriority w:val="0"/>
    <w:rPr>
      <w:rFonts w:eastAsia="宋体"/>
      <w:kern w:val="2"/>
      <w:sz w:val="21"/>
      <w:szCs w:val="24"/>
      <w:lang w:val="en-US" w:eastAsia="zh-CN" w:bidi="ar-SA"/>
    </w:rPr>
  </w:style>
  <w:style w:type="character" w:customStyle="1" w:styleId="83">
    <w:name w:val="纯文本 Char"/>
    <w:link w:val="21"/>
    <w:qFormat/>
    <w:uiPriority w:val="0"/>
    <w:rPr>
      <w:rFonts w:ascii="宋体" w:hAnsi="Courier New"/>
      <w:kern w:val="2"/>
      <w:sz w:val="28"/>
    </w:rPr>
  </w:style>
  <w:style w:type="character" w:customStyle="1" w:styleId="84">
    <w:name w:val="Subtle Emphasis"/>
    <w:qFormat/>
    <w:uiPriority w:val="19"/>
    <w:rPr>
      <w:i/>
      <w:iCs/>
      <w:color w:val="808080"/>
    </w:rPr>
  </w:style>
  <w:style w:type="character" w:customStyle="1" w:styleId="85">
    <w:name w:val="标题 6 Char"/>
    <w:link w:val="7"/>
    <w:qFormat/>
    <w:uiPriority w:val="0"/>
    <w:rPr>
      <w:rFonts w:ascii="Arial" w:hAnsi="Arial" w:eastAsia="黑体"/>
      <w:b/>
      <w:bCs/>
      <w:sz w:val="24"/>
      <w:szCs w:val="24"/>
    </w:rPr>
  </w:style>
  <w:style w:type="character" w:customStyle="1" w:styleId="86">
    <w:name w:val="样式 Char"/>
    <w:link w:val="87"/>
    <w:qFormat/>
    <w:uiPriority w:val="0"/>
    <w:rPr>
      <w:rFonts w:ascii="宋体" w:hAnsi="宋体" w:cs="宋体"/>
      <w:sz w:val="24"/>
      <w:szCs w:val="24"/>
      <w:lang w:val="en-US" w:eastAsia="zh-CN" w:bidi="ar-SA"/>
    </w:rPr>
  </w:style>
  <w:style w:type="paragraph" w:customStyle="1" w:styleId="87">
    <w:name w:val="样式"/>
    <w:link w:val="86"/>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8">
    <w:name w:val="无间隔 Char"/>
    <w:link w:val="89"/>
    <w:qFormat/>
    <w:uiPriority w:val="1"/>
    <w:rPr>
      <w:kern w:val="2"/>
      <w:sz w:val="21"/>
      <w:szCs w:val="24"/>
      <w:lang w:val="en-US" w:eastAsia="zh-CN" w:bidi="ar-SA"/>
    </w:rPr>
  </w:style>
  <w:style w:type="paragraph" w:styleId="89">
    <w:name w:val="No Spacing"/>
    <w:link w:val="88"/>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0">
    <w:name w:val="标题 5 Char"/>
    <w:link w:val="6"/>
    <w:semiHidden/>
    <w:qFormat/>
    <w:uiPriority w:val="9"/>
    <w:rPr>
      <w:b/>
      <w:bCs/>
      <w:kern w:val="2"/>
      <w:sz w:val="28"/>
      <w:szCs w:val="28"/>
    </w:rPr>
  </w:style>
  <w:style w:type="character" w:customStyle="1" w:styleId="91">
    <w:name w:val="明显引用 Char"/>
    <w:link w:val="92"/>
    <w:qFormat/>
    <w:uiPriority w:val="30"/>
    <w:rPr>
      <w:b/>
      <w:bCs/>
      <w:i/>
      <w:iCs/>
      <w:color w:val="4F81BD"/>
      <w:kern w:val="2"/>
      <w:sz w:val="21"/>
      <w:szCs w:val="24"/>
    </w:rPr>
  </w:style>
  <w:style w:type="paragraph" w:styleId="92">
    <w:name w:val="Intense Quote"/>
    <w:basedOn w:val="1"/>
    <w:next w:val="1"/>
    <w:link w:val="91"/>
    <w:qFormat/>
    <w:uiPriority w:val="30"/>
    <w:pPr>
      <w:pBdr>
        <w:bottom w:val="single" w:color="4F81BD" w:sz="4" w:space="4"/>
      </w:pBdr>
      <w:spacing w:before="200" w:after="280"/>
      <w:ind w:left="936" w:right="936"/>
    </w:pPr>
    <w:rPr>
      <w:b/>
      <w:bCs/>
      <w:i/>
      <w:iCs/>
      <w:color w:val="4F81BD"/>
    </w:rPr>
  </w:style>
  <w:style w:type="character" w:customStyle="1" w:styleId="93">
    <w:name w:val="页脚 Char1"/>
    <w:link w:val="26"/>
    <w:unhideWhenUsed/>
    <w:qFormat/>
    <w:uiPriority w:val="99"/>
    <w:rPr>
      <w:rFonts w:hint="default" w:eastAsia="宋体"/>
      <w:kern w:val="2"/>
      <w:sz w:val="18"/>
    </w:rPr>
  </w:style>
  <w:style w:type="character" w:customStyle="1" w:styleId="94">
    <w:name w:val="Char Char2"/>
    <w:qFormat/>
    <w:uiPriority w:val="0"/>
    <w:rPr>
      <w:rFonts w:eastAsia="宋体"/>
      <w:kern w:val="2"/>
      <w:sz w:val="21"/>
      <w:szCs w:val="24"/>
      <w:lang w:val="en-US" w:eastAsia="zh-CN" w:bidi="ar-SA"/>
    </w:rPr>
  </w:style>
  <w:style w:type="character" w:customStyle="1" w:styleId="95">
    <w:name w:val="正文文本缩进 Char"/>
    <w:link w:val="18"/>
    <w:qFormat/>
    <w:uiPriority w:val="0"/>
    <w:rPr>
      <w:rFonts w:ascii="宋体"/>
      <w:kern w:val="2"/>
      <w:sz w:val="24"/>
    </w:rPr>
  </w:style>
  <w:style w:type="character" w:customStyle="1" w:styleId="96">
    <w:name w:val="页脚 Char"/>
    <w:qFormat/>
    <w:uiPriority w:val="99"/>
    <w:rPr>
      <w:kern w:val="2"/>
      <w:sz w:val="18"/>
    </w:rPr>
  </w:style>
  <w:style w:type="character" w:customStyle="1" w:styleId="97">
    <w:name w:val="批注框文本 Char"/>
    <w:link w:val="25"/>
    <w:semiHidden/>
    <w:qFormat/>
    <w:uiPriority w:val="99"/>
    <w:rPr>
      <w:kern w:val="2"/>
      <w:sz w:val="18"/>
      <w:szCs w:val="18"/>
    </w:rPr>
  </w:style>
  <w:style w:type="character" w:customStyle="1" w:styleId="98">
    <w:name w:val="正文文本 Char"/>
    <w:link w:val="17"/>
    <w:qFormat/>
    <w:uiPriority w:val="0"/>
    <w:rPr>
      <w:kern w:val="2"/>
      <w:sz w:val="21"/>
      <w:szCs w:val="24"/>
    </w:rPr>
  </w:style>
  <w:style w:type="character" w:customStyle="1" w:styleId="99">
    <w:name w:val="标题 3 Char"/>
    <w:qFormat/>
    <w:uiPriority w:val="0"/>
    <w:rPr>
      <w:rFonts w:ascii="黑体" w:hAnsi="宋体" w:eastAsia="黑体"/>
      <w:bCs/>
      <w:kern w:val="2"/>
      <w:sz w:val="28"/>
      <w:szCs w:val="28"/>
    </w:rPr>
  </w:style>
  <w:style w:type="character" w:customStyle="1" w:styleId="100">
    <w:name w:val="Char Char7"/>
    <w:qFormat/>
    <w:uiPriority w:val="0"/>
    <w:rPr>
      <w:rFonts w:ascii="Arial" w:hAnsi="Arial" w:eastAsia="黑体"/>
      <w:b/>
      <w:bCs/>
      <w:kern w:val="2"/>
      <w:sz w:val="32"/>
      <w:szCs w:val="32"/>
      <w:lang w:val="en-US" w:eastAsia="zh-CN" w:bidi="ar-SA"/>
    </w:rPr>
  </w:style>
  <w:style w:type="character" w:customStyle="1" w:styleId="101">
    <w:name w:val="font161"/>
    <w:qFormat/>
    <w:uiPriority w:val="0"/>
    <w:rPr>
      <w:b/>
      <w:bCs/>
      <w:sz w:val="32"/>
      <w:szCs w:val="32"/>
    </w:rPr>
  </w:style>
  <w:style w:type="character" w:customStyle="1" w:styleId="102">
    <w:name w:val="页眉 Char1"/>
    <w:link w:val="27"/>
    <w:unhideWhenUsed/>
    <w:qFormat/>
    <w:uiPriority w:val="99"/>
    <w:rPr>
      <w:rFonts w:hint="default" w:eastAsia="宋体"/>
      <w:kern w:val="2"/>
      <w:sz w:val="18"/>
      <w:lang w:val="en-US" w:eastAsia="zh-CN"/>
    </w:rPr>
  </w:style>
  <w:style w:type="character" w:customStyle="1" w:styleId="103">
    <w:name w:val="页眉 Char"/>
    <w:qFormat/>
    <w:uiPriority w:val="0"/>
    <w:rPr>
      <w:kern w:val="2"/>
      <w:sz w:val="18"/>
    </w:rPr>
  </w:style>
  <w:style w:type="paragraph" w:customStyle="1" w:styleId="104">
    <w:name w:val="Char Char2 Char Char"/>
    <w:basedOn w:val="14"/>
    <w:unhideWhenUsed/>
    <w:qFormat/>
    <w:uiPriority w:val="99"/>
    <w:rPr>
      <w:rFonts w:hint="eastAsia" w:ascii="Tahoma" w:hAnsi="Tahoma"/>
      <w:sz w:val="24"/>
    </w:rPr>
  </w:style>
  <w:style w:type="paragraph" w:customStyle="1" w:styleId="105">
    <w:name w:val="正文文本缩进1"/>
    <w:basedOn w:val="1"/>
    <w:qFormat/>
    <w:uiPriority w:val="0"/>
    <w:pPr>
      <w:spacing w:line="360" w:lineRule="auto"/>
      <w:ind w:firstLine="420"/>
    </w:pPr>
    <w:rPr>
      <w:rFonts w:ascii="宋体"/>
      <w:sz w:val="24"/>
    </w:rPr>
  </w:style>
  <w:style w:type="paragraph" w:customStyle="1" w:styleId="10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07">
    <w:name w:val="Personal Name"/>
    <w:basedOn w:val="39"/>
    <w:qFormat/>
    <w:uiPriority w:val="0"/>
    <w:rPr>
      <w:rFonts w:ascii="Impact" w:hAnsi="Impact"/>
      <w:b w:val="0"/>
      <w:caps/>
      <w:color w:val="000000"/>
      <w:sz w:val="28"/>
      <w:szCs w:val="28"/>
    </w:rPr>
  </w:style>
  <w:style w:type="paragraph" w:customStyle="1" w:styleId="108">
    <w:name w:val="表格文字"/>
    <w:basedOn w:val="1"/>
    <w:qFormat/>
    <w:uiPriority w:val="0"/>
    <w:pPr>
      <w:adjustRightInd w:val="0"/>
      <w:spacing w:line="420" w:lineRule="atLeast"/>
      <w:jc w:val="left"/>
      <w:textAlignment w:val="baseline"/>
    </w:pPr>
    <w:rPr>
      <w:kern w:val="0"/>
    </w:rPr>
  </w:style>
  <w:style w:type="paragraph" w:customStyle="1" w:styleId="109">
    <w:name w:val="1"/>
    <w:basedOn w:val="1"/>
    <w:next w:val="1"/>
    <w:qFormat/>
    <w:uiPriority w:val="0"/>
  </w:style>
  <w:style w:type="paragraph" w:customStyle="1" w:styleId="110">
    <w:name w:val="Char"/>
    <w:basedOn w:val="1"/>
    <w:qFormat/>
    <w:uiPriority w:val="0"/>
    <w:pPr>
      <w:tabs>
        <w:tab w:val="left" w:pos="360"/>
      </w:tabs>
    </w:pPr>
    <w:rPr>
      <w:sz w:val="24"/>
    </w:rPr>
  </w:style>
  <w:style w:type="paragraph" w:customStyle="1" w:styleId="111">
    <w:name w:val="样式4"/>
    <w:basedOn w:val="5"/>
    <w:qFormat/>
    <w:uiPriority w:val="0"/>
    <w:rPr>
      <w:rFonts w:eastAsia="Arial"/>
    </w:rPr>
  </w:style>
  <w:style w:type="paragraph" w:customStyle="1" w:styleId="112">
    <w:name w:val="默认段落字体 Para Char Char Char Char Char Char Char Char Char1 Char Char Char Char Char Char Char"/>
    <w:basedOn w:val="14"/>
    <w:qFormat/>
    <w:uiPriority w:val="0"/>
    <w:rPr>
      <w:rFonts w:ascii="Tahoma" w:hAnsi="Tahoma"/>
      <w:sz w:val="24"/>
      <w:lang w:val="en-US" w:eastAsia="zh-CN"/>
    </w:rPr>
  </w:style>
  <w:style w:type="paragraph" w:styleId="113">
    <w:name w:val="List Paragraph"/>
    <w:basedOn w:val="1"/>
    <w:qFormat/>
    <w:uiPriority w:val="34"/>
    <w:pPr>
      <w:ind w:firstLine="420" w:firstLineChars="200"/>
    </w:pPr>
  </w:style>
  <w:style w:type="paragraph" w:customStyle="1" w:styleId="114">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paragraph" w:customStyle="1" w:styleId="115">
    <w:name w:val="样式3"/>
    <w:basedOn w:val="5"/>
    <w:qFormat/>
    <w:uiPriority w:val="0"/>
    <w:rPr>
      <w:rFonts w:eastAsia="Arial"/>
    </w:rPr>
  </w:style>
  <w:style w:type="paragraph" w:customStyle="1" w:styleId="116">
    <w:name w:val="样式2"/>
    <w:basedOn w:val="5"/>
    <w:qFormat/>
    <w:uiPriority w:val="0"/>
  </w:style>
  <w:style w:type="paragraph" w:customStyle="1" w:styleId="117">
    <w:name w:val="纯文本1"/>
    <w:basedOn w:val="1"/>
    <w:qFormat/>
    <w:uiPriority w:val="0"/>
    <w:rPr>
      <w:rFonts w:ascii="宋体" w:hAnsi="Courier New"/>
      <w:sz w:val="28"/>
    </w:rPr>
  </w:style>
  <w:style w:type="paragraph" w:customStyle="1" w:styleId="118">
    <w:name w:val="样式 标题 2 + 黑色 行距: 1.5 倍行距"/>
    <w:basedOn w:val="4"/>
    <w:qFormat/>
    <w:uiPriority w:val="0"/>
    <w:pPr>
      <w:spacing w:line="360" w:lineRule="auto"/>
    </w:pPr>
    <w:rPr>
      <w:rFonts w:eastAsia="宋体" w:cs="宋体"/>
      <w:color w:val="000000"/>
    </w:rPr>
  </w:style>
  <w:style w:type="paragraph" w:customStyle="1" w:styleId="119">
    <w:name w:val="样式 标题 3 + (中文) 黑体 小四 非加粗 段前: 7.8 磅 段后: 0 磅 行距: 固定值 20 磅"/>
    <w:basedOn w:val="5"/>
    <w:qFormat/>
    <w:uiPriority w:val="0"/>
    <w:pPr>
      <w:spacing w:before="0" w:after="0" w:line="400" w:lineRule="exact"/>
    </w:pPr>
    <w:rPr>
      <w:rFonts w:cs="宋体"/>
      <w:b/>
      <w:bCs/>
    </w:rPr>
  </w:style>
  <w:style w:type="paragraph" w:customStyle="1" w:styleId="120">
    <w:name w:val="样式1"/>
    <w:basedOn w:val="5"/>
    <w:qFormat/>
    <w:uiPriority w:val="0"/>
    <w:rPr>
      <w:rFonts w:eastAsia="Arial"/>
    </w:rPr>
  </w:style>
  <w:style w:type="paragraph" w:customStyle="1" w:styleId="121">
    <w:name w:val="TOC Heading"/>
    <w:basedOn w:val="3"/>
    <w:next w:val="1"/>
    <w:qFormat/>
    <w:uiPriority w:val="39"/>
    <w:pPr>
      <w:spacing w:line="578" w:lineRule="auto"/>
      <w:outlineLvl w:val="9"/>
    </w:pPr>
  </w:style>
  <w:style w:type="paragraph" w:customStyle="1" w:styleId="122">
    <w:name w:val="纯文本11"/>
    <w:basedOn w:val="1"/>
    <w:qFormat/>
    <w:uiPriority w:val="0"/>
    <w:pPr>
      <w:adjustRightInd w:val="0"/>
      <w:textAlignment w:val="baseline"/>
    </w:pPr>
    <w:rPr>
      <w:rFonts w:ascii="宋体" w:hAnsi="Courier New" w:eastAsia="楷体_GB2312"/>
      <w:sz w:val="26"/>
    </w:rPr>
  </w:style>
  <w:style w:type="paragraph" w:customStyle="1" w:styleId="123">
    <w:name w:val="表格"/>
    <w:basedOn w:val="1"/>
    <w:qFormat/>
    <w:uiPriority w:val="0"/>
    <w:pPr>
      <w:jc w:val="center"/>
      <w:textAlignment w:val="center"/>
    </w:pPr>
    <w:rPr>
      <w:rFonts w:ascii="华文细黑" w:hAnsi="华文细黑"/>
      <w:kern w:val="0"/>
    </w:rPr>
  </w:style>
  <w:style w:type="paragraph" w:customStyle="1" w:styleId="12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5">
    <w:name w:val="标题 2 + 黑色 行距: 1.5 倍行距"/>
    <w:basedOn w:val="4"/>
    <w:qFormat/>
    <w:uiPriority w:val="0"/>
    <w:pPr>
      <w:spacing w:line="360" w:lineRule="auto"/>
    </w:pPr>
    <w:rPr>
      <w:rFonts w:eastAsia="宋体" w:cs="宋体"/>
      <w:color w:val="000000"/>
      <w:szCs w:val="20"/>
    </w:rPr>
  </w:style>
  <w:style w:type="character" w:customStyle="1" w:styleId="126">
    <w:name w:val="short_text"/>
    <w:basedOn w:val="43"/>
    <w:qFormat/>
    <w:uiPriority w:val="0"/>
  </w:style>
  <w:style w:type="paragraph" w:customStyle="1" w:styleId="127">
    <w:name w:val="列出段落1"/>
    <w:qFormat/>
    <w:uiPriority w:val="0"/>
    <w:pPr>
      <w:widowControl w:val="0"/>
      <w:ind w:firstLine="420"/>
      <w:jc w:val="both"/>
    </w:pPr>
    <w:rPr>
      <w:rFonts w:ascii="Calibri" w:hAnsi="Calibri"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6192</Words>
  <Characters>35299</Characters>
  <Lines>294</Lines>
  <Paragraphs>82</Paragraphs>
  <TotalTime>53</TotalTime>
  <ScaleCrop>false</ScaleCrop>
  <LinksUpToDate>false</LinksUpToDate>
  <CharactersWithSpaces>41409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2019-05-23T00:59:00Z</dcterms:created>
  <dc:creator>kikmfga</dc:creator>
  <cp:lastModifiedBy>Administrator</cp:lastModifiedBy>
  <cp:lastPrinted>2020-07-31T00:35:00Z</cp:lastPrinted>
  <dcterms:modified xsi:type="dcterms:W3CDTF">2020-08-27T07:48:53Z</dcterms:modified>
  <dc:title>江苏省房屋建筑和市政基础设施工程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