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FD4E0">
      <w:pPr>
        <w:pStyle w:val="17"/>
        <w:widowControl/>
        <w:shd w:val="clear"/>
        <w:spacing w:line="440" w:lineRule="exact"/>
        <w:rPr>
          <w:rFonts w:ascii="宋体" w:hAnsi="宋体" w:cs="宋体"/>
          <w:b/>
          <w:color w:val="000000" w:themeColor="text1"/>
          <w:sz w:val="44"/>
          <w:szCs w:val="44"/>
          <w:highlight w:val="none"/>
          <w:shd w:val="clear" w:color="auto" w:fill="FFFFFF"/>
          <w14:textFill>
            <w14:solidFill>
              <w14:schemeClr w14:val="tx1"/>
            </w14:solidFill>
          </w14:textFill>
        </w:rPr>
      </w:pPr>
    </w:p>
    <w:p w14:paraId="3FDC05AC">
      <w:pPr>
        <w:pStyle w:val="17"/>
        <w:widowControl/>
        <w:shd w:val="clear"/>
        <w:spacing w:line="440" w:lineRule="exact"/>
        <w:rPr>
          <w:rFonts w:ascii="宋体" w:hAnsi="宋体" w:cs="宋体"/>
          <w:b/>
          <w:color w:val="000000" w:themeColor="text1"/>
          <w:sz w:val="44"/>
          <w:szCs w:val="44"/>
          <w:highlight w:val="none"/>
          <w:shd w:val="clear" w:color="auto" w:fill="FFFFFF"/>
          <w14:textFill>
            <w14:solidFill>
              <w14:schemeClr w14:val="tx1"/>
            </w14:solidFill>
          </w14:textFill>
        </w:rPr>
      </w:pPr>
    </w:p>
    <w:p w14:paraId="757D9708">
      <w:pPr>
        <w:pStyle w:val="17"/>
        <w:widowControl/>
        <w:shd w:val="clear"/>
        <w:spacing w:line="360" w:lineRule="auto"/>
        <w:jc w:val="center"/>
        <w:rPr>
          <w:rFonts w:hint="eastAsia" w:ascii="宋体" w:hAnsi="宋体" w:eastAsia="宋体" w:cs="宋体"/>
          <w:color w:val="000000" w:themeColor="text1"/>
          <w:sz w:val="52"/>
          <w:szCs w:val="52"/>
          <w:highlight w:val="none"/>
          <w:lang w:eastAsia="zh-CN"/>
          <w14:textFill>
            <w14:solidFill>
              <w14:schemeClr w14:val="tx1"/>
            </w14:solidFill>
          </w14:textFill>
        </w:rPr>
      </w:pPr>
      <w:r>
        <w:rPr>
          <w:rFonts w:hint="eastAsia" w:ascii="宋体" w:hAnsi="宋体" w:cs="宋体"/>
          <w:b/>
          <w:bCs/>
          <w:color w:val="000000" w:themeColor="text1"/>
          <w:sz w:val="52"/>
          <w:szCs w:val="52"/>
          <w:highlight w:val="none"/>
          <w:lang w:eastAsia="zh-CN"/>
          <w14:textFill>
            <w14:solidFill>
              <w14:schemeClr w14:val="tx1"/>
            </w14:solidFill>
          </w14:textFill>
        </w:rPr>
        <w:t>盐城市大丰区第二人民医院食堂对外招租服务项目</w:t>
      </w:r>
    </w:p>
    <w:p w14:paraId="2F93BF70">
      <w:pPr>
        <w:pStyle w:val="17"/>
        <w:widowControl/>
        <w:shd w:val="clear"/>
        <w:spacing w:line="440" w:lineRule="exact"/>
        <w:jc w:val="center"/>
        <w:rPr>
          <w:rFonts w:ascii="宋体" w:hAnsi="宋体" w:cs="宋体"/>
          <w:color w:val="000000" w:themeColor="text1"/>
          <w:sz w:val="44"/>
          <w:szCs w:val="44"/>
          <w:highlight w:val="none"/>
          <w14:textFill>
            <w14:solidFill>
              <w14:schemeClr w14:val="tx1"/>
            </w14:solidFill>
          </w14:textFill>
        </w:rPr>
      </w:pPr>
    </w:p>
    <w:p w14:paraId="459CFBF3">
      <w:pPr>
        <w:pStyle w:val="17"/>
        <w:widowControl/>
        <w:shd w:val="clear"/>
        <w:spacing w:line="440" w:lineRule="exact"/>
        <w:jc w:val="center"/>
        <w:rPr>
          <w:rFonts w:ascii="宋体" w:hAnsi="宋体" w:cs="宋体"/>
          <w:color w:val="000000" w:themeColor="text1"/>
          <w:sz w:val="44"/>
          <w:szCs w:val="44"/>
          <w:highlight w:val="none"/>
          <w14:textFill>
            <w14:solidFill>
              <w14:schemeClr w14:val="tx1"/>
            </w14:solidFill>
          </w14:textFill>
        </w:rPr>
      </w:pPr>
    </w:p>
    <w:p w14:paraId="7EF3ECDA">
      <w:pPr>
        <w:pStyle w:val="17"/>
        <w:widowControl/>
        <w:shd w:val="clear"/>
        <w:spacing w:line="440" w:lineRule="exact"/>
        <w:jc w:val="center"/>
        <w:rPr>
          <w:rFonts w:ascii="宋体" w:hAnsi="宋体" w:cs="宋体"/>
          <w:color w:val="000000" w:themeColor="text1"/>
          <w:sz w:val="44"/>
          <w:szCs w:val="44"/>
          <w:highlight w:val="none"/>
          <w14:textFill>
            <w14:solidFill>
              <w14:schemeClr w14:val="tx1"/>
            </w14:solidFill>
          </w14:textFill>
        </w:rPr>
      </w:pPr>
    </w:p>
    <w:p w14:paraId="44300D6F">
      <w:pPr>
        <w:pStyle w:val="17"/>
        <w:widowControl/>
        <w:shd w:val="clear"/>
        <w:spacing w:line="440" w:lineRule="exact"/>
        <w:jc w:val="center"/>
        <w:rPr>
          <w:rFonts w:ascii="宋体" w:hAnsi="宋体" w:cs="宋体"/>
          <w:color w:val="000000" w:themeColor="text1"/>
          <w:sz w:val="44"/>
          <w:szCs w:val="44"/>
          <w:highlight w:val="none"/>
          <w14:textFill>
            <w14:solidFill>
              <w14:schemeClr w14:val="tx1"/>
            </w14:solidFill>
          </w14:textFill>
        </w:rPr>
      </w:pPr>
    </w:p>
    <w:p w14:paraId="42977F42">
      <w:pPr>
        <w:pStyle w:val="17"/>
        <w:widowControl/>
        <w:shd w:val="clear"/>
        <w:spacing w:line="4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44"/>
          <w:szCs w:val="44"/>
          <w:highlight w:val="none"/>
          <w:shd w:val="clear" w:color="auto" w:fill="FFFFFF"/>
          <w14:textFill>
            <w14:solidFill>
              <w14:schemeClr w14:val="tx1"/>
            </w14:solidFill>
          </w14:textFill>
        </w:rPr>
        <w:t>公开招租文件</w:t>
      </w:r>
      <w:r>
        <w:rPr>
          <w:rFonts w:hint="eastAsia" w:ascii="宋体" w:hAnsi="宋体" w:cs="宋体"/>
          <w:b/>
          <w:color w:val="000000" w:themeColor="text1"/>
          <w:sz w:val="44"/>
          <w:szCs w:val="44"/>
          <w:highlight w:val="none"/>
          <w:shd w:val="clear" w:color="auto" w:fill="FFFFFF"/>
          <w:lang w:eastAsia="zh-CN"/>
          <w14:textFill>
            <w14:solidFill>
              <w14:schemeClr w14:val="tx1"/>
            </w14:solidFill>
          </w14:textFill>
        </w:rPr>
        <w:t>（</w:t>
      </w:r>
      <w:r>
        <w:rPr>
          <w:rFonts w:hint="eastAsia" w:ascii="宋体" w:hAnsi="宋体" w:cs="宋体"/>
          <w:b/>
          <w:color w:val="000000" w:themeColor="text1"/>
          <w:sz w:val="44"/>
          <w:szCs w:val="44"/>
          <w:highlight w:val="none"/>
          <w:shd w:val="clear" w:color="auto" w:fill="FFFFFF"/>
          <w:lang w:val="en-US" w:eastAsia="zh-CN"/>
          <w14:textFill>
            <w14:solidFill>
              <w14:schemeClr w14:val="tx1"/>
            </w14:solidFill>
          </w14:textFill>
        </w:rPr>
        <w:t>二次</w:t>
      </w:r>
      <w:r>
        <w:rPr>
          <w:rFonts w:hint="eastAsia" w:ascii="宋体" w:hAnsi="宋体" w:cs="宋体"/>
          <w:b/>
          <w:color w:val="000000" w:themeColor="text1"/>
          <w:sz w:val="44"/>
          <w:szCs w:val="44"/>
          <w:highlight w:val="none"/>
          <w:shd w:val="clear" w:color="auto" w:fill="FFFFFF"/>
          <w:lang w:eastAsia="zh-CN"/>
          <w14:textFill>
            <w14:solidFill>
              <w14:schemeClr w14:val="tx1"/>
            </w14:solidFill>
          </w14:textFill>
        </w:rPr>
        <w:t>）</w:t>
      </w:r>
    </w:p>
    <w:p w14:paraId="0D7303D5">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p>
    <w:p w14:paraId="26409AD7">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32"/>
          <w:szCs w:val="32"/>
          <w:highlight w:val="none"/>
          <w:shd w:val="clear" w:color="auto" w:fill="FFFFFF"/>
          <w14:textFill>
            <w14:solidFill>
              <w14:schemeClr w14:val="tx1"/>
            </w14:solidFill>
          </w14:textFill>
        </w:rPr>
        <w:t>项目编号：DFCG202406010</w:t>
      </w:r>
    </w:p>
    <w:p w14:paraId="2F3FEEB2">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p>
    <w:p w14:paraId="15064DDA">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p>
    <w:p w14:paraId="47BC0D53">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p>
    <w:p w14:paraId="571D78C1">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p>
    <w:p w14:paraId="2CF4A837">
      <w:pPr>
        <w:pStyle w:val="17"/>
        <w:widowControl/>
        <w:shd w:val="clear"/>
        <w:spacing w:line="440" w:lineRule="exact"/>
        <w:ind w:firstLine="36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36"/>
          <w:szCs w:val="36"/>
          <w:highlight w:val="none"/>
          <w:shd w:val="clear" w:color="auto" w:fill="FFFFFF"/>
          <w14:textFill>
            <w14:solidFill>
              <w14:schemeClr w14:val="tx1"/>
            </w14:solidFill>
          </w14:textFill>
        </w:rPr>
        <w:t>招 租 人：</w:t>
      </w:r>
      <w:r>
        <w:rPr>
          <w:rFonts w:hint="eastAsia" w:ascii="宋体" w:hAnsi="宋体" w:cs="宋体"/>
          <w:color w:val="000000" w:themeColor="text1"/>
          <w:sz w:val="36"/>
          <w:szCs w:val="36"/>
          <w:highlight w:val="none"/>
          <w:shd w:val="clear" w:color="auto" w:fill="FFFFFF"/>
          <w:lang w:eastAsia="zh-CN"/>
          <w14:textFill>
            <w14:solidFill>
              <w14:schemeClr w14:val="tx1"/>
            </w14:solidFill>
          </w14:textFill>
        </w:rPr>
        <w:t>盐城市大丰区第二人民医院</w:t>
      </w:r>
    </w:p>
    <w:p w14:paraId="0BA2C38A">
      <w:pPr>
        <w:pStyle w:val="17"/>
        <w:widowControl/>
        <w:shd w:val="clear"/>
        <w:spacing w:line="4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36"/>
          <w:szCs w:val="36"/>
          <w:highlight w:val="none"/>
          <w:shd w:val="clear" w:color="auto" w:fill="FFFFFF"/>
          <w14:textFill>
            <w14:solidFill>
              <w14:schemeClr w14:val="tx1"/>
            </w14:solidFill>
          </w14:textFill>
        </w:rPr>
        <w:t>代理机构：江苏昱丰华项目管理有限公司</w:t>
      </w:r>
    </w:p>
    <w:p w14:paraId="5DF80AA2">
      <w:pPr>
        <w:pStyle w:val="17"/>
        <w:widowControl/>
        <w:shd w:val="clear"/>
        <w:spacing w:line="440" w:lineRule="exact"/>
        <w:jc w:val="center"/>
        <w:rPr>
          <w:rFonts w:ascii="宋体" w:hAnsi="宋体" w:cs="宋体"/>
          <w:color w:val="000000" w:themeColor="text1"/>
          <w:sz w:val="36"/>
          <w:szCs w:val="36"/>
          <w:highlight w:val="none"/>
          <w:shd w:val="clear" w:color="auto" w:fill="FFFFFF"/>
          <w14:textFill>
            <w14:solidFill>
              <w14:schemeClr w14:val="tx1"/>
            </w14:solidFill>
          </w14:textFill>
        </w:rPr>
      </w:pPr>
      <w:r>
        <w:rPr>
          <w:rFonts w:hint="eastAsia" w:ascii="宋体" w:hAnsi="宋体" w:cs="宋体"/>
          <w:color w:val="000000" w:themeColor="text1"/>
          <w:sz w:val="36"/>
          <w:szCs w:val="36"/>
          <w:highlight w:val="none"/>
          <w:shd w:val="clear" w:color="auto" w:fill="FFFFFF"/>
          <w14:textFill>
            <w14:solidFill>
              <w14:schemeClr w14:val="tx1"/>
            </w14:solidFill>
          </w14:textFill>
        </w:rPr>
        <w:t>二O二</w:t>
      </w:r>
      <w:r>
        <w:rPr>
          <w:rFonts w:hint="eastAsia" w:ascii="宋体" w:hAnsi="宋体" w:cs="宋体"/>
          <w:color w:val="000000" w:themeColor="text1"/>
          <w:sz w:val="36"/>
          <w:szCs w:val="36"/>
          <w:highlight w:val="none"/>
          <w:shd w:val="clear" w:color="auto" w:fill="FFFFFF"/>
          <w:lang w:val="en-US" w:eastAsia="zh-CN"/>
          <w14:textFill>
            <w14:solidFill>
              <w14:schemeClr w14:val="tx1"/>
            </w14:solidFill>
          </w14:textFill>
        </w:rPr>
        <w:t>四</w:t>
      </w:r>
      <w:r>
        <w:rPr>
          <w:rFonts w:hint="eastAsia" w:ascii="宋体" w:hAnsi="宋体" w:cs="宋体"/>
          <w:color w:val="000000" w:themeColor="text1"/>
          <w:sz w:val="36"/>
          <w:szCs w:val="36"/>
          <w:highlight w:val="none"/>
          <w:shd w:val="clear" w:color="auto" w:fill="FFFFFF"/>
          <w14:textFill>
            <w14:solidFill>
              <w14:schemeClr w14:val="tx1"/>
            </w14:solidFill>
          </w14:textFill>
        </w:rPr>
        <w:t>年</w:t>
      </w:r>
      <w:r>
        <w:rPr>
          <w:rFonts w:hint="eastAsia" w:ascii="宋体" w:hAnsi="宋体" w:cs="宋体"/>
          <w:color w:val="000000" w:themeColor="text1"/>
          <w:sz w:val="36"/>
          <w:szCs w:val="36"/>
          <w:highlight w:val="none"/>
          <w:shd w:val="clear" w:color="auto" w:fill="FFFFFF"/>
          <w:lang w:val="en-US" w:eastAsia="zh-CN"/>
          <w14:textFill>
            <w14:solidFill>
              <w14:schemeClr w14:val="tx1"/>
            </w14:solidFill>
          </w14:textFill>
        </w:rPr>
        <w:t>七</w:t>
      </w:r>
      <w:r>
        <w:rPr>
          <w:rFonts w:hint="eastAsia" w:ascii="宋体" w:hAnsi="宋体" w:cs="宋体"/>
          <w:color w:val="000000" w:themeColor="text1"/>
          <w:sz w:val="36"/>
          <w:szCs w:val="36"/>
          <w:highlight w:val="none"/>
          <w:shd w:val="clear" w:color="auto" w:fill="FFFFFF"/>
          <w14:textFill>
            <w14:solidFill>
              <w14:schemeClr w14:val="tx1"/>
            </w14:solidFill>
          </w14:textFill>
        </w:rPr>
        <w:t>月</w:t>
      </w:r>
    </w:p>
    <w:p w14:paraId="27A31BC4">
      <w:pPr>
        <w:pStyle w:val="17"/>
        <w:widowControl/>
        <w:shd w:val="clear"/>
        <w:spacing w:line="440" w:lineRule="exact"/>
        <w:jc w:val="center"/>
        <w:rPr>
          <w:rFonts w:ascii="宋体" w:hAnsi="宋体" w:cs="宋体"/>
          <w:color w:val="000000" w:themeColor="text1"/>
          <w:sz w:val="36"/>
          <w:szCs w:val="36"/>
          <w:highlight w:val="none"/>
          <w:shd w:val="clear" w:color="auto" w:fill="FFFFFF"/>
          <w14:textFill>
            <w14:solidFill>
              <w14:schemeClr w14:val="tx1"/>
            </w14:solidFill>
          </w14:textFill>
        </w:rPr>
      </w:pPr>
    </w:p>
    <w:p w14:paraId="6B5EEE40">
      <w:pPr>
        <w:pStyle w:val="17"/>
        <w:widowControl/>
        <w:shd w:val="clear"/>
        <w:spacing w:afterLines="50"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sectPr>
          <w:footerReference r:id="rId3" w:type="default"/>
          <w:pgSz w:w="11912" w:h="16841"/>
          <w:pgMar w:top="1118" w:right="1011" w:bottom="884" w:left="1709" w:header="0" w:footer="724" w:gutter="0"/>
          <w:cols w:equalWidth="0" w:num="1">
            <w:col w:w="9191"/>
          </w:cols>
        </w:sectPr>
      </w:pPr>
    </w:p>
    <w:p w14:paraId="2D61F2FA">
      <w:pPr>
        <w:pStyle w:val="17"/>
        <w:widowControl/>
        <w:shd w:val="clear"/>
        <w:spacing w:beforeAutospacing="0" w:afterAutospacing="0" w:line="400" w:lineRule="exact"/>
        <w:jc w:val="center"/>
        <w:rPr>
          <w:rFonts w:hint="eastAsia" w:ascii="宋体" w:hAnsi="宋体" w:eastAsia="宋体" w:cs="宋体"/>
          <w:b/>
          <w:color w:val="000000" w:themeColor="text1"/>
          <w:sz w:val="32"/>
          <w:szCs w:val="32"/>
          <w:highlight w:val="none"/>
          <w:shd w:val="clear" w:color="auto" w:fill="FFFFFF"/>
          <w:lang w:eastAsia="zh-CN"/>
          <w14:textFill>
            <w14:solidFill>
              <w14:schemeClr w14:val="tx1"/>
            </w14:solidFill>
          </w14:textFill>
        </w:rPr>
      </w:pPr>
      <w:r>
        <w:rPr>
          <w:rFonts w:hint="eastAsia" w:ascii="宋体" w:hAnsi="宋体" w:cs="宋体"/>
          <w:b/>
          <w:color w:val="000000" w:themeColor="text1"/>
          <w:sz w:val="32"/>
          <w:szCs w:val="32"/>
          <w:highlight w:val="none"/>
          <w:shd w:val="clear" w:color="auto" w:fill="FFFFFF"/>
          <w:lang w:eastAsia="zh-CN"/>
          <w14:textFill>
            <w14:solidFill>
              <w14:schemeClr w14:val="tx1"/>
            </w14:solidFill>
          </w14:textFill>
        </w:rPr>
        <w:t>盐城市大丰区第二人民医院食堂对外招租服务项目</w:t>
      </w:r>
    </w:p>
    <w:p w14:paraId="7E41E377">
      <w:pPr>
        <w:pStyle w:val="17"/>
        <w:widowControl/>
        <w:shd w:val="clear"/>
        <w:spacing w:beforeAutospacing="0" w:afterAutospacing="0" w:line="40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公开招租公告</w:t>
      </w:r>
    </w:p>
    <w:p w14:paraId="156CE8F5">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u w:val="single"/>
          <w:shd w:val="clear" w:color="auto" w:fill="FFFFFF"/>
          <w:lang w:eastAsia="zh-CN"/>
          <w14:textFill>
            <w14:solidFill>
              <w14:schemeClr w14:val="tx1"/>
            </w14:solidFill>
          </w14:textFill>
        </w:rPr>
        <w:t>盐城市大丰区第二人民医院</w:t>
      </w:r>
      <w:r>
        <w:rPr>
          <w:rFonts w:hint="eastAsia" w:ascii="宋体" w:hAnsi="宋体" w:cs="宋体"/>
          <w:color w:val="000000" w:themeColor="text1"/>
          <w:highlight w:val="none"/>
          <w:shd w:val="clear" w:color="auto" w:fill="FFFFFF"/>
          <w14:textFill>
            <w14:solidFill>
              <w14:schemeClr w14:val="tx1"/>
            </w14:solidFill>
          </w14:textFill>
        </w:rPr>
        <w:t>拟将</w:t>
      </w:r>
      <w:r>
        <w:rPr>
          <w:rFonts w:hint="eastAsia" w:ascii="宋体" w:hAnsi="宋体" w:cs="宋体"/>
          <w:color w:val="000000" w:themeColor="text1"/>
          <w:highlight w:val="none"/>
          <w:u w:val="single"/>
          <w:shd w:val="clear" w:color="auto" w:fill="FFFFFF"/>
          <w:lang w:eastAsia="zh-CN"/>
          <w14:textFill>
            <w14:solidFill>
              <w14:schemeClr w14:val="tx1"/>
            </w14:solidFill>
          </w14:textFill>
        </w:rPr>
        <w:t>盐城市大丰区第二人民医院食堂对外招租服务项目</w:t>
      </w:r>
      <w:r>
        <w:rPr>
          <w:rFonts w:hint="eastAsia" w:ascii="宋体" w:hAnsi="宋体" w:cs="宋体"/>
          <w:color w:val="000000" w:themeColor="text1"/>
          <w:highlight w:val="none"/>
          <w:shd w:val="clear" w:color="auto" w:fill="FFFFFF"/>
          <w14:textFill>
            <w14:solidFill>
              <w14:schemeClr w14:val="tx1"/>
            </w14:solidFill>
          </w14:textFill>
        </w:rPr>
        <w:t>对外采取公开招租方式出租，欢迎有意承租单位参加报名投标。</w:t>
      </w:r>
    </w:p>
    <w:p w14:paraId="58B2501B">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一、位置</w:t>
      </w:r>
    </w:p>
    <w:p w14:paraId="76864971">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lang w:eastAsia="zh-CN"/>
          <w14:textFill>
            <w14:solidFill>
              <w14:schemeClr w14:val="tx1"/>
            </w14:solidFill>
          </w14:textFill>
        </w:rPr>
        <w:t>盐城市大丰区第二人民医院</w:t>
      </w:r>
      <w:r>
        <w:rPr>
          <w:rFonts w:hint="eastAsia" w:ascii="宋体" w:hAnsi="宋体" w:cs="宋体"/>
          <w:bCs/>
          <w:color w:val="000000" w:themeColor="text1"/>
          <w:highlight w:val="none"/>
          <w:shd w:val="clear" w:color="auto" w:fill="FFFFFF"/>
          <w14:textFill>
            <w14:solidFill>
              <w14:schemeClr w14:val="tx1"/>
            </w14:solidFill>
          </w14:textFill>
        </w:rPr>
        <w:t>内。</w:t>
      </w:r>
    </w:p>
    <w:p w14:paraId="3560F78C">
      <w:pPr>
        <w:pStyle w:val="17"/>
        <w:widowControl/>
        <w:shd w:val="clear"/>
        <w:spacing w:beforeAutospacing="0" w:afterAutospacing="0" w:line="400" w:lineRule="exact"/>
        <w:ind w:firstLine="482" w:firstLineChars="200"/>
        <w:jc w:val="both"/>
        <w:rPr>
          <w:rFonts w:ascii="宋体" w:hAnsi="宋体" w:cs="宋体"/>
          <w:b/>
          <w:color w:val="000000" w:themeColor="text1"/>
          <w:highlight w:val="none"/>
          <w:shd w:val="clear" w:color="auto" w:fill="FFFFFF"/>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二、服务要求</w:t>
      </w:r>
    </w:p>
    <w:p w14:paraId="1C19C706">
      <w:pPr>
        <w:pStyle w:val="17"/>
        <w:widowControl/>
        <w:shd w:val="clear"/>
        <w:spacing w:beforeAutospacing="0" w:afterAutospacing="0" w:line="400" w:lineRule="exact"/>
        <w:ind w:firstLine="482" w:firstLineChars="200"/>
        <w:jc w:val="both"/>
        <w:rPr>
          <w:rFonts w:hint="eastAsia" w:ascii="宋体" w:hAnsi="宋体" w:cs="宋体"/>
          <w:b/>
          <w:color w:val="000000" w:themeColor="text1"/>
          <w:highlight w:val="none"/>
          <w:shd w:val="clear" w:color="auto" w:fill="FFFFFF"/>
          <w:lang w:eastAsia="zh-CN"/>
          <w14:textFill>
            <w14:solidFill>
              <w14:schemeClr w14:val="tx1"/>
            </w14:solidFill>
          </w14:textFill>
        </w:rPr>
      </w:pPr>
      <w:r>
        <w:rPr>
          <w:rFonts w:hint="eastAsia" w:ascii="宋体" w:hAnsi="宋体" w:cs="宋体"/>
          <w:b/>
          <w:color w:val="000000" w:themeColor="text1"/>
          <w:highlight w:val="none"/>
          <w:shd w:val="clear" w:color="auto" w:fill="FFFFFF"/>
          <w:lang w:eastAsia="zh-CN"/>
          <w14:textFill>
            <w14:solidFill>
              <w14:schemeClr w14:val="tx1"/>
            </w14:solidFill>
          </w14:textFill>
        </w:rPr>
        <w:t>依法依规服从招租</w:t>
      </w:r>
      <w:r>
        <w:rPr>
          <w:rFonts w:hint="eastAsia" w:ascii="宋体" w:hAnsi="宋体" w:cs="宋体"/>
          <w:b/>
          <w:color w:val="000000" w:themeColor="text1"/>
          <w:highlight w:val="none"/>
          <w:shd w:val="clear" w:color="auto" w:fill="FFFFFF"/>
          <w:lang w:val="en-US" w:eastAsia="zh-CN"/>
          <w14:textFill>
            <w14:solidFill>
              <w14:schemeClr w14:val="tx1"/>
            </w14:solidFill>
          </w14:textFill>
        </w:rPr>
        <w:t>人</w:t>
      </w:r>
      <w:r>
        <w:rPr>
          <w:rFonts w:hint="eastAsia" w:ascii="宋体" w:hAnsi="宋体" w:cs="宋体"/>
          <w:b/>
          <w:color w:val="000000" w:themeColor="text1"/>
          <w:highlight w:val="none"/>
          <w:shd w:val="clear" w:color="auto" w:fill="FFFFFF"/>
          <w:lang w:eastAsia="zh-CN"/>
          <w14:textFill>
            <w14:solidFill>
              <w14:schemeClr w14:val="tx1"/>
            </w14:solidFill>
          </w14:textFill>
        </w:rPr>
        <w:t>每周的菜谱管理（附近期菜谱）或自行安排菜谱但需经院方审核通过，准备早、中、晚三餐，满足患者、患者家属及医院职工就餐需求，本着为人民服务的理念，为患者服务。未经招租单位书面许可，承租单位不得转租、分租、转让、转借、联营、入股或与他人调剂交换，如有上述情况招租单位有权追究承租单位违约责任。</w:t>
      </w:r>
    </w:p>
    <w:p w14:paraId="465D2185">
      <w:pPr>
        <w:pStyle w:val="17"/>
        <w:widowControl/>
        <w:numPr>
          <w:ilvl w:val="0"/>
          <w:numId w:val="1"/>
        </w:numPr>
        <w:shd w:val="clear"/>
        <w:spacing w:beforeAutospacing="0" w:afterAutospacing="0" w:line="400" w:lineRule="exact"/>
        <w:ind w:firstLine="482" w:firstLineChars="200"/>
        <w:jc w:val="both"/>
        <w:rPr>
          <w:rFonts w:hint="eastAsia" w:ascii="宋体" w:hAnsi="宋体" w:cs="宋体"/>
          <w:b/>
          <w:color w:val="000000" w:themeColor="text1"/>
          <w:highlight w:val="none"/>
          <w:shd w:val="clear" w:color="auto" w:fill="FFFFFF"/>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承租单位资格</w:t>
      </w:r>
    </w:p>
    <w:p w14:paraId="1F475369">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1、具有订立合同能力的独立法人企业或其他组织。</w:t>
      </w:r>
    </w:p>
    <w:p w14:paraId="3926FA70">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lang w:val="en-US" w:eastAsia="zh-CN"/>
          <w14:textFill>
            <w14:solidFill>
              <w14:schemeClr w14:val="tx1"/>
            </w14:solidFill>
          </w14:textFill>
        </w:rPr>
        <w:t>2</w:t>
      </w:r>
      <w:r>
        <w:rPr>
          <w:rFonts w:hint="eastAsia" w:ascii="宋体" w:hAnsi="宋体" w:cs="宋体"/>
          <w:bCs/>
          <w:color w:val="000000" w:themeColor="text1"/>
          <w:highlight w:val="none"/>
          <w:shd w:val="clear" w:color="auto" w:fill="FFFFFF"/>
          <w14:textFill>
            <w14:solidFill>
              <w14:schemeClr w14:val="tx1"/>
            </w14:solidFill>
          </w14:textFill>
        </w:rPr>
        <w:t>、本次竞租不接受承租单位以联合体形式参加竞租，不接受挂靠；</w:t>
      </w:r>
    </w:p>
    <w:p w14:paraId="1DD066FB">
      <w:pPr>
        <w:pStyle w:val="17"/>
        <w:widowControl/>
        <w:shd w:val="clear"/>
        <w:spacing w:beforeAutospacing="0" w:afterAutospacing="0" w:line="400" w:lineRule="exact"/>
        <w:ind w:firstLine="480" w:firstLineChars="200"/>
        <w:jc w:val="both"/>
        <w:rPr>
          <w:rFonts w:hint="eastAsia" w:ascii="宋体" w:hAnsi="宋体" w:cs="宋体"/>
          <w:b/>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lang w:val="en-US" w:eastAsia="zh-CN"/>
          <w14:textFill>
            <w14:solidFill>
              <w14:schemeClr w14:val="tx1"/>
            </w14:solidFill>
          </w14:textFill>
        </w:rPr>
        <w:t>3</w:t>
      </w:r>
      <w:r>
        <w:rPr>
          <w:rFonts w:hint="eastAsia" w:ascii="宋体" w:hAnsi="宋体" w:cs="宋体"/>
          <w:bCs/>
          <w:color w:val="000000" w:themeColor="text1"/>
          <w:highlight w:val="none"/>
          <w:shd w:val="clear" w:color="auto" w:fill="FFFFFF"/>
          <w14:textFill>
            <w14:solidFill>
              <w14:schemeClr w14:val="tx1"/>
            </w14:solidFill>
          </w14:textFill>
        </w:rPr>
        <w:t>、承租单位或其法人代表不得为失信被执行人（承租单位自行通过“信用中国”网站（www.creditchina.gov.cn）及中国执行信息公开网（http://zxgk.court.gov.cn/）查询，若为失信被执行人或失信惩戒不得参与此次竞租。</w:t>
      </w:r>
    </w:p>
    <w:p w14:paraId="3CAA843B">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四、租赁期限</w:t>
      </w:r>
    </w:p>
    <w:p w14:paraId="64701956">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二年，租赁期限自招租中标人实际签订合同之日起算</w:t>
      </w:r>
      <w:r>
        <w:rPr>
          <w:rFonts w:hint="eastAsia" w:ascii="宋体" w:hAnsi="宋体" w:cs="宋体"/>
          <w:color w:val="000000" w:themeColor="text1"/>
          <w:highlight w:val="none"/>
          <w:shd w:val="clear" w:color="auto" w:fill="FFFFFF"/>
          <w14:textFill>
            <w14:solidFill>
              <w14:schemeClr w14:val="tx1"/>
            </w14:solidFill>
          </w14:textFill>
        </w:rPr>
        <w:t>。</w:t>
      </w:r>
    </w:p>
    <w:p w14:paraId="5C30BEAB">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五、租金和履约保证金缴纳时间</w:t>
      </w:r>
    </w:p>
    <w:p w14:paraId="57C70514">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租金缴纳方式：中标人签署中标确认书后3日内支付第一年度的租金至盐城市大丰第二人民医院指定账户，同时签订租赁合同。第二年在第一年年度签订租赁合同同一时间支付第二年度的租金至盐城市大丰区第二人民医院指定账户。未及时缴纳的，视同中标人自动放弃履约，中标人缴纳的相关费用不予退还并依法追偿损失。</w:t>
      </w:r>
    </w:p>
    <w:p w14:paraId="2CB428D6">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2、履约保证金缴纳时间：</w:t>
      </w:r>
      <w:r>
        <w:rPr>
          <w:rFonts w:hint="eastAsia" w:ascii="宋体" w:hAnsi="宋体" w:eastAsia="宋体" w:cs="宋体"/>
          <w:color w:val="auto"/>
          <w:kern w:val="0"/>
          <w:sz w:val="24"/>
          <w:szCs w:val="24"/>
          <w:highlight w:val="none"/>
          <w:lang w:val="en-US" w:eastAsia="zh-CN"/>
        </w:rPr>
        <w:t>支付成交价款时一并缴纳</w:t>
      </w:r>
      <w:r>
        <w:rPr>
          <w:rFonts w:hint="eastAsia" w:ascii="宋体" w:hAnsi="宋体" w:cs="宋体"/>
          <w:color w:val="000000" w:themeColor="text1"/>
          <w:highlight w:val="none"/>
          <w:shd w:val="clear" w:color="auto" w:fill="FFFFFF"/>
          <w14:textFill>
            <w14:solidFill>
              <w14:schemeClr w14:val="tx1"/>
            </w14:solidFill>
          </w14:textFill>
        </w:rPr>
        <w:t>人民币</w:t>
      </w:r>
      <w:r>
        <w:rPr>
          <w:rFonts w:hint="eastAsia" w:ascii="宋体" w:hAnsi="宋体" w:cs="宋体"/>
          <w:color w:val="000000" w:themeColor="text1"/>
          <w:highlight w:val="none"/>
          <w:shd w:val="clear" w:color="auto" w:fill="FFFFFF"/>
          <w:lang w:val="en-US" w:eastAsia="zh-CN"/>
          <w14:textFill>
            <w14:solidFill>
              <w14:schemeClr w14:val="tx1"/>
            </w14:solidFill>
          </w14:textFill>
        </w:rPr>
        <w:t>玖仟</w:t>
      </w:r>
      <w:r>
        <w:rPr>
          <w:rFonts w:hint="eastAsia" w:ascii="宋体" w:hAnsi="宋体" w:cs="宋体"/>
          <w:color w:val="000000" w:themeColor="text1"/>
          <w:highlight w:val="none"/>
          <w:shd w:val="clear" w:color="auto" w:fill="FFFFFF"/>
          <w14:textFill>
            <w14:solidFill>
              <w14:schemeClr w14:val="tx1"/>
            </w14:solidFill>
          </w14:textFill>
        </w:rPr>
        <w:t>元作为履约保证金，合同期满，在</w:t>
      </w:r>
      <w:r>
        <w:rPr>
          <w:rFonts w:hint="eastAsia" w:ascii="宋体" w:hAnsi="宋体" w:cs="宋体"/>
          <w:color w:val="000000" w:themeColor="text1"/>
          <w:highlight w:val="none"/>
          <w:shd w:val="clear" w:color="auto"/>
          <w14:textFill>
            <w14:solidFill>
              <w14:schemeClr w14:val="tx1"/>
            </w14:solidFill>
          </w14:textFill>
        </w:rPr>
        <w:t>甲方见证下乙方和下任</w:t>
      </w:r>
      <w:r>
        <w:rPr>
          <w:rFonts w:hint="eastAsia" w:ascii="宋体" w:hAnsi="宋体" w:cs="宋体"/>
          <w:color w:val="000000" w:themeColor="text1"/>
          <w:highlight w:val="none"/>
          <w:shd w:val="clear" w:color="auto" w:fill="FFFFFF"/>
          <w14:textFill>
            <w14:solidFill>
              <w14:schemeClr w14:val="tx1"/>
            </w14:solidFill>
          </w14:textFill>
        </w:rPr>
        <w:t>承包方办理好交接手续后由甲方无息退还。未及时缴纳的，视为放弃中标人资格，且投标保证金不予退还并依法追偿损失。</w:t>
      </w:r>
    </w:p>
    <w:p w14:paraId="4963248F">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六、定标方法</w:t>
      </w:r>
    </w:p>
    <w:p w14:paraId="0ED7E79C">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采用综合评分法，即综合得分最高且投标报价超过招租单位底价者中标。</w:t>
      </w:r>
    </w:p>
    <w:p w14:paraId="19F62A16">
      <w:pPr>
        <w:pStyle w:val="17"/>
        <w:widowControl/>
        <w:numPr>
          <w:ilvl w:val="0"/>
          <w:numId w:val="2"/>
        </w:numPr>
        <w:shd w:val="clear"/>
        <w:spacing w:beforeAutospacing="0" w:afterAutospacing="0" w:line="400" w:lineRule="exact"/>
        <w:ind w:firstLine="482" w:firstLineChars="200"/>
        <w:jc w:val="both"/>
        <w:rPr>
          <w:rFonts w:ascii="宋体" w:hAnsi="宋体" w:cs="宋体"/>
          <w:b/>
          <w:color w:val="000000" w:themeColor="text1"/>
          <w:highlight w:val="none"/>
          <w:shd w:val="clear" w:color="auto" w:fill="FFFFFF"/>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招租底价：</w:t>
      </w:r>
      <w:r>
        <w:rPr>
          <w:rFonts w:hint="eastAsia" w:ascii="宋体" w:hAnsi="宋体" w:cs="宋体"/>
          <w:b/>
          <w:color w:val="000000" w:themeColor="text1"/>
          <w:highlight w:val="none"/>
          <w:shd w:val="clear" w:color="auto" w:fill="FFFFFF"/>
          <w:lang w:val="en-US" w:eastAsia="zh-CN"/>
          <w14:textFill>
            <w14:solidFill>
              <w14:schemeClr w14:val="tx1"/>
            </w14:solidFill>
          </w14:textFill>
        </w:rPr>
        <w:t>96000</w:t>
      </w:r>
      <w:r>
        <w:rPr>
          <w:rFonts w:hint="eastAsia" w:ascii="宋体" w:hAnsi="宋体" w:cs="宋体"/>
          <w:b/>
          <w:color w:val="000000" w:themeColor="text1"/>
          <w:highlight w:val="none"/>
          <w:shd w:val="clear" w:color="auto" w:fill="FFFFFF"/>
          <w14:textFill>
            <w14:solidFill>
              <w14:schemeClr w14:val="tx1"/>
            </w14:solidFill>
          </w14:textFill>
        </w:rPr>
        <w:t>元</w:t>
      </w:r>
      <w:r>
        <w:rPr>
          <w:rFonts w:hint="eastAsia" w:ascii="宋体" w:hAnsi="宋体" w:cs="宋体"/>
          <w:b/>
          <w:color w:val="000000" w:themeColor="text1"/>
          <w:highlight w:val="none"/>
          <w:shd w:val="clear" w:color="auto" w:fill="FFFFFF"/>
          <w:lang w:val="en-US" w:eastAsia="zh-CN"/>
          <w14:textFill>
            <w14:solidFill>
              <w14:schemeClr w14:val="tx1"/>
            </w14:solidFill>
          </w14:textFill>
        </w:rPr>
        <w:t>/年</w:t>
      </w:r>
      <w:r>
        <w:rPr>
          <w:rFonts w:hint="eastAsia" w:ascii="宋体" w:hAnsi="宋体" w:cs="宋体"/>
          <w:b/>
          <w:color w:val="000000" w:themeColor="text1"/>
          <w:highlight w:val="none"/>
          <w:shd w:val="clear" w:color="auto" w:fill="FFFFFF"/>
          <w14:textFill>
            <w14:solidFill>
              <w14:schemeClr w14:val="tx1"/>
            </w14:solidFill>
          </w14:textFill>
        </w:rPr>
        <w:t>。</w:t>
      </w:r>
    </w:p>
    <w:p w14:paraId="6CF1EA25">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八、投标保证金</w:t>
      </w:r>
    </w:p>
    <w:p w14:paraId="3CB681F6">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1、意向承租单位在 202</w:t>
      </w:r>
      <w:r>
        <w:rPr>
          <w:rFonts w:hint="eastAsia" w:ascii="宋体" w:hAnsi="宋体" w:cs="宋体"/>
          <w:bCs/>
          <w:color w:val="000000" w:themeColor="text1"/>
          <w:highlight w:val="none"/>
          <w:shd w:val="clear" w:color="auto" w:fill="FFFFFF"/>
          <w:lang w:val="en-US" w:eastAsia="zh-CN"/>
          <w14:textFill>
            <w14:solidFill>
              <w14:schemeClr w14:val="tx1"/>
            </w14:solidFill>
          </w14:textFill>
        </w:rPr>
        <w:t>4</w:t>
      </w:r>
      <w:r>
        <w:rPr>
          <w:rFonts w:hint="eastAsia" w:ascii="宋体" w:hAnsi="宋体" w:cs="宋体"/>
          <w:bCs/>
          <w:color w:val="000000" w:themeColor="text1"/>
          <w:highlight w:val="none"/>
          <w:shd w:val="clear" w:color="auto" w:fill="FFFFFF"/>
          <w14:textFill>
            <w14:solidFill>
              <w14:schemeClr w14:val="tx1"/>
            </w14:solidFill>
          </w14:textFill>
        </w:rPr>
        <w:t>年</w:t>
      </w:r>
      <w:r>
        <w:rPr>
          <w:rFonts w:hint="eastAsia" w:ascii="宋体" w:hAnsi="宋体" w:cs="宋体"/>
          <w:bCs/>
          <w:color w:val="000000" w:themeColor="text1"/>
          <w:highlight w:val="none"/>
          <w:shd w:val="clear" w:color="auto" w:fill="FFFFFF"/>
          <w:lang w:val="en-US" w:eastAsia="zh-CN"/>
          <w14:textFill>
            <w14:solidFill>
              <w14:schemeClr w14:val="tx1"/>
            </w14:solidFill>
          </w14:textFill>
        </w:rPr>
        <w:t>7</w:t>
      </w:r>
      <w:r>
        <w:rPr>
          <w:rFonts w:hint="eastAsia" w:ascii="宋体" w:hAnsi="宋体" w:cs="宋体"/>
          <w:bCs/>
          <w:color w:val="000000" w:themeColor="text1"/>
          <w:highlight w:val="none"/>
          <w:shd w:val="clear" w:color="auto" w:fill="FFFFFF"/>
          <w14:textFill>
            <w14:solidFill>
              <w14:schemeClr w14:val="tx1"/>
            </w14:solidFill>
          </w14:textFill>
        </w:rPr>
        <w:t>月</w:t>
      </w:r>
      <w:r>
        <w:rPr>
          <w:rFonts w:hint="eastAsia" w:ascii="宋体" w:hAnsi="宋体" w:cs="宋体"/>
          <w:bCs/>
          <w:color w:val="000000" w:themeColor="text1"/>
          <w:highlight w:val="none"/>
          <w:shd w:val="clear" w:color="auto" w:fill="FFFFFF"/>
          <w:lang w:val="en-US" w:eastAsia="zh-CN"/>
          <w14:textFill>
            <w14:solidFill>
              <w14:schemeClr w14:val="tx1"/>
            </w14:solidFill>
          </w14:textFill>
        </w:rPr>
        <w:t>12</w:t>
      </w:r>
      <w:r>
        <w:rPr>
          <w:rFonts w:hint="eastAsia" w:ascii="宋体" w:hAnsi="宋体" w:cs="宋体"/>
          <w:bCs/>
          <w:color w:val="000000" w:themeColor="text1"/>
          <w:highlight w:val="none"/>
          <w:shd w:val="clear" w:color="auto" w:fill="FFFFFF"/>
          <w14:textFill>
            <w14:solidFill>
              <w14:schemeClr w14:val="tx1"/>
            </w14:solidFill>
          </w14:textFill>
        </w:rPr>
        <w:t>日—202</w:t>
      </w:r>
      <w:r>
        <w:rPr>
          <w:rFonts w:hint="eastAsia" w:ascii="宋体" w:hAnsi="宋体" w:cs="宋体"/>
          <w:bCs/>
          <w:color w:val="000000" w:themeColor="text1"/>
          <w:highlight w:val="none"/>
          <w:shd w:val="clear" w:color="auto" w:fill="FFFFFF"/>
          <w:lang w:val="en-US" w:eastAsia="zh-CN"/>
          <w14:textFill>
            <w14:solidFill>
              <w14:schemeClr w14:val="tx1"/>
            </w14:solidFill>
          </w14:textFill>
        </w:rPr>
        <w:t>4</w:t>
      </w:r>
      <w:r>
        <w:rPr>
          <w:rFonts w:hint="eastAsia" w:ascii="宋体" w:hAnsi="宋体" w:cs="宋体"/>
          <w:bCs/>
          <w:color w:val="000000" w:themeColor="text1"/>
          <w:highlight w:val="none"/>
          <w:shd w:val="clear" w:color="auto" w:fill="FFFFFF"/>
          <w14:textFill>
            <w14:solidFill>
              <w14:schemeClr w14:val="tx1"/>
            </w14:solidFill>
          </w14:textFill>
        </w:rPr>
        <w:t>年</w:t>
      </w:r>
      <w:r>
        <w:rPr>
          <w:rFonts w:hint="eastAsia" w:ascii="宋体" w:hAnsi="宋体" w:cs="宋体"/>
          <w:bCs/>
          <w:color w:val="000000" w:themeColor="text1"/>
          <w:highlight w:val="none"/>
          <w:shd w:val="clear" w:color="auto" w:fill="FFFFFF"/>
          <w:lang w:val="en-US" w:eastAsia="zh-CN"/>
          <w14:textFill>
            <w14:solidFill>
              <w14:schemeClr w14:val="tx1"/>
            </w14:solidFill>
          </w14:textFill>
        </w:rPr>
        <w:t>7</w:t>
      </w:r>
      <w:r>
        <w:rPr>
          <w:rFonts w:hint="eastAsia" w:ascii="宋体" w:hAnsi="宋体" w:cs="宋体"/>
          <w:bCs/>
          <w:color w:val="000000" w:themeColor="text1"/>
          <w:highlight w:val="none"/>
          <w:shd w:val="clear" w:color="auto" w:fill="FFFFFF"/>
          <w14:textFill>
            <w14:solidFill>
              <w14:schemeClr w14:val="tx1"/>
            </w14:solidFill>
          </w14:textFill>
        </w:rPr>
        <w:t>月</w:t>
      </w:r>
      <w:r>
        <w:rPr>
          <w:rFonts w:hint="eastAsia" w:ascii="宋体" w:hAnsi="宋体" w:cs="宋体"/>
          <w:bCs/>
          <w:color w:val="000000" w:themeColor="text1"/>
          <w:highlight w:val="none"/>
          <w:shd w:val="clear" w:color="auto" w:fill="FFFFFF"/>
          <w:lang w:val="en-US" w:eastAsia="zh-CN"/>
          <w14:textFill>
            <w14:solidFill>
              <w14:schemeClr w14:val="tx1"/>
            </w14:solidFill>
          </w14:textFill>
        </w:rPr>
        <w:t>29</w:t>
      </w:r>
      <w:r>
        <w:rPr>
          <w:rFonts w:hint="eastAsia" w:ascii="宋体" w:hAnsi="宋体" w:cs="宋体"/>
          <w:bCs/>
          <w:color w:val="000000" w:themeColor="text1"/>
          <w:highlight w:val="none"/>
          <w:shd w:val="clear" w:color="auto" w:fill="FFFFFF"/>
          <w14:textFill>
            <w14:solidFill>
              <w14:schemeClr w14:val="tx1"/>
            </w14:solidFill>
          </w14:textFill>
        </w:rPr>
        <w:t>日</w:t>
      </w:r>
      <w:r>
        <w:rPr>
          <w:rFonts w:hint="eastAsia" w:ascii="宋体" w:hAnsi="宋体" w:cs="宋体"/>
          <w:bCs/>
          <w:color w:val="000000" w:themeColor="text1"/>
          <w:highlight w:val="none"/>
          <w:shd w:val="clear" w:color="auto" w:fill="FFFFFF"/>
          <w:lang w:val="en-US" w:eastAsia="zh-CN"/>
          <w14:textFill>
            <w14:solidFill>
              <w14:schemeClr w14:val="tx1"/>
            </w14:solidFill>
          </w14:textFill>
        </w:rPr>
        <w:t>9</w:t>
      </w:r>
      <w:r>
        <w:rPr>
          <w:rFonts w:hint="eastAsia" w:ascii="宋体" w:hAnsi="宋体" w:cs="宋体"/>
          <w:bCs/>
          <w:color w:val="000000" w:themeColor="text1"/>
          <w:highlight w:val="none"/>
          <w:shd w:val="clear" w:color="auto" w:fill="FFFFFF"/>
          <w14:textFill>
            <w14:solidFill>
              <w14:schemeClr w14:val="tx1"/>
            </w14:solidFill>
          </w14:textFill>
        </w:rPr>
        <w:t>时前向盐城市大丰区公共资源交易中心保证金专用账户交纳</w:t>
      </w:r>
      <w:r>
        <w:rPr>
          <w:rFonts w:hint="eastAsia" w:ascii="宋体" w:hAnsi="宋体" w:cs="宋体"/>
          <w:b/>
          <w:color w:val="000000" w:themeColor="text1"/>
          <w:highlight w:val="none"/>
          <w:u w:val="single"/>
          <w:shd w:val="clear" w:color="auto" w:fill="FFFFFF"/>
          <w14:textFill>
            <w14:solidFill>
              <w14:schemeClr w14:val="tx1"/>
            </w14:solidFill>
          </w14:textFill>
        </w:rPr>
        <w:t>人民币</w:t>
      </w:r>
      <w:r>
        <w:rPr>
          <w:rFonts w:hint="eastAsia" w:ascii="宋体" w:hAnsi="宋体" w:cs="宋体"/>
          <w:b/>
          <w:color w:val="000000" w:themeColor="text1"/>
          <w:highlight w:val="none"/>
          <w:u w:val="single"/>
          <w:shd w:val="clear" w:color="auto" w:fill="FFFFFF"/>
          <w:lang w:val="en-US" w:eastAsia="zh-CN"/>
          <w14:textFill>
            <w14:solidFill>
              <w14:schemeClr w14:val="tx1"/>
            </w14:solidFill>
          </w14:textFill>
        </w:rPr>
        <w:t>玖仟</w:t>
      </w:r>
      <w:r>
        <w:rPr>
          <w:rFonts w:hint="eastAsia" w:ascii="宋体" w:hAnsi="宋体" w:cs="宋体"/>
          <w:b/>
          <w:color w:val="000000" w:themeColor="text1"/>
          <w:highlight w:val="none"/>
          <w:u w:val="single"/>
          <w:shd w:val="clear" w:color="auto" w:fill="FFFFFF"/>
          <w14:textFill>
            <w14:solidFill>
              <w14:schemeClr w14:val="tx1"/>
            </w14:solidFill>
          </w14:textFill>
        </w:rPr>
        <w:t>元交易保证金</w:t>
      </w:r>
      <w:r>
        <w:rPr>
          <w:rFonts w:hint="eastAsia" w:ascii="宋体" w:hAnsi="宋体" w:cs="宋体"/>
          <w:bCs/>
          <w:color w:val="000000" w:themeColor="text1"/>
          <w:highlight w:val="none"/>
          <w:shd w:val="clear" w:color="auto" w:fill="FFFFFF"/>
          <w14:textFill>
            <w14:solidFill>
              <w14:schemeClr w14:val="tx1"/>
            </w14:solidFill>
          </w14:textFill>
        </w:rPr>
        <w:t>，以确定其参与受让。交易平台仅接受意向承租单位以本单位账户通过转账（或电汇）方式交纳的交易保证金。意向承租单位未能如期足额交纳交易保证金的，视为放弃本次</w:t>
      </w:r>
      <w:r>
        <w:rPr>
          <w:rFonts w:hint="eastAsia" w:ascii="宋体" w:hAnsi="宋体" w:cs="宋体"/>
          <w:bCs/>
          <w:color w:val="000000" w:themeColor="text1"/>
          <w:highlight w:val="none"/>
          <w:shd w:val="clear" w:color="auto" w:fill="FFFFFF"/>
          <w:lang w:val="en-US" w:eastAsia="zh-CN"/>
          <w14:textFill>
            <w14:solidFill>
              <w14:schemeClr w14:val="tx1"/>
            </w14:solidFill>
          </w14:textFill>
        </w:rPr>
        <w:t>竞租资格</w:t>
      </w:r>
      <w:r>
        <w:rPr>
          <w:rFonts w:hint="eastAsia" w:ascii="宋体" w:hAnsi="宋体" w:cs="宋体"/>
          <w:bCs/>
          <w:color w:val="000000" w:themeColor="text1"/>
          <w:highlight w:val="none"/>
          <w:shd w:val="clear" w:color="auto" w:fill="FFFFFF"/>
          <w14:textFill>
            <w14:solidFill>
              <w14:schemeClr w14:val="tx1"/>
            </w14:solidFill>
          </w14:textFill>
        </w:rPr>
        <w:t>。请提前办理保证金缴纳手续，确保保证金在现场竞价会开始时间前到达指定帐户。</w:t>
      </w:r>
    </w:p>
    <w:p w14:paraId="7209DAEB">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2、意向承租单位应尽量避免在缴纳保证金截止日汇入资金，充分考虑资金在途时间，以免失去竞价资格。投标保证金在开标之前必须按要求交纳，方有资格投标；在投标截止时间前（建议提前一天）。查询电话：0515-83927046。</w:t>
      </w:r>
    </w:p>
    <w:p w14:paraId="55011E8C">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九、招租报名及招租文件的获取</w:t>
      </w:r>
    </w:p>
    <w:p w14:paraId="075613FA">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1、请各意向承租单位于202</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4</w:t>
      </w:r>
      <w:r>
        <w:rPr>
          <w:rFonts w:hint="eastAsia" w:ascii="宋体" w:hAnsi="宋体" w:cs="宋体"/>
          <w:b w:val="0"/>
          <w:bCs/>
          <w:color w:val="000000" w:themeColor="text1"/>
          <w:highlight w:val="none"/>
          <w:shd w:val="clear" w:color="auto" w:fill="FFFFFF"/>
          <w14:textFill>
            <w14:solidFill>
              <w14:schemeClr w14:val="tx1"/>
            </w14:solidFill>
          </w14:textFill>
        </w:rPr>
        <w:t>年</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7</w:t>
      </w:r>
      <w:r>
        <w:rPr>
          <w:rFonts w:hint="eastAsia" w:ascii="宋体" w:hAnsi="宋体" w:cs="宋体"/>
          <w:b w:val="0"/>
          <w:bCs/>
          <w:color w:val="000000" w:themeColor="text1"/>
          <w:highlight w:val="none"/>
          <w:shd w:val="clear" w:color="auto" w:fill="FFFFFF"/>
          <w14:textFill>
            <w14:solidFill>
              <w14:schemeClr w14:val="tx1"/>
            </w14:solidFill>
          </w14:textFill>
        </w:rPr>
        <w:t>月</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12</w:t>
      </w:r>
      <w:r>
        <w:rPr>
          <w:rFonts w:hint="eastAsia" w:ascii="宋体" w:hAnsi="宋体" w:cs="宋体"/>
          <w:b w:val="0"/>
          <w:bCs/>
          <w:color w:val="000000" w:themeColor="text1"/>
          <w:highlight w:val="none"/>
          <w:shd w:val="clear" w:color="auto" w:fill="FFFFFF"/>
          <w14:textFill>
            <w14:solidFill>
              <w14:schemeClr w14:val="tx1"/>
            </w14:solidFill>
          </w14:textFill>
        </w:rPr>
        <w:t>日至202</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4</w:t>
      </w:r>
      <w:r>
        <w:rPr>
          <w:rFonts w:hint="eastAsia" w:ascii="宋体" w:hAnsi="宋体" w:cs="宋体"/>
          <w:b w:val="0"/>
          <w:bCs/>
          <w:color w:val="000000" w:themeColor="text1"/>
          <w:highlight w:val="none"/>
          <w:shd w:val="clear" w:color="auto" w:fill="FFFFFF"/>
          <w14:textFill>
            <w14:solidFill>
              <w14:schemeClr w14:val="tx1"/>
            </w14:solidFill>
          </w14:textFill>
        </w:rPr>
        <w:t>年</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7</w:t>
      </w:r>
      <w:r>
        <w:rPr>
          <w:rFonts w:hint="eastAsia" w:ascii="宋体" w:hAnsi="宋体" w:cs="宋体"/>
          <w:b w:val="0"/>
          <w:bCs/>
          <w:color w:val="000000" w:themeColor="text1"/>
          <w:highlight w:val="none"/>
          <w:shd w:val="clear" w:color="auto" w:fill="FFFFFF"/>
          <w14:textFill>
            <w14:solidFill>
              <w14:schemeClr w14:val="tx1"/>
            </w14:solidFill>
          </w14:textFill>
        </w:rPr>
        <w:t>月</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28</w:t>
      </w:r>
      <w:r>
        <w:rPr>
          <w:rFonts w:hint="eastAsia" w:ascii="宋体" w:hAnsi="宋体" w:cs="宋体"/>
          <w:b w:val="0"/>
          <w:bCs/>
          <w:color w:val="000000" w:themeColor="text1"/>
          <w:highlight w:val="none"/>
          <w:shd w:val="clear" w:color="auto" w:fill="FFFFFF"/>
          <w14:textFill>
            <w14:solidFill>
              <w14:schemeClr w14:val="tx1"/>
            </w14:solidFill>
          </w14:textFill>
        </w:rPr>
        <w:t>日登入“新点电子交易平台-大丰政府采购系统”（网址：https://www.etrading.cn/BREpointSSO/login/oauth2login）下载招标文件，如在规定时间内未下载招标文件，由此引起的无法投标等情形的，责任自负。</w:t>
      </w:r>
    </w:p>
    <w:p w14:paraId="1D0B2049">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
    <w:p w14:paraId="14B47D2C">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3、招标文件售价：免费。</w:t>
      </w:r>
    </w:p>
    <w:p w14:paraId="32E4C082">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18118943865 。</w:t>
      </w:r>
    </w:p>
    <w:p w14:paraId="7661C9DE">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十、投标截止时间、开标时间及地点</w:t>
      </w:r>
    </w:p>
    <w:p w14:paraId="4F5F1A58">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1、提交投标文件截止时间：202</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4</w:t>
      </w:r>
      <w:r>
        <w:rPr>
          <w:rFonts w:hint="eastAsia" w:ascii="宋体" w:hAnsi="宋体" w:cs="宋体"/>
          <w:b w:val="0"/>
          <w:bCs/>
          <w:color w:val="000000" w:themeColor="text1"/>
          <w:highlight w:val="none"/>
          <w:shd w:val="clear" w:color="auto" w:fill="FFFFFF"/>
          <w14:textFill>
            <w14:solidFill>
              <w14:schemeClr w14:val="tx1"/>
            </w14:solidFill>
          </w14:textFill>
        </w:rPr>
        <w:t>年</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7</w:t>
      </w:r>
      <w:r>
        <w:rPr>
          <w:rFonts w:hint="eastAsia" w:ascii="宋体" w:hAnsi="宋体" w:cs="宋体"/>
          <w:b w:val="0"/>
          <w:bCs/>
          <w:color w:val="000000" w:themeColor="text1"/>
          <w:highlight w:val="none"/>
          <w:shd w:val="clear" w:color="auto" w:fill="FFFFFF"/>
          <w14:textFill>
            <w14:solidFill>
              <w14:schemeClr w14:val="tx1"/>
            </w14:solidFill>
          </w14:textFill>
        </w:rPr>
        <w:t>月</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29</w:t>
      </w:r>
      <w:r>
        <w:rPr>
          <w:rFonts w:hint="eastAsia" w:ascii="宋体" w:hAnsi="宋体" w:cs="宋体"/>
          <w:b w:val="0"/>
          <w:bCs/>
          <w:color w:val="000000" w:themeColor="text1"/>
          <w:highlight w:val="none"/>
          <w:shd w:val="clear" w:color="auto" w:fill="FFFFFF"/>
          <w14:textFill>
            <w14:solidFill>
              <w14:schemeClr w14:val="tx1"/>
            </w14:solidFill>
          </w14:textFill>
        </w:rPr>
        <w:t>日</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9</w:t>
      </w:r>
      <w:r>
        <w:rPr>
          <w:rFonts w:hint="eastAsia" w:ascii="宋体" w:hAnsi="宋体" w:cs="宋体"/>
          <w:b w:val="0"/>
          <w:bCs/>
          <w:color w:val="000000" w:themeColor="text1"/>
          <w:highlight w:val="none"/>
          <w:shd w:val="clear" w:color="auto" w:fill="FFFFFF"/>
          <w14:textFill>
            <w14:solidFill>
              <w14:schemeClr w14:val="tx1"/>
            </w14:solidFill>
          </w14:textFill>
        </w:rPr>
        <w:t>时</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00</w:t>
      </w:r>
      <w:r>
        <w:rPr>
          <w:rFonts w:hint="eastAsia" w:ascii="宋体" w:hAnsi="宋体" w:cs="宋体"/>
          <w:b w:val="0"/>
          <w:bCs/>
          <w:color w:val="000000" w:themeColor="text1"/>
          <w:highlight w:val="none"/>
          <w:shd w:val="clear" w:color="auto" w:fill="FFFFFF"/>
          <w14:textFill>
            <w14:solidFill>
              <w14:schemeClr w14:val="tx1"/>
            </w14:solidFill>
          </w14:textFill>
        </w:rPr>
        <w:t>分</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00</w:t>
      </w:r>
      <w:r>
        <w:rPr>
          <w:rFonts w:hint="eastAsia" w:ascii="宋体" w:hAnsi="宋体" w:cs="宋体"/>
          <w:b w:val="0"/>
          <w:bCs/>
          <w:color w:val="000000" w:themeColor="text1"/>
          <w:highlight w:val="none"/>
          <w:shd w:val="clear" w:color="auto" w:fill="FFFFFF"/>
          <w14:textFill>
            <w14:solidFill>
              <w14:schemeClr w14:val="tx1"/>
            </w14:solidFill>
          </w14:textFill>
        </w:rPr>
        <w:t>秒。</w:t>
      </w:r>
    </w:p>
    <w:p w14:paraId="41A60E33">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2、提交投标文件的地点：“投标文件制作工具”生成的xetf格式的电子档上传至新点电子交易平台-大丰政府采购系统（网址：</w:t>
      </w:r>
      <w:r>
        <w:rPr>
          <w:rFonts w:hint="eastAsia" w:ascii="宋体" w:hAnsi="宋体" w:cs="宋体"/>
          <w:b w:val="0"/>
          <w:bCs/>
          <w:color w:val="000000" w:themeColor="text1"/>
          <w:highlight w:val="none"/>
          <w:shd w:val="clear" w:color="auto" w:fill="FFFFFF"/>
          <w:lang w:eastAsia="zh-CN"/>
          <w14:textFill>
            <w14:solidFill>
              <w14:schemeClr w14:val="tx1"/>
            </w14:solidFill>
          </w14:textFill>
        </w:rPr>
        <w:t>https://www.etrading.cn/BREpointSSO/login/oauth2login</w:t>
      </w:r>
      <w:r>
        <w:rPr>
          <w:rFonts w:hint="eastAsia" w:ascii="宋体" w:hAnsi="宋体" w:cs="宋体"/>
          <w:b w:val="0"/>
          <w:bCs/>
          <w:color w:val="000000" w:themeColor="text1"/>
          <w:highlight w:val="none"/>
          <w:shd w:val="clear" w:color="auto" w:fill="FFFFFF"/>
          <w14:textFill>
            <w14:solidFill>
              <w14:schemeClr w14:val="tx1"/>
            </w14:solidFill>
          </w14:textFill>
        </w:rPr>
        <w:t>）。</w:t>
      </w:r>
    </w:p>
    <w:p w14:paraId="1A52E552">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3、逾期提交的投标文件将被拒收并退回。</w:t>
      </w:r>
    </w:p>
    <w:p w14:paraId="1B88CC3E">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4、开标时间：投标文件提交截止时间。</w:t>
      </w:r>
    </w:p>
    <w:p w14:paraId="5787A180">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5、开标地点：本项目实行不见面开标，各意向承租单位的授权委托人或法人代表应在投标文件提交截止时间前提前登入“开标大厅系统”（步骤：</w:t>
      </w:r>
      <w:r>
        <w:rPr>
          <w:rFonts w:hint="eastAsia" w:ascii="宋体" w:hAnsi="宋体" w:cs="宋体"/>
          <w:b w:val="0"/>
          <w:bCs/>
          <w:color w:val="000000" w:themeColor="text1"/>
          <w:highlight w:val="none"/>
          <w:shd w:val="clear" w:color="auto" w:fill="FFFFFF"/>
          <w:lang w:eastAsia="zh-CN"/>
          <w14:textFill>
            <w14:solidFill>
              <w14:schemeClr w14:val="tx1"/>
            </w14:solidFill>
          </w14:textFill>
        </w:rPr>
        <w:t>登入-投标人-CA登录-江苏省CA</w:t>
      </w:r>
      <w:r>
        <w:rPr>
          <w:rFonts w:hint="eastAsia" w:ascii="宋体" w:hAnsi="宋体" w:cs="宋体"/>
          <w:b w:val="0"/>
          <w:bCs/>
          <w:color w:val="000000" w:themeColor="text1"/>
          <w:highlight w:val="none"/>
          <w:shd w:val="clear" w:color="auto" w:fill="FFFFFF"/>
          <w14:textFill>
            <w14:solidFill>
              <w14:schemeClr w14:val="tx1"/>
            </w14:solidFill>
          </w14:textFill>
        </w:rPr>
        <w:t>）</w:t>
      </w:r>
      <w:r>
        <w:rPr>
          <w:rFonts w:hint="eastAsia" w:ascii="宋体" w:hAnsi="宋体" w:cs="宋体"/>
          <w:b w:val="0"/>
          <w:bCs/>
          <w:color w:val="000000" w:themeColor="text1"/>
          <w:highlight w:val="none"/>
          <w:shd w:val="clear" w:color="auto" w:fill="FFFFFF"/>
          <w:lang w:eastAsia="zh-CN"/>
          <w14:textFill>
            <w14:solidFill>
              <w14:schemeClr w14:val="tx1"/>
            </w14:solidFill>
          </w14:textFill>
        </w:rPr>
        <w:t>，</w:t>
      </w:r>
      <w:r>
        <w:rPr>
          <w:rFonts w:hint="eastAsia" w:ascii="宋体" w:hAnsi="宋体" w:cs="宋体"/>
          <w:b w:val="0"/>
          <w:bCs/>
          <w:color w:val="000000" w:themeColor="text1"/>
          <w:highlight w:val="none"/>
          <w:shd w:val="clear" w:color="auto" w:fill="FFFFFF"/>
          <w14:textFill>
            <w14:solidFill>
              <w14:schemeClr w14:val="tx1"/>
            </w14:solidFill>
          </w14:textFill>
        </w:rPr>
        <w:t>到达投标文件提交截止时间后，首先进入开标程序中的投标文件解密会议，然后按系统提示完成投标文件解密。网址为</w:t>
      </w:r>
      <w:r>
        <w:rPr>
          <w:rFonts w:hint="eastAsia" w:ascii="宋体" w:hAnsi="宋体" w:cs="宋体"/>
          <w:b w:val="0"/>
          <w:bCs/>
          <w:color w:val="000000" w:themeColor="text1"/>
          <w:highlight w:val="none"/>
          <w:shd w:val="clear" w:color="auto" w:fill="FFFFFF"/>
          <w:lang w:eastAsia="zh-CN"/>
          <w14:textFill>
            <w14:solidFill>
              <w14:schemeClr w14:val="tx1"/>
            </w14:solidFill>
          </w14:textFill>
        </w:rPr>
        <w:t>http://js.etrading.cn/EpointBidOpening/bidopeninghallaction/hall/login</w:t>
      </w:r>
      <w:r>
        <w:rPr>
          <w:rFonts w:hint="eastAsia" w:ascii="宋体" w:hAnsi="宋体" w:cs="宋体"/>
          <w:b w:val="0"/>
          <w:bCs/>
          <w:color w:val="000000" w:themeColor="text1"/>
          <w:highlight w:val="none"/>
          <w:shd w:val="clear" w:color="auto" w:fill="FFFFFF"/>
          <w14:textFill>
            <w14:solidFill>
              <w14:schemeClr w14:val="tx1"/>
            </w14:solidFill>
          </w14:textFill>
        </w:rPr>
        <w:t>。投标人未按时完成投标文件解密或解密未成功的，均被视为投标人放弃本次投标（无效投标）。解密完成后投标人可自行决定是否继续参加开（唱）标会议，投标人未参加开标的，视同认可开标结果。</w:t>
      </w:r>
    </w:p>
    <w:p w14:paraId="1D83AC2A">
      <w:pPr>
        <w:pStyle w:val="17"/>
        <w:widowControl/>
        <w:shd w:val="clear"/>
        <w:spacing w:beforeAutospacing="0" w:afterAutospacing="0" w:line="400" w:lineRule="exact"/>
        <w:ind w:firstLine="482" w:firstLineChars="200"/>
        <w:jc w:val="both"/>
        <w:rPr>
          <w:rFonts w:hint="eastAsia" w:ascii="宋体" w:hAnsi="宋体" w:eastAsia="宋体" w:cs="宋体"/>
          <w:b/>
          <w:color w:val="000000" w:themeColor="text1"/>
          <w:highlight w:val="none"/>
          <w:shd w:val="clear" w:color="auto" w:fill="FFFFFF"/>
          <w14:textFill>
            <w14:solidFill>
              <w14:schemeClr w14:val="tx1"/>
            </w14:solidFill>
          </w14:textFill>
        </w:rPr>
      </w:pPr>
      <w:r>
        <w:rPr>
          <w:rFonts w:hint="eastAsia" w:ascii="宋体" w:hAnsi="宋体" w:eastAsia="宋体" w:cs="宋体"/>
          <w:b/>
          <w:color w:val="000000" w:themeColor="text1"/>
          <w:highlight w:val="none"/>
          <w:shd w:val="clear" w:color="auto" w:fill="FFFFFF"/>
          <w:lang w:val="en-US" w:eastAsia="zh-CN"/>
          <w14:textFill>
            <w14:solidFill>
              <w14:schemeClr w14:val="tx1"/>
            </w14:solidFill>
          </w14:textFill>
        </w:rPr>
        <w:t>十一、</w:t>
      </w:r>
      <w:r>
        <w:rPr>
          <w:rFonts w:hint="eastAsia" w:ascii="宋体" w:hAnsi="宋体" w:eastAsia="宋体" w:cs="宋体"/>
          <w:b/>
          <w:color w:val="000000" w:themeColor="text1"/>
          <w:highlight w:val="none"/>
          <w:shd w:val="clear" w:color="auto" w:fill="FFFFFF"/>
          <w14:textFill>
            <w14:solidFill>
              <w14:schemeClr w14:val="tx1"/>
            </w14:solidFill>
          </w14:textFill>
        </w:rPr>
        <w:t>其他补充事宜</w:t>
      </w:r>
    </w:p>
    <w:p w14:paraId="15ADA26E">
      <w:pPr>
        <w:pStyle w:val="17"/>
        <w:widowControl/>
        <w:shd w:val="clear"/>
        <w:spacing w:beforeAutospacing="0" w:afterAutospacing="0" w:line="400" w:lineRule="exact"/>
        <w:ind w:firstLine="480" w:firstLineChars="200"/>
        <w:jc w:val="both"/>
        <w:rPr>
          <w:rFonts w:hint="eastAsia" w:ascii="宋体" w:hAnsi="宋体" w:eastAsia="宋体" w:cs="宋体"/>
          <w:b w:val="0"/>
          <w:bCs/>
          <w:color w:val="000000" w:themeColor="text1"/>
          <w:highlight w:val="none"/>
          <w:shd w:val="clear" w:color="auto" w:fill="FFFFFF"/>
          <w14:textFill>
            <w14:solidFill>
              <w14:schemeClr w14:val="tx1"/>
            </w14:solidFill>
          </w14:textFill>
        </w:rPr>
      </w:pPr>
      <w:r>
        <w:rPr>
          <w:rFonts w:hint="eastAsia" w:ascii="宋体" w:hAnsi="宋体" w:eastAsia="宋体" w:cs="宋体"/>
          <w:b w:val="0"/>
          <w:bCs/>
          <w:color w:val="000000" w:themeColor="text1"/>
          <w:highlight w:val="none"/>
          <w:shd w:val="clear" w:color="auto" w:fill="FFFFFF"/>
          <w14:textFill>
            <w14:solidFill>
              <w14:schemeClr w14:val="tx1"/>
            </w14:solidFill>
          </w14:textFill>
        </w:rPr>
        <w:t>1、本项目对投标申请人的资格审查采用资格后审方式，由评标委员会根据招标文件进行评定；报名时不进行报名资料的任何审查，由意向投标人自行判断是否符合投标资格。</w:t>
      </w:r>
    </w:p>
    <w:p w14:paraId="7FD36552">
      <w:pPr>
        <w:pStyle w:val="17"/>
        <w:widowControl/>
        <w:shd w:val="clear"/>
        <w:spacing w:beforeAutospacing="0" w:afterAutospacing="0" w:line="400" w:lineRule="exact"/>
        <w:ind w:firstLine="480" w:firstLineChars="200"/>
        <w:jc w:val="both"/>
        <w:rPr>
          <w:rFonts w:hint="eastAsia" w:ascii="宋体" w:hAnsi="宋体" w:eastAsia="宋体" w:cs="宋体"/>
          <w:b w:val="0"/>
          <w:bCs/>
          <w:color w:val="000000" w:themeColor="text1"/>
          <w:highlight w:val="none"/>
          <w:shd w:val="clear" w:color="auto" w:fill="FFFFFF"/>
          <w14:textFill>
            <w14:solidFill>
              <w14:schemeClr w14:val="tx1"/>
            </w14:solidFill>
          </w14:textFill>
        </w:rPr>
      </w:pPr>
      <w:r>
        <w:rPr>
          <w:rFonts w:hint="eastAsia" w:ascii="宋体" w:hAnsi="宋体" w:eastAsia="宋体" w:cs="宋体"/>
          <w:b w:val="0"/>
          <w:bCs/>
          <w:color w:val="000000" w:themeColor="text1"/>
          <w:highlight w:val="none"/>
          <w:shd w:val="clear" w:color="auto" w:fill="FFFFFF"/>
          <w14:textFill>
            <w14:solidFill>
              <w14:schemeClr w14:val="tx1"/>
            </w14:solidFill>
          </w14:textFill>
        </w:rPr>
        <w:t>2、本招标项目采用的评标方法：综合评分法。</w:t>
      </w:r>
    </w:p>
    <w:p w14:paraId="2C22609A">
      <w:pPr>
        <w:pStyle w:val="17"/>
        <w:widowControl/>
        <w:shd w:val="clear"/>
        <w:spacing w:beforeAutospacing="0" w:afterAutospacing="0" w:line="400" w:lineRule="exact"/>
        <w:ind w:firstLine="480" w:firstLineChars="200"/>
        <w:jc w:val="both"/>
        <w:rPr>
          <w:rFonts w:hint="eastAsia" w:ascii="宋体" w:hAnsi="宋体" w:eastAsia="宋体" w:cs="宋体"/>
          <w:b w:val="0"/>
          <w:bCs/>
          <w:color w:val="000000" w:themeColor="text1"/>
          <w:highlight w:val="none"/>
          <w:shd w:val="clear" w:color="auto" w:fill="FFFFFF"/>
          <w14:textFill>
            <w14:solidFill>
              <w14:schemeClr w14:val="tx1"/>
            </w14:solidFill>
          </w14:textFill>
        </w:rPr>
      </w:pPr>
      <w:r>
        <w:rPr>
          <w:rFonts w:hint="eastAsia" w:ascii="宋体" w:hAnsi="宋体" w:eastAsia="宋体" w:cs="宋体"/>
          <w:b w:val="0"/>
          <w:bCs/>
          <w:color w:val="000000" w:themeColor="text1"/>
          <w:highlight w:val="none"/>
          <w:shd w:val="clear" w:color="auto" w:fill="FFFFFF"/>
          <w14:textFill>
            <w14:solidFill>
              <w14:schemeClr w14:val="tx1"/>
            </w14:solidFill>
          </w14:textFill>
        </w:rPr>
        <w:t>3、本招标项目招标公告发布媒介：大丰公共资源电子交易平台（http://ggzy.dafeng.gov.cn/dfweb/）。</w:t>
      </w:r>
    </w:p>
    <w:p w14:paraId="690ECEE0">
      <w:pPr>
        <w:pStyle w:val="17"/>
        <w:widowControl/>
        <w:shd w:val="clear"/>
        <w:spacing w:beforeAutospacing="0" w:afterAutospacing="0" w:line="400" w:lineRule="exact"/>
        <w:ind w:firstLine="480" w:firstLineChars="200"/>
        <w:jc w:val="both"/>
        <w:rPr>
          <w:rFonts w:hint="eastAsia" w:ascii="宋体" w:hAnsi="宋体" w:eastAsia="宋体" w:cs="宋体"/>
          <w:b w:val="0"/>
          <w:bCs/>
          <w:color w:val="000000" w:themeColor="text1"/>
          <w:highlight w:val="none"/>
          <w:shd w:val="clear" w:color="auto" w:fill="FFFFFF"/>
          <w14:textFill>
            <w14:solidFill>
              <w14:schemeClr w14:val="tx1"/>
            </w14:solidFill>
          </w14:textFill>
        </w:rPr>
      </w:pPr>
      <w:r>
        <w:rPr>
          <w:rFonts w:hint="eastAsia" w:ascii="宋体" w:hAnsi="宋体" w:eastAsia="宋体" w:cs="宋体"/>
          <w:b w:val="0"/>
          <w:bCs/>
          <w:color w:val="000000" w:themeColor="text1"/>
          <w:highlight w:val="none"/>
          <w:shd w:val="clear" w:color="auto" w:fill="FFFFFF"/>
          <w14:textFill>
            <w14:solidFill>
              <w14:schemeClr w14:val="tx1"/>
            </w14:solidFill>
          </w14:textFill>
        </w:rPr>
        <w:t>4、本项目采用全程电子化及不见面开标模式。本项目实行不见面开标，各投标人（供应商）的授权委托人或法人代表应在投标文件提交截止时间前提前登入“开标大厅系统”（步骤：</w:t>
      </w:r>
      <w:r>
        <w:rPr>
          <w:rFonts w:hint="eastAsia" w:ascii="宋体" w:hAnsi="宋体" w:eastAsia="宋体" w:cs="宋体"/>
          <w:b w:val="0"/>
          <w:bCs/>
          <w:color w:val="000000" w:themeColor="text1"/>
          <w:highlight w:val="none"/>
          <w:shd w:val="clear" w:color="auto" w:fill="FFFFFF"/>
          <w:lang w:eastAsia="zh-CN"/>
          <w14:textFill>
            <w14:solidFill>
              <w14:schemeClr w14:val="tx1"/>
            </w14:solidFill>
          </w14:textFill>
        </w:rPr>
        <w:t>登入-投标人-CA登录-江苏省CA</w:t>
      </w:r>
      <w:r>
        <w:rPr>
          <w:rFonts w:hint="eastAsia" w:ascii="宋体" w:hAnsi="宋体" w:eastAsia="宋体" w:cs="宋体"/>
          <w:b w:val="0"/>
          <w:bCs/>
          <w:color w:val="000000" w:themeColor="text1"/>
          <w:highlight w:val="none"/>
          <w:shd w:val="clear" w:color="auto" w:fill="FFFFFF"/>
          <w14:textFill>
            <w14:solidFill>
              <w14:schemeClr w14:val="tx1"/>
            </w14:solidFill>
          </w14:textFill>
        </w:rPr>
        <w:t>）</w:t>
      </w:r>
      <w:r>
        <w:rPr>
          <w:rFonts w:hint="eastAsia" w:ascii="宋体" w:hAnsi="宋体" w:eastAsia="宋体" w:cs="宋体"/>
          <w:b w:val="0"/>
          <w:bCs/>
          <w:color w:val="000000" w:themeColor="text1"/>
          <w:highlight w:val="none"/>
          <w:shd w:val="clear" w:color="auto" w:fill="FFFFFF"/>
          <w:lang w:eastAsia="zh-CN"/>
          <w14:textFill>
            <w14:solidFill>
              <w14:schemeClr w14:val="tx1"/>
            </w14:solidFill>
          </w14:textFill>
        </w:rPr>
        <w:t>，</w:t>
      </w:r>
      <w:r>
        <w:rPr>
          <w:rFonts w:hint="eastAsia" w:ascii="宋体" w:hAnsi="宋体" w:eastAsia="宋体" w:cs="宋体"/>
          <w:b w:val="0"/>
          <w:bCs/>
          <w:color w:val="000000" w:themeColor="text1"/>
          <w:highlight w:val="none"/>
          <w:shd w:val="clear" w:color="auto" w:fill="FFFFFF"/>
          <w14:textFill>
            <w14:solidFill>
              <w14:schemeClr w14:val="tx1"/>
            </w14:solidFill>
          </w14:textFill>
        </w:rPr>
        <w:t>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169F3271">
      <w:pPr>
        <w:pStyle w:val="17"/>
        <w:widowControl/>
        <w:shd w:val="clear"/>
        <w:spacing w:beforeAutospacing="0" w:afterAutospacing="0" w:line="400" w:lineRule="exact"/>
        <w:ind w:firstLine="482" w:firstLineChars="200"/>
        <w:jc w:val="left"/>
        <w:rPr>
          <w:rFonts w:hint="eastAsia" w:ascii="宋体" w:hAnsi="宋体" w:eastAsia="宋体" w:cs="宋体"/>
          <w:b/>
          <w:bCs w:val="0"/>
          <w:color w:val="000000" w:themeColor="text1"/>
          <w:highlight w:val="none"/>
          <w:shd w:val="clear" w:color="auto" w:fill="FFFFFF"/>
          <w14:textFill>
            <w14:solidFill>
              <w14:schemeClr w14:val="tx1"/>
            </w14:solidFill>
          </w14:textFill>
        </w:rPr>
      </w:pPr>
      <w:r>
        <w:rPr>
          <w:rFonts w:hint="eastAsia" w:ascii="宋体" w:hAnsi="宋体" w:eastAsia="宋体" w:cs="宋体"/>
          <w:b/>
          <w:bCs w:val="0"/>
          <w:color w:val="000000" w:themeColor="text1"/>
          <w:highlight w:val="none"/>
          <w:shd w:val="clear" w:color="auto" w:fill="FFFFFF"/>
          <w:lang w:val="en-US" w:eastAsia="zh-CN"/>
          <w14:textFill>
            <w14:solidFill>
              <w14:schemeClr w14:val="tx1"/>
            </w14:solidFill>
          </w14:textFill>
        </w:rPr>
        <w:t>5、</w:t>
      </w:r>
      <w:r>
        <w:rPr>
          <w:rFonts w:hint="eastAsia" w:ascii="宋体" w:hAnsi="宋体" w:eastAsia="宋体" w:cs="宋体"/>
          <w:b/>
          <w:bCs w:val="0"/>
          <w:color w:val="000000" w:themeColor="text1"/>
          <w:highlight w:val="none"/>
          <w:shd w:val="clear" w:color="auto" w:fill="FFFFFF"/>
          <w14:textFill>
            <w14:solidFill>
              <w14:schemeClr w14:val="tx1"/>
            </w14:solidFill>
          </w14:textFill>
        </w:rPr>
        <w:t>开标大厅系统网址为：</w:t>
      </w:r>
      <w:r>
        <w:rPr>
          <w:rFonts w:hint="eastAsia" w:ascii="宋体" w:hAnsi="宋体" w:eastAsia="宋体" w:cs="宋体"/>
          <w:b/>
          <w:bCs w:val="0"/>
          <w:color w:val="000000" w:themeColor="text1"/>
          <w:highlight w:val="none"/>
          <w:shd w:val="clear" w:color="auto" w:fill="FFFFFF"/>
          <w:lang w:eastAsia="zh-CN"/>
          <w14:textFill>
            <w14:solidFill>
              <w14:schemeClr w14:val="tx1"/>
            </w14:solidFill>
          </w14:textFill>
        </w:rPr>
        <w:fldChar w:fldCharType="begin"/>
      </w:r>
      <w:r>
        <w:rPr>
          <w:rFonts w:hint="eastAsia" w:ascii="宋体" w:hAnsi="宋体" w:eastAsia="宋体" w:cs="宋体"/>
          <w:b/>
          <w:bCs w:val="0"/>
          <w:color w:val="000000" w:themeColor="text1"/>
          <w:highlight w:val="none"/>
          <w:shd w:val="clear" w:color="auto" w:fill="FFFFFF"/>
          <w:lang w:eastAsia="zh-CN"/>
          <w14:textFill>
            <w14:solidFill>
              <w14:schemeClr w14:val="tx1"/>
            </w14:solidFill>
          </w14:textFill>
        </w:rPr>
        <w:instrText xml:space="preserve"> HYPERLINK "http://js.etrading.cn/EpointBidOpening/bidopeninghallaction/hall/login。" </w:instrText>
      </w:r>
      <w:r>
        <w:rPr>
          <w:rFonts w:hint="eastAsia" w:ascii="宋体" w:hAnsi="宋体" w:eastAsia="宋体" w:cs="宋体"/>
          <w:b/>
          <w:bCs w:val="0"/>
          <w:color w:val="000000" w:themeColor="text1"/>
          <w:highlight w:val="none"/>
          <w:shd w:val="clear" w:color="auto" w:fill="FFFFFF"/>
          <w:lang w:eastAsia="zh-CN"/>
          <w14:textFill>
            <w14:solidFill>
              <w14:schemeClr w14:val="tx1"/>
            </w14:solidFill>
          </w14:textFill>
        </w:rPr>
        <w:fldChar w:fldCharType="separate"/>
      </w:r>
      <w:r>
        <w:rPr>
          <w:rStyle w:val="31"/>
          <w:rFonts w:hint="eastAsia" w:ascii="宋体" w:hAnsi="宋体" w:eastAsia="宋体" w:cs="宋体"/>
          <w:b/>
          <w:bCs w:val="0"/>
          <w:highlight w:val="none"/>
          <w:shd w:val="clear" w:color="auto" w:fill="FFFFFF"/>
          <w:lang w:eastAsia="zh-CN"/>
        </w:rPr>
        <w:t>http://js.etrading.cn/EpointBidOpening/bidopeninghallaction/hall/login</w:t>
      </w:r>
      <w:r>
        <w:rPr>
          <w:rStyle w:val="31"/>
          <w:rFonts w:hint="eastAsia" w:ascii="宋体" w:hAnsi="宋体" w:eastAsia="宋体" w:cs="宋体"/>
          <w:b/>
          <w:bCs w:val="0"/>
          <w:highlight w:val="none"/>
          <w:shd w:val="clear" w:color="auto" w:fill="FFFFFF"/>
        </w:rPr>
        <w:t>。</w:t>
      </w:r>
      <w:r>
        <w:rPr>
          <w:rFonts w:hint="eastAsia" w:ascii="宋体" w:hAnsi="宋体" w:eastAsia="宋体" w:cs="宋体"/>
          <w:b/>
          <w:bCs w:val="0"/>
          <w:color w:val="000000" w:themeColor="text1"/>
          <w:highlight w:val="none"/>
          <w:shd w:val="clear" w:color="auto" w:fill="FFFFFF"/>
          <w:lang w:eastAsia="zh-CN"/>
          <w14:textFill>
            <w14:solidFill>
              <w14:schemeClr w14:val="tx1"/>
            </w14:solidFill>
          </w14:textFill>
        </w:rPr>
        <w:fldChar w:fldCharType="end"/>
      </w:r>
    </w:p>
    <w:p w14:paraId="5EFCE14E">
      <w:pPr>
        <w:pStyle w:val="17"/>
        <w:widowControl/>
        <w:shd w:val="clear"/>
        <w:spacing w:beforeAutospacing="0" w:afterAutospacing="0" w:line="400" w:lineRule="exact"/>
        <w:ind w:firstLine="482" w:firstLineChars="200"/>
        <w:jc w:val="left"/>
        <w:rPr>
          <w:rFonts w:hint="eastAsia" w:ascii="宋体" w:hAnsi="宋体" w:eastAsia="宋体" w:cs="宋体"/>
          <w:b/>
          <w:bCs w:val="0"/>
          <w:color w:val="000000" w:themeColor="text1"/>
          <w:highlight w:val="none"/>
          <w:shd w:val="clear" w:color="auto" w:fill="FFFFFF"/>
          <w14:textFill>
            <w14:solidFill>
              <w14:schemeClr w14:val="tx1"/>
            </w14:solidFill>
          </w14:textFill>
        </w:rPr>
      </w:pPr>
      <w:r>
        <w:rPr>
          <w:rFonts w:hint="eastAsia" w:ascii="宋体" w:hAnsi="宋体" w:eastAsia="宋体" w:cs="宋体"/>
          <w:b/>
          <w:bCs w:val="0"/>
          <w:color w:val="000000" w:themeColor="text1"/>
          <w:highlight w:val="none"/>
          <w:shd w:val="clear" w:color="auto" w:fill="FFFFFF"/>
          <w:lang w:val="en-US" w:eastAsia="zh-CN"/>
          <w14:textFill>
            <w14:solidFill>
              <w14:schemeClr w14:val="tx1"/>
            </w14:solidFill>
          </w14:textFill>
        </w:rPr>
        <w:t>十二、意向承租单位</w:t>
      </w:r>
      <w:r>
        <w:rPr>
          <w:rFonts w:hint="eastAsia" w:ascii="宋体" w:hAnsi="宋体" w:eastAsia="宋体" w:cs="宋体"/>
          <w:b/>
          <w:bCs w:val="0"/>
          <w:color w:val="000000" w:themeColor="text1"/>
          <w:highlight w:val="none"/>
          <w:shd w:val="clear" w:color="auto" w:fill="FFFFFF"/>
          <w14:textFill>
            <w14:solidFill>
              <w14:schemeClr w14:val="tx1"/>
            </w14:solidFill>
          </w14:textFill>
        </w:rPr>
        <w:t>在诚信库中录入的所有信息均应合法真实有效，并应在投标文件提交截止时间前完成诚信库信息的及时更新、完善，</w:t>
      </w:r>
      <w:r>
        <w:rPr>
          <w:rFonts w:hint="eastAsia" w:ascii="宋体" w:hAnsi="宋体" w:eastAsia="宋体" w:cs="宋体"/>
          <w:b/>
          <w:bCs w:val="0"/>
          <w:color w:val="000000" w:themeColor="text1"/>
          <w:highlight w:val="none"/>
          <w:shd w:val="clear" w:color="auto" w:fill="FFFFFF"/>
          <w:lang w:val="en-US" w:eastAsia="zh-CN"/>
          <w14:textFill>
            <w14:solidFill>
              <w14:schemeClr w14:val="tx1"/>
            </w14:solidFill>
          </w14:textFill>
        </w:rPr>
        <w:t>招租人</w:t>
      </w:r>
      <w:r>
        <w:rPr>
          <w:rFonts w:hint="eastAsia" w:ascii="宋体" w:hAnsi="宋体" w:eastAsia="宋体" w:cs="宋体"/>
          <w:b/>
          <w:bCs w:val="0"/>
          <w:color w:val="000000" w:themeColor="text1"/>
          <w:highlight w:val="none"/>
          <w:shd w:val="clear" w:color="auto" w:fill="FFFFFF"/>
          <w14:textFill>
            <w14:solidFill>
              <w14:schemeClr w14:val="tx1"/>
            </w14:solidFill>
          </w14:textFill>
        </w:rPr>
        <w:t>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74046B35">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十</w:t>
      </w:r>
      <w:r>
        <w:rPr>
          <w:rFonts w:hint="eastAsia" w:ascii="宋体" w:hAnsi="宋体" w:cs="宋体"/>
          <w:b/>
          <w:color w:val="000000" w:themeColor="text1"/>
          <w:highlight w:val="none"/>
          <w:shd w:val="clear" w:color="auto" w:fill="FFFFFF"/>
          <w:lang w:val="en-US" w:eastAsia="zh-CN"/>
          <w14:textFill>
            <w14:solidFill>
              <w14:schemeClr w14:val="tx1"/>
            </w14:solidFill>
          </w14:textFill>
        </w:rPr>
        <w:t>三</w:t>
      </w:r>
      <w:r>
        <w:rPr>
          <w:rFonts w:hint="eastAsia" w:ascii="宋体" w:hAnsi="宋体" w:cs="宋体"/>
          <w:b/>
          <w:color w:val="000000" w:themeColor="text1"/>
          <w:highlight w:val="none"/>
          <w:shd w:val="clear" w:color="auto" w:fill="FFFFFF"/>
          <w14:textFill>
            <w14:solidFill>
              <w14:schemeClr w14:val="tx1"/>
            </w14:solidFill>
          </w14:textFill>
        </w:rPr>
        <w:t>、联系方式</w:t>
      </w:r>
    </w:p>
    <w:p w14:paraId="16B6D927">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招租单位：</w:t>
      </w:r>
      <w:r>
        <w:rPr>
          <w:rFonts w:hint="eastAsia" w:ascii="宋体" w:hAnsi="宋体" w:cs="宋体"/>
          <w:color w:val="000000" w:themeColor="text1"/>
          <w:highlight w:val="none"/>
          <w:shd w:val="clear" w:color="auto" w:fill="FFFFFF"/>
          <w:lang w:eastAsia="zh-CN"/>
          <w14:textFill>
            <w14:solidFill>
              <w14:schemeClr w14:val="tx1"/>
            </w14:solidFill>
          </w14:textFill>
        </w:rPr>
        <w:t>盐城市大丰区第二人民医院</w:t>
      </w:r>
      <w:r>
        <w:rPr>
          <w:rFonts w:hint="eastAsia" w:ascii="宋体" w:hAnsi="宋体" w:cs="宋体"/>
          <w:color w:val="000000" w:themeColor="text1"/>
          <w:highlight w:val="none"/>
          <w:shd w:val="clear" w:color="auto" w:fill="FFFFFF"/>
          <w14:textFill>
            <w14:solidFill>
              <w14:schemeClr w14:val="tx1"/>
            </w14:solidFill>
          </w14:textFill>
        </w:rPr>
        <w:t xml:space="preserve"> </w:t>
      </w:r>
    </w:p>
    <w:p w14:paraId="72F579F5">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u w:val="none"/>
          <w:shd w:val="clear" w:color="auto"/>
          <w14:textFill>
            <w14:solidFill>
              <w14:schemeClr w14:val="tx1"/>
            </w14:solidFill>
          </w14:textFill>
        </w:rPr>
        <w:t>联系电话：</w:t>
      </w:r>
      <w:r>
        <w:rPr>
          <w:rFonts w:hint="eastAsia" w:ascii="宋体" w:hAnsi="宋体" w:cs="宋体"/>
          <w:color w:val="auto"/>
          <w:highlight w:val="none"/>
          <w:shd w:val="clear" w:color="auto" w:fill="FFFFFF"/>
          <w:lang w:val="en-US" w:eastAsia="zh-CN"/>
        </w:rPr>
        <w:t>刘先生</w:t>
      </w:r>
      <w:r>
        <w:rPr>
          <w:rFonts w:hint="eastAsia" w:ascii="宋体" w:hAnsi="宋体" w:eastAsia="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lang w:val="en-US" w:eastAsia="zh-CN"/>
        </w:rPr>
        <w:t>18921826066</w:t>
      </w:r>
      <w:r>
        <w:rPr>
          <w:rFonts w:hint="eastAsia" w:ascii="宋体" w:hAnsi="宋体" w:cs="宋体"/>
          <w:color w:val="000000" w:themeColor="text1"/>
          <w:sz w:val="21"/>
          <w:szCs w:val="21"/>
          <w:highlight w:val="none"/>
          <w:shd w:val="clear"/>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018CF912">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xml:space="preserve">代理公司：江苏昱丰华项目管理有限公司 </w:t>
      </w:r>
    </w:p>
    <w:p w14:paraId="721376E3">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联系电话：龚星杰 18118943865</w:t>
      </w: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5A068029">
      <w:pPr>
        <w:pStyle w:val="17"/>
        <w:widowControl/>
        <w:shd w:val="clear"/>
        <w:spacing w:beforeAutospacing="0" w:afterAutospacing="0" w:line="400" w:lineRule="exact"/>
        <w:ind w:firstLine="48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 xml:space="preserve">                                                             </w:t>
      </w:r>
    </w:p>
    <w:p w14:paraId="5C19627F">
      <w:pPr>
        <w:pStyle w:val="17"/>
        <w:widowControl/>
        <w:shd w:val="clear"/>
        <w:spacing w:beforeAutospacing="0" w:afterAutospacing="0" w:line="400" w:lineRule="exact"/>
        <w:ind w:firstLine="480" w:firstLineChars="200"/>
        <w:jc w:val="center"/>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xml:space="preserve">                </w:t>
      </w:r>
    </w:p>
    <w:p w14:paraId="676AC368">
      <w:pPr>
        <w:pStyle w:val="17"/>
        <w:widowControl/>
        <w:shd w:val="clear"/>
        <w:spacing w:beforeAutospacing="0" w:afterAutospacing="0" w:line="400" w:lineRule="exact"/>
        <w:jc w:val="center"/>
        <w:rPr>
          <w:rFonts w:hint="eastAsia" w:ascii="宋体" w:hAnsi="宋体" w:cs="宋体"/>
          <w:b/>
          <w:color w:val="000000" w:themeColor="text1"/>
          <w:sz w:val="32"/>
          <w:szCs w:val="32"/>
          <w:highlight w:val="none"/>
          <w:shd w:val="clear" w:color="auto" w:fill="FFFFFF"/>
          <w14:textFill>
            <w14:solidFill>
              <w14:schemeClr w14:val="tx1"/>
            </w14:solidFill>
          </w14:textFill>
        </w:rPr>
      </w:pPr>
    </w:p>
    <w:p w14:paraId="0083FDEE">
      <w:pPr>
        <w:pStyle w:val="17"/>
        <w:widowControl/>
        <w:shd w:val="clear"/>
        <w:spacing w:beforeAutospacing="0" w:afterAutospacing="0" w:line="40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第二章 投标须知</w:t>
      </w:r>
    </w:p>
    <w:p w14:paraId="3779E71B">
      <w:pPr>
        <w:pStyle w:val="17"/>
        <w:widowControl/>
        <w:shd w:val="clear"/>
        <w:spacing w:beforeAutospacing="0" w:afterAutospacing="0" w:line="400" w:lineRule="exact"/>
        <w:ind w:firstLine="482" w:firstLineChars="200"/>
        <w:jc w:val="both"/>
        <w:rPr>
          <w:rFonts w:ascii="宋体" w:hAnsi="宋体" w:cs="宋体"/>
          <w:b/>
          <w:color w:val="000000" w:themeColor="text1"/>
          <w:highlight w:val="none"/>
          <w:shd w:val="clear" w:color="auto" w:fill="FFFFFF"/>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一、位置：</w:t>
      </w:r>
    </w:p>
    <w:p w14:paraId="2063461F">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lang w:eastAsia="zh-CN"/>
          <w14:textFill>
            <w14:solidFill>
              <w14:schemeClr w14:val="tx1"/>
            </w14:solidFill>
          </w14:textFill>
        </w:rPr>
        <w:t>盐城市大丰区第二人民医院</w:t>
      </w:r>
      <w:r>
        <w:rPr>
          <w:rFonts w:hint="eastAsia" w:ascii="宋体" w:hAnsi="宋体" w:cs="宋体"/>
          <w:bCs/>
          <w:color w:val="000000" w:themeColor="text1"/>
          <w:highlight w:val="none"/>
          <w:shd w:val="clear" w:color="auto" w:fill="FFFFFF"/>
          <w14:textFill>
            <w14:solidFill>
              <w14:schemeClr w14:val="tx1"/>
            </w14:solidFill>
          </w14:textFill>
        </w:rPr>
        <w:t>内。</w:t>
      </w:r>
    </w:p>
    <w:p w14:paraId="55B4451F">
      <w:pPr>
        <w:pStyle w:val="17"/>
        <w:widowControl/>
        <w:numPr>
          <w:ilvl w:val="0"/>
          <w:numId w:val="3"/>
        </w:numPr>
        <w:shd w:val="clear"/>
        <w:spacing w:beforeAutospacing="0" w:afterAutospacing="0" w:line="400" w:lineRule="exact"/>
        <w:ind w:firstLine="482" w:firstLineChars="200"/>
        <w:jc w:val="both"/>
        <w:rPr>
          <w:rFonts w:ascii="宋体" w:hAnsi="宋体" w:cs="宋体"/>
          <w:b/>
          <w:color w:val="000000" w:themeColor="text1"/>
          <w:highlight w:val="none"/>
          <w:shd w:val="clear" w:color="auto" w:fill="FFFFFF"/>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承租单位资格</w:t>
      </w:r>
    </w:p>
    <w:p w14:paraId="2EDB02BE">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1、具有订立合同能力的独立法人企业或其他组织。</w:t>
      </w:r>
    </w:p>
    <w:p w14:paraId="76404F83">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lang w:val="en-US" w:eastAsia="zh-CN"/>
          <w14:textFill>
            <w14:solidFill>
              <w14:schemeClr w14:val="tx1"/>
            </w14:solidFill>
          </w14:textFill>
        </w:rPr>
        <w:t>2</w:t>
      </w:r>
      <w:r>
        <w:rPr>
          <w:rFonts w:hint="eastAsia" w:ascii="宋体" w:hAnsi="宋体" w:cs="宋体"/>
          <w:bCs/>
          <w:color w:val="000000" w:themeColor="text1"/>
          <w:highlight w:val="none"/>
          <w:shd w:val="clear" w:color="auto" w:fill="FFFFFF"/>
          <w14:textFill>
            <w14:solidFill>
              <w14:schemeClr w14:val="tx1"/>
            </w14:solidFill>
          </w14:textFill>
        </w:rPr>
        <w:t>、本次竞租不接受承租单位以联合体形式参加竞租，不接受挂靠；</w:t>
      </w:r>
    </w:p>
    <w:p w14:paraId="295E0E5A">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lang w:val="en-US" w:eastAsia="zh-CN"/>
          <w14:textFill>
            <w14:solidFill>
              <w14:schemeClr w14:val="tx1"/>
            </w14:solidFill>
          </w14:textFill>
        </w:rPr>
        <w:t>3</w:t>
      </w:r>
      <w:r>
        <w:rPr>
          <w:rFonts w:hint="eastAsia" w:ascii="宋体" w:hAnsi="宋体" w:cs="宋体"/>
          <w:bCs/>
          <w:color w:val="000000" w:themeColor="text1"/>
          <w:highlight w:val="none"/>
          <w:shd w:val="clear" w:color="auto" w:fill="FFFFFF"/>
          <w14:textFill>
            <w14:solidFill>
              <w14:schemeClr w14:val="tx1"/>
            </w14:solidFill>
          </w14:textFill>
        </w:rPr>
        <w:t>、承租单位或其法人代表不得为失信被执行人（承租单位自行通过“信用中国”网站（www.creditchina.gov.cn）及中国执行信息公开网（http://zxgk.court.gov.cn/）查询，若为失信被执行人或失信惩戒不得参与此次竞租。</w:t>
      </w:r>
    </w:p>
    <w:p w14:paraId="76584BA9">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三、招租文件的澄清、修改</w:t>
      </w:r>
    </w:p>
    <w:p w14:paraId="2497FDC2">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1、意向</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应仔细阅读和检查招租文件的全部内容，如对招租文件有疑问、异议的，应当于</w:t>
      </w:r>
      <w:r>
        <w:rPr>
          <w:rFonts w:hint="eastAsia" w:ascii="宋体" w:hAnsi="宋体" w:cs="宋体"/>
          <w:color w:val="000000" w:themeColor="text1"/>
          <w:highlight w:val="none"/>
          <w:u w:val="single"/>
          <w:shd w:val="clear" w:color="auto" w:fill="FFFFFF"/>
          <w14:textFill>
            <w14:solidFill>
              <w14:schemeClr w14:val="tx1"/>
            </w14:solidFill>
          </w14:textFill>
        </w:rPr>
        <w:t>202</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4</w:t>
      </w:r>
      <w:r>
        <w:rPr>
          <w:rFonts w:hint="eastAsia" w:ascii="宋体" w:hAnsi="宋体" w:cs="宋体"/>
          <w:color w:val="000000" w:themeColor="text1"/>
          <w:highlight w:val="none"/>
          <w:shd w:val="clear" w:color="auto" w:fill="FFFFFF"/>
          <w14:textFill>
            <w14:solidFill>
              <w14:schemeClr w14:val="tx1"/>
            </w14:solidFill>
          </w14:textFill>
        </w:rPr>
        <w:t>年</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7</w:t>
      </w:r>
      <w:r>
        <w:rPr>
          <w:rFonts w:hint="eastAsia" w:ascii="宋体" w:hAnsi="宋体" w:cs="宋体"/>
          <w:color w:val="000000" w:themeColor="text1"/>
          <w:highlight w:val="none"/>
          <w:shd w:val="clear" w:color="auto" w:fill="FFFFFF"/>
          <w14:textFill>
            <w14:solidFill>
              <w14:schemeClr w14:val="tx1"/>
            </w14:solidFill>
          </w14:textFill>
        </w:rPr>
        <w:t>月</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24</w:t>
      </w:r>
      <w:r>
        <w:rPr>
          <w:rFonts w:hint="eastAsia" w:ascii="宋体" w:hAnsi="宋体" w:cs="宋体"/>
          <w:color w:val="000000" w:themeColor="text1"/>
          <w:highlight w:val="none"/>
          <w:shd w:val="clear" w:color="auto" w:fill="FFFFFF"/>
          <w14:textFill>
            <w14:solidFill>
              <w14:schemeClr w14:val="tx1"/>
            </w14:solidFill>
          </w14:textFill>
        </w:rPr>
        <w:t>日18时前以</w:t>
      </w:r>
      <w:r>
        <w:rPr>
          <w:rFonts w:hint="eastAsia" w:ascii="宋体" w:hAnsi="宋体" w:cs="宋体"/>
          <w:b/>
          <w:color w:val="000000" w:themeColor="text1"/>
          <w:highlight w:val="none"/>
          <w:shd w:val="clear" w:color="auto" w:fill="FFFFFF"/>
          <w14:textFill>
            <w14:solidFill>
              <w14:schemeClr w14:val="tx1"/>
            </w14:solidFill>
          </w14:textFill>
        </w:rPr>
        <w:t>书面形式</w:t>
      </w:r>
      <w:r>
        <w:rPr>
          <w:rFonts w:hint="eastAsia" w:ascii="宋体" w:hAnsi="宋体" w:cs="宋体"/>
          <w:color w:val="000000" w:themeColor="text1"/>
          <w:highlight w:val="none"/>
          <w:shd w:val="clear" w:color="auto" w:fill="FFFFFF"/>
          <w14:textFill>
            <w14:solidFill>
              <w14:schemeClr w14:val="tx1"/>
            </w14:solidFill>
          </w14:textFill>
        </w:rPr>
        <w:t>要求招租单位对招租文件中的疑问和异议部分予以答复或澄清。招租单位自收到异议之日起3日内作出答复。</w:t>
      </w:r>
    </w:p>
    <w:p w14:paraId="0CF9A7A0">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2、招租单位对招租文件的异议答复、澄清或修改在大丰公共资源电子交易平台  http://ggzy.dafeng.gov.cn/dfweb/中公告，请各</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自行关注、阅读和下载相关内容，招租单位不再另行通知。特殊情况下,如果答复或澄清发出的时间影响投标文件编制的，亦在网上公示相应延长投标截止时间，请各潜在</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在投标截止时间前充分关注上述网站的答疑公告等，否则责</w:t>
      </w:r>
      <w:bookmarkStart w:id="0" w:name="_GoBack"/>
      <w:bookmarkEnd w:id="0"/>
      <w:r>
        <w:rPr>
          <w:rFonts w:hint="eastAsia" w:ascii="宋体" w:hAnsi="宋体" w:cs="宋体"/>
          <w:color w:val="000000" w:themeColor="text1"/>
          <w:highlight w:val="none"/>
          <w:shd w:val="clear" w:color="auto" w:fill="FFFFFF"/>
          <w14:textFill>
            <w14:solidFill>
              <w14:schemeClr w14:val="tx1"/>
            </w14:solidFill>
          </w14:textFill>
        </w:rPr>
        <w:t>任自负。</w:t>
      </w:r>
    </w:p>
    <w:p w14:paraId="22BB5286">
      <w:pPr>
        <w:pStyle w:val="17"/>
        <w:widowControl/>
        <w:shd w:val="clear"/>
        <w:spacing w:beforeAutospacing="0" w:afterAutospacing="0" w:line="400" w:lineRule="exact"/>
        <w:ind w:firstLine="480" w:firstLineChars="20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3、本招标文件中所称的“招租单位”和“招租人”和“转让人”概念相同，“受让人”和“</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14:textFill>
            <w14:solidFill>
              <w14:schemeClr w14:val="tx1"/>
            </w14:solidFill>
          </w14:textFill>
        </w:rPr>
        <w:t>”和“受让人”概念相同，“招标文件”与“招租文件”概念相同，“投标文件”与“</w:t>
      </w:r>
      <w:r>
        <w:rPr>
          <w:rFonts w:hint="eastAsia" w:ascii="宋体" w:hAnsi="宋体" w:cs="宋体"/>
          <w:bCs/>
          <w:color w:val="000000" w:themeColor="text1"/>
          <w:highlight w:val="none"/>
          <w:shd w:val="clear" w:color="auto" w:fill="FFFFFF"/>
          <w14:textFill>
            <w14:solidFill>
              <w14:schemeClr w14:val="tx1"/>
            </w14:solidFill>
          </w14:textFill>
        </w:rPr>
        <w:t>承租</w:t>
      </w:r>
      <w:r>
        <w:rPr>
          <w:rFonts w:hint="eastAsia" w:ascii="宋体" w:hAnsi="宋体" w:cs="宋体"/>
          <w:color w:val="000000" w:themeColor="text1"/>
          <w:highlight w:val="none"/>
          <w14:textFill>
            <w14:solidFill>
              <w14:schemeClr w14:val="tx1"/>
            </w14:solidFill>
          </w14:textFill>
        </w:rPr>
        <w:t>文件”概念相同</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交易保证金</w:t>
      </w:r>
      <w:r>
        <w:rPr>
          <w:rFonts w:hint="eastAsia" w:ascii="宋体" w:hAnsi="宋体" w:cs="宋体"/>
          <w:color w:val="000000" w:themeColor="text1"/>
          <w:highlight w:val="none"/>
          <w14:textFill>
            <w14:solidFill>
              <w14:schemeClr w14:val="tx1"/>
            </w14:solidFill>
          </w14:textFill>
        </w:rPr>
        <w:t>”与“</w:t>
      </w:r>
      <w:r>
        <w:rPr>
          <w:rFonts w:hint="eastAsia" w:ascii="宋体" w:hAnsi="宋体" w:cs="宋体"/>
          <w:color w:val="000000" w:themeColor="text1"/>
          <w:highlight w:val="none"/>
          <w:lang w:val="en-US" w:eastAsia="zh-CN"/>
          <w14:textFill>
            <w14:solidFill>
              <w14:schemeClr w14:val="tx1"/>
            </w14:solidFill>
          </w14:textFill>
        </w:rPr>
        <w:t>投标保证金</w:t>
      </w:r>
      <w:r>
        <w:rPr>
          <w:rFonts w:hint="eastAsia" w:ascii="宋体" w:hAnsi="宋体" w:cs="宋体"/>
          <w:color w:val="000000" w:themeColor="text1"/>
          <w:highlight w:val="none"/>
          <w14:textFill>
            <w14:solidFill>
              <w14:schemeClr w14:val="tx1"/>
            </w14:solidFill>
          </w14:textFill>
        </w:rPr>
        <w:t>”概念相同</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受让</w:t>
      </w:r>
      <w:r>
        <w:rPr>
          <w:rFonts w:hint="eastAsia" w:ascii="宋体" w:hAnsi="宋体" w:cs="宋体"/>
          <w:color w:val="000000" w:themeColor="text1"/>
          <w:highlight w:val="none"/>
          <w14:textFill>
            <w14:solidFill>
              <w14:schemeClr w14:val="tx1"/>
            </w14:solidFill>
          </w14:textFill>
        </w:rPr>
        <w:t>”与“</w:t>
      </w:r>
      <w:r>
        <w:rPr>
          <w:rFonts w:hint="eastAsia" w:ascii="宋体" w:hAnsi="宋体" w:cs="宋体"/>
          <w:color w:val="000000" w:themeColor="text1"/>
          <w:highlight w:val="none"/>
          <w:lang w:val="en-US" w:eastAsia="zh-CN"/>
          <w14:textFill>
            <w14:solidFill>
              <w14:schemeClr w14:val="tx1"/>
            </w14:solidFill>
          </w14:textFill>
        </w:rPr>
        <w:t>承租</w:t>
      </w:r>
      <w:r>
        <w:rPr>
          <w:rFonts w:hint="eastAsia" w:ascii="宋体" w:hAnsi="宋体" w:cs="宋体"/>
          <w:color w:val="000000" w:themeColor="text1"/>
          <w:highlight w:val="none"/>
          <w14:textFill>
            <w14:solidFill>
              <w14:schemeClr w14:val="tx1"/>
            </w14:solidFill>
          </w14:textFill>
        </w:rPr>
        <w:t>”概念相同。</w:t>
      </w:r>
    </w:p>
    <w:p w14:paraId="39E92A2F">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四、投标有效期</w:t>
      </w:r>
    </w:p>
    <w:p w14:paraId="486A76E7">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xml:space="preserve"> 投标有效期为自提交投标文件截止时间起</w:t>
      </w:r>
      <w:r>
        <w:rPr>
          <w:rFonts w:hint="eastAsia" w:ascii="宋体" w:hAnsi="宋体" w:cs="宋体"/>
          <w:color w:val="000000" w:themeColor="text1"/>
          <w:highlight w:val="none"/>
          <w:u w:val="single"/>
          <w:shd w:val="clear" w:color="auto" w:fill="FFFFFF"/>
          <w14:textFill>
            <w14:solidFill>
              <w14:schemeClr w14:val="tx1"/>
            </w14:solidFill>
          </w14:textFill>
        </w:rPr>
        <w:t>60</w:t>
      </w:r>
      <w:r>
        <w:rPr>
          <w:rFonts w:hint="eastAsia" w:ascii="宋体" w:hAnsi="宋体" w:cs="宋体"/>
          <w:color w:val="000000" w:themeColor="text1"/>
          <w:highlight w:val="none"/>
          <w:shd w:val="clear" w:color="auto" w:fill="FFFFFF"/>
          <w14:textFill>
            <w14:solidFill>
              <w14:schemeClr w14:val="tx1"/>
            </w14:solidFill>
          </w14:textFill>
        </w:rPr>
        <w:t>日历天。在此有效期内，承租单位不得要求撤销或修改其投标文件。</w:t>
      </w:r>
    </w:p>
    <w:p w14:paraId="5CA43A09">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五、投标保证金</w:t>
      </w:r>
    </w:p>
    <w:p w14:paraId="17DAD049">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1、意向承租单位在 202</w:t>
      </w:r>
      <w:r>
        <w:rPr>
          <w:rFonts w:hint="eastAsia" w:ascii="宋体" w:hAnsi="宋体" w:cs="宋体"/>
          <w:bCs/>
          <w:color w:val="000000" w:themeColor="text1"/>
          <w:highlight w:val="none"/>
          <w:shd w:val="clear" w:color="auto" w:fill="FFFFFF"/>
          <w:lang w:val="en-US" w:eastAsia="zh-CN"/>
          <w14:textFill>
            <w14:solidFill>
              <w14:schemeClr w14:val="tx1"/>
            </w14:solidFill>
          </w14:textFill>
        </w:rPr>
        <w:t>4</w:t>
      </w:r>
      <w:r>
        <w:rPr>
          <w:rFonts w:hint="eastAsia" w:ascii="宋体" w:hAnsi="宋体" w:cs="宋体"/>
          <w:bCs/>
          <w:color w:val="000000" w:themeColor="text1"/>
          <w:highlight w:val="none"/>
          <w:shd w:val="clear" w:color="auto" w:fill="FFFFFF"/>
          <w14:textFill>
            <w14:solidFill>
              <w14:schemeClr w14:val="tx1"/>
            </w14:solidFill>
          </w14:textFill>
        </w:rPr>
        <w:t>年</w:t>
      </w:r>
      <w:r>
        <w:rPr>
          <w:rFonts w:hint="eastAsia" w:ascii="宋体" w:hAnsi="宋体" w:cs="宋体"/>
          <w:bCs/>
          <w:color w:val="000000" w:themeColor="text1"/>
          <w:highlight w:val="none"/>
          <w:shd w:val="clear" w:color="auto" w:fill="FFFFFF"/>
          <w:lang w:val="en-US" w:eastAsia="zh-CN"/>
          <w14:textFill>
            <w14:solidFill>
              <w14:schemeClr w14:val="tx1"/>
            </w14:solidFill>
          </w14:textFill>
        </w:rPr>
        <w:t>7</w:t>
      </w:r>
      <w:r>
        <w:rPr>
          <w:rFonts w:hint="eastAsia" w:ascii="宋体" w:hAnsi="宋体" w:cs="宋体"/>
          <w:bCs/>
          <w:color w:val="000000" w:themeColor="text1"/>
          <w:highlight w:val="none"/>
          <w:shd w:val="clear" w:color="auto" w:fill="FFFFFF"/>
          <w14:textFill>
            <w14:solidFill>
              <w14:schemeClr w14:val="tx1"/>
            </w14:solidFill>
          </w14:textFill>
        </w:rPr>
        <w:t>月</w:t>
      </w:r>
      <w:r>
        <w:rPr>
          <w:rFonts w:hint="eastAsia" w:ascii="宋体" w:hAnsi="宋体" w:cs="宋体"/>
          <w:bCs/>
          <w:color w:val="000000" w:themeColor="text1"/>
          <w:highlight w:val="none"/>
          <w:shd w:val="clear" w:color="auto" w:fill="FFFFFF"/>
          <w:lang w:val="en-US" w:eastAsia="zh-CN"/>
          <w14:textFill>
            <w14:solidFill>
              <w14:schemeClr w14:val="tx1"/>
            </w14:solidFill>
          </w14:textFill>
        </w:rPr>
        <w:t>12</w:t>
      </w:r>
      <w:r>
        <w:rPr>
          <w:rFonts w:hint="eastAsia" w:ascii="宋体" w:hAnsi="宋体" w:cs="宋体"/>
          <w:bCs/>
          <w:color w:val="000000" w:themeColor="text1"/>
          <w:highlight w:val="none"/>
          <w:shd w:val="clear" w:color="auto" w:fill="FFFFFF"/>
          <w14:textFill>
            <w14:solidFill>
              <w14:schemeClr w14:val="tx1"/>
            </w14:solidFill>
          </w14:textFill>
        </w:rPr>
        <w:t>日—202</w:t>
      </w:r>
      <w:r>
        <w:rPr>
          <w:rFonts w:hint="eastAsia" w:ascii="宋体" w:hAnsi="宋体" w:cs="宋体"/>
          <w:bCs/>
          <w:color w:val="000000" w:themeColor="text1"/>
          <w:highlight w:val="none"/>
          <w:shd w:val="clear" w:color="auto" w:fill="FFFFFF"/>
          <w:lang w:val="en-US" w:eastAsia="zh-CN"/>
          <w14:textFill>
            <w14:solidFill>
              <w14:schemeClr w14:val="tx1"/>
            </w14:solidFill>
          </w14:textFill>
        </w:rPr>
        <w:t>4</w:t>
      </w:r>
      <w:r>
        <w:rPr>
          <w:rFonts w:hint="eastAsia" w:ascii="宋体" w:hAnsi="宋体" w:cs="宋体"/>
          <w:bCs/>
          <w:color w:val="000000" w:themeColor="text1"/>
          <w:highlight w:val="none"/>
          <w:shd w:val="clear" w:color="auto" w:fill="FFFFFF"/>
          <w14:textFill>
            <w14:solidFill>
              <w14:schemeClr w14:val="tx1"/>
            </w14:solidFill>
          </w14:textFill>
        </w:rPr>
        <w:t>年</w:t>
      </w:r>
      <w:r>
        <w:rPr>
          <w:rFonts w:hint="eastAsia" w:ascii="宋体" w:hAnsi="宋体" w:cs="宋体"/>
          <w:bCs/>
          <w:color w:val="000000" w:themeColor="text1"/>
          <w:highlight w:val="none"/>
          <w:shd w:val="clear" w:color="auto" w:fill="FFFFFF"/>
          <w:lang w:val="en-US" w:eastAsia="zh-CN"/>
          <w14:textFill>
            <w14:solidFill>
              <w14:schemeClr w14:val="tx1"/>
            </w14:solidFill>
          </w14:textFill>
        </w:rPr>
        <w:t>7</w:t>
      </w:r>
      <w:r>
        <w:rPr>
          <w:rFonts w:hint="eastAsia" w:ascii="宋体" w:hAnsi="宋体" w:cs="宋体"/>
          <w:bCs/>
          <w:color w:val="000000" w:themeColor="text1"/>
          <w:highlight w:val="none"/>
          <w:shd w:val="clear" w:color="auto" w:fill="FFFFFF"/>
          <w14:textFill>
            <w14:solidFill>
              <w14:schemeClr w14:val="tx1"/>
            </w14:solidFill>
          </w14:textFill>
        </w:rPr>
        <w:t>月</w:t>
      </w:r>
      <w:r>
        <w:rPr>
          <w:rFonts w:hint="eastAsia" w:ascii="宋体" w:hAnsi="宋体" w:cs="宋体"/>
          <w:bCs/>
          <w:color w:val="000000" w:themeColor="text1"/>
          <w:highlight w:val="none"/>
          <w:shd w:val="clear" w:color="auto" w:fill="FFFFFF"/>
          <w:lang w:val="en-US" w:eastAsia="zh-CN"/>
          <w14:textFill>
            <w14:solidFill>
              <w14:schemeClr w14:val="tx1"/>
            </w14:solidFill>
          </w14:textFill>
        </w:rPr>
        <w:t>29</w:t>
      </w:r>
      <w:r>
        <w:rPr>
          <w:rFonts w:hint="eastAsia" w:ascii="宋体" w:hAnsi="宋体" w:cs="宋体"/>
          <w:bCs/>
          <w:color w:val="000000" w:themeColor="text1"/>
          <w:highlight w:val="none"/>
          <w:shd w:val="clear" w:color="auto" w:fill="FFFFFF"/>
          <w14:textFill>
            <w14:solidFill>
              <w14:schemeClr w14:val="tx1"/>
            </w14:solidFill>
          </w14:textFill>
        </w:rPr>
        <w:t>日</w:t>
      </w:r>
      <w:r>
        <w:rPr>
          <w:rFonts w:hint="eastAsia" w:ascii="宋体" w:hAnsi="宋体" w:cs="宋体"/>
          <w:bCs/>
          <w:color w:val="000000" w:themeColor="text1"/>
          <w:highlight w:val="none"/>
          <w:shd w:val="clear" w:color="auto" w:fill="FFFFFF"/>
          <w:lang w:val="en-US" w:eastAsia="zh-CN"/>
          <w14:textFill>
            <w14:solidFill>
              <w14:schemeClr w14:val="tx1"/>
            </w14:solidFill>
          </w14:textFill>
        </w:rPr>
        <w:t>9</w:t>
      </w:r>
      <w:r>
        <w:rPr>
          <w:rFonts w:hint="eastAsia" w:ascii="宋体" w:hAnsi="宋体" w:cs="宋体"/>
          <w:bCs/>
          <w:color w:val="000000" w:themeColor="text1"/>
          <w:highlight w:val="none"/>
          <w:shd w:val="clear" w:color="auto" w:fill="FFFFFF"/>
          <w14:textFill>
            <w14:solidFill>
              <w14:schemeClr w14:val="tx1"/>
            </w14:solidFill>
          </w14:textFill>
        </w:rPr>
        <w:t>时前向盐城市大丰区公共资源交易中心保证金专用账户（收款单位：盐城市大丰区公共资源交易中心，开户银行：大丰农村商业银行创业支行, 帐号：3209820531010000132746）交纳</w:t>
      </w:r>
      <w:r>
        <w:rPr>
          <w:rFonts w:hint="eastAsia" w:ascii="宋体" w:hAnsi="宋体" w:cs="宋体"/>
          <w:b/>
          <w:color w:val="000000" w:themeColor="text1"/>
          <w:highlight w:val="none"/>
          <w:u w:val="single"/>
          <w:shd w:val="clear" w:color="auto" w:fill="FFFFFF"/>
          <w14:textFill>
            <w14:solidFill>
              <w14:schemeClr w14:val="tx1"/>
            </w14:solidFill>
          </w14:textFill>
        </w:rPr>
        <w:t>人民币</w:t>
      </w:r>
      <w:r>
        <w:rPr>
          <w:rFonts w:hint="eastAsia" w:ascii="宋体" w:hAnsi="宋体" w:cs="宋体"/>
          <w:b/>
          <w:color w:val="000000" w:themeColor="text1"/>
          <w:highlight w:val="none"/>
          <w:u w:val="single"/>
          <w:shd w:val="clear" w:color="auto" w:fill="FFFFFF"/>
          <w:lang w:val="en-US" w:eastAsia="zh-CN"/>
          <w14:textFill>
            <w14:solidFill>
              <w14:schemeClr w14:val="tx1"/>
            </w14:solidFill>
          </w14:textFill>
        </w:rPr>
        <w:t>玖仟元</w:t>
      </w:r>
      <w:r>
        <w:rPr>
          <w:rFonts w:hint="eastAsia" w:ascii="宋体" w:hAnsi="宋体" w:cs="宋体"/>
          <w:b/>
          <w:color w:val="000000" w:themeColor="text1"/>
          <w:highlight w:val="none"/>
          <w:u w:val="single"/>
          <w:shd w:val="clear" w:color="auto" w:fill="FFFFFF"/>
          <w14:textFill>
            <w14:solidFill>
              <w14:schemeClr w14:val="tx1"/>
            </w14:solidFill>
          </w14:textFill>
        </w:rPr>
        <w:t>交易保证金</w:t>
      </w:r>
      <w:r>
        <w:rPr>
          <w:rFonts w:hint="eastAsia" w:ascii="宋体" w:hAnsi="宋体" w:cs="宋体"/>
          <w:bCs/>
          <w:color w:val="000000" w:themeColor="text1"/>
          <w:highlight w:val="none"/>
          <w:shd w:val="clear" w:color="auto" w:fill="FFFFFF"/>
          <w14:textFill>
            <w14:solidFill>
              <w14:schemeClr w14:val="tx1"/>
            </w14:solidFill>
          </w14:textFill>
        </w:rPr>
        <w:t>，以确定其参与受让。交易平台仅接受意向承租单位以本单位账户通过转账（或电汇）方式交纳的交易保证金。意向承租单位未能如期足额交纳交易保证金的，视为放弃本次受让。请提前办理保证金缴纳手续，确保保证金在现场竞价会开始时间前到达指定帐户。</w:t>
      </w:r>
    </w:p>
    <w:p w14:paraId="54CB0C28">
      <w:pPr>
        <w:pStyle w:val="17"/>
        <w:widowControl/>
        <w:shd w:val="clear"/>
        <w:spacing w:beforeAutospacing="0" w:afterAutospacing="0" w:line="400" w:lineRule="exact"/>
        <w:ind w:firstLine="480" w:firstLineChars="200"/>
        <w:jc w:val="both"/>
        <w:rPr>
          <w:rFonts w:ascii="宋体" w:hAnsi="宋体" w:cs="宋体"/>
          <w:bCs/>
          <w:color w:val="000000" w:themeColor="text1"/>
          <w:highlight w:val="none"/>
          <w:shd w:val="clear" w:color="auto" w:fill="FFFFFF"/>
          <w14:textFill>
            <w14:solidFill>
              <w14:schemeClr w14:val="tx1"/>
            </w14:solidFill>
          </w14:textFill>
        </w:rPr>
      </w:pPr>
      <w:r>
        <w:rPr>
          <w:rFonts w:hint="eastAsia" w:ascii="宋体" w:hAnsi="宋体" w:cs="宋体"/>
          <w:bCs/>
          <w:color w:val="000000" w:themeColor="text1"/>
          <w:highlight w:val="none"/>
          <w:shd w:val="clear" w:color="auto" w:fill="FFFFFF"/>
          <w14:textFill>
            <w14:solidFill>
              <w14:schemeClr w14:val="tx1"/>
            </w14:solidFill>
          </w14:textFill>
        </w:rPr>
        <w:t>2、意向承租单位应尽量避免在缴纳保证金截止日汇入资金，充分考虑资金在途时间，以免失去竞价资格。投标保证金在开标之前必须按要求交纳，方有资格投标；在投标截止时间前（建议提前一天）。查询电话：0515-83927046。</w:t>
      </w:r>
    </w:p>
    <w:p w14:paraId="4EF68BC0">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3、投标保证金退还：未中标人的投标保证金自中标通知书发出之日起5个工作日内无息退还，中标人的投标保证金自租赁合同书签订备案之后无息退还。</w:t>
      </w:r>
    </w:p>
    <w:p w14:paraId="785671AE">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4、下列任何一种情况发生时，</w:t>
      </w:r>
      <w:r>
        <w:rPr>
          <w:rFonts w:hint="eastAsia" w:ascii="宋体" w:hAnsi="宋体" w:cs="宋体"/>
          <w:color w:val="000000" w:themeColor="text1"/>
          <w:highlight w:val="none"/>
          <w:shd w:val="clear" w:color="auto" w:fill="FFFFFF"/>
          <w:lang w:val="en-US" w:eastAsia="zh-CN"/>
          <w14:textFill>
            <w14:solidFill>
              <w14:schemeClr w14:val="tx1"/>
            </w14:solidFill>
          </w14:textFill>
        </w:rPr>
        <w:t>投标保证金</w:t>
      </w:r>
      <w:r>
        <w:rPr>
          <w:rFonts w:hint="eastAsia" w:ascii="宋体" w:hAnsi="宋体" w:cs="宋体"/>
          <w:color w:val="000000" w:themeColor="text1"/>
          <w:highlight w:val="none"/>
          <w:shd w:val="clear" w:color="auto" w:fill="FFFFFF"/>
          <w14:textFill>
            <w14:solidFill>
              <w14:schemeClr w14:val="tx1"/>
            </w14:solidFill>
          </w14:textFill>
        </w:rPr>
        <w:t>将不予退还：</w:t>
      </w:r>
    </w:p>
    <w:p w14:paraId="19426034">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在投标有效期内撤回其投标。</w:t>
      </w:r>
    </w:p>
    <w:p w14:paraId="6685851A">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在规定期限内未与招租单位签订租赁合同。</w:t>
      </w:r>
    </w:p>
    <w:p w14:paraId="24308B18">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提供的有关资料、资格证书被确认是不真实的。</w:t>
      </w:r>
    </w:p>
    <w:p w14:paraId="4E71D40F">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之间被证实有串通投标行为的。</w:t>
      </w:r>
    </w:p>
    <w:p w14:paraId="1D684DFD">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被证明有妨碍其他人公平竞争、损害招租单位或者其他</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合法权益的。</w:t>
      </w:r>
    </w:p>
    <w:p w14:paraId="304FB0AD">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在投标过程中有违约行为的。</w:t>
      </w:r>
    </w:p>
    <w:p w14:paraId="06B14B2B">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六、报价方式</w:t>
      </w:r>
    </w:p>
    <w:p w14:paraId="764059B0">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投标报价统一采用人民币报价。</w:t>
      </w:r>
    </w:p>
    <w:p w14:paraId="32566AD7">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七、投标文件内容</w:t>
      </w:r>
    </w:p>
    <w:p w14:paraId="71C1DEC9">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投标文件包括以下内容：</w:t>
      </w:r>
    </w:p>
    <w:p w14:paraId="344C24EC">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（1）报价表加盖公章。</w:t>
      </w:r>
    </w:p>
    <w:p w14:paraId="1D2E8398">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（2）营业执照（副本）复印件加盖公章。</w:t>
      </w:r>
    </w:p>
    <w:p w14:paraId="75607B1C">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法人单位的</w:t>
      </w:r>
      <w:r>
        <w:rPr>
          <w:rFonts w:hint="eastAsia" w:ascii="宋体" w:hAnsi="宋体" w:cs="宋体"/>
          <w:color w:val="000000" w:themeColor="text1"/>
          <w:highlight w:val="none"/>
          <w:shd w:val="clear" w:color="auto" w:fill="FFFFFF"/>
          <w14:textFill>
            <w14:solidFill>
              <w14:schemeClr w14:val="tx1"/>
            </w14:solidFill>
          </w14:textFill>
        </w:rPr>
        <w:t>法定代表人（或委托代理人）居民身份证复印件。</w:t>
      </w:r>
    </w:p>
    <w:p w14:paraId="3C0E2C74">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（4）授权委托书（如有委托必须提供，无委托不提供）加盖公章。</w:t>
      </w:r>
    </w:p>
    <w:p w14:paraId="4CBC1989">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（5）国有产权意向承租承诺函、书面声明。</w:t>
      </w:r>
    </w:p>
    <w:p w14:paraId="431432BC">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（6）招标文件涉及的相关材料加盖公章。</w:t>
      </w:r>
    </w:p>
    <w:p w14:paraId="4508B481">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八、投标文件的编制</w:t>
      </w:r>
    </w:p>
    <w:p w14:paraId="41EE9413">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1、电子投标文件应使用“新点电子交易平台-大丰政府采购系统”可接受的投标文件制作工具进行编制和加密，并在投标文件提交截止时间前上传至“新点电子交易平台-大丰政府采购系统”中。</w:t>
      </w:r>
    </w:p>
    <w:p w14:paraId="4C9FF24A">
      <w:pPr>
        <w:pStyle w:val="17"/>
        <w:widowControl/>
        <w:shd w:val="clear"/>
        <w:spacing w:beforeAutospacing="0" w:afterAutospacing="0" w:line="400" w:lineRule="exact"/>
        <w:ind w:firstLine="480" w:firstLineChars="200"/>
        <w:jc w:val="both"/>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FFFFFF"/>
          <w14:textFill>
            <w14:solidFill>
              <w14:schemeClr w14:val="tx1"/>
            </w14:solidFill>
          </w14:textFill>
        </w:rPr>
        <w:t>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14:paraId="7AB65138">
      <w:pPr>
        <w:pStyle w:val="17"/>
        <w:widowControl/>
        <w:shd w:val="clear"/>
        <w:spacing w:beforeAutospacing="0" w:afterAutospacing="0" w:line="400" w:lineRule="exact"/>
        <w:ind w:firstLine="480" w:firstLineChars="200"/>
        <w:jc w:val="both"/>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2C3D6422">
      <w:pPr>
        <w:pStyle w:val="17"/>
        <w:widowControl/>
        <w:shd w:val="clear"/>
        <w:spacing w:beforeAutospacing="0" w:afterAutospacing="0" w:line="400" w:lineRule="exact"/>
        <w:ind w:firstLine="480" w:firstLineChars="200"/>
        <w:jc w:val="both"/>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必须从诚信库获取的材料，须通过互联网可以查询，未按本项要求从企业诚信库中获取的，视为未提供，在评标时该材料不予认可。</w:t>
      </w:r>
    </w:p>
    <w:p w14:paraId="181EF5EB">
      <w:pPr>
        <w:pStyle w:val="17"/>
        <w:widowControl/>
        <w:shd w:val="clear"/>
        <w:spacing w:beforeAutospacing="0" w:afterAutospacing="0" w:line="400" w:lineRule="exact"/>
        <w:ind w:firstLine="480" w:firstLineChars="200"/>
        <w:jc w:val="both"/>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投标人须知前附表3.1.1条无需从诚信库勾选的材料，编制投标文件时直接提供扫描件上传至投标文件制作工具其他材料栏。</w:t>
      </w:r>
    </w:p>
    <w:p w14:paraId="59AEC75F">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九、投标文件送达截止时间、地点</w:t>
      </w:r>
    </w:p>
    <w:p w14:paraId="4637F535">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lang w:eastAsia="zh-CN"/>
          <w14:textFill>
            <w14:solidFill>
              <w14:schemeClr w14:val="tx1"/>
            </w14:solidFill>
          </w14:textFill>
        </w:rPr>
        <w:t>（</w:t>
      </w:r>
      <w:r>
        <w:rPr>
          <w:rFonts w:hint="eastAsia" w:ascii="宋体" w:hAnsi="宋体" w:cs="宋体"/>
          <w:color w:val="000000" w:themeColor="text1"/>
          <w:highlight w:val="none"/>
          <w:shd w:val="clear" w:color="auto" w:fill="FFFFFF"/>
          <w:lang w:val="en-US" w:eastAsia="zh-CN"/>
          <w14:textFill>
            <w14:solidFill>
              <w14:schemeClr w14:val="tx1"/>
            </w14:solidFill>
          </w14:textFill>
        </w:rPr>
        <w:t>1</w:t>
      </w:r>
      <w:r>
        <w:rPr>
          <w:rFonts w:hint="eastAsia" w:ascii="宋体" w:hAnsi="宋体" w:cs="宋体"/>
          <w:color w:val="000000" w:themeColor="text1"/>
          <w:highlight w:val="none"/>
          <w:shd w:val="clear" w:color="auto" w:fill="FFFFFF"/>
          <w:lang w:eastAsia="zh-CN"/>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投标文件送达截止时间：</w:t>
      </w:r>
      <w:r>
        <w:rPr>
          <w:rFonts w:hint="eastAsia" w:ascii="宋体" w:hAnsi="宋体" w:cs="宋体"/>
          <w:color w:val="000000" w:themeColor="text1"/>
          <w:highlight w:val="none"/>
          <w:u w:val="single"/>
          <w:shd w:val="clear" w:color="auto" w:fill="FFFFFF"/>
          <w14:textFill>
            <w14:solidFill>
              <w14:schemeClr w14:val="tx1"/>
            </w14:solidFill>
          </w14:textFill>
        </w:rPr>
        <w:t>202</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4</w:t>
      </w:r>
      <w:r>
        <w:rPr>
          <w:rFonts w:hint="eastAsia" w:ascii="宋体" w:hAnsi="宋体" w:cs="宋体"/>
          <w:color w:val="000000" w:themeColor="text1"/>
          <w:highlight w:val="none"/>
          <w:shd w:val="clear" w:color="auto" w:fill="FFFFFF"/>
          <w14:textFill>
            <w14:solidFill>
              <w14:schemeClr w14:val="tx1"/>
            </w14:solidFill>
          </w14:textFill>
        </w:rPr>
        <w:t>年</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7</w:t>
      </w:r>
      <w:r>
        <w:rPr>
          <w:rFonts w:hint="eastAsia" w:ascii="宋体" w:hAnsi="宋体" w:cs="宋体"/>
          <w:color w:val="000000" w:themeColor="text1"/>
          <w:highlight w:val="none"/>
          <w:shd w:val="clear" w:color="auto" w:fill="FFFFFF"/>
          <w14:textFill>
            <w14:solidFill>
              <w14:schemeClr w14:val="tx1"/>
            </w14:solidFill>
          </w14:textFill>
        </w:rPr>
        <w:t>月</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29</w:t>
      </w:r>
      <w:r>
        <w:rPr>
          <w:rFonts w:hint="eastAsia" w:ascii="宋体" w:hAnsi="宋体" w:cs="宋体"/>
          <w:color w:val="000000" w:themeColor="text1"/>
          <w:highlight w:val="none"/>
          <w:shd w:val="clear" w:color="auto" w:fill="FFFFFF"/>
          <w14:textFill>
            <w14:solidFill>
              <w14:schemeClr w14:val="tx1"/>
            </w14:solidFill>
          </w14:textFill>
        </w:rPr>
        <w:t>日</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9</w:t>
      </w:r>
      <w:r>
        <w:rPr>
          <w:rFonts w:hint="eastAsia" w:ascii="宋体" w:hAnsi="宋体" w:cs="宋体"/>
          <w:color w:val="000000" w:themeColor="text1"/>
          <w:highlight w:val="none"/>
          <w:shd w:val="clear" w:color="auto" w:fill="FFFFFF"/>
          <w14:textFill>
            <w14:solidFill>
              <w14:schemeClr w14:val="tx1"/>
            </w14:solidFill>
          </w14:textFill>
        </w:rPr>
        <w:t>时</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00</w:t>
      </w:r>
      <w:r>
        <w:rPr>
          <w:rFonts w:hint="eastAsia" w:ascii="宋体" w:hAnsi="宋体" w:cs="宋体"/>
          <w:color w:val="000000" w:themeColor="text1"/>
          <w:highlight w:val="none"/>
          <w:shd w:val="clear" w:color="auto" w:fill="FFFFFF"/>
          <w14:textFill>
            <w14:solidFill>
              <w14:schemeClr w14:val="tx1"/>
            </w14:solidFill>
          </w14:textFill>
        </w:rPr>
        <w:t>分。</w:t>
      </w:r>
    </w:p>
    <w:p w14:paraId="1FC29BE5">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2</w:t>
      </w:r>
      <w:r>
        <w:rPr>
          <w:rFonts w:hint="eastAsia" w:ascii="宋体" w:hAnsi="宋体" w:cs="宋体"/>
          <w:b w:val="0"/>
          <w:bCs/>
          <w:color w:val="000000" w:themeColor="text1"/>
          <w:highlight w:val="none"/>
          <w:shd w:val="clear" w:color="auto" w:fill="FFFFFF"/>
          <w14:textFill>
            <w14:solidFill>
              <w14:schemeClr w14:val="tx1"/>
            </w14:solidFill>
          </w14:textFill>
        </w:rPr>
        <w:t xml:space="preserve">）电子档上传地址：“投标文件制作工具”生成的xetf格式的电子档上传至新点电子交易平台-大丰政府采购系统（网址：https://www.etrading.cn/BREpointSSO/login/oauth2login）。   </w:t>
      </w:r>
    </w:p>
    <w:p w14:paraId="2684C6A0">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3</w:t>
      </w:r>
      <w:r>
        <w:rPr>
          <w:rFonts w:hint="eastAsia" w:ascii="宋体" w:hAnsi="宋体" w:cs="宋体"/>
          <w:b w:val="0"/>
          <w:bCs/>
          <w:color w:val="000000" w:themeColor="text1"/>
          <w:highlight w:val="none"/>
          <w:shd w:val="clear" w:color="auto" w:fill="FFFFFF"/>
          <w14:textFill>
            <w14:solidFill>
              <w14:schemeClr w14:val="tx1"/>
            </w14:solidFill>
          </w14:textFill>
        </w:rPr>
        <w:t xml:space="preserve">）投标人未在投标文件递交截止时间前将加密的投标文件上传至新点电子交易平台-大丰政府采购系统，视为放弃其投标。 </w:t>
      </w:r>
    </w:p>
    <w:p w14:paraId="55E54541">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lang w:eastAsia="zh-CN"/>
          <w14:textFill>
            <w14:solidFill>
              <w14:schemeClr w14:val="tx1"/>
            </w14:solidFill>
          </w14:textFill>
        </w:rPr>
        <w:t>（</w:t>
      </w:r>
      <w:r>
        <w:rPr>
          <w:rFonts w:hint="eastAsia" w:ascii="宋体" w:hAnsi="宋体" w:cs="宋体"/>
          <w:b w:val="0"/>
          <w:bCs/>
          <w:color w:val="000000" w:themeColor="text1"/>
          <w:highlight w:val="none"/>
          <w:shd w:val="clear" w:color="auto" w:fill="FFFFFF"/>
          <w:lang w:val="en-US" w:eastAsia="zh-CN"/>
          <w14:textFill>
            <w14:solidFill>
              <w14:schemeClr w14:val="tx1"/>
            </w14:solidFill>
          </w14:textFill>
        </w:rPr>
        <w:t>4</w:t>
      </w:r>
      <w:r>
        <w:rPr>
          <w:rFonts w:hint="eastAsia" w:ascii="宋体" w:hAnsi="宋体" w:cs="宋体"/>
          <w:b w:val="0"/>
          <w:bCs/>
          <w:color w:val="000000" w:themeColor="text1"/>
          <w:highlight w:val="none"/>
          <w:shd w:val="clear" w:color="auto" w:fill="FFFFFF"/>
          <w:lang w:eastAsia="zh-CN"/>
          <w14:textFill>
            <w14:solidFill>
              <w14:schemeClr w14:val="tx1"/>
            </w14:solidFill>
          </w14:textFill>
        </w:rPr>
        <w:t>）</w:t>
      </w:r>
      <w:r>
        <w:rPr>
          <w:rFonts w:hint="eastAsia" w:ascii="宋体" w:hAnsi="宋体" w:cs="宋体"/>
          <w:b w:val="0"/>
          <w:bCs/>
          <w:color w:val="000000" w:themeColor="text1"/>
          <w:highlight w:val="none"/>
          <w:shd w:val="clear" w:color="auto" w:fill="FFFFFF"/>
          <w14:textFill>
            <w14:solidFill>
              <w14:schemeClr w14:val="tx1"/>
            </w14:solidFill>
          </w14:textFill>
        </w:rPr>
        <w:t>有下列情形之一的投标文件拒收并退回：</w:t>
      </w:r>
    </w:p>
    <w:p w14:paraId="59A1FD6C">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1）投标文件逾期提交的或者未在指定时间内完成投标文件解密的。</w:t>
      </w:r>
    </w:p>
    <w:p w14:paraId="3D6BE9DB">
      <w:pPr>
        <w:pStyle w:val="17"/>
        <w:widowControl/>
        <w:shd w:val="clear"/>
        <w:spacing w:beforeAutospacing="0" w:afterAutospacing="0" w:line="400" w:lineRule="exact"/>
        <w:ind w:firstLine="480" w:firstLineChars="200"/>
        <w:jc w:val="both"/>
        <w:rPr>
          <w:rFonts w:hint="eastAsia" w:ascii="宋体" w:hAnsi="宋体" w:cs="宋体"/>
          <w:b w:val="0"/>
          <w:bCs/>
          <w:color w:val="000000" w:themeColor="text1"/>
          <w:highlight w:val="none"/>
          <w:shd w:val="clear" w:color="auto" w:fill="FFFFFF"/>
          <w14:textFill>
            <w14:solidFill>
              <w14:schemeClr w14:val="tx1"/>
            </w14:solidFill>
          </w14:textFill>
        </w:rPr>
      </w:pPr>
      <w:r>
        <w:rPr>
          <w:rFonts w:hint="eastAsia" w:ascii="宋体" w:hAnsi="宋体" w:cs="宋体"/>
          <w:b w:val="0"/>
          <w:bCs/>
          <w:color w:val="000000" w:themeColor="text1"/>
          <w:highlight w:val="none"/>
          <w:shd w:val="clear" w:color="auto" w:fill="FFFFFF"/>
          <w14:textFill>
            <w14:solidFill>
              <w14:schemeClr w14:val="tx1"/>
            </w14:solidFill>
          </w14:textFill>
        </w:rPr>
        <w:t>2）投标人CA锁无法解密投标文件的。</w:t>
      </w:r>
    </w:p>
    <w:p w14:paraId="3072BE53">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十、开标时间及地点</w:t>
      </w:r>
    </w:p>
    <w:p w14:paraId="3B6244C8">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1、开标时间：</w:t>
      </w:r>
      <w:r>
        <w:rPr>
          <w:rFonts w:hint="eastAsia" w:ascii="宋体" w:hAnsi="宋体" w:cs="宋体"/>
          <w:color w:val="000000" w:themeColor="text1"/>
          <w:highlight w:val="none"/>
          <w:u w:val="single"/>
          <w:shd w:val="clear" w:color="auto" w:fill="FFFFFF"/>
          <w14:textFill>
            <w14:solidFill>
              <w14:schemeClr w14:val="tx1"/>
            </w14:solidFill>
          </w14:textFill>
        </w:rPr>
        <w:t>202</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4</w:t>
      </w:r>
      <w:r>
        <w:rPr>
          <w:rFonts w:hint="eastAsia" w:ascii="宋体" w:hAnsi="宋体" w:cs="宋体"/>
          <w:color w:val="000000" w:themeColor="text1"/>
          <w:highlight w:val="none"/>
          <w:shd w:val="clear" w:color="auto" w:fill="FFFFFF"/>
          <w14:textFill>
            <w14:solidFill>
              <w14:schemeClr w14:val="tx1"/>
            </w14:solidFill>
          </w14:textFill>
        </w:rPr>
        <w:t>年</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7</w:t>
      </w:r>
      <w:r>
        <w:rPr>
          <w:rFonts w:hint="eastAsia" w:ascii="宋体" w:hAnsi="宋体" w:cs="宋体"/>
          <w:color w:val="000000" w:themeColor="text1"/>
          <w:highlight w:val="none"/>
          <w:shd w:val="clear" w:color="auto" w:fill="FFFFFF"/>
          <w14:textFill>
            <w14:solidFill>
              <w14:schemeClr w14:val="tx1"/>
            </w14:solidFill>
          </w14:textFill>
        </w:rPr>
        <w:t>月</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29</w:t>
      </w:r>
      <w:r>
        <w:rPr>
          <w:rFonts w:hint="eastAsia" w:ascii="宋体" w:hAnsi="宋体" w:cs="宋体"/>
          <w:color w:val="000000" w:themeColor="text1"/>
          <w:highlight w:val="none"/>
          <w:shd w:val="clear" w:color="auto" w:fill="FFFFFF"/>
          <w14:textFill>
            <w14:solidFill>
              <w14:schemeClr w14:val="tx1"/>
            </w14:solidFill>
          </w14:textFill>
        </w:rPr>
        <w:t>日</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9</w:t>
      </w:r>
      <w:r>
        <w:rPr>
          <w:rFonts w:hint="eastAsia" w:ascii="宋体" w:hAnsi="宋体" w:cs="宋体"/>
          <w:color w:val="000000" w:themeColor="text1"/>
          <w:highlight w:val="none"/>
          <w:shd w:val="clear" w:color="auto" w:fill="FFFFFF"/>
          <w14:textFill>
            <w14:solidFill>
              <w14:schemeClr w14:val="tx1"/>
            </w14:solidFill>
          </w14:textFill>
        </w:rPr>
        <w:t>时</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00</w:t>
      </w:r>
      <w:r>
        <w:rPr>
          <w:rFonts w:hint="eastAsia" w:ascii="宋体" w:hAnsi="宋体" w:cs="宋体"/>
          <w:color w:val="000000" w:themeColor="text1"/>
          <w:highlight w:val="none"/>
          <w:shd w:val="clear" w:color="auto" w:fill="FFFFFF"/>
          <w14:textFill>
            <w14:solidFill>
              <w14:schemeClr w14:val="tx1"/>
            </w14:solidFill>
          </w14:textFill>
        </w:rPr>
        <w:t>分。</w:t>
      </w:r>
    </w:p>
    <w:p w14:paraId="3B7C6981">
      <w:pPr>
        <w:pStyle w:val="17"/>
        <w:widowControl/>
        <w:shd w:val="clear"/>
        <w:spacing w:beforeAutospacing="0" w:afterAutospacing="0" w:line="400" w:lineRule="exact"/>
        <w:ind w:firstLine="480" w:firstLineChars="200"/>
        <w:jc w:val="left"/>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2、开标地点：开标大厅系统http://js.etrading.cn/EpointBidOpening/bidopeninghallaction/hall/login。</w:t>
      </w:r>
    </w:p>
    <w:p w14:paraId="69AAE9FC">
      <w:pPr>
        <w:pStyle w:val="17"/>
        <w:widowControl/>
        <w:shd w:val="clear"/>
        <w:spacing w:beforeAutospacing="0" w:afterAutospacing="0" w:line="400" w:lineRule="exact"/>
        <w:ind w:firstLine="482" w:firstLineChars="200"/>
        <w:jc w:val="both"/>
        <w:rPr>
          <w:rFonts w:hint="eastAsia" w:ascii="宋体" w:hAnsi="宋体" w:cs="宋体"/>
          <w:b/>
          <w:color w:val="000000" w:themeColor="text1"/>
          <w:highlight w:val="none"/>
          <w:shd w:val="clear" w:color="auto" w:fill="FFFFFF"/>
          <w14:textFill>
            <w14:solidFill>
              <w14:schemeClr w14:val="tx1"/>
            </w14:solidFill>
          </w14:textFill>
        </w:rPr>
      </w:pPr>
      <w:r>
        <w:rPr>
          <w:rFonts w:hint="eastAsia" w:ascii="宋体" w:hAnsi="宋体" w:cs="宋体"/>
          <w:b/>
          <w:color w:val="000000" w:themeColor="text1"/>
          <w:highlight w:val="none"/>
          <w:shd w:val="clear" w:color="auto" w:fill="FFFFFF"/>
          <w:lang w:val="en-US" w:eastAsia="zh-CN"/>
          <w14:textFill>
            <w14:solidFill>
              <w14:schemeClr w14:val="tx1"/>
            </w14:solidFill>
          </w14:textFill>
        </w:rPr>
        <w:t>十一、</w:t>
      </w:r>
      <w:r>
        <w:rPr>
          <w:rFonts w:hint="eastAsia" w:ascii="宋体" w:hAnsi="宋体" w:cs="宋体"/>
          <w:b/>
          <w:color w:val="000000" w:themeColor="text1"/>
          <w:highlight w:val="none"/>
          <w:shd w:val="clear" w:color="auto" w:fill="FFFFFF"/>
          <w14:textFill>
            <w14:solidFill>
              <w14:schemeClr w14:val="tx1"/>
            </w14:solidFill>
          </w14:textFill>
        </w:rPr>
        <w:t>参加开标会的投标人代表</w:t>
      </w:r>
    </w:p>
    <w:p w14:paraId="0CF79A57">
      <w:pPr>
        <w:pStyle w:val="17"/>
        <w:widowControl/>
        <w:shd w:val="clear"/>
        <w:spacing w:beforeAutospacing="0" w:afterAutospacing="0" w:line="400" w:lineRule="exact"/>
        <w:ind w:firstLine="480" w:firstLineChars="200"/>
        <w:jc w:val="both"/>
        <w:rPr>
          <w:rFonts w:hint="eastAsia" w:ascii="宋体" w:hAnsi="宋体" w:eastAsia="宋体" w:cs="宋体"/>
          <w:b w:val="0"/>
          <w:bCs/>
          <w:color w:val="000000" w:themeColor="text1"/>
          <w:highlight w:val="none"/>
          <w:shd w:val="clear" w:color="auto" w:fill="FFFFFF"/>
          <w14:textFill>
            <w14:solidFill>
              <w14:schemeClr w14:val="tx1"/>
            </w14:solidFill>
          </w14:textFill>
        </w:rPr>
      </w:pPr>
      <w:r>
        <w:rPr>
          <w:rFonts w:hint="eastAsia" w:ascii="宋体" w:hAnsi="宋体" w:eastAsia="宋体" w:cs="宋体"/>
          <w:b w:val="0"/>
          <w:bCs/>
          <w:color w:val="000000" w:themeColor="text1"/>
          <w:highlight w:val="none"/>
          <w:shd w:val="clear" w:color="auto" w:fill="FFFFFF"/>
          <w14:textFill>
            <w14:solidFill>
              <w14:schemeClr w14:val="tx1"/>
            </w14:solidFill>
          </w14:textFill>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31AE8F6E">
      <w:pPr>
        <w:pStyle w:val="17"/>
        <w:widowControl/>
        <w:shd w:val="clear"/>
        <w:spacing w:beforeAutospacing="0" w:afterAutospacing="0" w:line="400" w:lineRule="exact"/>
        <w:ind w:firstLine="480" w:firstLineChars="200"/>
        <w:jc w:val="both"/>
        <w:rPr>
          <w:rFonts w:hint="eastAsia" w:ascii="宋体" w:hAnsi="宋体" w:eastAsia="宋体" w:cs="宋体"/>
          <w:b w:val="0"/>
          <w:bCs/>
          <w:color w:val="000000" w:themeColor="text1"/>
          <w:highlight w:val="none"/>
          <w:shd w:val="clear" w:color="auto" w:fill="FFFFFF"/>
          <w14:textFill>
            <w14:solidFill>
              <w14:schemeClr w14:val="tx1"/>
            </w14:solidFill>
          </w14:textFill>
        </w:rPr>
      </w:pPr>
      <w:r>
        <w:rPr>
          <w:rFonts w:hint="eastAsia" w:ascii="宋体" w:hAnsi="宋体" w:eastAsia="宋体" w:cs="宋体"/>
          <w:b w:val="0"/>
          <w:bCs/>
          <w:color w:val="000000" w:themeColor="text1"/>
          <w:highlight w:val="none"/>
          <w:shd w:val="clear" w:color="auto" w:fill="FFFFFF"/>
          <w14:textFill>
            <w14:solidFill>
              <w14:schemeClr w14:val="tx1"/>
            </w14:solidFill>
          </w14:textFill>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p w14:paraId="3BDE9E5D">
      <w:pPr>
        <w:pStyle w:val="17"/>
        <w:widowControl/>
        <w:shd w:val="clear"/>
        <w:spacing w:beforeAutospacing="0" w:afterAutospacing="0" w:line="400" w:lineRule="exact"/>
        <w:ind w:firstLine="482" w:firstLineChars="200"/>
        <w:jc w:val="both"/>
        <w:rPr>
          <w:rFonts w:hint="eastAsia" w:ascii="宋体" w:hAnsi="宋体" w:eastAsia="宋体" w:cs="宋体"/>
          <w:b/>
          <w:bCs w:val="0"/>
          <w:color w:val="000000" w:themeColor="text1"/>
          <w:highlight w:val="none"/>
          <w:shd w:val="clear" w:color="auto" w:fill="FFFFFF"/>
          <w14:textFill>
            <w14:solidFill>
              <w14:schemeClr w14:val="tx1"/>
            </w14:solidFill>
          </w14:textFill>
        </w:rPr>
      </w:pPr>
      <w:r>
        <w:rPr>
          <w:rFonts w:hint="eastAsia" w:ascii="宋体" w:hAnsi="宋体" w:eastAsia="宋体" w:cs="宋体"/>
          <w:b/>
          <w:bCs w:val="0"/>
          <w:color w:val="000000" w:themeColor="text1"/>
          <w:highlight w:val="none"/>
          <w:shd w:val="clear" w:color="auto" w:fill="FFFFFF"/>
          <w:lang w:val="en-US" w:eastAsia="zh-CN"/>
          <w14:textFill>
            <w14:solidFill>
              <w14:schemeClr w14:val="tx1"/>
            </w14:solidFill>
          </w14:textFill>
        </w:rPr>
        <w:t>十二、</w:t>
      </w:r>
      <w:r>
        <w:rPr>
          <w:rFonts w:hint="eastAsia" w:ascii="宋体" w:hAnsi="宋体" w:eastAsia="宋体" w:cs="宋体"/>
          <w:b/>
          <w:bCs w:val="0"/>
          <w:color w:val="000000" w:themeColor="text1"/>
          <w:highlight w:val="none"/>
          <w:shd w:val="clear" w:color="auto" w:fill="FFFFFF"/>
          <w14:textFill>
            <w14:solidFill>
              <w14:schemeClr w14:val="tx1"/>
            </w14:solidFill>
          </w14:textFill>
        </w:rPr>
        <w:t>投标文件解密时间</w:t>
      </w:r>
    </w:p>
    <w:p w14:paraId="294B6D6A">
      <w:pPr>
        <w:pStyle w:val="17"/>
        <w:widowControl/>
        <w:shd w:val="clear"/>
        <w:spacing w:beforeAutospacing="0" w:afterAutospacing="0" w:line="400" w:lineRule="exact"/>
        <w:ind w:firstLine="480" w:firstLineChars="200"/>
        <w:jc w:val="both"/>
        <w:rPr>
          <w:rFonts w:hint="eastAsia" w:ascii="宋体" w:hAnsi="宋体" w:eastAsia="宋体" w:cs="宋体"/>
          <w:b/>
          <w:bCs w:val="0"/>
          <w:color w:val="000000" w:themeColor="text1"/>
          <w:highlight w:val="none"/>
          <w:shd w:val="clear" w:color="auto" w:fill="FFFFFF"/>
          <w14:textFill>
            <w14:solidFill>
              <w14:schemeClr w14:val="tx1"/>
            </w14:solidFill>
          </w14:textFill>
        </w:rPr>
      </w:pPr>
      <w:r>
        <w:rPr>
          <w:rFonts w:hint="eastAsia" w:ascii="宋体" w:hAnsi="宋体" w:eastAsia="宋体" w:cs="宋体"/>
          <w:b w:val="0"/>
          <w:bCs/>
          <w:color w:val="000000" w:themeColor="text1"/>
          <w:highlight w:val="none"/>
          <w:shd w:val="clear" w:color="auto" w:fill="FFFFFF"/>
          <w14:textFill>
            <w14:solidFill>
              <w14:schemeClr w14:val="tx1"/>
            </w14:solidFill>
          </w14:textFill>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hint="eastAsia" w:ascii="宋体" w:hAnsi="宋体" w:eastAsia="宋体" w:cs="宋体"/>
          <w:b/>
          <w:bCs w:val="0"/>
          <w:color w:val="000000" w:themeColor="text1"/>
          <w:highlight w:val="none"/>
          <w:shd w:val="clear" w:color="auto" w:fill="FFFFFF"/>
          <w14:textFill>
            <w14:solidFill>
              <w14:schemeClr w14:val="tx1"/>
            </w14:solidFill>
          </w14:textFill>
        </w:rPr>
        <w:t>（友情提示：进行解密的时候，应使用生成投标文件的CA锁进行操作，否则无法完成解密。）</w:t>
      </w:r>
    </w:p>
    <w:p w14:paraId="5E99EFC9">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十</w:t>
      </w:r>
      <w:r>
        <w:rPr>
          <w:rFonts w:hint="eastAsia" w:ascii="宋体" w:hAnsi="宋体" w:cs="宋体"/>
          <w:b/>
          <w:color w:val="000000" w:themeColor="text1"/>
          <w:highlight w:val="none"/>
          <w:shd w:val="clear" w:color="auto" w:fill="FFFFFF"/>
          <w:lang w:val="en-US" w:eastAsia="zh-CN"/>
          <w14:textFill>
            <w14:solidFill>
              <w14:schemeClr w14:val="tx1"/>
            </w14:solidFill>
          </w14:textFill>
        </w:rPr>
        <w:t>三</w:t>
      </w:r>
      <w:r>
        <w:rPr>
          <w:rFonts w:hint="eastAsia" w:ascii="宋体" w:hAnsi="宋体" w:cs="宋体"/>
          <w:b/>
          <w:color w:val="000000" w:themeColor="text1"/>
          <w:highlight w:val="none"/>
          <w:shd w:val="clear" w:color="auto" w:fill="FFFFFF"/>
          <w14:textFill>
            <w14:solidFill>
              <w14:schemeClr w14:val="tx1"/>
            </w14:solidFill>
          </w14:textFill>
        </w:rPr>
        <w:t>、废标</w:t>
      </w:r>
    </w:p>
    <w:p w14:paraId="031794DD">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出现下列情况之一的，作废标处理：</w:t>
      </w:r>
    </w:p>
    <w:p w14:paraId="1D18734E">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1、未按招租文件要求交纳</w:t>
      </w:r>
      <w:r>
        <w:rPr>
          <w:rFonts w:hint="eastAsia" w:ascii="宋体" w:hAnsi="宋体" w:cs="宋体"/>
          <w:b/>
          <w:color w:val="000000" w:themeColor="text1"/>
          <w:highlight w:val="none"/>
          <w:shd w:val="clear" w:color="auto" w:fill="FFFFFF"/>
          <w:lang w:val="en-US" w:eastAsia="zh-CN"/>
          <w14:textFill>
            <w14:solidFill>
              <w14:schemeClr w14:val="tx1"/>
            </w14:solidFill>
          </w14:textFill>
        </w:rPr>
        <w:t>投标保证金</w:t>
      </w:r>
      <w:r>
        <w:rPr>
          <w:rFonts w:hint="eastAsia" w:ascii="宋体" w:hAnsi="宋体" w:cs="宋体"/>
          <w:b/>
          <w:color w:val="000000" w:themeColor="text1"/>
          <w:highlight w:val="none"/>
          <w:shd w:val="clear" w:color="auto" w:fill="FFFFFF"/>
          <w14:textFill>
            <w14:solidFill>
              <w14:schemeClr w14:val="tx1"/>
            </w14:solidFill>
          </w14:textFill>
        </w:rPr>
        <w:t>的。</w:t>
      </w:r>
    </w:p>
    <w:p w14:paraId="6AA9D17B">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2、投标报价填写不规范，并导致无法确认其具体报价的。</w:t>
      </w:r>
    </w:p>
    <w:p w14:paraId="62412D17">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3、承租单位报价（年租金）低于招租单位招租底价的。</w:t>
      </w:r>
    </w:p>
    <w:p w14:paraId="46AE0A9C">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4、投标文件中明确要求签字或盖章的地方而未签字或盖章的。</w:t>
      </w:r>
    </w:p>
    <w:p w14:paraId="25CB3B63">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5、单位投标的，招租文件要求提供的资料而未能全面提供的，或虽提供但内容不符合招租文件规定或已无效的。</w:t>
      </w:r>
    </w:p>
    <w:p w14:paraId="674D7C8C">
      <w:pPr>
        <w:pStyle w:val="17"/>
        <w:widowControl/>
        <w:shd w:val="clear"/>
        <w:spacing w:beforeAutospacing="0" w:afterAutospacing="0" w:line="400" w:lineRule="exact"/>
        <w:ind w:firstLine="482" w:firstLineChars="200"/>
        <w:jc w:val="both"/>
        <w:rPr>
          <w:rFonts w:hint="eastAsia" w:ascii="宋体" w:hAnsi="宋体" w:cs="宋体"/>
          <w:b/>
          <w:color w:val="000000" w:themeColor="text1"/>
          <w:highlight w:val="none"/>
          <w:shd w:val="clear" w:color="auto" w:fill="FFFFFF"/>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6、投标文件提出了不能满足招租文件要求的、或超出招租文件规定的其他附加条件内容的。</w:t>
      </w:r>
    </w:p>
    <w:p w14:paraId="01DDB6FB">
      <w:pPr>
        <w:pStyle w:val="17"/>
        <w:widowControl/>
        <w:shd w:val="clear"/>
        <w:spacing w:beforeAutospacing="0" w:afterAutospacing="0" w:line="400" w:lineRule="exact"/>
        <w:ind w:firstLine="482" w:firstLineChars="200"/>
        <w:jc w:val="both"/>
        <w:rPr>
          <w:rFonts w:hint="eastAsia" w:ascii="宋体" w:hAnsi="宋体" w:eastAsia="宋体" w:cs="宋体"/>
          <w:b/>
          <w:color w:val="000000" w:themeColor="text1"/>
          <w:highlight w:val="none"/>
          <w:shd w:val="clear" w:color="auto" w:fill="FFFFFF"/>
          <w:lang w:val="en-US" w:eastAsia="zh-CN"/>
          <w14:textFill>
            <w14:solidFill>
              <w14:schemeClr w14:val="tx1"/>
            </w14:solidFill>
          </w14:textFill>
        </w:rPr>
      </w:pPr>
      <w:r>
        <w:rPr>
          <w:rFonts w:hint="eastAsia" w:ascii="宋体" w:hAnsi="宋体" w:cs="宋体"/>
          <w:b/>
          <w:color w:val="000000" w:themeColor="text1"/>
          <w:highlight w:val="none"/>
          <w:shd w:val="clear" w:color="auto" w:fill="FFFFFF"/>
          <w:lang w:val="en-US" w:eastAsia="zh-CN"/>
          <w14:textFill>
            <w14:solidFill>
              <w14:schemeClr w14:val="tx1"/>
            </w14:solidFill>
          </w14:textFill>
        </w:rPr>
        <w:t>7、未按招标文件要求提供电子投标文件，或者电子投标文件未能解密或超时解密的。因招投标系统故障因素导致所有投标电子投标文件均不能解密的除外。</w:t>
      </w:r>
    </w:p>
    <w:p w14:paraId="3A4E8889">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十</w:t>
      </w:r>
      <w:r>
        <w:rPr>
          <w:rFonts w:hint="eastAsia" w:ascii="宋体" w:hAnsi="宋体" w:cs="宋体"/>
          <w:b/>
          <w:color w:val="000000" w:themeColor="text1"/>
          <w:highlight w:val="none"/>
          <w:shd w:val="clear" w:color="auto" w:fill="FFFFFF"/>
          <w:lang w:val="en-US" w:eastAsia="zh-CN"/>
          <w14:textFill>
            <w14:solidFill>
              <w14:schemeClr w14:val="tx1"/>
            </w14:solidFill>
          </w14:textFill>
        </w:rPr>
        <w:t>四</w:t>
      </w:r>
      <w:r>
        <w:rPr>
          <w:rFonts w:hint="eastAsia" w:ascii="宋体" w:hAnsi="宋体" w:cs="宋体"/>
          <w:b/>
          <w:color w:val="000000" w:themeColor="text1"/>
          <w:highlight w:val="none"/>
          <w:shd w:val="clear" w:color="auto" w:fill="FFFFFF"/>
          <w14:textFill>
            <w14:solidFill>
              <w14:schemeClr w14:val="tx1"/>
            </w14:solidFill>
          </w14:textFill>
        </w:rPr>
        <w:t>、评标委员会</w:t>
      </w:r>
    </w:p>
    <w:p w14:paraId="6A4A8121">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由招租单位依法组成，评委应遵守评标纪律。</w:t>
      </w:r>
    </w:p>
    <w:p w14:paraId="425638C7">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十</w:t>
      </w:r>
      <w:r>
        <w:rPr>
          <w:rFonts w:hint="eastAsia" w:ascii="宋体" w:hAnsi="宋体" w:cs="宋体"/>
          <w:b/>
          <w:color w:val="000000" w:themeColor="text1"/>
          <w:highlight w:val="none"/>
          <w:shd w:val="clear" w:color="auto" w:fill="FFFFFF"/>
          <w:lang w:val="en-US" w:eastAsia="zh-CN"/>
          <w14:textFill>
            <w14:solidFill>
              <w14:schemeClr w14:val="tx1"/>
            </w14:solidFill>
          </w14:textFill>
        </w:rPr>
        <w:t>五</w:t>
      </w:r>
      <w:r>
        <w:rPr>
          <w:rFonts w:hint="eastAsia" w:ascii="宋体" w:hAnsi="宋体" w:cs="宋体"/>
          <w:b/>
          <w:color w:val="000000" w:themeColor="text1"/>
          <w:highlight w:val="none"/>
          <w:shd w:val="clear" w:color="auto" w:fill="FFFFFF"/>
          <w14:textFill>
            <w14:solidFill>
              <w14:schemeClr w14:val="tx1"/>
            </w14:solidFill>
          </w14:textFill>
        </w:rPr>
        <w:t>、评标定标方法</w:t>
      </w:r>
    </w:p>
    <w:p w14:paraId="3A3A4435">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参与投标的</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不少于3家的方可开标，不足3家的作流标处理。</w:t>
      </w:r>
    </w:p>
    <w:p w14:paraId="720560DE">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2、评标方法为综合评分法。即在最大限度地满足招租文件实质性要求前提下，按照招租文件中规定的各项因素进行综合评审。</w:t>
      </w:r>
    </w:p>
    <w:p w14:paraId="3EC36813">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评标时，评标委员会各成员独立对每个有效</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的标书进行评价、打分，然后汇总，按算术平均方法，计算出每个</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的得分；报价得分通过计算直接取得；报价得分加评委算术平均得分，为</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的总得分。</w:t>
      </w:r>
    </w:p>
    <w:p w14:paraId="6A65BE82">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总得分最高的</w:t>
      </w:r>
      <w:r>
        <w:rPr>
          <w:rFonts w:hint="eastAsia" w:ascii="宋体" w:hAnsi="宋体" w:cs="宋体"/>
          <w:bCs/>
          <w:color w:val="000000" w:themeColor="text1"/>
          <w:highlight w:val="none"/>
          <w:shd w:val="clear" w:color="auto" w:fill="FFFFFF"/>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为第一名中标侯选人，</w:t>
      </w:r>
      <w:r>
        <w:rPr>
          <w:rFonts w:hint="eastAsia" w:ascii="宋体" w:hAnsi="宋体" w:cs="宋体"/>
          <w:color w:val="000000" w:themeColor="text1"/>
          <w:highlight w:val="none"/>
          <w14:textFill>
            <w14:solidFill>
              <w14:schemeClr w14:val="tx1"/>
            </w14:solidFill>
          </w14:textFill>
        </w:rPr>
        <w:t>按照总得分高低依次推荐前三名中标候选人。</w:t>
      </w:r>
      <w:r>
        <w:rPr>
          <w:rFonts w:hint="eastAsia" w:ascii="宋体" w:hAnsi="宋体" w:cs="宋体"/>
          <w:color w:val="000000" w:themeColor="text1"/>
          <w:highlight w:val="none"/>
          <w:shd w:val="clear" w:color="auto" w:fill="FFFFFF"/>
          <w14:textFill>
            <w14:solidFill>
              <w14:schemeClr w14:val="tx1"/>
            </w14:solidFill>
          </w14:textFill>
        </w:rPr>
        <w:t xml:space="preserve">招租单位按规定确定排名第一的中标候选人为中标人。 </w:t>
      </w:r>
    </w:p>
    <w:p w14:paraId="3A490C70">
      <w:pPr>
        <w:pStyle w:val="17"/>
        <w:widowControl/>
        <w:shd w:val="clear"/>
        <w:spacing w:beforeAutospacing="0" w:afterAutospacing="0" w:line="400" w:lineRule="exact"/>
        <w:ind w:firstLine="482" w:firstLineChars="200"/>
        <w:jc w:val="both"/>
        <w:rPr>
          <w:rFonts w:ascii="宋体" w:hAnsi="宋体" w:cs="宋体"/>
          <w:b/>
          <w:bCs/>
          <w:color w:val="000000" w:themeColor="text1"/>
          <w:highlight w:val="none"/>
          <w:shd w:val="clear" w:color="auto" w:fill="FFFFFF"/>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中标人（或中标候选人）放弃中标、因不可抗力不能履行合同，或者被查实存在影响中标结果的违法行为等情形，不符合中标条件的，招租单位可以按照评标委员会确定的中标候选人名单排序依次确定其他中标候选人为中标人，也可以重新招标。</w:t>
      </w:r>
    </w:p>
    <w:p w14:paraId="487B821C">
      <w:pPr>
        <w:pStyle w:val="17"/>
        <w:widowControl/>
        <w:numPr>
          <w:ilvl w:val="0"/>
          <w:numId w:val="4"/>
        </w:numPr>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本次招租对承租单位实行资格后审，采用“综合评分法”的评审方法。具体评审因素和分值匹配如下：</w:t>
      </w:r>
    </w:p>
    <w:p w14:paraId="1E27AF02">
      <w:pPr>
        <w:pStyle w:val="17"/>
        <w:widowControl/>
        <w:numPr>
          <w:ilvl w:val="0"/>
          <w:numId w:val="0"/>
        </w:numPr>
        <w:shd w:val="clear"/>
        <w:spacing w:beforeAutospacing="0" w:afterAutospacing="0" w:line="400" w:lineRule="exact"/>
        <w:ind w:firstLine="482" w:firstLineChars="200"/>
        <w:jc w:val="both"/>
        <w:rPr>
          <w:rFonts w:hint="eastAsia" w:ascii="宋体" w:hAnsi="宋体" w:eastAsia="宋体" w:cs="宋体"/>
          <w:b/>
          <w:bCs/>
          <w:color w:val="000000" w:themeColor="text1"/>
          <w:highlight w:val="none"/>
          <w:shd w:val="clear" w:color="auto" w:fill="FFFFFF"/>
          <w14:textFill>
            <w14:solidFill>
              <w14:schemeClr w14:val="tx1"/>
            </w14:solidFill>
          </w14:textFill>
        </w:rPr>
      </w:pPr>
      <w:r>
        <w:rPr>
          <w:rFonts w:hint="eastAsia" w:ascii="宋体" w:hAnsi="宋体" w:eastAsia="宋体" w:cs="宋体"/>
          <w:b/>
          <w:bCs/>
          <w:color w:val="000000" w:themeColor="text1"/>
          <w:highlight w:val="none"/>
          <w:shd w:val="clear" w:color="auto" w:fill="FFFFFF"/>
          <w14:textFill>
            <w14:solidFill>
              <w14:schemeClr w14:val="tx1"/>
            </w14:solidFill>
          </w14:textFill>
        </w:rPr>
        <w:t>开标时特别说明：本</w:t>
      </w:r>
      <w:r>
        <w:rPr>
          <w:rFonts w:hint="eastAsia" w:ascii="宋体" w:hAnsi="宋体" w:eastAsia="宋体" w:cs="宋体"/>
          <w:b/>
          <w:bCs/>
          <w:color w:val="000000" w:themeColor="text1"/>
          <w:highlight w:val="none"/>
          <w:shd w:val="clear" w:color="auto" w:fill="FFFFFF"/>
          <w:lang w:val="en-US" w:eastAsia="zh-CN"/>
          <w14:textFill>
            <w14:solidFill>
              <w14:schemeClr w14:val="tx1"/>
            </w14:solidFill>
          </w14:textFill>
        </w:rPr>
        <w:t>项目</w:t>
      </w:r>
      <w:r>
        <w:rPr>
          <w:rFonts w:hint="eastAsia" w:ascii="宋体" w:hAnsi="宋体" w:eastAsia="宋体" w:cs="宋体"/>
          <w:b/>
          <w:bCs/>
          <w:color w:val="000000" w:themeColor="text1"/>
          <w:highlight w:val="none"/>
          <w:shd w:val="clear" w:color="auto" w:fill="FFFFFF"/>
          <w14:textFill>
            <w14:solidFill>
              <w14:schemeClr w14:val="tx1"/>
            </w14:solidFill>
          </w14:textFill>
        </w:rPr>
        <w:t>采用全程电子化及不见面开评标的模式，开标当日，投标人无需到达开标现场，仅需在任意地点通过</w:t>
      </w:r>
      <w:r>
        <w:rPr>
          <w:rFonts w:hint="eastAsia" w:ascii="宋体" w:hAnsi="宋体" w:eastAsia="宋体" w:cs="宋体"/>
          <w:b/>
          <w:bCs/>
          <w:color w:val="000000" w:themeColor="text1"/>
          <w:highlight w:val="none"/>
          <w:shd w:val="clear" w:color="auto" w:fill="FFFFFF"/>
          <w:lang w:val="en-US" w:eastAsia="zh-CN"/>
          <w14:textFill>
            <w14:solidFill>
              <w14:schemeClr w14:val="tx1"/>
            </w14:solidFill>
          </w14:textFill>
        </w:rPr>
        <w:t>盐城大丰开标大厅系统http://js.etrading.cn/EpointBidOpening/bidopeninghallaction/hall/login</w:t>
      </w:r>
      <w:r>
        <w:rPr>
          <w:rFonts w:hint="eastAsia" w:ascii="宋体" w:hAnsi="宋体" w:eastAsia="宋体" w:cs="宋体"/>
          <w:b/>
          <w:bCs/>
          <w:color w:val="000000" w:themeColor="text1"/>
          <w:highlight w:val="none"/>
          <w:shd w:val="clear" w:color="auto" w:fill="FFFFFF"/>
          <w14:textFill>
            <w14:solidFill>
              <w14:schemeClr w14:val="tx1"/>
            </w14:solidFill>
          </w14:textFill>
        </w:rPr>
        <w:t>及相应的配套软硬件设备，完成远程解密、文件传输、提疑澄清、开标唱标、结果公布等交互环节，具体内容和规定详见招标文件。</w:t>
      </w:r>
    </w:p>
    <w:p w14:paraId="715C0677">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（一）总分及评审原则</w:t>
      </w:r>
    </w:p>
    <w:p w14:paraId="7EBCE9CD">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1、本项目评分总分值为100分。</w:t>
      </w:r>
    </w:p>
    <w:p w14:paraId="27D2D917">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2、对有效承租报价的承租材料进行评审：</w:t>
      </w:r>
    </w:p>
    <w:p w14:paraId="25F97FF2">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①招租报价、承租单位符合招租方案的要求；</w:t>
      </w:r>
    </w:p>
    <w:p w14:paraId="6EADA7D4">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②承租单位的承租报价不低于招租单位的招租底价；</w:t>
      </w:r>
    </w:p>
    <w:p w14:paraId="40DE28DF">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③评审组对有效承租报价的承租文件进行评审。</w:t>
      </w:r>
    </w:p>
    <w:p w14:paraId="620E9862">
      <w:pPr>
        <w:pStyle w:val="17"/>
        <w:widowControl/>
        <w:shd w:val="clear"/>
        <w:spacing w:beforeAutospacing="0" w:afterAutospacing="0" w:line="400" w:lineRule="exact"/>
        <w:ind w:firstLine="480" w:firstLineChars="200"/>
        <w:jc w:val="both"/>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（二）评审因素和计分标准</w:t>
      </w:r>
    </w:p>
    <w:p w14:paraId="7E17A218">
      <w:pPr>
        <w:pStyle w:val="17"/>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1、报价分(本项得分最高</w:t>
      </w:r>
      <w:r>
        <w:rPr>
          <w:rFonts w:hint="eastAsia" w:ascii="宋体" w:hAnsi="宋体" w:cs="宋体"/>
          <w:color w:val="auto"/>
          <w:highlight w:val="none"/>
          <w:shd w:val="clear" w:color="auto" w:fill="FFFFFF"/>
          <w:lang w:val="en-US" w:eastAsia="zh-CN"/>
        </w:rPr>
        <w:t>45</w:t>
      </w:r>
      <w:r>
        <w:rPr>
          <w:rFonts w:hint="eastAsia" w:ascii="宋体" w:hAnsi="宋体" w:eastAsia="宋体" w:cs="宋体"/>
          <w:color w:val="auto"/>
          <w:highlight w:val="none"/>
          <w:shd w:val="clear" w:color="auto" w:fill="FFFFFF"/>
          <w:lang w:val="en-US" w:eastAsia="zh-CN"/>
        </w:rPr>
        <w:t>分)</w:t>
      </w:r>
    </w:p>
    <w:p w14:paraId="47DE8951">
      <w:pPr>
        <w:pStyle w:val="19"/>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0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评标基准价的确定：以招租底价为评标基准价，有效承租单位的承租报价与评标基准价相比，承租投标报价每高壹仟元的，加0.5分，不足壹仟元的，按插入法计算，加满为止。</w:t>
      </w:r>
    </w:p>
    <w:p w14:paraId="7E4E3BA2">
      <w:pPr>
        <w:pStyle w:val="19"/>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0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说明：上述的评标基准价不因评标后招承租当事人质疑、投诉、复议以及其它任何情形而改变（计算错误除外）。</w:t>
      </w:r>
    </w:p>
    <w:p w14:paraId="1053D3EF">
      <w:pPr>
        <w:pStyle w:val="17"/>
        <w:keepNext w:val="0"/>
        <w:keepLines w:val="0"/>
        <w:pageBreakBefore w:val="0"/>
        <w:widowControl/>
        <w:numPr>
          <w:ilvl w:val="0"/>
          <w:numId w:val="5"/>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经营承诺（本项最高得分</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lang w:val="en-US" w:eastAsia="zh-CN"/>
        </w:rPr>
        <w:t>分）</w:t>
      </w:r>
    </w:p>
    <w:p w14:paraId="209F078C">
      <w:pPr>
        <w:pStyle w:val="17"/>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（1）</w:t>
      </w:r>
      <w:r>
        <w:rPr>
          <w:rFonts w:hint="eastAsia" w:ascii="宋体" w:hAnsi="宋体" w:cs="宋体"/>
          <w:color w:val="auto"/>
          <w:highlight w:val="none"/>
          <w:shd w:val="clear" w:color="auto" w:fill="FFFFFF"/>
          <w:lang w:val="en-US" w:eastAsia="zh-CN"/>
        </w:rPr>
        <w:t>投标人</w:t>
      </w:r>
      <w:r>
        <w:rPr>
          <w:rFonts w:hint="eastAsia" w:ascii="宋体" w:hAnsi="宋体" w:eastAsia="宋体" w:cs="宋体"/>
          <w:color w:val="auto"/>
          <w:highlight w:val="none"/>
          <w:shd w:val="clear" w:color="auto" w:fill="FFFFFF"/>
          <w:lang w:val="en-US" w:eastAsia="zh-CN"/>
        </w:rPr>
        <w:t>须承诺在经营过程中，对招租人的职工满意度</w:t>
      </w:r>
      <w:r>
        <w:rPr>
          <w:rFonts w:hint="eastAsia" w:ascii="宋体" w:hAnsi="宋体" w:cs="宋体"/>
          <w:color w:val="auto"/>
          <w:highlight w:val="none"/>
          <w:shd w:val="clear" w:color="auto" w:fill="FFFFFF"/>
          <w:lang w:val="en-US" w:eastAsia="zh-CN"/>
        </w:rPr>
        <w:t>调查</w:t>
      </w:r>
      <w:r>
        <w:rPr>
          <w:rFonts w:hint="eastAsia" w:eastAsia="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达到招租人合格标准，出现一次考评不合格的罚款</w:t>
      </w:r>
      <w:r>
        <w:rPr>
          <w:rFonts w:hint="eastAsia" w:ascii="宋体" w:hAnsi="宋体" w:cs="宋体"/>
          <w:color w:val="auto"/>
          <w:highlight w:val="none"/>
          <w:shd w:val="clear" w:color="auto" w:fill="FFFFFF"/>
          <w:lang w:val="en-US" w:eastAsia="zh-CN"/>
        </w:rPr>
        <w:t>1000</w:t>
      </w:r>
      <w:r>
        <w:rPr>
          <w:rFonts w:hint="eastAsia" w:ascii="宋体" w:hAnsi="宋体" w:eastAsia="宋体" w:cs="宋体"/>
          <w:color w:val="auto"/>
          <w:highlight w:val="none"/>
          <w:shd w:val="clear" w:color="auto" w:fill="FFFFFF"/>
          <w:lang w:val="en-US" w:eastAsia="zh-CN"/>
        </w:rPr>
        <w:t>元，招租人直接在履约保证金中扣除</w:t>
      </w:r>
      <w:r>
        <w:rPr>
          <w:rFonts w:hint="eastAsia" w:ascii="宋体" w:hAnsi="宋体" w:cs="宋体"/>
          <w:color w:val="auto"/>
          <w:highlight w:val="none"/>
          <w:shd w:val="clear" w:color="auto" w:fill="FFFFFF"/>
          <w:lang w:val="en-US" w:eastAsia="zh-CN"/>
        </w:rPr>
        <w:t>，若履约保证金不够扣除，招租人有权要求中标人另行缴纳</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分。（格式自拟）</w:t>
      </w:r>
    </w:p>
    <w:p w14:paraId="1872AEFE">
      <w:pPr>
        <w:pStyle w:val="17"/>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（2）</w:t>
      </w:r>
      <w:r>
        <w:rPr>
          <w:rFonts w:hint="eastAsia" w:ascii="宋体" w:hAnsi="宋体" w:cs="宋体"/>
          <w:color w:val="auto"/>
          <w:highlight w:val="none"/>
          <w:shd w:val="clear" w:color="auto" w:fill="FFFFFF"/>
          <w:lang w:val="en-US" w:eastAsia="zh-CN"/>
        </w:rPr>
        <w:t>投标人</w:t>
      </w:r>
      <w:r>
        <w:rPr>
          <w:rFonts w:hint="eastAsia" w:ascii="宋体" w:hAnsi="宋体" w:eastAsia="宋体" w:cs="宋体"/>
          <w:color w:val="auto"/>
          <w:highlight w:val="none"/>
          <w:shd w:val="clear" w:color="auto" w:fill="FFFFFF"/>
          <w:lang w:val="en-US" w:eastAsia="zh-CN"/>
        </w:rPr>
        <w:t>须承诺在经营过程中，对招租人的患者满意度调查</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达到招租人合格标准，出现一次考评不合格的罚款</w:t>
      </w:r>
      <w:r>
        <w:rPr>
          <w:rFonts w:hint="eastAsia" w:ascii="宋体" w:hAnsi="宋体" w:cs="宋体"/>
          <w:color w:val="auto"/>
          <w:highlight w:val="none"/>
          <w:shd w:val="clear" w:color="auto" w:fill="FFFFFF"/>
          <w:lang w:val="en-US" w:eastAsia="zh-CN"/>
        </w:rPr>
        <w:t>1000</w:t>
      </w:r>
      <w:r>
        <w:rPr>
          <w:rFonts w:hint="eastAsia" w:ascii="宋体" w:hAnsi="宋体" w:eastAsia="宋体" w:cs="宋体"/>
          <w:color w:val="auto"/>
          <w:highlight w:val="none"/>
          <w:shd w:val="clear" w:color="auto" w:fill="FFFFFF"/>
          <w:lang w:val="en-US" w:eastAsia="zh-CN"/>
        </w:rPr>
        <w:t>元，招租人直接在履约保证金中扣除</w:t>
      </w:r>
      <w:r>
        <w:rPr>
          <w:rFonts w:hint="eastAsia" w:ascii="宋体" w:hAnsi="宋体" w:cs="宋体"/>
          <w:color w:val="auto"/>
          <w:highlight w:val="none"/>
          <w:shd w:val="clear" w:color="auto" w:fill="FFFFFF"/>
          <w:lang w:val="en-US" w:eastAsia="zh-CN"/>
        </w:rPr>
        <w:t>，若履约保证金不够扣除，招租人有权要求中标人另行缴纳</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分。（格式自拟）</w:t>
      </w:r>
    </w:p>
    <w:p w14:paraId="51F19C54">
      <w:pPr>
        <w:pStyle w:val="17"/>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（3）投标须承诺</w:t>
      </w:r>
      <w:r>
        <w:rPr>
          <w:rFonts w:hint="eastAsia" w:ascii="宋体" w:hAnsi="宋体" w:cs="宋体"/>
          <w:color w:val="auto"/>
          <w:highlight w:val="none"/>
          <w:shd w:val="clear" w:color="auto" w:fill="FFFFFF"/>
          <w:lang w:val="en-US" w:eastAsia="zh-CN"/>
        </w:rPr>
        <w:t>投标人</w:t>
      </w:r>
      <w:r>
        <w:rPr>
          <w:rFonts w:hint="eastAsia" w:ascii="宋体" w:hAnsi="宋体" w:eastAsia="宋体" w:cs="宋体"/>
          <w:color w:val="auto"/>
          <w:highlight w:val="none"/>
          <w:shd w:val="clear" w:color="auto" w:fill="FFFFFF"/>
          <w:lang w:val="en-US" w:eastAsia="zh-CN"/>
        </w:rPr>
        <w:t>经营过程中，招租人收到病人、病人家属</w:t>
      </w:r>
      <w:r>
        <w:rPr>
          <w:rFonts w:hint="eastAsia" w:ascii="宋体" w:hAnsi="宋体" w:cs="宋体"/>
          <w:color w:val="auto"/>
          <w:highlight w:val="none"/>
          <w:shd w:val="clear" w:color="auto" w:fill="FFFFFF"/>
          <w:lang w:val="en-US" w:eastAsia="zh-CN"/>
        </w:rPr>
        <w:t>和医院职工</w:t>
      </w:r>
      <w:r>
        <w:rPr>
          <w:rFonts w:hint="eastAsia" w:ascii="宋体" w:hAnsi="宋体" w:eastAsia="宋体" w:cs="宋体"/>
          <w:color w:val="auto"/>
          <w:highlight w:val="none"/>
          <w:shd w:val="clear" w:color="auto" w:fill="FFFFFF"/>
          <w:lang w:val="en-US" w:eastAsia="zh-CN"/>
        </w:rPr>
        <w:t>对受让人进行投诉或举报或上访等事件，有一次罚款</w:t>
      </w:r>
      <w:r>
        <w:rPr>
          <w:rFonts w:hint="eastAsia" w:ascii="宋体" w:hAnsi="宋体" w:cs="宋体"/>
          <w:color w:val="auto"/>
          <w:highlight w:val="none"/>
          <w:shd w:val="clear" w:color="auto" w:fill="FFFFFF"/>
          <w:lang w:val="en-US" w:eastAsia="zh-CN"/>
        </w:rPr>
        <w:t>1000</w:t>
      </w:r>
      <w:r>
        <w:rPr>
          <w:rFonts w:hint="eastAsia" w:ascii="宋体" w:hAnsi="宋体" w:eastAsia="宋体" w:cs="宋体"/>
          <w:color w:val="auto"/>
          <w:highlight w:val="none"/>
          <w:shd w:val="clear" w:color="auto" w:fill="FFFFFF"/>
          <w:lang w:val="en-US" w:eastAsia="zh-CN"/>
        </w:rPr>
        <w:t>元，招租人直接在履约保证金中扣除</w:t>
      </w:r>
      <w:r>
        <w:rPr>
          <w:rFonts w:hint="eastAsia" w:ascii="宋体" w:hAnsi="宋体" w:cs="宋体"/>
          <w:color w:val="auto"/>
          <w:highlight w:val="none"/>
          <w:shd w:val="clear" w:color="auto" w:fill="FFFFFF"/>
          <w:lang w:val="en-US" w:eastAsia="zh-CN"/>
        </w:rPr>
        <w:t>，若履约保证金不够扣除，招租人有权要求中标人另行缴纳</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分。（格式自拟）</w:t>
      </w:r>
    </w:p>
    <w:p w14:paraId="26D47485">
      <w:pPr>
        <w:pStyle w:val="17"/>
        <w:keepNext w:val="0"/>
        <w:keepLines w:val="0"/>
        <w:pageBreakBefore w:val="0"/>
        <w:widowControl/>
        <w:numPr>
          <w:ilvl w:val="0"/>
          <w:numId w:val="5"/>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业绩分（本项最高得分</w:t>
      </w:r>
      <w:r>
        <w:rPr>
          <w:rFonts w:hint="eastAsia"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eastAsia="zh-CN"/>
        </w:rPr>
        <w:t>分）</w:t>
      </w:r>
    </w:p>
    <w:p w14:paraId="267174CA">
      <w:pPr>
        <w:pStyle w:val="17"/>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提供</w:t>
      </w:r>
      <w:r>
        <w:rPr>
          <w:rFonts w:hint="eastAsia" w:ascii="宋体" w:hAnsi="宋体" w:cs="宋体"/>
          <w:color w:val="auto"/>
          <w:highlight w:val="none"/>
          <w:shd w:val="clear" w:color="auto" w:fill="FFFFFF"/>
          <w:lang w:val="en-US" w:eastAsia="zh-CN"/>
        </w:rPr>
        <w:t>投标人</w:t>
      </w:r>
      <w:r>
        <w:rPr>
          <w:rFonts w:hint="eastAsia" w:ascii="宋体" w:hAnsi="宋体" w:eastAsia="宋体" w:cs="宋体"/>
          <w:color w:val="auto"/>
          <w:highlight w:val="none"/>
          <w:shd w:val="clear" w:color="auto" w:fill="FFFFFF"/>
          <w:lang w:val="en-US" w:eastAsia="zh-CN"/>
        </w:rPr>
        <w:t>自202</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en-US" w:eastAsia="zh-CN"/>
        </w:rPr>
        <w:t>年1月1日以来（以合同签订时间为准）承包</w:t>
      </w:r>
      <w:r>
        <w:rPr>
          <w:rFonts w:hint="eastAsia" w:ascii="宋体" w:hAnsi="宋体" w:cs="宋体"/>
          <w:color w:val="auto"/>
          <w:highlight w:val="none"/>
          <w:shd w:val="clear" w:color="auto" w:fill="FFFFFF"/>
          <w:lang w:val="en-US" w:eastAsia="zh-CN"/>
        </w:rPr>
        <w:t>同类医院</w:t>
      </w:r>
      <w:r>
        <w:rPr>
          <w:rFonts w:hint="eastAsia" w:ascii="宋体" w:hAnsi="宋体" w:eastAsia="宋体" w:cs="宋体"/>
          <w:color w:val="auto"/>
          <w:highlight w:val="none"/>
          <w:shd w:val="clear" w:color="auto" w:fill="FFFFFF"/>
          <w:lang w:val="en-US" w:eastAsia="zh-CN"/>
        </w:rPr>
        <w:t>食堂</w:t>
      </w:r>
      <w:r>
        <w:rPr>
          <w:rFonts w:hint="eastAsia" w:eastAsia="宋体" w:cs="宋体"/>
          <w:color w:val="auto"/>
          <w:highlight w:val="none"/>
          <w:shd w:val="clear" w:color="auto" w:fill="FFFFFF"/>
          <w:lang w:val="en-US" w:eastAsia="zh-CN"/>
        </w:rPr>
        <w:t>且同时</w:t>
      </w:r>
      <w:r>
        <w:rPr>
          <w:rFonts w:hint="eastAsia" w:ascii="宋体" w:hAnsi="宋体" w:eastAsia="宋体" w:cs="宋体"/>
          <w:color w:val="auto"/>
          <w:highlight w:val="none"/>
          <w:shd w:val="clear" w:color="auto" w:fill="FFFFFF"/>
          <w:lang w:val="en-US" w:eastAsia="zh-CN"/>
        </w:rPr>
        <w:t>就餐人数达</w:t>
      </w:r>
      <w:r>
        <w:rPr>
          <w:rFonts w:hint="eastAsia" w:ascii="宋体" w:hAnsi="宋体" w:cs="宋体"/>
          <w:color w:val="auto"/>
          <w:highlight w:val="none"/>
          <w:shd w:val="clear" w:color="auto" w:fill="FFFFFF"/>
          <w:lang w:val="en-US" w:eastAsia="zh-CN"/>
        </w:rPr>
        <w:t>200</w:t>
      </w:r>
      <w:r>
        <w:rPr>
          <w:rFonts w:hint="eastAsia" w:ascii="宋体" w:hAnsi="宋体" w:eastAsia="宋体" w:cs="宋体"/>
          <w:color w:val="auto"/>
          <w:highlight w:val="none"/>
          <w:shd w:val="clear" w:color="auto" w:fill="FFFFFF"/>
          <w:lang w:val="en-US" w:eastAsia="zh-CN"/>
        </w:rPr>
        <w:t>人及以上业绩的，提供一份得</w:t>
      </w:r>
      <w:r>
        <w:rPr>
          <w:rFonts w:hint="eastAsia"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en-US" w:eastAsia="zh-CN"/>
        </w:rPr>
        <w:t>分；其他</w:t>
      </w:r>
      <w:r>
        <w:rPr>
          <w:rFonts w:hint="eastAsia" w:ascii="宋体" w:hAnsi="宋体" w:cs="宋体"/>
          <w:color w:val="auto"/>
          <w:highlight w:val="none"/>
          <w:shd w:val="clear" w:color="auto" w:fill="FFFFFF"/>
          <w:lang w:val="en-US" w:eastAsia="zh-CN"/>
        </w:rPr>
        <w:t>企、事业单位</w:t>
      </w:r>
      <w:r>
        <w:rPr>
          <w:rFonts w:hint="eastAsia" w:ascii="宋体" w:hAnsi="宋体" w:eastAsia="宋体" w:cs="宋体"/>
          <w:color w:val="auto"/>
          <w:highlight w:val="none"/>
          <w:shd w:val="clear" w:color="auto" w:fill="FFFFFF"/>
          <w:lang w:val="en-US" w:eastAsia="zh-CN"/>
        </w:rPr>
        <w:t>业绩的，提供加盖投标单位公章合同复印件</w:t>
      </w:r>
      <w:r>
        <w:rPr>
          <w:rFonts w:hint="eastAsia" w:cs="宋体"/>
          <w:color w:val="auto"/>
          <w:highlight w:val="none"/>
          <w:shd w:val="clear" w:color="auto" w:fill="FFFFFF"/>
          <w:lang w:val="en-US" w:eastAsia="zh-CN"/>
        </w:rPr>
        <w:t>和业主提供的</w:t>
      </w:r>
      <w:r>
        <w:rPr>
          <w:rFonts w:hint="eastAsia" w:eastAsia="宋体" w:cs="宋体"/>
          <w:color w:val="auto"/>
          <w:highlight w:val="none"/>
          <w:shd w:val="clear" w:color="auto" w:fill="FFFFFF"/>
          <w:lang w:val="en-US" w:eastAsia="zh-CN"/>
        </w:rPr>
        <w:t>人数证明材料</w:t>
      </w:r>
      <w:r>
        <w:rPr>
          <w:rFonts w:hint="eastAsia" w:ascii="宋体" w:hAnsi="宋体" w:eastAsia="宋体" w:cs="宋体"/>
          <w:color w:val="auto"/>
          <w:highlight w:val="none"/>
          <w:shd w:val="clear" w:color="auto" w:fill="FFFFFF"/>
          <w:lang w:val="en-US" w:eastAsia="zh-CN"/>
        </w:rPr>
        <w:t>，提供一份得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分。满分</w:t>
      </w:r>
      <w:r>
        <w:rPr>
          <w:rFonts w:hint="eastAsia"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eastAsia="zh-CN"/>
        </w:rPr>
        <w:t>分</w:t>
      </w:r>
      <w:r>
        <w:rPr>
          <w:rFonts w:hint="eastAsia" w:ascii="宋体" w:hAnsi="宋体" w:cs="宋体"/>
          <w:color w:val="auto"/>
          <w:highlight w:val="none"/>
          <w:shd w:val="clear" w:color="auto" w:fill="FFFFFF"/>
          <w:lang w:val="en-US" w:eastAsia="zh-CN"/>
        </w:rPr>
        <w:t>。</w:t>
      </w:r>
    </w:p>
    <w:p w14:paraId="3065F5A7">
      <w:pPr>
        <w:pStyle w:val="17"/>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lang w:val="en-US" w:eastAsia="zh-CN"/>
        </w:rPr>
        <w:t>、应急预案措施（本项最高得分</w:t>
      </w:r>
      <w:r>
        <w:rPr>
          <w:rFonts w:hint="eastAsia" w:ascii="宋体" w:hAnsi="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eastAsia="zh-CN"/>
        </w:rPr>
        <w:t>分）</w:t>
      </w:r>
    </w:p>
    <w:p w14:paraId="765AFB56">
      <w:pPr>
        <w:pStyle w:val="17"/>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根据</w:t>
      </w:r>
      <w:r>
        <w:rPr>
          <w:rFonts w:hint="eastAsia" w:ascii="宋体" w:hAnsi="宋体" w:cs="宋体"/>
          <w:color w:val="auto"/>
          <w:highlight w:val="none"/>
          <w:shd w:val="clear" w:color="auto" w:fill="FFFFFF"/>
          <w:lang w:val="en-US" w:eastAsia="zh-CN"/>
        </w:rPr>
        <w:t>投标人</w:t>
      </w:r>
      <w:r>
        <w:rPr>
          <w:rFonts w:hint="eastAsia" w:ascii="宋体" w:hAnsi="宋体" w:eastAsia="宋体" w:cs="宋体"/>
          <w:color w:val="auto"/>
          <w:highlight w:val="none"/>
          <w:shd w:val="clear" w:color="auto" w:fill="FFFFFF"/>
          <w:lang w:val="en-US" w:eastAsia="zh-CN"/>
        </w:rPr>
        <w:t>提供的食品安全、场所安全、消防安全、疫情防控等符合</w:t>
      </w:r>
      <w:r>
        <w:rPr>
          <w:rFonts w:hint="eastAsia" w:ascii="宋体" w:hAnsi="宋体" w:cs="宋体"/>
          <w:color w:val="auto"/>
          <w:highlight w:val="none"/>
          <w:shd w:val="clear" w:color="auto" w:fill="FFFFFF"/>
          <w:lang w:val="en-US" w:eastAsia="zh-CN"/>
        </w:rPr>
        <w:t>本院</w:t>
      </w:r>
      <w:r>
        <w:rPr>
          <w:rFonts w:hint="eastAsia" w:ascii="宋体" w:hAnsi="宋体" w:eastAsia="宋体" w:cs="宋体"/>
          <w:color w:val="auto"/>
          <w:highlight w:val="none"/>
          <w:shd w:val="clear" w:color="auto" w:fill="FFFFFF"/>
          <w:lang w:val="en-US" w:eastAsia="zh-CN"/>
        </w:rPr>
        <w:t>的各种应急预案措施。内容完整、具体、合理、切实可行的得</w:t>
      </w:r>
      <w:r>
        <w:rPr>
          <w:rFonts w:hint="eastAsia" w:ascii="宋体" w:hAnsi="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en-US" w:eastAsia="zh-CN"/>
        </w:rPr>
        <w:t>-</w:t>
      </w:r>
      <w:r>
        <w:rPr>
          <w:rFonts w:hint="eastAsia" w:ascii="宋体" w:hAnsi="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eastAsia="zh-CN"/>
        </w:rPr>
        <w:t>分；内容基本完整、基本合理、基本可行的得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w:t>
      </w:r>
      <w:r>
        <w:rPr>
          <w:rFonts w:hint="eastAsia" w:ascii="宋体" w:hAnsi="宋体" w:cs="宋体"/>
          <w:color w:val="auto"/>
          <w:highlight w:val="none"/>
          <w:shd w:val="clear" w:color="auto" w:fill="FFFFFF"/>
          <w:lang w:val="en-US" w:eastAsia="zh-CN"/>
        </w:rPr>
        <w:t>4.9</w:t>
      </w:r>
      <w:r>
        <w:rPr>
          <w:rFonts w:hint="eastAsia" w:ascii="宋体" w:hAnsi="宋体" w:eastAsia="宋体" w:cs="宋体"/>
          <w:color w:val="auto"/>
          <w:highlight w:val="none"/>
          <w:shd w:val="clear" w:color="auto" w:fill="FFFFFF"/>
          <w:lang w:val="en-US" w:eastAsia="zh-CN"/>
        </w:rPr>
        <w:t>分；内容差的</w:t>
      </w:r>
      <w:r>
        <w:rPr>
          <w:rFonts w:hint="eastAsia" w:ascii="宋体" w:hAnsi="宋体" w:cs="宋体"/>
          <w:color w:val="auto"/>
          <w:highlight w:val="none"/>
          <w:shd w:val="clear" w:color="auto" w:fill="FFFFFF"/>
          <w:lang w:val="en-US" w:eastAsia="zh-CN"/>
        </w:rPr>
        <w:t>得0-1.9分</w:t>
      </w:r>
      <w:r>
        <w:rPr>
          <w:rFonts w:hint="eastAsia" w:ascii="宋体" w:hAnsi="宋体" w:eastAsia="宋体" w:cs="宋体"/>
          <w:color w:val="auto"/>
          <w:highlight w:val="none"/>
          <w:shd w:val="clear" w:color="auto" w:fill="FFFFFF"/>
          <w:lang w:val="en-US" w:eastAsia="zh-CN"/>
        </w:rPr>
        <w:t>。</w:t>
      </w:r>
    </w:p>
    <w:p w14:paraId="7B29B031">
      <w:pPr>
        <w:pStyle w:val="17"/>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right="0" w:rightChars="0" w:firstLine="480" w:firstLineChars="200"/>
        <w:jc w:val="left"/>
        <w:textAlignment w:val="auto"/>
        <w:rPr>
          <w:rFonts w:hint="eastAsia" w:ascii="宋体" w:hAnsi="宋体" w:cs="宋体"/>
          <w:color w:val="auto"/>
          <w:highlight w:val="none"/>
          <w:shd w:val="clear" w:color="auto" w:fill="FFFFFF"/>
          <w:lang w:val="en-US" w:eastAsia="zh-CN"/>
        </w:rPr>
      </w:pPr>
      <w:r>
        <w:rPr>
          <w:rFonts w:hint="eastAsia" w:cs="宋体"/>
          <w:color w:val="auto"/>
          <w:highlight w:val="none"/>
          <w:shd w:val="clear" w:color="auto" w:fill="FFFFFF"/>
          <w:lang w:val="en-US" w:eastAsia="zh-CN"/>
        </w:rPr>
        <w:t>5</w:t>
      </w:r>
      <w:r>
        <w:rPr>
          <w:rFonts w:hint="eastAsia" w:ascii="宋体" w:hAnsi="宋体" w:cs="宋体"/>
          <w:color w:val="auto"/>
          <w:highlight w:val="none"/>
          <w:shd w:val="clear" w:color="auto" w:fill="FFFFFF"/>
          <w:lang w:val="en-US" w:eastAsia="zh-CN"/>
        </w:rPr>
        <w:t>、人员调配（</w:t>
      </w:r>
      <w:r>
        <w:rPr>
          <w:rFonts w:hint="eastAsia" w:ascii="宋体" w:hAnsi="宋体" w:eastAsia="宋体" w:cs="宋体"/>
          <w:color w:val="auto"/>
          <w:highlight w:val="none"/>
          <w:shd w:val="clear" w:color="auto" w:fill="FFFFFF"/>
          <w:lang w:val="en-US" w:eastAsia="zh-CN"/>
        </w:rPr>
        <w:t>本项最高得分</w:t>
      </w:r>
      <w:r>
        <w:rPr>
          <w:rFonts w:hint="eastAsia" w:ascii="宋体" w:hAnsi="宋体" w:cs="宋体"/>
          <w:color w:val="auto"/>
          <w:highlight w:val="none"/>
          <w:shd w:val="clear" w:color="auto" w:fill="FFFFFF"/>
          <w:lang w:val="en-US" w:eastAsia="zh-CN"/>
        </w:rPr>
        <w:t>7分）</w:t>
      </w:r>
    </w:p>
    <w:p w14:paraId="5882F509">
      <w:pPr>
        <w:pStyle w:val="17"/>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根据投标供应商提供的人员每日分工调配方案、应急人员调配措施。内容完整、具体、合理、切实可行的得</w:t>
      </w:r>
      <w:r>
        <w:rPr>
          <w:rFonts w:hint="eastAsia" w:ascii="宋体" w:hAnsi="宋体" w:cs="宋体"/>
          <w:color w:val="auto"/>
          <w:highlight w:val="none"/>
          <w:shd w:val="clear" w:color="auto" w:fill="FFFFFF"/>
          <w:lang w:val="en-US" w:eastAsia="zh-CN"/>
        </w:rPr>
        <w:t>5-7</w:t>
      </w:r>
      <w:r>
        <w:rPr>
          <w:rFonts w:hint="eastAsia" w:ascii="宋体" w:hAnsi="宋体" w:eastAsia="宋体" w:cs="宋体"/>
          <w:color w:val="auto"/>
          <w:highlight w:val="none"/>
          <w:shd w:val="clear" w:color="auto" w:fill="FFFFFF"/>
          <w:lang w:val="en-US" w:eastAsia="zh-CN"/>
        </w:rPr>
        <w:t>分；内容基本完整、基本合理、基本可行的得</w:t>
      </w:r>
      <w:r>
        <w:rPr>
          <w:rFonts w:hint="eastAsia" w:ascii="宋体" w:hAnsi="宋体" w:cs="宋体"/>
          <w:color w:val="auto"/>
          <w:highlight w:val="none"/>
          <w:shd w:val="clear" w:color="auto" w:fill="FFFFFF"/>
          <w:lang w:val="en-US" w:eastAsia="zh-CN"/>
        </w:rPr>
        <w:t>2-4.9</w:t>
      </w:r>
      <w:r>
        <w:rPr>
          <w:rFonts w:hint="eastAsia" w:ascii="宋体" w:hAnsi="宋体" w:eastAsia="宋体" w:cs="宋体"/>
          <w:color w:val="auto"/>
          <w:highlight w:val="none"/>
          <w:shd w:val="clear" w:color="auto" w:fill="FFFFFF"/>
          <w:lang w:val="en-US" w:eastAsia="zh-CN"/>
        </w:rPr>
        <w:t>分；内容差的</w:t>
      </w:r>
      <w:r>
        <w:rPr>
          <w:rFonts w:hint="eastAsia" w:ascii="宋体" w:hAnsi="宋体" w:cs="宋体"/>
          <w:color w:val="auto"/>
          <w:highlight w:val="none"/>
          <w:shd w:val="clear" w:color="auto" w:fill="FFFFFF"/>
          <w:lang w:val="en-US" w:eastAsia="zh-CN"/>
        </w:rPr>
        <w:t>得0-1.9分</w:t>
      </w:r>
      <w:r>
        <w:rPr>
          <w:rFonts w:hint="eastAsia" w:ascii="宋体" w:hAnsi="宋体" w:eastAsia="宋体" w:cs="宋体"/>
          <w:color w:val="auto"/>
          <w:highlight w:val="none"/>
          <w:shd w:val="clear" w:color="auto" w:fill="FFFFFF"/>
          <w:lang w:val="en-US" w:eastAsia="zh-CN"/>
        </w:rPr>
        <w:t>。</w:t>
      </w:r>
    </w:p>
    <w:p w14:paraId="7751855D">
      <w:pPr>
        <w:pStyle w:val="17"/>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cs="宋体"/>
          <w:color w:val="auto"/>
          <w:highlight w:val="none"/>
          <w:shd w:val="clear" w:color="auto" w:fill="FFFFFF"/>
          <w:lang w:val="en-US" w:eastAsia="zh-CN"/>
        </w:rPr>
        <w:t>6</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管理服务方案（本项最高得分</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en-US" w:eastAsia="zh-CN"/>
        </w:rPr>
        <w:t>分）</w:t>
      </w:r>
    </w:p>
    <w:p w14:paraId="521456AA">
      <w:pPr>
        <w:pStyle w:val="17"/>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具有岗位工作职责的，得</w:t>
      </w:r>
      <w:r>
        <w:rPr>
          <w:rFonts w:hint="eastAsia" w:ascii="宋体" w:hAnsi="宋体" w:cs="宋体"/>
          <w:color w:val="auto"/>
          <w:highlight w:val="none"/>
          <w:shd w:val="clear" w:color="auto" w:fill="FFFFFF"/>
          <w:lang w:val="en-US" w:eastAsia="zh-CN"/>
        </w:rPr>
        <w:t>0-2</w:t>
      </w:r>
      <w:r>
        <w:rPr>
          <w:rFonts w:hint="eastAsia" w:ascii="宋体" w:hAnsi="宋体" w:eastAsia="宋体" w:cs="宋体"/>
          <w:color w:val="auto"/>
          <w:highlight w:val="none"/>
          <w:shd w:val="clear" w:color="auto" w:fill="FFFFFF"/>
          <w:lang w:val="en-US" w:eastAsia="zh-CN"/>
        </w:rPr>
        <w:t>分；具有环境卫生管理制度的，得</w:t>
      </w:r>
      <w:r>
        <w:rPr>
          <w:rFonts w:hint="eastAsia" w:ascii="宋体" w:hAnsi="宋体" w:cs="宋体"/>
          <w:color w:val="auto"/>
          <w:highlight w:val="none"/>
          <w:shd w:val="clear" w:color="auto" w:fill="FFFFFF"/>
          <w:lang w:val="en-US" w:eastAsia="zh-CN"/>
        </w:rPr>
        <w:t>0-2</w:t>
      </w:r>
      <w:r>
        <w:rPr>
          <w:rFonts w:hint="eastAsia" w:ascii="宋体" w:hAnsi="宋体" w:eastAsia="宋体" w:cs="宋体"/>
          <w:color w:val="auto"/>
          <w:highlight w:val="none"/>
          <w:shd w:val="clear" w:color="auto" w:fill="FFFFFF"/>
          <w:lang w:val="en-US" w:eastAsia="zh-CN"/>
        </w:rPr>
        <w:t>分；</w:t>
      </w:r>
      <w:r>
        <w:rPr>
          <w:rFonts w:hint="eastAsia" w:ascii="宋体" w:hAnsi="宋体" w:cs="宋体"/>
          <w:color w:val="auto"/>
          <w:highlight w:val="none"/>
          <w:shd w:val="clear" w:color="auto" w:fill="FFFFFF"/>
          <w:lang w:val="en-US" w:eastAsia="zh-CN"/>
        </w:rPr>
        <w:t>具有院内配餐、送餐服务方案的，</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0-2</w:t>
      </w:r>
      <w:r>
        <w:rPr>
          <w:rFonts w:hint="eastAsia" w:ascii="宋体" w:hAnsi="宋体" w:eastAsia="宋体" w:cs="宋体"/>
          <w:color w:val="auto"/>
          <w:highlight w:val="none"/>
          <w:shd w:val="clear" w:color="auto" w:fill="FFFFFF"/>
          <w:lang w:val="en-US" w:eastAsia="zh-CN"/>
        </w:rPr>
        <w:t>分；具有卫生责任追究制度的，得</w:t>
      </w:r>
      <w:r>
        <w:rPr>
          <w:rFonts w:hint="eastAsia" w:ascii="宋体" w:hAnsi="宋体" w:cs="宋体"/>
          <w:color w:val="auto"/>
          <w:highlight w:val="none"/>
          <w:shd w:val="clear" w:color="auto" w:fill="FFFFFF"/>
          <w:lang w:val="en-US" w:eastAsia="zh-CN"/>
        </w:rPr>
        <w:t>0-2</w:t>
      </w:r>
      <w:r>
        <w:rPr>
          <w:rFonts w:hint="eastAsia" w:ascii="宋体" w:hAnsi="宋体" w:eastAsia="宋体" w:cs="宋体"/>
          <w:color w:val="auto"/>
          <w:highlight w:val="none"/>
          <w:shd w:val="clear" w:color="auto" w:fill="FFFFFF"/>
          <w:lang w:val="en-US" w:eastAsia="zh-CN"/>
        </w:rPr>
        <w:t>分</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具有</w:t>
      </w:r>
      <w:r>
        <w:rPr>
          <w:rFonts w:hint="eastAsia" w:ascii="宋体" w:hAnsi="宋体" w:cs="宋体"/>
          <w:color w:val="auto"/>
          <w:highlight w:val="none"/>
          <w:shd w:val="clear" w:color="auto" w:fill="FFFFFF"/>
          <w:lang w:val="en-US" w:eastAsia="zh-CN"/>
        </w:rPr>
        <w:t>完善的原材料进货管理系统</w:t>
      </w:r>
      <w:r>
        <w:rPr>
          <w:rFonts w:hint="eastAsia" w:ascii="宋体" w:hAnsi="宋体" w:eastAsia="宋体" w:cs="宋体"/>
          <w:color w:val="auto"/>
          <w:highlight w:val="none"/>
          <w:shd w:val="clear" w:color="auto" w:fill="FFFFFF"/>
          <w:lang w:val="en-US" w:eastAsia="zh-CN"/>
        </w:rPr>
        <w:t>的，得</w:t>
      </w:r>
      <w:r>
        <w:rPr>
          <w:rFonts w:hint="eastAsia" w:ascii="宋体" w:hAnsi="宋体" w:cs="宋体"/>
          <w:color w:val="auto"/>
          <w:highlight w:val="none"/>
          <w:shd w:val="clear" w:color="auto" w:fill="FFFFFF"/>
          <w:lang w:val="en-US" w:eastAsia="zh-CN"/>
        </w:rPr>
        <w:t>0-2</w:t>
      </w:r>
      <w:r>
        <w:rPr>
          <w:rFonts w:hint="eastAsia" w:ascii="宋体" w:hAnsi="宋体" w:eastAsia="宋体" w:cs="宋体"/>
          <w:color w:val="auto"/>
          <w:highlight w:val="none"/>
          <w:shd w:val="clear" w:color="auto" w:fill="FFFFFF"/>
          <w:lang w:val="en-US" w:eastAsia="zh-CN"/>
        </w:rPr>
        <w:t>分</w:t>
      </w:r>
      <w:r>
        <w:rPr>
          <w:rFonts w:hint="eastAsia" w:ascii="宋体" w:hAnsi="宋体" w:cs="宋体"/>
          <w:color w:val="auto"/>
          <w:highlight w:val="none"/>
          <w:shd w:val="clear" w:color="auto" w:fill="FFFFFF"/>
          <w:lang w:val="en-US" w:eastAsia="zh-CN"/>
        </w:rPr>
        <w:t>。</w:t>
      </w:r>
    </w:p>
    <w:p w14:paraId="6B8D9F33">
      <w:pPr>
        <w:pStyle w:val="17"/>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right="0" w:righ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7、企业实力</w:t>
      </w:r>
      <w:r>
        <w:rPr>
          <w:rFonts w:hint="eastAsia" w:ascii="宋体" w:hAnsi="宋体" w:eastAsia="宋体" w:cs="宋体"/>
          <w:color w:val="auto"/>
          <w:highlight w:val="none"/>
          <w:shd w:val="clear" w:color="auto" w:fill="FFFFFF"/>
          <w:lang w:val="en-US" w:eastAsia="zh-CN"/>
        </w:rPr>
        <w:t>（本项最高得分</w:t>
      </w:r>
      <w:r>
        <w:rPr>
          <w:rFonts w:hint="eastAsia"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lang w:val="en-US" w:eastAsia="zh-CN"/>
        </w:rPr>
        <w:t>分）</w:t>
      </w:r>
    </w:p>
    <w:p w14:paraId="3D04E0FF">
      <w:pPr>
        <w:pStyle w:val="17"/>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（1）投标人</w:t>
      </w:r>
      <w:r>
        <w:rPr>
          <w:rFonts w:hint="eastAsia" w:ascii="宋体" w:hAnsi="宋体" w:eastAsia="宋体" w:cs="宋体"/>
          <w:color w:val="auto"/>
          <w:highlight w:val="none"/>
          <w:shd w:val="clear" w:color="auto" w:fill="FFFFFF"/>
          <w:lang w:val="en-US" w:eastAsia="zh-CN"/>
        </w:rPr>
        <w:t>为注册资本金在50万元及以上的餐饮服务管理公司，注册资本金每增加50万元加1分，最多加2分。</w:t>
      </w:r>
    </w:p>
    <w:p w14:paraId="33D430B9">
      <w:pPr>
        <w:pStyle w:val="17"/>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right="0" w:rightChars="0" w:firstLine="480" w:firstLineChars="200"/>
        <w:jc w:val="left"/>
        <w:textAlignment w:val="auto"/>
        <w:rPr>
          <w:rFonts w:hint="default" w:cs="宋体"/>
          <w:color w:val="auto"/>
          <w:highlight w:val="none"/>
          <w:shd w:val="clear" w:color="auto" w:fill="FFFFFF"/>
          <w:lang w:val="en-US" w:eastAsia="zh-CN"/>
        </w:rPr>
      </w:pPr>
      <w:r>
        <w:rPr>
          <w:rFonts w:hint="eastAsia" w:cs="宋体"/>
          <w:color w:val="auto"/>
          <w:highlight w:val="none"/>
          <w:shd w:val="clear" w:color="auto" w:fill="FFFFFF"/>
          <w:lang w:val="en-US" w:eastAsia="zh-CN"/>
        </w:rPr>
        <w:t>（2）投标人在大丰区具有实体经营单位的，每有一个得1分，最多加2分。（</w:t>
      </w:r>
      <w:r>
        <w:rPr>
          <w:rFonts w:hint="eastAsia" w:ascii="宋体" w:hAnsi="宋体" w:eastAsia="宋体" w:cs="宋体"/>
          <w:color w:val="auto"/>
          <w:highlight w:val="none"/>
          <w:shd w:val="clear" w:color="auto" w:fill="FFFFFF"/>
          <w:lang w:val="en-US" w:eastAsia="zh-CN"/>
        </w:rPr>
        <w:t>提供合同复印件</w:t>
      </w:r>
      <w:r>
        <w:rPr>
          <w:rFonts w:hint="eastAsia" w:eastAsia="宋体" w:cs="宋体"/>
          <w:color w:val="auto"/>
          <w:highlight w:val="none"/>
          <w:shd w:val="clear" w:color="auto" w:fill="FFFFFF"/>
          <w:lang w:val="en-US" w:eastAsia="zh-CN"/>
        </w:rPr>
        <w:t>并</w:t>
      </w:r>
      <w:r>
        <w:rPr>
          <w:rFonts w:hint="eastAsia" w:ascii="宋体" w:hAnsi="宋体" w:eastAsia="宋体" w:cs="宋体"/>
          <w:color w:val="auto"/>
          <w:highlight w:val="none"/>
          <w:shd w:val="clear" w:color="auto" w:fill="FFFFFF"/>
          <w:lang w:val="en-US" w:eastAsia="zh-CN"/>
        </w:rPr>
        <w:t>加盖投标单位公章</w:t>
      </w:r>
      <w:r>
        <w:rPr>
          <w:rFonts w:hint="eastAsia" w:ascii="宋体" w:hAnsi="宋体" w:cs="宋体"/>
          <w:color w:val="auto"/>
          <w:highlight w:val="none"/>
          <w:shd w:val="clear" w:color="auto" w:fill="FFFFFF"/>
          <w:lang w:val="en-US" w:eastAsia="zh-CN"/>
        </w:rPr>
        <w:t>，合同乙方名称必须与投标单位名称一致</w:t>
      </w:r>
      <w:r>
        <w:rPr>
          <w:rFonts w:hint="eastAsia" w:cs="宋体"/>
          <w:color w:val="auto"/>
          <w:highlight w:val="none"/>
          <w:shd w:val="clear" w:color="auto" w:fill="FFFFFF"/>
          <w:lang w:val="en-US" w:eastAsia="zh-CN"/>
        </w:rPr>
        <w:t>）</w:t>
      </w:r>
    </w:p>
    <w:p w14:paraId="2E54A0A2">
      <w:pPr>
        <w:pStyle w:val="17"/>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right="0" w:righ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cs="宋体"/>
          <w:color w:val="auto"/>
          <w:highlight w:val="none"/>
          <w:shd w:val="clear" w:color="auto" w:fill="FFFFFF"/>
          <w:lang w:val="en-US" w:eastAsia="zh-CN"/>
        </w:rPr>
        <w:t>8</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lang w:val="en-US" w:eastAsia="zh-CN"/>
        </w:rPr>
        <w:t>规范经营（本项最高得分</w:t>
      </w:r>
      <w:r>
        <w:rPr>
          <w:rFonts w:hint="eastAsia"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lang w:val="en-US" w:eastAsia="zh-CN"/>
        </w:rPr>
        <w:t>分）</w:t>
      </w:r>
    </w:p>
    <w:p w14:paraId="0122C95B">
      <w:pPr>
        <w:pStyle w:val="17"/>
        <w:keepNext w:val="0"/>
        <w:keepLines w:val="0"/>
        <w:pageBreakBefore w:val="0"/>
        <w:widowControl/>
        <w:numPr>
          <w:ilvl w:val="0"/>
          <w:numId w:val="6"/>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依法纳税：</w:t>
      </w:r>
      <w:r>
        <w:rPr>
          <w:rFonts w:hint="eastAsia" w:ascii="宋体" w:hAnsi="宋体" w:cs="宋体"/>
          <w:color w:val="auto"/>
          <w:highlight w:val="none"/>
          <w:shd w:val="clear" w:color="auto" w:fill="FFFFFF"/>
          <w:lang w:val="en-US" w:eastAsia="zh-CN"/>
        </w:rPr>
        <w:t>投标人</w:t>
      </w:r>
      <w:r>
        <w:rPr>
          <w:rFonts w:hint="eastAsia" w:ascii="宋体" w:hAnsi="宋体" w:eastAsia="宋体" w:cs="宋体"/>
          <w:color w:val="auto"/>
          <w:highlight w:val="none"/>
          <w:shd w:val="clear" w:color="auto" w:fill="FFFFFF"/>
          <w:lang w:val="en-US" w:eastAsia="zh-CN"/>
        </w:rPr>
        <w:t>提供税务部门出具</w:t>
      </w:r>
      <w:r>
        <w:rPr>
          <w:rFonts w:hint="eastAsia" w:ascii="宋体" w:hAnsi="宋体" w:cs="宋体"/>
          <w:color w:val="auto"/>
          <w:highlight w:val="none"/>
          <w:shd w:val="clear" w:color="auto" w:fill="FFFFFF"/>
          <w:lang w:val="en-US" w:eastAsia="zh-CN"/>
        </w:rPr>
        <w:t>的</w:t>
      </w:r>
      <w:r>
        <w:rPr>
          <w:rFonts w:hint="eastAsia" w:ascii="宋体" w:hAnsi="宋体" w:eastAsia="宋体" w:cs="宋体"/>
          <w:color w:val="auto"/>
          <w:highlight w:val="none"/>
          <w:shd w:val="clear" w:color="auto" w:fill="FFFFFF"/>
          <w:lang w:val="en-US" w:eastAsia="zh-CN"/>
        </w:rPr>
        <w:t>企业依法缴纳税收得完税凭证的，得</w:t>
      </w:r>
      <w:r>
        <w:rPr>
          <w:rFonts w:hint="eastAsia"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w:t>
      </w:r>
    </w:p>
    <w:p w14:paraId="70484B68">
      <w:pPr>
        <w:pStyle w:val="17"/>
        <w:keepNext w:val="0"/>
        <w:keepLines w:val="0"/>
        <w:pageBreakBefore w:val="0"/>
        <w:widowControl/>
        <w:numPr>
          <w:ilvl w:val="0"/>
          <w:numId w:val="6"/>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ascii="宋体" w:hAnsi="宋体" w:eastAsia="宋体"/>
          <w:color w:val="auto"/>
          <w:sz w:val="24"/>
          <w:szCs w:val="24"/>
          <w:highlight w:val="none"/>
        </w:rPr>
      </w:pPr>
      <w:r>
        <w:rPr>
          <w:rFonts w:hint="eastAsia" w:ascii="宋体" w:hAnsi="宋体" w:eastAsia="宋体" w:cs="宋体"/>
          <w:color w:val="auto"/>
          <w:highlight w:val="none"/>
          <w:shd w:val="clear" w:color="auto" w:fill="FFFFFF"/>
          <w:lang w:val="en-US" w:eastAsia="zh-CN"/>
        </w:rPr>
        <w:t>提供近3年财务审计报告，</w:t>
      </w:r>
      <w:r>
        <w:rPr>
          <w:rFonts w:hint="eastAsia" w:ascii="宋体" w:hAnsi="宋体" w:cs="宋体"/>
          <w:color w:val="auto"/>
          <w:highlight w:val="none"/>
          <w:shd w:val="clear" w:color="auto" w:fill="FFFFFF"/>
          <w:lang w:val="en-US" w:eastAsia="zh-CN"/>
        </w:rPr>
        <w:t>近三年企业均盈利的，</w:t>
      </w:r>
      <w:r>
        <w:rPr>
          <w:rFonts w:hint="eastAsia" w:ascii="宋体" w:hAnsi="宋体" w:eastAsia="宋体" w:cs="宋体"/>
          <w:color w:val="auto"/>
          <w:highlight w:val="none"/>
          <w:shd w:val="clear" w:color="auto" w:fill="FFFFFF"/>
          <w:lang w:val="en-US" w:eastAsia="zh-CN"/>
        </w:rPr>
        <w:t>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w:t>
      </w:r>
    </w:p>
    <w:p w14:paraId="65894938">
      <w:pPr>
        <w:pStyle w:val="17"/>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提供相关证明材料复印件加盖投标单位公章。</w:t>
      </w:r>
    </w:p>
    <w:p w14:paraId="5F57420A">
      <w:pPr>
        <w:pStyle w:val="17"/>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9、项目建议（本项最高得分10分）</w:t>
      </w:r>
    </w:p>
    <w:p w14:paraId="4FAE8F82">
      <w:pPr>
        <w:pStyle w:val="17"/>
        <w:keepNext w:val="0"/>
        <w:keepLines w:val="0"/>
        <w:pageBreakBefore w:val="0"/>
        <w:widowControl/>
        <w:shd w:val="clear" w:color="auto"/>
        <w:kinsoku/>
        <w:wordWrap/>
        <w:overflowPunct/>
        <w:topLinePunct w:val="0"/>
        <w:autoSpaceDE/>
        <w:autoSpaceDN/>
        <w:bidi w:val="0"/>
        <w:adjustRightInd/>
        <w:snapToGrid/>
        <w:spacing w:before="0" w:beforeLines="0" w:beforeAutospacing="0" w:after="0" w:afterAutospacing="0" w:line="400" w:lineRule="exact"/>
        <w:ind w:leftChars="0" w:firstLine="480" w:firstLineChars="200"/>
        <w:jc w:val="left"/>
        <w:textAlignment w:val="auto"/>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投标人针对本项目的特殊性，编制项目建议方案（包括但不限于医院特征方面、项目实施等方面阐述），评标委员会横向对比，</w:t>
      </w:r>
      <w:r>
        <w:rPr>
          <w:rFonts w:hint="eastAsia" w:ascii="宋体" w:hAnsi="宋体" w:eastAsia="宋体" w:cs="宋体"/>
          <w:color w:val="auto"/>
          <w:highlight w:val="none"/>
          <w:shd w:val="clear" w:color="auto" w:fill="FFFFFF"/>
          <w:lang w:val="en-US" w:eastAsia="zh-CN"/>
        </w:rPr>
        <w:t>内容完整、具体、合理、切实可行的得</w:t>
      </w:r>
      <w:r>
        <w:rPr>
          <w:rFonts w:hint="eastAsia" w:ascii="宋体" w:hAnsi="宋体" w:cs="宋体"/>
          <w:color w:val="auto"/>
          <w:highlight w:val="none"/>
          <w:shd w:val="clear" w:color="auto" w:fill="FFFFFF"/>
          <w:lang w:val="en-US" w:eastAsia="zh-CN"/>
        </w:rPr>
        <w:t>7-10</w:t>
      </w:r>
      <w:r>
        <w:rPr>
          <w:rFonts w:hint="eastAsia" w:ascii="宋体" w:hAnsi="宋体" w:eastAsia="宋体" w:cs="宋体"/>
          <w:color w:val="auto"/>
          <w:highlight w:val="none"/>
          <w:shd w:val="clear" w:color="auto" w:fill="FFFFFF"/>
          <w:lang w:val="en-US" w:eastAsia="zh-CN"/>
        </w:rPr>
        <w:t>分；内容基本完整、基本合理、基本可行的得</w:t>
      </w:r>
      <w:r>
        <w:rPr>
          <w:rFonts w:hint="eastAsia" w:ascii="宋体" w:hAnsi="宋体" w:cs="宋体"/>
          <w:color w:val="auto"/>
          <w:highlight w:val="none"/>
          <w:shd w:val="clear" w:color="auto" w:fill="FFFFFF"/>
          <w:lang w:val="en-US" w:eastAsia="zh-CN"/>
        </w:rPr>
        <w:t>4-6.9</w:t>
      </w:r>
      <w:r>
        <w:rPr>
          <w:rFonts w:hint="eastAsia" w:ascii="宋体" w:hAnsi="宋体" w:eastAsia="宋体" w:cs="宋体"/>
          <w:color w:val="auto"/>
          <w:highlight w:val="none"/>
          <w:shd w:val="clear" w:color="auto" w:fill="FFFFFF"/>
          <w:lang w:val="en-US" w:eastAsia="zh-CN"/>
        </w:rPr>
        <w:t>分；内容差的</w:t>
      </w:r>
      <w:r>
        <w:rPr>
          <w:rFonts w:hint="eastAsia" w:ascii="宋体" w:hAnsi="宋体" w:cs="宋体"/>
          <w:color w:val="auto"/>
          <w:highlight w:val="none"/>
          <w:shd w:val="clear" w:color="auto" w:fill="FFFFFF"/>
          <w:lang w:val="en-US" w:eastAsia="zh-CN"/>
        </w:rPr>
        <w:t>得0-3.9分</w:t>
      </w:r>
      <w:r>
        <w:rPr>
          <w:rFonts w:hint="eastAsia" w:ascii="宋体" w:hAnsi="宋体" w:eastAsia="宋体" w:cs="宋体"/>
          <w:color w:val="auto"/>
          <w:highlight w:val="none"/>
          <w:shd w:val="clear" w:color="auto" w:fill="FFFFFF"/>
          <w:lang w:val="en-US" w:eastAsia="zh-CN"/>
        </w:rPr>
        <w:t>。</w:t>
      </w:r>
    </w:p>
    <w:p w14:paraId="13ED15AF">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十</w:t>
      </w:r>
      <w:r>
        <w:rPr>
          <w:rFonts w:hint="eastAsia" w:ascii="宋体" w:hAnsi="宋体" w:cs="宋体"/>
          <w:b/>
          <w:color w:val="000000" w:themeColor="text1"/>
          <w:highlight w:val="none"/>
          <w:shd w:val="clear" w:color="auto" w:fill="FFFFFF"/>
          <w:lang w:val="en-US" w:eastAsia="zh-CN"/>
          <w14:textFill>
            <w14:solidFill>
              <w14:schemeClr w14:val="tx1"/>
            </w14:solidFill>
          </w14:textFill>
        </w:rPr>
        <w:t>六</w:t>
      </w:r>
      <w:r>
        <w:rPr>
          <w:rFonts w:hint="eastAsia" w:ascii="宋体" w:hAnsi="宋体" w:cs="宋体"/>
          <w:b/>
          <w:color w:val="000000" w:themeColor="text1"/>
          <w:highlight w:val="none"/>
          <w:shd w:val="clear" w:color="auto" w:fill="FFFFFF"/>
          <w14:textFill>
            <w14:solidFill>
              <w14:schemeClr w14:val="tx1"/>
            </w14:solidFill>
          </w14:textFill>
        </w:rPr>
        <w:t>、其他事项</w:t>
      </w:r>
    </w:p>
    <w:p w14:paraId="4121988D">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1、本招标文件时间均以中华人民共和国北京时间为准，所涉及金额的币种均为人民币。</w:t>
      </w:r>
    </w:p>
    <w:p w14:paraId="02EC1739">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2、凡参与本项目投标的投标人，视同已踏勘过项目现场和研究了本招标文件的所有内容，并无保留地接受招标文件的所有条款（含招标答疑、补充通知等）。</w:t>
      </w:r>
    </w:p>
    <w:p w14:paraId="6D260D83">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3、为防止因开标前集中上传投标文件造成的网络拥堵，导致投标人无法在投标截止时间前成功上传投标文件，建议投标人在开标前尽早将投标文件上传到新点电子交易平台-大丰政府采购系统（网址：https://www.etrading.cn/BREpointSSO/login/oauth2login）。</w:t>
      </w:r>
    </w:p>
    <w:p w14:paraId="62D99298">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p>
    <w:p w14:paraId="3A07F789">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5、因本项目采用全程电子化及不见面开标模式，故招标人特别说明如下：</w:t>
      </w:r>
    </w:p>
    <w:p w14:paraId="6C9B1FA5">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①、不见面开标项目的时间均以国家授时中心发布的时间为准。</w:t>
      </w:r>
    </w:p>
    <w:p w14:paraId="3B020EB5">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龚星杰 18118943865。</w:t>
      </w:r>
    </w:p>
    <w:p w14:paraId="1C1FCCE0">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50FBDBFA">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6、本招标文件未尽事宜，按国家和省法律法规、规章要求处理。</w:t>
      </w:r>
    </w:p>
    <w:p w14:paraId="785A9C81">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14:textFill>
            <w14:solidFill>
              <w14:schemeClr w14:val="tx1"/>
            </w14:solidFill>
          </w14:textFill>
        </w:rPr>
        <w:t>7、本招标文件的解释权归招标人所有。</w:t>
      </w:r>
    </w:p>
    <w:p w14:paraId="09F5A699">
      <w:pPr>
        <w:pStyle w:val="17"/>
        <w:widowControl/>
        <w:shd w:val="clear"/>
        <w:spacing w:beforeAutospacing="0" w:afterAutospacing="0" w:line="400" w:lineRule="exact"/>
        <w:ind w:firstLine="482"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十</w:t>
      </w:r>
      <w:r>
        <w:rPr>
          <w:rFonts w:hint="eastAsia" w:ascii="宋体" w:hAnsi="宋体" w:cs="宋体"/>
          <w:b/>
          <w:color w:val="000000" w:themeColor="text1"/>
          <w:highlight w:val="none"/>
          <w:shd w:val="clear" w:color="auto" w:fill="FFFFFF"/>
          <w:lang w:val="en-US" w:eastAsia="zh-CN"/>
          <w14:textFill>
            <w14:solidFill>
              <w14:schemeClr w14:val="tx1"/>
            </w14:solidFill>
          </w14:textFill>
        </w:rPr>
        <w:t>七</w:t>
      </w:r>
      <w:r>
        <w:rPr>
          <w:rFonts w:hint="eastAsia" w:ascii="宋体" w:hAnsi="宋体" w:cs="宋体"/>
          <w:b/>
          <w:color w:val="000000" w:themeColor="text1"/>
          <w:highlight w:val="none"/>
          <w:shd w:val="clear" w:color="auto" w:fill="FFFFFF"/>
          <w14:textFill>
            <w14:solidFill>
              <w14:schemeClr w14:val="tx1"/>
            </w14:solidFill>
          </w14:textFill>
        </w:rPr>
        <w:t>、开标纪律</w:t>
      </w:r>
    </w:p>
    <w:p w14:paraId="4DE6F8AB">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1、参加开标会议的全体人员，必须遵守会场纪律和要求，服从招投标监管部门管理。</w:t>
      </w:r>
    </w:p>
    <w:p w14:paraId="3EE8848B">
      <w:pPr>
        <w:pStyle w:val="17"/>
        <w:widowControl/>
        <w:shd w:val="clear"/>
        <w:spacing w:beforeAutospacing="0" w:afterAutospacing="0" w:line="400" w:lineRule="exact"/>
        <w:ind w:firstLine="48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2、在开标结果未确定之前，承租单位不得远离视频会议或中途退场，否则按弃权处理。</w:t>
      </w:r>
    </w:p>
    <w:p w14:paraId="2867A39C">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3、严格遵守招投标规则和程序，任何单位和个人不得有徇私舞弊行为。</w:t>
      </w:r>
    </w:p>
    <w:p w14:paraId="30720F75">
      <w:pPr>
        <w:pStyle w:val="17"/>
        <w:widowControl/>
        <w:shd w:val="clear"/>
        <w:spacing w:beforeAutospacing="0" w:afterAutospacing="0" w:line="400" w:lineRule="exact"/>
        <w:ind w:firstLine="482" w:firstLineChars="200"/>
        <w:jc w:val="both"/>
        <w:rPr>
          <w:rFonts w:hint="eastAsia" w:ascii="宋体" w:hAnsi="宋体" w:cs="宋体"/>
          <w:b/>
          <w:bCs/>
          <w:color w:val="000000" w:themeColor="text1"/>
          <w:highlight w:val="none"/>
          <w:shd w:val="clear" w:color="auto" w:fill="FFFFFF"/>
          <w:lang w:val="en-US" w:eastAsia="zh-CN"/>
          <w14:textFill>
            <w14:solidFill>
              <w14:schemeClr w14:val="tx1"/>
            </w14:solidFill>
          </w14:textFill>
        </w:rPr>
      </w:pPr>
      <w:r>
        <w:rPr>
          <w:rFonts w:hint="eastAsia" w:ascii="宋体" w:hAnsi="宋体" w:cs="宋体"/>
          <w:b/>
          <w:bCs/>
          <w:color w:val="000000" w:themeColor="text1"/>
          <w:highlight w:val="none"/>
          <w:shd w:val="clear" w:color="auto" w:fill="FFFFFF"/>
          <w:lang w:val="en-US" w:eastAsia="zh-CN"/>
          <w14:textFill>
            <w14:solidFill>
              <w14:schemeClr w14:val="tx1"/>
            </w14:solidFill>
          </w14:textFill>
        </w:rPr>
        <w:t>十八、交易服务费及代理费缴纳</w:t>
      </w:r>
    </w:p>
    <w:p w14:paraId="7AE01CCD">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成交后由承租单位按江苏省国有产权交</w:t>
      </w:r>
      <w:r>
        <w:rPr>
          <w:rFonts w:hint="eastAsia" w:ascii="宋体" w:hAnsi="宋体" w:cs="宋体"/>
          <w:color w:val="000000" w:themeColor="text1"/>
          <w:highlight w:val="none"/>
          <w:shd w:val="clear" w:color="auto"/>
          <w14:textFill>
            <w14:solidFill>
              <w14:schemeClr w14:val="tx1"/>
            </w14:solidFill>
          </w14:textFill>
        </w:rPr>
        <w:t>易服务收费标准（详见附件），在领取成交通知书前向大丰区公共资源交易中心一次性交纳国有产权交易服务费。本项目代理服务佣金在成交后由承租单位一次性向交易代理机构支付</w:t>
      </w:r>
      <w:r>
        <w:rPr>
          <w:rFonts w:hint="eastAsia" w:ascii="宋体" w:hAnsi="宋体" w:cs="宋体"/>
          <w:color w:val="000000" w:themeColor="text1"/>
          <w:highlight w:val="none"/>
          <w:shd w:val="clear" w:color="auto"/>
          <w:lang w:val="en-US" w:eastAsia="zh-CN"/>
          <w14:textFill>
            <w14:solidFill>
              <w14:schemeClr w14:val="tx1"/>
            </w14:solidFill>
          </w14:textFill>
        </w:rPr>
        <w:t>柒仟</w:t>
      </w:r>
      <w:r>
        <w:rPr>
          <w:rFonts w:hint="eastAsia" w:ascii="宋体" w:hAnsi="宋体" w:cs="宋体"/>
          <w:color w:val="000000" w:themeColor="text1"/>
          <w:highlight w:val="none"/>
          <w:shd w:val="clear" w:color="auto"/>
          <w14:textFill>
            <w14:solidFill>
              <w14:schemeClr w14:val="tx1"/>
            </w14:solidFill>
          </w14:textFill>
        </w:rPr>
        <w:t>元招标代理服务费。承租单位必须付清所有交易款项及各类服务费用后，招租方方能协助承租单位办理标的移交、交付、过户及相关手续等事宜。</w:t>
      </w:r>
    </w:p>
    <w:p w14:paraId="1C38454A">
      <w:pPr>
        <w:pStyle w:val="17"/>
        <w:widowControl/>
        <w:shd w:val="clear"/>
        <w:spacing w:beforeAutospacing="0" w:afterAutospacing="0" w:line="400" w:lineRule="exact"/>
        <w:ind w:firstLine="480" w:firstLineChars="200"/>
        <w:jc w:val="both"/>
        <w:rPr>
          <w:rFonts w:hint="eastAsia" w:ascii="宋体" w:hAnsi="宋体" w:cs="宋体"/>
          <w:color w:val="000000" w:themeColor="text1"/>
          <w:highlight w:val="none"/>
          <w:shd w:val="clear" w:color="auto" w:fill="FFFFFF"/>
          <w14:textFill>
            <w14:solidFill>
              <w14:schemeClr w14:val="tx1"/>
            </w14:solidFill>
          </w14:textFill>
        </w:rPr>
      </w:pPr>
    </w:p>
    <w:p w14:paraId="3CB5B7DB">
      <w:pPr>
        <w:pStyle w:val="19"/>
        <w:shd w:val="clear"/>
        <w:ind w:firstLine="480"/>
        <w:rPr>
          <w:rFonts w:ascii="宋体" w:hAnsi="宋体" w:eastAsia="宋体" w:cs="宋体"/>
          <w:color w:val="000000" w:themeColor="text1"/>
          <w:sz w:val="24"/>
          <w:highlight w:val="none"/>
          <w14:textFill>
            <w14:solidFill>
              <w14:schemeClr w14:val="tx1"/>
            </w14:solidFill>
          </w14:textFill>
        </w:rPr>
      </w:pPr>
    </w:p>
    <w:p w14:paraId="0585E63B">
      <w:pPr>
        <w:shd w:val="clear"/>
        <w:rPr>
          <w:rFonts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br w:type="page"/>
      </w:r>
    </w:p>
    <w:p w14:paraId="174A28D8">
      <w:pPr>
        <w:pStyle w:val="17"/>
        <w:widowControl/>
        <w:numPr>
          <w:ilvl w:val="0"/>
          <w:numId w:val="7"/>
        </w:numPr>
        <w:shd w:val="clear"/>
        <w:spacing w:beforeAutospacing="0" w:afterAutospacing="0" w:line="40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合同</w:t>
      </w:r>
    </w:p>
    <w:p w14:paraId="77A7803E">
      <w:pPr>
        <w:shd w:val="clear"/>
        <w:tabs>
          <w:tab w:val="left" w:pos="8280"/>
        </w:tabs>
        <w:autoSpaceDE w:val="0"/>
        <w:autoSpaceDN w:val="0"/>
        <w:adjustRightIn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以下为成交后签定本项目合同的通用条款，乙方不得提出实质性的修改，关于专用条款将由甲方与乙方结合本项目具体情况协商后签订。</w:t>
      </w:r>
    </w:p>
    <w:p w14:paraId="770E2045">
      <w:pPr>
        <w:shd w:val="clear"/>
        <w:tabs>
          <w:tab w:val="left" w:pos="8280"/>
        </w:tabs>
        <w:autoSpaceDE w:val="0"/>
        <w:autoSpaceDN w:val="0"/>
        <w:adjustRightIn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62D6F165">
      <w:pPr>
        <w:shd w:val="clear"/>
        <w:tabs>
          <w:tab w:val="left" w:pos="8280"/>
        </w:tabs>
        <w:autoSpaceDE w:val="0"/>
        <w:autoSpaceDN w:val="0"/>
        <w:adjustRightIn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p>
    <w:p w14:paraId="4A4880F6">
      <w:pPr>
        <w:spacing w:line="4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招租方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以下简称甲方</w:t>
      </w:r>
      <w:r>
        <w:rPr>
          <w:rFonts w:ascii="宋体" w:hAnsi="宋体" w:eastAsia="宋体" w:cs="宋体"/>
          <w:color w:val="auto"/>
          <w:kern w:val="0"/>
          <w:sz w:val="24"/>
          <w:szCs w:val="24"/>
          <w:highlight w:val="none"/>
        </w:rPr>
        <w:t>）</w:t>
      </w:r>
    </w:p>
    <w:p w14:paraId="0331DD39">
      <w:pPr>
        <w:spacing w:line="4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受让方：</w:t>
      </w:r>
      <w:r>
        <w:rPr>
          <w:rFonts w:hint="eastAsia"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以下简称乙方</w:t>
      </w:r>
      <w:r>
        <w:rPr>
          <w:rFonts w:ascii="宋体" w:hAnsi="宋体" w:eastAsia="宋体" w:cs="宋体"/>
          <w:color w:val="auto"/>
          <w:kern w:val="0"/>
          <w:sz w:val="24"/>
          <w:szCs w:val="24"/>
          <w:highlight w:val="none"/>
        </w:rPr>
        <w:t>）</w:t>
      </w:r>
    </w:p>
    <w:p w14:paraId="4D4970E1">
      <w:pPr>
        <w:spacing w:line="48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依照《政府采购法》及相关法律法规确定</w:t>
      </w:r>
      <w:r>
        <w:rPr>
          <w:rFonts w:hint="eastAsia" w:ascii="宋体" w:hAnsi="宋体" w:eastAsia="宋体" w:cs="宋体"/>
          <w:color w:val="auto"/>
          <w:sz w:val="24"/>
          <w:highlight w:val="none"/>
          <w:u w:val="single"/>
          <w:shd w:val="clear" w:color="auto" w:fill="FFFFFF"/>
          <w:lang w:val="en-US" w:eastAsia="zh-CN"/>
        </w:rPr>
        <w:t xml:space="preserve">              </w:t>
      </w:r>
      <w:r>
        <w:rPr>
          <w:rFonts w:hint="eastAsia" w:ascii="宋体" w:hAnsi="宋体" w:eastAsia="宋体" w:cs="宋体"/>
          <w:color w:val="auto"/>
          <w:sz w:val="24"/>
          <w:highlight w:val="none"/>
          <w:shd w:val="clear" w:color="auto" w:fill="FFFFFF"/>
        </w:rPr>
        <w:t>本项目中标单位。根据《中华人民共和国</w:t>
      </w:r>
      <w:r>
        <w:rPr>
          <w:rFonts w:hint="eastAsia" w:ascii="宋体" w:hAnsi="宋体" w:eastAsia="宋体" w:cs="宋体"/>
          <w:color w:val="auto"/>
          <w:sz w:val="24"/>
          <w:highlight w:val="none"/>
          <w:shd w:val="clear" w:color="auto" w:fill="FFFFFF"/>
          <w:lang w:eastAsia="zh-CN"/>
        </w:rPr>
        <w:t>民法典</w:t>
      </w:r>
      <w:r>
        <w:rPr>
          <w:rFonts w:hint="eastAsia" w:ascii="宋体" w:hAnsi="宋体" w:eastAsia="宋体" w:cs="宋体"/>
          <w:color w:val="auto"/>
          <w:sz w:val="24"/>
          <w:highlight w:val="none"/>
          <w:shd w:val="clear" w:color="auto" w:fill="FFFFFF"/>
        </w:rPr>
        <w:t>》及有关规定，为明确甲方与乙方的权利义务关系，双方在自愿、平等、等价有偿的原则下经过充分协商，特定立本合同。</w:t>
      </w:r>
    </w:p>
    <w:p w14:paraId="00840B32">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一、租赁内容 　</w:t>
      </w:r>
      <w:r>
        <w:rPr>
          <w:rFonts w:hint="eastAsia" w:ascii="宋体" w:hAnsi="宋体" w:eastAsia="宋体" w:cs="宋体"/>
          <w:color w:val="auto"/>
          <w:sz w:val="24"/>
          <w:highlight w:val="none"/>
          <w:shd w:val="clear" w:color="auto" w:fill="FFFFFF"/>
        </w:rPr>
        <w:t>　</w:t>
      </w:r>
    </w:p>
    <w:p w14:paraId="21A1A564">
      <w:pPr>
        <w:spacing w:line="360" w:lineRule="auto"/>
        <w:rPr>
          <w:rFonts w:ascii="宋体" w:hAnsi="宋体" w:eastAsia="宋体" w:cs="宋体"/>
          <w:b w:val="0"/>
          <w:bCs w:val="0"/>
          <w:color w:val="auto"/>
          <w:sz w:val="24"/>
          <w:highlight w:val="none"/>
          <w:shd w:val="clear" w:color="auto" w:fill="FFFFFF"/>
        </w:rPr>
      </w:pPr>
      <w:r>
        <w:rPr>
          <w:rFonts w:hint="eastAsia" w:ascii="宋体" w:hAnsi="宋体" w:eastAsia="宋体" w:cs="宋体"/>
          <w:b w:val="0"/>
          <w:bCs w:val="0"/>
          <w:color w:val="auto"/>
          <w:sz w:val="24"/>
          <w:highlight w:val="none"/>
          <w:shd w:val="clear" w:color="auto" w:fill="FFFFFF"/>
        </w:rPr>
        <w:t>（1）</w:t>
      </w:r>
      <w:r>
        <w:rPr>
          <w:rFonts w:hint="eastAsia" w:ascii="宋体" w:hAnsi="宋体" w:cs="宋体"/>
          <w:b w:val="0"/>
          <w:bCs w:val="0"/>
          <w:color w:val="auto"/>
          <w:sz w:val="24"/>
          <w:highlight w:val="none"/>
          <w:shd w:val="clear" w:color="auto" w:fill="FFFFFF"/>
          <w:lang w:eastAsia="zh-CN"/>
        </w:rPr>
        <w:t>大丰区第二人民医院食堂经营管理项目</w:t>
      </w:r>
      <w:r>
        <w:rPr>
          <w:rFonts w:hint="eastAsia" w:ascii="宋体" w:hAnsi="宋体" w:eastAsia="宋体" w:cs="宋体"/>
          <w:color w:val="auto"/>
          <w:sz w:val="24"/>
          <w:highlight w:val="none"/>
          <w:shd w:val="clear" w:color="auto" w:fill="FFFFFF"/>
        </w:rPr>
        <w:t>。</w:t>
      </w:r>
    </w:p>
    <w:p w14:paraId="04C6F5E0">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（2）甲方</w:t>
      </w:r>
      <w:r>
        <w:rPr>
          <w:rFonts w:hint="eastAsia" w:ascii="宋体" w:hAnsi="宋体" w:cs="宋体"/>
          <w:color w:val="auto"/>
          <w:sz w:val="24"/>
          <w:highlight w:val="none"/>
          <w:shd w:val="clear" w:color="auto" w:fill="FFFFFF"/>
          <w:lang w:eastAsia="zh-CN"/>
        </w:rPr>
        <w:t>提供盐城市大丰区第二人民医院食堂</w:t>
      </w:r>
      <w:r>
        <w:rPr>
          <w:rFonts w:hint="eastAsia" w:ascii="宋体" w:hAnsi="宋体" w:cs="宋体"/>
          <w:b w:val="0"/>
          <w:bCs w:val="0"/>
          <w:color w:val="auto"/>
          <w:sz w:val="24"/>
          <w:highlight w:val="none"/>
          <w:shd w:val="clear" w:color="auto" w:fill="FFFFFF"/>
          <w:lang w:eastAsia="zh-CN"/>
        </w:rPr>
        <w:t>场地给乙方经营</w:t>
      </w:r>
      <w:r>
        <w:rPr>
          <w:rFonts w:hint="eastAsia" w:ascii="宋体" w:hAnsi="宋体" w:eastAsia="宋体" w:cs="宋体"/>
          <w:color w:val="auto"/>
          <w:sz w:val="24"/>
          <w:highlight w:val="none"/>
          <w:shd w:val="clear" w:color="auto" w:fill="FFFFFF"/>
        </w:rPr>
        <w:t>。</w:t>
      </w:r>
    </w:p>
    <w:p w14:paraId="2FFC76E4">
      <w:pPr>
        <w:numPr>
          <w:ilvl w:val="0"/>
          <w:numId w:val="0"/>
        </w:num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（3）约</w:t>
      </w:r>
      <w:r>
        <w:rPr>
          <w:rFonts w:hint="eastAsia" w:ascii="宋体" w:hAnsi="宋体" w:cs="宋体"/>
          <w:color w:val="auto"/>
          <w:sz w:val="24"/>
          <w:highlight w:val="none"/>
          <w:shd w:val="clear" w:color="auto" w:fill="FFFFFF"/>
          <w:lang w:val="en-US" w:eastAsia="zh-CN"/>
        </w:rPr>
        <w:t>260</w:t>
      </w:r>
      <w:r>
        <w:rPr>
          <w:rFonts w:hint="eastAsia" w:ascii="宋体" w:hAnsi="宋体" w:eastAsia="宋体" w:cs="宋体"/>
          <w:color w:val="auto"/>
          <w:sz w:val="24"/>
          <w:highlight w:val="none"/>
          <w:shd w:val="clear" w:color="auto" w:fill="FFFFFF"/>
        </w:rPr>
        <w:t>多名封闭式住院精神病人，每日三餐包伙服务，服从院方每周的菜谱管理（附近期菜谱一份</w:t>
      </w:r>
      <w:r>
        <w:rPr>
          <w:rFonts w:hint="eastAsia" w:ascii="宋体" w:hAnsi="宋体" w:cs="宋体"/>
          <w:color w:val="auto"/>
          <w:sz w:val="24"/>
          <w:highlight w:val="none"/>
          <w:shd w:val="clear" w:color="auto" w:fill="FFFFFF"/>
          <w:lang w:eastAsia="zh-CN"/>
        </w:rPr>
        <w:t>供参考</w:t>
      </w:r>
      <w:r>
        <w:rPr>
          <w:rFonts w:hint="eastAsia" w:ascii="宋体" w:hAnsi="宋体" w:eastAsia="宋体" w:cs="宋体"/>
          <w:color w:val="auto"/>
          <w:sz w:val="24"/>
          <w:highlight w:val="none"/>
          <w:shd w:val="clear" w:color="auto" w:fill="FFFFFF"/>
        </w:rPr>
        <w:t>）或自行安排菜谱但需经院方审核通过，伙食标准每天20.00元/人。注:精神病病区病人的伙食费用由院方代收后于</w:t>
      </w:r>
      <w:r>
        <w:rPr>
          <w:rFonts w:hint="eastAsia" w:ascii="宋体" w:hAnsi="宋体" w:cs="宋体"/>
          <w:color w:val="auto"/>
          <w:sz w:val="24"/>
          <w:highlight w:val="none"/>
          <w:shd w:val="clear" w:color="auto" w:fill="FFFFFF"/>
          <w:lang w:eastAsia="zh-CN"/>
        </w:rPr>
        <w:t>次</w:t>
      </w:r>
      <w:r>
        <w:rPr>
          <w:rFonts w:hint="eastAsia" w:ascii="宋体" w:hAnsi="宋体" w:eastAsia="宋体" w:cs="宋体"/>
          <w:color w:val="auto"/>
          <w:sz w:val="24"/>
          <w:highlight w:val="none"/>
          <w:shd w:val="clear" w:color="auto" w:fill="FFFFFF"/>
        </w:rPr>
        <w:t>月25日前凭发票</w:t>
      </w:r>
      <w:r>
        <w:rPr>
          <w:rFonts w:hint="eastAsia" w:ascii="宋体" w:hAnsi="宋体" w:eastAsia="宋体" w:cs="宋体"/>
          <w:color w:val="auto"/>
          <w:kern w:val="0"/>
          <w:sz w:val="24"/>
          <w:szCs w:val="24"/>
          <w:highlight w:val="none"/>
          <w:lang w:val="en-US" w:eastAsia="zh-CN"/>
        </w:rPr>
        <w:t>（税金乙方自理）</w:t>
      </w:r>
      <w:r>
        <w:rPr>
          <w:rFonts w:hint="eastAsia" w:ascii="宋体" w:hAnsi="宋体" w:eastAsia="宋体" w:cs="宋体"/>
          <w:color w:val="auto"/>
          <w:sz w:val="24"/>
          <w:highlight w:val="none"/>
          <w:shd w:val="clear" w:color="auto" w:fill="FFFFFF"/>
        </w:rPr>
        <w:t>等相关手结报后汇入中标人账户。</w:t>
      </w:r>
    </w:p>
    <w:p w14:paraId="330676CE">
      <w:pPr>
        <w:numPr>
          <w:ilvl w:val="0"/>
          <w:numId w:val="0"/>
        </w:numPr>
        <w:spacing w:line="360" w:lineRule="auto"/>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应该按照甲方提供的食堂平面分区进行经营。如有更改须经甲方书面确认。（附平面图）</w:t>
      </w:r>
    </w:p>
    <w:p w14:paraId="38FDD47F">
      <w:pPr>
        <w:numPr>
          <w:ilvl w:val="0"/>
          <w:numId w:val="0"/>
        </w:numPr>
        <w:spacing w:line="360" w:lineRule="auto"/>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封闭式住院精神病人的饭菜，由食堂分到各病区的大容器中，由各病区自行领取后到病区分餐。</w:t>
      </w:r>
    </w:p>
    <w:p w14:paraId="0D23EB16">
      <w:pPr>
        <w:numPr>
          <w:ilvl w:val="0"/>
          <w:numId w:val="0"/>
        </w:numPr>
        <w:spacing w:line="360" w:lineRule="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6</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满足院方职工约180人、综合病区患者约50人及患者家属就餐需求。院方职工、综合病区患者及患者家属就餐费用由</w:t>
      </w:r>
      <w:r>
        <w:rPr>
          <w:rFonts w:hint="eastAsia" w:ascii="宋体" w:hAnsi="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自行收取。</w:t>
      </w:r>
    </w:p>
    <w:p w14:paraId="580DC67D">
      <w:pPr>
        <w:numPr>
          <w:ilvl w:val="0"/>
          <w:numId w:val="0"/>
        </w:numPr>
        <w:spacing w:line="360" w:lineRule="auto"/>
        <w:ind w:leftChars="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7</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工作人员以</w:t>
      </w:r>
      <w:r>
        <w:rPr>
          <w:rFonts w:hint="eastAsia" w:ascii="宋体" w:hAnsi="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实际需求相配备（≥4人）</w:t>
      </w:r>
      <w:r>
        <w:rPr>
          <w:rFonts w:hint="eastAsia" w:ascii="宋体" w:hAnsi="宋体" w:cs="宋体"/>
          <w:color w:val="auto"/>
          <w:sz w:val="24"/>
          <w:highlight w:val="none"/>
          <w:shd w:val="clear" w:color="auto" w:fill="FFFFFF"/>
          <w:lang w:eastAsia="zh-CN"/>
        </w:rPr>
        <w:t>。乙方投入的工作人员以中标文件人员配备表为准，在服务期间，若需更换人员，须经过招标人同意后再进行更换。</w:t>
      </w:r>
      <w:r>
        <w:rPr>
          <w:rFonts w:hint="eastAsia" w:ascii="宋体" w:hAnsi="宋体" w:eastAsia="宋体" w:cs="宋体"/>
          <w:color w:val="auto"/>
          <w:sz w:val="24"/>
          <w:highlight w:val="none"/>
          <w:shd w:val="clear" w:color="auto" w:fill="FFFFFF"/>
        </w:rPr>
        <w:t>工作人员的招聘由</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负责，但必须经</w:t>
      </w:r>
      <w:r>
        <w:rPr>
          <w:rFonts w:hint="eastAsia" w:ascii="宋体" w:hAnsi="宋体" w:eastAsia="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审查，持有效健康证等必须的证件上岗，必须统一着装。食堂的用工人数、工资、福利、保险等所有费用由</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承担，</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与用工人员发生的纠纷等均由</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负责解决。因</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的原因造成的安全责任事故，一切责任和费用由</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承担。项目负责人必须有厨师证或营养师证。</w:t>
      </w:r>
    </w:p>
    <w:p w14:paraId="75746EE5">
      <w:pPr>
        <w:numPr>
          <w:ilvl w:val="0"/>
          <w:numId w:val="0"/>
        </w:numPr>
        <w:spacing w:line="360" w:lineRule="auto"/>
        <w:ind w:leftChars="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8</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乙方必须办理与本项目相匹配的营业执照等国家规定的相关运营所需证件，如因证件不全，产生的后果由乙方承担。</w:t>
      </w:r>
    </w:p>
    <w:p w14:paraId="7F5AD22E">
      <w:pPr>
        <w:keepNext w:val="0"/>
        <w:keepLines w:val="0"/>
        <w:pageBreakBefore w:val="0"/>
        <w:tabs>
          <w:tab w:val="left" w:pos="1640"/>
        </w:tabs>
        <w:kinsoku/>
        <w:wordWrap/>
        <w:overflowPunct/>
        <w:topLinePunct w:val="0"/>
        <w:autoSpaceDE/>
        <w:autoSpaceDN/>
        <w:bidi w:val="0"/>
        <w:adjustRightInd/>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eastAsia="zh-CN"/>
        </w:rPr>
        <w:t>）</w:t>
      </w:r>
      <w:r>
        <w:rPr>
          <w:rFonts w:hint="eastAsia" w:ascii="宋体" w:hAnsi="宋体"/>
          <w:color w:val="auto"/>
          <w:sz w:val="24"/>
          <w:szCs w:val="24"/>
          <w:highlight w:val="none"/>
        </w:rPr>
        <w:t>承租期间产生的水电费用按照国家相关标准每月按实向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w:t>
      </w:r>
    </w:p>
    <w:p w14:paraId="305E3489">
      <w:pPr>
        <w:keepNext w:val="0"/>
        <w:keepLines w:val="0"/>
        <w:pageBreakBefore w:val="0"/>
        <w:tabs>
          <w:tab w:val="left" w:pos="1640"/>
        </w:tabs>
        <w:kinsoku/>
        <w:wordWrap/>
        <w:overflowPunct/>
        <w:topLinePunct w:val="0"/>
        <w:autoSpaceDE/>
        <w:autoSpaceDN/>
        <w:bidi w:val="0"/>
        <w:adjustRightInd/>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10）</w:t>
      </w:r>
      <w:r>
        <w:rPr>
          <w:rFonts w:hint="eastAsia" w:ascii="宋体" w:hAnsi="宋体" w:eastAsia="宋体" w:cs="宋体"/>
          <w:color w:val="auto"/>
          <w:sz w:val="24"/>
          <w:highlight w:val="none"/>
          <w:shd w:val="clear" w:color="auto" w:fill="FFFFFF"/>
          <w:lang w:val="en-US" w:eastAsia="zh-CN"/>
        </w:rPr>
        <w:t>乙方</w:t>
      </w:r>
      <w:r>
        <w:rPr>
          <w:rFonts w:hint="eastAsia" w:ascii="宋体" w:hAnsi="宋体"/>
          <w:color w:val="auto"/>
          <w:sz w:val="24"/>
          <w:szCs w:val="24"/>
          <w:highlight w:val="none"/>
        </w:rPr>
        <w:t>经营场所内</w:t>
      </w:r>
      <w:r>
        <w:rPr>
          <w:rFonts w:hint="eastAsia" w:ascii="宋体" w:hAnsi="宋体"/>
          <w:color w:val="auto"/>
          <w:sz w:val="24"/>
          <w:szCs w:val="24"/>
          <w:highlight w:val="none"/>
          <w:lang w:eastAsia="zh-CN"/>
        </w:rPr>
        <w:t>、外</w:t>
      </w:r>
      <w:r>
        <w:rPr>
          <w:rFonts w:hint="eastAsia" w:ascii="宋体" w:hAnsi="宋体"/>
          <w:color w:val="auto"/>
          <w:sz w:val="24"/>
          <w:szCs w:val="24"/>
          <w:highlight w:val="none"/>
        </w:rPr>
        <w:t>卫生由</w:t>
      </w:r>
      <w:r>
        <w:rPr>
          <w:rFonts w:hint="eastAsia" w:ascii="宋体" w:hAnsi="宋体" w:eastAsia="宋体" w:cs="宋体"/>
          <w:color w:val="auto"/>
          <w:sz w:val="24"/>
          <w:highlight w:val="none"/>
          <w:shd w:val="clear" w:color="auto" w:fill="FFFFFF"/>
          <w:lang w:val="en-US" w:eastAsia="zh-CN"/>
        </w:rPr>
        <w:t>乙方</w:t>
      </w:r>
      <w:r>
        <w:rPr>
          <w:rFonts w:hint="eastAsia" w:ascii="宋体" w:hAnsi="宋体"/>
          <w:color w:val="auto"/>
          <w:sz w:val="24"/>
          <w:szCs w:val="24"/>
          <w:highlight w:val="none"/>
        </w:rPr>
        <w:t>负责清洁，卫生符合各部门各项检查要求。</w:t>
      </w:r>
    </w:p>
    <w:p w14:paraId="3947FBFE">
      <w:pPr>
        <w:keepNext w:val="0"/>
        <w:keepLines w:val="0"/>
        <w:pageBreakBefore w:val="0"/>
        <w:tabs>
          <w:tab w:val="left" w:pos="1640"/>
        </w:tabs>
        <w:kinsoku/>
        <w:wordWrap/>
        <w:overflowPunct/>
        <w:topLinePunct w:val="0"/>
        <w:autoSpaceDE/>
        <w:autoSpaceDN/>
        <w:bidi w:val="0"/>
        <w:adjustRightInd/>
        <w:spacing w:line="360" w:lineRule="auto"/>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（11）食材佐料来源明确且可溯源，确保新鲜安全，索证留存。食物要煮熟煮透，不使用可能有毒或带刺食品。每餐菜品均需独立分装放置冷藏冰柜，留样备检。</w:t>
      </w:r>
    </w:p>
    <w:p w14:paraId="51D7FA43">
      <w:pPr>
        <w:numPr>
          <w:ilvl w:val="0"/>
          <w:numId w:val="0"/>
        </w:numPr>
        <w:spacing w:line="360" w:lineRule="auto"/>
        <w:ind w:leftChars="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12</w:t>
      </w:r>
      <w:r>
        <w:rPr>
          <w:rFonts w:hint="eastAsia" w:ascii="宋体" w:hAnsi="宋体" w:eastAsia="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lang w:val="en-US" w:eastAsia="zh-CN"/>
        </w:rPr>
        <w:t>乙方</w:t>
      </w:r>
      <w:r>
        <w:rPr>
          <w:rFonts w:hint="eastAsia" w:ascii="宋体" w:hAnsi="宋体" w:eastAsia="宋体" w:cs="宋体"/>
          <w:color w:val="auto"/>
          <w:sz w:val="24"/>
          <w:highlight w:val="none"/>
          <w:shd w:val="clear" w:color="auto" w:fill="FFFFFF"/>
          <w:lang w:eastAsia="zh-CN"/>
        </w:rPr>
        <w:t>享有食堂场地和设备（见附件物资清单）的使用权，所产生的水电费用、设备保养维护费用自理。设备的日常保养维护由</w:t>
      </w:r>
      <w:r>
        <w:rPr>
          <w:rFonts w:hint="eastAsia" w:ascii="宋体" w:hAnsi="宋体" w:eastAsia="宋体" w:cs="宋体"/>
          <w:color w:val="auto"/>
          <w:sz w:val="24"/>
          <w:highlight w:val="none"/>
          <w:shd w:val="clear" w:color="auto" w:fill="FFFFFF"/>
          <w:lang w:val="en-US" w:eastAsia="zh-CN"/>
        </w:rPr>
        <w:t>乙方</w:t>
      </w:r>
      <w:r>
        <w:rPr>
          <w:rFonts w:hint="eastAsia" w:ascii="宋体" w:hAnsi="宋体" w:eastAsia="宋体" w:cs="宋体"/>
          <w:color w:val="auto"/>
          <w:sz w:val="24"/>
          <w:highlight w:val="none"/>
          <w:shd w:val="clear" w:color="auto" w:fill="FFFFFF"/>
          <w:lang w:eastAsia="zh-CN"/>
        </w:rPr>
        <w:t>自行安排，设备在交付给</w:t>
      </w:r>
      <w:r>
        <w:rPr>
          <w:rFonts w:hint="eastAsia" w:ascii="宋体" w:hAnsi="宋体" w:eastAsia="宋体" w:cs="宋体"/>
          <w:color w:val="auto"/>
          <w:sz w:val="24"/>
          <w:highlight w:val="none"/>
          <w:shd w:val="clear" w:color="auto" w:fill="FFFFFF"/>
          <w:lang w:val="en-US" w:eastAsia="zh-CN"/>
        </w:rPr>
        <w:t>乙方</w:t>
      </w:r>
      <w:r>
        <w:rPr>
          <w:rFonts w:hint="eastAsia" w:ascii="宋体" w:hAnsi="宋体" w:eastAsia="宋体" w:cs="宋体"/>
          <w:color w:val="auto"/>
          <w:sz w:val="24"/>
          <w:highlight w:val="none"/>
          <w:shd w:val="clear" w:color="auto" w:fill="FFFFFF"/>
          <w:lang w:eastAsia="zh-CN"/>
        </w:rPr>
        <w:t>时能够正常使用，合同结束时交还</w:t>
      </w:r>
      <w:r>
        <w:rPr>
          <w:rFonts w:hint="eastAsia" w:ascii="宋体" w:hAnsi="宋体" w:cs="宋体"/>
          <w:color w:val="auto"/>
          <w:sz w:val="24"/>
          <w:highlight w:val="none"/>
          <w:shd w:val="clear" w:color="auto" w:fill="FFFFFF"/>
          <w:lang w:val="en-US" w:eastAsia="zh-CN"/>
        </w:rPr>
        <w:t>甲方</w:t>
      </w:r>
      <w:r>
        <w:rPr>
          <w:rFonts w:hint="eastAsia" w:ascii="宋体" w:hAnsi="宋体" w:eastAsia="宋体" w:cs="宋体"/>
          <w:color w:val="auto"/>
          <w:sz w:val="24"/>
          <w:highlight w:val="none"/>
          <w:shd w:val="clear" w:color="auto" w:fill="FFFFFF"/>
          <w:lang w:eastAsia="zh-CN"/>
        </w:rPr>
        <w:t>时必须是能够正常使用。甲方提供给乙方使用的物资，乙方要妥善保管、保养，在经营期满后</w:t>
      </w:r>
      <w:r>
        <w:rPr>
          <w:rFonts w:hint="eastAsia" w:ascii="宋体" w:hAnsi="宋体" w:cs="宋体"/>
          <w:color w:val="auto"/>
          <w:sz w:val="24"/>
          <w:highlight w:val="none"/>
          <w:shd w:val="clear" w:color="auto" w:fill="FFFFFF"/>
          <w:lang w:val="en-US" w:eastAsia="zh-CN"/>
        </w:rPr>
        <w:t>完好</w:t>
      </w:r>
      <w:r>
        <w:rPr>
          <w:rFonts w:hint="eastAsia" w:ascii="宋体" w:hAnsi="宋体" w:eastAsia="宋体" w:cs="宋体"/>
          <w:color w:val="auto"/>
          <w:sz w:val="24"/>
          <w:highlight w:val="none"/>
          <w:shd w:val="clear" w:color="auto" w:fill="FFFFFF"/>
          <w:lang w:eastAsia="zh-CN"/>
        </w:rPr>
        <w:t>归还给甲方。如有人为损坏或遗失，乙方必须赔偿或同质更新。</w:t>
      </w:r>
      <w:r>
        <w:rPr>
          <w:rFonts w:hint="eastAsia" w:ascii="宋体" w:hAnsi="宋体" w:eastAsia="宋体" w:cs="宋体"/>
          <w:color w:val="auto"/>
          <w:sz w:val="24"/>
          <w:highlight w:val="none"/>
          <w:shd w:val="clear" w:color="auto" w:fill="FFFFFF"/>
          <w:lang w:val="en-US" w:eastAsia="zh-CN"/>
        </w:rPr>
        <w:t>医院食堂隔油池由乙方负责</w:t>
      </w:r>
      <w:r>
        <w:rPr>
          <w:rFonts w:hint="eastAsia" w:ascii="宋体" w:hAnsi="宋体" w:cs="宋体"/>
          <w:color w:val="auto"/>
          <w:sz w:val="24"/>
          <w:highlight w:val="none"/>
          <w:shd w:val="clear" w:color="auto" w:fill="FFFFFF"/>
          <w:lang w:val="en-US" w:eastAsia="zh-CN"/>
        </w:rPr>
        <w:t>定期</w:t>
      </w:r>
      <w:r>
        <w:rPr>
          <w:rFonts w:hint="eastAsia" w:ascii="宋体" w:hAnsi="宋体" w:eastAsia="宋体" w:cs="宋体"/>
          <w:color w:val="auto"/>
          <w:sz w:val="24"/>
          <w:highlight w:val="none"/>
          <w:shd w:val="clear" w:color="auto" w:fill="FFFFFF"/>
          <w:lang w:val="en-US" w:eastAsia="zh-CN"/>
        </w:rPr>
        <w:t>清理。</w:t>
      </w:r>
    </w:p>
    <w:p w14:paraId="26F81AA9">
      <w:pPr>
        <w:numPr>
          <w:ilvl w:val="0"/>
          <w:numId w:val="0"/>
        </w:numPr>
        <w:spacing w:line="360" w:lineRule="auto"/>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val="en-US" w:eastAsia="zh-CN"/>
        </w:rPr>
        <w:t>3</w:t>
      </w:r>
      <w:r>
        <w:rPr>
          <w:rFonts w:hint="eastAsia" w:ascii="宋体" w:hAnsi="宋体" w:eastAsia="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lang w:val="en-US" w:eastAsia="zh-CN"/>
        </w:rPr>
        <w:t>上级有关监督管理部门对食堂运行所有的规范要求及信息的如实上报，</w:t>
      </w:r>
      <w:r>
        <w:rPr>
          <w:rFonts w:hint="eastAsia" w:ascii="宋体" w:hAnsi="宋体" w:eastAsia="宋体" w:cs="宋体"/>
          <w:color w:val="auto"/>
          <w:sz w:val="24"/>
          <w:highlight w:val="none"/>
          <w:shd w:val="clear" w:color="auto" w:fill="FFFFFF"/>
          <w:lang w:val="en-US" w:eastAsia="zh-CN"/>
        </w:rPr>
        <w:t>由乙方负责。</w:t>
      </w:r>
    </w:p>
    <w:p w14:paraId="4453D09A">
      <w:pPr>
        <w:pStyle w:val="2"/>
        <w:ind w:left="0" w:leftChars="0" w:firstLine="0" w:firstLineChars="0"/>
        <w:rPr>
          <w:rFonts w:hint="default" w:ascii="宋体" w:hAnsi="宋体" w:eastAsia="宋体" w:cs="宋体"/>
          <w:color w:val="auto"/>
          <w:kern w:val="2"/>
          <w:sz w:val="24"/>
          <w:szCs w:val="24"/>
          <w:highlight w:val="none"/>
          <w:shd w:val="clear" w:color="auto" w:fill="FFFFFF"/>
          <w:lang w:val="en-US" w:eastAsia="zh-CN" w:bidi="ar-SA"/>
        </w:rPr>
      </w:pPr>
      <w:r>
        <w:rPr>
          <w:rFonts w:hint="eastAsia" w:ascii="宋体" w:hAnsi="宋体" w:cs="宋体"/>
          <w:color w:val="auto"/>
          <w:sz w:val="24"/>
          <w:highlight w:val="none"/>
          <w:shd w:val="clear" w:color="auto" w:fill="FFFFFF"/>
          <w:lang w:val="en-US" w:eastAsia="zh-CN"/>
        </w:rPr>
        <w:t>（14）</w:t>
      </w:r>
      <w:r>
        <w:rPr>
          <w:rFonts w:hint="eastAsia" w:ascii="宋体" w:hAnsi="宋体" w:eastAsia="宋体" w:cs="宋体"/>
          <w:color w:val="auto"/>
          <w:kern w:val="2"/>
          <w:sz w:val="24"/>
          <w:szCs w:val="24"/>
          <w:highlight w:val="none"/>
          <w:shd w:val="clear" w:color="auto" w:fill="FFFFFF"/>
          <w:lang w:val="en-US" w:eastAsia="zh-CN" w:bidi="ar-SA"/>
        </w:rPr>
        <w:t>如有社会团体或爱心人士对住院精神病人伙食的捐赠，乙方不得拒绝。如捐赠行为减少乙方的伙食提供，甲方在伙食费结算时按5元/餐/人扣减。</w:t>
      </w:r>
    </w:p>
    <w:p w14:paraId="0D09ECFA">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二、租赁期限 </w:t>
      </w:r>
      <w:r>
        <w:rPr>
          <w:rFonts w:hint="eastAsia" w:ascii="宋体" w:hAnsi="宋体" w:eastAsia="宋体" w:cs="宋体"/>
          <w:color w:val="auto"/>
          <w:sz w:val="24"/>
          <w:highlight w:val="none"/>
          <w:shd w:val="clear" w:color="auto" w:fill="FFFFFF"/>
        </w:rPr>
        <w:t>　　</w:t>
      </w:r>
    </w:p>
    <w:p w14:paraId="0A2B3E30">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（1）租期</w:t>
      </w:r>
      <w:r>
        <w:rPr>
          <w:rFonts w:hint="eastAsia" w:ascii="宋体" w:hAnsi="宋体" w:eastAsia="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二</w:t>
      </w:r>
      <w:r>
        <w:rPr>
          <w:rFonts w:hint="eastAsia" w:ascii="宋体" w:hAnsi="宋体" w:eastAsia="宋体" w:cs="宋体"/>
          <w:color w:val="auto"/>
          <w:sz w:val="24"/>
          <w:highlight w:val="none"/>
          <w:shd w:val="clear" w:color="auto" w:fill="FFFFFF"/>
          <w:lang w:eastAsia="zh-CN"/>
        </w:rPr>
        <w:t>年</w:t>
      </w:r>
      <w:r>
        <w:rPr>
          <w:rFonts w:hint="eastAsia" w:ascii="宋体" w:hAnsi="宋体" w:eastAsia="宋体" w:cs="宋体"/>
          <w:color w:val="auto"/>
          <w:sz w:val="24"/>
          <w:highlight w:val="none"/>
          <w:shd w:val="clear" w:color="auto" w:fill="FFFFFF"/>
        </w:rPr>
        <w:t>。　　</w:t>
      </w:r>
    </w:p>
    <w:p w14:paraId="0291BB7F">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三、租金及其它费用 </w:t>
      </w:r>
      <w:r>
        <w:rPr>
          <w:rFonts w:hint="eastAsia" w:ascii="宋体" w:hAnsi="宋体" w:eastAsia="宋体" w:cs="宋体"/>
          <w:color w:val="auto"/>
          <w:sz w:val="24"/>
          <w:highlight w:val="none"/>
          <w:shd w:val="clear" w:color="auto" w:fill="FFFFFF"/>
        </w:rPr>
        <w:t>　　</w:t>
      </w:r>
    </w:p>
    <w:p w14:paraId="52D4963D">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（1）合同租金为</w:t>
      </w:r>
      <w:r>
        <w:rPr>
          <w:rFonts w:hint="eastAsia" w:ascii="宋体" w:hAnsi="宋体" w:eastAsia="宋体" w:cs="宋体"/>
          <w:color w:val="auto"/>
          <w:sz w:val="24"/>
          <w:highlight w:val="none"/>
          <w:u w:val="single"/>
          <w:shd w:val="clear" w:color="auto" w:fill="FFFFFF"/>
          <w:lang w:val="en-US" w:eastAsia="zh-CN"/>
        </w:rPr>
        <w:t xml:space="preserve">       </w:t>
      </w:r>
      <w:r>
        <w:rPr>
          <w:rFonts w:hint="eastAsia" w:ascii="宋体" w:hAnsi="宋体" w:eastAsia="宋体" w:cs="宋体"/>
          <w:color w:val="auto"/>
          <w:sz w:val="24"/>
          <w:highlight w:val="none"/>
          <w:shd w:val="clear" w:color="auto" w:fill="FFFFFF"/>
        </w:rPr>
        <w:t>元/年　</w:t>
      </w:r>
    </w:p>
    <w:p w14:paraId="42F59D53">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（2）承租期间产生的水电费用按照国家相关标准每月按实向甲方交纳。</w:t>
      </w:r>
    </w:p>
    <w:p w14:paraId="47F64B6B">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（3）履约保证金：</w:t>
      </w:r>
      <w:r>
        <w:rPr>
          <w:rFonts w:hint="eastAsia" w:ascii="宋体" w:hAnsi="宋体" w:eastAsia="宋体" w:cs="宋体"/>
          <w:color w:val="auto"/>
          <w:sz w:val="24"/>
          <w:highlight w:val="none"/>
          <w:u w:val="single"/>
          <w:shd w:val="clear" w:color="auto" w:fill="FFFFFF"/>
          <w:lang w:val="en-US" w:eastAsia="zh-CN"/>
        </w:rPr>
        <w:t xml:space="preserve">          </w:t>
      </w:r>
      <w:r>
        <w:rPr>
          <w:rFonts w:hint="eastAsia" w:ascii="宋体" w:hAnsi="宋体" w:eastAsia="宋体" w:cs="宋体"/>
          <w:color w:val="auto"/>
          <w:sz w:val="24"/>
          <w:highlight w:val="none"/>
          <w:shd w:val="clear" w:color="auto" w:fill="FFFFFF"/>
        </w:rPr>
        <w:t>元，与</w:t>
      </w:r>
      <w:r>
        <w:rPr>
          <w:rFonts w:hint="eastAsia" w:ascii="宋体" w:hAnsi="宋体" w:eastAsia="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签订协议前</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向</w:t>
      </w:r>
      <w:r>
        <w:rPr>
          <w:rFonts w:hint="eastAsia" w:ascii="宋体" w:hAnsi="宋体" w:eastAsia="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缴纳</w:t>
      </w:r>
      <w:r>
        <w:rPr>
          <w:rFonts w:hint="eastAsia" w:ascii="宋体" w:hAnsi="宋体" w:eastAsia="宋体" w:cs="宋体"/>
          <w:color w:val="auto"/>
          <w:sz w:val="24"/>
          <w:highlight w:val="none"/>
          <w:shd w:val="clear" w:color="auto" w:fill="FFFFFF"/>
          <w:lang w:eastAsia="zh-CN"/>
        </w:rPr>
        <w:t>第</w:t>
      </w:r>
      <w:r>
        <w:rPr>
          <w:rFonts w:hint="eastAsia" w:ascii="宋体" w:hAnsi="宋体" w:eastAsia="宋体" w:cs="宋体"/>
          <w:color w:val="auto"/>
          <w:sz w:val="24"/>
          <w:highlight w:val="none"/>
          <w:shd w:val="clear" w:color="auto" w:fill="FFFFFF"/>
        </w:rPr>
        <w:t>一年的履约保证金。</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缴纳</w:t>
      </w:r>
      <w:r>
        <w:rPr>
          <w:rFonts w:hint="eastAsia" w:ascii="宋体" w:hAnsi="宋体" w:cs="宋体"/>
          <w:color w:val="auto"/>
          <w:sz w:val="24"/>
          <w:highlight w:val="none"/>
          <w:shd w:val="clear" w:color="auto" w:fill="FFFFFF"/>
          <w:lang w:eastAsia="zh-CN"/>
        </w:rPr>
        <w:t>第二年</w:t>
      </w:r>
      <w:r>
        <w:rPr>
          <w:rFonts w:hint="eastAsia" w:ascii="宋体" w:hAnsi="宋体" w:eastAsia="宋体" w:cs="宋体"/>
          <w:color w:val="auto"/>
          <w:sz w:val="24"/>
          <w:highlight w:val="none"/>
          <w:shd w:val="clear" w:color="auto" w:fill="FFFFFF"/>
        </w:rPr>
        <w:t>租金时，需要同时缴纳当年的履约保证金。承租期满，</w:t>
      </w:r>
      <w:r>
        <w:rPr>
          <w:rFonts w:hint="eastAsia" w:ascii="宋体" w:hAnsi="宋体" w:eastAsia="宋体" w:cs="宋体"/>
          <w:color w:val="auto"/>
          <w:sz w:val="24"/>
          <w:highlight w:val="none"/>
          <w:shd w:val="clear" w:color="auto" w:fill="FFFFFF"/>
          <w:lang w:eastAsia="zh-CN"/>
        </w:rPr>
        <w:t>乙方</w:t>
      </w:r>
      <w:r>
        <w:rPr>
          <w:rFonts w:hint="eastAsia" w:ascii="宋体" w:hAnsi="宋体" w:eastAsia="宋体" w:cs="宋体"/>
          <w:color w:val="auto"/>
          <w:sz w:val="24"/>
          <w:highlight w:val="none"/>
          <w:shd w:val="clear" w:color="auto" w:fill="FFFFFF"/>
        </w:rPr>
        <w:t>与其他单位或自然人无相关经济纠纷，向</w:t>
      </w:r>
      <w:r>
        <w:rPr>
          <w:rFonts w:hint="eastAsia" w:ascii="宋体" w:hAnsi="宋体" w:eastAsia="宋体" w:cs="宋体"/>
          <w:color w:val="auto"/>
          <w:sz w:val="24"/>
          <w:highlight w:val="none"/>
          <w:shd w:val="clear" w:color="auto" w:fill="FFFFFF"/>
          <w:lang w:eastAsia="zh-CN"/>
        </w:rPr>
        <w:t>甲方</w:t>
      </w:r>
      <w:r>
        <w:rPr>
          <w:rFonts w:hint="eastAsia" w:ascii="宋体" w:hAnsi="宋体" w:eastAsia="宋体" w:cs="宋体"/>
          <w:color w:val="auto"/>
          <w:sz w:val="24"/>
          <w:highlight w:val="none"/>
          <w:shd w:val="clear" w:color="auto" w:fill="FFFFFF"/>
        </w:rPr>
        <w:t>完整交还经营场所后无息退还。　</w:t>
      </w:r>
    </w:p>
    <w:p w14:paraId="24DF7639">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四、双方的权利和义务 </w:t>
      </w:r>
      <w:r>
        <w:rPr>
          <w:rFonts w:hint="eastAsia" w:ascii="宋体" w:hAnsi="宋体" w:eastAsia="宋体" w:cs="宋体"/>
          <w:color w:val="auto"/>
          <w:sz w:val="24"/>
          <w:highlight w:val="none"/>
          <w:shd w:val="clear" w:color="auto" w:fill="FFFFFF"/>
        </w:rPr>
        <w:t>　　</w:t>
      </w:r>
    </w:p>
    <w:p w14:paraId="1333F369">
      <w:pPr>
        <w:spacing w:line="360" w:lineRule="auto"/>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（一）甲方的权利和义务</w:t>
      </w:r>
    </w:p>
    <w:p w14:paraId="2A394A0A">
      <w:pPr>
        <w:pStyle w:val="19"/>
        <w:ind w:left="0" w:leftChars="0" w:firstLine="0" w:firstLineChars="0"/>
        <w:rPr>
          <w:rFonts w:hint="eastAsia" w:ascii="宋体" w:hAnsi="宋体" w:eastAsia="宋体" w:cs="宋体"/>
          <w:color w:val="auto"/>
          <w:kern w:val="2"/>
          <w:sz w:val="24"/>
          <w:szCs w:val="20"/>
          <w:highlight w:val="none"/>
          <w:shd w:val="clear" w:color="auto" w:fill="FFFFFF"/>
          <w:lang w:val="en-US" w:eastAsia="zh-CN" w:bidi="ar-SA"/>
        </w:rPr>
      </w:pPr>
      <w:r>
        <w:rPr>
          <w:rFonts w:hint="eastAsia" w:ascii="宋体" w:hAnsi="宋体" w:eastAsia="宋体" w:cs="宋体"/>
          <w:color w:val="auto"/>
          <w:kern w:val="2"/>
          <w:sz w:val="24"/>
          <w:szCs w:val="20"/>
          <w:highlight w:val="none"/>
          <w:shd w:val="clear" w:color="auto" w:fill="FFFFFF"/>
          <w:lang w:val="en-US" w:eastAsia="zh-CN" w:bidi="ar-SA"/>
        </w:rPr>
        <w:t>（1）甲方在整个承包期内对乙方有监督权，也有责任积极配合乙方的工作。 　</w:t>
      </w:r>
    </w:p>
    <w:p w14:paraId="194C0007">
      <w:pPr>
        <w:pStyle w:val="19"/>
        <w:ind w:left="0" w:leftChars="0" w:firstLine="0" w:firstLineChars="0"/>
        <w:rPr>
          <w:rFonts w:hint="default" w:ascii="宋体" w:hAnsi="宋体" w:eastAsia="宋体" w:cs="宋体"/>
          <w:color w:val="auto"/>
          <w:kern w:val="2"/>
          <w:sz w:val="24"/>
          <w:szCs w:val="20"/>
          <w:highlight w:val="none"/>
          <w:shd w:val="clear" w:color="auto" w:fill="FFFFFF"/>
          <w:lang w:val="en-US" w:eastAsia="zh-CN" w:bidi="ar-SA"/>
        </w:rPr>
      </w:pPr>
      <w:r>
        <w:rPr>
          <w:rFonts w:hint="eastAsia" w:ascii="宋体" w:hAnsi="宋体" w:eastAsia="宋体" w:cs="宋体"/>
          <w:color w:val="auto"/>
          <w:kern w:val="2"/>
          <w:sz w:val="24"/>
          <w:szCs w:val="20"/>
          <w:highlight w:val="none"/>
          <w:shd w:val="clear" w:color="auto" w:fill="FFFFFF"/>
          <w:lang w:val="en-US" w:eastAsia="zh-CN" w:bidi="ar-SA"/>
        </w:rPr>
        <w:t>（2）甲方有权在公平公正的基础上制定合理的考核细则（具体实施考核细则由甲方在合同签订前确定），确保乙方工作质量，乙方无权反对。若乙方的考核结果不满足甲方合格标准，甲方有权作出责令整改、罚款、取消合同等措施。</w:t>
      </w:r>
    </w:p>
    <w:p w14:paraId="31B2E613">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（二）乙方的权利和义务 </w:t>
      </w:r>
      <w:r>
        <w:rPr>
          <w:rFonts w:hint="eastAsia" w:ascii="宋体" w:hAnsi="宋体" w:eastAsia="宋体" w:cs="宋体"/>
          <w:color w:val="auto"/>
          <w:sz w:val="24"/>
          <w:highlight w:val="none"/>
          <w:shd w:val="clear" w:color="auto" w:fill="FFFFFF"/>
        </w:rPr>
        <w:t>　</w:t>
      </w:r>
    </w:p>
    <w:p w14:paraId="33546DD3">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（1）在国家法律、法规、政策允许的范围内进行经营及办公。 　　</w:t>
      </w:r>
    </w:p>
    <w:p w14:paraId="32FD3922">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（2）合同有效期内，对所租赁的房屋及设施拥有合法使用权。</w:t>
      </w:r>
    </w:p>
    <w:p w14:paraId="05322318">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（3）按合同内容交纳租金及其它费用。</w:t>
      </w:r>
    </w:p>
    <w:p w14:paraId="1E45460A">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（4）乙方应当按照协议约定履行义务，不得将中标项目自行转包、分包给他人，否则甲方有权终止协议，没收乙方的保证金，并要求赔偿甲方损失。 　</w:t>
      </w:r>
    </w:p>
    <w:p w14:paraId="67825177">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5）乙方须守法经营，按规定纳税，服从各相关管理部门的管理与检查，负责处理相关整改等工作。自行负责承租期间承租场所的食品、消防等安全，乙方自行负责处理经营活动中与其他单位或自然人产生的相关经济纠纷、食品安全纠纷。甲方不承担任何连带责任。</w:t>
      </w:r>
    </w:p>
    <w:p w14:paraId="347C8766">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 xml:space="preserve">五、付款方式及时间 </w:t>
      </w:r>
      <w:r>
        <w:rPr>
          <w:rFonts w:hint="eastAsia" w:ascii="宋体" w:hAnsi="宋体" w:eastAsia="宋体" w:cs="宋体"/>
          <w:color w:val="auto"/>
          <w:sz w:val="24"/>
          <w:highlight w:val="none"/>
          <w:shd w:val="clear" w:color="auto" w:fill="FFFFFF"/>
        </w:rPr>
        <w:t>　　</w:t>
      </w:r>
    </w:p>
    <w:p w14:paraId="1E116D78">
      <w:pPr>
        <w:spacing w:line="360" w:lineRule="auto"/>
        <w:ind w:firstLine="480" w:firstLineChars="200"/>
        <w:rPr>
          <w:rFonts w:hint="eastAsia" w:ascii="宋体" w:hAnsi="宋体" w:eastAsia="宋体" w:cs="宋体"/>
          <w:b w:val="0"/>
          <w:bCs w:val="0"/>
          <w:color w:val="auto"/>
          <w:sz w:val="24"/>
          <w:highlight w:val="none"/>
          <w:shd w:val="clear" w:color="auto" w:fill="FFFFFF"/>
        </w:rPr>
      </w:pPr>
      <w:r>
        <w:rPr>
          <w:rFonts w:hint="eastAsia" w:ascii="宋体" w:hAnsi="宋体" w:eastAsia="宋体" w:cs="宋体"/>
          <w:b w:val="0"/>
          <w:bCs w:val="0"/>
          <w:color w:val="auto"/>
          <w:sz w:val="24"/>
          <w:highlight w:val="none"/>
          <w:shd w:val="clear" w:color="auto" w:fill="FFFFFF"/>
        </w:rPr>
        <w:t>中标人签署中标确认书后3日内支付第一年度的租金至盐城市大丰第二人民医院指定账户，同时签订租赁合同。第二年在第一年年度签订租赁合同同一时间支付第二年度的租金至盐城市大丰区第二人民医院指定账户。未及时缴纳的，视同中标人自动放弃履约，中标人缴纳的相关费用不予退还并依法追偿损失。</w:t>
      </w:r>
    </w:p>
    <w:p w14:paraId="61AD4267">
      <w:pPr>
        <w:spacing w:line="360" w:lineRule="auto"/>
        <w:rPr>
          <w:rFonts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六、 其它 　　</w:t>
      </w:r>
    </w:p>
    <w:p w14:paraId="49CB8183">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（1）甲方和乙方中任何一方法定代表人变更、企业迁址、合并，不影响本合同继续履行。变更、合并后的一方即成为本合同当然执行人，并承担本合同的内容之权利和义务。 　　</w:t>
      </w:r>
    </w:p>
    <w:p w14:paraId="1F467682">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（2）本合同的某项条款需要变更时，必须用书面方式进行确定，双方订立补充协议。　</w:t>
      </w:r>
    </w:p>
    <w:p w14:paraId="10E9561D">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（3）双方各自办理财产保险，互不承担任何形式之风险责任。 　　</w:t>
      </w:r>
    </w:p>
    <w:p w14:paraId="30F04C74">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七、 违约 　</w:t>
      </w:r>
      <w:r>
        <w:rPr>
          <w:rFonts w:hint="eastAsia" w:ascii="宋体" w:hAnsi="宋体" w:eastAsia="宋体" w:cs="宋体"/>
          <w:color w:val="auto"/>
          <w:sz w:val="24"/>
          <w:highlight w:val="none"/>
          <w:shd w:val="clear" w:color="auto" w:fill="FFFFFF"/>
        </w:rPr>
        <w:t>　</w:t>
      </w:r>
    </w:p>
    <w:p w14:paraId="018DD918">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双方签订合同后，如乙方非法经营，甲方立即终止合同，扣除履约保证金。如乙方不能正常经营，造成患者伙食中断的，乙方应承担违约金2000元/次；如乙方不履行一餐的，乙方应承担违约金1000元/次；如乙方单方解除合同的，甲方扣除乙方履约保证金且乙方赔偿甲方由此造成的损失。</w:t>
      </w:r>
    </w:p>
    <w:p w14:paraId="4A54389B">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八、合同生效、纠纷解决 　</w:t>
      </w:r>
      <w:r>
        <w:rPr>
          <w:rFonts w:hint="eastAsia" w:ascii="宋体" w:hAnsi="宋体" w:eastAsia="宋体" w:cs="宋体"/>
          <w:color w:val="auto"/>
          <w:sz w:val="24"/>
          <w:highlight w:val="none"/>
          <w:shd w:val="clear" w:color="auto" w:fill="FFFFFF"/>
        </w:rPr>
        <w:t>　</w:t>
      </w:r>
    </w:p>
    <w:p w14:paraId="13C63CCB">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（1）乙方交付租金和履约保证金后，甲方与乙方签订合同，合同签订后生效，即具有法律效力。 　　</w:t>
      </w:r>
    </w:p>
    <w:p w14:paraId="6EB6EDF8">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（2）在本合同执行过程中，若发生纠纷，由双方友好协商，如协商不成时，</w:t>
      </w:r>
      <w:r>
        <w:rPr>
          <w:rFonts w:hint="eastAsia" w:ascii="宋体" w:hAnsi="宋体" w:eastAsia="宋体" w:cs="宋体"/>
          <w:color w:val="auto"/>
          <w:sz w:val="24"/>
          <w:highlight w:val="none"/>
          <w:shd w:val="clear" w:color="auto" w:fill="FFFFFF"/>
          <w:lang w:eastAsia="zh-CN"/>
        </w:rPr>
        <w:t>由项目</w:t>
      </w:r>
      <w:r>
        <w:rPr>
          <w:rFonts w:hint="eastAsia" w:ascii="宋体" w:hAnsi="宋体" w:eastAsia="宋体" w:cs="宋体"/>
          <w:color w:val="auto"/>
          <w:sz w:val="24"/>
          <w:highlight w:val="none"/>
          <w:shd w:val="clear" w:color="auto" w:fill="FFFFFF"/>
        </w:rPr>
        <w:t>所在地人民法院解决。 　　</w:t>
      </w:r>
    </w:p>
    <w:p w14:paraId="550EFD7B">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（3）本合同未尽事宜，由甲、乙双方协商解决，并另行签订补充协议，其补充协议与本合同具有同等法律效力。 　　</w:t>
      </w:r>
    </w:p>
    <w:p w14:paraId="062FCCB3">
      <w:pPr>
        <w:spacing w:line="360" w:lineRule="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（4）本合同正本一式两份，甲、乙双方各执壹份。 　　</w:t>
      </w:r>
    </w:p>
    <w:p w14:paraId="39B459B8">
      <w:pPr>
        <w:spacing w:line="72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甲方：　　                                 乙方： 　　</w:t>
      </w:r>
    </w:p>
    <w:p w14:paraId="17E63893">
      <w:pPr>
        <w:spacing w:line="72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法定代表人（签字或盖章）：　　             法定代表人（签字或盖章）： 　　</w:t>
      </w:r>
    </w:p>
    <w:p w14:paraId="25F9958C">
      <w:pPr>
        <w:spacing w:line="72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签字日期： 年 月 日 　　                   签字日期： 年 月 日</w:t>
      </w:r>
    </w:p>
    <w:p w14:paraId="2CEF92F8">
      <w:pP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br w:type="page"/>
      </w:r>
    </w:p>
    <w:p w14:paraId="75946B04">
      <w:pPr>
        <w:tabs>
          <w:tab w:val="left" w:pos="4935"/>
        </w:tabs>
        <w:spacing w:line="360" w:lineRule="auto"/>
        <w:ind w:firstLine="482" w:firstLineChars="200"/>
        <w:jc w:val="left"/>
        <w:rPr>
          <w:rFonts w:hint="default" w:ascii="宋体" w:hAnsi="宋体" w:eastAsia="宋体" w:cs="宋体"/>
          <w:b w:val="0"/>
          <w:bCs/>
          <w:color w:val="auto"/>
          <w:sz w:val="24"/>
          <w:szCs w:val="28"/>
          <w:highlight w:val="none"/>
          <w:lang w:val="en-US" w:eastAsia="zh-CN"/>
        </w:rPr>
      </w:pPr>
      <w:r>
        <w:rPr>
          <w:rFonts w:hint="eastAsia" w:ascii="宋体" w:hAnsi="宋体" w:eastAsia="宋体" w:cs="宋体"/>
          <w:b/>
          <w:bCs w:val="0"/>
          <w:color w:val="auto"/>
          <w:sz w:val="24"/>
          <w:szCs w:val="28"/>
          <w:highlight w:val="none"/>
          <w:lang w:eastAsia="zh-CN"/>
        </w:rPr>
        <w:t>附件</w:t>
      </w:r>
      <w:r>
        <w:rPr>
          <w:rFonts w:hint="eastAsia" w:ascii="宋体" w:hAnsi="宋体" w:eastAsia="宋体" w:cs="宋体"/>
          <w:b/>
          <w:bCs w:val="0"/>
          <w:color w:val="auto"/>
          <w:sz w:val="24"/>
          <w:szCs w:val="28"/>
          <w:highlight w:val="none"/>
          <w:lang w:val="en-US" w:eastAsia="zh-CN"/>
        </w:rPr>
        <w:t>1</w:t>
      </w:r>
      <w:r>
        <w:rPr>
          <w:rFonts w:hint="eastAsia" w:ascii="宋体" w:hAnsi="宋体" w:eastAsia="宋体" w:cs="宋体"/>
          <w:b/>
          <w:bCs w:val="0"/>
          <w:color w:val="auto"/>
          <w:sz w:val="24"/>
          <w:szCs w:val="28"/>
          <w:highlight w:val="none"/>
          <w:lang w:eastAsia="zh-CN"/>
        </w:rPr>
        <w:t>：考核标准</w:t>
      </w:r>
      <w:r>
        <w:rPr>
          <w:rFonts w:hint="eastAsia" w:ascii="宋体" w:hAnsi="宋体" w:cs="宋体"/>
          <w:b w:val="0"/>
          <w:bCs/>
          <w:color w:val="auto"/>
          <w:sz w:val="24"/>
          <w:szCs w:val="28"/>
          <w:highlight w:val="none"/>
          <w:lang w:eastAsia="zh-CN"/>
        </w:rPr>
        <w:t>（</w:t>
      </w:r>
      <w:r>
        <w:rPr>
          <w:rFonts w:hint="eastAsia" w:ascii="宋体" w:hAnsi="宋体" w:cs="宋体"/>
          <w:b w:val="0"/>
          <w:bCs/>
          <w:color w:val="auto"/>
          <w:sz w:val="24"/>
          <w:szCs w:val="28"/>
          <w:highlight w:val="none"/>
          <w:lang w:val="en-US" w:eastAsia="zh-CN"/>
        </w:rPr>
        <w:t>甲方有权在合同执行期间对考核标准作合理的调整，乙方不得提出异议）</w:t>
      </w:r>
    </w:p>
    <w:p w14:paraId="267312D9">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根据医院对后勤管理服务的要求与中标人的服务承诺进行考核，由医院组织考核小组，以及患者满意度调查成绩相结合。</w:t>
      </w:r>
    </w:p>
    <w:p w14:paraId="06EDA64A">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中标人在经营的过程中发生违规经营或不履行义务时，院方有权干预，对造成损失的，中标人应承担赔偿责任。</w:t>
      </w:r>
    </w:p>
    <w:p w14:paraId="6938C465">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月度基础考核分由食堂月度工作质量考核表、食堂月度满意度测评表及院领导考核等分值综合组成，具体分值组成如下：</w:t>
      </w:r>
    </w:p>
    <w:p w14:paraId="0833F178">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职工食堂考核得分组成：工作质量考核分*45%+满意度得分*45%+院领导考核得分*10%；</w:t>
      </w:r>
    </w:p>
    <w:p w14:paraId="7B1B38E4">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（1）成立考核小组：由医院相关职能科室人员组成，每月对食堂进行一次考核，考核方案由院方制定。</w:t>
      </w:r>
    </w:p>
    <w:p w14:paraId="34C726FC">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（2）满意度测评：由医院职工和患者进行测评，满意度调查结果低于70</w:t>
      </w:r>
      <w:r>
        <w:rPr>
          <w:rFonts w:hint="eastAsia" w:ascii="宋体" w:hAnsi="宋体" w:cs="宋体"/>
          <w:b w:val="0"/>
          <w:bCs/>
          <w:color w:val="auto"/>
          <w:sz w:val="24"/>
          <w:szCs w:val="28"/>
          <w:highlight w:val="none"/>
          <w:lang w:val="en-US" w:eastAsia="zh-CN"/>
        </w:rPr>
        <w:t>分</w:t>
      </w:r>
      <w:r>
        <w:rPr>
          <w:rFonts w:hint="eastAsia" w:ascii="宋体" w:hAnsi="宋体" w:eastAsia="宋体" w:cs="宋体"/>
          <w:b w:val="0"/>
          <w:bCs/>
          <w:color w:val="auto"/>
          <w:sz w:val="24"/>
          <w:szCs w:val="28"/>
          <w:highlight w:val="none"/>
          <w:lang w:eastAsia="zh-CN"/>
        </w:rPr>
        <w:t>的，根据满意度情况进行2000元/次的处罚，应处罚价款由招标人在次月支付中标人营业所得费用中直接扣除。连续三次考核得分低于70分的，招标人有权解除或终止</w:t>
      </w:r>
      <w:r>
        <w:rPr>
          <w:rFonts w:hint="eastAsia" w:ascii="宋体" w:hAnsi="宋体" w:cs="宋体"/>
          <w:b w:val="0"/>
          <w:bCs/>
          <w:color w:val="auto"/>
          <w:sz w:val="24"/>
          <w:szCs w:val="28"/>
          <w:highlight w:val="none"/>
          <w:lang w:val="en-US" w:eastAsia="zh-CN"/>
        </w:rPr>
        <w:t>合同</w:t>
      </w:r>
      <w:r>
        <w:rPr>
          <w:rFonts w:hint="eastAsia" w:ascii="宋体" w:hAnsi="宋体" w:eastAsia="宋体" w:cs="宋体"/>
          <w:b w:val="0"/>
          <w:bCs/>
          <w:color w:val="auto"/>
          <w:sz w:val="24"/>
          <w:szCs w:val="28"/>
          <w:highlight w:val="none"/>
          <w:lang w:eastAsia="zh-CN"/>
        </w:rPr>
        <w:t>，如出现考核得分低于50分，招标人有权直接解除或终止</w:t>
      </w:r>
      <w:r>
        <w:rPr>
          <w:rFonts w:hint="eastAsia" w:ascii="宋体" w:hAnsi="宋体" w:cs="宋体"/>
          <w:b w:val="0"/>
          <w:bCs/>
          <w:color w:val="auto"/>
          <w:sz w:val="24"/>
          <w:szCs w:val="28"/>
          <w:highlight w:val="none"/>
          <w:lang w:val="en-US" w:eastAsia="zh-CN"/>
        </w:rPr>
        <w:t>合同</w:t>
      </w:r>
      <w:r>
        <w:rPr>
          <w:rFonts w:hint="eastAsia" w:ascii="宋体" w:hAnsi="宋体" w:eastAsia="宋体" w:cs="宋体"/>
          <w:b w:val="0"/>
          <w:bCs/>
          <w:color w:val="auto"/>
          <w:sz w:val="24"/>
          <w:szCs w:val="28"/>
          <w:highlight w:val="none"/>
          <w:lang w:eastAsia="zh-CN"/>
        </w:rPr>
        <w:t>。</w:t>
      </w:r>
    </w:p>
    <w:p w14:paraId="5EDC586F">
      <w:pPr>
        <w:tabs>
          <w:tab w:val="left" w:pos="4935"/>
        </w:tabs>
        <w:spacing w:line="360" w:lineRule="auto"/>
        <w:ind w:firstLine="482" w:firstLineChars="200"/>
        <w:jc w:val="left"/>
        <w:rPr>
          <w:rFonts w:hint="eastAsia" w:ascii="宋体" w:hAnsi="宋体" w:eastAsia="宋体" w:cs="宋体"/>
          <w:b/>
          <w:bCs w:val="0"/>
          <w:color w:val="auto"/>
          <w:sz w:val="24"/>
          <w:szCs w:val="28"/>
          <w:highlight w:val="none"/>
          <w:lang w:eastAsia="zh-CN"/>
        </w:rPr>
      </w:pPr>
      <w:r>
        <w:rPr>
          <w:rFonts w:hint="eastAsia" w:ascii="宋体" w:hAnsi="宋体" w:eastAsia="宋体" w:cs="宋体"/>
          <w:b/>
          <w:bCs w:val="0"/>
          <w:color w:val="auto"/>
          <w:sz w:val="24"/>
          <w:szCs w:val="28"/>
          <w:highlight w:val="none"/>
          <w:lang w:eastAsia="zh-CN"/>
        </w:rPr>
        <w:t>医院食堂考核标准及考核办法</w:t>
      </w:r>
    </w:p>
    <w:p w14:paraId="3327A269">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为进一步加强食堂餐饮工作的管理，使食堂工作人员更好地为病员以及病员家属、医院职工提供优质规范的服务，加强对食堂的监督检查，提高服务质量，保证饮食安全，现依据《中华人民共和国食品卫生法》及医院规章制度制订本办法。具体办法如下：</w:t>
      </w:r>
    </w:p>
    <w:p w14:paraId="3467B7D8">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检查考核人员的组成：食品卫生管理小组中两个以上部门人员考核时组成。</w:t>
      </w:r>
    </w:p>
    <w:p w14:paraId="6CE62647">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食品卫生管理小组由医院相关职能科室人员等组成。</w:t>
      </w:r>
    </w:p>
    <w:p w14:paraId="1B2A03CF">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检查范围：</w:t>
      </w:r>
    </w:p>
    <w:p w14:paraId="093794BD">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伙食质量、服务质量、卫生标准、食堂管理及病员、医务人员满意率，病员以及病员家属、医院职工投诉（投诉扣分加倍）等。每月随机检查，检查结果按食堂考核细则处罚。</w:t>
      </w:r>
    </w:p>
    <w:p w14:paraId="506A176A">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食堂日常管理量化考核细则（含菜量/菜价/菜色等），具体考核方案由院方制定。考核后应罚价款由招标人在次月支付中标方营业所得费用中直接扣除。</w:t>
      </w:r>
    </w:p>
    <w:p w14:paraId="6BAB3580">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满意度：</w:t>
      </w:r>
    </w:p>
    <w:p w14:paraId="06B9ECFB">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食品卫生管理小组每月不定期对食堂进行满意度的调查，考核表由院方制定，具体内容详见附表二。</w:t>
      </w:r>
    </w:p>
    <w:p w14:paraId="52BF06CA">
      <w:pPr>
        <w:tabs>
          <w:tab w:val="left" w:pos="4935"/>
        </w:tabs>
        <w:spacing w:line="360" w:lineRule="auto"/>
        <w:ind w:firstLine="480" w:firstLineChars="200"/>
        <w:jc w:val="left"/>
        <w:rPr>
          <w:rFonts w:hint="eastAsia" w:ascii="宋体" w:hAnsi="宋体" w:eastAsia="宋体" w:cs="宋体"/>
          <w:b w:val="0"/>
          <w:bCs/>
          <w:color w:val="auto"/>
          <w:sz w:val="24"/>
          <w:szCs w:val="28"/>
          <w:highlight w:val="none"/>
          <w:lang w:eastAsia="zh-CN"/>
        </w:rPr>
      </w:pPr>
      <w:r>
        <w:rPr>
          <w:rFonts w:hint="eastAsia" w:ascii="宋体" w:hAnsi="宋体" w:eastAsia="宋体" w:cs="宋体"/>
          <w:b w:val="0"/>
          <w:bCs/>
          <w:color w:val="auto"/>
          <w:sz w:val="24"/>
          <w:szCs w:val="28"/>
          <w:highlight w:val="none"/>
          <w:lang w:eastAsia="zh-CN"/>
        </w:rPr>
        <w:t>满意度调查结果低于70</w:t>
      </w:r>
      <w:r>
        <w:rPr>
          <w:rFonts w:hint="eastAsia" w:ascii="宋体" w:hAnsi="宋体" w:cs="宋体"/>
          <w:b w:val="0"/>
          <w:bCs/>
          <w:color w:val="auto"/>
          <w:sz w:val="24"/>
          <w:szCs w:val="28"/>
          <w:highlight w:val="none"/>
          <w:lang w:val="en-US" w:eastAsia="zh-CN"/>
        </w:rPr>
        <w:t>分</w:t>
      </w:r>
      <w:r>
        <w:rPr>
          <w:rFonts w:hint="eastAsia" w:ascii="宋体" w:hAnsi="宋体" w:eastAsia="宋体" w:cs="宋体"/>
          <w:b w:val="0"/>
          <w:bCs/>
          <w:color w:val="auto"/>
          <w:sz w:val="24"/>
          <w:szCs w:val="28"/>
          <w:highlight w:val="none"/>
          <w:lang w:eastAsia="zh-CN"/>
        </w:rPr>
        <w:t>的，根据满意度情况进行2000元/次的处罚，应处罚价款由招标人在次月支付中标人营业所得费用中直接扣除。连续三次满意度调查结果不合格的，招标人有权解除或终止</w:t>
      </w:r>
      <w:r>
        <w:rPr>
          <w:rFonts w:hint="eastAsia" w:ascii="宋体" w:hAnsi="宋体" w:cs="宋体"/>
          <w:b w:val="0"/>
          <w:bCs/>
          <w:color w:val="auto"/>
          <w:sz w:val="24"/>
          <w:szCs w:val="28"/>
          <w:highlight w:val="none"/>
          <w:lang w:val="en-US" w:eastAsia="zh-CN"/>
        </w:rPr>
        <w:t>合同</w:t>
      </w:r>
      <w:r>
        <w:rPr>
          <w:rFonts w:hint="eastAsia" w:ascii="宋体" w:hAnsi="宋体" w:eastAsia="宋体" w:cs="宋体"/>
          <w:b w:val="0"/>
          <w:bCs/>
          <w:color w:val="auto"/>
          <w:sz w:val="24"/>
          <w:szCs w:val="28"/>
          <w:highlight w:val="none"/>
          <w:lang w:eastAsia="zh-CN"/>
        </w:rPr>
        <w:t>。</w:t>
      </w:r>
    </w:p>
    <w:p w14:paraId="6E46BA85">
      <w:pPr>
        <w:tabs>
          <w:tab w:val="left" w:pos="4935"/>
        </w:tabs>
        <w:spacing w:line="360" w:lineRule="auto"/>
        <w:ind w:firstLine="480" w:firstLineChars="200"/>
        <w:jc w:val="left"/>
        <w:rPr>
          <w:rFonts w:hint="eastAsia" w:ascii="宋体" w:hAnsi="宋体" w:eastAsia="宋体" w:cs="宋体"/>
          <w:b/>
          <w:color w:val="auto"/>
          <w:sz w:val="24"/>
          <w:szCs w:val="28"/>
          <w:highlight w:val="none"/>
          <w:lang w:eastAsia="zh-CN"/>
        </w:rPr>
      </w:pPr>
      <w:r>
        <w:rPr>
          <w:rFonts w:hint="eastAsia" w:ascii="宋体" w:hAnsi="宋体" w:eastAsia="宋体" w:cs="宋体"/>
          <w:b w:val="0"/>
          <w:bCs/>
          <w:color w:val="auto"/>
          <w:sz w:val="24"/>
          <w:szCs w:val="28"/>
          <w:highlight w:val="none"/>
          <w:lang w:eastAsia="zh-CN"/>
        </w:rPr>
        <w:t>在日常监督检查中，经食品卫生监督部门认定为食源性疾病的或被卫生监督部门处罚的除按《食品卫生法》规定进行处罚外，招标人有权解除或终止</w:t>
      </w:r>
      <w:r>
        <w:rPr>
          <w:rFonts w:hint="eastAsia" w:ascii="宋体" w:hAnsi="宋体" w:cs="宋体"/>
          <w:b w:val="0"/>
          <w:bCs/>
          <w:color w:val="auto"/>
          <w:sz w:val="24"/>
          <w:szCs w:val="28"/>
          <w:highlight w:val="none"/>
          <w:lang w:val="en-US" w:eastAsia="zh-CN"/>
        </w:rPr>
        <w:t>合同</w:t>
      </w:r>
      <w:r>
        <w:rPr>
          <w:rFonts w:hint="eastAsia" w:ascii="宋体" w:hAnsi="宋体" w:eastAsia="宋体" w:cs="宋体"/>
          <w:b w:val="0"/>
          <w:bCs/>
          <w:color w:val="auto"/>
          <w:sz w:val="24"/>
          <w:szCs w:val="28"/>
          <w:highlight w:val="none"/>
          <w:lang w:eastAsia="zh-CN"/>
        </w:rPr>
        <w:t>，并由中标人完全承担相应责任。</w:t>
      </w:r>
      <w:r>
        <w:rPr>
          <w:rFonts w:hint="eastAsia" w:ascii="宋体" w:hAnsi="宋体" w:eastAsia="宋体" w:cs="宋体"/>
          <w:b/>
          <w:color w:val="auto"/>
          <w:sz w:val="24"/>
          <w:szCs w:val="28"/>
          <w:highlight w:val="none"/>
          <w:lang w:eastAsia="zh-CN"/>
        </w:rPr>
        <w:br w:type="page"/>
      </w:r>
    </w:p>
    <w:p w14:paraId="0913A12A">
      <w:pPr>
        <w:tabs>
          <w:tab w:val="left" w:pos="4935"/>
        </w:tabs>
        <w:ind w:firstLine="482" w:firstLineChars="200"/>
        <w:jc w:val="right"/>
        <w:rPr>
          <w:rFonts w:hint="eastAsia" w:ascii="宋体" w:hAnsi="宋体" w:eastAsia="宋体"/>
          <w:b/>
          <w:color w:val="auto"/>
          <w:sz w:val="24"/>
          <w:szCs w:val="24"/>
          <w:highlight w:val="none"/>
          <w:lang w:eastAsia="zh-CN"/>
        </w:rPr>
      </w:pPr>
      <w:r>
        <w:rPr>
          <w:rFonts w:hint="eastAsia" w:ascii="宋体" w:hAnsi="宋体" w:eastAsia="宋体" w:cs="宋体"/>
          <w:b/>
          <w:color w:val="auto"/>
          <w:sz w:val="24"/>
          <w:szCs w:val="28"/>
          <w:highlight w:val="none"/>
          <w:lang w:eastAsia="zh-CN"/>
        </w:rPr>
        <w:t>年</w:t>
      </w:r>
      <w:r>
        <w:rPr>
          <w:rFonts w:hint="eastAsia" w:ascii="宋体" w:hAnsi="宋体" w:eastAsia="宋体" w:cs="宋体"/>
          <w:b/>
          <w:color w:val="auto"/>
          <w:sz w:val="24"/>
          <w:szCs w:val="28"/>
          <w:highlight w:val="none"/>
          <w:lang w:val="en-US" w:eastAsia="zh-CN"/>
        </w:rPr>
        <w:t xml:space="preserve">   </w:t>
      </w:r>
      <w:r>
        <w:rPr>
          <w:rFonts w:hint="eastAsia" w:ascii="宋体" w:hAnsi="宋体" w:eastAsia="宋体" w:cs="宋体"/>
          <w:b/>
          <w:color w:val="auto"/>
          <w:sz w:val="24"/>
          <w:szCs w:val="28"/>
          <w:highlight w:val="none"/>
          <w:lang w:eastAsia="zh-CN"/>
        </w:rPr>
        <w:t>月</w:t>
      </w:r>
      <w:r>
        <w:rPr>
          <w:rFonts w:hint="eastAsia" w:ascii="宋体" w:hAnsi="宋体" w:eastAsia="宋体" w:cs="宋体"/>
          <w:b/>
          <w:color w:val="auto"/>
          <w:sz w:val="24"/>
          <w:szCs w:val="28"/>
          <w:highlight w:val="none"/>
          <w:lang w:val="en-US" w:eastAsia="zh-CN"/>
        </w:rPr>
        <w:t xml:space="preserve">   </w:t>
      </w:r>
      <w:r>
        <w:rPr>
          <w:rFonts w:hint="eastAsia" w:ascii="宋体" w:hAnsi="宋体" w:eastAsia="宋体" w:cs="宋体"/>
          <w:b/>
          <w:color w:val="auto"/>
          <w:sz w:val="24"/>
          <w:szCs w:val="28"/>
          <w:highlight w:val="none"/>
          <w:lang w:eastAsia="zh-CN"/>
        </w:rPr>
        <w:t>日</w:t>
      </w:r>
    </w:p>
    <w:tbl>
      <w:tblPr>
        <w:tblStyle w:val="21"/>
        <w:tblW w:w="9867" w:type="dxa"/>
        <w:jc w:val="center"/>
        <w:tblLayout w:type="fixed"/>
        <w:tblCellMar>
          <w:top w:w="0" w:type="dxa"/>
          <w:left w:w="108" w:type="dxa"/>
          <w:bottom w:w="0" w:type="dxa"/>
          <w:right w:w="108" w:type="dxa"/>
        </w:tblCellMar>
      </w:tblPr>
      <w:tblGrid>
        <w:gridCol w:w="840"/>
        <w:gridCol w:w="2694"/>
        <w:gridCol w:w="586"/>
        <w:gridCol w:w="2654"/>
        <w:gridCol w:w="666"/>
        <w:gridCol w:w="1694"/>
        <w:gridCol w:w="733"/>
      </w:tblGrid>
      <w:tr w14:paraId="60A39744">
        <w:tblPrEx>
          <w:tblCellMar>
            <w:top w:w="0" w:type="dxa"/>
            <w:left w:w="108" w:type="dxa"/>
            <w:bottom w:w="0" w:type="dxa"/>
            <w:right w:w="108" w:type="dxa"/>
          </w:tblCellMar>
        </w:tblPrEx>
        <w:trPr>
          <w:trHeight w:val="300" w:hRule="atLeast"/>
          <w:jc w:val="center"/>
        </w:trPr>
        <w:tc>
          <w:tcPr>
            <w:tcW w:w="9867" w:type="dxa"/>
            <w:gridSpan w:val="7"/>
            <w:tcBorders>
              <w:top w:val="single" w:color="auto" w:sz="4" w:space="0"/>
              <w:left w:val="single" w:color="auto" w:sz="4" w:space="0"/>
              <w:bottom w:val="single" w:color="auto" w:sz="4" w:space="0"/>
              <w:right w:val="single" w:color="auto" w:sz="4" w:space="0"/>
            </w:tcBorders>
            <w:noWrap w:val="0"/>
            <w:vAlign w:val="center"/>
          </w:tcPr>
          <w:p w14:paraId="71DE7106">
            <w:pPr>
              <w:tabs>
                <w:tab w:val="left" w:pos="4935"/>
              </w:tabs>
              <w:jc w:val="center"/>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食堂工作质量考核细则</w:t>
            </w:r>
          </w:p>
        </w:tc>
      </w:tr>
      <w:tr w14:paraId="6858E745">
        <w:tblPrEx>
          <w:tblCellMar>
            <w:top w:w="0" w:type="dxa"/>
            <w:left w:w="108" w:type="dxa"/>
            <w:bottom w:w="0" w:type="dxa"/>
            <w:right w:w="108" w:type="dxa"/>
          </w:tblCellMar>
        </w:tblPrEx>
        <w:trPr>
          <w:trHeight w:val="50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6B67797">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考核时间</w:t>
            </w:r>
          </w:p>
        </w:tc>
        <w:tc>
          <w:tcPr>
            <w:tcW w:w="3280" w:type="dxa"/>
            <w:gridSpan w:val="2"/>
            <w:tcBorders>
              <w:top w:val="single" w:color="auto" w:sz="4" w:space="0"/>
              <w:left w:val="single" w:color="auto" w:sz="4" w:space="0"/>
              <w:bottom w:val="single" w:color="auto" w:sz="4" w:space="0"/>
              <w:right w:val="single" w:color="auto" w:sz="4" w:space="0"/>
            </w:tcBorders>
            <w:noWrap w:val="0"/>
            <w:vAlign w:val="center"/>
          </w:tcPr>
          <w:p w14:paraId="1B2FCA88">
            <w:pPr>
              <w:jc w:val="center"/>
              <w:rPr>
                <w:rFonts w:hint="eastAsia" w:ascii="宋体" w:hAnsi="宋体" w:eastAsia="宋体" w:cs="宋体"/>
                <w:b/>
                <w:bCs/>
                <w:color w:val="auto"/>
                <w:sz w:val="22"/>
                <w:szCs w:val="22"/>
                <w:highlight w:val="none"/>
              </w:rPr>
            </w:pPr>
          </w:p>
        </w:tc>
        <w:tc>
          <w:tcPr>
            <w:tcW w:w="2654" w:type="dxa"/>
            <w:tcBorders>
              <w:top w:val="single" w:color="auto" w:sz="4" w:space="0"/>
              <w:left w:val="single" w:color="auto" w:sz="4" w:space="0"/>
              <w:bottom w:val="single" w:color="auto" w:sz="4" w:space="0"/>
              <w:right w:val="single" w:color="auto" w:sz="4" w:space="0"/>
            </w:tcBorders>
            <w:noWrap w:val="0"/>
            <w:vAlign w:val="center"/>
          </w:tcPr>
          <w:p w14:paraId="099604D2">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考核人</w:t>
            </w:r>
          </w:p>
        </w:tc>
        <w:tc>
          <w:tcPr>
            <w:tcW w:w="3093" w:type="dxa"/>
            <w:gridSpan w:val="3"/>
            <w:tcBorders>
              <w:top w:val="single" w:color="auto" w:sz="4" w:space="0"/>
              <w:left w:val="single" w:color="auto" w:sz="4" w:space="0"/>
              <w:bottom w:val="single" w:color="auto" w:sz="4" w:space="0"/>
              <w:right w:val="single" w:color="auto" w:sz="4" w:space="0"/>
            </w:tcBorders>
            <w:noWrap w:val="0"/>
            <w:vAlign w:val="center"/>
          </w:tcPr>
          <w:p w14:paraId="23D1F021">
            <w:pPr>
              <w:jc w:val="center"/>
              <w:rPr>
                <w:rFonts w:hint="eastAsia" w:ascii="宋体" w:hAnsi="宋体" w:eastAsia="宋体" w:cs="宋体"/>
                <w:b/>
                <w:bCs/>
                <w:color w:val="auto"/>
                <w:sz w:val="22"/>
                <w:szCs w:val="22"/>
                <w:highlight w:val="none"/>
              </w:rPr>
            </w:pPr>
          </w:p>
        </w:tc>
      </w:tr>
      <w:tr w14:paraId="38122161">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nil"/>
            </w:tcBorders>
            <w:noWrap w:val="0"/>
            <w:vAlign w:val="center"/>
          </w:tcPr>
          <w:p w14:paraId="21BD147A">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分类</w:t>
            </w:r>
          </w:p>
        </w:tc>
        <w:tc>
          <w:tcPr>
            <w:tcW w:w="2694" w:type="dxa"/>
            <w:tcBorders>
              <w:top w:val="nil"/>
              <w:left w:val="single" w:color="auto" w:sz="4" w:space="0"/>
              <w:bottom w:val="single" w:color="auto" w:sz="4" w:space="0"/>
              <w:right w:val="single" w:color="auto" w:sz="4" w:space="0"/>
            </w:tcBorders>
            <w:noWrap w:val="0"/>
            <w:vAlign w:val="center"/>
          </w:tcPr>
          <w:p w14:paraId="6D43ED14">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基本内容要求</w:t>
            </w:r>
          </w:p>
        </w:tc>
        <w:tc>
          <w:tcPr>
            <w:tcW w:w="586" w:type="dxa"/>
            <w:tcBorders>
              <w:top w:val="nil"/>
              <w:left w:val="nil"/>
              <w:bottom w:val="single" w:color="auto" w:sz="4" w:space="0"/>
              <w:right w:val="single" w:color="auto" w:sz="4" w:space="0"/>
            </w:tcBorders>
            <w:noWrap w:val="0"/>
            <w:vAlign w:val="center"/>
          </w:tcPr>
          <w:p w14:paraId="4F279A2A">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c>
          <w:tcPr>
            <w:tcW w:w="2654" w:type="dxa"/>
            <w:tcBorders>
              <w:top w:val="nil"/>
              <w:left w:val="nil"/>
              <w:bottom w:val="single" w:color="auto" w:sz="4" w:space="0"/>
              <w:right w:val="single" w:color="auto" w:sz="4" w:space="0"/>
            </w:tcBorders>
            <w:noWrap w:val="0"/>
            <w:vAlign w:val="center"/>
          </w:tcPr>
          <w:p w14:paraId="2DBC3209">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评分标准</w:t>
            </w:r>
          </w:p>
        </w:tc>
        <w:tc>
          <w:tcPr>
            <w:tcW w:w="666" w:type="dxa"/>
            <w:tcBorders>
              <w:top w:val="nil"/>
              <w:left w:val="nil"/>
              <w:bottom w:val="single" w:color="auto" w:sz="4" w:space="0"/>
              <w:right w:val="single" w:color="auto" w:sz="4" w:space="0"/>
            </w:tcBorders>
            <w:noWrap w:val="0"/>
            <w:vAlign w:val="center"/>
          </w:tcPr>
          <w:p w14:paraId="5E6D5260">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扣分</w:t>
            </w:r>
          </w:p>
        </w:tc>
        <w:tc>
          <w:tcPr>
            <w:tcW w:w="1694" w:type="dxa"/>
            <w:tcBorders>
              <w:top w:val="nil"/>
              <w:left w:val="nil"/>
              <w:bottom w:val="single" w:color="auto" w:sz="4" w:space="0"/>
              <w:right w:val="single" w:color="auto" w:sz="4" w:space="0"/>
            </w:tcBorders>
            <w:noWrap w:val="0"/>
            <w:vAlign w:val="center"/>
          </w:tcPr>
          <w:p w14:paraId="5E8A2084">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扣分原因</w:t>
            </w:r>
          </w:p>
        </w:tc>
        <w:tc>
          <w:tcPr>
            <w:tcW w:w="733" w:type="dxa"/>
            <w:tcBorders>
              <w:top w:val="nil"/>
              <w:left w:val="nil"/>
              <w:bottom w:val="single" w:color="auto" w:sz="4" w:space="0"/>
              <w:right w:val="single" w:color="auto" w:sz="4" w:space="0"/>
            </w:tcBorders>
            <w:noWrap w:val="0"/>
            <w:vAlign w:val="center"/>
          </w:tcPr>
          <w:p w14:paraId="0CECBC02">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得分</w:t>
            </w:r>
          </w:p>
        </w:tc>
      </w:tr>
      <w:tr w14:paraId="407BA7B0">
        <w:tblPrEx>
          <w:tblCellMar>
            <w:top w:w="0" w:type="dxa"/>
            <w:left w:w="108" w:type="dxa"/>
            <w:bottom w:w="0" w:type="dxa"/>
            <w:right w:w="108" w:type="dxa"/>
          </w:tblCellMar>
        </w:tblPrEx>
        <w:trPr>
          <w:trHeight w:val="1179" w:hRule="atLeast"/>
          <w:jc w:val="center"/>
        </w:trPr>
        <w:tc>
          <w:tcPr>
            <w:tcW w:w="840" w:type="dxa"/>
            <w:vMerge w:val="restart"/>
            <w:tcBorders>
              <w:top w:val="nil"/>
              <w:left w:val="single" w:color="auto" w:sz="4" w:space="0"/>
              <w:bottom w:val="single" w:color="auto" w:sz="4" w:space="0"/>
              <w:right w:val="single" w:color="auto" w:sz="4" w:space="0"/>
            </w:tcBorders>
            <w:noWrap w:val="0"/>
            <w:vAlign w:val="center"/>
          </w:tcPr>
          <w:p w14:paraId="3A2E862E">
            <w:pPr>
              <w:jc w:val="center"/>
              <w:rPr>
                <w:rFonts w:hint="eastAsia" w:ascii="宋体" w:hAnsi="宋体" w:eastAsia="宋体" w:cs="宋体"/>
                <w:b/>
                <w:bCs/>
                <w:color w:val="auto"/>
                <w:sz w:val="22"/>
                <w:szCs w:val="22"/>
                <w:highlight w:val="none"/>
                <w:lang w:eastAsia="zh-CN"/>
              </w:rPr>
            </w:pPr>
          </w:p>
          <w:p w14:paraId="59505D0B">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食品消防安全（40分）</w:t>
            </w:r>
          </w:p>
        </w:tc>
        <w:tc>
          <w:tcPr>
            <w:tcW w:w="2694" w:type="dxa"/>
            <w:tcBorders>
              <w:top w:val="nil"/>
              <w:left w:val="nil"/>
              <w:bottom w:val="nil"/>
              <w:right w:val="single" w:color="auto" w:sz="4" w:space="0"/>
            </w:tcBorders>
            <w:noWrap w:val="0"/>
            <w:vAlign w:val="center"/>
          </w:tcPr>
          <w:p w14:paraId="404F54D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严格按照国家《食品卫生法》等相关法规经营、操作</w:t>
            </w:r>
          </w:p>
        </w:tc>
        <w:tc>
          <w:tcPr>
            <w:tcW w:w="586" w:type="dxa"/>
            <w:tcBorders>
              <w:top w:val="nil"/>
              <w:left w:val="nil"/>
              <w:bottom w:val="single" w:color="auto" w:sz="4" w:space="0"/>
              <w:right w:val="single" w:color="auto" w:sz="4" w:space="0"/>
            </w:tcBorders>
            <w:noWrap w:val="0"/>
            <w:vAlign w:val="center"/>
          </w:tcPr>
          <w:p w14:paraId="497EBCC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2654" w:type="dxa"/>
            <w:tcBorders>
              <w:top w:val="nil"/>
              <w:left w:val="nil"/>
              <w:bottom w:val="single" w:color="auto" w:sz="4" w:space="0"/>
              <w:right w:val="single" w:color="auto" w:sz="4" w:space="0"/>
            </w:tcBorders>
            <w:noWrap w:val="0"/>
            <w:vAlign w:val="center"/>
          </w:tcPr>
          <w:p w14:paraId="0780491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未按照国家相关规定经营、操作，一次一项扣1分，扣完为止</w:t>
            </w:r>
          </w:p>
        </w:tc>
        <w:tc>
          <w:tcPr>
            <w:tcW w:w="666" w:type="dxa"/>
            <w:tcBorders>
              <w:top w:val="nil"/>
              <w:left w:val="nil"/>
              <w:bottom w:val="single" w:color="auto" w:sz="4" w:space="0"/>
              <w:right w:val="single" w:color="auto" w:sz="4" w:space="0"/>
            </w:tcBorders>
            <w:noWrap w:val="0"/>
            <w:vAlign w:val="center"/>
          </w:tcPr>
          <w:p w14:paraId="545FD59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center"/>
          </w:tcPr>
          <w:p w14:paraId="3C86B00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733" w:type="dxa"/>
            <w:tcBorders>
              <w:top w:val="nil"/>
              <w:left w:val="nil"/>
              <w:bottom w:val="single" w:color="auto" w:sz="4" w:space="0"/>
              <w:right w:val="single" w:color="auto" w:sz="4" w:space="0"/>
            </w:tcBorders>
            <w:noWrap w:val="0"/>
            <w:vAlign w:val="center"/>
          </w:tcPr>
          <w:p w14:paraId="5721C76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4958F9C5">
        <w:tblPrEx>
          <w:tblCellMar>
            <w:top w:w="0" w:type="dxa"/>
            <w:left w:w="108" w:type="dxa"/>
            <w:bottom w:w="0" w:type="dxa"/>
            <w:right w:w="108" w:type="dxa"/>
          </w:tblCellMar>
        </w:tblPrEx>
        <w:trPr>
          <w:trHeight w:val="991" w:hRule="atLeast"/>
          <w:jc w:val="center"/>
        </w:trPr>
        <w:tc>
          <w:tcPr>
            <w:tcW w:w="840" w:type="dxa"/>
            <w:vMerge w:val="continue"/>
            <w:tcBorders>
              <w:top w:val="nil"/>
              <w:left w:val="single" w:color="auto" w:sz="4" w:space="0"/>
              <w:bottom w:val="single" w:color="auto" w:sz="4" w:space="0"/>
              <w:right w:val="single" w:color="auto" w:sz="4" w:space="0"/>
            </w:tcBorders>
            <w:noWrap w:val="0"/>
            <w:vAlign w:val="center"/>
          </w:tcPr>
          <w:p w14:paraId="643690D7">
            <w:pPr>
              <w:rPr>
                <w:rFonts w:hint="eastAsia" w:ascii="宋体" w:hAnsi="宋体" w:eastAsia="宋体" w:cs="宋体"/>
                <w:b/>
                <w:bCs/>
                <w:color w:val="auto"/>
                <w:sz w:val="22"/>
                <w:szCs w:val="22"/>
                <w:highlight w:val="none"/>
              </w:rPr>
            </w:pPr>
          </w:p>
        </w:tc>
        <w:tc>
          <w:tcPr>
            <w:tcW w:w="2694" w:type="dxa"/>
            <w:tcBorders>
              <w:top w:val="single" w:color="auto" w:sz="4" w:space="0"/>
              <w:left w:val="nil"/>
              <w:bottom w:val="nil"/>
              <w:right w:val="single" w:color="auto" w:sz="4" w:space="0"/>
            </w:tcBorders>
            <w:noWrap w:val="0"/>
            <w:vAlign w:val="center"/>
          </w:tcPr>
          <w:p w14:paraId="447DD8E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物资采购必须符合要求，采购渠道正规并定期在食堂公布有关合格证</w:t>
            </w:r>
          </w:p>
        </w:tc>
        <w:tc>
          <w:tcPr>
            <w:tcW w:w="586" w:type="dxa"/>
            <w:tcBorders>
              <w:top w:val="nil"/>
              <w:left w:val="nil"/>
              <w:bottom w:val="single" w:color="auto" w:sz="4" w:space="0"/>
              <w:right w:val="single" w:color="auto" w:sz="4" w:space="0"/>
            </w:tcBorders>
            <w:noWrap w:val="0"/>
            <w:vAlign w:val="center"/>
          </w:tcPr>
          <w:p w14:paraId="698B099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654" w:type="dxa"/>
            <w:tcBorders>
              <w:top w:val="nil"/>
              <w:left w:val="nil"/>
              <w:bottom w:val="single" w:color="auto" w:sz="4" w:space="0"/>
              <w:right w:val="single" w:color="auto" w:sz="4" w:space="0"/>
            </w:tcBorders>
            <w:noWrap w:val="0"/>
            <w:vAlign w:val="center"/>
          </w:tcPr>
          <w:p w14:paraId="3A1E86C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采购渠道正规（有无三证），无扣1分；发现有采购、食品变质、过期食品扣2分，扣完为止</w:t>
            </w:r>
          </w:p>
        </w:tc>
        <w:tc>
          <w:tcPr>
            <w:tcW w:w="666" w:type="dxa"/>
            <w:tcBorders>
              <w:top w:val="nil"/>
              <w:left w:val="nil"/>
              <w:bottom w:val="single" w:color="auto" w:sz="4" w:space="0"/>
              <w:right w:val="single" w:color="auto" w:sz="4" w:space="0"/>
            </w:tcBorders>
            <w:noWrap w:val="0"/>
            <w:vAlign w:val="center"/>
          </w:tcPr>
          <w:p w14:paraId="31FEF36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center"/>
          </w:tcPr>
          <w:p w14:paraId="7E68C29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tcBorders>
              <w:top w:val="nil"/>
              <w:left w:val="nil"/>
              <w:bottom w:val="single" w:color="auto" w:sz="4" w:space="0"/>
              <w:right w:val="single" w:color="auto" w:sz="4" w:space="0"/>
            </w:tcBorders>
            <w:noWrap w:val="0"/>
            <w:vAlign w:val="center"/>
          </w:tcPr>
          <w:p w14:paraId="2A0603A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69B392E4">
        <w:tblPrEx>
          <w:tblCellMar>
            <w:top w:w="0" w:type="dxa"/>
            <w:left w:w="108" w:type="dxa"/>
            <w:bottom w:w="0" w:type="dxa"/>
            <w:right w:w="108" w:type="dxa"/>
          </w:tblCellMar>
        </w:tblPrEx>
        <w:trPr>
          <w:trHeight w:val="836" w:hRule="atLeast"/>
          <w:jc w:val="center"/>
        </w:trPr>
        <w:tc>
          <w:tcPr>
            <w:tcW w:w="840" w:type="dxa"/>
            <w:vMerge w:val="continue"/>
            <w:tcBorders>
              <w:top w:val="nil"/>
              <w:left w:val="single" w:color="auto" w:sz="4" w:space="0"/>
              <w:bottom w:val="single" w:color="auto" w:sz="4" w:space="0"/>
              <w:right w:val="single" w:color="auto" w:sz="4" w:space="0"/>
            </w:tcBorders>
            <w:noWrap w:val="0"/>
            <w:vAlign w:val="center"/>
          </w:tcPr>
          <w:p w14:paraId="5BFF45D5">
            <w:pPr>
              <w:rPr>
                <w:rFonts w:hint="eastAsia" w:ascii="宋体" w:hAnsi="宋体" w:eastAsia="宋体" w:cs="宋体"/>
                <w:b/>
                <w:bCs/>
                <w:color w:val="auto"/>
                <w:sz w:val="22"/>
                <w:szCs w:val="22"/>
                <w:highlight w:val="none"/>
              </w:rPr>
            </w:pPr>
          </w:p>
        </w:tc>
        <w:tc>
          <w:tcPr>
            <w:tcW w:w="2694" w:type="dxa"/>
            <w:tcBorders>
              <w:top w:val="single" w:color="auto" w:sz="4" w:space="0"/>
              <w:left w:val="nil"/>
              <w:bottom w:val="nil"/>
              <w:right w:val="single" w:color="auto" w:sz="4" w:space="0"/>
            </w:tcBorders>
            <w:noWrap w:val="0"/>
            <w:vAlign w:val="center"/>
          </w:tcPr>
          <w:p w14:paraId="62EEB00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食堂禁止使用腐烂和变质的食材</w:t>
            </w:r>
          </w:p>
        </w:tc>
        <w:tc>
          <w:tcPr>
            <w:tcW w:w="586" w:type="dxa"/>
            <w:tcBorders>
              <w:top w:val="nil"/>
              <w:left w:val="nil"/>
              <w:bottom w:val="single" w:color="auto" w:sz="4" w:space="0"/>
              <w:right w:val="single" w:color="auto" w:sz="4" w:space="0"/>
            </w:tcBorders>
            <w:noWrap w:val="0"/>
            <w:vAlign w:val="center"/>
          </w:tcPr>
          <w:p w14:paraId="6B97758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2654" w:type="dxa"/>
            <w:tcBorders>
              <w:top w:val="nil"/>
              <w:left w:val="nil"/>
              <w:bottom w:val="single" w:color="auto" w:sz="4" w:space="0"/>
              <w:right w:val="single" w:color="auto" w:sz="4" w:space="0"/>
            </w:tcBorders>
            <w:noWrap w:val="0"/>
            <w:vAlign w:val="center"/>
          </w:tcPr>
          <w:p w14:paraId="5DFF3D1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每发现采购、食品变质、过期的食品1次扣2分，扣完为止</w:t>
            </w:r>
          </w:p>
        </w:tc>
        <w:tc>
          <w:tcPr>
            <w:tcW w:w="666" w:type="dxa"/>
            <w:tcBorders>
              <w:top w:val="nil"/>
              <w:left w:val="nil"/>
              <w:bottom w:val="single" w:color="auto" w:sz="4" w:space="0"/>
              <w:right w:val="single" w:color="auto" w:sz="4" w:space="0"/>
            </w:tcBorders>
            <w:noWrap w:val="0"/>
            <w:vAlign w:val="center"/>
          </w:tcPr>
          <w:p w14:paraId="1F6C232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center"/>
          </w:tcPr>
          <w:p w14:paraId="58CB755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tcBorders>
              <w:top w:val="nil"/>
              <w:left w:val="nil"/>
              <w:bottom w:val="single" w:color="auto" w:sz="4" w:space="0"/>
              <w:right w:val="single" w:color="auto" w:sz="4" w:space="0"/>
            </w:tcBorders>
            <w:noWrap w:val="0"/>
            <w:vAlign w:val="center"/>
          </w:tcPr>
          <w:p w14:paraId="10CB34F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2FAFD1CA">
        <w:tblPrEx>
          <w:tblCellMar>
            <w:top w:w="0" w:type="dxa"/>
            <w:left w:w="108" w:type="dxa"/>
            <w:bottom w:w="0" w:type="dxa"/>
            <w:right w:w="108" w:type="dxa"/>
          </w:tblCellMar>
        </w:tblPrEx>
        <w:trPr>
          <w:trHeight w:val="693" w:hRule="atLeast"/>
          <w:jc w:val="center"/>
        </w:trPr>
        <w:tc>
          <w:tcPr>
            <w:tcW w:w="840" w:type="dxa"/>
            <w:vMerge w:val="continue"/>
            <w:tcBorders>
              <w:top w:val="nil"/>
              <w:left w:val="single" w:color="auto" w:sz="4" w:space="0"/>
              <w:bottom w:val="single" w:color="auto" w:sz="4" w:space="0"/>
              <w:right w:val="single" w:color="auto" w:sz="4" w:space="0"/>
            </w:tcBorders>
            <w:noWrap w:val="0"/>
            <w:vAlign w:val="center"/>
          </w:tcPr>
          <w:p w14:paraId="7A60C90D">
            <w:pPr>
              <w:rPr>
                <w:rFonts w:hint="eastAsia" w:ascii="宋体" w:hAnsi="宋体" w:eastAsia="宋体" w:cs="宋体"/>
                <w:b/>
                <w:bCs/>
                <w:color w:val="auto"/>
                <w:sz w:val="22"/>
                <w:szCs w:val="22"/>
                <w:highlight w:val="none"/>
              </w:rPr>
            </w:pPr>
          </w:p>
        </w:tc>
        <w:tc>
          <w:tcPr>
            <w:tcW w:w="2694" w:type="dxa"/>
            <w:tcBorders>
              <w:top w:val="single" w:color="auto" w:sz="4" w:space="0"/>
              <w:left w:val="nil"/>
              <w:bottom w:val="nil"/>
              <w:right w:val="single" w:color="auto" w:sz="4" w:space="0"/>
            </w:tcBorders>
            <w:noWrap w:val="0"/>
            <w:vAlign w:val="center"/>
          </w:tcPr>
          <w:p w14:paraId="03F817E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各类食材按要求分类放置，严禁存放腐烂变质过期食物</w:t>
            </w:r>
          </w:p>
        </w:tc>
        <w:tc>
          <w:tcPr>
            <w:tcW w:w="586" w:type="dxa"/>
            <w:tcBorders>
              <w:top w:val="nil"/>
              <w:left w:val="nil"/>
              <w:bottom w:val="single" w:color="auto" w:sz="4" w:space="0"/>
              <w:right w:val="single" w:color="auto" w:sz="4" w:space="0"/>
            </w:tcBorders>
            <w:noWrap w:val="0"/>
            <w:vAlign w:val="center"/>
          </w:tcPr>
          <w:p w14:paraId="1170366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654" w:type="dxa"/>
            <w:tcBorders>
              <w:top w:val="nil"/>
              <w:left w:val="nil"/>
              <w:bottom w:val="single" w:color="auto" w:sz="4" w:space="0"/>
              <w:right w:val="single" w:color="auto" w:sz="4" w:space="0"/>
            </w:tcBorders>
            <w:noWrap w:val="0"/>
            <w:vAlign w:val="center"/>
          </w:tcPr>
          <w:p w14:paraId="24F326B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不符合项1次扣2分，扣完为止</w:t>
            </w:r>
          </w:p>
        </w:tc>
        <w:tc>
          <w:tcPr>
            <w:tcW w:w="666" w:type="dxa"/>
            <w:tcBorders>
              <w:top w:val="nil"/>
              <w:left w:val="nil"/>
              <w:bottom w:val="single" w:color="auto" w:sz="4" w:space="0"/>
              <w:right w:val="single" w:color="auto" w:sz="4" w:space="0"/>
            </w:tcBorders>
            <w:noWrap w:val="0"/>
            <w:vAlign w:val="center"/>
          </w:tcPr>
          <w:p w14:paraId="351190D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center"/>
          </w:tcPr>
          <w:p w14:paraId="7134EE6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tcBorders>
              <w:top w:val="nil"/>
              <w:left w:val="nil"/>
              <w:bottom w:val="single" w:color="auto" w:sz="4" w:space="0"/>
              <w:right w:val="single" w:color="auto" w:sz="4" w:space="0"/>
            </w:tcBorders>
            <w:noWrap w:val="0"/>
            <w:vAlign w:val="center"/>
          </w:tcPr>
          <w:p w14:paraId="3CF3BFF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642AC187">
        <w:tblPrEx>
          <w:tblCellMar>
            <w:top w:w="0" w:type="dxa"/>
            <w:left w:w="108" w:type="dxa"/>
            <w:bottom w:w="0" w:type="dxa"/>
            <w:right w:w="108" w:type="dxa"/>
          </w:tblCellMar>
        </w:tblPrEx>
        <w:trPr>
          <w:trHeight w:val="560" w:hRule="atLeast"/>
          <w:jc w:val="center"/>
        </w:trPr>
        <w:tc>
          <w:tcPr>
            <w:tcW w:w="840" w:type="dxa"/>
            <w:vMerge w:val="continue"/>
            <w:tcBorders>
              <w:top w:val="nil"/>
              <w:left w:val="single" w:color="auto" w:sz="4" w:space="0"/>
              <w:bottom w:val="single" w:color="auto" w:sz="4" w:space="0"/>
              <w:right w:val="single" w:color="auto" w:sz="4" w:space="0"/>
            </w:tcBorders>
            <w:noWrap w:val="0"/>
            <w:vAlign w:val="center"/>
          </w:tcPr>
          <w:p w14:paraId="385625F7">
            <w:pPr>
              <w:rPr>
                <w:rFonts w:hint="eastAsia" w:ascii="宋体" w:hAnsi="宋体" w:eastAsia="宋体" w:cs="宋体"/>
                <w:b/>
                <w:bCs/>
                <w:color w:val="auto"/>
                <w:sz w:val="22"/>
                <w:szCs w:val="22"/>
                <w:highlight w:val="none"/>
              </w:rPr>
            </w:pPr>
          </w:p>
        </w:tc>
        <w:tc>
          <w:tcPr>
            <w:tcW w:w="2694" w:type="dxa"/>
            <w:tcBorders>
              <w:top w:val="single" w:color="auto" w:sz="4" w:space="0"/>
              <w:left w:val="nil"/>
              <w:bottom w:val="nil"/>
              <w:right w:val="single" w:color="auto" w:sz="4" w:space="0"/>
            </w:tcBorders>
            <w:noWrap w:val="0"/>
            <w:vAlign w:val="center"/>
          </w:tcPr>
          <w:p w14:paraId="388BF55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如发生食物中毒现象，一票否决</w:t>
            </w:r>
          </w:p>
        </w:tc>
        <w:tc>
          <w:tcPr>
            <w:tcW w:w="586" w:type="dxa"/>
            <w:tcBorders>
              <w:top w:val="nil"/>
              <w:left w:val="nil"/>
              <w:bottom w:val="single" w:color="auto" w:sz="4" w:space="0"/>
              <w:right w:val="single" w:color="auto" w:sz="4" w:space="0"/>
            </w:tcBorders>
            <w:noWrap w:val="0"/>
            <w:vAlign w:val="center"/>
          </w:tcPr>
          <w:p w14:paraId="2393A21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654" w:type="dxa"/>
            <w:tcBorders>
              <w:top w:val="nil"/>
              <w:left w:val="nil"/>
              <w:bottom w:val="single" w:color="auto" w:sz="4" w:space="0"/>
              <w:right w:val="single" w:color="auto" w:sz="4" w:space="0"/>
            </w:tcBorders>
            <w:noWrap w:val="0"/>
            <w:vAlign w:val="center"/>
          </w:tcPr>
          <w:p w14:paraId="5D0AC46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发生食物中毒一票否决</w:t>
            </w:r>
          </w:p>
        </w:tc>
        <w:tc>
          <w:tcPr>
            <w:tcW w:w="666" w:type="dxa"/>
            <w:tcBorders>
              <w:top w:val="nil"/>
              <w:left w:val="nil"/>
              <w:bottom w:val="single" w:color="auto" w:sz="4" w:space="0"/>
              <w:right w:val="single" w:color="auto" w:sz="4" w:space="0"/>
            </w:tcBorders>
            <w:noWrap w:val="0"/>
            <w:vAlign w:val="center"/>
          </w:tcPr>
          <w:p w14:paraId="7A0DA3D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center"/>
          </w:tcPr>
          <w:p w14:paraId="4CB6B3A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tcBorders>
              <w:top w:val="nil"/>
              <w:left w:val="nil"/>
              <w:bottom w:val="single" w:color="auto" w:sz="4" w:space="0"/>
              <w:right w:val="single" w:color="auto" w:sz="4" w:space="0"/>
            </w:tcBorders>
            <w:noWrap w:val="0"/>
            <w:vAlign w:val="center"/>
          </w:tcPr>
          <w:p w14:paraId="5EE7F27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36D18EE9">
        <w:tblPrEx>
          <w:tblCellMar>
            <w:top w:w="0" w:type="dxa"/>
            <w:left w:w="108" w:type="dxa"/>
            <w:bottom w:w="0" w:type="dxa"/>
            <w:right w:w="108" w:type="dxa"/>
          </w:tblCellMar>
        </w:tblPrEx>
        <w:trPr>
          <w:trHeight w:val="413" w:hRule="atLeast"/>
          <w:jc w:val="center"/>
        </w:trPr>
        <w:tc>
          <w:tcPr>
            <w:tcW w:w="840" w:type="dxa"/>
            <w:vMerge w:val="continue"/>
            <w:tcBorders>
              <w:top w:val="nil"/>
              <w:left w:val="single" w:color="auto" w:sz="4" w:space="0"/>
              <w:bottom w:val="single" w:color="auto" w:sz="4" w:space="0"/>
              <w:right w:val="single" w:color="auto" w:sz="4" w:space="0"/>
            </w:tcBorders>
            <w:noWrap w:val="0"/>
            <w:vAlign w:val="center"/>
          </w:tcPr>
          <w:p w14:paraId="558008E4">
            <w:pPr>
              <w:rPr>
                <w:rFonts w:hint="eastAsia" w:ascii="宋体" w:hAnsi="宋体" w:eastAsia="宋体" w:cs="宋体"/>
                <w:b/>
                <w:bCs/>
                <w:color w:val="auto"/>
                <w:sz w:val="22"/>
                <w:szCs w:val="22"/>
                <w:highlight w:val="none"/>
              </w:rPr>
            </w:pPr>
          </w:p>
        </w:tc>
        <w:tc>
          <w:tcPr>
            <w:tcW w:w="2694" w:type="dxa"/>
            <w:tcBorders>
              <w:top w:val="single" w:color="auto" w:sz="4" w:space="0"/>
              <w:left w:val="nil"/>
              <w:bottom w:val="single" w:color="auto" w:sz="4" w:space="0"/>
              <w:right w:val="single" w:color="auto" w:sz="4" w:space="0"/>
            </w:tcBorders>
            <w:noWrap w:val="0"/>
            <w:vAlign w:val="center"/>
          </w:tcPr>
          <w:p w14:paraId="17D34EB4">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做好消防安全防范工作</w:t>
            </w:r>
          </w:p>
        </w:tc>
        <w:tc>
          <w:tcPr>
            <w:tcW w:w="586" w:type="dxa"/>
            <w:tcBorders>
              <w:top w:val="nil"/>
              <w:left w:val="nil"/>
              <w:bottom w:val="single" w:color="auto" w:sz="4" w:space="0"/>
              <w:right w:val="single" w:color="auto" w:sz="4" w:space="0"/>
            </w:tcBorders>
            <w:noWrap w:val="0"/>
            <w:vAlign w:val="center"/>
          </w:tcPr>
          <w:p w14:paraId="0732120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654" w:type="dxa"/>
            <w:tcBorders>
              <w:top w:val="nil"/>
              <w:left w:val="nil"/>
              <w:bottom w:val="single" w:color="auto" w:sz="4" w:space="0"/>
              <w:right w:val="single" w:color="auto" w:sz="4" w:space="0"/>
            </w:tcBorders>
            <w:noWrap w:val="0"/>
            <w:vAlign w:val="center"/>
          </w:tcPr>
          <w:p w14:paraId="347D9CA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不符合项1次扣5分，扣完为止</w:t>
            </w:r>
          </w:p>
        </w:tc>
        <w:tc>
          <w:tcPr>
            <w:tcW w:w="666" w:type="dxa"/>
            <w:tcBorders>
              <w:top w:val="nil"/>
              <w:left w:val="nil"/>
              <w:bottom w:val="single" w:color="auto" w:sz="4" w:space="0"/>
              <w:right w:val="single" w:color="auto" w:sz="4" w:space="0"/>
            </w:tcBorders>
            <w:noWrap w:val="0"/>
            <w:vAlign w:val="center"/>
          </w:tcPr>
          <w:p w14:paraId="751BCE5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center"/>
          </w:tcPr>
          <w:p w14:paraId="3B98B9F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tcBorders>
              <w:top w:val="nil"/>
              <w:left w:val="nil"/>
              <w:bottom w:val="single" w:color="auto" w:sz="4" w:space="0"/>
              <w:right w:val="single" w:color="auto" w:sz="4" w:space="0"/>
            </w:tcBorders>
            <w:noWrap w:val="0"/>
            <w:vAlign w:val="center"/>
          </w:tcPr>
          <w:p w14:paraId="2B920ED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3F508B91">
        <w:tblPrEx>
          <w:tblCellMar>
            <w:top w:w="0" w:type="dxa"/>
            <w:left w:w="108" w:type="dxa"/>
            <w:bottom w:w="0" w:type="dxa"/>
            <w:right w:w="108" w:type="dxa"/>
          </w:tblCellMar>
        </w:tblPrEx>
        <w:trPr>
          <w:trHeight w:val="1072" w:hRule="atLeas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4069389C">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服务</w:t>
            </w:r>
          </w:p>
          <w:p w14:paraId="5D208DCA">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质量 （13分）</w:t>
            </w:r>
          </w:p>
        </w:tc>
        <w:tc>
          <w:tcPr>
            <w:tcW w:w="2694" w:type="dxa"/>
            <w:tcBorders>
              <w:top w:val="nil"/>
              <w:left w:val="single" w:color="auto" w:sz="4" w:space="0"/>
              <w:bottom w:val="single" w:color="auto" w:sz="4" w:space="0"/>
              <w:right w:val="single" w:color="auto" w:sz="4" w:space="0"/>
            </w:tcBorders>
            <w:noWrap w:val="0"/>
            <w:vAlign w:val="center"/>
          </w:tcPr>
          <w:p w14:paraId="157FDC7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食堂员工要保持良好的个人卫生，定期进行体格检验，并取得体检健康证（持证上岗率100%）</w:t>
            </w:r>
          </w:p>
        </w:tc>
        <w:tc>
          <w:tcPr>
            <w:tcW w:w="586" w:type="dxa"/>
            <w:tcBorders>
              <w:top w:val="nil"/>
              <w:left w:val="nil"/>
              <w:bottom w:val="single" w:color="auto" w:sz="4" w:space="0"/>
              <w:right w:val="single" w:color="auto" w:sz="4" w:space="0"/>
            </w:tcBorders>
            <w:noWrap w:val="0"/>
            <w:vAlign w:val="center"/>
          </w:tcPr>
          <w:p w14:paraId="7A7E655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654" w:type="dxa"/>
            <w:tcBorders>
              <w:top w:val="nil"/>
              <w:left w:val="nil"/>
              <w:bottom w:val="single" w:color="auto" w:sz="4" w:space="0"/>
              <w:right w:val="single" w:color="auto" w:sz="4" w:space="0"/>
            </w:tcBorders>
            <w:noWrap w:val="0"/>
            <w:vAlign w:val="center"/>
          </w:tcPr>
          <w:p w14:paraId="22C45C4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定期检查、发现员工身体不健康，带有传染疾病或其他病症上岗每人次，扣1-3分。扣完为止</w:t>
            </w:r>
          </w:p>
        </w:tc>
        <w:tc>
          <w:tcPr>
            <w:tcW w:w="666" w:type="dxa"/>
            <w:tcBorders>
              <w:top w:val="nil"/>
              <w:left w:val="nil"/>
              <w:bottom w:val="single" w:color="auto" w:sz="4" w:space="0"/>
              <w:right w:val="single" w:color="auto" w:sz="4" w:space="0"/>
            </w:tcBorders>
            <w:noWrap w:val="0"/>
            <w:vAlign w:val="top"/>
          </w:tcPr>
          <w:p w14:paraId="321BB944">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top"/>
          </w:tcPr>
          <w:p w14:paraId="3556FE3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tcBorders>
              <w:top w:val="nil"/>
              <w:left w:val="nil"/>
              <w:bottom w:val="single" w:color="auto" w:sz="4" w:space="0"/>
              <w:right w:val="single" w:color="auto" w:sz="4" w:space="0"/>
            </w:tcBorders>
            <w:noWrap w:val="0"/>
            <w:vAlign w:val="top"/>
          </w:tcPr>
          <w:p w14:paraId="04FF077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3ADC3BC9">
        <w:tblPrEx>
          <w:tblCellMar>
            <w:top w:w="0" w:type="dxa"/>
            <w:left w:w="108" w:type="dxa"/>
            <w:bottom w:w="0" w:type="dxa"/>
            <w:right w:w="108" w:type="dxa"/>
          </w:tblCellMar>
        </w:tblPrEx>
        <w:trPr>
          <w:trHeight w:val="974"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0F06E0E">
            <w:pPr>
              <w:rPr>
                <w:rFonts w:hint="eastAsia" w:ascii="宋体" w:hAnsi="宋体" w:eastAsia="宋体" w:cs="宋体"/>
                <w:b/>
                <w:bCs/>
                <w:color w:val="auto"/>
                <w:sz w:val="22"/>
                <w:szCs w:val="22"/>
                <w:highlight w:val="none"/>
              </w:rPr>
            </w:pPr>
          </w:p>
        </w:tc>
        <w:tc>
          <w:tcPr>
            <w:tcW w:w="2694" w:type="dxa"/>
            <w:tcBorders>
              <w:top w:val="nil"/>
              <w:left w:val="single" w:color="auto" w:sz="4" w:space="0"/>
              <w:bottom w:val="single" w:color="auto" w:sz="4" w:space="0"/>
              <w:right w:val="single" w:color="auto" w:sz="4" w:space="0"/>
            </w:tcBorders>
            <w:noWrap w:val="0"/>
            <w:vAlign w:val="center"/>
          </w:tcPr>
          <w:p w14:paraId="2B72EFD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定期对员工进行业务培训，培训有计划有记录，记录清晰完整，不断提高业务水平和服务意识</w:t>
            </w:r>
          </w:p>
        </w:tc>
        <w:tc>
          <w:tcPr>
            <w:tcW w:w="586" w:type="dxa"/>
            <w:tcBorders>
              <w:top w:val="nil"/>
              <w:left w:val="nil"/>
              <w:bottom w:val="single" w:color="auto" w:sz="4" w:space="0"/>
              <w:right w:val="single" w:color="auto" w:sz="4" w:space="0"/>
            </w:tcBorders>
            <w:noWrap w:val="0"/>
            <w:vAlign w:val="center"/>
          </w:tcPr>
          <w:p w14:paraId="0EA4D2C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54" w:type="dxa"/>
            <w:tcBorders>
              <w:top w:val="nil"/>
              <w:left w:val="nil"/>
              <w:bottom w:val="single" w:color="auto" w:sz="4" w:space="0"/>
              <w:right w:val="single" w:color="auto" w:sz="4" w:space="0"/>
            </w:tcBorders>
            <w:noWrap w:val="0"/>
            <w:vAlign w:val="center"/>
          </w:tcPr>
          <w:p w14:paraId="5BBBD4A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无培训扣2分，培训无纪律，记录不完整一次一项扣0.5分，扣完为止</w:t>
            </w:r>
          </w:p>
        </w:tc>
        <w:tc>
          <w:tcPr>
            <w:tcW w:w="666" w:type="dxa"/>
            <w:tcBorders>
              <w:top w:val="nil"/>
              <w:left w:val="nil"/>
              <w:bottom w:val="single" w:color="auto" w:sz="4" w:space="0"/>
              <w:right w:val="single" w:color="auto" w:sz="4" w:space="0"/>
            </w:tcBorders>
            <w:noWrap w:val="0"/>
            <w:vAlign w:val="top"/>
          </w:tcPr>
          <w:p w14:paraId="231C5E3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top"/>
          </w:tcPr>
          <w:p w14:paraId="6D33A87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tcBorders>
              <w:top w:val="nil"/>
              <w:left w:val="nil"/>
              <w:bottom w:val="single" w:color="auto" w:sz="4" w:space="0"/>
              <w:right w:val="single" w:color="auto" w:sz="4" w:space="0"/>
            </w:tcBorders>
            <w:noWrap w:val="0"/>
            <w:vAlign w:val="top"/>
          </w:tcPr>
          <w:p w14:paraId="7CA4E49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6FACBD11">
        <w:tblPrEx>
          <w:tblCellMar>
            <w:top w:w="0" w:type="dxa"/>
            <w:left w:w="108" w:type="dxa"/>
            <w:bottom w:w="0" w:type="dxa"/>
            <w:right w:w="108" w:type="dxa"/>
          </w:tblCellMar>
        </w:tblPrEx>
        <w:trPr>
          <w:trHeight w:val="845"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A05622A">
            <w:pPr>
              <w:rPr>
                <w:rFonts w:hint="eastAsia" w:ascii="宋体" w:hAnsi="宋体" w:eastAsia="宋体" w:cs="宋体"/>
                <w:b/>
                <w:bCs/>
                <w:color w:val="auto"/>
                <w:sz w:val="22"/>
                <w:szCs w:val="22"/>
                <w:highlight w:val="none"/>
              </w:rPr>
            </w:pPr>
          </w:p>
        </w:tc>
        <w:tc>
          <w:tcPr>
            <w:tcW w:w="2694" w:type="dxa"/>
            <w:tcBorders>
              <w:top w:val="nil"/>
              <w:left w:val="single" w:color="auto" w:sz="4" w:space="0"/>
              <w:bottom w:val="single" w:color="auto" w:sz="4" w:space="0"/>
              <w:right w:val="single" w:color="auto" w:sz="4" w:space="0"/>
            </w:tcBorders>
            <w:noWrap w:val="0"/>
            <w:vAlign w:val="center"/>
          </w:tcPr>
          <w:p w14:paraId="31894E0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提供优质、热情的服务，严禁与医、护、患人员发生争吵、打架等不良行为</w:t>
            </w:r>
          </w:p>
        </w:tc>
        <w:tc>
          <w:tcPr>
            <w:tcW w:w="586" w:type="dxa"/>
            <w:tcBorders>
              <w:top w:val="nil"/>
              <w:left w:val="nil"/>
              <w:bottom w:val="single" w:color="auto" w:sz="4" w:space="0"/>
              <w:right w:val="single" w:color="auto" w:sz="4" w:space="0"/>
            </w:tcBorders>
            <w:noWrap w:val="0"/>
            <w:vAlign w:val="center"/>
          </w:tcPr>
          <w:p w14:paraId="29B6403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654" w:type="dxa"/>
            <w:tcBorders>
              <w:top w:val="nil"/>
              <w:left w:val="nil"/>
              <w:bottom w:val="single" w:color="auto" w:sz="4" w:space="0"/>
              <w:right w:val="single" w:color="auto" w:sz="4" w:space="0"/>
            </w:tcBorders>
            <w:noWrap w:val="0"/>
            <w:vAlign w:val="center"/>
          </w:tcPr>
          <w:p w14:paraId="61D380D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因服务质量或态度不好被投诉，经查属实每人次扣1分，扣完为止</w:t>
            </w:r>
          </w:p>
        </w:tc>
        <w:tc>
          <w:tcPr>
            <w:tcW w:w="666" w:type="dxa"/>
            <w:tcBorders>
              <w:top w:val="nil"/>
              <w:left w:val="nil"/>
              <w:bottom w:val="single" w:color="auto" w:sz="4" w:space="0"/>
              <w:right w:val="single" w:color="auto" w:sz="4" w:space="0"/>
            </w:tcBorders>
            <w:noWrap w:val="0"/>
            <w:vAlign w:val="top"/>
          </w:tcPr>
          <w:p w14:paraId="21B4709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top"/>
          </w:tcPr>
          <w:p w14:paraId="78E5902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tcBorders>
              <w:top w:val="nil"/>
              <w:left w:val="nil"/>
              <w:bottom w:val="single" w:color="auto" w:sz="4" w:space="0"/>
              <w:right w:val="single" w:color="auto" w:sz="4" w:space="0"/>
            </w:tcBorders>
            <w:noWrap w:val="0"/>
            <w:vAlign w:val="top"/>
          </w:tcPr>
          <w:p w14:paraId="330AF1D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7DC2892A">
        <w:tblPrEx>
          <w:tblCellMar>
            <w:top w:w="0" w:type="dxa"/>
            <w:left w:w="108" w:type="dxa"/>
            <w:bottom w:w="0" w:type="dxa"/>
            <w:right w:w="108" w:type="dxa"/>
          </w:tblCellMar>
        </w:tblPrEx>
        <w:trPr>
          <w:trHeight w:val="56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1B4EEFD">
            <w:pPr>
              <w:rPr>
                <w:rFonts w:hint="eastAsia" w:ascii="宋体" w:hAnsi="宋体" w:eastAsia="宋体" w:cs="宋体"/>
                <w:b/>
                <w:bCs/>
                <w:color w:val="auto"/>
                <w:sz w:val="22"/>
                <w:szCs w:val="22"/>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899B8E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保障职工特殊科室用餐中午误餐</w:t>
            </w:r>
          </w:p>
        </w:tc>
        <w:tc>
          <w:tcPr>
            <w:tcW w:w="586" w:type="dxa"/>
            <w:tcBorders>
              <w:top w:val="nil"/>
              <w:left w:val="nil"/>
              <w:bottom w:val="single" w:color="auto" w:sz="4" w:space="0"/>
              <w:right w:val="single" w:color="auto" w:sz="4" w:space="0"/>
            </w:tcBorders>
            <w:noWrap w:val="0"/>
            <w:vAlign w:val="center"/>
          </w:tcPr>
          <w:p w14:paraId="77776D1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654" w:type="dxa"/>
            <w:tcBorders>
              <w:top w:val="nil"/>
              <w:left w:val="nil"/>
              <w:bottom w:val="single" w:color="auto" w:sz="4" w:space="0"/>
              <w:right w:val="single" w:color="auto" w:sz="4" w:space="0"/>
            </w:tcBorders>
            <w:noWrap w:val="0"/>
            <w:vAlign w:val="center"/>
          </w:tcPr>
          <w:p w14:paraId="0584FA9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未保障1次扣0.5分，扣完为止</w:t>
            </w:r>
          </w:p>
        </w:tc>
        <w:tc>
          <w:tcPr>
            <w:tcW w:w="666" w:type="dxa"/>
            <w:tcBorders>
              <w:top w:val="nil"/>
              <w:left w:val="nil"/>
              <w:bottom w:val="single" w:color="auto" w:sz="4" w:space="0"/>
              <w:right w:val="single" w:color="auto" w:sz="4" w:space="0"/>
            </w:tcBorders>
            <w:noWrap w:val="0"/>
            <w:vAlign w:val="top"/>
          </w:tcPr>
          <w:p w14:paraId="1951917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nil"/>
              <w:left w:val="nil"/>
              <w:bottom w:val="single" w:color="auto" w:sz="4" w:space="0"/>
              <w:right w:val="single" w:color="auto" w:sz="4" w:space="0"/>
            </w:tcBorders>
            <w:noWrap w:val="0"/>
            <w:vAlign w:val="top"/>
          </w:tcPr>
          <w:p w14:paraId="4B0D153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tcBorders>
              <w:top w:val="nil"/>
              <w:left w:val="nil"/>
              <w:bottom w:val="single" w:color="auto" w:sz="4" w:space="0"/>
              <w:right w:val="single" w:color="auto" w:sz="4" w:space="0"/>
            </w:tcBorders>
            <w:noWrap w:val="0"/>
            <w:vAlign w:val="top"/>
          </w:tcPr>
          <w:p w14:paraId="36326C1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5666D3B6">
        <w:tblPrEx>
          <w:tblCellMar>
            <w:top w:w="0" w:type="dxa"/>
            <w:left w:w="108" w:type="dxa"/>
            <w:bottom w:w="0" w:type="dxa"/>
            <w:right w:w="108" w:type="dxa"/>
          </w:tblCellMar>
        </w:tblPrEx>
        <w:trPr>
          <w:trHeight w:val="1477" w:hRule="atLeas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41BE2F16">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环境</w:t>
            </w:r>
          </w:p>
          <w:p w14:paraId="14058699">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卫生（10分）</w:t>
            </w:r>
          </w:p>
        </w:tc>
        <w:tc>
          <w:tcPr>
            <w:tcW w:w="2694" w:type="dxa"/>
            <w:tcBorders>
              <w:top w:val="single" w:color="auto" w:sz="4" w:space="0"/>
              <w:left w:val="nil"/>
              <w:bottom w:val="single" w:color="auto" w:sz="4" w:space="0"/>
              <w:right w:val="single" w:color="auto" w:sz="4" w:space="0"/>
            </w:tcBorders>
            <w:noWrap w:val="0"/>
            <w:vAlign w:val="center"/>
          </w:tcPr>
          <w:p w14:paraId="70D6363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餐桌椅、地面、墙面及其他设施干净光亮卫生、无损坏，摆放整齐，定期消毒，无蚊虫和苍蝇；餐厅门窗有放蚊蝇门窗及措施</w:t>
            </w:r>
          </w:p>
        </w:tc>
        <w:tc>
          <w:tcPr>
            <w:tcW w:w="586" w:type="dxa"/>
            <w:tcBorders>
              <w:top w:val="single" w:color="auto" w:sz="4" w:space="0"/>
              <w:left w:val="single" w:color="auto" w:sz="4" w:space="0"/>
              <w:bottom w:val="single" w:color="auto" w:sz="4" w:space="0"/>
              <w:right w:val="single" w:color="auto" w:sz="4" w:space="0"/>
            </w:tcBorders>
            <w:noWrap w:val="0"/>
            <w:vAlign w:val="center"/>
          </w:tcPr>
          <w:p w14:paraId="2DEC8A5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654" w:type="dxa"/>
            <w:tcBorders>
              <w:top w:val="single" w:color="auto" w:sz="4" w:space="0"/>
              <w:left w:val="single" w:color="auto" w:sz="4" w:space="0"/>
              <w:bottom w:val="single" w:color="auto" w:sz="4" w:space="0"/>
              <w:right w:val="single" w:color="auto" w:sz="4" w:space="0"/>
            </w:tcBorders>
            <w:noWrap w:val="0"/>
            <w:vAlign w:val="center"/>
          </w:tcPr>
          <w:p w14:paraId="1DF1ACE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卖菜窗口有菜汁、油渍堆积一次一项扣0.5分；无防蚊蝇设备及措施扣1分，扣完为止</w:t>
            </w:r>
          </w:p>
        </w:tc>
        <w:tc>
          <w:tcPr>
            <w:tcW w:w="666" w:type="dxa"/>
            <w:vMerge w:val="restart"/>
            <w:tcBorders>
              <w:top w:val="single" w:color="auto" w:sz="4" w:space="0"/>
              <w:left w:val="single" w:color="auto" w:sz="4" w:space="0"/>
              <w:bottom w:val="single" w:color="auto" w:sz="4" w:space="0"/>
              <w:right w:val="single" w:color="auto" w:sz="4" w:space="0"/>
            </w:tcBorders>
            <w:noWrap w:val="0"/>
            <w:vAlign w:val="top"/>
          </w:tcPr>
          <w:p w14:paraId="0A5ADAF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vMerge w:val="restart"/>
            <w:tcBorders>
              <w:top w:val="single" w:color="auto" w:sz="4" w:space="0"/>
              <w:left w:val="single" w:color="auto" w:sz="4" w:space="0"/>
              <w:bottom w:val="single" w:color="auto" w:sz="4" w:space="0"/>
              <w:right w:val="single" w:color="auto" w:sz="4" w:space="0"/>
            </w:tcBorders>
            <w:noWrap w:val="0"/>
            <w:vAlign w:val="top"/>
          </w:tcPr>
          <w:p w14:paraId="2A3D71A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vMerge w:val="restart"/>
            <w:tcBorders>
              <w:top w:val="single" w:color="auto" w:sz="4" w:space="0"/>
              <w:left w:val="single" w:color="auto" w:sz="4" w:space="0"/>
              <w:bottom w:val="single" w:color="auto" w:sz="4" w:space="0"/>
              <w:right w:val="single" w:color="auto" w:sz="4" w:space="0"/>
            </w:tcBorders>
            <w:noWrap w:val="0"/>
            <w:vAlign w:val="top"/>
          </w:tcPr>
          <w:p w14:paraId="3BA00A8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25D7DEDB">
        <w:tblPrEx>
          <w:tblCellMar>
            <w:top w:w="0" w:type="dxa"/>
            <w:left w:w="108" w:type="dxa"/>
            <w:bottom w:w="0" w:type="dxa"/>
            <w:right w:w="108" w:type="dxa"/>
          </w:tblCellMar>
        </w:tblPrEx>
        <w:trPr>
          <w:trHeight w:val="817"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FEB3264">
            <w:pPr>
              <w:rPr>
                <w:rFonts w:hint="eastAsia" w:ascii="宋体" w:hAnsi="宋体" w:eastAsia="宋体" w:cs="宋体"/>
                <w:b/>
                <w:bCs/>
                <w:color w:val="auto"/>
                <w:sz w:val="22"/>
                <w:szCs w:val="22"/>
                <w:highlight w:val="none"/>
              </w:rPr>
            </w:pPr>
          </w:p>
        </w:tc>
        <w:tc>
          <w:tcPr>
            <w:tcW w:w="2694" w:type="dxa"/>
            <w:tcBorders>
              <w:top w:val="nil"/>
              <w:left w:val="nil"/>
              <w:bottom w:val="single" w:color="auto" w:sz="4" w:space="0"/>
              <w:right w:val="single" w:color="auto" w:sz="4" w:space="0"/>
            </w:tcBorders>
            <w:noWrap w:val="0"/>
            <w:vAlign w:val="center"/>
          </w:tcPr>
          <w:p w14:paraId="4417EC4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切配间、蒸煮间、大灶间、面点房等）要保持清洁卫生，定期保洁</w:t>
            </w:r>
          </w:p>
        </w:tc>
        <w:tc>
          <w:tcPr>
            <w:tcW w:w="586" w:type="dxa"/>
            <w:tcBorders>
              <w:top w:val="single" w:color="auto" w:sz="4" w:space="0"/>
              <w:left w:val="nil"/>
              <w:bottom w:val="single" w:color="auto" w:sz="4" w:space="0"/>
              <w:right w:val="single" w:color="auto" w:sz="4" w:space="0"/>
            </w:tcBorders>
            <w:noWrap w:val="0"/>
            <w:vAlign w:val="center"/>
          </w:tcPr>
          <w:p w14:paraId="55DBAB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654" w:type="dxa"/>
            <w:tcBorders>
              <w:top w:val="single" w:color="auto" w:sz="4" w:space="0"/>
              <w:left w:val="nil"/>
              <w:bottom w:val="single" w:color="auto" w:sz="4" w:space="0"/>
              <w:right w:val="single" w:color="auto" w:sz="4" w:space="0"/>
            </w:tcBorders>
            <w:noWrap w:val="0"/>
            <w:vAlign w:val="center"/>
          </w:tcPr>
          <w:p w14:paraId="5CF3899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未按规定进行清洁和定期保洁的一次一项扣0.5分,扣完为止</w:t>
            </w: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35D608F1">
            <w:pPr>
              <w:rPr>
                <w:rFonts w:hint="eastAsia" w:ascii="宋体" w:hAnsi="宋体" w:eastAsia="宋体" w:cs="宋体"/>
                <w:color w:val="auto"/>
                <w:sz w:val="22"/>
                <w:szCs w:val="22"/>
                <w:highlight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49F35027">
            <w:pPr>
              <w:rPr>
                <w:rFonts w:hint="eastAsia" w:ascii="宋体" w:hAnsi="宋体" w:eastAsia="宋体" w:cs="宋体"/>
                <w:color w:val="auto"/>
                <w:sz w:val="22"/>
                <w:szCs w:val="22"/>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0658F57">
            <w:pPr>
              <w:rPr>
                <w:rFonts w:hint="eastAsia" w:ascii="宋体" w:hAnsi="宋体" w:eastAsia="宋体" w:cs="宋体"/>
                <w:color w:val="auto"/>
                <w:sz w:val="22"/>
                <w:szCs w:val="22"/>
                <w:highlight w:val="none"/>
              </w:rPr>
            </w:pPr>
          </w:p>
        </w:tc>
      </w:tr>
      <w:tr w14:paraId="27923DAC">
        <w:tblPrEx>
          <w:tblCellMar>
            <w:top w:w="0" w:type="dxa"/>
            <w:left w:w="108" w:type="dxa"/>
            <w:bottom w:w="0" w:type="dxa"/>
            <w:right w:w="108" w:type="dxa"/>
          </w:tblCellMar>
        </w:tblPrEx>
        <w:trPr>
          <w:trHeight w:val="699" w:hRule="atLeas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7129826F">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食品</w:t>
            </w:r>
          </w:p>
          <w:p w14:paraId="49D71AB4">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价格（15分）</w:t>
            </w:r>
          </w:p>
        </w:tc>
        <w:tc>
          <w:tcPr>
            <w:tcW w:w="2694" w:type="dxa"/>
            <w:tcBorders>
              <w:top w:val="nil"/>
              <w:left w:val="nil"/>
              <w:bottom w:val="single" w:color="auto" w:sz="4" w:space="0"/>
              <w:right w:val="single" w:color="auto" w:sz="4" w:space="0"/>
            </w:tcBorders>
            <w:noWrap w:val="0"/>
            <w:vAlign w:val="center"/>
          </w:tcPr>
          <w:p w14:paraId="0BD4120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职工食堂经营的各种食品不得高于市场价格</w:t>
            </w:r>
          </w:p>
        </w:tc>
        <w:tc>
          <w:tcPr>
            <w:tcW w:w="586" w:type="dxa"/>
            <w:tcBorders>
              <w:top w:val="nil"/>
              <w:left w:val="nil"/>
              <w:bottom w:val="single" w:color="auto" w:sz="4" w:space="0"/>
              <w:right w:val="single" w:color="auto" w:sz="4" w:space="0"/>
            </w:tcBorders>
            <w:noWrap w:val="0"/>
            <w:vAlign w:val="center"/>
          </w:tcPr>
          <w:p w14:paraId="0B5A59B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654" w:type="dxa"/>
            <w:tcBorders>
              <w:top w:val="nil"/>
              <w:left w:val="nil"/>
              <w:bottom w:val="single" w:color="auto" w:sz="4" w:space="0"/>
              <w:right w:val="single" w:color="auto" w:sz="4" w:space="0"/>
            </w:tcBorders>
            <w:noWrap w:val="0"/>
            <w:vAlign w:val="center"/>
          </w:tcPr>
          <w:p w14:paraId="2A18427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食品价格未按规定标准执行，每发现一个品种扣1分，扣完为止</w:t>
            </w:r>
          </w:p>
        </w:tc>
        <w:tc>
          <w:tcPr>
            <w:tcW w:w="666" w:type="dxa"/>
            <w:vMerge w:val="restart"/>
            <w:tcBorders>
              <w:top w:val="single" w:color="auto" w:sz="4" w:space="0"/>
              <w:left w:val="single" w:color="auto" w:sz="4" w:space="0"/>
              <w:bottom w:val="single" w:color="auto" w:sz="4" w:space="0"/>
              <w:right w:val="single" w:color="auto" w:sz="4" w:space="0"/>
            </w:tcBorders>
            <w:noWrap w:val="0"/>
            <w:vAlign w:val="top"/>
          </w:tcPr>
          <w:p w14:paraId="2129FAA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vMerge w:val="restart"/>
            <w:tcBorders>
              <w:top w:val="single" w:color="auto" w:sz="4" w:space="0"/>
              <w:left w:val="single" w:color="auto" w:sz="4" w:space="0"/>
              <w:bottom w:val="single" w:color="auto" w:sz="4" w:space="0"/>
              <w:right w:val="single" w:color="auto" w:sz="4" w:space="0"/>
            </w:tcBorders>
            <w:noWrap w:val="0"/>
            <w:vAlign w:val="top"/>
          </w:tcPr>
          <w:p w14:paraId="03B87B0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vMerge w:val="restart"/>
            <w:tcBorders>
              <w:top w:val="single" w:color="auto" w:sz="4" w:space="0"/>
              <w:left w:val="single" w:color="auto" w:sz="4" w:space="0"/>
              <w:bottom w:val="single" w:color="auto" w:sz="4" w:space="0"/>
              <w:right w:val="single" w:color="auto" w:sz="4" w:space="0"/>
            </w:tcBorders>
            <w:noWrap w:val="0"/>
            <w:vAlign w:val="top"/>
          </w:tcPr>
          <w:p w14:paraId="65B78F1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416BF408">
        <w:tblPrEx>
          <w:tblCellMar>
            <w:top w:w="0" w:type="dxa"/>
            <w:left w:w="108" w:type="dxa"/>
            <w:bottom w:w="0" w:type="dxa"/>
            <w:right w:w="108" w:type="dxa"/>
          </w:tblCellMar>
        </w:tblPrEx>
        <w:trPr>
          <w:trHeight w:val="777"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D3A5BA8">
            <w:pPr>
              <w:rPr>
                <w:rFonts w:hint="eastAsia" w:ascii="宋体" w:hAnsi="宋体" w:eastAsia="宋体" w:cs="宋体"/>
                <w:b/>
                <w:bCs/>
                <w:color w:val="auto"/>
                <w:sz w:val="22"/>
                <w:szCs w:val="22"/>
                <w:highlight w:val="none"/>
              </w:rPr>
            </w:pPr>
          </w:p>
        </w:tc>
        <w:tc>
          <w:tcPr>
            <w:tcW w:w="2694" w:type="dxa"/>
            <w:tcBorders>
              <w:top w:val="nil"/>
              <w:left w:val="nil"/>
              <w:bottom w:val="single" w:color="auto" w:sz="4" w:space="0"/>
              <w:right w:val="single" w:color="auto" w:sz="4" w:space="0"/>
            </w:tcBorders>
            <w:noWrap w:val="0"/>
            <w:vAlign w:val="center"/>
          </w:tcPr>
          <w:p w14:paraId="56EFC27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病患</w:t>
            </w:r>
            <w:r>
              <w:rPr>
                <w:rFonts w:hint="eastAsia" w:ascii="宋体" w:hAnsi="宋体" w:eastAsia="宋体" w:cs="宋体"/>
                <w:color w:val="auto"/>
                <w:sz w:val="22"/>
                <w:szCs w:val="22"/>
                <w:highlight w:val="none"/>
              </w:rPr>
              <w:t>食堂的收费不得超过本地物价部门的规定的价格</w:t>
            </w:r>
          </w:p>
        </w:tc>
        <w:tc>
          <w:tcPr>
            <w:tcW w:w="586" w:type="dxa"/>
            <w:tcBorders>
              <w:top w:val="nil"/>
              <w:left w:val="nil"/>
              <w:bottom w:val="single" w:color="auto" w:sz="4" w:space="0"/>
              <w:right w:val="single" w:color="auto" w:sz="4" w:space="0"/>
            </w:tcBorders>
            <w:noWrap w:val="0"/>
            <w:vAlign w:val="center"/>
          </w:tcPr>
          <w:p w14:paraId="443D2C0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654" w:type="dxa"/>
            <w:tcBorders>
              <w:top w:val="nil"/>
              <w:left w:val="nil"/>
              <w:bottom w:val="single" w:color="auto" w:sz="4" w:space="0"/>
              <w:right w:val="single" w:color="auto" w:sz="4" w:space="0"/>
            </w:tcBorders>
            <w:noWrap w:val="0"/>
            <w:vAlign w:val="center"/>
          </w:tcPr>
          <w:p w14:paraId="188A8AA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食品价格未按规定标准执行，每发现一个品种扣1分，扣完为止</w:t>
            </w: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2B6BF0E3">
            <w:pPr>
              <w:rPr>
                <w:rFonts w:hint="eastAsia" w:ascii="宋体" w:hAnsi="宋体" w:eastAsia="宋体" w:cs="宋体"/>
                <w:color w:val="auto"/>
                <w:sz w:val="22"/>
                <w:szCs w:val="22"/>
                <w:highlight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34038B03">
            <w:pPr>
              <w:rPr>
                <w:rFonts w:hint="eastAsia" w:ascii="宋体" w:hAnsi="宋体" w:eastAsia="宋体" w:cs="宋体"/>
                <w:color w:val="auto"/>
                <w:sz w:val="22"/>
                <w:szCs w:val="22"/>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4BB9E69">
            <w:pPr>
              <w:rPr>
                <w:rFonts w:hint="eastAsia" w:ascii="宋体" w:hAnsi="宋体" w:eastAsia="宋体" w:cs="宋体"/>
                <w:color w:val="auto"/>
                <w:sz w:val="22"/>
                <w:szCs w:val="22"/>
                <w:highlight w:val="none"/>
              </w:rPr>
            </w:pPr>
          </w:p>
        </w:tc>
      </w:tr>
      <w:tr w14:paraId="1A6D1BE2">
        <w:tblPrEx>
          <w:tblCellMar>
            <w:top w:w="0" w:type="dxa"/>
            <w:left w:w="108" w:type="dxa"/>
            <w:bottom w:w="0" w:type="dxa"/>
            <w:right w:w="108" w:type="dxa"/>
          </w:tblCellMar>
        </w:tblPrEx>
        <w:trPr>
          <w:trHeight w:val="1388"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F90C5EE">
            <w:pPr>
              <w:rPr>
                <w:rFonts w:hint="eastAsia" w:ascii="宋体" w:hAnsi="宋体" w:eastAsia="宋体" w:cs="宋体"/>
                <w:b/>
                <w:bCs/>
                <w:color w:val="auto"/>
                <w:sz w:val="22"/>
                <w:szCs w:val="22"/>
                <w:highlight w:val="none"/>
              </w:rPr>
            </w:pPr>
          </w:p>
        </w:tc>
        <w:tc>
          <w:tcPr>
            <w:tcW w:w="2694" w:type="dxa"/>
            <w:tcBorders>
              <w:top w:val="nil"/>
              <w:left w:val="nil"/>
              <w:bottom w:val="single" w:color="auto" w:sz="4" w:space="0"/>
              <w:right w:val="single" w:color="auto" w:sz="4" w:space="0"/>
            </w:tcBorders>
            <w:noWrap w:val="0"/>
            <w:vAlign w:val="center"/>
          </w:tcPr>
          <w:p w14:paraId="636C796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擅自变更价格（饭菜及主食品价格由医院审定后确定，不准擅自上调价格。如上调可上报医院审批后执行）</w:t>
            </w:r>
          </w:p>
        </w:tc>
        <w:tc>
          <w:tcPr>
            <w:tcW w:w="586" w:type="dxa"/>
            <w:tcBorders>
              <w:top w:val="nil"/>
              <w:left w:val="nil"/>
              <w:bottom w:val="single" w:color="auto" w:sz="4" w:space="0"/>
              <w:right w:val="single" w:color="auto" w:sz="4" w:space="0"/>
            </w:tcBorders>
            <w:noWrap w:val="0"/>
            <w:vAlign w:val="center"/>
          </w:tcPr>
          <w:p w14:paraId="70CD2F0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654" w:type="dxa"/>
            <w:tcBorders>
              <w:top w:val="nil"/>
              <w:left w:val="nil"/>
              <w:bottom w:val="single" w:color="auto" w:sz="4" w:space="0"/>
              <w:right w:val="single" w:color="auto" w:sz="4" w:space="0"/>
            </w:tcBorders>
            <w:noWrap w:val="0"/>
            <w:vAlign w:val="center"/>
          </w:tcPr>
          <w:p w14:paraId="7C1AEFD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未通过医院擅自更改价格的一次扣完</w:t>
            </w: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6FCCD4BE">
            <w:pPr>
              <w:rPr>
                <w:rFonts w:hint="eastAsia" w:ascii="宋体" w:hAnsi="宋体" w:eastAsia="宋体" w:cs="宋体"/>
                <w:color w:val="auto"/>
                <w:sz w:val="22"/>
                <w:szCs w:val="22"/>
                <w:highlight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34270CB9">
            <w:pPr>
              <w:rPr>
                <w:rFonts w:hint="eastAsia" w:ascii="宋体" w:hAnsi="宋体" w:eastAsia="宋体" w:cs="宋体"/>
                <w:color w:val="auto"/>
                <w:sz w:val="22"/>
                <w:szCs w:val="22"/>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B79C064">
            <w:pPr>
              <w:rPr>
                <w:rFonts w:hint="eastAsia" w:ascii="宋体" w:hAnsi="宋体" w:eastAsia="宋体" w:cs="宋体"/>
                <w:color w:val="auto"/>
                <w:sz w:val="22"/>
                <w:szCs w:val="22"/>
                <w:highlight w:val="none"/>
              </w:rPr>
            </w:pPr>
          </w:p>
        </w:tc>
      </w:tr>
      <w:tr w14:paraId="546B5DBD">
        <w:tblPrEx>
          <w:tblCellMar>
            <w:top w:w="0" w:type="dxa"/>
            <w:left w:w="108" w:type="dxa"/>
            <w:bottom w:w="0" w:type="dxa"/>
            <w:right w:w="108" w:type="dxa"/>
          </w:tblCellMar>
        </w:tblPrEx>
        <w:trPr>
          <w:trHeight w:val="724" w:hRule="atLeas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4EF7E499">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规章</w:t>
            </w:r>
          </w:p>
          <w:p w14:paraId="6D15D376">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制度（10分）</w:t>
            </w:r>
          </w:p>
        </w:tc>
        <w:tc>
          <w:tcPr>
            <w:tcW w:w="2694" w:type="dxa"/>
            <w:tcBorders>
              <w:top w:val="nil"/>
              <w:left w:val="nil"/>
              <w:bottom w:val="single" w:color="auto" w:sz="4" w:space="0"/>
              <w:right w:val="single" w:color="auto" w:sz="4" w:space="0"/>
            </w:tcBorders>
            <w:noWrap w:val="0"/>
            <w:vAlign w:val="center"/>
          </w:tcPr>
          <w:p w14:paraId="5C985C0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合理配置膳食</w:t>
            </w:r>
          </w:p>
        </w:tc>
        <w:tc>
          <w:tcPr>
            <w:tcW w:w="586" w:type="dxa"/>
            <w:tcBorders>
              <w:top w:val="nil"/>
              <w:left w:val="nil"/>
              <w:bottom w:val="single" w:color="auto" w:sz="4" w:space="0"/>
              <w:right w:val="single" w:color="auto" w:sz="4" w:space="0"/>
            </w:tcBorders>
            <w:noWrap w:val="0"/>
            <w:vAlign w:val="center"/>
          </w:tcPr>
          <w:p w14:paraId="4B706EA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54" w:type="dxa"/>
            <w:tcBorders>
              <w:top w:val="nil"/>
              <w:left w:val="nil"/>
              <w:bottom w:val="single" w:color="auto" w:sz="4" w:space="0"/>
              <w:right w:val="single" w:color="auto" w:sz="4" w:space="0"/>
            </w:tcBorders>
            <w:noWrap w:val="0"/>
            <w:vAlign w:val="center"/>
          </w:tcPr>
          <w:p w14:paraId="1C98FF6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膳食配置不合理，一项一次扣0.5分，扣完为止</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14:paraId="11652B2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vMerge w:val="restart"/>
            <w:tcBorders>
              <w:top w:val="single" w:color="auto" w:sz="4" w:space="0"/>
              <w:left w:val="single" w:color="auto" w:sz="4" w:space="0"/>
              <w:bottom w:val="single" w:color="auto" w:sz="4" w:space="0"/>
              <w:right w:val="single" w:color="auto" w:sz="4" w:space="0"/>
            </w:tcBorders>
            <w:noWrap w:val="0"/>
            <w:vAlign w:val="center"/>
          </w:tcPr>
          <w:p w14:paraId="4422BA3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05B6EAF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3277709B">
        <w:tblPrEx>
          <w:tblCellMar>
            <w:top w:w="0" w:type="dxa"/>
            <w:left w:w="108" w:type="dxa"/>
            <w:bottom w:w="0" w:type="dxa"/>
            <w:right w:w="108" w:type="dxa"/>
          </w:tblCellMar>
        </w:tblPrEx>
        <w:trPr>
          <w:trHeight w:val="977"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7D5F4E5">
            <w:pPr>
              <w:rPr>
                <w:rFonts w:hint="eastAsia" w:ascii="宋体" w:hAnsi="宋体" w:eastAsia="宋体" w:cs="宋体"/>
                <w:b/>
                <w:bCs/>
                <w:color w:val="auto"/>
                <w:sz w:val="22"/>
                <w:szCs w:val="22"/>
                <w:highlight w:val="none"/>
              </w:rPr>
            </w:pPr>
          </w:p>
        </w:tc>
        <w:tc>
          <w:tcPr>
            <w:tcW w:w="2694" w:type="dxa"/>
            <w:tcBorders>
              <w:top w:val="nil"/>
              <w:left w:val="nil"/>
              <w:bottom w:val="single" w:color="auto" w:sz="4" w:space="0"/>
              <w:right w:val="single" w:color="auto" w:sz="4" w:space="0"/>
            </w:tcBorders>
            <w:noWrap w:val="0"/>
            <w:vAlign w:val="center"/>
          </w:tcPr>
          <w:p w14:paraId="367533E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对各类食品要留样，留样食品时间、品种、重量、留样人要有详细的记录</w:t>
            </w:r>
          </w:p>
        </w:tc>
        <w:tc>
          <w:tcPr>
            <w:tcW w:w="586" w:type="dxa"/>
            <w:tcBorders>
              <w:top w:val="nil"/>
              <w:left w:val="nil"/>
              <w:bottom w:val="single" w:color="auto" w:sz="4" w:space="0"/>
              <w:right w:val="single" w:color="auto" w:sz="4" w:space="0"/>
            </w:tcBorders>
            <w:noWrap w:val="0"/>
            <w:vAlign w:val="center"/>
          </w:tcPr>
          <w:p w14:paraId="163BA365">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2654" w:type="dxa"/>
            <w:tcBorders>
              <w:top w:val="nil"/>
              <w:left w:val="nil"/>
              <w:bottom w:val="single" w:color="auto" w:sz="4" w:space="0"/>
              <w:right w:val="single" w:color="auto" w:sz="4" w:space="0"/>
            </w:tcBorders>
            <w:noWrap w:val="0"/>
            <w:vAlign w:val="center"/>
          </w:tcPr>
          <w:p w14:paraId="38D8CFF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记录不全1次扣1分，无留样的扣完为止</w:t>
            </w: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510F800D">
            <w:pPr>
              <w:rPr>
                <w:rFonts w:hint="eastAsia" w:ascii="宋体" w:hAnsi="宋体" w:eastAsia="宋体" w:cs="宋体"/>
                <w:color w:val="auto"/>
                <w:sz w:val="22"/>
                <w:szCs w:val="22"/>
                <w:highlight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231DA747">
            <w:pPr>
              <w:rPr>
                <w:rFonts w:hint="eastAsia" w:ascii="宋体" w:hAnsi="宋体" w:eastAsia="宋体" w:cs="宋体"/>
                <w:color w:val="auto"/>
                <w:sz w:val="22"/>
                <w:szCs w:val="22"/>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A77D7EF">
            <w:pPr>
              <w:rPr>
                <w:rFonts w:hint="eastAsia" w:ascii="宋体" w:hAnsi="宋体" w:eastAsia="宋体" w:cs="宋体"/>
                <w:color w:val="auto"/>
                <w:sz w:val="22"/>
                <w:szCs w:val="22"/>
                <w:highlight w:val="none"/>
              </w:rPr>
            </w:pPr>
          </w:p>
        </w:tc>
      </w:tr>
      <w:tr w14:paraId="605C8214">
        <w:tblPrEx>
          <w:tblCellMar>
            <w:top w:w="0" w:type="dxa"/>
            <w:left w:w="108" w:type="dxa"/>
            <w:bottom w:w="0" w:type="dxa"/>
            <w:right w:w="108" w:type="dxa"/>
          </w:tblCellMar>
        </w:tblPrEx>
        <w:trPr>
          <w:trHeight w:val="531"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EC8EFB4">
            <w:pPr>
              <w:rPr>
                <w:rFonts w:hint="eastAsia" w:ascii="宋体" w:hAnsi="宋体" w:eastAsia="宋体" w:cs="宋体"/>
                <w:b/>
                <w:bCs/>
                <w:color w:val="auto"/>
                <w:sz w:val="22"/>
                <w:szCs w:val="22"/>
                <w:highlight w:val="none"/>
              </w:rPr>
            </w:pPr>
          </w:p>
        </w:tc>
        <w:tc>
          <w:tcPr>
            <w:tcW w:w="2694" w:type="dxa"/>
            <w:tcBorders>
              <w:top w:val="single" w:color="auto" w:sz="4" w:space="0"/>
              <w:left w:val="nil"/>
              <w:bottom w:val="single" w:color="auto" w:sz="4" w:space="0"/>
              <w:right w:val="single" w:color="auto" w:sz="4" w:space="0"/>
            </w:tcBorders>
            <w:noWrap w:val="0"/>
            <w:vAlign w:val="center"/>
          </w:tcPr>
          <w:p w14:paraId="1E053F6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每日公布栏菜品的价格和品种</w:t>
            </w:r>
          </w:p>
        </w:tc>
        <w:tc>
          <w:tcPr>
            <w:tcW w:w="586" w:type="dxa"/>
            <w:tcBorders>
              <w:top w:val="single" w:color="auto" w:sz="4" w:space="0"/>
              <w:left w:val="nil"/>
              <w:bottom w:val="single" w:color="auto" w:sz="4" w:space="0"/>
              <w:right w:val="single" w:color="auto" w:sz="4" w:space="0"/>
            </w:tcBorders>
            <w:noWrap w:val="0"/>
            <w:vAlign w:val="center"/>
          </w:tcPr>
          <w:p w14:paraId="59CAF84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654" w:type="dxa"/>
            <w:tcBorders>
              <w:top w:val="single" w:color="auto" w:sz="4" w:space="0"/>
              <w:left w:val="nil"/>
              <w:bottom w:val="single" w:color="auto" w:sz="4" w:space="0"/>
              <w:right w:val="single" w:color="auto" w:sz="4" w:space="0"/>
            </w:tcBorders>
            <w:noWrap w:val="0"/>
            <w:vAlign w:val="center"/>
          </w:tcPr>
          <w:p w14:paraId="7E46F2D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少公布一项扣1分，扣完为止</w:t>
            </w: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70FDDD10">
            <w:pPr>
              <w:rPr>
                <w:rFonts w:hint="eastAsia" w:ascii="宋体" w:hAnsi="宋体" w:eastAsia="宋体" w:cs="宋体"/>
                <w:color w:val="auto"/>
                <w:sz w:val="22"/>
                <w:szCs w:val="22"/>
                <w:highlight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241EAE89">
            <w:pPr>
              <w:rPr>
                <w:rFonts w:hint="eastAsia" w:ascii="宋体" w:hAnsi="宋体" w:eastAsia="宋体" w:cs="宋体"/>
                <w:color w:val="auto"/>
                <w:sz w:val="22"/>
                <w:szCs w:val="22"/>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0E01CD3">
            <w:pPr>
              <w:rPr>
                <w:rFonts w:hint="eastAsia" w:ascii="宋体" w:hAnsi="宋体" w:eastAsia="宋体" w:cs="宋体"/>
                <w:color w:val="auto"/>
                <w:sz w:val="22"/>
                <w:szCs w:val="22"/>
                <w:highlight w:val="none"/>
              </w:rPr>
            </w:pPr>
          </w:p>
        </w:tc>
      </w:tr>
      <w:tr w14:paraId="70AEA8AA">
        <w:tblPrEx>
          <w:tblCellMar>
            <w:top w:w="0" w:type="dxa"/>
            <w:left w:w="108" w:type="dxa"/>
            <w:bottom w:w="0" w:type="dxa"/>
            <w:right w:w="108" w:type="dxa"/>
          </w:tblCellMar>
        </w:tblPrEx>
        <w:trPr>
          <w:trHeight w:val="991" w:hRule="atLeas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2C50DE44">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餐具</w:t>
            </w:r>
          </w:p>
          <w:p w14:paraId="6A8578BC">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清洁</w:t>
            </w:r>
          </w:p>
          <w:p w14:paraId="07663917">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消毒（6分）</w:t>
            </w:r>
          </w:p>
        </w:tc>
        <w:tc>
          <w:tcPr>
            <w:tcW w:w="2694" w:type="dxa"/>
            <w:tcBorders>
              <w:top w:val="nil"/>
              <w:left w:val="nil"/>
              <w:bottom w:val="single" w:color="auto" w:sz="4" w:space="0"/>
              <w:right w:val="single" w:color="auto" w:sz="4" w:space="0"/>
            </w:tcBorders>
            <w:noWrap w:val="0"/>
            <w:vAlign w:val="center"/>
          </w:tcPr>
          <w:p w14:paraId="12CC75B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所有的碗筷及其他餐具每餐消毒符合标准要求，餐具清洗做到一洗、二刷、三冲、四消毒</w:t>
            </w:r>
          </w:p>
        </w:tc>
        <w:tc>
          <w:tcPr>
            <w:tcW w:w="586" w:type="dxa"/>
            <w:tcBorders>
              <w:top w:val="nil"/>
              <w:left w:val="nil"/>
              <w:bottom w:val="single" w:color="auto" w:sz="4" w:space="0"/>
              <w:right w:val="single" w:color="auto" w:sz="4" w:space="0"/>
            </w:tcBorders>
            <w:noWrap w:val="0"/>
            <w:vAlign w:val="center"/>
          </w:tcPr>
          <w:p w14:paraId="106958C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54" w:type="dxa"/>
            <w:tcBorders>
              <w:top w:val="nil"/>
              <w:left w:val="nil"/>
              <w:bottom w:val="single" w:color="auto" w:sz="4" w:space="0"/>
              <w:right w:val="single" w:color="auto" w:sz="4" w:space="0"/>
            </w:tcBorders>
            <w:noWrap w:val="0"/>
            <w:vAlign w:val="center"/>
          </w:tcPr>
          <w:p w14:paraId="78E34B7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未按规定操作，一次一项扣0.2；餐具有油迹、油污，未分类存放</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14:paraId="4C9ACDB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vMerge w:val="restart"/>
            <w:tcBorders>
              <w:top w:val="single" w:color="auto" w:sz="4" w:space="0"/>
              <w:left w:val="single" w:color="auto" w:sz="4" w:space="0"/>
              <w:bottom w:val="single" w:color="auto" w:sz="4" w:space="0"/>
              <w:right w:val="single" w:color="auto" w:sz="4" w:space="0"/>
            </w:tcBorders>
            <w:noWrap w:val="0"/>
            <w:vAlign w:val="center"/>
          </w:tcPr>
          <w:p w14:paraId="4C8B994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58F8CF6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0633754B">
        <w:tblPrEx>
          <w:tblCellMar>
            <w:top w:w="0" w:type="dxa"/>
            <w:left w:w="108" w:type="dxa"/>
            <w:bottom w:w="0" w:type="dxa"/>
            <w:right w:w="108" w:type="dxa"/>
          </w:tblCellMar>
        </w:tblPrEx>
        <w:trPr>
          <w:trHeight w:val="83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810CA33">
            <w:pPr>
              <w:rPr>
                <w:rFonts w:hint="eastAsia" w:ascii="宋体" w:hAnsi="宋体" w:eastAsia="宋体" w:cs="宋体"/>
                <w:b/>
                <w:bCs/>
                <w:color w:val="auto"/>
                <w:sz w:val="22"/>
                <w:szCs w:val="22"/>
                <w:highlight w:val="none"/>
              </w:rPr>
            </w:pPr>
          </w:p>
        </w:tc>
        <w:tc>
          <w:tcPr>
            <w:tcW w:w="2694" w:type="dxa"/>
            <w:tcBorders>
              <w:top w:val="nil"/>
              <w:left w:val="nil"/>
              <w:bottom w:val="single" w:color="auto" w:sz="4" w:space="0"/>
              <w:right w:val="single" w:color="auto" w:sz="4" w:space="0"/>
            </w:tcBorders>
            <w:noWrap w:val="0"/>
            <w:vAlign w:val="center"/>
          </w:tcPr>
          <w:p w14:paraId="0E259E3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餐具光亮无油渍污渍、分类堆放，使用筷子清洁卫生、不变形、无发霉</w:t>
            </w:r>
          </w:p>
        </w:tc>
        <w:tc>
          <w:tcPr>
            <w:tcW w:w="586" w:type="dxa"/>
            <w:tcBorders>
              <w:top w:val="nil"/>
              <w:left w:val="nil"/>
              <w:bottom w:val="single" w:color="auto" w:sz="4" w:space="0"/>
              <w:right w:val="single" w:color="auto" w:sz="4" w:space="0"/>
            </w:tcBorders>
            <w:noWrap w:val="0"/>
            <w:vAlign w:val="center"/>
          </w:tcPr>
          <w:p w14:paraId="2240511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54" w:type="dxa"/>
            <w:tcBorders>
              <w:top w:val="nil"/>
              <w:left w:val="nil"/>
              <w:bottom w:val="single" w:color="auto" w:sz="4" w:space="0"/>
              <w:right w:val="single" w:color="auto" w:sz="4" w:space="0"/>
            </w:tcBorders>
            <w:noWrap w:val="0"/>
            <w:vAlign w:val="center"/>
          </w:tcPr>
          <w:p w14:paraId="6843A97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有不清洁、变形、发霉一次一项扣0.1分</w:t>
            </w: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61794E8C">
            <w:pPr>
              <w:rPr>
                <w:rFonts w:hint="eastAsia" w:ascii="宋体" w:hAnsi="宋体" w:eastAsia="宋体" w:cs="宋体"/>
                <w:color w:val="auto"/>
                <w:sz w:val="22"/>
                <w:szCs w:val="22"/>
                <w:highlight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23A88EAD">
            <w:pPr>
              <w:rPr>
                <w:rFonts w:hint="eastAsia" w:ascii="宋体" w:hAnsi="宋体" w:eastAsia="宋体" w:cs="宋体"/>
                <w:color w:val="auto"/>
                <w:sz w:val="22"/>
                <w:szCs w:val="22"/>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398813D">
            <w:pPr>
              <w:rPr>
                <w:rFonts w:hint="eastAsia" w:ascii="宋体" w:hAnsi="宋体" w:eastAsia="宋体" w:cs="宋体"/>
                <w:color w:val="auto"/>
                <w:sz w:val="22"/>
                <w:szCs w:val="22"/>
                <w:highlight w:val="none"/>
              </w:rPr>
            </w:pPr>
          </w:p>
        </w:tc>
      </w:tr>
      <w:tr w14:paraId="4A8B6D75">
        <w:tblPrEx>
          <w:tblCellMar>
            <w:top w:w="0" w:type="dxa"/>
            <w:left w:w="108" w:type="dxa"/>
            <w:bottom w:w="0" w:type="dxa"/>
            <w:right w:w="108" w:type="dxa"/>
          </w:tblCellMar>
        </w:tblPrEx>
        <w:trPr>
          <w:trHeight w:val="817"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6C1AA62">
            <w:pPr>
              <w:rPr>
                <w:rFonts w:hint="eastAsia" w:ascii="宋体" w:hAnsi="宋体" w:eastAsia="宋体" w:cs="宋体"/>
                <w:b/>
                <w:bCs/>
                <w:color w:val="auto"/>
                <w:sz w:val="22"/>
                <w:szCs w:val="22"/>
                <w:highlight w:val="none"/>
              </w:rPr>
            </w:pPr>
          </w:p>
        </w:tc>
        <w:tc>
          <w:tcPr>
            <w:tcW w:w="2694" w:type="dxa"/>
            <w:tcBorders>
              <w:top w:val="nil"/>
              <w:left w:val="nil"/>
              <w:bottom w:val="single" w:color="auto" w:sz="4" w:space="0"/>
              <w:right w:val="single" w:color="auto" w:sz="4" w:space="0"/>
            </w:tcBorders>
            <w:noWrap w:val="0"/>
            <w:vAlign w:val="center"/>
          </w:tcPr>
          <w:p w14:paraId="28D6249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职工与病人所用的所有餐具要分开清洗消毒和分类放置</w:t>
            </w:r>
          </w:p>
        </w:tc>
        <w:tc>
          <w:tcPr>
            <w:tcW w:w="586" w:type="dxa"/>
            <w:tcBorders>
              <w:top w:val="nil"/>
              <w:left w:val="nil"/>
              <w:bottom w:val="single" w:color="auto" w:sz="4" w:space="0"/>
              <w:right w:val="single" w:color="auto" w:sz="4" w:space="0"/>
            </w:tcBorders>
            <w:noWrap w:val="0"/>
            <w:vAlign w:val="center"/>
          </w:tcPr>
          <w:p w14:paraId="2CAAC3E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54" w:type="dxa"/>
            <w:tcBorders>
              <w:top w:val="nil"/>
              <w:left w:val="nil"/>
              <w:bottom w:val="single" w:color="auto" w:sz="4" w:space="0"/>
              <w:right w:val="single" w:color="auto" w:sz="4" w:space="0"/>
            </w:tcBorders>
            <w:noWrap w:val="0"/>
            <w:vAlign w:val="center"/>
          </w:tcPr>
          <w:p w14:paraId="39FE7EF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职工餐具未与病人分开，一次扣0.5分；扣完为止</w:t>
            </w: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2D7D6C62">
            <w:pPr>
              <w:rPr>
                <w:rFonts w:hint="eastAsia" w:ascii="宋体" w:hAnsi="宋体" w:eastAsia="宋体" w:cs="宋体"/>
                <w:color w:val="auto"/>
                <w:sz w:val="22"/>
                <w:szCs w:val="22"/>
                <w:highlight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1587D09D">
            <w:pPr>
              <w:rPr>
                <w:rFonts w:hint="eastAsia" w:ascii="宋体" w:hAnsi="宋体" w:eastAsia="宋体" w:cs="宋体"/>
                <w:color w:val="auto"/>
                <w:sz w:val="22"/>
                <w:szCs w:val="22"/>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349C5092">
            <w:pPr>
              <w:rPr>
                <w:rFonts w:hint="eastAsia" w:ascii="宋体" w:hAnsi="宋体" w:eastAsia="宋体" w:cs="宋体"/>
                <w:color w:val="auto"/>
                <w:sz w:val="22"/>
                <w:szCs w:val="22"/>
                <w:highlight w:val="none"/>
              </w:rPr>
            </w:pPr>
          </w:p>
        </w:tc>
      </w:tr>
      <w:tr w14:paraId="4B1B1502">
        <w:tblPrEx>
          <w:tblCellMar>
            <w:top w:w="0" w:type="dxa"/>
            <w:left w:w="108" w:type="dxa"/>
            <w:bottom w:w="0" w:type="dxa"/>
            <w:right w:w="108" w:type="dxa"/>
          </w:tblCellMar>
        </w:tblPrEx>
        <w:trPr>
          <w:trHeight w:val="90" w:hRule="atLeas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291A0D86">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库房</w:t>
            </w:r>
          </w:p>
          <w:p w14:paraId="2E3E311A">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管理（6分）</w:t>
            </w:r>
          </w:p>
        </w:tc>
        <w:tc>
          <w:tcPr>
            <w:tcW w:w="2694" w:type="dxa"/>
            <w:tcBorders>
              <w:top w:val="nil"/>
              <w:left w:val="nil"/>
              <w:bottom w:val="single" w:color="auto" w:sz="4" w:space="0"/>
              <w:right w:val="single" w:color="auto" w:sz="4" w:space="0"/>
            </w:tcBorders>
            <w:noWrap w:val="0"/>
            <w:vAlign w:val="center"/>
          </w:tcPr>
          <w:p w14:paraId="230414D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各库房要保持干燥，要有防鼠设施，保证库房符合安全、卫生要求。库房有专人管理</w:t>
            </w:r>
          </w:p>
        </w:tc>
        <w:tc>
          <w:tcPr>
            <w:tcW w:w="586" w:type="dxa"/>
            <w:tcBorders>
              <w:top w:val="nil"/>
              <w:left w:val="nil"/>
              <w:bottom w:val="single" w:color="auto" w:sz="4" w:space="0"/>
              <w:right w:val="single" w:color="auto" w:sz="4" w:space="0"/>
            </w:tcBorders>
            <w:noWrap w:val="0"/>
            <w:vAlign w:val="center"/>
          </w:tcPr>
          <w:p w14:paraId="4419D7A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54" w:type="dxa"/>
            <w:tcBorders>
              <w:top w:val="nil"/>
              <w:left w:val="nil"/>
              <w:bottom w:val="single" w:color="auto" w:sz="4" w:space="0"/>
              <w:right w:val="single" w:color="auto" w:sz="4" w:space="0"/>
            </w:tcBorders>
            <w:noWrap w:val="0"/>
            <w:vAlign w:val="center"/>
          </w:tcPr>
          <w:p w14:paraId="261F947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库房内有变质食品（包括异味霉味腐烂味等），地面潮湿、有虫害，每项一次扣0.5分</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14:paraId="13B3D53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vMerge w:val="restart"/>
            <w:tcBorders>
              <w:top w:val="single" w:color="auto" w:sz="4" w:space="0"/>
              <w:left w:val="single" w:color="auto" w:sz="4" w:space="0"/>
              <w:bottom w:val="single" w:color="auto" w:sz="4" w:space="0"/>
              <w:right w:val="single" w:color="auto" w:sz="4" w:space="0"/>
            </w:tcBorders>
            <w:noWrap w:val="0"/>
            <w:vAlign w:val="center"/>
          </w:tcPr>
          <w:p w14:paraId="4FFC0F1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113842E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1ABB8733">
        <w:tblPrEx>
          <w:tblCellMar>
            <w:top w:w="0" w:type="dxa"/>
            <w:left w:w="108" w:type="dxa"/>
            <w:bottom w:w="0" w:type="dxa"/>
            <w:right w:w="108" w:type="dxa"/>
          </w:tblCellMar>
        </w:tblPrEx>
        <w:trPr>
          <w:trHeight w:val="1066"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6BA1DED">
            <w:pPr>
              <w:rPr>
                <w:rFonts w:hint="eastAsia" w:ascii="宋体" w:hAnsi="宋体" w:eastAsia="宋体" w:cs="宋体"/>
                <w:b/>
                <w:bCs/>
                <w:color w:val="auto"/>
                <w:sz w:val="22"/>
                <w:szCs w:val="22"/>
                <w:highlight w:val="none"/>
              </w:rPr>
            </w:pPr>
          </w:p>
        </w:tc>
        <w:tc>
          <w:tcPr>
            <w:tcW w:w="2694" w:type="dxa"/>
            <w:tcBorders>
              <w:top w:val="single" w:color="auto" w:sz="4" w:space="0"/>
              <w:left w:val="nil"/>
              <w:bottom w:val="single" w:color="auto" w:sz="4" w:space="0"/>
              <w:right w:val="single" w:color="auto" w:sz="4" w:space="0"/>
            </w:tcBorders>
            <w:noWrap w:val="0"/>
            <w:vAlign w:val="center"/>
          </w:tcPr>
          <w:p w14:paraId="23CFC8E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保证库房内物品要求定期检查，杜绝有变质。下班时锁门关窗关电源确保安全</w:t>
            </w:r>
          </w:p>
        </w:tc>
        <w:tc>
          <w:tcPr>
            <w:tcW w:w="586" w:type="dxa"/>
            <w:tcBorders>
              <w:top w:val="single" w:color="auto" w:sz="4" w:space="0"/>
              <w:left w:val="nil"/>
              <w:bottom w:val="single" w:color="auto" w:sz="4" w:space="0"/>
              <w:right w:val="single" w:color="auto" w:sz="4" w:space="0"/>
            </w:tcBorders>
            <w:noWrap w:val="0"/>
            <w:vAlign w:val="center"/>
          </w:tcPr>
          <w:p w14:paraId="694D971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54" w:type="dxa"/>
            <w:tcBorders>
              <w:top w:val="single" w:color="auto" w:sz="4" w:space="0"/>
              <w:left w:val="nil"/>
              <w:bottom w:val="single" w:color="auto" w:sz="4" w:space="0"/>
              <w:right w:val="single" w:color="auto" w:sz="4" w:space="0"/>
            </w:tcBorders>
            <w:noWrap w:val="0"/>
            <w:vAlign w:val="center"/>
          </w:tcPr>
          <w:p w14:paraId="17A8680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无人时未关门窗、电源（冷库根据需要），发现有安全隐患不及时整改的一次一项扣1分</w:t>
            </w: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3F7A90E2">
            <w:pPr>
              <w:rPr>
                <w:rFonts w:hint="eastAsia" w:ascii="宋体" w:hAnsi="宋体" w:eastAsia="宋体" w:cs="宋体"/>
                <w:color w:val="auto"/>
                <w:sz w:val="22"/>
                <w:szCs w:val="22"/>
                <w:highlight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12E58BE3">
            <w:pPr>
              <w:rPr>
                <w:rFonts w:hint="eastAsia" w:ascii="宋体" w:hAnsi="宋体" w:eastAsia="宋体" w:cs="宋体"/>
                <w:color w:val="auto"/>
                <w:sz w:val="22"/>
                <w:szCs w:val="22"/>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5FA2A45">
            <w:pPr>
              <w:rPr>
                <w:rFonts w:hint="eastAsia" w:ascii="宋体" w:hAnsi="宋体" w:eastAsia="宋体" w:cs="宋体"/>
                <w:color w:val="auto"/>
                <w:sz w:val="22"/>
                <w:szCs w:val="22"/>
                <w:highlight w:val="none"/>
              </w:rPr>
            </w:pPr>
          </w:p>
        </w:tc>
      </w:tr>
      <w:tr w14:paraId="64D99CA1">
        <w:tblPrEx>
          <w:tblCellMar>
            <w:top w:w="0" w:type="dxa"/>
            <w:left w:w="108" w:type="dxa"/>
            <w:bottom w:w="0" w:type="dxa"/>
            <w:right w:w="108" w:type="dxa"/>
          </w:tblCellMar>
        </w:tblPrEx>
        <w:trPr>
          <w:trHeight w:val="746"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78DEB37">
            <w:pPr>
              <w:rPr>
                <w:rFonts w:hint="eastAsia" w:ascii="宋体" w:hAnsi="宋体" w:eastAsia="宋体" w:cs="宋体"/>
                <w:b/>
                <w:bCs/>
                <w:color w:val="auto"/>
                <w:sz w:val="22"/>
                <w:szCs w:val="22"/>
                <w:highlight w:val="none"/>
              </w:rPr>
            </w:pPr>
          </w:p>
        </w:tc>
        <w:tc>
          <w:tcPr>
            <w:tcW w:w="2694" w:type="dxa"/>
            <w:tcBorders>
              <w:top w:val="single" w:color="auto" w:sz="4" w:space="0"/>
              <w:left w:val="nil"/>
              <w:bottom w:val="single" w:color="auto" w:sz="4" w:space="0"/>
              <w:right w:val="single" w:color="auto" w:sz="4" w:space="0"/>
            </w:tcBorders>
            <w:noWrap w:val="0"/>
            <w:vAlign w:val="center"/>
          </w:tcPr>
          <w:p w14:paraId="711F506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保证库房物品摆放整洁，定期检查无过期变质食材</w:t>
            </w:r>
          </w:p>
        </w:tc>
        <w:tc>
          <w:tcPr>
            <w:tcW w:w="586" w:type="dxa"/>
            <w:tcBorders>
              <w:top w:val="single" w:color="auto" w:sz="4" w:space="0"/>
              <w:left w:val="nil"/>
              <w:bottom w:val="single" w:color="auto" w:sz="4" w:space="0"/>
              <w:right w:val="single" w:color="auto" w:sz="4" w:space="0"/>
            </w:tcBorders>
            <w:noWrap w:val="0"/>
            <w:vAlign w:val="center"/>
          </w:tcPr>
          <w:p w14:paraId="51702B7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54" w:type="dxa"/>
            <w:tcBorders>
              <w:top w:val="single" w:color="auto" w:sz="4" w:space="0"/>
              <w:left w:val="nil"/>
              <w:bottom w:val="single" w:color="auto" w:sz="4" w:space="0"/>
              <w:right w:val="single" w:color="auto" w:sz="4" w:space="0"/>
            </w:tcBorders>
            <w:noWrap w:val="0"/>
            <w:vAlign w:val="center"/>
          </w:tcPr>
          <w:p w14:paraId="770AD13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库房物品摆放杂乱扣一次扣1分，食材有过期变质一次扣完为止</w:t>
            </w: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0A8C38A1">
            <w:pPr>
              <w:rPr>
                <w:rFonts w:hint="eastAsia" w:ascii="宋体" w:hAnsi="宋体" w:eastAsia="宋体" w:cs="宋体"/>
                <w:color w:val="auto"/>
                <w:sz w:val="22"/>
                <w:szCs w:val="22"/>
                <w:highlight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60A5B03D">
            <w:pPr>
              <w:rPr>
                <w:rFonts w:hint="eastAsia" w:ascii="宋体" w:hAnsi="宋体" w:eastAsia="宋体" w:cs="宋体"/>
                <w:color w:val="auto"/>
                <w:sz w:val="22"/>
                <w:szCs w:val="22"/>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168E762">
            <w:pPr>
              <w:rPr>
                <w:rFonts w:hint="eastAsia" w:ascii="宋体" w:hAnsi="宋体" w:eastAsia="宋体" w:cs="宋体"/>
                <w:color w:val="auto"/>
                <w:sz w:val="22"/>
                <w:szCs w:val="22"/>
                <w:highlight w:val="none"/>
              </w:rPr>
            </w:pPr>
          </w:p>
        </w:tc>
      </w:tr>
      <w:tr w14:paraId="14343FFF">
        <w:tblPrEx>
          <w:tblCellMar>
            <w:top w:w="0" w:type="dxa"/>
            <w:left w:w="108" w:type="dxa"/>
            <w:bottom w:w="0" w:type="dxa"/>
            <w:right w:w="108" w:type="dxa"/>
          </w:tblCellMar>
        </w:tblPrEx>
        <w:trPr>
          <w:trHeight w:val="55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21E0E39F">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合计</w:t>
            </w:r>
          </w:p>
        </w:tc>
        <w:tc>
          <w:tcPr>
            <w:tcW w:w="2694" w:type="dxa"/>
            <w:tcBorders>
              <w:top w:val="nil"/>
              <w:left w:val="nil"/>
              <w:bottom w:val="single" w:color="auto" w:sz="4" w:space="0"/>
              <w:right w:val="single" w:color="auto" w:sz="4" w:space="0"/>
            </w:tcBorders>
            <w:noWrap w:val="0"/>
            <w:vAlign w:val="center"/>
          </w:tcPr>
          <w:p w14:paraId="52E94C2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86" w:type="dxa"/>
            <w:tcBorders>
              <w:top w:val="nil"/>
              <w:left w:val="nil"/>
              <w:bottom w:val="single" w:color="auto" w:sz="4" w:space="0"/>
              <w:right w:val="single" w:color="auto" w:sz="4" w:space="0"/>
            </w:tcBorders>
            <w:noWrap w:val="0"/>
            <w:vAlign w:val="center"/>
          </w:tcPr>
          <w:p w14:paraId="3D97A20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w:t>
            </w:r>
          </w:p>
        </w:tc>
        <w:tc>
          <w:tcPr>
            <w:tcW w:w="2654" w:type="dxa"/>
            <w:tcBorders>
              <w:top w:val="nil"/>
              <w:left w:val="nil"/>
              <w:bottom w:val="single" w:color="auto" w:sz="4" w:space="0"/>
              <w:right w:val="single" w:color="auto" w:sz="4" w:space="0"/>
            </w:tcBorders>
            <w:noWrap w:val="0"/>
            <w:vAlign w:val="center"/>
          </w:tcPr>
          <w:p w14:paraId="6F1143E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66" w:type="dxa"/>
            <w:tcBorders>
              <w:top w:val="single" w:color="auto" w:sz="4" w:space="0"/>
              <w:left w:val="nil"/>
              <w:bottom w:val="single" w:color="auto" w:sz="4" w:space="0"/>
              <w:right w:val="single" w:color="auto" w:sz="4" w:space="0"/>
            </w:tcBorders>
            <w:noWrap w:val="0"/>
            <w:vAlign w:val="center"/>
          </w:tcPr>
          <w:p w14:paraId="65F7DD7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694" w:type="dxa"/>
            <w:tcBorders>
              <w:top w:val="single" w:color="auto" w:sz="4" w:space="0"/>
              <w:left w:val="nil"/>
              <w:bottom w:val="single" w:color="auto" w:sz="4" w:space="0"/>
              <w:right w:val="single" w:color="auto" w:sz="4" w:space="0"/>
            </w:tcBorders>
            <w:noWrap w:val="0"/>
            <w:vAlign w:val="center"/>
          </w:tcPr>
          <w:p w14:paraId="1EA49ED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733" w:type="dxa"/>
            <w:tcBorders>
              <w:top w:val="single" w:color="auto" w:sz="4" w:space="0"/>
              <w:left w:val="nil"/>
              <w:bottom w:val="single" w:color="auto" w:sz="4" w:space="0"/>
              <w:right w:val="single" w:color="auto" w:sz="4" w:space="0"/>
            </w:tcBorders>
            <w:noWrap w:val="0"/>
            <w:vAlign w:val="center"/>
          </w:tcPr>
          <w:p w14:paraId="60F6CD9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r>
      <w:tr w14:paraId="38FF5EA0">
        <w:tblPrEx>
          <w:tblCellMar>
            <w:top w:w="0" w:type="dxa"/>
            <w:left w:w="108" w:type="dxa"/>
            <w:bottom w:w="0" w:type="dxa"/>
            <w:right w:w="108" w:type="dxa"/>
          </w:tblCellMar>
        </w:tblPrEx>
        <w:trPr>
          <w:trHeight w:val="669" w:hRule="atLeast"/>
          <w:jc w:val="center"/>
        </w:trPr>
        <w:tc>
          <w:tcPr>
            <w:tcW w:w="9867" w:type="dxa"/>
            <w:gridSpan w:val="7"/>
            <w:tcBorders>
              <w:top w:val="single" w:color="auto" w:sz="4" w:space="0"/>
              <w:left w:val="single" w:color="auto" w:sz="4" w:space="0"/>
              <w:bottom w:val="single" w:color="auto" w:sz="4" w:space="0"/>
              <w:right w:val="single" w:color="auto" w:sz="4" w:space="0"/>
            </w:tcBorders>
            <w:noWrap w:val="0"/>
            <w:vAlign w:val="center"/>
          </w:tcPr>
          <w:p w14:paraId="23851B1D">
            <w:pPr>
              <w:jc w:val="left"/>
              <w:rPr>
                <w:rFonts w:hint="eastAsia" w:ascii="宋体" w:hAnsi="宋体" w:eastAsia="宋体" w:cs="宋体"/>
                <w:color w:val="auto"/>
                <w:sz w:val="22"/>
                <w:szCs w:val="22"/>
                <w:highlight w:val="none"/>
                <w:lang w:val="en-US"/>
              </w:rPr>
            </w:pPr>
            <w:r>
              <w:rPr>
                <w:rFonts w:hint="eastAsia" w:ascii="宋体" w:hAnsi="宋体" w:eastAsia="宋体" w:cs="宋体"/>
                <w:b/>
                <w:bCs/>
                <w:color w:val="auto"/>
                <w:sz w:val="22"/>
                <w:szCs w:val="22"/>
                <w:highlight w:val="none"/>
                <w:lang w:val="en-US" w:eastAsia="zh-CN"/>
              </w:rPr>
              <w:t>考核人：                                                          食堂负责人：</w:t>
            </w:r>
          </w:p>
        </w:tc>
      </w:tr>
    </w:tbl>
    <w:p w14:paraId="1D3AAFC6">
      <w:pPr>
        <w:pStyle w:val="19"/>
        <w:rPr>
          <w:rFonts w:hint="eastAsia"/>
          <w:highlight w:val="none"/>
        </w:rPr>
      </w:pPr>
    </w:p>
    <w:p w14:paraId="2FC6A4E5">
      <w:pPr>
        <w:rPr>
          <w:rFonts w:hint="eastAsia" w:ascii="宋体" w:hAnsi="宋体" w:eastAsia="宋体" w:cs="宋体"/>
          <w:b/>
          <w:color w:val="auto"/>
          <w:sz w:val="21"/>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1"/>
          <w:szCs w:val="21"/>
          <w:highlight w:val="none"/>
        </w:rPr>
        <w:t>附件2：食堂监管处罚细则</w:t>
      </w:r>
    </w:p>
    <w:p w14:paraId="26AA5090">
      <w:pPr>
        <w:pStyle w:val="2"/>
        <w:rPr>
          <w:rFonts w:hint="eastAsia"/>
          <w:highlight w:val="none"/>
        </w:rPr>
      </w:pPr>
    </w:p>
    <w:tbl>
      <w:tblPr>
        <w:tblStyle w:val="21"/>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12"/>
        <w:gridCol w:w="334"/>
        <w:gridCol w:w="1756"/>
        <w:gridCol w:w="777"/>
        <w:gridCol w:w="2206"/>
        <w:gridCol w:w="1295"/>
        <w:gridCol w:w="1717"/>
      </w:tblGrid>
      <w:tr w14:paraId="2D71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6607" w:type="dxa"/>
            <w:gridSpan w:val="6"/>
            <w:vMerge w:val="restart"/>
            <w:noWrap w:val="0"/>
            <w:vAlign w:val="center"/>
          </w:tcPr>
          <w:p w14:paraId="23B09EC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食堂考核细则</w:t>
            </w:r>
          </w:p>
        </w:tc>
        <w:tc>
          <w:tcPr>
            <w:tcW w:w="1295" w:type="dxa"/>
            <w:noWrap w:val="0"/>
            <w:vAlign w:val="center"/>
          </w:tcPr>
          <w:p w14:paraId="4F834517">
            <w:pPr>
              <w:spacing w:line="360" w:lineRule="exact"/>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被考核食堂</w:t>
            </w:r>
          </w:p>
        </w:tc>
        <w:tc>
          <w:tcPr>
            <w:tcW w:w="1717" w:type="dxa"/>
            <w:noWrap w:val="0"/>
            <w:vAlign w:val="top"/>
          </w:tcPr>
          <w:p w14:paraId="33335D1F">
            <w:pPr>
              <w:spacing w:line="360" w:lineRule="exact"/>
              <w:rPr>
                <w:rFonts w:hint="eastAsia" w:ascii="宋体" w:hAnsi="宋体" w:eastAsia="宋体" w:cs="宋体"/>
                <w:color w:val="auto"/>
                <w:sz w:val="21"/>
                <w:szCs w:val="21"/>
                <w:highlight w:val="none"/>
              </w:rPr>
            </w:pPr>
          </w:p>
        </w:tc>
      </w:tr>
      <w:tr w14:paraId="3589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07" w:type="dxa"/>
            <w:gridSpan w:val="6"/>
            <w:vMerge w:val="continue"/>
            <w:noWrap w:val="0"/>
            <w:vAlign w:val="top"/>
          </w:tcPr>
          <w:p w14:paraId="06910341">
            <w:pPr>
              <w:spacing w:line="360" w:lineRule="exact"/>
              <w:rPr>
                <w:rFonts w:hint="eastAsia" w:ascii="宋体" w:hAnsi="宋体" w:eastAsia="宋体" w:cs="宋体"/>
                <w:color w:val="auto"/>
                <w:sz w:val="21"/>
                <w:szCs w:val="21"/>
                <w:highlight w:val="none"/>
              </w:rPr>
            </w:pPr>
          </w:p>
        </w:tc>
        <w:tc>
          <w:tcPr>
            <w:tcW w:w="1295" w:type="dxa"/>
            <w:noWrap w:val="0"/>
            <w:vAlign w:val="top"/>
          </w:tcPr>
          <w:p w14:paraId="614590B5">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被考核食堂</w:t>
            </w:r>
          </w:p>
          <w:p w14:paraId="5BCFE80B">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w:t>
            </w:r>
          </w:p>
        </w:tc>
        <w:tc>
          <w:tcPr>
            <w:tcW w:w="1717" w:type="dxa"/>
            <w:noWrap w:val="0"/>
            <w:vAlign w:val="top"/>
          </w:tcPr>
          <w:p w14:paraId="4CD64390">
            <w:pPr>
              <w:spacing w:line="360" w:lineRule="exact"/>
              <w:rPr>
                <w:rFonts w:hint="eastAsia" w:ascii="宋体" w:hAnsi="宋体" w:eastAsia="宋体" w:cs="宋体"/>
                <w:color w:val="auto"/>
                <w:sz w:val="21"/>
                <w:szCs w:val="21"/>
                <w:highlight w:val="none"/>
              </w:rPr>
            </w:pPr>
          </w:p>
        </w:tc>
      </w:tr>
      <w:tr w14:paraId="18EE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34" w:type="dxa"/>
            <w:gridSpan w:val="2"/>
            <w:noWrap w:val="0"/>
            <w:vAlign w:val="top"/>
          </w:tcPr>
          <w:p w14:paraId="7DDB5E0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检查人</w:t>
            </w:r>
          </w:p>
        </w:tc>
        <w:tc>
          <w:tcPr>
            <w:tcW w:w="2090" w:type="dxa"/>
            <w:gridSpan w:val="2"/>
            <w:noWrap w:val="0"/>
            <w:vAlign w:val="top"/>
          </w:tcPr>
          <w:p w14:paraId="76D5B1BE">
            <w:pPr>
              <w:spacing w:line="360" w:lineRule="exact"/>
              <w:rPr>
                <w:rFonts w:hint="eastAsia" w:ascii="宋体" w:hAnsi="宋体" w:eastAsia="宋体" w:cs="宋体"/>
                <w:color w:val="auto"/>
                <w:sz w:val="21"/>
                <w:szCs w:val="21"/>
                <w:highlight w:val="none"/>
              </w:rPr>
            </w:pPr>
          </w:p>
        </w:tc>
        <w:tc>
          <w:tcPr>
            <w:tcW w:w="777" w:type="dxa"/>
            <w:noWrap w:val="0"/>
            <w:vAlign w:val="top"/>
          </w:tcPr>
          <w:p w14:paraId="6CBFA18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2206" w:type="dxa"/>
            <w:noWrap w:val="0"/>
            <w:vAlign w:val="top"/>
          </w:tcPr>
          <w:p w14:paraId="33F5F4E6">
            <w:pPr>
              <w:spacing w:line="360" w:lineRule="exact"/>
              <w:rPr>
                <w:rFonts w:hint="eastAsia" w:ascii="宋体" w:hAnsi="宋体" w:eastAsia="宋体" w:cs="宋体"/>
                <w:color w:val="auto"/>
                <w:sz w:val="21"/>
                <w:szCs w:val="21"/>
                <w:highlight w:val="none"/>
              </w:rPr>
            </w:pPr>
          </w:p>
        </w:tc>
        <w:tc>
          <w:tcPr>
            <w:tcW w:w="1295" w:type="dxa"/>
            <w:noWrap w:val="0"/>
            <w:vAlign w:val="top"/>
          </w:tcPr>
          <w:p w14:paraId="005C1DF0">
            <w:pPr>
              <w:spacing w:line="360" w:lineRule="exact"/>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检查日期</w:t>
            </w:r>
          </w:p>
        </w:tc>
        <w:tc>
          <w:tcPr>
            <w:tcW w:w="1717" w:type="dxa"/>
            <w:noWrap w:val="0"/>
            <w:vAlign w:val="top"/>
          </w:tcPr>
          <w:p w14:paraId="0A814D08">
            <w:pPr>
              <w:spacing w:line="360" w:lineRule="exact"/>
              <w:rPr>
                <w:rFonts w:hint="eastAsia" w:ascii="宋体" w:hAnsi="宋体" w:eastAsia="宋体" w:cs="宋体"/>
                <w:color w:val="auto"/>
                <w:sz w:val="21"/>
                <w:szCs w:val="21"/>
                <w:highlight w:val="none"/>
              </w:rPr>
            </w:pPr>
          </w:p>
        </w:tc>
      </w:tr>
      <w:tr w14:paraId="5F82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2" w:type="dxa"/>
            <w:noWrap w:val="0"/>
            <w:vAlign w:val="top"/>
          </w:tcPr>
          <w:p w14:paraId="57C5B79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6" w:type="dxa"/>
            <w:gridSpan w:val="2"/>
            <w:noWrap w:val="0"/>
            <w:vAlign w:val="top"/>
          </w:tcPr>
          <w:p w14:paraId="554D5F2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考核项目</w:t>
            </w:r>
          </w:p>
        </w:tc>
        <w:tc>
          <w:tcPr>
            <w:tcW w:w="4739" w:type="dxa"/>
            <w:gridSpan w:val="3"/>
            <w:noWrap w:val="0"/>
            <w:vAlign w:val="top"/>
          </w:tcPr>
          <w:p w14:paraId="1130021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考核内容及标准</w:t>
            </w:r>
          </w:p>
        </w:tc>
        <w:tc>
          <w:tcPr>
            <w:tcW w:w="1295" w:type="dxa"/>
            <w:noWrap w:val="0"/>
            <w:vAlign w:val="top"/>
          </w:tcPr>
          <w:p w14:paraId="63BC381E">
            <w:pPr>
              <w:spacing w:line="360" w:lineRule="exact"/>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罚款金额</w:t>
            </w:r>
          </w:p>
        </w:tc>
        <w:tc>
          <w:tcPr>
            <w:tcW w:w="1717" w:type="dxa"/>
            <w:noWrap w:val="0"/>
            <w:vAlign w:val="top"/>
          </w:tcPr>
          <w:p w14:paraId="40458C6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78D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1B4AD97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6" w:type="dxa"/>
            <w:gridSpan w:val="2"/>
            <w:vMerge w:val="restart"/>
            <w:noWrap w:val="0"/>
            <w:vAlign w:val="center"/>
          </w:tcPr>
          <w:p w14:paraId="2CF6020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个人卫生</w:t>
            </w:r>
          </w:p>
        </w:tc>
        <w:tc>
          <w:tcPr>
            <w:tcW w:w="4739" w:type="dxa"/>
            <w:gridSpan w:val="3"/>
            <w:noWrap w:val="0"/>
            <w:vAlign w:val="top"/>
          </w:tcPr>
          <w:p w14:paraId="74BB2FF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（1）无有效健康证上岗的</w:t>
            </w:r>
          </w:p>
        </w:tc>
        <w:tc>
          <w:tcPr>
            <w:tcW w:w="1295" w:type="dxa"/>
            <w:noWrap w:val="0"/>
            <w:vAlign w:val="top"/>
          </w:tcPr>
          <w:p w14:paraId="3272E7C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20元/次</w:t>
            </w:r>
          </w:p>
        </w:tc>
        <w:tc>
          <w:tcPr>
            <w:tcW w:w="1717" w:type="dxa"/>
            <w:noWrap w:val="0"/>
            <w:vAlign w:val="top"/>
          </w:tcPr>
          <w:p w14:paraId="06CEC4D7">
            <w:pPr>
              <w:spacing w:line="360" w:lineRule="exact"/>
              <w:jc w:val="center"/>
              <w:rPr>
                <w:rFonts w:hint="eastAsia" w:ascii="宋体" w:hAnsi="宋体" w:eastAsia="宋体" w:cs="宋体"/>
                <w:color w:val="auto"/>
                <w:sz w:val="21"/>
                <w:szCs w:val="21"/>
                <w:highlight w:val="none"/>
              </w:rPr>
            </w:pPr>
          </w:p>
        </w:tc>
      </w:tr>
      <w:tr w14:paraId="03C1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46BB999C">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19C6AE6A">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7DCAA02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（2）留长指甲</w:t>
            </w:r>
          </w:p>
        </w:tc>
        <w:tc>
          <w:tcPr>
            <w:tcW w:w="1295" w:type="dxa"/>
            <w:noWrap w:val="0"/>
            <w:vAlign w:val="top"/>
          </w:tcPr>
          <w:p w14:paraId="62B1A7D0">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5元/次</w:t>
            </w:r>
          </w:p>
        </w:tc>
        <w:tc>
          <w:tcPr>
            <w:tcW w:w="1717" w:type="dxa"/>
            <w:noWrap w:val="0"/>
            <w:vAlign w:val="top"/>
          </w:tcPr>
          <w:p w14:paraId="7F59FF49">
            <w:pPr>
              <w:spacing w:line="360" w:lineRule="exact"/>
              <w:jc w:val="center"/>
              <w:rPr>
                <w:rFonts w:hint="eastAsia" w:ascii="宋体" w:hAnsi="宋体" w:eastAsia="宋体" w:cs="宋体"/>
                <w:color w:val="auto"/>
                <w:sz w:val="21"/>
                <w:szCs w:val="21"/>
                <w:highlight w:val="none"/>
              </w:rPr>
            </w:pPr>
          </w:p>
        </w:tc>
      </w:tr>
      <w:tr w14:paraId="6207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03F2D7EE">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7E631356">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546BD62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（3）穿工作服上厕所</w:t>
            </w:r>
          </w:p>
        </w:tc>
        <w:tc>
          <w:tcPr>
            <w:tcW w:w="1295" w:type="dxa"/>
            <w:noWrap w:val="0"/>
            <w:vAlign w:val="top"/>
          </w:tcPr>
          <w:p w14:paraId="4AA93F6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5元/次</w:t>
            </w:r>
          </w:p>
        </w:tc>
        <w:tc>
          <w:tcPr>
            <w:tcW w:w="1717" w:type="dxa"/>
            <w:noWrap w:val="0"/>
            <w:vAlign w:val="top"/>
          </w:tcPr>
          <w:p w14:paraId="19103944">
            <w:pPr>
              <w:spacing w:line="360" w:lineRule="exact"/>
              <w:jc w:val="center"/>
              <w:rPr>
                <w:rFonts w:hint="eastAsia" w:ascii="宋体" w:hAnsi="宋体" w:eastAsia="宋体" w:cs="宋体"/>
                <w:color w:val="auto"/>
                <w:sz w:val="21"/>
                <w:szCs w:val="21"/>
                <w:highlight w:val="none"/>
              </w:rPr>
            </w:pPr>
          </w:p>
        </w:tc>
      </w:tr>
      <w:tr w14:paraId="3BE9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64381BEE">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4729364F">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141103E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（4）售卖时未戴口罩、手套</w:t>
            </w:r>
          </w:p>
        </w:tc>
        <w:tc>
          <w:tcPr>
            <w:tcW w:w="1295" w:type="dxa"/>
            <w:noWrap w:val="0"/>
            <w:vAlign w:val="top"/>
          </w:tcPr>
          <w:p w14:paraId="13EDF06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5元/次</w:t>
            </w:r>
          </w:p>
        </w:tc>
        <w:tc>
          <w:tcPr>
            <w:tcW w:w="1717" w:type="dxa"/>
            <w:noWrap w:val="0"/>
            <w:vAlign w:val="top"/>
          </w:tcPr>
          <w:p w14:paraId="474A23CE">
            <w:pPr>
              <w:spacing w:line="360" w:lineRule="exact"/>
              <w:jc w:val="center"/>
              <w:rPr>
                <w:rFonts w:hint="eastAsia" w:ascii="宋体" w:hAnsi="宋体" w:eastAsia="宋体" w:cs="宋体"/>
                <w:color w:val="auto"/>
                <w:sz w:val="21"/>
                <w:szCs w:val="21"/>
                <w:highlight w:val="none"/>
              </w:rPr>
            </w:pPr>
          </w:p>
        </w:tc>
      </w:tr>
      <w:tr w14:paraId="7143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37EEA2C2">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4CF327BF">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00D066B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（5）上班未穿戴工作衣帽</w:t>
            </w:r>
          </w:p>
        </w:tc>
        <w:tc>
          <w:tcPr>
            <w:tcW w:w="1295" w:type="dxa"/>
            <w:noWrap w:val="0"/>
            <w:vAlign w:val="top"/>
          </w:tcPr>
          <w:p w14:paraId="1E4CF1F0">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5元/次</w:t>
            </w:r>
          </w:p>
        </w:tc>
        <w:tc>
          <w:tcPr>
            <w:tcW w:w="1717" w:type="dxa"/>
            <w:noWrap w:val="0"/>
            <w:vAlign w:val="top"/>
          </w:tcPr>
          <w:p w14:paraId="2E30C8B0">
            <w:pPr>
              <w:spacing w:line="360" w:lineRule="exact"/>
              <w:jc w:val="center"/>
              <w:rPr>
                <w:rFonts w:hint="eastAsia" w:ascii="宋体" w:hAnsi="宋体" w:eastAsia="宋体" w:cs="宋体"/>
                <w:color w:val="auto"/>
                <w:sz w:val="21"/>
                <w:szCs w:val="21"/>
                <w:highlight w:val="none"/>
              </w:rPr>
            </w:pPr>
          </w:p>
        </w:tc>
      </w:tr>
      <w:tr w14:paraId="48DB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22" w:type="dxa"/>
            <w:vMerge w:val="continue"/>
            <w:noWrap w:val="0"/>
            <w:vAlign w:val="top"/>
          </w:tcPr>
          <w:p w14:paraId="34DD3646">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721B9ACE">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45DF6B0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在食品加工场所及备餐间吸烟</w:t>
            </w:r>
          </w:p>
        </w:tc>
        <w:tc>
          <w:tcPr>
            <w:tcW w:w="1295" w:type="dxa"/>
            <w:noWrap w:val="0"/>
            <w:vAlign w:val="top"/>
          </w:tcPr>
          <w:p w14:paraId="0C90C36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7DA7C84A">
            <w:pPr>
              <w:spacing w:line="360" w:lineRule="exact"/>
              <w:jc w:val="center"/>
              <w:rPr>
                <w:rFonts w:hint="eastAsia" w:ascii="宋体" w:hAnsi="宋体" w:eastAsia="宋体" w:cs="宋体"/>
                <w:color w:val="auto"/>
                <w:sz w:val="21"/>
                <w:szCs w:val="21"/>
                <w:highlight w:val="none"/>
              </w:rPr>
            </w:pPr>
          </w:p>
        </w:tc>
      </w:tr>
      <w:tr w14:paraId="595D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27F4898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6" w:type="dxa"/>
            <w:gridSpan w:val="2"/>
            <w:vMerge w:val="restart"/>
            <w:noWrap w:val="0"/>
            <w:vAlign w:val="center"/>
          </w:tcPr>
          <w:p w14:paraId="03ABF75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环境卫生</w:t>
            </w:r>
          </w:p>
        </w:tc>
        <w:tc>
          <w:tcPr>
            <w:tcW w:w="4739" w:type="dxa"/>
            <w:gridSpan w:val="3"/>
            <w:noWrap w:val="0"/>
            <w:vAlign w:val="top"/>
          </w:tcPr>
          <w:p w14:paraId="5CDE75F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（1）地面不清洁</w:t>
            </w:r>
          </w:p>
        </w:tc>
        <w:tc>
          <w:tcPr>
            <w:tcW w:w="1295" w:type="dxa"/>
            <w:noWrap w:val="0"/>
            <w:vAlign w:val="top"/>
          </w:tcPr>
          <w:p w14:paraId="56C39B5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124BBF9B">
            <w:pPr>
              <w:spacing w:line="360" w:lineRule="exact"/>
              <w:jc w:val="center"/>
              <w:rPr>
                <w:rFonts w:hint="eastAsia" w:ascii="宋体" w:hAnsi="宋体" w:eastAsia="宋体" w:cs="宋体"/>
                <w:color w:val="auto"/>
                <w:sz w:val="21"/>
                <w:szCs w:val="21"/>
                <w:highlight w:val="none"/>
              </w:rPr>
            </w:pPr>
          </w:p>
        </w:tc>
      </w:tr>
      <w:tr w14:paraId="1CAB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19A4C9CC">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2DAF0239">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5C3796C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（2）地沟不清洁</w:t>
            </w:r>
          </w:p>
        </w:tc>
        <w:tc>
          <w:tcPr>
            <w:tcW w:w="1295" w:type="dxa"/>
            <w:noWrap w:val="0"/>
            <w:vAlign w:val="top"/>
          </w:tcPr>
          <w:p w14:paraId="5C5AC670">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4524BC41">
            <w:pPr>
              <w:spacing w:line="360" w:lineRule="exact"/>
              <w:jc w:val="center"/>
              <w:rPr>
                <w:rFonts w:hint="eastAsia" w:ascii="宋体" w:hAnsi="宋体" w:eastAsia="宋体" w:cs="宋体"/>
                <w:color w:val="auto"/>
                <w:sz w:val="21"/>
                <w:szCs w:val="21"/>
                <w:highlight w:val="none"/>
              </w:rPr>
            </w:pPr>
          </w:p>
        </w:tc>
      </w:tr>
      <w:tr w14:paraId="1EA0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715A425E">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70BBBD38">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02DD4D5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（3）内外墙壁不清洁</w:t>
            </w:r>
          </w:p>
        </w:tc>
        <w:tc>
          <w:tcPr>
            <w:tcW w:w="1295" w:type="dxa"/>
            <w:noWrap w:val="0"/>
            <w:vAlign w:val="top"/>
          </w:tcPr>
          <w:p w14:paraId="3A4B963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53076FED">
            <w:pPr>
              <w:spacing w:line="360" w:lineRule="exact"/>
              <w:jc w:val="center"/>
              <w:rPr>
                <w:rFonts w:hint="eastAsia" w:ascii="宋体" w:hAnsi="宋体" w:eastAsia="宋体" w:cs="宋体"/>
                <w:color w:val="auto"/>
                <w:sz w:val="21"/>
                <w:szCs w:val="21"/>
                <w:highlight w:val="none"/>
              </w:rPr>
            </w:pPr>
          </w:p>
        </w:tc>
      </w:tr>
      <w:tr w14:paraId="013B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2CC0883A">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2F824483">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5AC070C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（4）门/窗/玻璃/餐桌凳/工作台/卖台不清洁</w:t>
            </w:r>
          </w:p>
        </w:tc>
        <w:tc>
          <w:tcPr>
            <w:tcW w:w="1295" w:type="dxa"/>
            <w:noWrap w:val="0"/>
            <w:vAlign w:val="top"/>
          </w:tcPr>
          <w:p w14:paraId="7783A7A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10元/处</w:t>
            </w:r>
          </w:p>
        </w:tc>
        <w:tc>
          <w:tcPr>
            <w:tcW w:w="1717" w:type="dxa"/>
            <w:noWrap w:val="0"/>
            <w:vAlign w:val="top"/>
          </w:tcPr>
          <w:p w14:paraId="291E9C83">
            <w:pPr>
              <w:spacing w:line="360" w:lineRule="exact"/>
              <w:jc w:val="center"/>
              <w:rPr>
                <w:rFonts w:hint="eastAsia" w:ascii="宋体" w:hAnsi="宋体" w:eastAsia="宋体" w:cs="宋体"/>
                <w:color w:val="auto"/>
                <w:sz w:val="21"/>
                <w:szCs w:val="21"/>
                <w:highlight w:val="none"/>
              </w:rPr>
            </w:pPr>
          </w:p>
        </w:tc>
      </w:tr>
      <w:tr w14:paraId="1428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219556A9">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5FAE707E">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1C5541A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（5）个人用品未放在指定地点</w:t>
            </w:r>
          </w:p>
        </w:tc>
        <w:tc>
          <w:tcPr>
            <w:tcW w:w="1295" w:type="dxa"/>
            <w:noWrap w:val="0"/>
            <w:vAlign w:val="top"/>
          </w:tcPr>
          <w:p w14:paraId="023E84E0">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303A39D4">
            <w:pPr>
              <w:spacing w:line="360" w:lineRule="exact"/>
              <w:jc w:val="center"/>
              <w:rPr>
                <w:rFonts w:hint="eastAsia" w:ascii="宋体" w:hAnsi="宋体" w:eastAsia="宋体" w:cs="宋体"/>
                <w:color w:val="auto"/>
                <w:sz w:val="21"/>
                <w:szCs w:val="21"/>
                <w:highlight w:val="none"/>
              </w:rPr>
            </w:pPr>
          </w:p>
        </w:tc>
      </w:tr>
      <w:tr w14:paraId="332C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539D557E">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7E5370EA">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61F9AE5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（6）垃圾不能做到日清</w:t>
            </w:r>
          </w:p>
        </w:tc>
        <w:tc>
          <w:tcPr>
            <w:tcW w:w="1295" w:type="dxa"/>
            <w:noWrap w:val="0"/>
            <w:vAlign w:val="top"/>
          </w:tcPr>
          <w:p w14:paraId="2781BD4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0FB6A728">
            <w:pPr>
              <w:spacing w:line="360" w:lineRule="exact"/>
              <w:jc w:val="center"/>
              <w:rPr>
                <w:rFonts w:hint="eastAsia" w:ascii="宋体" w:hAnsi="宋体" w:eastAsia="宋体" w:cs="宋体"/>
                <w:color w:val="auto"/>
                <w:sz w:val="21"/>
                <w:szCs w:val="21"/>
                <w:highlight w:val="none"/>
              </w:rPr>
            </w:pPr>
          </w:p>
        </w:tc>
      </w:tr>
      <w:tr w14:paraId="2B7B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73353019">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39E65912">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0F67A41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（7）卫生用品及工具不放在指定地点</w:t>
            </w:r>
          </w:p>
        </w:tc>
        <w:tc>
          <w:tcPr>
            <w:tcW w:w="1295" w:type="dxa"/>
            <w:noWrap w:val="0"/>
            <w:vAlign w:val="top"/>
          </w:tcPr>
          <w:p w14:paraId="414D993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3AA84A86">
            <w:pPr>
              <w:spacing w:line="360" w:lineRule="exact"/>
              <w:jc w:val="center"/>
              <w:rPr>
                <w:rFonts w:hint="eastAsia" w:ascii="宋体" w:hAnsi="宋体" w:eastAsia="宋体" w:cs="宋体"/>
                <w:color w:val="auto"/>
                <w:sz w:val="21"/>
                <w:szCs w:val="21"/>
                <w:highlight w:val="none"/>
              </w:rPr>
            </w:pPr>
          </w:p>
        </w:tc>
      </w:tr>
      <w:tr w14:paraId="6ACD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73F7B5BD">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27FE3534">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0720239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（8）灶台及排烟罩不清洁</w:t>
            </w:r>
          </w:p>
        </w:tc>
        <w:tc>
          <w:tcPr>
            <w:tcW w:w="1295" w:type="dxa"/>
            <w:noWrap w:val="0"/>
            <w:vAlign w:val="top"/>
          </w:tcPr>
          <w:p w14:paraId="37A3149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0B6C1F00">
            <w:pPr>
              <w:spacing w:line="360" w:lineRule="exact"/>
              <w:jc w:val="center"/>
              <w:rPr>
                <w:rFonts w:hint="eastAsia" w:ascii="宋体" w:hAnsi="宋体" w:eastAsia="宋体" w:cs="宋体"/>
                <w:color w:val="auto"/>
                <w:sz w:val="21"/>
                <w:szCs w:val="21"/>
                <w:highlight w:val="none"/>
              </w:rPr>
            </w:pPr>
          </w:p>
        </w:tc>
      </w:tr>
      <w:tr w14:paraId="3690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21D4CF0F">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5017BC9E">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533F396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（9）下水道不通、窨井外溢</w:t>
            </w:r>
          </w:p>
        </w:tc>
        <w:tc>
          <w:tcPr>
            <w:tcW w:w="1295" w:type="dxa"/>
            <w:noWrap w:val="0"/>
            <w:vAlign w:val="top"/>
          </w:tcPr>
          <w:p w14:paraId="5A4BE18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01EEAEB9">
            <w:pPr>
              <w:spacing w:line="360" w:lineRule="exact"/>
              <w:jc w:val="center"/>
              <w:rPr>
                <w:rFonts w:hint="eastAsia" w:ascii="宋体" w:hAnsi="宋体" w:eastAsia="宋体" w:cs="宋体"/>
                <w:color w:val="auto"/>
                <w:sz w:val="21"/>
                <w:szCs w:val="21"/>
                <w:highlight w:val="none"/>
              </w:rPr>
            </w:pPr>
          </w:p>
        </w:tc>
      </w:tr>
      <w:tr w14:paraId="1E3D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57685D6D">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146" w:type="dxa"/>
            <w:gridSpan w:val="2"/>
            <w:vMerge w:val="restart"/>
            <w:noWrap w:val="0"/>
            <w:vAlign w:val="center"/>
          </w:tcPr>
          <w:p w14:paraId="10FF600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食品卫生</w:t>
            </w:r>
          </w:p>
        </w:tc>
        <w:tc>
          <w:tcPr>
            <w:tcW w:w="4739" w:type="dxa"/>
            <w:gridSpan w:val="3"/>
            <w:noWrap w:val="0"/>
            <w:vAlign w:val="top"/>
          </w:tcPr>
          <w:p w14:paraId="6779D14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（1）原料、调料、饮料等腐烂、变质</w:t>
            </w:r>
          </w:p>
        </w:tc>
        <w:tc>
          <w:tcPr>
            <w:tcW w:w="1295" w:type="dxa"/>
            <w:noWrap w:val="0"/>
            <w:vAlign w:val="top"/>
          </w:tcPr>
          <w:p w14:paraId="748BE3E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top"/>
          </w:tcPr>
          <w:p w14:paraId="09A33FD1">
            <w:pPr>
              <w:spacing w:line="360" w:lineRule="exact"/>
              <w:jc w:val="center"/>
              <w:rPr>
                <w:rFonts w:hint="eastAsia" w:ascii="宋体" w:hAnsi="宋体" w:eastAsia="宋体" w:cs="宋体"/>
                <w:color w:val="auto"/>
                <w:sz w:val="21"/>
                <w:szCs w:val="21"/>
                <w:highlight w:val="none"/>
              </w:rPr>
            </w:pPr>
          </w:p>
        </w:tc>
      </w:tr>
      <w:tr w14:paraId="3005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32FDE83E">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0F63EEAA">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3B652DD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（2）生熟不分</w:t>
            </w:r>
          </w:p>
        </w:tc>
        <w:tc>
          <w:tcPr>
            <w:tcW w:w="1295" w:type="dxa"/>
            <w:noWrap w:val="0"/>
            <w:vAlign w:val="top"/>
          </w:tcPr>
          <w:p w14:paraId="514B349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66A0A199">
            <w:pPr>
              <w:spacing w:line="360" w:lineRule="exact"/>
              <w:jc w:val="center"/>
              <w:rPr>
                <w:rFonts w:hint="eastAsia" w:ascii="宋体" w:hAnsi="宋体" w:eastAsia="宋体" w:cs="宋体"/>
                <w:color w:val="auto"/>
                <w:sz w:val="21"/>
                <w:szCs w:val="21"/>
                <w:highlight w:val="none"/>
              </w:rPr>
            </w:pPr>
          </w:p>
        </w:tc>
      </w:tr>
      <w:tr w14:paraId="136C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0B2B87C4">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04ABE59D">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1BAEFDB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（3）荤素不分</w:t>
            </w:r>
          </w:p>
        </w:tc>
        <w:tc>
          <w:tcPr>
            <w:tcW w:w="1295" w:type="dxa"/>
            <w:noWrap w:val="0"/>
            <w:vAlign w:val="top"/>
          </w:tcPr>
          <w:p w14:paraId="43C1D92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0EB0FFD4">
            <w:pPr>
              <w:spacing w:line="360" w:lineRule="exact"/>
              <w:jc w:val="center"/>
              <w:rPr>
                <w:rFonts w:hint="eastAsia" w:ascii="宋体" w:hAnsi="宋体" w:eastAsia="宋体" w:cs="宋体"/>
                <w:color w:val="auto"/>
                <w:sz w:val="21"/>
                <w:szCs w:val="21"/>
                <w:highlight w:val="none"/>
              </w:rPr>
            </w:pPr>
          </w:p>
        </w:tc>
      </w:tr>
      <w:tr w14:paraId="2919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3258DFF0">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08177112">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598F820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（4）米/菜清洗不洁</w:t>
            </w:r>
          </w:p>
        </w:tc>
        <w:tc>
          <w:tcPr>
            <w:tcW w:w="1295" w:type="dxa"/>
            <w:noWrap w:val="0"/>
            <w:vAlign w:val="top"/>
          </w:tcPr>
          <w:p w14:paraId="4B5145F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3965A248">
            <w:pPr>
              <w:spacing w:line="360" w:lineRule="exact"/>
              <w:jc w:val="center"/>
              <w:rPr>
                <w:rFonts w:hint="eastAsia" w:ascii="宋体" w:hAnsi="宋体" w:eastAsia="宋体" w:cs="宋体"/>
                <w:color w:val="auto"/>
                <w:sz w:val="21"/>
                <w:szCs w:val="21"/>
                <w:highlight w:val="none"/>
              </w:rPr>
            </w:pPr>
          </w:p>
        </w:tc>
      </w:tr>
      <w:tr w14:paraId="13AD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11ED01A5">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3A67B8E7">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52F0744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（5）使用“三无”产品</w:t>
            </w:r>
          </w:p>
        </w:tc>
        <w:tc>
          <w:tcPr>
            <w:tcW w:w="1295" w:type="dxa"/>
            <w:noWrap w:val="0"/>
            <w:vAlign w:val="top"/>
          </w:tcPr>
          <w:p w14:paraId="17B7949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top"/>
          </w:tcPr>
          <w:p w14:paraId="0E19196F">
            <w:pPr>
              <w:spacing w:line="360" w:lineRule="exact"/>
              <w:jc w:val="center"/>
              <w:rPr>
                <w:rFonts w:hint="eastAsia" w:ascii="宋体" w:hAnsi="宋体" w:eastAsia="宋体" w:cs="宋体"/>
                <w:color w:val="auto"/>
                <w:sz w:val="21"/>
                <w:szCs w:val="21"/>
                <w:highlight w:val="none"/>
              </w:rPr>
            </w:pPr>
          </w:p>
        </w:tc>
      </w:tr>
      <w:tr w14:paraId="72D7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31DF1C66">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70108B78">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7EF5DA3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（6）米面食用油猪肉无检验合格证</w:t>
            </w:r>
          </w:p>
        </w:tc>
        <w:tc>
          <w:tcPr>
            <w:tcW w:w="1295" w:type="dxa"/>
            <w:noWrap w:val="0"/>
            <w:vAlign w:val="top"/>
          </w:tcPr>
          <w:p w14:paraId="31DBB8B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top"/>
          </w:tcPr>
          <w:p w14:paraId="02635937">
            <w:pPr>
              <w:spacing w:line="360" w:lineRule="exact"/>
              <w:jc w:val="center"/>
              <w:rPr>
                <w:rFonts w:hint="eastAsia" w:ascii="宋体" w:hAnsi="宋体" w:eastAsia="宋体" w:cs="宋体"/>
                <w:color w:val="auto"/>
                <w:sz w:val="21"/>
                <w:szCs w:val="21"/>
                <w:highlight w:val="none"/>
              </w:rPr>
            </w:pPr>
          </w:p>
        </w:tc>
      </w:tr>
      <w:tr w14:paraId="7144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noWrap w:val="0"/>
            <w:vAlign w:val="center"/>
          </w:tcPr>
          <w:p w14:paraId="149F890E">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146" w:type="dxa"/>
            <w:gridSpan w:val="2"/>
            <w:noWrap w:val="0"/>
            <w:vAlign w:val="center"/>
          </w:tcPr>
          <w:p w14:paraId="4D8EA46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供应时间</w:t>
            </w:r>
          </w:p>
        </w:tc>
        <w:tc>
          <w:tcPr>
            <w:tcW w:w="4739" w:type="dxa"/>
            <w:gridSpan w:val="3"/>
            <w:noWrap w:val="0"/>
            <w:vAlign w:val="top"/>
          </w:tcPr>
          <w:p w14:paraId="55E6F2A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不准时</w:t>
            </w:r>
          </w:p>
        </w:tc>
        <w:tc>
          <w:tcPr>
            <w:tcW w:w="1295" w:type="dxa"/>
            <w:noWrap w:val="0"/>
            <w:vAlign w:val="top"/>
          </w:tcPr>
          <w:p w14:paraId="5C996980">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45CF1EF8">
            <w:pPr>
              <w:spacing w:line="360" w:lineRule="exact"/>
              <w:jc w:val="center"/>
              <w:rPr>
                <w:rFonts w:hint="eastAsia" w:ascii="宋体" w:hAnsi="宋体" w:eastAsia="宋体" w:cs="宋体"/>
                <w:color w:val="auto"/>
                <w:sz w:val="21"/>
                <w:szCs w:val="21"/>
                <w:highlight w:val="none"/>
              </w:rPr>
            </w:pPr>
          </w:p>
        </w:tc>
      </w:tr>
      <w:tr w14:paraId="79D6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78031834">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146" w:type="dxa"/>
            <w:gridSpan w:val="2"/>
            <w:vMerge w:val="restart"/>
            <w:noWrap w:val="0"/>
            <w:vAlign w:val="center"/>
          </w:tcPr>
          <w:p w14:paraId="1EB77DE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品种及</w:t>
            </w:r>
          </w:p>
          <w:p w14:paraId="17690B3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4739" w:type="dxa"/>
            <w:gridSpan w:val="3"/>
            <w:noWrap w:val="0"/>
            <w:vAlign w:val="top"/>
          </w:tcPr>
          <w:p w14:paraId="0D0C9AC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（1）早餐少于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个品种</w:t>
            </w:r>
          </w:p>
        </w:tc>
        <w:tc>
          <w:tcPr>
            <w:tcW w:w="1295" w:type="dxa"/>
            <w:noWrap w:val="0"/>
            <w:vAlign w:val="top"/>
          </w:tcPr>
          <w:p w14:paraId="5A6D0CF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top"/>
          </w:tcPr>
          <w:p w14:paraId="7C565E06">
            <w:pPr>
              <w:spacing w:line="360" w:lineRule="exact"/>
              <w:jc w:val="center"/>
              <w:rPr>
                <w:rFonts w:hint="eastAsia" w:ascii="宋体" w:hAnsi="宋体" w:eastAsia="宋体" w:cs="宋体"/>
                <w:color w:val="auto"/>
                <w:sz w:val="21"/>
                <w:szCs w:val="21"/>
                <w:highlight w:val="none"/>
              </w:rPr>
            </w:pPr>
          </w:p>
        </w:tc>
      </w:tr>
      <w:tr w14:paraId="49D5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0F306AF5">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60CE2B31">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4DEE53B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（2）中餐少于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个品种</w:t>
            </w:r>
          </w:p>
        </w:tc>
        <w:tc>
          <w:tcPr>
            <w:tcW w:w="1295" w:type="dxa"/>
            <w:noWrap w:val="0"/>
            <w:vAlign w:val="top"/>
          </w:tcPr>
          <w:p w14:paraId="2DBFBFB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top"/>
          </w:tcPr>
          <w:p w14:paraId="28F0FECF">
            <w:pPr>
              <w:spacing w:line="360" w:lineRule="exact"/>
              <w:jc w:val="center"/>
              <w:rPr>
                <w:rFonts w:hint="eastAsia" w:ascii="宋体" w:hAnsi="宋体" w:eastAsia="宋体" w:cs="宋体"/>
                <w:color w:val="auto"/>
                <w:sz w:val="21"/>
                <w:szCs w:val="21"/>
                <w:highlight w:val="none"/>
              </w:rPr>
            </w:pPr>
          </w:p>
        </w:tc>
      </w:tr>
      <w:tr w14:paraId="062B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12843231">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20BC373E">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38312AE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（3）晚餐少于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个品种</w:t>
            </w:r>
          </w:p>
        </w:tc>
        <w:tc>
          <w:tcPr>
            <w:tcW w:w="1295" w:type="dxa"/>
            <w:noWrap w:val="0"/>
            <w:vAlign w:val="top"/>
          </w:tcPr>
          <w:p w14:paraId="2E65545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top"/>
          </w:tcPr>
          <w:p w14:paraId="589F12BF">
            <w:pPr>
              <w:spacing w:line="360" w:lineRule="exact"/>
              <w:jc w:val="center"/>
              <w:rPr>
                <w:rFonts w:hint="eastAsia" w:ascii="宋体" w:hAnsi="宋体" w:eastAsia="宋体" w:cs="宋体"/>
                <w:color w:val="auto"/>
                <w:sz w:val="21"/>
                <w:szCs w:val="21"/>
                <w:highlight w:val="none"/>
              </w:rPr>
            </w:pPr>
          </w:p>
        </w:tc>
      </w:tr>
      <w:tr w14:paraId="6E9D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204693C2">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586772BD">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4A812E6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（4）未保温</w:t>
            </w:r>
          </w:p>
        </w:tc>
        <w:tc>
          <w:tcPr>
            <w:tcW w:w="1295" w:type="dxa"/>
            <w:noWrap w:val="0"/>
            <w:vAlign w:val="top"/>
          </w:tcPr>
          <w:p w14:paraId="3D7A785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34BBC7AF">
            <w:pPr>
              <w:spacing w:line="360" w:lineRule="exact"/>
              <w:jc w:val="center"/>
              <w:rPr>
                <w:rFonts w:hint="eastAsia" w:ascii="宋体" w:hAnsi="宋体" w:eastAsia="宋体" w:cs="宋体"/>
                <w:color w:val="auto"/>
                <w:sz w:val="21"/>
                <w:szCs w:val="21"/>
                <w:highlight w:val="none"/>
              </w:rPr>
            </w:pPr>
          </w:p>
        </w:tc>
      </w:tr>
      <w:tr w14:paraId="02EB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005DD766">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559D96BF">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4A88D34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（5）未明码标价</w:t>
            </w:r>
          </w:p>
        </w:tc>
        <w:tc>
          <w:tcPr>
            <w:tcW w:w="1295" w:type="dxa"/>
            <w:noWrap w:val="0"/>
            <w:vAlign w:val="top"/>
          </w:tcPr>
          <w:p w14:paraId="6A1E76D7">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5BF4FB2F">
            <w:pPr>
              <w:spacing w:line="360" w:lineRule="exact"/>
              <w:jc w:val="center"/>
              <w:rPr>
                <w:rFonts w:hint="eastAsia" w:ascii="宋体" w:hAnsi="宋体" w:eastAsia="宋体" w:cs="宋体"/>
                <w:color w:val="auto"/>
                <w:sz w:val="21"/>
                <w:szCs w:val="21"/>
                <w:highlight w:val="none"/>
              </w:rPr>
            </w:pPr>
          </w:p>
        </w:tc>
      </w:tr>
      <w:tr w14:paraId="6F2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722" w:type="dxa"/>
            <w:vMerge w:val="continue"/>
            <w:noWrap w:val="0"/>
            <w:vAlign w:val="top"/>
          </w:tcPr>
          <w:p w14:paraId="032FF630">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789A8C08">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168AD894">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（6）擅自变更价格（饭菜及主食品价格由医院审定后确定，不准擅自上调价格。如上调可上报医院审批后执行）</w:t>
            </w:r>
          </w:p>
        </w:tc>
        <w:tc>
          <w:tcPr>
            <w:tcW w:w="1295" w:type="dxa"/>
            <w:noWrap w:val="0"/>
            <w:vAlign w:val="center"/>
          </w:tcPr>
          <w:p w14:paraId="6CD536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200元/次</w:t>
            </w:r>
          </w:p>
        </w:tc>
        <w:tc>
          <w:tcPr>
            <w:tcW w:w="1717" w:type="dxa"/>
            <w:noWrap w:val="0"/>
            <w:vAlign w:val="center"/>
          </w:tcPr>
          <w:p w14:paraId="79E99547">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p>
        </w:tc>
      </w:tr>
      <w:tr w14:paraId="08E2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02490FA3">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146" w:type="dxa"/>
            <w:gridSpan w:val="2"/>
            <w:vMerge w:val="restart"/>
            <w:noWrap w:val="0"/>
            <w:vAlign w:val="center"/>
          </w:tcPr>
          <w:p w14:paraId="52BF150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份量</w:t>
            </w:r>
          </w:p>
        </w:tc>
        <w:tc>
          <w:tcPr>
            <w:tcW w:w="4739" w:type="dxa"/>
            <w:gridSpan w:val="3"/>
            <w:noWrap w:val="0"/>
            <w:vAlign w:val="center"/>
          </w:tcPr>
          <w:p w14:paraId="4C23E2F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（1）低于甲方要求</w:t>
            </w:r>
          </w:p>
        </w:tc>
        <w:tc>
          <w:tcPr>
            <w:tcW w:w="1295" w:type="dxa"/>
            <w:noWrap w:val="0"/>
            <w:vAlign w:val="center"/>
          </w:tcPr>
          <w:p w14:paraId="527709A5">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30FA8388">
            <w:pPr>
              <w:spacing w:line="360" w:lineRule="exact"/>
              <w:jc w:val="center"/>
              <w:rPr>
                <w:rFonts w:hint="eastAsia" w:ascii="宋体" w:hAnsi="宋体" w:eastAsia="宋体" w:cs="宋体"/>
                <w:color w:val="auto"/>
                <w:sz w:val="21"/>
                <w:szCs w:val="21"/>
                <w:highlight w:val="none"/>
              </w:rPr>
            </w:pPr>
          </w:p>
        </w:tc>
      </w:tr>
      <w:tr w14:paraId="35EC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65EE11AA">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0C8E5AC5">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58A1E7B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（2）未设置供就餐较秤计量装置</w:t>
            </w:r>
          </w:p>
        </w:tc>
        <w:tc>
          <w:tcPr>
            <w:tcW w:w="1295" w:type="dxa"/>
            <w:noWrap w:val="0"/>
            <w:vAlign w:val="center"/>
          </w:tcPr>
          <w:p w14:paraId="307618DE">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7B2FC4CC">
            <w:pPr>
              <w:spacing w:line="360" w:lineRule="exact"/>
              <w:jc w:val="center"/>
              <w:rPr>
                <w:rFonts w:hint="eastAsia" w:ascii="宋体" w:hAnsi="宋体" w:eastAsia="宋体" w:cs="宋体"/>
                <w:color w:val="auto"/>
                <w:sz w:val="21"/>
                <w:szCs w:val="21"/>
                <w:highlight w:val="none"/>
              </w:rPr>
            </w:pPr>
          </w:p>
        </w:tc>
      </w:tr>
      <w:tr w14:paraId="18CD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2AB87421">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146" w:type="dxa"/>
            <w:gridSpan w:val="2"/>
            <w:vMerge w:val="restart"/>
            <w:noWrap w:val="0"/>
            <w:vAlign w:val="center"/>
          </w:tcPr>
          <w:p w14:paraId="63BE88E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w:t>
            </w:r>
          </w:p>
        </w:tc>
        <w:tc>
          <w:tcPr>
            <w:tcW w:w="4739" w:type="dxa"/>
            <w:gridSpan w:val="3"/>
            <w:noWrap w:val="0"/>
            <w:vAlign w:val="center"/>
          </w:tcPr>
          <w:p w14:paraId="6882679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（1）餐具未能作到一洗二清三消毒</w:t>
            </w:r>
          </w:p>
        </w:tc>
        <w:tc>
          <w:tcPr>
            <w:tcW w:w="1295" w:type="dxa"/>
            <w:noWrap w:val="0"/>
            <w:vAlign w:val="center"/>
          </w:tcPr>
          <w:p w14:paraId="1D132C3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5CBBB464">
            <w:pPr>
              <w:spacing w:line="360" w:lineRule="exact"/>
              <w:jc w:val="center"/>
              <w:rPr>
                <w:rFonts w:hint="eastAsia" w:ascii="宋体" w:hAnsi="宋体" w:eastAsia="宋体" w:cs="宋体"/>
                <w:color w:val="auto"/>
                <w:sz w:val="21"/>
                <w:szCs w:val="21"/>
                <w:highlight w:val="none"/>
              </w:rPr>
            </w:pPr>
          </w:p>
        </w:tc>
      </w:tr>
      <w:tr w14:paraId="17CB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6E4F4A2D">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39F972D9">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7A0B0BD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（2）无记录</w:t>
            </w:r>
          </w:p>
        </w:tc>
        <w:tc>
          <w:tcPr>
            <w:tcW w:w="1295" w:type="dxa"/>
            <w:noWrap w:val="0"/>
            <w:vAlign w:val="center"/>
          </w:tcPr>
          <w:p w14:paraId="65C2D2C5">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47DE8031">
            <w:pPr>
              <w:spacing w:line="360" w:lineRule="exact"/>
              <w:jc w:val="center"/>
              <w:rPr>
                <w:rFonts w:hint="eastAsia" w:ascii="宋体" w:hAnsi="宋体" w:eastAsia="宋体" w:cs="宋体"/>
                <w:color w:val="auto"/>
                <w:sz w:val="21"/>
                <w:szCs w:val="21"/>
                <w:highlight w:val="none"/>
              </w:rPr>
            </w:pPr>
          </w:p>
        </w:tc>
      </w:tr>
      <w:tr w14:paraId="0DF2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74C7ECA3">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146" w:type="dxa"/>
            <w:gridSpan w:val="2"/>
            <w:vMerge w:val="restart"/>
            <w:noWrap w:val="0"/>
            <w:vAlign w:val="center"/>
          </w:tcPr>
          <w:p w14:paraId="626B43A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炊具卫生</w:t>
            </w:r>
          </w:p>
        </w:tc>
        <w:tc>
          <w:tcPr>
            <w:tcW w:w="4739" w:type="dxa"/>
            <w:gridSpan w:val="3"/>
            <w:noWrap w:val="0"/>
            <w:vAlign w:val="center"/>
          </w:tcPr>
          <w:p w14:paraId="0A603E3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（1）有油污/灰尘</w:t>
            </w:r>
          </w:p>
        </w:tc>
        <w:tc>
          <w:tcPr>
            <w:tcW w:w="1295" w:type="dxa"/>
            <w:noWrap w:val="0"/>
            <w:vAlign w:val="center"/>
          </w:tcPr>
          <w:p w14:paraId="2E2018A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7A101955">
            <w:pPr>
              <w:spacing w:line="360" w:lineRule="exact"/>
              <w:jc w:val="center"/>
              <w:rPr>
                <w:rFonts w:hint="eastAsia" w:ascii="宋体" w:hAnsi="宋体" w:eastAsia="宋体" w:cs="宋体"/>
                <w:color w:val="auto"/>
                <w:sz w:val="21"/>
                <w:szCs w:val="21"/>
                <w:highlight w:val="none"/>
              </w:rPr>
            </w:pPr>
          </w:p>
        </w:tc>
      </w:tr>
      <w:tr w14:paraId="4371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40AF019C">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6D60D037">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7E0CE59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（2）摆放不整</w:t>
            </w:r>
          </w:p>
        </w:tc>
        <w:tc>
          <w:tcPr>
            <w:tcW w:w="1295" w:type="dxa"/>
            <w:noWrap w:val="0"/>
            <w:vAlign w:val="center"/>
          </w:tcPr>
          <w:p w14:paraId="654CDF45">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27CA25E1">
            <w:pPr>
              <w:spacing w:line="360" w:lineRule="exact"/>
              <w:jc w:val="center"/>
              <w:rPr>
                <w:rFonts w:hint="eastAsia" w:ascii="宋体" w:hAnsi="宋体" w:eastAsia="宋体" w:cs="宋体"/>
                <w:color w:val="auto"/>
                <w:sz w:val="21"/>
                <w:szCs w:val="21"/>
                <w:highlight w:val="none"/>
              </w:rPr>
            </w:pPr>
          </w:p>
        </w:tc>
      </w:tr>
      <w:tr w14:paraId="7C5F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72F89EDB">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634866F8">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61E6F2C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（3）卫生监督部门检测不合格</w:t>
            </w:r>
          </w:p>
        </w:tc>
        <w:tc>
          <w:tcPr>
            <w:tcW w:w="1295" w:type="dxa"/>
            <w:noWrap w:val="0"/>
            <w:vAlign w:val="center"/>
          </w:tcPr>
          <w:p w14:paraId="64AD35C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500元/次</w:t>
            </w:r>
          </w:p>
        </w:tc>
        <w:tc>
          <w:tcPr>
            <w:tcW w:w="1717" w:type="dxa"/>
            <w:noWrap w:val="0"/>
            <w:vAlign w:val="center"/>
          </w:tcPr>
          <w:p w14:paraId="2EABBF3C">
            <w:pPr>
              <w:spacing w:line="360" w:lineRule="exact"/>
              <w:jc w:val="center"/>
              <w:rPr>
                <w:rFonts w:hint="eastAsia" w:ascii="宋体" w:hAnsi="宋体" w:eastAsia="宋体" w:cs="宋体"/>
                <w:color w:val="auto"/>
                <w:sz w:val="21"/>
                <w:szCs w:val="21"/>
                <w:highlight w:val="none"/>
              </w:rPr>
            </w:pPr>
          </w:p>
        </w:tc>
      </w:tr>
      <w:tr w14:paraId="4266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776D250A">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146" w:type="dxa"/>
            <w:gridSpan w:val="2"/>
            <w:vMerge w:val="restart"/>
            <w:noWrap w:val="0"/>
            <w:vAlign w:val="center"/>
          </w:tcPr>
          <w:p w14:paraId="53540C2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主副食仓库卫生</w:t>
            </w:r>
          </w:p>
        </w:tc>
        <w:tc>
          <w:tcPr>
            <w:tcW w:w="4739" w:type="dxa"/>
            <w:gridSpan w:val="3"/>
            <w:noWrap w:val="0"/>
            <w:vAlign w:val="center"/>
          </w:tcPr>
          <w:p w14:paraId="41E577D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（1）堆放不整</w:t>
            </w:r>
          </w:p>
        </w:tc>
        <w:tc>
          <w:tcPr>
            <w:tcW w:w="1295" w:type="dxa"/>
            <w:noWrap w:val="0"/>
            <w:vAlign w:val="center"/>
          </w:tcPr>
          <w:p w14:paraId="11ECA25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1B61D98E">
            <w:pPr>
              <w:spacing w:line="360" w:lineRule="exact"/>
              <w:jc w:val="center"/>
              <w:rPr>
                <w:rFonts w:hint="eastAsia" w:ascii="宋体" w:hAnsi="宋体" w:eastAsia="宋体" w:cs="宋体"/>
                <w:color w:val="auto"/>
                <w:sz w:val="21"/>
                <w:szCs w:val="21"/>
                <w:highlight w:val="none"/>
              </w:rPr>
            </w:pPr>
          </w:p>
        </w:tc>
      </w:tr>
      <w:tr w14:paraId="680B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170E0E60">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1183B6EF">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640FCF8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（2）有蜘蛛网</w:t>
            </w:r>
          </w:p>
        </w:tc>
        <w:tc>
          <w:tcPr>
            <w:tcW w:w="1295" w:type="dxa"/>
            <w:noWrap w:val="0"/>
            <w:vAlign w:val="center"/>
          </w:tcPr>
          <w:p w14:paraId="6538BE3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1A7B0733">
            <w:pPr>
              <w:spacing w:line="360" w:lineRule="exact"/>
              <w:jc w:val="center"/>
              <w:rPr>
                <w:rFonts w:hint="eastAsia" w:ascii="宋体" w:hAnsi="宋体" w:eastAsia="宋体" w:cs="宋体"/>
                <w:color w:val="auto"/>
                <w:sz w:val="21"/>
                <w:szCs w:val="21"/>
                <w:highlight w:val="none"/>
              </w:rPr>
            </w:pPr>
          </w:p>
        </w:tc>
      </w:tr>
      <w:tr w14:paraId="494D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2B721092">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278A52C1">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614DD59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（3）地面不洁</w:t>
            </w:r>
          </w:p>
        </w:tc>
        <w:tc>
          <w:tcPr>
            <w:tcW w:w="1295" w:type="dxa"/>
            <w:noWrap w:val="0"/>
            <w:vAlign w:val="center"/>
          </w:tcPr>
          <w:p w14:paraId="06B40A8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1A61DD47">
            <w:pPr>
              <w:spacing w:line="360" w:lineRule="exact"/>
              <w:jc w:val="center"/>
              <w:rPr>
                <w:rFonts w:hint="eastAsia" w:ascii="宋体" w:hAnsi="宋体" w:eastAsia="宋体" w:cs="宋体"/>
                <w:color w:val="auto"/>
                <w:sz w:val="21"/>
                <w:szCs w:val="21"/>
                <w:highlight w:val="none"/>
              </w:rPr>
            </w:pPr>
          </w:p>
        </w:tc>
      </w:tr>
      <w:tr w14:paraId="1EF8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22164471">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4C72D511">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2E63CBC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（4）分类不清</w:t>
            </w:r>
          </w:p>
        </w:tc>
        <w:tc>
          <w:tcPr>
            <w:tcW w:w="1295" w:type="dxa"/>
            <w:noWrap w:val="0"/>
            <w:vAlign w:val="center"/>
          </w:tcPr>
          <w:p w14:paraId="2AC25165">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77423E1F">
            <w:pPr>
              <w:spacing w:line="360" w:lineRule="exact"/>
              <w:jc w:val="center"/>
              <w:rPr>
                <w:rFonts w:hint="eastAsia" w:ascii="宋体" w:hAnsi="宋体" w:eastAsia="宋体" w:cs="宋体"/>
                <w:color w:val="auto"/>
                <w:sz w:val="21"/>
                <w:szCs w:val="21"/>
                <w:highlight w:val="none"/>
              </w:rPr>
            </w:pPr>
          </w:p>
        </w:tc>
      </w:tr>
      <w:tr w14:paraId="54C4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6AE36090">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23AB71D6">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4E043F8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（5）无标签</w:t>
            </w:r>
          </w:p>
        </w:tc>
        <w:tc>
          <w:tcPr>
            <w:tcW w:w="1295" w:type="dxa"/>
            <w:noWrap w:val="0"/>
            <w:vAlign w:val="center"/>
          </w:tcPr>
          <w:p w14:paraId="2006D05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72948C38">
            <w:pPr>
              <w:spacing w:line="360" w:lineRule="exact"/>
              <w:jc w:val="center"/>
              <w:rPr>
                <w:rFonts w:hint="eastAsia" w:ascii="宋体" w:hAnsi="宋体" w:eastAsia="宋体" w:cs="宋体"/>
                <w:color w:val="auto"/>
                <w:sz w:val="21"/>
                <w:szCs w:val="21"/>
                <w:highlight w:val="none"/>
              </w:rPr>
            </w:pPr>
          </w:p>
        </w:tc>
      </w:tr>
      <w:tr w14:paraId="4CEF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1BC89E11">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750CD533">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4AE6501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（6）存放杂物</w:t>
            </w:r>
          </w:p>
        </w:tc>
        <w:tc>
          <w:tcPr>
            <w:tcW w:w="1295" w:type="dxa"/>
            <w:noWrap w:val="0"/>
            <w:vAlign w:val="center"/>
          </w:tcPr>
          <w:p w14:paraId="64BBA1F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153B21A5">
            <w:pPr>
              <w:spacing w:line="360" w:lineRule="exact"/>
              <w:jc w:val="center"/>
              <w:rPr>
                <w:rFonts w:hint="eastAsia" w:ascii="宋体" w:hAnsi="宋体" w:eastAsia="宋体" w:cs="宋体"/>
                <w:color w:val="auto"/>
                <w:sz w:val="21"/>
                <w:szCs w:val="21"/>
                <w:highlight w:val="none"/>
              </w:rPr>
            </w:pPr>
          </w:p>
        </w:tc>
      </w:tr>
      <w:tr w14:paraId="4E33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7DB94E83">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146" w:type="dxa"/>
            <w:gridSpan w:val="2"/>
            <w:vMerge w:val="restart"/>
            <w:noWrap w:val="0"/>
            <w:vAlign w:val="center"/>
          </w:tcPr>
          <w:p w14:paraId="076FC85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4739" w:type="dxa"/>
            <w:gridSpan w:val="3"/>
            <w:noWrap w:val="0"/>
            <w:vAlign w:val="center"/>
          </w:tcPr>
          <w:p w14:paraId="394F09A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（1）言行举止不和谐，污言秽语</w:t>
            </w:r>
          </w:p>
        </w:tc>
        <w:tc>
          <w:tcPr>
            <w:tcW w:w="1295" w:type="dxa"/>
            <w:noWrap w:val="0"/>
            <w:vAlign w:val="center"/>
          </w:tcPr>
          <w:p w14:paraId="206E6FB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20元/次</w:t>
            </w:r>
          </w:p>
        </w:tc>
        <w:tc>
          <w:tcPr>
            <w:tcW w:w="1717" w:type="dxa"/>
            <w:noWrap w:val="0"/>
            <w:vAlign w:val="center"/>
          </w:tcPr>
          <w:p w14:paraId="53C9FA8E">
            <w:pPr>
              <w:spacing w:line="360" w:lineRule="exact"/>
              <w:jc w:val="center"/>
              <w:rPr>
                <w:rFonts w:hint="eastAsia" w:ascii="宋体" w:hAnsi="宋体" w:eastAsia="宋体" w:cs="宋体"/>
                <w:color w:val="auto"/>
                <w:sz w:val="21"/>
                <w:szCs w:val="21"/>
                <w:highlight w:val="none"/>
              </w:rPr>
            </w:pPr>
          </w:p>
        </w:tc>
      </w:tr>
      <w:tr w14:paraId="539E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7ACB7C76">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090889CE">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5DA00E3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（2）与就餐人员争吵，态度恶劣</w:t>
            </w:r>
          </w:p>
        </w:tc>
        <w:tc>
          <w:tcPr>
            <w:tcW w:w="1295" w:type="dxa"/>
            <w:noWrap w:val="0"/>
            <w:vAlign w:val="center"/>
          </w:tcPr>
          <w:p w14:paraId="362AF99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center"/>
          </w:tcPr>
          <w:p w14:paraId="4D534F48">
            <w:pPr>
              <w:spacing w:line="360" w:lineRule="exact"/>
              <w:jc w:val="center"/>
              <w:rPr>
                <w:rFonts w:hint="eastAsia" w:ascii="宋体" w:hAnsi="宋体" w:eastAsia="宋体" w:cs="宋体"/>
                <w:color w:val="auto"/>
                <w:sz w:val="21"/>
                <w:szCs w:val="21"/>
                <w:highlight w:val="none"/>
              </w:rPr>
            </w:pPr>
          </w:p>
        </w:tc>
      </w:tr>
      <w:tr w14:paraId="604E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7453B08D">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3CC2CCFF">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2226459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（3）与就餐人员打架</w:t>
            </w:r>
          </w:p>
        </w:tc>
        <w:tc>
          <w:tcPr>
            <w:tcW w:w="1295" w:type="dxa"/>
            <w:noWrap w:val="0"/>
            <w:vAlign w:val="center"/>
          </w:tcPr>
          <w:p w14:paraId="19556D9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100元/次</w:t>
            </w:r>
          </w:p>
        </w:tc>
        <w:tc>
          <w:tcPr>
            <w:tcW w:w="1717" w:type="dxa"/>
            <w:noWrap w:val="0"/>
            <w:vAlign w:val="center"/>
          </w:tcPr>
          <w:p w14:paraId="600CDAF2">
            <w:pPr>
              <w:spacing w:line="360" w:lineRule="exact"/>
              <w:jc w:val="center"/>
              <w:rPr>
                <w:rFonts w:hint="eastAsia" w:ascii="宋体" w:hAnsi="宋体" w:eastAsia="宋体" w:cs="宋体"/>
                <w:color w:val="auto"/>
                <w:sz w:val="21"/>
                <w:szCs w:val="21"/>
                <w:highlight w:val="none"/>
              </w:rPr>
            </w:pPr>
          </w:p>
        </w:tc>
      </w:tr>
      <w:tr w14:paraId="1779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3F13EFDB">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4D4C7D1C">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324BBBF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（4）不服从甲方统筹管理</w:t>
            </w:r>
          </w:p>
        </w:tc>
        <w:tc>
          <w:tcPr>
            <w:tcW w:w="1295" w:type="dxa"/>
            <w:noWrap w:val="0"/>
            <w:vAlign w:val="center"/>
          </w:tcPr>
          <w:p w14:paraId="3D1F668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200元/次</w:t>
            </w:r>
          </w:p>
        </w:tc>
        <w:tc>
          <w:tcPr>
            <w:tcW w:w="1717" w:type="dxa"/>
            <w:noWrap w:val="0"/>
            <w:vAlign w:val="center"/>
          </w:tcPr>
          <w:p w14:paraId="129E2FD4">
            <w:pPr>
              <w:spacing w:line="360" w:lineRule="exact"/>
              <w:jc w:val="center"/>
              <w:rPr>
                <w:rFonts w:hint="eastAsia" w:ascii="宋体" w:hAnsi="宋体" w:eastAsia="宋体" w:cs="宋体"/>
                <w:color w:val="auto"/>
                <w:sz w:val="21"/>
                <w:szCs w:val="21"/>
                <w:highlight w:val="none"/>
              </w:rPr>
            </w:pPr>
          </w:p>
        </w:tc>
      </w:tr>
      <w:tr w14:paraId="08EC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09C759DE">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0C923901">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1A1211E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（5）投诉处理不及时 </w:t>
            </w:r>
          </w:p>
        </w:tc>
        <w:tc>
          <w:tcPr>
            <w:tcW w:w="1295" w:type="dxa"/>
            <w:noWrap w:val="0"/>
            <w:vAlign w:val="center"/>
          </w:tcPr>
          <w:p w14:paraId="64E163E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20元/次</w:t>
            </w:r>
          </w:p>
        </w:tc>
        <w:tc>
          <w:tcPr>
            <w:tcW w:w="1717" w:type="dxa"/>
            <w:noWrap w:val="0"/>
            <w:vAlign w:val="center"/>
          </w:tcPr>
          <w:p w14:paraId="1D6FC816">
            <w:pPr>
              <w:spacing w:line="360" w:lineRule="exact"/>
              <w:jc w:val="center"/>
              <w:rPr>
                <w:rFonts w:hint="eastAsia" w:ascii="宋体" w:hAnsi="宋体" w:eastAsia="宋体" w:cs="宋体"/>
                <w:color w:val="auto"/>
                <w:sz w:val="21"/>
                <w:szCs w:val="21"/>
                <w:highlight w:val="none"/>
              </w:rPr>
            </w:pPr>
          </w:p>
        </w:tc>
      </w:tr>
      <w:tr w14:paraId="5B24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2EE97C7E">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1DF972A3">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24937BC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（6）未设立意见簿</w:t>
            </w:r>
          </w:p>
        </w:tc>
        <w:tc>
          <w:tcPr>
            <w:tcW w:w="1295" w:type="dxa"/>
            <w:noWrap w:val="0"/>
            <w:vAlign w:val="center"/>
          </w:tcPr>
          <w:p w14:paraId="09A5D37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20元/次</w:t>
            </w:r>
          </w:p>
        </w:tc>
        <w:tc>
          <w:tcPr>
            <w:tcW w:w="1717" w:type="dxa"/>
            <w:noWrap w:val="0"/>
            <w:vAlign w:val="center"/>
          </w:tcPr>
          <w:p w14:paraId="2A2925E4">
            <w:pPr>
              <w:spacing w:line="360" w:lineRule="exact"/>
              <w:jc w:val="center"/>
              <w:rPr>
                <w:rFonts w:hint="eastAsia" w:ascii="宋体" w:hAnsi="宋体" w:eastAsia="宋体" w:cs="宋体"/>
                <w:color w:val="auto"/>
                <w:sz w:val="21"/>
                <w:szCs w:val="21"/>
                <w:highlight w:val="none"/>
              </w:rPr>
            </w:pPr>
          </w:p>
        </w:tc>
      </w:tr>
      <w:tr w14:paraId="7060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1E9EE7A0">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1146" w:type="dxa"/>
            <w:gridSpan w:val="2"/>
            <w:vMerge w:val="restart"/>
            <w:noWrap w:val="0"/>
            <w:vAlign w:val="center"/>
          </w:tcPr>
          <w:p w14:paraId="27407F8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冷库卫生</w:t>
            </w:r>
          </w:p>
        </w:tc>
        <w:tc>
          <w:tcPr>
            <w:tcW w:w="4739" w:type="dxa"/>
            <w:gridSpan w:val="3"/>
            <w:noWrap w:val="0"/>
            <w:vAlign w:val="center"/>
          </w:tcPr>
          <w:p w14:paraId="6D02423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（1）冷冻物品乱放</w:t>
            </w:r>
          </w:p>
        </w:tc>
        <w:tc>
          <w:tcPr>
            <w:tcW w:w="1295" w:type="dxa"/>
            <w:noWrap w:val="0"/>
            <w:vAlign w:val="center"/>
          </w:tcPr>
          <w:p w14:paraId="411D0C8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28785549">
            <w:pPr>
              <w:spacing w:line="360" w:lineRule="exact"/>
              <w:jc w:val="center"/>
              <w:rPr>
                <w:rFonts w:hint="eastAsia" w:ascii="宋体" w:hAnsi="宋体" w:eastAsia="宋体" w:cs="宋体"/>
                <w:color w:val="auto"/>
                <w:sz w:val="21"/>
                <w:szCs w:val="21"/>
                <w:highlight w:val="none"/>
              </w:rPr>
            </w:pPr>
          </w:p>
        </w:tc>
      </w:tr>
      <w:tr w14:paraId="5871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0B766376">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5B314225">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53A83C6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（2）生熟不分</w:t>
            </w:r>
          </w:p>
        </w:tc>
        <w:tc>
          <w:tcPr>
            <w:tcW w:w="1295" w:type="dxa"/>
            <w:noWrap w:val="0"/>
            <w:vAlign w:val="center"/>
          </w:tcPr>
          <w:p w14:paraId="10E76F1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center"/>
          </w:tcPr>
          <w:p w14:paraId="19650E2E">
            <w:pPr>
              <w:spacing w:line="360" w:lineRule="exact"/>
              <w:jc w:val="center"/>
              <w:rPr>
                <w:rFonts w:hint="eastAsia" w:ascii="宋体" w:hAnsi="宋体" w:eastAsia="宋体" w:cs="宋体"/>
                <w:color w:val="auto"/>
                <w:sz w:val="21"/>
                <w:szCs w:val="21"/>
                <w:highlight w:val="none"/>
              </w:rPr>
            </w:pPr>
          </w:p>
        </w:tc>
      </w:tr>
      <w:tr w14:paraId="0A28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1DA6BD9A">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6BF7FA22">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4B8D87E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（3）荤素不分</w:t>
            </w:r>
          </w:p>
        </w:tc>
        <w:tc>
          <w:tcPr>
            <w:tcW w:w="1295" w:type="dxa"/>
            <w:noWrap w:val="0"/>
            <w:vAlign w:val="top"/>
          </w:tcPr>
          <w:p w14:paraId="2D190D8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6516010F">
            <w:pPr>
              <w:spacing w:line="360" w:lineRule="exact"/>
              <w:jc w:val="center"/>
              <w:rPr>
                <w:rFonts w:hint="eastAsia" w:ascii="宋体" w:hAnsi="宋体" w:eastAsia="宋体" w:cs="宋体"/>
                <w:color w:val="auto"/>
                <w:sz w:val="21"/>
                <w:szCs w:val="21"/>
                <w:highlight w:val="none"/>
              </w:rPr>
            </w:pPr>
          </w:p>
        </w:tc>
      </w:tr>
      <w:tr w14:paraId="21B6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6D528EF5">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651EBD7C">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40AD26F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（4）冷库地面不洁</w:t>
            </w:r>
          </w:p>
        </w:tc>
        <w:tc>
          <w:tcPr>
            <w:tcW w:w="1295" w:type="dxa"/>
            <w:noWrap w:val="0"/>
            <w:vAlign w:val="top"/>
          </w:tcPr>
          <w:p w14:paraId="45FE9E7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51C87EC4">
            <w:pPr>
              <w:spacing w:line="360" w:lineRule="exact"/>
              <w:jc w:val="center"/>
              <w:rPr>
                <w:rFonts w:hint="eastAsia" w:ascii="宋体" w:hAnsi="宋体" w:eastAsia="宋体" w:cs="宋体"/>
                <w:color w:val="auto"/>
                <w:sz w:val="21"/>
                <w:szCs w:val="21"/>
                <w:highlight w:val="none"/>
              </w:rPr>
            </w:pPr>
          </w:p>
        </w:tc>
      </w:tr>
      <w:tr w14:paraId="7E25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2D4145FA">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1146" w:type="dxa"/>
            <w:gridSpan w:val="2"/>
            <w:vMerge w:val="restart"/>
            <w:noWrap w:val="0"/>
            <w:vAlign w:val="center"/>
          </w:tcPr>
          <w:p w14:paraId="38AD186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食品加工 </w:t>
            </w:r>
          </w:p>
        </w:tc>
        <w:tc>
          <w:tcPr>
            <w:tcW w:w="4739" w:type="dxa"/>
            <w:gridSpan w:val="3"/>
            <w:noWrap w:val="0"/>
            <w:vAlign w:val="center"/>
          </w:tcPr>
          <w:p w14:paraId="2C0BD33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（1）荤菜、素切在同一区域加工</w:t>
            </w:r>
          </w:p>
        </w:tc>
        <w:tc>
          <w:tcPr>
            <w:tcW w:w="1295" w:type="dxa"/>
            <w:noWrap w:val="0"/>
            <w:vAlign w:val="center"/>
          </w:tcPr>
          <w:p w14:paraId="54DB105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center"/>
          </w:tcPr>
          <w:p w14:paraId="2EC15CA0">
            <w:pPr>
              <w:spacing w:line="360" w:lineRule="exact"/>
              <w:rPr>
                <w:rFonts w:hint="eastAsia" w:ascii="宋体" w:hAnsi="宋体" w:eastAsia="宋体" w:cs="宋体"/>
                <w:color w:val="auto"/>
                <w:sz w:val="21"/>
                <w:szCs w:val="21"/>
                <w:highlight w:val="none"/>
              </w:rPr>
            </w:pPr>
          </w:p>
        </w:tc>
      </w:tr>
      <w:tr w14:paraId="7388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233B9E45">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tc>
        <w:tc>
          <w:tcPr>
            <w:tcW w:w="1146" w:type="dxa"/>
            <w:gridSpan w:val="2"/>
            <w:vMerge w:val="continue"/>
            <w:noWrap w:val="0"/>
            <w:vAlign w:val="center"/>
          </w:tcPr>
          <w:p w14:paraId="6240C717">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3258C13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（2）荤素清洗水池不分 </w:t>
            </w:r>
          </w:p>
        </w:tc>
        <w:tc>
          <w:tcPr>
            <w:tcW w:w="1295" w:type="dxa"/>
            <w:noWrap w:val="0"/>
            <w:vAlign w:val="center"/>
          </w:tcPr>
          <w:p w14:paraId="588DA7E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center"/>
          </w:tcPr>
          <w:p w14:paraId="438D6A23">
            <w:pPr>
              <w:spacing w:line="360" w:lineRule="exact"/>
              <w:rPr>
                <w:rFonts w:hint="eastAsia" w:ascii="宋体" w:hAnsi="宋体" w:eastAsia="宋体" w:cs="宋体"/>
                <w:color w:val="auto"/>
                <w:sz w:val="21"/>
                <w:szCs w:val="21"/>
                <w:highlight w:val="none"/>
              </w:rPr>
            </w:pPr>
          </w:p>
        </w:tc>
      </w:tr>
      <w:tr w14:paraId="5D36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3781003A">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445F1C9D">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43A4707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（3）食品加工机械清洗不及时 </w:t>
            </w:r>
          </w:p>
        </w:tc>
        <w:tc>
          <w:tcPr>
            <w:tcW w:w="1295" w:type="dxa"/>
            <w:noWrap w:val="0"/>
            <w:vAlign w:val="top"/>
          </w:tcPr>
          <w:p w14:paraId="4E5B160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1E1D44E8">
            <w:pPr>
              <w:spacing w:line="360" w:lineRule="exact"/>
              <w:jc w:val="center"/>
              <w:rPr>
                <w:rFonts w:hint="eastAsia" w:ascii="宋体" w:hAnsi="宋体" w:eastAsia="宋体" w:cs="宋体"/>
                <w:color w:val="auto"/>
                <w:sz w:val="21"/>
                <w:szCs w:val="21"/>
                <w:highlight w:val="none"/>
              </w:rPr>
            </w:pPr>
          </w:p>
        </w:tc>
      </w:tr>
      <w:tr w14:paraId="2735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1B8F9704">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29BA8A60">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0EED7E3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（4）菜过盐、过淡出售的 </w:t>
            </w:r>
          </w:p>
        </w:tc>
        <w:tc>
          <w:tcPr>
            <w:tcW w:w="1295" w:type="dxa"/>
            <w:noWrap w:val="0"/>
            <w:vAlign w:val="top"/>
          </w:tcPr>
          <w:p w14:paraId="3422396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70B40C93">
            <w:pPr>
              <w:spacing w:line="360" w:lineRule="exact"/>
              <w:jc w:val="center"/>
              <w:rPr>
                <w:rFonts w:hint="eastAsia" w:ascii="宋体" w:hAnsi="宋体" w:eastAsia="宋体" w:cs="宋体"/>
                <w:color w:val="auto"/>
                <w:sz w:val="21"/>
                <w:szCs w:val="21"/>
                <w:highlight w:val="none"/>
              </w:rPr>
            </w:pPr>
          </w:p>
        </w:tc>
      </w:tr>
      <w:tr w14:paraId="5103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restart"/>
            <w:noWrap w:val="0"/>
            <w:vAlign w:val="center"/>
          </w:tcPr>
          <w:p w14:paraId="22ECF3D8">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w:t>
            </w:r>
            <w:r>
              <w:rPr>
                <w:rFonts w:hint="eastAsia" w:ascii="宋体" w:hAnsi="宋体" w:cs="宋体"/>
                <w:color w:val="auto"/>
                <w:sz w:val="21"/>
                <w:szCs w:val="21"/>
                <w:highlight w:val="none"/>
                <w:lang w:val="en-US" w:eastAsia="zh-CN"/>
              </w:rPr>
              <w:t>3</w:t>
            </w:r>
          </w:p>
        </w:tc>
        <w:tc>
          <w:tcPr>
            <w:tcW w:w="1146" w:type="dxa"/>
            <w:gridSpan w:val="2"/>
            <w:vMerge w:val="restart"/>
            <w:noWrap w:val="0"/>
            <w:vAlign w:val="center"/>
          </w:tcPr>
          <w:p w14:paraId="0390773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规章制度 </w:t>
            </w:r>
          </w:p>
        </w:tc>
        <w:tc>
          <w:tcPr>
            <w:tcW w:w="4739" w:type="dxa"/>
            <w:gridSpan w:val="3"/>
            <w:noWrap w:val="0"/>
            <w:vAlign w:val="center"/>
          </w:tcPr>
          <w:p w14:paraId="3B047C0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（1）无采购验收保管等规章制度</w:t>
            </w:r>
          </w:p>
        </w:tc>
        <w:tc>
          <w:tcPr>
            <w:tcW w:w="1295" w:type="dxa"/>
            <w:noWrap w:val="0"/>
            <w:vAlign w:val="center"/>
          </w:tcPr>
          <w:p w14:paraId="2272DCA5">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center"/>
          </w:tcPr>
          <w:p w14:paraId="3E4C780F">
            <w:pPr>
              <w:spacing w:line="360" w:lineRule="exact"/>
              <w:rPr>
                <w:rFonts w:hint="eastAsia" w:ascii="宋体" w:hAnsi="宋体" w:eastAsia="宋体" w:cs="宋体"/>
                <w:color w:val="auto"/>
                <w:sz w:val="21"/>
                <w:szCs w:val="21"/>
                <w:highlight w:val="none"/>
              </w:rPr>
            </w:pPr>
          </w:p>
        </w:tc>
      </w:tr>
      <w:tr w14:paraId="6B32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center"/>
          </w:tcPr>
          <w:p w14:paraId="3F45A4C5">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center"/>
          </w:tcPr>
          <w:p w14:paraId="79031C0C">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center"/>
          </w:tcPr>
          <w:p w14:paraId="58B0B8B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（2）规章制度未上墙</w:t>
            </w:r>
          </w:p>
        </w:tc>
        <w:tc>
          <w:tcPr>
            <w:tcW w:w="1295" w:type="dxa"/>
            <w:noWrap w:val="0"/>
            <w:vAlign w:val="center"/>
          </w:tcPr>
          <w:p w14:paraId="7602610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50元/次</w:t>
            </w:r>
          </w:p>
        </w:tc>
        <w:tc>
          <w:tcPr>
            <w:tcW w:w="1717" w:type="dxa"/>
            <w:noWrap w:val="0"/>
            <w:vAlign w:val="center"/>
          </w:tcPr>
          <w:p w14:paraId="5EB5DA7F">
            <w:pPr>
              <w:spacing w:line="360" w:lineRule="exact"/>
              <w:rPr>
                <w:rFonts w:hint="eastAsia" w:ascii="宋体" w:hAnsi="宋体" w:eastAsia="宋体" w:cs="宋体"/>
                <w:color w:val="auto"/>
                <w:sz w:val="21"/>
                <w:szCs w:val="21"/>
                <w:highlight w:val="none"/>
              </w:rPr>
            </w:pPr>
          </w:p>
        </w:tc>
      </w:tr>
      <w:tr w14:paraId="16BF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2" w:type="dxa"/>
            <w:vMerge w:val="continue"/>
            <w:noWrap w:val="0"/>
            <w:vAlign w:val="top"/>
          </w:tcPr>
          <w:p w14:paraId="71DBED7C">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65F523B5">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609F2B8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（3）食堂功能区未张贴标示</w:t>
            </w:r>
          </w:p>
        </w:tc>
        <w:tc>
          <w:tcPr>
            <w:tcW w:w="1295" w:type="dxa"/>
            <w:noWrap w:val="0"/>
            <w:vAlign w:val="top"/>
          </w:tcPr>
          <w:p w14:paraId="0E0D58E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61B3E100">
            <w:pPr>
              <w:spacing w:line="360" w:lineRule="exact"/>
              <w:jc w:val="center"/>
              <w:rPr>
                <w:rFonts w:hint="eastAsia" w:ascii="宋体" w:hAnsi="宋体" w:eastAsia="宋体" w:cs="宋体"/>
                <w:color w:val="auto"/>
                <w:sz w:val="21"/>
                <w:szCs w:val="21"/>
                <w:highlight w:val="none"/>
              </w:rPr>
            </w:pPr>
          </w:p>
        </w:tc>
      </w:tr>
      <w:tr w14:paraId="5DC1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2" w:type="dxa"/>
            <w:vMerge w:val="continue"/>
            <w:noWrap w:val="0"/>
            <w:vAlign w:val="top"/>
          </w:tcPr>
          <w:p w14:paraId="4B5C88F8">
            <w:pPr>
              <w:spacing w:line="360" w:lineRule="exact"/>
              <w:jc w:val="center"/>
              <w:rPr>
                <w:rFonts w:hint="eastAsia" w:ascii="宋体" w:hAnsi="宋体" w:eastAsia="宋体" w:cs="宋体"/>
                <w:color w:val="auto"/>
                <w:sz w:val="21"/>
                <w:szCs w:val="21"/>
                <w:highlight w:val="none"/>
              </w:rPr>
            </w:pPr>
          </w:p>
        </w:tc>
        <w:tc>
          <w:tcPr>
            <w:tcW w:w="1146" w:type="dxa"/>
            <w:gridSpan w:val="2"/>
            <w:vMerge w:val="continue"/>
            <w:noWrap w:val="0"/>
            <w:vAlign w:val="top"/>
          </w:tcPr>
          <w:p w14:paraId="4FD96A10">
            <w:pPr>
              <w:spacing w:line="360" w:lineRule="exact"/>
              <w:jc w:val="center"/>
              <w:rPr>
                <w:rFonts w:hint="eastAsia" w:ascii="宋体" w:hAnsi="宋体" w:eastAsia="宋体" w:cs="宋体"/>
                <w:color w:val="auto"/>
                <w:sz w:val="21"/>
                <w:szCs w:val="21"/>
                <w:highlight w:val="none"/>
              </w:rPr>
            </w:pPr>
          </w:p>
        </w:tc>
        <w:tc>
          <w:tcPr>
            <w:tcW w:w="4739" w:type="dxa"/>
            <w:gridSpan w:val="3"/>
            <w:noWrap w:val="0"/>
            <w:vAlign w:val="top"/>
          </w:tcPr>
          <w:p w14:paraId="6E2DC5D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（4）食堂功能区未张贴卫生责任人</w:t>
            </w:r>
          </w:p>
        </w:tc>
        <w:tc>
          <w:tcPr>
            <w:tcW w:w="1295" w:type="dxa"/>
            <w:noWrap w:val="0"/>
            <w:vAlign w:val="top"/>
          </w:tcPr>
          <w:p w14:paraId="2E55B0E0">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10元/次</w:t>
            </w:r>
          </w:p>
        </w:tc>
        <w:tc>
          <w:tcPr>
            <w:tcW w:w="1717" w:type="dxa"/>
            <w:noWrap w:val="0"/>
            <w:vAlign w:val="top"/>
          </w:tcPr>
          <w:p w14:paraId="3BDA719B">
            <w:pPr>
              <w:spacing w:line="360" w:lineRule="exact"/>
              <w:jc w:val="center"/>
              <w:rPr>
                <w:rFonts w:hint="eastAsia" w:ascii="宋体" w:hAnsi="宋体" w:eastAsia="宋体" w:cs="宋体"/>
                <w:color w:val="auto"/>
                <w:sz w:val="21"/>
                <w:szCs w:val="21"/>
                <w:highlight w:val="none"/>
              </w:rPr>
            </w:pPr>
          </w:p>
        </w:tc>
      </w:tr>
    </w:tbl>
    <w:p w14:paraId="4FEE83A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3CCC82C">
      <w:pPr>
        <w:widowControl/>
        <w:spacing w:line="360" w:lineRule="exac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 xml:space="preserve">附件3：食堂满意度调查表 </w:t>
      </w:r>
    </w:p>
    <w:p w14:paraId="0DA83829">
      <w:pPr>
        <w:widowControl/>
        <w:spacing w:line="360" w:lineRule="exact"/>
        <w:ind w:firstLine="2892" w:firstLineChars="1029"/>
        <w:rPr>
          <w:rFonts w:hint="eastAsia" w:ascii="宋体" w:hAnsi="宋体" w:eastAsia="宋体" w:cs="宋体"/>
          <w:b/>
          <w:color w:val="auto"/>
          <w:sz w:val="28"/>
          <w:szCs w:val="28"/>
          <w:highlight w:val="none"/>
        </w:rPr>
      </w:pPr>
      <w:r>
        <w:rPr>
          <w:rFonts w:hint="eastAsia" w:ascii="宋体" w:hAnsi="宋体" w:eastAsia="宋体" w:cs="宋体"/>
          <w:b/>
          <w:bCs/>
          <w:color w:val="auto"/>
          <w:kern w:val="36"/>
          <w:sz w:val="28"/>
          <w:szCs w:val="28"/>
          <w:highlight w:val="none"/>
        </w:rPr>
        <w:t xml:space="preserve"> 职工餐厅满意度调查表</w:t>
      </w:r>
    </w:p>
    <w:p w14:paraId="11351CB4">
      <w:pPr>
        <w:widowControl w:val="0"/>
        <w:adjustRightInd/>
        <w:snapToGrid/>
        <w:spacing w:after="0" w:line="240" w:lineRule="auto"/>
        <w:jc w:val="center"/>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科室：_________________时间：______年______月______日</w:t>
      </w:r>
    </w:p>
    <w:p w14:paraId="02DB9DB0">
      <w:pPr>
        <w:widowControl w:val="0"/>
        <w:adjustRightInd/>
        <w:snapToGrid/>
        <w:spacing w:after="0" w:line="360" w:lineRule="auto"/>
        <w:jc w:val="both"/>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各位职工：</w:t>
      </w:r>
    </w:p>
    <w:p w14:paraId="724306C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首先向您说一声：辛苦了！为了进一步完善我院食堂服务质量，提升就餐者满意度，特从食谱、卫生及就餐服务等方面征询您的意见。请您认真、客观地填写以下问卷，谢谢合作！</w:t>
      </w:r>
    </w:p>
    <w:p w14:paraId="71D602C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b/>
          <w:bCs/>
          <w:color w:val="auto"/>
          <w:kern w:val="2"/>
          <w:sz w:val="24"/>
          <w:szCs w:val="24"/>
          <w:highlight w:val="none"/>
          <w:lang w:val="en-US" w:eastAsia="zh-CN"/>
        </w:rPr>
        <w:t>一、请您根据平日里就餐实际具体情况客观公正的评选：</w:t>
      </w:r>
    </w:p>
    <w:p w14:paraId="001E7D2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1、您对食堂就餐环境、卫生状况满意吗？</w:t>
      </w:r>
    </w:p>
    <w:p w14:paraId="6740B7D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22FEC07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2、您对食堂工作人员服务态度满意吗？</w:t>
      </w:r>
    </w:p>
    <w:p w14:paraId="2227A05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5713EE6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3、您对食堂工作人员个人卫生状况满意吗？</w:t>
      </w:r>
    </w:p>
    <w:p w14:paraId="29F66DF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621DA0D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4、您对食堂菜品的色泽、口味满意吗？</w:t>
      </w:r>
    </w:p>
    <w:p w14:paraId="14740A5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6AB402E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5、您对食堂饭菜的花色品种满意吗？</w:t>
      </w:r>
    </w:p>
    <w:p w14:paraId="1E996B9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6B3EF56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6、您对食堂的中餐菜品更新情况满意吗？</w:t>
      </w:r>
    </w:p>
    <w:p w14:paraId="0EB4B97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1F86522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7、您对食堂的早、晚面点餐是否满意？</w:t>
      </w:r>
    </w:p>
    <w:p w14:paraId="5867703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16066FA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8、您对食堂米饭质量是否满意？</w:t>
      </w:r>
    </w:p>
    <w:p w14:paraId="2DD13BA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421E920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9、您对食堂的菜品分量与价格满意吗?</w:t>
      </w:r>
    </w:p>
    <w:p w14:paraId="34C781E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740275E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10、您对食堂用餐整体体验是否满意？</w:t>
      </w:r>
    </w:p>
    <w:p w14:paraId="5347836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A、满意               B、基本满意             C、不满意</w:t>
      </w:r>
    </w:p>
    <w:p w14:paraId="468573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Calibri" w:hAnsi="Calibri" w:eastAsia="宋体" w:cs="Times New Roman"/>
          <w:color w:val="auto"/>
          <w:kern w:val="2"/>
          <w:sz w:val="24"/>
          <w:szCs w:val="24"/>
          <w:highlight w:val="none"/>
          <w:lang w:val="en-US" w:eastAsia="zh-CN"/>
        </w:rPr>
      </w:pPr>
      <w:r>
        <w:rPr>
          <w:rFonts w:hint="eastAsia" w:ascii="Calibri" w:hAnsi="Calibri" w:eastAsia="宋体" w:cs="Times New Roman"/>
          <w:color w:val="auto"/>
          <w:kern w:val="2"/>
          <w:sz w:val="24"/>
          <w:szCs w:val="24"/>
          <w:highlight w:val="none"/>
          <w:lang w:val="en-US" w:eastAsia="zh-CN"/>
        </w:rPr>
        <w:t>二、您对食堂有什么意见和建议吗？</w:t>
      </w:r>
    </w:p>
    <w:p w14:paraId="17832E9F">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366E29D">
      <w:pPr>
        <w:shd w:val="clear"/>
        <w:jc w:val="center"/>
        <w:rPr>
          <w:rFonts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第四章 招标需求</w:t>
      </w:r>
    </w:p>
    <w:p w14:paraId="645F9735">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0"/>
          <w:sz w:val="24"/>
          <w:szCs w:val="24"/>
          <w:highlight w:val="none"/>
        </w:rPr>
        <w:t>1、租赁期共</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lang w:eastAsia="zh-CN"/>
        </w:rPr>
        <w:t>年</w:t>
      </w:r>
      <w:r>
        <w:rPr>
          <w:rFonts w:hint="eastAsia" w:ascii="宋体" w:hAnsi="宋体" w:eastAsia="宋体" w:cs="宋体"/>
          <w:color w:val="auto"/>
          <w:kern w:val="0"/>
          <w:sz w:val="24"/>
          <w:szCs w:val="24"/>
          <w:highlight w:val="none"/>
        </w:rPr>
        <w:t>。自</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日起至</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日止,到期合同自行解除。  </w:t>
      </w:r>
    </w:p>
    <w:p w14:paraId="70729A1C">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、租赁期满，</w:t>
      </w:r>
      <w:r>
        <w:rPr>
          <w:rFonts w:hint="eastAsia" w:ascii="宋体" w:hAnsi="宋体" w:cs="宋体"/>
          <w:color w:val="auto"/>
          <w:kern w:val="0"/>
          <w:sz w:val="24"/>
          <w:szCs w:val="24"/>
          <w:highlight w:val="none"/>
          <w:lang w:eastAsia="zh-CN"/>
        </w:rPr>
        <w:t>招租人</w:t>
      </w:r>
      <w:r>
        <w:rPr>
          <w:rFonts w:hint="eastAsia" w:ascii="宋体" w:hAnsi="宋体" w:eastAsia="宋体" w:cs="宋体"/>
          <w:color w:val="auto"/>
          <w:kern w:val="0"/>
          <w:sz w:val="24"/>
          <w:szCs w:val="24"/>
          <w:highlight w:val="none"/>
        </w:rPr>
        <w:t>有权</w:t>
      </w:r>
      <w:r>
        <w:rPr>
          <w:rFonts w:hint="eastAsia" w:ascii="宋体" w:hAnsi="宋体" w:cs="宋体"/>
          <w:color w:val="auto"/>
          <w:kern w:val="0"/>
          <w:sz w:val="24"/>
          <w:szCs w:val="24"/>
          <w:highlight w:val="none"/>
          <w:lang w:eastAsia="zh-CN"/>
        </w:rPr>
        <w:t>无条件</w:t>
      </w:r>
      <w:r>
        <w:rPr>
          <w:rFonts w:hint="eastAsia" w:ascii="宋体" w:hAnsi="宋体" w:eastAsia="宋体" w:cs="宋体"/>
          <w:color w:val="auto"/>
          <w:kern w:val="0"/>
          <w:sz w:val="24"/>
          <w:szCs w:val="24"/>
          <w:highlight w:val="none"/>
        </w:rPr>
        <w:t>收回</w:t>
      </w:r>
      <w:r>
        <w:rPr>
          <w:rFonts w:hint="eastAsia" w:ascii="宋体" w:hAnsi="宋体" w:cs="宋体"/>
          <w:color w:val="auto"/>
          <w:kern w:val="0"/>
          <w:sz w:val="24"/>
          <w:szCs w:val="24"/>
          <w:highlight w:val="none"/>
          <w:lang w:eastAsia="zh-CN"/>
        </w:rPr>
        <w:t>经营场所</w:t>
      </w:r>
      <w:r>
        <w:rPr>
          <w:rFonts w:hint="eastAsia" w:ascii="宋体" w:hAnsi="宋体" w:eastAsia="宋体" w:cs="宋体"/>
          <w:color w:val="auto"/>
          <w:kern w:val="0"/>
          <w:sz w:val="24"/>
          <w:szCs w:val="24"/>
          <w:highlight w:val="none"/>
        </w:rPr>
        <w:t>，</w:t>
      </w:r>
      <w:r>
        <w:rPr>
          <w:rFonts w:hint="eastAsia" w:ascii="宋体" w:hAnsi="宋体"/>
          <w:color w:val="auto"/>
          <w:sz w:val="24"/>
          <w:szCs w:val="24"/>
          <w:highlight w:val="none"/>
        </w:rPr>
        <w:t>中标人</w:t>
      </w:r>
      <w:r>
        <w:rPr>
          <w:rFonts w:hint="eastAsia" w:ascii="宋体" w:hAnsi="宋体" w:eastAsia="宋体" w:cs="宋体"/>
          <w:color w:val="auto"/>
          <w:kern w:val="0"/>
          <w:sz w:val="24"/>
          <w:szCs w:val="24"/>
          <w:highlight w:val="none"/>
        </w:rPr>
        <w:t>应如期交还</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不得以任何理由延误。如果因</w:t>
      </w:r>
      <w:r>
        <w:rPr>
          <w:rFonts w:hint="eastAsia" w:ascii="宋体" w:hAnsi="宋体"/>
          <w:color w:val="auto"/>
          <w:sz w:val="24"/>
          <w:szCs w:val="24"/>
          <w:highlight w:val="none"/>
        </w:rPr>
        <w:t>中标人</w:t>
      </w:r>
      <w:r>
        <w:rPr>
          <w:rFonts w:hint="eastAsia" w:ascii="宋体" w:hAnsi="宋体" w:cs="宋体"/>
          <w:color w:val="auto"/>
          <w:kern w:val="0"/>
          <w:sz w:val="24"/>
          <w:szCs w:val="24"/>
          <w:highlight w:val="none"/>
          <w:lang w:val="en-US" w:eastAsia="zh-CN"/>
        </w:rPr>
        <w:t>延误等原因，造成甲方损失，则全部由</w:t>
      </w:r>
      <w:r>
        <w:rPr>
          <w:rFonts w:hint="eastAsia" w:ascii="宋体" w:hAnsi="宋体"/>
          <w:color w:val="auto"/>
          <w:sz w:val="24"/>
          <w:szCs w:val="24"/>
          <w:highlight w:val="none"/>
        </w:rPr>
        <w:t>中标人</w:t>
      </w:r>
      <w:r>
        <w:rPr>
          <w:rFonts w:hint="eastAsia" w:ascii="宋体" w:hAnsi="宋体" w:cs="宋体"/>
          <w:color w:val="auto"/>
          <w:kern w:val="0"/>
          <w:sz w:val="24"/>
          <w:szCs w:val="24"/>
          <w:highlight w:val="none"/>
          <w:lang w:val="en-US" w:eastAsia="zh-CN"/>
        </w:rPr>
        <w:t>承担。</w:t>
      </w:r>
    </w:p>
    <w:p w14:paraId="1129D427">
      <w:pPr>
        <w:pStyle w:val="19"/>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3、招标人不负责办理相关手续，中标人自行至相关部门办理相关手续，费用由中标人自理，因相关政策原因中标人未能协调、办理相关手续的，招标人不承担任何责任。</w:t>
      </w:r>
    </w:p>
    <w:p w14:paraId="6DDD2D87">
      <w:pPr>
        <w:pStyle w:val="19"/>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4、中标人工作人员与医院实际需求相配备（≥4人）。中标人投入的工作人员以投标文件人员配备表为准，在服务期间，若需更换人员，须经过招标人同意后再进行更换。</w:t>
      </w:r>
    </w:p>
    <w:p w14:paraId="3D6C6DBF">
      <w:pPr>
        <w:pStyle w:val="19"/>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医院约260多名封闭式住院精神病人，每日三餐包伙服务，服从院方每周的菜谱管理（附近期菜谱一份供参考）或自行安排菜谱但需经院方审核通过，伙食标准每天20.00元/人。注:精神病病区病人的伙食费用由院方代收后于次月25日前凭发票（税金乙方自理）等相关手结报后汇入中标人账户。</w:t>
      </w:r>
    </w:p>
    <w:p w14:paraId="3F83889D">
      <w:pPr>
        <w:pStyle w:val="19"/>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6、中标人应该按照甲方提供的食堂平面分区进行经营。如有更改须经甲方书面确认。（附平面图）</w:t>
      </w:r>
    </w:p>
    <w:p w14:paraId="00914EE0">
      <w:pPr>
        <w:pStyle w:val="19"/>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7、封闭式住院精神病人的饭菜，由食堂分到各病区的大容器中，由各病区自行领取后到病区分餐。</w:t>
      </w:r>
    </w:p>
    <w:p w14:paraId="23904870">
      <w:pPr>
        <w:pStyle w:val="19"/>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8、满足院方职工约180人、综合病区患者约50人及患者家属就餐需求。院方职工、综合病区患者及患者家属就餐费用由中标人自行收取。</w:t>
      </w:r>
    </w:p>
    <w:p w14:paraId="2C6ABFCE">
      <w:pPr>
        <w:pStyle w:val="19"/>
        <w:keepNext w:val="0"/>
        <w:keepLines w:val="0"/>
        <w:pageBreakBefore w:val="0"/>
        <w:shd w:val="clear"/>
        <w:kinsoku/>
        <w:wordWrap/>
        <w:overflowPunct/>
        <w:topLinePunct w:val="0"/>
        <w:autoSpaceDE/>
        <w:autoSpaceDN/>
        <w:bidi w:val="0"/>
        <w:adjustRightInd/>
        <w:spacing w:after="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工作人员的招聘由中标人负责，但必须经招标人审查，持有效健康证等必须的证件上岗，必须统一着装。食堂的用工人数、工资、福利、保险等所有费用由中标人承担，中标人与用工人员发生的纠纷等均由中标人负责解决。因中标人的原因造成的安全责任事故，一切责任和费用由中标人承担。项目负责人必须有厨师证或营养师证。</w:t>
      </w:r>
    </w:p>
    <w:p w14:paraId="3097859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ascii="宋体" w:hAnsi="宋体"/>
          <w:color w:val="auto"/>
          <w:sz w:val="24"/>
          <w:szCs w:val="24"/>
          <w:highlight w:val="none"/>
        </w:rPr>
        <w:t>中标人在规定的期限</w:t>
      </w:r>
      <w:r>
        <w:rPr>
          <w:rFonts w:hint="eastAsia" w:ascii="宋体" w:hAnsi="宋体"/>
          <w:color w:val="auto"/>
          <w:sz w:val="24"/>
          <w:szCs w:val="24"/>
          <w:highlight w:val="none"/>
        </w:rPr>
        <w:t>内不与招标人签订协议的</w:t>
      </w:r>
      <w:r>
        <w:rPr>
          <w:rFonts w:ascii="宋体" w:hAnsi="宋体"/>
          <w:color w:val="auto"/>
          <w:sz w:val="24"/>
          <w:szCs w:val="24"/>
          <w:highlight w:val="none"/>
        </w:rPr>
        <w:t>，</w:t>
      </w:r>
      <w:r>
        <w:rPr>
          <w:rFonts w:hint="eastAsia" w:ascii="宋体" w:hAnsi="宋体"/>
          <w:color w:val="auto"/>
          <w:sz w:val="24"/>
          <w:szCs w:val="24"/>
          <w:highlight w:val="none"/>
        </w:rPr>
        <w:t>或者在签订协议时提出附加条件、更改协议实质性内容的，</w:t>
      </w:r>
      <w:r>
        <w:rPr>
          <w:rFonts w:ascii="宋体" w:hAnsi="宋体"/>
          <w:color w:val="auto"/>
          <w:sz w:val="24"/>
          <w:szCs w:val="24"/>
          <w:highlight w:val="none"/>
        </w:rPr>
        <w:t>招标人将</w:t>
      </w:r>
      <w:r>
        <w:rPr>
          <w:rFonts w:hint="eastAsia" w:ascii="宋体" w:hAnsi="宋体"/>
          <w:color w:val="auto"/>
          <w:sz w:val="24"/>
          <w:szCs w:val="24"/>
          <w:highlight w:val="none"/>
        </w:rPr>
        <w:t>废除其中标资格，没收其投标保证金，并</w:t>
      </w:r>
      <w:r>
        <w:rPr>
          <w:rFonts w:ascii="宋体" w:hAnsi="宋体"/>
          <w:color w:val="auto"/>
          <w:sz w:val="24"/>
          <w:szCs w:val="24"/>
          <w:highlight w:val="none"/>
        </w:rPr>
        <w:t>通过合法程序重新确定中标人</w:t>
      </w:r>
      <w:r>
        <w:rPr>
          <w:rFonts w:hint="eastAsia" w:ascii="宋体" w:hAnsi="宋体"/>
          <w:color w:val="auto"/>
          <w:sz w:val="24"/>
          <w:szCs w:val="24"/>
          <w:highlight w:val="none"/>
        </w:rPr>
        <w:t>。</w:t>
      </w:r>
    </w:p>
    <w:p w14:paraId="75ED02D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、中标人应当按照协议约定履行义务，不得将中标项目转租、分租、转让、转借、联营、入股或与他人调剂交换，否则招标人有权终止协议，没收中标人的保证金，并要求赔偿招标人损失。</w:t>
      </w:r>
    </w:p>
    <w:p w14:paraId="00416D45">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中标人须守法经营，按规定纳税，服从各相关管理部门的管理与检查，负责处理相关整改等工作。自行负责承租期间承租场所的食品、消防等安全，中标人自行负责处理经营活动中与其他单位或自然人产生的相关经济纠纷、食品安全纠纷</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招标人不承担任何连带责任。如违法经营造成损失，由中标人承担。</w:t>
      </w:r>
    </w:p>
    <w:p w14:paraId="4A3A9D77">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、承租期间产生的水电费用按照国家相关标准每月按实向招标人交纳。</w:t>
      </w:r>
    </w:p>
    <w:p w14:paraId="7C141458">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、中标人经营场所内</w:t>
      </w:r>
      <w:r>
        <w:rPr>
          <w:rFonts w:hint="eastAsia" w:ascii="宋体" w:hAnsi="宋体"/>
          <w:color w:val="auto"/>
          <w:sz w:val="24"/>
          <w:szCs w:val="24"/>
          <w:highlight w:val="none"/>
          <w:lang w:eastAsia="zh-CN"/>
        </w:rPr>
        <w:t>、外</w:t>
      </w:r>
      <w:r>
        <w:rPr>
          <w:rFonts w:hint="eastAsia" w:ascii="宋体" w:hAnsi="宋体"/>
          <w:color w:val="auto"/>
          <w:sz w:val="24"/>
          <w:szCs w:val="24"/>
          <w:highlight w:val="none"/>
        </w:rPr>
        <w:t>卫生由中标人负责清洁，卫生符合各部门各项检查要求。</w:t>
      </w:r>
    </w:p>
    <w:p w14:paraId="3B95AA37">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15、食材佐料来源明确且可溯源，确保新鲜安全，索证留存。食物要煮熟煮透，不使用可能有毒或带刺食品。每餐菜品均需独立分装放置冷藏冰柜，留样备检。</w:t>
      </w:r>
    </w:p>
    <w:p w14:paraId="74448178">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16、</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享有食堂场地和设备（见附件物资清单）的使用权，所产生的水电费用、设备保养维护费用自理。设备的日常保养维护由</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自行安排，设备在交付给</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时能够正常使用，合同结束时交还</w:t>
      </w:r>
      <w:r>
        <w:rPr>
          <w:rFonts w:hint="eastAsia" w:ascii="宋体" w:hAnsi="宋体" w:eastAsia="宋体" w:cs="宋体"/>
          <w:color w:val="auto"/>
          <w:kern w:val="0"/>
          <w:sz w:val="24"/>
          <w:szCs w:val="24"/>
          <w:highlight w:val="none"/>
          <w:lang w:val="en-US" w:eastAsia="zh-CN"/>
        </w:rPr>
        <w:t>招标人</w:t>
      </w:r>
      <w:r>
        <w:rPr>
          <w:rFonts w:hint="eastAsia" w:ascii="宋体" w:hAnsi="宋体"/>
          <w:color w:val="auto"/>
          <w:sz w:val="24"/>
          <w:szCs w:val="24"/>
          <w:highlight w:val="none"/>
          <w:lang w:val="en-US" w:eastAsia="zh-CN"/>
        </w:rPr>
        <w:t>时必须是能够正常使用。</w:t>
      </w:r>
      <w:r>
        <w:rPr>
          <w:rFonts w:hint="eastAsia" w:ascii="宋体" w:hAnsi="宋体" w:eastAsia="宋体" w:cs="宋体"/>
          <w:color w:val="auto"/>
          <w:kern w:val="0"/>
          <w:sz w:val="24"/>
          <w:szCs w:val="24"/>
          <w:highlight w:val="none"/>
          <w:lang w:val="en-US" w:eastAsia="zh-CN"/>
        </w:rPr>
        <w:t>招标人</w:t>
      </w:r>
      <w:r>
        <w:rPr>
          <w:rFonts w:hint="eastAsia" w:ascii="宋体" w:hAnsi="宋体"/>
          <w:color w:val="auto"/>
          <w:sz w:val="24"/>
          <w:szCs w:val="24"/>
          <w:highlight w:val="none"/>
          <w:lang w:val="en-US" w:eastAsia="zh-CN"/>
        </w:rPr>
        <w:t>提供给</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使用的物资，</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要妥善保管、保养，在经营期满后完好归还给</w:t>
      </w:r>
      <w:r>
        <w:rPr>
          <w:rFonts w:hint="eastAsia" w:ascii="宋体" w:hAnsi="宋体" w:eastAsia="宋体" w:cs="宋体"/>
          <w:color w:val="auto"/>
          <w:kern w:val="0"/>
          <w:sz w:val="24"/>
          <w:szCs w:val="24"/>
          <w:highlight w:val="none"/>
          <w:lang w:val="en-US" w:eastAsia="zh-CN"/>
        </w:rPr>
        <w:t>招标人</w:t>
      </w:r>
      <w:r>
        <w:rPr>
          <w:rFonts w:hint="eastAsia" w:ascii="宋体" w:hAnsi="宋体"/>
          <w:color w:val="auto"/>
          <w:sz w:val="24"/>
          <w:szCs w:val="24"/>
          <w:highlight w:val="none"/>
          <w:lang w:val="en-US" w:eastAsia="zh-CN"/>
        </w:rPr>
        <w:t>。如有人为损坏或遗失，</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必须赔偿或同质更新。医院食堂隔油池由</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负责定期清理。</w:t>
      </w:r>
    </w:p>
    <w:p w14:paraId="7A58CA09">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17、上级有关监督管理部门对食堂运行所有的规范要求及信息的如实上报，由</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负责。</w:t>
      </w:r>
    </w:p>
    <w:p w14:paraId="3DBD0244">
      <w:pPr>
        <w:keepNext w:val="0"/>
        <w:keepLines w:val="0"/>
        <w:pageBreakBefore w:val="0"/>
        <w:tabs>
          <w:tab w:val="left" w:pos="1640"/>
        </w:tabs>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18、如有社会团体或爱心人士对住院精神病人伙食的捐赠，</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不得拒绝。如捐赠行为减少</w:t>
      </w:r>
      <w:r>
        <w:rPr>
          <w:rFonts w:hint="eastAsia" w:ascii="宋体" w:hAnsi="宋体" w:eastAsia="宋体" w:cs="宋体"/>
          <w:color w:val="auto"/>
          <w:kern w:val="0"/>
          <w:sz w:val="24"/>
          <w:szCs w:val="24"/>
          <w:highlight w:val="none"/>
          <w:lang w:val="en-US" w:eastAsia="zh-CN"/>
        </w:rPr>
        <w:t>中标人</w:t>
      </w:r>
      <w:r>
        <w:rPr>
          <w:rFonts w:hint="eastAsia" w:ascii="宋体" w:hAnsi="宋体"/>
          <w:color w:val="auto"/>
          <w:sz w:val="24"/>
          <w:szCs w:val="24"/>
          <w:highlight w:val="none"/>
          <w:lang w:val="en-US" w:eastAsia="zh-CN"/>
        </w:rPr>
        <w:t>的伙食提供，</w:t>
      </w:r>
      <w:r>
        <w:rPr>
          <w:rFonts w:hint="eastAsia" w:ascii="宋体" w:hAnsi="宋体" w:eastAsia="宋体" w:cs="宋体"/>
          <w:color w:val="auto"/>
          <w:kern w:val="0"/>
          <w:sz w:val="24"/>
          <w:szCs w:val="24"/>
          <w:highlight w:val="none"/>
          <w:lang w:val="en-US" w:eastAsia="zh-CN"/>
        </w:rPr>
        <w:t>招标人</w:t>
      </w:r>
      <w:r>
        <w:rPr>
          <w:rFonts w:hint="eastAsia" w:ascii="宋体" w:hAnsi="宋体"/>
          <w:color w:val="auto"/>
          <w:sz w:val="24"/>
          <w:szCs w:val="24"/>
          <w:highlight w:val="none"/>
          <w:lang w:val="en-US" w:eastAsia="zh-CN"/>
        </w:rPr>
        <w:t>在伙食费结算时按5元/餐/人扣减。</w:t>
      </w:r>
    </w:p>
    <w:p w14:paraId="3BEEC3CE">
      <w:pPr>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19、现场平面图：</w:t>
      </w:r>
    </w:p>
    <w:p w14:paraId="6369CED7">
      <w:pPr>
        <w:ind w:firstLine="480" w:firstLineChars="200"/>
        <w:jc w:val="center"/>
        <w:rPr>
          <w:rFonts w:hint="eastAsia" w:ascii="宋体" w:hAnsi="宋体" w:eastAsia="宋体"/>
          <w:color w:val="auto"/>
          <w:sz w:val="24"/>
          <w:szCs w:val="24"/>
          <w:highlight w:val="none"/>
          <w:lang w:eastAsia="zh-CN"/>
        </w:rPr>
      </w:pPr>
    </w:p>
    <w:p w14:paraId="3CC4DAB6">
      <w:pPr>
        <w:rPr>
          <w:rFonts w:hint="eastAsia" w:ascii="宋体" w:hAnsi="宋体" w:eastAsia="宋体" w:cs="宋体"/>
          <w:b/>
          <w:color w:val="auto"/>
          <w:sz w:val="32"/>
          <w:szCs w:val="32"/>
          <w:highlight w:val="none"/>
          <w:shd w:val="clear" w:color="auto" w:fill="FFFFFF"/>
        </w:rPr>
      </w:pPr>
      <w:r>
        <w:rPr>
          <w:rFonts w:hint="eastAsia" w:ascii="宋体" w:hAnsi="宋体" w:eastAsia="宋体"/>
          <w:color w:val="auto"/>
          <w:sz w:val="24"/>
          <w:szCs w:val="24"/>
          <w:highlight w:val="none"/>
          <w:lang w:eastAsia="zh-CN"/>
        </w:rPr>
        <w:drawing>
          <wp:anchor distT="0" distB="0" distL="114300" distR="114300" simplePos="0" relativeHeight="251661312" behindDoc="0" locked="0" layoutInCell="1" allowOverlap="1">
            <wp:simplePos x="0" y="0"/>
            <wp:positionH relativeFrom="column">
              <wp:posOffset>148590</wp:posOffset>
            </wp:positionH>
            <wp:positionV relativeFrom="paragraph">
              <wp:posOffset>144145</wp:posOffset>
            </wp:positionV>
            <wp:extent cx="5340985" cy="2222500"/>
            <wp:effectExtent l="0" t="0" r="0" b="0"/>
            <wp:wrapSquare wrapText="bothSides"/>
            <wp:docPr id="3" name="图片 3" descr="a99f02a43aea8db634824275590f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99f02a43aea8db634824275590f906"/>
                    <pic:cNvPicPr>
                      <a:picLocks noChangeAspect="1"/>
                    </pic:cNvPicPr>
                  </pic:nvPicPr>
                  <pic:blipFill>
                    <a:blip r:embed="rId6"/>
                    <a:srcRect l="60" t="18743" r="-310" b="22265"/>
                    <a:stretch>
                      <a:fillRect/>
                    </a:stretch>
                  </pic:blipFill>
                  <pic:spPr>
                    <a:xfrm>
                      <a:off x="0" y="0"/>
                      <a:ext cx="5340985" cy="2222500"/>
                    </a:xfrm>
                    <a:prstGeom prst="rect">
                      <a:avLst/>
                    </a:prstGeom>
                  </pic:spPr>
                </pic:pic>
              </a:graphicData>
            </a:graphic>
          </wp:anchor>
        </w:drawing>
      </w:r>
      <w:r>
        <w:rPr>
          <w:rFonts w:hint="eastAsia" w:ascii="宋体" w:hAnsi="宋体" w:eastAsia="宋体" w:cs="宋体"/>
          <w:b/>
          <w:color w:val="auto"/>
          <w:sz w:val="32"/>
          <w:szCs w:val="32"/>
          <w:highlight w:val="none"/>
          <w:shd w:val="clear" w:color="auto" w:fill="FFFFFF"/>
        </w:rPr>
        <w:br w:type="page"/>
      </w:r>
    </w:p>
    <w:tbl>
      <w:tblPr>
        <w:tblStyle w:val="21"/>
        <w:tblW w:w="9645" w:type="dxa"/>
        <w:tblInd w:w="0" w:type="dxa"/>
        <w:tblLayout w:type="autofit"/>
        <w:tblCellMar>
          <w:top w:w="0" w:type="dxa"/>
          <w:left w:w="0" w:type="dxa"/>
          <w:bottom w:w="0" w:type="dxa"/>
          <w:right w:w="0" w:type="dxa"/>
        </w:tblCellMar>
      </w:tblPr>
      <w:tblGrid>
        <w:gridCol w:w="2529"/>
        <w:gridCol w:w="1593"/>
        <w:gridCol w:w="2061"/>
        <w:gridCol w:w="661"/>
        <w:gridCol w:w="661"/>
        <w:gridCol w:w="2140"/>
      </w:tblGrid>
      <w:tr w14:paraId="6C07B9C6">
        <w:tblPrEx>
          <w:tblCellMar>
            <w:top w:w="0" w:type="dxa"/>
            <w:left w:w="0" w:type="dxa"/>
            <w:bottom w:w="0" w:type="dxa"/>
            <w:right w:w="0" w:type="dxa"/>
          </w:tblCellMar>
        </w:tblPrEx>
        <w:trPr>
          <w:trHeight w:val="630" w:hRule="atLeast"/>
        </w:trPr>
        <w:tc>
          <w:tcPr>
            <w:tcW w:w="9645" w:type="dxa"/>
            <w:gridSpan w:val="6"/>
            <w:tcBorders>
              <w:top w:val="nil"/>
              <w:left w:val="nil"/>
              <w:bottom w:val="nil"/>
              <w:right w:val="nil"/>
            </w:tcBorders>
            <w:noWrap/>
            <w:tcMar>
              <w:top w:w="15" w:type="dxa"/>
              <w:left w:w="15" w:type="dxa"/>
              <w:right w:w="15" w:type="dxa"/>
            </w:tcMar>
            <w:vAlign w:val="center"/>
          </w:tcPr>
          <w:p w14:paraId="40D8D6FC">
            <w:pPr>
              <w:keepNext w:val="0"/>
              <w:keepLines w:val="0"/>
              <w:widowControl/>
              <w:suppressLineNumbers w:val="0"/>
              <w:jc w:val="center"/>
              <w:textAlignment w:val="center"/>
              <w:rPr>
                <w:rFonts w:hint="eastAsia" w:ascii="宋体" w:hAnsi="宋体" w:eastAsia="宋体" w:cs="宋体"/>
                <w:i w:val="0"/>
                <w:color w:val="auto"/>
                <w:sz w:val="48"/>
                <w:szCs w:val="48"/>
                <w:highlight w:val="none"/>
                <w:u w:val="none"/>
              </w:rPr>
            </w:pPr>
            <w:r>
              <w:rPr>
                <w:rFonts w:hint="eastAsia" w:ascii="宋体" w:hAnsi="宋体" w:eastAsia="宋体" w:cs="宋体"/>
                <w:i w:val="0"/>
                <w:color w:val="auto"/>
                <w:kern w:val="0"/>
                <w:sz w:val="48"/>
                <w:szCs w:val="48"/>
                <w:highlight w:val="none"/>
                <w:u w:val="none"/>
                <w:lang w:val="en-US" w:eastAsia="zh-CN" w:bidi="ar"/>
              </w:rPr>
              <w:t>厨房设备清单</w:t>
            </w:r>
          </w:p>
        </w:tc>
      </w:tr>
      <w:tr w14:paraId="2C9A066A">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573A1">
            <w:pPr>
              <w:keepNext w:val="0"/>
              <w:keepLines w:val="0"/>
              <w:widowControl/>
              <w:suppressLineNumbers w:val="0"/>
              <w:jc w:val="center"/>
              <w:textAlignment w:val="center"/>
              <w:rPr>
                <w:rFonts w:hint="eastAsia" w:ascii="宋体" w:hAnsi="宋体" w:eastAsia="宋体" w:cs="宋体"/>
                <w:b/>
                <w:i w:val="0"/>
                <w:color w:val="auto"/>
                <w:sz w:val="28"/>
                <w:szCs w:val="28"/>
                <w:highlight w:val="none"/>
                <w:u w:val="none"/>
              </w:rPr>
            </w:pPr>
            <w:r>
              <w:rPr>
                <w:rFonts w:hint="eastAsia" w:ascii="宋体" w:hAnsi="宋体" w:eastAsia="宋体" w:cs="宋体"/>
                <w:b/>
                <w:i w:val="0"/>
                <w:color w:val="auto"/>
                <w:kern w:val="0"/>
                <w:sz w:val="28"/>
                <w:szCs w:val="2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2D781">
            <w:pPr>
              <w:keepNext w:val="0"/>
              <w:keepLines w:val="0"/>
              <w:widowControl/>
              <w:suppressLineNumbers w:val="0"/>
              <w:jc w:val="center"/>
              <w:textAlignment w:val="center"/>
              <w:rPr>
                <w:rFonts w:hint="eastAsia" w:ascii="宋体" w:hAnsi="宋体" w:eastAsia="宋体" w:cs="宋体"/>
                <w:b/>
                <w:i w:val="0"/>
                <w:color w:val="auto"/>
                <w:sz w:val="28"/>
                <w:szCs w:val="28"/>
                <w:highlight w:val="none"/>
                <w:u w:val="none"/>
              </w:rPr>
            </w:pPr>
            <w:r>
              <w:rPr>
                <w:rFonts w:hint="eastAsia" w:ascii="宋体" w:hAnsi="宋体" w:eastAsia="宋体" w:cs="宋体"/>
                <w:b/>
                <w:i w:val="0"/>
                <w:color w:val="auto"/>
                <w:kern w:val="0"/>
                <w:sz w:val="28"/>
                <w:szCs w:val="28"/>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9DC3E">
            <w:pPr>
              <w:keepNext w:val="0"/>
              <w:keepLines w:val="0"/>
              <w:widowControl/>
              <w:suppressLineNumbers w:val="0"/>
              <w:jc w:val="center"/>
              <w:textAlignment w:val="center"/>
              <w:rPr>
                <w:rFonts w:hint="eastAsia" w:ascii="宋体" w:hAnsi="宋体" w:eastAsia="宋体" w:cs="宋体"/>
                <w:b/>
                <w:i w:val="0"/>
                <w:color w:val="auto"/>
                <w:sz w:val="28"/>
                <w:szCs w:val="28"/>
                <w:highlight w:val="none"/>
                <w:u w:val="none"/>
              </w:rPr>
            </w:pPr>
            <w:r>
              <w:rPr>
                <w:rFonts w:hint="eastAsia" w:ascii="宋体" w:hAnsi="宋体" w:eastAsia="宋体" w:cs="宋体"/>
                <w:b/>
                <w:i w:val="0"/>
                <w:color w:val="auto"/>
                <w:kern w:val="0"/>
                <w:sz w:val="28"/>
                <w:szCs w:val="28"/>
                <w:highlight w:val="none"/>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8364D">
            <w:pPr>
              <w:keepNext w:val="0"/>
              <w:keepLines w:val="0"/>
              <w:widowControl/>
              <w:suppressLineNumbers w:val="0"/>
              <w:jc w:val="center"/>
              <w:textAlignment w:val="center"/>
              <w:rPr>
                <w:rFonts w:hint="eastAsia" w:ascii="宋体" w:hAnsi="宋体" w:eastAsia="宋体" w:cs="宋体"/>
                <w:b/>
                <w:i w:val="0"/>
                <w:color w:val="auto"/>
                <w:sz w:val="28"/>
                <w:szCs w:val="28"/>
                <w:highlight w:val="none"/>
                <w:u w:val="none"/>
              </w:rPr>
            </w:pPr>
            <w:r>
              <w:rPr>
                <w:rFonts w:hint="eastAsia" w:ascii="宋体" w:hAnsi="宋体" w:eastAsia="宋体" w:cs="宋体"/>
                <w:b/>
                <w:i w:val="0"/>
                <w:color w:val="auto"/>
                <w:kern w:val="0"/>
                <w:sz w:val="28"/>
                <w:szCs w:val="28"/>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B5E78">
            <w:pPr>
              <w:keepNext w:val="0"/>
              <w:keepLines w:val="0"/>
              <w:widowControl/>
              <w:suppressLineNumbers w:val="0"/>
              <w:jc w:val="center"/>
              <w:textAlignment w:val="center"/>
              <w:rPr>
                <w:rFonts w:hint="eastAsia" w:ascii="宋体" w:hAnsi="宋体" w:eastAsia="宋体" w:cs="宋体"/>
                <w:b/>
                <w:i w:val="0"/>
                <w:color w:val="auto"/>
                <w:sz w:val="28"/>
                <w:szCs w:val="28"/>
                <w:highlight w:val="none"/>
                <w:u w:val="none"/>
              </w:rPr>
            </w:pPr>
            <w:r>
              <w:rPr>
                <w:rFonts w:hint="eastAsia" w:ascii="宋体" w:hAnsi="宋体" w:eastAsia="宋体" w:cs="宋体"/>
                <w:b/>
                <w:i w:val="0"/>
                <w:color w:val="auto"/>
                <w:kern w:val="0"/>
                <w:sz w:val="28"/>
                <w:szCs w:val="28"/>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133E4">
            <w:pPr>
              <w:keepNext w:val="0"/>
              <w:keepLines w:val="0"/>
              <w:widowControl/>
              <w:suppressLineNumbers w:val="0"/>
              <w:jc w:val="center"/>
              <w:textAlignment w:val="center"/>
              <w:rPr>
                <w:rFonts w:hint="eastAsia" w:ascii="宋体" w:hAnsi="宋体" w:eastAsia="宋体" w:cs="宋体"/>
                <w:b/>
                <w:i w:val="0"/>
                <w:color w:val="auto"/>
                <w:sz w:val="28"/>
                <w:szCs w:val="28"/>
                <w:highlight w:val="none"/>
                <w:u w:val="none"/>
              </w:rPr>
            </w:pPr>
            <w:r>
              <w:rPr>
                <w:rFonts w:hint="eastAsia" w:ascii="宋体" w:hAnsi="宋体" w:eastAsia="宋体" w:cs="宋体"/>
                <w:b/>
                <w:i w:val="0"/>
                <w:color w:val="auto"/>
                <w:kern w:val="0"/>
                <w:sz w:val="28"/>
                <w:szCs w:val="28"/>
                <w:highlight w:val="none"/>
                <w:u w:val="none"/>
                <w:lang w:val="en-US" w:eastAsia="zh-CN" w:bidi="ar"/>
              </w:rPr>
              <w:t>备注</w:t>
            </w:r>
          </w:p>
        </w:tc>
      </w:tr>
      <w:tr w14:paraId="413AF10E">
        <w:tblPrEx>
          <w:tblCellMar>
            <w:top w:w="0" w:type="dxa"/>
            <w:left w:w="0" w:type="dxa"/>
            <w:bottom w:w="0" w:type="dxa"/>
            <w:right w:w="0" w:type="dxa"/>
          </w:tblCellMar>
        </w:tblPrEx>
        <w:trPr>
          <w:trHeight w:val="375" w:hRule="atLeast"/>
        </w:trPr>
        <w:tc>
          <w:tcPr>
            <w:tcW w:w="0" w:type="auto"/>
            <w:tcBorders>
              <w:top w:val="nil"/>
              <w:left w:val="single" w:color="000000" w:sz="4" w:space="0"/>
              <w:bottom w:val="nil"/>
              <w:right w:val="nil"/>
            </w:tcBorders>
            <w:noWrap/>
            <w:tcMar>
              <w:top w:w="15" w:type="dxa"/>
              <w:left w:w="15" w:type="dxa"/>
              <w:right w:w="15" w:type="dxa"/>
            </w:tcMar>
            <w:vAlign w:val="center"/>
          </w:tcPr>
          <w:p w14:paraId="615652FB">
            <w:pPr>
              <w:keepNext w:val="0"/>
              <w:keepLines w:val="0"/>
              <w:widowControl/>
              <w:suppressLineNumbers w:val="0"/>
              <w:jc w:val="left"/>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一、更衣间</w:t>
            </w:r>
          </w:p>
        </w:tc>
        <w:tc>
          <w:tcPr>
            <w:tcW w:w="0" w:type="auto"/>
            <w:tcBorders>
              <w:top w:val="nil"/>
              <w:left w:val="nil"/>
              <w:bottom w:val="nil"/>
              <w:right w:val="nil"/>
            </w:tcBorders>
            <w:noWrap/>
            <w:tcMar>
              <w:top w:w="15" w:type="dxa"/>
              <w:left w:w="15" w:type="dxa"/>
              <w:right w:w="15" w:type="dxa"/>
            </w:tcMar>
            <w:vAlign w:val="center"/>
          </w:tcPr>
          <w:p w14:paraId="6848DD94">
            <w:pPr>
              <w:jc w:val="center"/>
              <w:rPr>
                <w:rFonts w:hint="eastAsia" w:ascii="Tahoma" w:hAnsi="Tahoma" w:eastAsia="Tahoma" w:cs="Tahoma"/>
                <w:i w:val="0"/>
                <w:color w:val="auto"/>
                <w:sz w:val="28"/>
                <w:szCs w:val="28"/>
                <w:highlight w:val="none"/>
                <w:u w:val="none"/>
              </w:rPr>
            </w:pPr>
          </w:p>
        </w:tc>
        <w:tc>
          <w:tcPr>
            <w:tcW w:w="0" w:type="auto"/>
            <w:tcBorders>
              <w:top w:val="nil"/>
              <w:left w:val="nil"/>
              <w:bottom w:val="nil"/>
              <w:right w:val="nil"/>
            </w:tcBorders>
            <w:noWrap/>
            <w:tcMar>
              <w:top w:w="15" w:type="dxa"/>
              <w:left w:w="15" w:type="dxa"/>
              <w:right w:w="15" w:type="dxa"/>
            </w:tcMar>
            <w:vAlign w:val="center"/>
          </w:tcPr>
          <w:p w14:paraId="45FAC4FC">
            <w:pPr>
              <w:jc w:val="center"/>
              <w:rPr>
                <w:rFonts w:hint="default" w:ascii="Tahoma" w:hAnsi="Tahoma" w:eastAsia="Tahoma" w:cs="Tahoma"/>
                <w:i w:val="0"/>
                <w:color w:val="auto"/>
                <w:sz w:val="28"/>
                <w:szCs w:val="28"/>
                <w:highlight w:val="none"/>
                <w:u w:val="none"/>
              </w:rPr>
            </w:pPr>
          </w:p>
        </w:tc>
        <w:tc>
          <w:tcPr>
            <w:tcW w:w="0" w:type="auto"/>
            <w:tcBorders>
              <w:top w:val="nil"/>
              <w:left w:val="nil"/>
              <w:bottom w:val="nil"/>
              <w:right w:val="nil"/>
            </w:tcBorders>
            <w:noWrap/>
            <w:tcMar>
              <w:top w:w="15" w:type="dxa"/>
              <w:left w:w="15" w:type="dxa"/>
              <w:right w:w="15" w:type="dxa"/>
            </w:tcMar>
            <w:vAlign w:val="center"/>
          </w:tcPr>
          <w:p w14:paraId="4A89885F">
            <w:pPr>
              <w:jc w:val="center"/>
              <w:rPr>
                <w:rFonts w:hint="default" w:ascii="Tahoma" w:hAnsi="Tahoma" w:eastAsia="Tahoma" w:cs="Tahoma"/>
                <w:i w:val="0"/>
                <w:color w:val="auto"/>
                <w:sz w:val="28"/>
                <w:szCs w:val="28"/>
                <w:highlight w:val="none"/>
                <w:u w:val="none"/>
              </w:rPr>
            </w:pPr>
          </w:p>
        </w:tc>
        <w:tc>
          <w:tcPr>
            <w:tcW w:w="0" w:type="auto"/>
            <w:tcBorders>
              <w:top w:val="nil"/>
              <w:left w:val="nil"/>
              <w:bottom w:val="nil"/>
              <w:right w:val="nil"/>
            </w:tcBorders>
            <w:noWrap/>
            <w:tcMar>
              <w:top w:w="15" w:type="dxa"/>
              <w:left w:w="15" w:type="dxa"/>
              <w:right w:w="15" w:type="dxa"/>
            </w:tcMar>
            <w:vAlign w:val="center"/>
          </w:tcPr>
          <w:p w14:paraId="0D4A1D09">
            <w:pPr>
              <w:jc w:val="center"/>
              <w:rPr>
                <w:rFonts w:hint="default" w:ascii="Tahoma" w:hAnsi="Tahoma" w:eastAsia="Tahoma" w:cs="Tahoma"/>
                <w:i w:val="0"/>
                <w:color w:val="auto"/>
                <w:sz w:val="28"/>
                <w:szCs w:val="28"/>
                <w:highlight w:val="none"/>
                <w:u w:val="none"/>
              </w:rPr>
            </w:pP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5B3011C">
            <w:pPr>
              <w:rPr>
                <w:rFonts w:hint="eastAsia" w:ascii="宋体" w:hAnsi="宋体" w:eastAsia="宋体" w:cs="宋体"/>
                <w:b/>
                <w:i w:val="0"/>
                <w:color w:val="auto"/>
                <w:sz w:val="28"/>
                <w:szCs w:val="28"/>
                <w:highlight w:val="none"/>
                <w:u w:val="none"/>
              </w:rPr>
            </w:pPr>
          </w:p>
        </w:tc>
      </w:tr>
      <w:tr w14:paraId="36C0A461">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456F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8E54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更衣柜</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5459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900*450*1800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38CF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1016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EAD2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0CD3150D">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73B7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二、粗加工间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D38D1">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5F5AE">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ACC37">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72D2A">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AB8EB">
            <w:pPr>
              <w:jc w:val="center"/>
              <w:rPr>
                <w:rFonts w:hint="eastAsia" w:ascii="宋体" w:hAnsi="宋体" w:eastAsia="宋体" w:cs="宋体"/>
                <w:i w:val="0"/>
                <w:color w:val="auto"/>
                <w:sz w:val="28"/>
                <w:szCs w:val="28"/>
                <w:highlight w:val="none"/>
                <w:u w:val="none"/>
              </w:rPr>
            </w:pPr>
          </w:p>
        </w:tc>
      </w:tr>
      <w:tr w14:paraId="63A75C9C">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64A0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A0E0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双槽水池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493A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1400*700*800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8778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5F4E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26B8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767BDB8E">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2043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5EB1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收残台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BBCD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700*700*800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DBC2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47E8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1631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58A5923D">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E293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三、仓库</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71F57">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31C0C">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ED67F">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45A7D">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9C27D">
            <w:pPr>
              <w:jc w:val="center"/>
              <w:rPr>
                <w:rFonts w:hint="eastAsia" w:ascii="宋体" w:hAnsi="宋体" w:eastAsia="宋体" w:cs="宋体"/>
                <w:i w:val="0"/>
                <w:color w:val="auto"/>
                <w:sz w:val="28"/>
                <w:szCs w:val="28"/>
                <w:highlight w:val="none"/>
                <w:u w:val="none"/>
              </w:rPr>
            </w:pPr>
          </w:p>
        </w:tc>
      </w:tr>
      <w:tr w14:paraId="108B5C42">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7A26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9368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1C84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1500*500*1600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0640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0563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8BB2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5095A7A3">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1AE1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C2A4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米架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93BC0A">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1A35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0911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1FE4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7D31B724">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1EFD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四、蔬菜切配区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4840C">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F5089">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40927">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DB2F3">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82202">
            <w:pPr>
              <w:jc w:val="center"/>
              <w:rPr>
                <w:rFonts w:hint="eastAsia" w:ascii="宋体" w:hAnsi="宋体" w:eastAsia="宋体" w:cs="宋体"/>
                <w:i w:val="0"/>
                <w:color w:val="auto"/>
                <w:sz w:val="28"/>
                <w:szCs w:val="28"/>
                <w:highlight w:val="none"/>
                <w:u w:val="none"/>
              </w:rPr>
            </w:pPr>
          </w:p>
        </w:tc>
      </w:tr>
      <w:tr w14:paraId="09D5C4D9">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1495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704E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单槽水池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1588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700*700*800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ADA3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BF6B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F594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375D449A">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FF74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B91D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012B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1500*500*1600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6C31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F724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675A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16A8012C">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E5D8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9937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511A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EE06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3E20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338A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1C8C037A">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533A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五、职工餐厅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7B7B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荤菜切配区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A133A">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4DB99">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0192A">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84D52">
            <w:pPr>
              <w:jc w:val="center"/>
              <w:rPr>
                <w:rFonts w:hint="eastAsia" w:ascii="宋体" w:hAnsi="宋体" w:eastAsia="宋体" w:cs="宋体"/>
                <w:i w:val="0"/>
                <w:color w:val="auto"/>
                <w:sz w:val="28"/>
                <w:szCs w:val="28"/>
                <w:highlight w:val="none"/>
                <w:u w:val="none"/>
              </w:rPr>
            </w:pPr>
          </w:p>
        </w:tc>
      </w:tr>
      <w:tr w14:paraId="7DA9A91F">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DD6E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ADC9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六门冷柜</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0A6F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1800*700*1880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9182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6439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B1EB1">
            <w:pPr>
              <w:jc w:val="center"/>
              <w:rPr>
                <w:rFonts w:hint="eastAsia" w:ascii="宋体" w:hAnsi="宋体" w:eastAsia="宋体" w:cs="宋体"/>
                <w:i w:val="0"/>
                <w:color w:val="auto"/>
                <w:sz w:val="28"/>
                <w:szCs w:val="28"/>
                <w:highlight w:val="none"/>
                <w:u w:val="none"/>
              </w:rPr>
            </w:pPr>
          </w:p>
        </w:tc>
      </w:tr>
      <w:tr w14:paraId="5C5C1E16">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4591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C414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E55E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8CC7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F5D1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702E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5052929D">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F005C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六、备菜间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516EA">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40F1F">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328A3">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FDD20">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29CD6">
            <w:pPr>
              <w:jc w:val="center"/>
              <w:rPr>
                <w:rFonts w:hint="eastAsia" w:ascii="宋体" w:hAnsi="宋体" w:eastAsia="宋体" w:cs="宋体"/>
                <w:i w:val="0"/>
                <w:color w:val="auto"/>
                <w:sz w:val="28"/>
                <w:szCs w:val="28"/>
                <w:highlight w:val="none"/>
                <w:u w:val="none"/>
              </w:rPr>
            </w:pPr>
          </w:p>
        </w:tc>
      </w:tr>
      <w:tr w14:paraId="45EFD5EC">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ED1D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9A1E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B3A8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2670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BB93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55C8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5BCAFD01">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6D56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6C95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8EE9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1500*500*1600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976F9">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B2A9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148D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309C1C5C">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AFC1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七、烹饪间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CA80D">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69076">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F439D">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8507A">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7C206">
            <w:pPr>
              <w:jc w:val="center"/>
              <w:rPr>
                <w:rFonts w:hint="eastAsia" w:ascii="宋体" w:hAnsi="宋体" w:eastAsia="宋体" w:cs="宋体"/>
                <w:i w:val="0"/>
                <w:color w:val="auto"/>
                <w:sz w:val="28"/>
                <w:szCs w:val="28"/>
                <w:highlight w:val="none"/>
                <w:u w:val="none"/>
              </w:rPr>
            </w:pPr>
          </w:p>
        </w:tc>
      </w:tr>
      <w:tr w14:paraId="5A979FBA">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03BA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BE7E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6C56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5958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87F1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4E2A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77C8583F">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8FED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4A409">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单槽水池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A1F1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700*700*800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0189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CF34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325D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3561D44B">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9657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FF4C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电灶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B136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DE65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7053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66215">
            <w:pPr>
              <w:jc w:val="center"/>
              <w:rPr>
                <w:rFonts w:hint="eastAsia" w:ascii="宋体" w:hAnsi="宋体" w:eastAsia="宋体" w:cs="宋体"/>
                <w:i w:val="0"/>
                <w:color w:val="auto"/>
                <w:sz w:val="28"/>
                <w:szCs w:val="28"/>
                <w:highlight w:val="none"/>
                <w:u w:val="none"/>
              </w:rPr>
            </w:pPr>
          </w:p>
        </w:tc>
      </w:tr>
      <w:tr w14:paraId="67F2E507">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8ADA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48B8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调料台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E219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500*1000*800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8534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0932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8A1F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3F064DF5">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F6D6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F280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双炒单温灶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B051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1531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2AF4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B5F5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电磁炉</w:t>
            </w:r>
          </w:p>
        </w:tc>
      </w:tr>
      <w:tr w14:paraId="3A69AE47">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9E0B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071A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双门蒸饭柜</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1FF1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Style w:val="55"/>
                <w:color w:val="auto"/>
                <w:highlight w:val="none"/>
                <w:lang w:val="en-US" w:eastAsia="zh-CN" w:bidi="ar"/>
              </w:rPr>
              <w:t>24</w:t>
            </w:r>
            <w:r>
              <w:rPr>
                <w:rStyle w:val="56"/>
                <w:color w:val="auto"/>
                <w:highlight w:val="none"/>
                <w:lang w:val="en-US" w:eastAsia="zh-CN" w:bidi="ar"/>
              </w:rPr>
              <w:t>层</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C936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4C96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282CA">
            <w:pPr>
              <w:jc w:val="center"/>
              <w:rPr>
                <w:rFonts w:hint="eastAsia" w:ascii="宋体" w:hAnsi="宋体" w:eastAsia="宋体" w:cs="宋体"/>
                <w:i w:val="0"/>
                <w:color w:val="auto"/>
                <w:sz w:val="28"/>
                <w:szCs w:val="28"/>
                <w:highlight w:val="none"/>
                <w:u w:val="none"/>
              </w:rPr>
            </w:pPr>
          </w:p>
        </w:tc>
      </w:tr>
      <w:tr w14:paraId="5AD8F623">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31D0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八、职工餐厅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6B02C">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18C82">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54819">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2A0A4">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7A606">
            <w:pPr>
              <w:jc w:val="center"/>
              <w:rPr>
                <w:rFonts w:hint="eastAsia" w:ascii="宋体" w:hAnsi="宋体" w:eastAsia="宋体" w:cs="宋体"/>
                <w:i w:val="0"/>
                <w:color w:val="auto"/>
                <w:sz w:val="28"/>
                <w:szCs w:val="28"/>
                <w:highlight w:val="none"/>
                <w:u w:val="none"/>
              </w:rPr>
            </w:pPr>
          </w:p>
        </w:tc>
      </w:tr>
      <w:tr w14:paraId="6B1B0C22">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F03A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1589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二人桌椅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5B70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600*600*800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4D62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7159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A8D3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33704953">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A3C7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0237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四人桌椅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EB0E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1200*600*800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EFD2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B3F7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5F74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1E3EA526">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8DAA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九、备菜间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E609B">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59801">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437B5">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763FC">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83F40">
            <w:pPr>
              <w:jc w:val="center"/>
              <w:rPr>
                <w:rFonts w:hint="eastAsia" w:ascii="宋体" w:hAnsi="宋体" w:eastAsia="宋体" w:cs="宋体"/>
                <w:i w:val="0"/>
                <w:color w:val="auto"/>
                <w:sz w:val="28"/>
                <w:szCs w:val="28"/>
                <w:highlight w:val="none"/>
                <w:u w:val="none"/>
              </w:rPr>
            </w:pPr>
          </w:p>
        </w:tc>
      </w:tr>
      <w:tr w14:paraId="7153799F">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2EA0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4CF2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0B16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14AB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60CC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697E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6E2AB1CB">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8AAA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D53D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四格保温台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0D65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1500*700*800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76B9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1CFB9">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928C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081E86F3">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95C7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十、二次更衣间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77F6B">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FA877">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ED344">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52191">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2B9CD">
            <w:pPr>
              <w:jc w:val="center"/>
              <w:rPr>
                <w:rFonts w:hint="eastAsia" w:ascii="宋体" w:hAnsi="宋体" w:eastAsia="宋体" w:cs="宋体"/>
                <w:i w:val="0"/>
                <w:color w:val="auto"/>
                <w:sz w:val="28"/>
                <w:szCs w:val="28"/>
                <w:highlight w:val="none"/>
                <w:u w:val="none"/>
              </w:rPr>
            </w:pPr>
          </w:p>
        </w:tc>
      </w:tr>
      <w:tr w14:paraId="444A0418">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12B9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A2C3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单槽水池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DA20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600*600*800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89E0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FC7B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9367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53940D5D">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6F0E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十一、清洗消毒间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D5CB3">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E7F3C">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52E9F">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B23D3">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143A8">
            <w:pPr>
              <w:jc w:val="center"/>
              <w:rPr>
                <w:rFonts w:hint="eastAsia" w:ascii="宋体" w:hAnsi="宋体" w:eastAsia="宋体" w:cs="宋体"/>
                <w:i w:val="0"/>
                <w:color w:val="auto"/>
                <w:sz w:val="28"/>
                <w:szCs w:val="28"/>
                <w:highlight w:val="none"/>
                <w:u w:val="none"/>
              </w:rPr>
            </w:pPr>
          </w:p>
        </w:tc>
      </w:tr>
      <w:tr w14:paraId="512F8B12">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1E5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A7978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开水器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AE14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12KW</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7826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334D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40127">
            <w:pPr>
              <w:jc w:val="center"/>
              <w:rPr>
                <w:rFonts w:hint="eastAsia" w:ascii="宋体" w:hAnsi="宋体" w:eastAsia="宋体" w:cs="宋体"/>
                <w:i w:val="0"/>
                <w:color w:val="auto"/>
                <w:sz w:val="28"/>
                <w:szCs w:val="28"/>
                <w:highlight w:val="none"/>
                <w:u w:val="none"/>
              </w:rPr>
            </w:pPr>
          </w:p>
        </w:tc>
      </w:tr>
      <w:tr w14:paraId="32D5C157">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1475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F5FA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三槽水池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5C109">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2100*700*800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9CB7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F13C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E5D6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1D156949">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082C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D0A8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收残台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470B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700*700*800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C1F8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EB8B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E94F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2264E76D">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98F0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06F0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双门消毒柜</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F3E9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1200*600*1800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04FF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695F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7E710">
            <w:pPr>
              <w:jc w:val="center"/>
              <w:rPr>
                <w:rFonts w:hint="eastAsia" w:ascii="宋体" w:hAnsi="宋体" w:eastAsia="宋体" w:cs="宋体"/>
                <w:i w:val="0"/>
                <w:color w:val="auto"/>
                <w:sz w:val="28"/>
                <w:szCs w:val="28"/>
                <w:highlight w:val="none"/>
                <w:u w:val="none"/>
              </w:rPr>
            </w:pPr>
          </w:p>
        </w:tc>
      </w:tr>
      <w:tr w14:paraId="722399FF">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0013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BF5B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碗柜</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A0D5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1200*500*1800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94FA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F043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97BB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7F53E4F4">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44BA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十二、病人餐厅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D602E">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D12AE">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A98E5">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0605D">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A26E2">
            <w:pPr>
              <w:jc w:val="center"/>
              <w:rPr>
                <w:rFonts w:hint="eastAsia" w:ascii="宋体" w:hAnsi="宋体" w:eastAsia="宋体" w:cs="宋体"/>
                <w:i w:val="0"/>
                <w:color w:val="auto"/>
                <w:sz w:val="28"/>
                <w:szCs w:val="28"/>
                <w:highlight w:val="none"/>
                <w:u w:val="none"/>
              </w:rPr>
            </w:pPr>
          </w:p>
        </w:tc>
      </w:tr>
      <w:tr w14:paraId="6DEE4BC4">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45D09">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CB73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六人餐椅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5360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1800*600*800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E180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9AC5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2F8F5">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7D06A5F8">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EBD0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82567">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四人餐椅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2BA6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1200*600*800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9AEAA">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3944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E499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7279E43B">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D8D8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十三、排风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65466">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4829C">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FA73B">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0B34A">
            <w:pPr>
              <w:jc w:val="center"/>
              <w:rPr>
                <w:rFonts w:hint="eastAsia" w:ascii="宋体" w:hAnsi="宋体" w:eastAsia="宋体" w:cs="宋体"/>
                <w:i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B3641">
            <w:pPr>
              <w:jc w:val="center"/>
              <w:rPr>
                <w:rFonts w:hint="eastAsia" w:ascii="宋体" w:hAnsi="宋体" w:eastAsia="宋体" w:cs="宋体"/>
                <w:i w:val="0"/>
                <w:color w:val="auto"/>
                <w:sz w:val="28"/>
                <w:szCs w:val="28"/>
                <w:highlight w:val="none"/>
                <w:u w:val="none"/>
              </w:rPr>
            </w:pPr>
          </w:p>
        </w:tc>
      </w:tr>
      <w:tr w14:paraId="1FCDF393">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3147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7F50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油烟罩</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7BDE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1000*1200*500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3B61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40DD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F39F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57D0C97B">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569F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A0721">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集风管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EA6E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1000*500*500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77ED9">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80DF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0176F">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419C80CC">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1404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F0CB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风管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CCB9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1000*500*500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3B08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53DD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16FB9">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304板材1.0厚</w:t>
            </w:r>
          </w:p>
        </w:tc>
      </w:tr>
      <w:tr w14:paraId="2A9F7970">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3A63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8381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净化器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6911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79E0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风量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CAFC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74A8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净化率95%</w:t>
            </w:r>
          </w:p>
        </w:tc>
      </w:tr>
      <w:tr w14:paraId="7C5AB8E7">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5637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02946">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柜式风机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D572E">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7.5KW</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A33C3">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AFC58">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F5232">
            <w:pPr>
              <w:jc w:val="center"/>
              <w:rPr>
                <w:rFonts w:hint="eastAsia" w:ascii="宋体" w:hAnsi="宋体" w:eastAsia="宋体" w:cs="宋体"/>
                <w:i w:val="0"/>
                <w:color w:val="auto"/>
                <w:sz w:val="28"/>
                <w:szCs w:val="28"/>
                <w:highlight w:val="none"/>
                <w:u w:val="none"/>
              </w:rPr>
            </w:pPr>
          </w:p>
        </w:tc>
      </w:tr>
      <w:tr w14:paraId="419084CF">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7D52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1C5B2">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风机保护器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CFFCD">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7.5kw</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2FE14">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59D20">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FA563">
            <w:pPr>
              <w:jc w:val="center"/>
              <w:rPr>
                <w:rFonts w:hint="eastAsia" w:ascii="宋体" w:hAnsi="宋体" w:eastAsia="宋体" w:cs="宋体"/>
                <w:i w:val="0"/>
                <w:color w:val="auto"/>
                <w:sz w:val="28"/>
                <w:szCs w:val="28"/>
                <w:highlight w:val="none"/>
                <w:u w:val="none"/>
              </w:rPr>
            </w:pPr>
          </w:p>
        </w:tc>
      </w:tr>
      <w:tr w14:paraId="3744DDD1">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4010C">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十四</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0719B">
            <w:pPr>
              <w:keepNext w:val="0"/>
              <w:keepLines w:val="0"/>
              <w:widowControl/>
              <w:suppressLineNumbers w:val="0"/>
              <w:jc w:val="center"/>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现场空调己安装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A6E1A">
            <w:pPr>
              <w:jc w:val="center"/>
              <w:rPr>
                <w:rFonts w:hint="default" w:ascii="Tahoma" w:hAnsi="Tahoma" w:eastAsia="Tahoma" w:cs="Tahoma"/>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D8EB0">
            <w:pPr>
              <w:jc w:val="center"/>
              <w:rPr>
                <w:rFonts w:hint="default" w:ascii="Tahoma" w:hAnsi="Tahoma" w:eastAsia="Tahoma" w:cs="Tahoma"/>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7F239">
            <w:pPr>
              <w:jc w:val="center"/>
              <w:rPr>
                <w:rFonts w:hint="eastAsia" w:ascii="宋体" w:hAnsi="宋体" w:eastAsia="宋体" w:cs="宋体"/>
                <w:i w:val="0"/>
                <w:color w:val="auto"/>
                <w:sz w:val="28"/>
                <w:szCs w:val="28"/>
                <w:highlight w:val="none"/>
                <w:u w:val="none"/>
              </w:rPr>
            </w:pPr>
          </w:p>
        </w:tc>
      </w:tr>
    </w:tbl>
    <w:p w14:paraId="26B76D01">
      <w:pPr>
        <w:widowControl/>
        <w:shd w:val="clear"/>
        <w:snapToGrid w:val="0"/>
        <w:spacing w:line="400" w:lineRule="exact"/>
        <w:ind w:firstLine="480" w:firstLineChars="200"/>
        <w:textAlignment w:val="baseline"/>
        <w:rPr>
          <w:rStyle w:val="49"/>
          <w:rFonts w:hint="eastAsia" w:ascii="宋体" w:hAnsi="宋体" w:cs="宋体"/>
          <w:color w:val="000000" w:themeColor="text1"/>
          <w:sz w:val="24"/>
          <w:highlight w:val="none"/>
          <w14:textFill>
            <w14:solidFill>
              <w14:schemeClr w14:val="tx1"/>
            </w14:solidFill>
          </w14:textFill>
        </w:rPr>
        <w:sectPr>
          <w:footerReference r:id="rId4" w:type="default"/>
          <w:pgSz w:w="11906" w:h="16838"/>
          <w:pgMar w:top="1610" w:right="1347" w:bottom="1440" w:left="1519" w:header="851" w:footer="992" w:gutter="0"/>
          <w:cols w:space="0" w:num="1"/>
          <w:docGrid w:type="lines" w:linePitch="312" w:charSpace="0"/>
        </w:sectPr>
      </w:pPr>
      <w:r>
        <w:rPr>
          <w:rStyle w:val="49"/>
          <w:rFonts w:hint="eastAsia" w:ascii="宋体" w:hAnsi="宋体" w:cs="宋体"/>
          <w:color w:val="000000" w:themeColor="text1"/>
          <w:sz w:val="24"/>
          <w:highlight w:val="none"/>
          <w14:textFill>
            <w14:solidFill>
              <w14:schemeClr w14:val="tx1"/>
            </w14:solidFill>
          </w14:textFill>
        </w:rPr>
        <w:br w:type="page"/>
      </w:r>
    </w:p>
    <w:p w14:paraId="049272C6">
      <w:pPr>
        <w:pStyle w:val="7"/>
        <w:numPr>
          <w:ilvl w:val="0"/>
          <w:numId w:val="0"/>
        </w:numPr>
        <w:shd w:val="clea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食堂现有菜谱（参考）</w:t>
      </w:r>
    </w:p>
    <w:tbl>
      <w:tblPr>
        <w:tblStyle w:val="21"/>
        <w:tblW w:w="14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5"/>
        <w:gridCol w:w="1756"/>
        <w:gridCol w:w="1755"/>
        <w:gridCol w:w="1756"/>
        <w:gridCol w:w="1995"/>
        <w:gridCol w:w="2055"/>
        <w:gridCol w:w="1755"/>
        <w:gridCol w:w="1755"/>
      </w:tblGrid>
      <w:tr w14:paraId="7A15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5FFE">
            <w:pPr>
              <w:rPr>
                <w:rFonts w:hint="eastAsia" w:ascii="宋体" w:hAnsi="宋体" w:eastAsia="宋体" w:cs="宋体"/>
                <w:i w:val="0"/>
                <w:iCs w:val="0"/>
                <w:color w:val="auto"/>
                <w:sz w:val="22"/>
                <w:szCs w:val="22"/>
                <w:highlight w:val="none"/>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0E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周一</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EE7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周二</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73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周三</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55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周四</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72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周五</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76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周六</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96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周日</w:t>
            </w:r>
          </w:p>
        </w:tc>
      </w:tr>
      <w:tr w14:paraId="60A3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B5B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早餐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8D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花卷+红豆粥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DD5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面包+绿豆粥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95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肉包+花生粥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FF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夹心面包+红豆粥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0F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夹心面包+绿豆粥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51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肉包+花生粥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76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花卷+红豆粥</w:t>
            </w:r>
          </w:p>
        </w:tc>
      </w:tr>
      <w:tr w14:paraId="378A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60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午餐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73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红烧肉+汤+饭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61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炒猪肝+汤+饭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D9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炒肉片+汤+饭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29C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炒肉丝+汤+饭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9E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炒鸡蛋+汤+饭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E8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肉圆+饭+汤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AC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炖蛋+饭+汤</w:t>
            </w:r>
          </w:p>
        </w:tc>
      </w:tr>
      <w:tr w14:paraId="526E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20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晚餐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DB2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拌卜叶丝+饭+汤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AC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蒸茄子+饭+汤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AB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韭菜豆芽+饭+汤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2D3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番茄炒鸡蛋+饭+汤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3C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雪菜土豆+饭+汤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7F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烧豆腐+饭+汤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573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素鸡+汤+饭</w:t>
            </w:r>
          </w:p>
        </w:tc>
      </w:tr>
    </w:tbl>
    <w:p w14:paraId="08F510E5">
      <w:pPr>
        <w:pStyle w:val="2"/>
        <w:rPr>
          <w:highlight w:val="none"/>
        </w:rPr>
        <w:sectPr>
          <w:pgSz w:w="16838" w:h="11906" w:orient="landscape"/>
          <w:pgMar w:top="1519" w:right="1610" w:bottom="1347" w:left="1440" w:header="851" w:footer="992" w:gutter="0"/>
          <w:cols w:space="0" w:num="1"/>
          <w:docGrid w:type="lines" w:linePitch="312" w:charSpace="0"/>
        </w:sectPr>
      </w:pPr>
    </w:p>
    <w:p w14:paraId="04EB9397">
      <w:pPr>
        <w:pStyle w:val="2"/>
        <w:rPr>
          <w:highlight w:val="none"/>
        </w:rPr>
      </w:pPr>
    </w:p>
    <w:p w14:paraId="3E884C82">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2"/>
          <w:szCs w:val="32"/>
          <w:highlight w:val="none"/>
          <w:shd w:val="clear" w:color="auto" w:fill="FFFFFF"/>
          <w14:textFill>
            <w14:solidFill>
              <w14:schemeClr w14:val="tx1"/>
            </w14:solidFill>
          </w14:textFill>
        </w:rPr>
        <w:t>第五章 投标文件格式</w:t>
      </w:r>
    </w:p>
    <w:p w14:paraId="4861E920">
      <w:pPr>
        <w:pStyle w:val="17"/>
        <w:widowControl/>
        <w:shd w:val="clear"/>
        <w:spacing w:line="440" w:lineRule="exact"/>
        <w:rPr>
          <w:rFonts w:ascii="宋体" w:hAnsi="宋体" w:cs="宋体"/>
          <w:b/>
          <w:color w:val="000000" w:themeColor="text1"/>
          <w:sz w:val="32"/>
          <w:szCs w:val="32"/>
          <w:highlight w:val="none"/>
          <w:shd w:val="clear" w:color="auto" w:fill="FFFFFF"/>
          <w14:textFill>
            <w14:solidFill>
              <w14:schemeClr w14:val="tx1"/>
            </w14:solidFill>
          </w14:textFill>
        </w:rPr>
      </w:pPr>
    </w:p>
    <w:p w14:paraId="1F9B0E0B">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以下为投标文件格式，请承租单位按规定用黑色墨迹签字笔书写或打印、复印、粘贴。格式中明确要求签字捺印或盖章的地方应按规定签字捺印或盖章。</w:t>
      </w:r>
    </w:p>
    <w:p w14:paraId="2BF2A50F">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4FD440C4">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885B5F9">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6D053EA7">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EE62007">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2641669">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08B59254">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4F65CE0">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6159699F">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7D9FC6A0">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4BE8F1C1">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45E6DA05">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4B4D0A2">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BB51387">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32F71D83">
      <w:pPr>
        <w:pStyle w:val="17"/>
        <w:widowControl/>
        <w:shd w:val="clear"/>
        <w:spacing w:line="440" w:lineRule="exact"/>
        <w:ind w:firstLine="560"/>
        <w:rPr>
          <w:rFonts w:ascii="宋体" w:hAnsi="宋体" w:cs="宋体"/>
          <w:color w:val="000000" w:themeColor="text1"/>
          <w:sz w:val="28"/>
          <w:szCs w:val="28"/>
          <w:highlight w:val="none"/>
          <w:shd w:val="clear" w:color="auto" w:fill="FFFFFF"/>
          <w14:textFill>
            <w14:solidFill>
              <w14:schemeClr w14:val="tx1"/>
            </w14:solidFill>
          </w14:textFill>
        </w:rPr>
      </w:pPr>
    </w:p>
    <w:p w14:paraId="0B9BC6F8">
      <w:pPr>
        <w:pStyle w:val="17"/>
        <w:widowControl/>
        <w:shd w:val="clear"/>
        <w:spacing w:line="440" w:lineRule="exact"/>
        <w:jc w:val="center"/>
        <w:rPr>
          <w:rFonts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投标报价书</w:t>
      </w:r>
    </w:p>
    <w:p w14:paraId="77848930">
      <w:pPr>
        <w:pStyle w:val="17"/>
        <w:widowControl/>
        <w:shd w:val="clear"/>
        <w:spacing w:line="4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致</w:t>
      </w:r>
      <w:r>
        <w:rPr>
          <w:rFonts w:hint="eastAsia" w:ascii="宋体" w:hAnsi="宋体" w:cs="宋体"/>
          <w:b/>
          <w:color w:val="000000" w:themeColor="text1"/>
          <w:highlight w:val="none"/>
          <w:u w:val="single"/>
          <w:shd w:val="clear" w:color="auto" w:fill="FFFFFF"/>
          <w:lang w:eastAsia="zh-CN"/>
          <w14:textFill>
            <w14:solidFill>
              <w14:schemeClr w14:val="tx1"/>
            </w14:solidFill>
          </w14:textFill>
        </w:rPr>
        <w:t>盐城市大丰区第二人民医院</w:t>
      </w:r>
      <w:r>
        <w:rPr>
          <w:rFonts w:hint="eastAsia" w:ascii="宋体" w:hAnsi="宋体" w:cs="宋体"/>
          <w:color w:val="000000" w:themeColor="text1"/>
          <w:highlight w:val="none"/>
          <w:shd w:val="clear" w:color="auto" w:fill="FFFFFF"/>
          <w14:textFill>
            <w14:solidFill>
              <w14:schemeClr w14:val="tx1"/>
            </w14:solidFill>
          </w14:textFill>
        </w:rPr>
        <w:t>：</w:t>
      </w:r>
    </w:p>
    <w:p w14:paraId="011C296F">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根据贵方项目编号为</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的</w:t>
      </w:r>
      <w:r>
        <w:rPr>
          <w:rFonts w:hint="eastAsia" w:ascii="宋体" w:hAnsi="宋体" w:cs="宋体"/>
          <w:color w:val="000000" w:themeColor="text1"/>
          <w:highlight w:val="none"/>
          <w:u w:val="single"/>
          <w:shd w:val="clear" w:color="auto" w:fill="FFFFFF"/>
          <w:lang w:eastAsia="zh-CN"/>
          <w14:textFill>
            <w14:solidFill>
              <w14:schemeClr w14:val="tx1"/>
            </w14:solidFill>
          </w14:textFill>
        </w:rPr>
        <w:t>盐城市大丰区第二人民医院食堂对外招租服务项目</w:t>
      </w:r>
      <w:r>
        <w:rPr>
          <w:rFonts w:hint="eastAsia" w:ascii="宋体" w:hAnsi="宋体" w:cs="宋体"/>
          <w:color w:val="000000" w:themeColor="text1"/>
          <w:highlight w:val="none"/>
          <w:shd w:val="clear" w:color="auto" w:fill="FFFFFF"/>
          <w14:textFill>
            <w14:solidFill>
              <w14:schemeClr w14:val="tx1"/>
            </w14:solidFill>
          </w14:textFill>
        </w:rPr>
        <w:t>公开招租文件，我方</w:t>
      </w:r>
      <w:r>
        <w:rPr>
          <w:rFonts w:hint="eastAsia" w:ascii="宋体" w:hAnsi="宋体" w:cs="宋体"/>
          <w:color w:val="000000" w:themeColor="text1"/>
          <w:highlight w:val="none"/>
          <w14:textFill>
            <w14:solidFill>
              <w14:schemeClr w14:val="tx1"/>
            </w14:solidFill>
          </w14:textFill>
        </w:rPr>
        <w:t>参加承租，</w:t>
      </w:r>
      <w:r>
        <w:rPr>
          <w:rFonts w:hint="eastAsia" w:ascii="宋体" w:hAnsi="宋体" w:cs="宋体"/>
          <w:b/>
          <w:bCs/>
          <w:color w:val="000000" w:themeColor="text1"/>
          <w:highlight w:val="none"/>
          <w:u w:val="single"/>
          <w14:textFill>
            <w14:solidFill>
              <w14:schemeClr w14:val="tx1"/>
            </w14:solidFill>
          </w14:textFill>
        </w:rPr>
        <w:t>我方承租报价为（大写）：            万元</w:t>
      </w:r>
      <w:r>
        <w:rPr>
          <w:rFonts w:hint="eastAsia" w:ascii="宋体" w:hAnsi="宋体" w:cs="宋体"/>
          <w:b/>
          <w:bCs/>
          <w:color w:val="000000" w:themeColor="text1"/>
          <w:highlight w:val="none"/>
          <w:u w:val="single"/>
          <w:lang w:val="en-US" w:eastAsia="zh-CN"/>
          <w14:textFill>
            <w14:solidFill>
              <w14:schemeClr w14:val="tx1"/>
            </w14:solidFill>
          </w14:textFill>
        </w:rPr>
        <w:t>/年</w:t>
      </w:r>
      <w:r>
        <w:rPr>
          <w:rFonts w:hint="eastAsia" w:ascii="宋体" w:hAnsi="宋体" w:cs="宋体"/>
          <w:color w:val="000000" w:themeColor="text1"/>
          <w:highlight w:val="none"/>
          <w:shd w:val="clear" w:color="auto" w:fill="FFFFFF"/>
          <w14:textFill>
            <w14:solidFill>
              <w14:schemeClr w14:val="tx1"/>
            </w14:solidFill>
          </w14:textFill>
        </w:rPr>
        <w:t>，项目负责人：</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，接受招租文件全部要求。按招租文件规定交纳投标保证金人民币</w:t>
      </w:r>
      <w:r>
        <w:rPr>
          <w:rFonts w:hint="eastAsia" w:ascii="宋体" w:hAnsi="宋体" w:cs="宋体"/>
          <w:b/>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。如有违约，同意按招租文件规定对保证金进行处理。</w:t>
      </w:r>
    </w:p>
    <w:p w14:paraId="59469FB2">
      <w:pPr>
        <w:pStyle w:val="17"/>
        <w:widowControl/>
        <w:shd w:val="clear"/>
        <w:spacing w:line="440" w:lineRule="exact"/>
        <w:ind w:firstLine="1550"/>
        <w:rPr>
          <w:rFonts w:ascii="宋体" w:hAnsi="宋体" w:cs="宋体"/>
          <w:color w:val="000000" w:themeColor="text1"/>
          <w:sz w:val="21"/>
          <w:szCs w:val="21"/>
          <w:highlight w:val="none"/>
          <w14:textFill>
            <w14:solidFill>
              <w14:schemeClr w14:val="tx1"/>
            </w14:solidFill>
          </w14:textFill>
        </w:rPr>
      </w:pPr>
    </w:p>
    <w:p w14:paraId="32367097">
      <w:pPr>
        <w:pStyle w:val="17"/>
        <w:widowControl/>
        <w:shd w:val="clear"/>
        <w:spacing w:line="440" w:lineRule="exact"/>
        <w:ind w:firstLine="1550"/>
        <w:rPr>
          <w:rFonts w:ascii="宋体" w:hAnsi="宋体" w:cs="宋体"/>
          <w:color w:val="000000" w:themeColor="text1"/>
          <w:sz w:val="21"/>
          <w:szCs w:val="21"/>
          <w:highlight w:val="none"/>
          <w14:textFill>
            <w14:solidFill>
              <w14:schemeClr w14:val="tx1"/>
            </w14:solidFill>
          </w14:textFill>
        </w:rPr>
      </w:pPr>
    </w:p>
    <w:p w14:paraId="0E9DE143">
      <w:pPr>
        <w:pStyle w:val="17"/>
        <w:widowControl/>
        <w:shd w:val="clear"/>
        <w:spacing w:line="440" w:lineRule="exact"/>
        <w:ind w:firstLine="1550"/>
        <w:rPr>
          <w:rFonts w:ascii="宋体" w:hAnsi="宋体" w:cs="宋体"/>
          <w:color w:val="000000" w:themeColor="text1"/>
          <w:sz w:val="21"/>
          <w:szCs w:val="21"/>
          <w:highlight w:val="none"/>
          <w14:textFill>
            <w14:solidFill>
              <w14:schemeClr w14:val="tx1"/>
            </w14:solidFill>
          </w14:textFill>
        </w:rPr>
      </w:pPr>
    </w:p>
    <w:p w14:paraId="62C57E1E">
      <w:pPr>
        <w:pStyle w:val="17"/>
        <w:widowControl/>
        <w:shd w:val="clear"/>
        <w:spacing w:line="440" w:lineRule="exact"/>
        <w:ind w:firstLine="1550"/>
        <w:rPr>
          <w:rFonts w:ascii="宋体" w:hAnsi="宋体" w:cs="宋体"/>
          <w:color w:val="000000" w:themeColor="text1"/>
          <w:sz w:val="21"/>
          <w:szCs w:val="21"/>
          <w:highlight w:val="none"/>
          <w14:textFill>
            <w14:solidFill>
              <w14:schemeClr w14:val="tx1"/>
            </w14:solidFill>
          </w14:textFill>
        </w:rPr>
      </w:pPr>
    </w:p>
    <w:p w14:paraId="11EAF143">
      <w:pPr>
        <w:pStyle w:val="17"/>
        <w:widowControl/>
        <w:shd w:val="clear"/>
        <w:spacing w:line="440" w:lineRule="exact"/>
        <w:ind w:firstLine="3480" w:firstLineChars="14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（单位盖章）</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p>
    <w:p w14:paraId="7A115488">
      <w:pPr>
        <w:pStyle w:val="17"/>
        <w:widowControl/>
        <w:shd w:val="clear"/>
        <w:spacing w:line="440" w:lineRule="exact"/>
        <w:ind w:firstLine="3480" w:firstLineChars="14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法定代表人（或委托代理人）（签字或盖章）</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p>
    <w:p w14:paraId="2AFB66FF">
      <w:pPr>
        <w:pStyle w:val="17"/>
        <w:widowControl/>
        <w:shd w:val="clear"/>
        <w:spacing w:line="440" w:lineRule="exact"/>
        <w:ind w:firstLine="274"/>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 xml:space="preserve">    年  月  日</w:t>
      </w:r>
    </w:p>
    <w:p w14:paraId="24D6803B">
      <w:pPr>
        <w:pStyle w:val="17"/>
        <w:widowControl/>
        <w:shd w:val="clear"/>
        <w:spacing w:line="440" w:lineRule="exact"/>
        <w:ind w:firstLine="562"/>
        <w:jc w:val="center"/>
        <w:rPr>
          <w:rFonts w:ascii="宋体" w:hAnsi="宋体" w:cs="宋体"/>
          <w:b/>
          <w:color w:val="000000" w:themeColor="text1"/>
          <w:sz w:val="28"/>
          <w:szCs w:val="28"/>
          <w:highlight w:val="none"/>
          <w:shd w:val="clear" w:color="auto" w:fill="FFFFFF"/>
          <w14:textFill>
            <w14:solidFill>
              <w14:schemeClr w14:val="tx1"/>
            </w14:solidFill>
          </w14:textFill>
        </w:rPr>
      </w:pPr>
    </w:p>
    <w:p w14:paraId="4305313A">
      <w:pPr>
        <w:pStyle w:val="17"/>
        <w:widowControl/>
        <w:shd w:val="clear"/>
        <w:spacing w:line="440" w:lineRule="exact"/>
        <w:jc w:val="both"/>
        <w:rPr>
          <w:rFonts w:ascii="宋体" w:hAnsi="宋体" w:cs="宋体"/>
          <w:b/>
          <w:color w:val="000000" w:themeColor="text1"/>
          <w:sz w:val="32"/>
          <w:szCs w:val="32"/>
          <w:highlight w:val="none"/>
          <w:shd w:val="clear" w:color="auto" w:fill="FFFFFF"/>
          <w14:textFill>
            <w14:solidFill>
              <w14:schemeClr w14:val="tx1"/>
            </w14:solidFill>
          </w14:textFill>
        </w:rPr>
      </w:pPr>
    </w:p>
    <w:p w14:paraId="731029EC">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p>
    <w:p w14:paraId="3639B82C">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p>
    <w:p w14:paraId="0E99E521">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p>
    <w:p w14:paraId="7899D107">
      <w:pPr>
        <w:pStyle w:val="17"/>
        <w:widowControl/>
        <w:shd w:val="clear"/>
        <w:spacing w:line="440" w:lineRule="exact"/>
        <w:jc w:val="center"/>
        <w:rPr>
          <w:rFonts w:ascii="宋体" w:hAnsi="宋体" w:cs="宋体"/>
          <w:b/>
          <w:color w:val="000000" w:themeColor="text1"/>
          <w:sz w:val="32"/>
          <w:szCs w:val="32"/>
          <w:highlight w:val="none"/>
          <w:shd w:val="clear" w:color="auto" w:fill="FFFFFF"/>
          <w14:textFill>
            <w14:solidFill>
              <w14:schemeClr w14:val="tx1"/>
            </w14:solidFill>
          </w14:textFill>
        </w:rPr>
      </w:pPr>
    </w:p>
    <w:p w14:paraId="21869DB3">
      <w:pPr>
        <w:pStyle w:val="17"/>
        <w:widowControl/>
        <w:shd w:val="clear"/>
        <w:spacing w:line="440" w:lineRule="exact"/>
        <w:jc w:val="both"/>
        <w:rPr>
          <w:rFonts w:ascii="宋体" w:hAnsi="宋体" w:cs="宋体"/>
          <w:b/>
          <w:color w:val="000000" w:themeColor="text1"/>
          <w:sz w:val="32"/>
          <w:szCs w:val="32"/>
          <w:highlight w:val="none"/>
          <w:shd w:val="clear" w:color="auto" w:fill="FFFFFF"/>
          <w14:textFill>
            <w14:solidFill>
              <w14:schemeClr w14:val="tx1"/>
            </w14:solidFill>
          </w14:textFill>
        </w:rPr>
      </w:pPr>
    </w:p>
    <w:p w14:paraId="40E4FEDB">
      <w:pPr>
        <w:pStyle w:val="17"/>
        <w:widowControl/>
        <w:shd w:val="clear"/>
        <w:spacing w:line="440" w:lineRule="exact"/>
        <w:jc w:val="center"/>
        <w:rPr>
          <w:rFonts w:ascii="宋体" w:hAnsi="宋体" w:cs="宋体"/>
          <w:b/>
          <w:color w:val="000000" w:themeColor="text1"/>
          <w:sz w:val="28"/>
          <w:szCs w:val="28"/>
          <w:highlight w:val="none"/>
          <w:shd w:val="clear" w:color="auto" w:fill="FFFFFF"/>
          <w14:textFill>
            <w14:solidFill>
              <w14:schemeClr w14:val="tx1"/>
            </w14:solidFill>
          </w14:textFill>
        </w:rPr>
      </w:pPr>
      <w:r>
        <w:rPr>
          <w:rFonts w:hint="eastAsia" w:ascii="宋体" w:hAnsi="宋体" w:cs="宋体"/>
          <w:b/>
          <w:color w:val="000000" w:themeColor="text1"/>
          <w:sz w:val="28"/>
          <w:szCs w:val="28"/>
          <w:highlight w:val="none"/>
          <w:shd w:val="clear" w:color="auto" w:fill="FFFFFF"/>
          <w14:textFill>
            <w14:solidFill>
              <w14:schemeClr w14:val="tx1"/>
            </w14:solidFill>
          </w14:textFill>
        </w:rPr>
        <w:t>授权委托书</w:t>
      </w:r>
    </w:p>
    <w:p w14:paraId="10FBE45D">
      <w:pPr>
        <w:pStyle w:val="17"/>
        <w:widowControl/>
        <w:shd w:val="clear"/>
        <w:spacing w:line="440" w:lineRule="exact"/>
        <w:ind w:firstLine="24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本人</w:t>
      </w:r>
      <w:r>
        <w:rPr>
          <w:rFonts w:hint="eastAsia" w:ascii="宋体" w:hAnsi="宋体" w:cs="宋体"/>
          <w:b/>
          <w:color w:val="000000" w:themeColor="text1"/>
          <w:highlight w:val="none"/>
          <w:u w:val="single"/>
          <w:shd w:val="clear" w:color="auto" w:fill="FFFFFF"/>
          <w14:textFill>
            <w14:solidFill>
              <w14:schemeClr w14:val="tx1"/>
            </w14:solidFill>
          </w14:textFill>
        </w:rPr>
        <w:t>姓 名</w:t>
      </w:r>
      <w:r>
        <w:rPr>
          <w:rFonts w:hint="eastAsia" w:ascii="宋体" w:hAnsi="宋体" w:cs="宋体"/>
          <w:color w:val="000000" w:themeColor="text1"/>
          <w:highlight w:val="none"/>
          <w:shd w:val="clear" w:color="auto" w:fill="FFFFFF"/>
          <w14:textFill>
            <w14:solidFill>
              <w14:schemeClr w14:val="tx1"/>
            </w14:solidFill>
          </w14:textFill>
        </w:rPr>
        <w:t>系</w:t>
      </w:r>
      <w:r>
        <w:rPr>
          <w:rFonts w:hint="eastAsia" w:ascii="宋体" w:hAnsi="宋体" w:cs="宋体"/>
          <w:color w:val="000000" w:themeColor="text1"/>
          <w:highlight w:val="none"/>
          <w:u w:val="single"/>
          <w:shd w:val="clear" w:color="auto" w:fill="FFFFFF"/>
          <w14:textFill>
            <w14:solidFill>
              <w14:schemeClr w14:val="tx1"/>
            </w14:solidFill>
          </w14:textFill>
        </w:rPr>
        <w:t>承租单位</w:t>
      </w:r>
      <w:r>
        <w:rPr>
          <w:rFonts w:hint="eastAsia" w:ascii="宋体" w:hAnsi="宋体" w:cs="宋体"/>
          <w:b/>
          <w:color w:val="000000" w:themeColor="text1"/>
          <w:highlight w:val="none"/>
          <w:u w:val="single"/>
          <w:shd w:val="clear" w:color="auto" w:fill="FFFFFF"/>
          <w14:textFill>
            <w14:solidFill>
              <w14:schemeClr w14:val="tx1"/>
            </w14:solidFill>
          </w14:textFill>
        </w:rPr>
        <w:t>单位名称</w:t>
      </w:r>
      <w:r>
        <w:rPr>
          <w:rFonts w:hint="eastAsia" w:ascii="宋体" w:hAnsi="宋体" w:cs="宋体"/>
          <w:color w:val="000000" w:themeColor="text1"/>
          <w:highlight w:val="none"/>
          <w:shd w:val="clear" w:color="auto" w:fill="FFFFFF"/>
          <w14:textFill>
            <w14:solidFill>
              <w14:schemeClr w14:val="tx1"/>
            </w14:solidFill>
          </w14:textFill>
        </w:rPr>
        <w:t>的法定代表人（负责人），现授权我单位</w:t>
      </w:r>
      <w:r>
        <w:rPr>
          <w:rFonts w:hint="eastAsia" w:ascii="宋体" w:hAnsi="宋体" w:cs="宋体"/>
          <w:b/>
          <w:color w:val="000000" w:themeColor="text1"/>
          <w:highlight w:val="none"/>
          <w:u w:val="single"/>
          <w:shd w:val="clear" w:color="auto" w:fill="FFFFFF"/>
          <w14:textFill>
            <w14:solidFill>
              <w14:schemeClr w14:val="tx1"/>
            </w14:solidFill>
          </w14:textFill>
        </w:rPr>
        <w:t>姓名、职务</w:t>
      </w:r>
      <w:r>
        <w:rPr>
          <w:rFonts w:hint="eastAsia" w:ascii="宋体" w:hAnsi="宋体" w:cs="宋体"/>
          <w:color w:val="000000" w:themeColor="text1"/>
          <w:highlight w:val="none"/>
          <w:shd w:val="clear" w:color="auto" w:fill="FFFFFF"/>
          <w14:textFill>
            <w14:solidFill>
              <w14:schemeClr w14:val="tx1"/>
            </w14:solidFill>
          </w14:textFill>
        </w:rPr>
        <w:t>为我方委托代理人。代理人根据本授权，以我名义签署、澄清、递交、撤回、修改</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盐城市大丰区第二人民医院食堂对外招租服务项目</w:t>
      </w:r>
      <w:r>
        <w:rPr>
          <w:rFonts w:hint="eastAsia" w:ascii="宋体" w:hAnsi="宋体" w:cs="宋体"/>
          <w:color w:val="000000" w:themeColor="text1"/>
          <w:highlight w:val="none"/>
          <w:shd w:val="clear" w:color="auto" w:fill="FFFFFF"/>
          <w14:textFill>
            <w14:solidFill>
              <w14:schemeClr w14:val="tx1"/>
            </w14:solidFill>
          </w14:textFill>
        </w:rPr>
        <w:t>的公开招租投标文件并出席开标会议、签订租赁合同书等有关事务，其法律后果由我方承担。</w:t>
      </w:r>
    </w:p>
    <w:p w14:paraId="24C48260">
      <w:pPr>
        <w:pStyle w:val="17"/>
        <w:widowControl/>
        <w:shd w:val="clear"/>
        <w:spacing w:line="440" w:lineRule="exact"/>
        <w:ind w:firstLine="56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委托期限：</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年</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月</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日前。</w:t>
      </w:r>
    </w:p>
    <w:p w14:paraId="4D8D9556">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p>
    <w:p w14:paraId="436CF4D8">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代理人无转委托权。</w:t>
      </w:r>
    </w:p>
    <w:p w14:paraId="5B66A145">
      <w:pPr>
        <w:pStyle w:val="17"/>
        <w:widowControl/>
        <w:shd w:val="clear"/>
        <w:spacing w:line="440" w:lineRule="exact"/>
        <w:rPr>
          <w:rFonts w:ascii="宋体" w:hAnsi="宋体" w:cs="宋体"/>
          <w:color w:val="000000" w:themeColor="text1"/>
          <w:sz w:val="21"/>
          <w:szCs w:val="21"/>
          <w:highlight w:val="none"/>
          <w14:textFill>
            <w14:solidFill>
              <w14:schemeClr w14:val="tx1"/>
            </w14:solidFill>
          </w14:textFill>
        </w:rPr>
      </w:pPr>
    </w:p>
    <w:p w14:paraId="78D3863C">
      <w:pPr>
        <w:pStyle w:val="17"/>
        <w:widowControl/>
        <w:shd w:val="clear"/>
        <w:spacing w:line="440" w:lineRule="exact"/>
        <w:ind w:firstLine="48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承租单位</w:t>
      </w:r>
      <w:r>
        <w:rPr>
          <w:rFonts w:hint="eastAsia" w:ascii="宋体" w:hAnsi="宋体" w:cs="宋体"/>
          <w:color w:val="000000" w:themeColor="text1"/>
          <w:highlight w:val="none"/>
          <w:shd w:val="clear" w:color="auto" w:fill="FFFFFF"/>
          <w14:textFill>
            <w14:solidFill>
              <w14:schemeClr w14:val="tx1"/>
            </w14:solidFill>
          </w14:textFill>
        </w:rPr>
        <w:t xml:space="preserve"> ：</w:t>
      </w:r>
      <w:r>
        <w:rPr>
          <w:rFonts w:hint="eastAsia" w:ascii="宋体" w:hAnsi="宋体" w:cs="宋体"/>
          <w:color w:val="000000" w:themeColor="text1"/>
          <w:highlight w:val="none"/>
          <w:u w:val="single"/>
          <w:shd w:val="clear" w:color="auto" w:fill="FFFFFF"/>
          <w14:textFill>
            <w14:solidFill>
              <w14:schemeClr w14:val="tx1"/>
            </w14:solidFill>
          </w14:textFill>
        </w:rPr>
        <w:t xml:space="preserve">    （盖章）</w:t>
      </w:r>
      <w:r>
        <w:rPr>
          <w:rFonts w:hint="eastAsia" w:ascii="宋体" w:hAnsi="宋体" w:cs="宋体"/>
          <w:color w:val="000000" w:themeColor="text1"/>
          <w:highlight w:val="none"/>
          <w:shd w:val="clear" w:color="auto" w:fill="FFFFFF"/>
          <w14:textFill>
            <w14:solidFill>
              <w14:schemeClr w14:val="tx1"/>
            </w14:solidFill>
          </w14:textFill>
        </w:rPr>
        <w:t xml:space="preserve"> </w:t>
      </w:r>
    </w:p>
    <w:p w14:paraId="098A03EA">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p>
    <w:p w14:paraId="0C661AE8">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法定代表人：</w:t>
      </w:r>
      <w:r>
        <w:rPr>
          <w:rFonts w:hint="eastAsia" w:ascii="宋体" w:hAnsi="宋体" w:cs="宋体"/>
          <w:color w:val="000000" w:themeColor="text1"/>
          <w:highlight w:val="none"/>
          <w:u w:val="single"/>
          <w:shd w:val="clear" w:color="auto" w:fill="FFFFFF"/>
          <w14:textFill>
            <w14:solidFill>
              <w14:schemeClr w14:val="tx1"/>
            </w14:solidFill>
          </w14:textFill>
        </w:rPr>
        <w:t xml:space="preserve"> （签字或盖章）</w:t>
      </w:r>
      <w:r>
        <w:rPr>
          <w:rFonts w:hint="eastAsia" w:ascii="宋体" w:hAnsi="宋体" w:cs="宋体"/>
          <w:color w:val="000000" w:themeColor="text1"/>
          <w:highlight w:val="none"/>
          <w:shd w:val="clear" w:color="auto" w:fill="FFFFFF"/>
          <w14:textFill>
            <w14:solidFill>
              <w14:schemeClr w14:val="tx1"/>
            </w14:solidFill>
          </w14:textFill>
        </w:rPr>
        <w:t xml:space="preserve"> </w:t>
      </w:r>
    </w:p>
    <w:p w14:paraId="763453DB">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p>
    <w:p w14:paraId="28DDC4C9">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委托代理人：</w:t>
      </w:r>
      <w:r>
        <w:rPr>
          <w:rFonts w:hint="eastAsia" w:ascii="宋体" w:hAnsi="宋体" w:cs="宋体"/>
          <w:color w:val="000000" w:themeColor="text1"/>
          <w:highlight w:val="none"/>
          <w:u w:val="single"/>
          <w:shd w:val="clear" w:color="auto" w:fill="FFFFFF"/>
          <w14:textFill>
            <w14:solidFill>
              <w14:schemeClr w14:val="tx1"/>
            </w14:solidFill>
          </w14:textFill>
        </w:rPr>
        <w:t>（签字）</w:t>
      </w:r>
      <w:r>
        <w:rPr>
          <w:rFonts w:hint="eastAsia" w:ascii="宋体" w:hAnsi="宋体" w:cs="宋体"/>
          <w:color w:val="000000" w:themeColor="text1"/>
          <w:highlight w:val="none"/>
          <w:shd w:val="clear" w:color="auto" w:fill="FFFFFF"/>
          <w14:textFill>
            <w14:solidFill>
              <w14:schemeClr w14:val="tx1"/>
            </w14:solidFill>
          </w14:textFill>
        </w:rPr>
        <w:t xml:space="preserve"> </w:t>
      </w:r>
    </w:p>
    <w:p w14:paraId="51C4808F">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p>
    <w:p w14:paraId="695783C3">
      <w:pPr>
        <w:pStyle w:val="17"/>
        <w:widowControl/>
        <w:shd w:val="clear"/>
        <w:spacing w:line="440" w:lineRule="exact"/>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委托代理人电话号码：</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p>
    <w:p w14:paraId="42F40BF0">
      <w:pPr>
        <w:pStyle w:val="17"/>
        <w:widowControl/>
        <w:shd w:val="clear"/>
        <w:spacing w:line="440" w:lineRule="exact"/>
        <w:ind w:firstLine="1440" w:firstLineChars="600"/>
        <w:rPr>
          <w:rFonts w:ascii="宋体" w:hAnsi="宋体" w:cs="宋体"/>
          <w:color w:val="000000" w:themeColor="text1"/>
          <w:highlight w:val="none"/>
          <w:shd w:val="clear" w:color="auto" w:fill="FFFFFF"/>
          <w14:textFill>
            <w14:solidFill>
              <w14:schemeClr w14:val="tx1"/>
            </w14:solidFill>
          </w14:textFill>
        </w:rPr>
      </w:pPr>
    </w:p>
    <w:p w14:paraId="3D341FCA">
      <w:pPr>
        <w:pStyle w:val="17"/>
        <w:widowControl/>
        <w:shd w:val="clear"/>
        <w:spacing w:line="440" w:lineRule="exact"/>
        <w:ind w:firstLine="6000" w:firstLineChars="250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xml:space="preserve">年 </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 xml:space="preserve">月 </w:t>
      </w:r>
      <w:r>
        <w:rPr>
          <w:rFonts w:hint="eastAsia" w:ascii="宋体" w:hAnsi="宋体" w:cs="宋体"/>
          <w:color w:val="000000" w:themeColor="text1"/>
          <w:highlight w:val="none"/>
          <w:u w:val="single"/>
          <w:shd w:val="clear" w:color="auto" w:fill="FFFFFF"/>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日</w:t>
      </w:r>
    </w:p>
    <w:p w14:paraId="34BF876F">
      <w:pPr>
        <w:shd w:val="clear"/>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br w:type="page"/>
      </w:r>
    </w:p>
    <w:p w14:paraId="680BAA27">
      <w:pPr>
        <w:shd w:val="clear"/>
        <w:spacing w:line="440" w:lineRule="exact"/>
        <w:jc w:val="center"/>
        <w:rPr>
          <w:rFonts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评标办法涉及的相关材料</w:t>
      </w:r>
    </w:p>
    <w:p w14:paraId="18771EFA">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5A5601D7">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0C53B30">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44D5E05F">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0AA91BFD">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60919A2">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18E5F36">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0FF820A">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52B8F821">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499CBFD8">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60D8D3C1">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C48DDF4">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5E3CFE45">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7BB1A028">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0312E0AB">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6C649A87">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2658A877">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3013E296">
      <w:pPr>
        <w:pStyle w:val="17"/>
        <w:widowControl/>
        <w:shd w:val="clear"/>
        <w:spacing w:line="440" w:lineRule="exact"/>
        <w:rPr>
          <w:rFonts w:ascii="宋体" w:hAnsi="宋体" w:cs="宋体"/>
          <w:color w:val="000000" w:themeColor="text1"/>
          <w:highlight w:val="none"/>
          <w:shd w:val="clear" w:color="auto" w:fill="FFFFFF"/>
          <w14:textFill>
            <w14:solidFill>
              <w14:schemeClr w14:val="tx1"/>
            </w14:solidFill>
          </w14:textFill>
        </w:rPr>
      </w:pPr>
    </w:p>
    <w:p w14:paraId="4143BE92">
      <w:pPr>
        <w:shd w:val="clear"/>
        <w:spacing w:line="580" w:lineRule="exact"/>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附件：</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国有产权意向承租承诺函</w:t>
      </w:r>
    </w:p>
    <w:p w14:paraId="6C370AC6">
      <w:pPr>
        <w:shd w:val="clear"/>
        <w:spacing w:line="360" w:lineRule="exact"/>
        <w:ind w:firstLine="532" w:firstLineChars="200"/>
        <w:rPr>
          <w:rFonts w:ascii="仿宋" w:hAnsi="仿宋" w:eastAsia="仿宋" w:cs="仿宋"/>
          <w:color w:val="000000" w:themeColor="text1"/>
          <w:w w:val="95"/>
          <w:sz w:val="28"/>
          <w:szCs w:val="28"/>
          <w:highlight w:val="none"/>
          <w:u w:val="singl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为营造公开、公平、公正、诚实守信的产权交易环境，树立诚信守法的受让人形象，本单位（人）参加的</w:t>
      </w:r>
      <w:r>
        <w:rPr>
          <w:rFonts w:hint="eastAsia" w:ascii="仿宋" w:hAnsi="仿宋" w:eastAsia="仿宋" w:cs="仿宋"/>
          <w:color w:val="000000" w:themeColor="text1"/>
          <w:w w:val="95"/>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w w:val="95"/>
          <w:sz w:val="28"/>
          <w:szCs w:val="28"/>
          <w:highlight w:val="none"/>
          <w:u w:val="single"/>
          <w:lang w:eastAsia="zh-CN"/>
          <w14:textFill>
            <w14:solidFill>
              <w14:schemeClr w14:val="tx1"/>
            </w14:solidFill>
          </w14:textFill>
        </w:rPr>
        <w:t>盐城市大丰区第二人民医院食堂对外招租服务项目</w:t>
      </w:r>
      <w:r>
        <w:rPr>
          <w:rFonts w:hint="eastAsia" w:ascii="仿宋" w:hAnsi="仿宋" w:eastAsia="仿宋"/>
          <w:color w:val="000000" w:themeColor="text1"/>
          <w:w w:val="95"/>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w w:val="95"/>
          <w:sz w:val="28"/>
          <w:szCs w:val="28"/>
          <w:highlight w:val="none"/>
          <w14:textFill>
            <w14:solidFill>
              <w14:schemeClr w14:val="tx1"/>
            </w14:solidFill>
          </w14:textFill>
        </w:rPr>
        <w:t>项目交易活动，本单位（人）作出以下承诺：</w:t>
      </w:r>
    </w:p>
    <w:p w14:paraId="1FF2DA57">
      <w:pPr>
        <w:shd w:val="clear"/>
        <w:spacing w:line="360" w:lineRule="exact"/>
        <w:ind w:firstLine="532" w:firstLineChars="200"/>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一）本单位（人）对所登记提交的单位（个人）基本信息、从业资质和资格、业绩、财务状况、信誉等所有资料，均合法、真实、准确、有效，无任何伪造、修改、虚假成份，并对所提供资料的合法性、真实性负责；</w:t>
      </w:r>
    </w:p>
    <w:p w14:paraId="56FD9F63">
      <w:pPr>
        <w:shd w:val="clear"/>
        <w:spacing w:line="360" w:lineRule="exact"/>
        <w:ind w:firstLine="532" w:firstLineChars="200"/>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（二）本单位（人）承诺参与本次交易不存在法律、法规规定的禁止性情形；</w:t>
      </w:r>
    </w:p>
    <w:p w14:paraId="5E0484D9">
      <w:pPr>
        <w:shd w:val="clear"/>
        <w:spacing w:line="360" w:lineRule="exact"/>
        <w:ind w:firstLine="532" w:firstLineChars="200"/>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三）严格依照国家和省、市关于产权交易的法律、法规、规章、规范性文件参加产权交易的投标活动；积极履行社会责任，促进廉政建设；本次参与受让交易活动及提交内容是我方真实意愿表示，不存在虚假、误导性或重大遗漏，一经作出不予撤回或变更，我方对其真实性、完整性、合法性、有效性承担相应的法律责任；</w:t>
      </w:r>
    </w:p>
    <w:p w14:paraId="1CD84FC2">
      <w:pPr>
        <w:shd w:val="clear"/>
        <w:spacing w:line="360" w:lineRule="exact"/>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   （四）我方充分了解、接收该项目信息发布的全部内容和要求，熟知交易平台系统操作规程和规则、方式，并认真考虑了不可预计的各项风险因素，愿意承担可能存在的一切交易风险；</w:t>
      </w:r>
    </w:p>
    <w:p w14:paraId="3616B090">
      <w:pPr>
        <w:shd w:val="clear"/>
        <w:spacing w:line="360" w:lineRule="exact"/>
        <w:ind w:firstLine="569" w:firstLineChars="214"/>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五）我方具有良好的财务状况、支付能力和商业信用，符合产权交易对受让方的有关规定；我方将以自己申报的交易价及其他条款内容完成交易全过程，否则同意将所缴纳保证金由转让方不予退还或转为违约金；自我约束、自我管理，守合同、重信用，自觉维护产权交易的良好秩序，与参与本次产权交易活动的其他意向受让方、转让方、代理机构不存在围标串标、弄虚作假、骗取中标、干扰评标、违约毁约等行为；</w:t>
      </w:r>
    </w:p>
    <w:p w14:paraId="5B98FC9B">
      <w:pPr>
        <w:shd w:val="clear"/>
        <w:spacing w:line="360" w:lineRule="exact"/>
        <w:ind w:firstLine="367"/>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六）接受国资（财政）产权交易监督管理部门和有关行政监督部门的依法监督检查。如发生违法违规或不良失信行为，自愿接受产权交易监督管理机构和有关行政监督部门依法给予的行政处罚（处理），并依法承担相应责任；</w:t>
      </w:r>
    </w:p>
    <w:p w14:paraId="71D4D72B">
      <w:pPr>
        <w:shd w:val="clear"/>
        <w:adjustRightInd w:val="0"/>
        <w:snapToGrid w:val="0"/>
        <w:spacing w:line="360" w:lineRule="exact"/>
        <w:ind w:left="-25" w:leftChars="-12" w:firstLine="470" w:firstLineChars="177"/>
        <w:rPr>
          <w:rFonts w:ascii="仿宋" w:hAnsi="仿宋" w:eastAsia="仿宋" w:cs="宋体"/>
          <w:color w:val="000000" w:themeColor="text1"/>
          <w:w w:val="95"/>
          <w:sz w:val="28"/>
          <w:szCs w:val="28"/>
          <w:highlight w:val="none"/>
          <w14:textFill>
            <w14:solidFill>
              <w14:schemeClr w14:val="tx1"/>
            </w14:solidFill>
          </w14:textFill>
        </w:rPr>
      </w:pPr>
      <w:r>
        <w:rPr>
          <w:rFonts w:hint="eastAsia" w:ascii="仿宋" w:hAnsi="仿宋" w:eastAsia="仿宋" w:cs="宋体"/>
          <w:color w:val="000000" w:themeColor="text1"/>
          <w:w w:val="95"/>
          <w:sz w:val="28"/>
          <w:szCs w:val="28"/>
          <w:highlight w:val="none"/>
          <w14:textFill>
            <w14:solidFill>
              <w14:schemeClr w14:val="tx1"/>
            </w14:solidFill>
          </w14:textFill>
        </w:rPr>
        <w:t>（七）竞价过程中，因我方软硬件配备不齐全或发生故障等问题而导致在竞价过程中出现不稳定或中断等情况的，由我方自身承担一切后果；</w:t>
      </w:r>
    </w:p>
    <w:p w14:paraId="1AA4C981">
      <w:pPr>
        <w:shd w:val="clear"/>
        <w:adjustRightInd w:val="0"/>
        <w:snapToGrid w:val="0"/>
        <w:spacing w:line="360" w:lineRule="exact"/>
        <w:ind w:left="23" w:leftChars="11" w:firstLine="468" w:firstLineChars="176"/>
        <w:rPr>
          <w:rFonts w:ascii="仿宋" w:hAnsi="仿宋" w:eastAsia="仿宋" w:cs="宋体"/>
          <w:color w:val="000000" w:themeColor="text1"/>
          <w:w w:val="95"/>
          <w:sz w:val="28"/>
          <w:szCs w:val="28"/>
          <w:highlight w:val="none"/>
          <w14:textFill>
            <w14:solidFill>
              <w14:schemeClr w14:val="tx1"/>
            </w14:solidFill>
          </w14:textFill>
        </w:rPr>
      </w:pPr>
      <w:r>
        <w:rPr>
          <w:rFonts w:hint="eastAsia" w:ascii="仿宋" w:hAnsi="仿宋" w:eastAsia="仿宋" w:cs="宋体"/>
          <w:color w:val="000000" w:themeColor="text1"/>
          <w:w w:val="95"/>
          <w:sz w:val="28"/>
          <w:szCs w:val="28"/>
          <w:highlight w:val="none"/>
          <w14:textFill>
            <w14:solidFill>
              <w14:schemeClr w14:val="tx1"/>
            </w14:solidFill>
          </w14:textFill>
        </w:rPr>
        <w:t>（八）竞价过程中，因我方不能熟练掌握计算机等问题而导致在竞价过程中出现不能在规定时间内参与竞价，由我方自身承担一切后果；</w:t>
      </w:r>
    </w:p>
    <w:p w14:paraId="2F3EB8DA">
      <w:pPr>
        <w:shd w:val="clear"/>
        <w:spacing w:line="360" w:lineRule="exact"/>
        <w:ind w:firstLine="500" w:firstLineChars="188"/>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（九）本单位（人）已认真阅读了上述承诺，并严格遵守和履行，如有违反或给交易相关方造成损失的，我方愿意承担相应的法律责任和经济赔偿。</w:t>
      </w:r>
    </w:p>
    <w:p w14:paraId="03326732">
      <w:pPr>
        <w:shd w:val="clear"/>
        <w:spacing w:line="360" w:lineRule="exact"/>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意向受让方负责人签名：         单位名称（盖章\个人的不需）：</w:t>
      </w:r>
    </w:p>
    <w:p w14:paraId="2F3DC3A0">
      <w:pPr>
        <w:pStyle w:val="19"/>
        <w:shd w:val="clear"/>
        <w:spacing w:after="0" w:line="360" w:lineRule="exact"/>
        <w:ind w:firstLine="0" w:firstLineChars="0"/>
        <w:rPr>
          <w:rFonts w:ascii="仿宋" w:hAnsi="仿宋" w:eastAsia="仿宋" w:cs="仿宋"/>
          <w:color w:val="000000" w:themeColor="text1"/>
          <w:w w:val="95"/>
          <w:sz w:val="28"/>
          <w:szCs w:val="28"/>
          <w:highlight w:val="none"/>
          <w14:textFill>
            <w14:solidFill>
              <w14:schemeClr w14:val="tx1"/>
            </w14:solidFill>
          </w14:textFill>
        </w:rPr>
      </w:pPr>
      <w:r>
        <w:rPr>
          <w:rFonts w:hint="eastAsia" w:ascii="仿宋" w:hAnsi="仿宋" w:eastAsia="仿宋" w:cs="仿宋"/>
          <w:color w:val="000000" w:themeColor="text1"/>
          <w:w w:val="95"/>
          <w:sz w:val="28"/>
          <w:szCs w:val="28"/>
          <w:highlight w:val="none"/>
          <w14:textFill>
            <w14:solidFill>
              <w14:schemeClr w14:val="tx1"/>
            </w14:solidFill>
          </w14:textFill>
        </w:rPr>
        <w:t>联系电话：                            年    月    日</w:t>
      </w:r>
    </w:p>
    <w:p w14:paraId="7153051F">
      <w:pPr>
        <w:pStyle w:val="7"/>
        <w:shd w:val="clear"/>
        <w:rPr>
          <w:rFonts w:hint="default" w:ascii="宋体" w:hAnsi="宋体" w:eastAsia="宋体" w:cs="宋体"/>
          <w:color w:val="000000" w:themeColor="text1"/>
          <w:szCs w:val="24"/>
          <w:highlight w:val="none"/>
          <w14:textFill>
            <w14:solidFill>
              <w14:schemeClr w14:val="tx1"/>
            </w14:solidFill>
          </w14:textFill>
        </w:rPr>
      </w:pPr>
    </w:p>
    <w:p w14:paraId="09B1469E">
      <w:pPr>
        <w:pStyle w:val="7"/>
        <w:shd w:val="clear"/>
        <w:rPr>
          <w:rFonts w:hint="default" w:ascii="宋体" w:hAnsi="宋体" w:eastAsia="宋体" w:cs="宋体"/>
          <w:color w:val="000000" w:themeColor="text1"/>
          <w:szCs w:val="24"/>
          <w:highlight w:val="none"/>
          <w14:textFill>
            <w14:solidFill>
              <w14:schemeClr w14:val="tx1"/>
            </w14:solidFill>
          </w14:textFill>
        </w:rPr>
      </w:pPr>
    </w:p>
    <w:p w14:paraId="4DCFF00C">
      <w:pPr>
        <w:pStyle w:val="7"/>
        <w:shd w:val="clear"/>
        <w:rPr>
          <w:rFonts w:hint="default" w:ascii="宋体" w:hAnsi="宋体" w:eastAsia="宋体" w:cs="宋体"/>
          <w:color w:val="000000" w:themeColor="text1"/>
          <w:szCs w:val="24"/>
          <w:highlight w:val="none"/>
          <w14:textFill>
            <w14:solidFill>
              <w14:schemeClr w14:val="tx1"/>
            </w14:solidFill>
          </w14:textFill>
        </w:rPr>
      </w:pPr>
    </w:p>
    <w:p w14:paraId="6F5DDD9E">
      <w:pPr>
        <w:pStyle w:val="7"/>
        <w:shd w:val="clear"/>
        <w:rPr>
          <w:rFonts w:hint="default" w:ascii="宋体" w:hAnsi="宋体" w:eastAsia="宋体" w:cs="宋体"/>
          <w:color w:val="000000" w:themeColor="text1"/>
          <w:szCs w:val="24"/>
          <w:highlight w:val="none"/>
          <w14:textFill>
            <w14:solidFill>
              <w14:schemeClr w14:val="tx1"/>
            </w14:solidFill>
          </w14:textFill>
        </w:rPr>
      </w:pPr>
    </w:p>
    <w:p w14:paraId="07FE5E2C">
      <w:pPr>
        <w:pStyle w:val="7"/>
        <w:shd w:val="clear"/>
        <w:rPr>
          <w:rFonts w:hint="default" w:ascii="宋体" w:hAnsi="宋体" w:eastAsia="宋体" w:cs="宋体"/>
          <w:color w:val="000000" w:themeColor="text1"/>
          <w:szCs w:val="24"/>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drawing>
          <wp:anchor distT="0" distB="0" distL="114300" distR="114300" simplePos="0" relativeHeight="251660288" behindDoc="1" locked="0" layoutInCell="1" allowOverlap="1">
            <wp:simplePos x="0" y="0"/>
            <wp:positionH relativeFrom="column">
              <wp:posOffset>-234315</wp:posOffset>
            </wp:positionH>
            <wp:positionV relativeFrom="paragraph">
              <wp:posOffset>530225</wp:posOffset>
            </wp:positionV>
            <wp:extent cx="5549900" cy="3742690"/>
            <wp:effectExtent l="0" t="0" r="12700" b="6350"/>
            <wp:wrapTight wrapText="bothSides">
              <wp:wrapPolygon>
                <wp:start x="0" y="0"/>
                <wp:lineTo x="0" y="21549"/>
                <wp:lineTo x="21531" y="21549"/>
                <wp:lineTo x="21531"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cstate="print"/>
                    <a:stretch>
                      <a:fillRect/>
                    </a:stretch>
                  </pic:blipFill>
                  <pic:spPr>
                    <a:xfrm>
                      <a:off x="0" y="0"/>
                      <a:ext cx="5549900" cy="3742690"/>
                    </a:xfrm>
                    <a:prstGeom prst="rect">
                      <a:avLst/>
                    </a:prstGeom>
                    <a:noFill/>
                    <a:ln>
                      <a:noFill/>
                    </a:ln>
                  </pic:spPr>
                </pic:pic>
              </a:graphicData>
            </a:graphic>
          </wp:anchor>
        </w:drawing>
      </w:r>
      <w:r>
        <w:rPr>
          <w:rFonts w:hint="eastAsia"/>
          <w:color w:val="000000" w:themeColor="text1"/>
          <w:highlight w:val="none"/>
          <w:lang w:val="en-US" w:eastAsia="zh-CN"/>
          <w14:textFill>
            <w14:solidFill>
              <w14:schemeClr w14:val="tx1"/>
            </w14:solidFill>
          </w14:textFill>
        </w:rPr>
        <w:t>2</w:t>
      </w:r>
      <w:r>
        <w:rPr>
          <w:rFonts w:ascii="宋体" w:hAnsi="宋体" w:eastAsia="宋体" w:cs="宋体"/>
          <w:color w:val="000000" w:themeColor="text1"/>
          <w:szCs w:val="24"/>
          <w:highlight w:val="none"/>
          <w14:textFill>
            <w14:solidFill>
              <w14:schemeClr w14:val="tx1"/>
            </w14:solidFill>
          </w14:textFill>
        </w:rPr>
        <w:t>、江苏省国有产权交易服务收费标准</w:t>
      </w:r>
    </w:p>
    <w:p w14:paraId="02527605">
      <w:pPr>
        <w:shd w:val="clear"/>
        <w:rPr>
          <w:rFonts w:ascii="宋体" w:hAnsi="宋体" w:cs="宋体"/>
          <w:color w:val="000000" w:themeColor="text1"/>
          <w:highlight w:val="none"/>
          <w14:textFill>
            <w14:solidFill>
              <w14:schemeClr w14:val="tx1"/>
            </w14:solidFill>
          </w14:textFill>
        </w:rPr>
      </w:pPr>
    </w:p>
    <w:sectPr>
      <w:pgSz w:w="11906" w:h="16838"/>
      <w:pgMar w:top="1610" w:right="1347"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EFAAE">
    <w:pPr>
      <w:spacing w:line="186" w:lineRule="auto"/>
      <w:ind w:left="4160"/>
      <w:rPr>
        <w:rFonts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F723C">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F15175">
                          <w:pPr>
                            <w:pStyle w:val="14"/>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2F15175">
                    <w:pPr>
                      <w:pStyle w:val="14"/>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1E19"/>
    <w:multiLevelType w:val="singleLevel"/>
    <w:tmpl w:val="87911E19"/>
    <w:lvl w:ilvl="0" w:tentative="0">
      <w:start w:val="3"/>
      <w:numFmt w:val="chineseCounting"/>
      <w:suff w:val="space"/>
      <w:lvlText w:val="第%1章"/>
      <w:lvlJc w:val="left"/>
      <w:rPr>
        <w:rFonts w:hint="eastAsia"/>
      </w:rPr>
    </w:lvl>
  </w:abstractNum>
  <w:abstractNum w:abstractNumId="1">
    <w:nsid w:val="A7D9958E"/>
    <w:multiLevelType w:val="singleLevel"/>
    <w:tmpl w:val="A7D9958E"/>
    <w:lvl w:ilvl="0" w:tentative="0">
      <w:start w:val="3"/>
      <w:numFmt w:val="chineseCounting"/>
      <w:suff w:val="nothing"/>
      <w:lvlText w:val="%1、"/>
      <w:lvlJc w:val="left"/>
      <w:rPr>
        <w:rFonts w:hint="eastAsia"/>
      </w:rPr>
    </w:lvl>
  </w:abstractNum>
  <w:abstractNum w:abstractNumId="2">
    <w:nsid w:val="E959F4AD"/>
    <w:multiLevelType w:val="singleLevel"/>
    <w:tmpl w:val="E959F4AD"/>
    <w:lvl w:ilvl="0" w:tentative="0">
      <w:start w:val="2"/>
      <w:numFmt w:val="decimal"/>
      <w:suff w:val="nothing"/>
      <w:lvlText w:val="%1、"/>
      <w:lvlJc w:val="left"/>
    </w:lvl>
  </w:abstractNum>
  <w:abstractNum w:abstractNumId="3">
    <w:nsid w:val="FD35D39F"/>
    <w:multiLevelType w:val="singleLevel"/>
    <w:tmpl w:val="FD35D39F"/>
    <w:lvl w:ilvl="0" w:tentative="0">
      <w:start w:val="2"/>
      <w:numFmt w:val="chineseCounting"/>
      <w:suff w:val="nothing"/>
      <w:lvlText w:val="%1、"/>
      <w:lvlJc w:val="left"/>
      <w:rPr>
        <w:rFonts w:hint="eastAsia"/>
      </w:rPr>
    </w:lvl>
  </w:abstractNum>
  <w:abstractNum w:abstractNumId="4">
    <w:nsid w:val="210587DD"/>
    <w:multiLevelType w:val="singleLevel"/>
    <w:tmpl w:val="210587DD"/>
    <w:lvl w:ilvl="0" w:tentative="0">
      <w:start w:val="3"/>
      <w:numFmt w:val="decimal"/>
      <w:suff w:val="nothing"/>
      <w:lvlText w:val="%1、"/>
      <w:lvlJc w:val="left"/>
    </w:lvl>
  </w:abstractNum>
  <w:abstractNum w:abstractNumId="5">
    <w:nsid w:val="379E83A8"/>
    <w:multiLevelType w:val="singleLevel"/>
    <w:tmpl w:val="379E83A8"/>
    <w:lvl w:ilvl="0" w:tentative="0">
      <w:start w:val="7"/>
      <w:numFmt w:val="chineseCounting"/>
      <w:suff w:val="nothing"/>
      <w:lvlText w:val="%1、"/>
      <w:lvlJc w:val="left"/>
      <w:rPr>
        <w:rFonts w:hint="eastAsia"/>
      </w:rPr>
    </w:lvl>
  </w:abstractNum>
  <w:abstractNum w:abstractNumId="6">
    <w:nsid w:val="71702C4F"/>
    <w:multiLevelType w:val="singleLevel"/>
    <w:tmpl w:val="71702C4F"/>
    <w:lvl w:ilvl="0" w:tentative="0">
      <w:start w:val="1"/>
      <w:numFmt w:val="decimal"/>
      <w:suff w:val="nothing"/>
      <w:lvlText w:val="（%1）"/>
      <w:lvlJc w:val="left"/>
    </w:lvl>
  </w:abstractNum>
  <w:num w:numId="1">
    <w:abstractNumId w:val="1"/>
  </w:num>
  <w:num w:numId="2">
    <w:abstractNumId w:val="5"/>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Yjc4NDM4ODcxNzgzNTViOTFkYjUyY2FiM2NhMmIifQ=="/>
  </w:docVars>
  <w:rsids>
    <w:rsidRoot w:val="00A6697F"/>
    <w:rsid w:val="000028D0"/>
    <w:rsid w:val="00011949"/>
    <w:rsid w:val="00013BF2"/>
    <w:rsid w:val="000164A1"/>
    <w:rsid w:val="0002297C"/>
    <w:rsid w:val="00026914"/>
    <w:rsid w:val="00027AB8"/>
    <w:rsid w:val="00030FE5"/>
    <w:rsid w:val="00033CB7"/>
    <w:rsid w:val="0005467A"/>
    <w:rsid w:val="000606C1"/>
    <w:rsid w:val="00076541"/>
    <w:rsid w:val="00081A33"/>
    <w:rsid w:val="00087E96"/>
    <w:rsid w:val="00090381"/>
    <w:rsid w:val="000A5C41"/>
    <w:rsid w:val="000A5CA5"/>
    <w:rsid w:val="000B2A20"/>
    <w:rsid w:val="000C20CD"/>
    <w:rsid w:val="000C6853"/>
    <w:rsid w:val="000F0DF6"/>
    <w:rsid w:val="000F2899"/>
    <w:rsid w:val="00102447"/>
    <w:rsid w:val="00106143"/>
    <w:rsid w:val="0010630E"/>
    <w:rsid w:val="00113520"/>
    <w:rsid w:val="001156ED"/>
    <w:rsid w:val="001206B5"/>
    <w:rsid w:val="001209EC"/>
    <w:rsid w:val="001237C7"/>
    <w:rsid w:val="001272C8"/>
    <w:rsid w:val="0013644B"/>
    <w:rsid w:val="00136DBE"/>
    <w:rsid w:val="00140158"/>
    <w:rsid w:val="001407ED"/>
    <w:rsid w:val="001452ED"/>
    <w:rsid w:val="00154C07"/>
    <w:rsid w:val="0016474A"/>
    <w:rsid w:val="00172726"/>
    <w:rsid w:val="00172973"/>
    <w:rsid w:val="00174525"/>
    <w:rsid w:val="00177A13"/>
    <w:rsid w:val="00177CE3"/>
    <w:rsid w:val="00183DEE"/>
    <w:rsid w:val="001864F1"/>
    <w:rsid w:val="00190A38"/>
    <w:rsid w:val="00193468"/>
    <w:rsid w:val="001959A9"/>
    <w:rsid w:val="001C371F"/>
    <w:rsid w:val="001C4CE3"/>
    <w:rsid w:val="001C5009"/>
    <w:rsid w:val="001D0098"/>
    <w:rsid w:val="001E1FFB"/>
    <w:rsid w:val="001E69F3"/>
    <w:rsid w:val="001F6B49"/>
    <w:rsid w:val="002106D7"/>
    <w:rsid w:val="002165A2"/>
    <w:rsid w:val="002233A0"/>
    <w:rsid w:val="00226418"/>
    <w:rsid w:val="002354AF"/>
    <w:rsid w:val="002413DD"/>
    <w:rsid w:val="00245C35"/>
    <w:rsid w:val="002614F7"/>
    <w:rsid w:val="00270881"/>
    <w:rsid w:val="00277D6A"/>
    <w:rsid w:val="002929F1"/>
    <w:rsid w:val="002A6659"/>
    <w:rsid w:val="002B4DB6"/>
    <w:rsid w:val="002C053C"/>
    <w:rsid w:val="002C2CC8"/>
    <w:rsid w:val="002C6B41"/>
    <w:rsid w:val="002C7F0B"/>
    <w:rsid w:val="002D0082"/>
    <w:rsid w:val="002D06BB"/>
    <w:rsid w:val="002D0EC3"/>
    <w:rsid w:val="002D66F8"/>
    <w:rsid w:val="002E2623"/>
    <w:rsid w:val="002E3E34"/>
    <w:rsid w:val="002E70F9"/>
    <w:rsid w:val="00301D51"/>
    <w:rsid w:val="0030471F"/>
    <w:rsid w:val="00327E45"/>
    <w:rsid w:val="003331C1"/>
    <w:rsid w:val="003332FA"/>
    <w:rsid w:val="003420FD"/>
    <w:rsid w:val="00346370"/>
    <w:rsid w:val="0037222E"/>
    <w:rsid w:val="0037760A"/>
    <w:rsid w:val="00385E9B"/>
    <w:rsid w:val="0038774B"/>
    <w:rsid w:val="00391C0B"/>
    <w:rsid w:val="00394F41"/>
    <w:rsid w:val="003A14CE"/>
    <w:rsid w:val="003B0D6C"/>
    <w:rsid w:val="003C39D7"/>
    <w:rsid w:val="003C4B6C"/>
    <w:rsid w:val="003E57CF"/>
    <w:rsid w:val="003F1137"/>
    <w:rsid w:val="003F1E37"/>
    <w:rsid w:val="003F7DD6"/>
    <w:rsid w:val="00412252"/>
    <w:rsid w:val="0042467A"/>
    <w:rsid w:val="0043309F"/>
    <w:rsid w:val="004337D9"/>
    <w:rsid w:val="00446853"/>
    <w:rsid w:val="004474EB"/>
    <w:rsid w:val="004545D8"/>
    <w:rsid w:val="00463774"/>
    <w:rsid w:val="00464867"/>
    <w:rsid w:val="00491B3E"/>
    <w:rsid w:val="00493A79"/>
    <w:rsid w:val="004A1D89"/>
    <w:rsid w:val="004A5913"/>
    <w:rsid w:val="004A63C2"/>
    <w:rsid w:val="004B455A"/>
    <w:rsid w:val="004B632C"/>
    <w:rsid w:val="004C2C44"/>
    <w:rsid w:val="004C42DD"/>
    <w:rsid w:val="004F5D37"/>
    <w:rsid w:val="00500981"/>
    <w:rsid w:val="0050212E"/>
    <w:rsid w:val="00505843"/>
    <w:rsid w:val="005121AE"/>
    <w:rsid w:val="005157AE"/>
    <w:rsid w:val="005249A5"/>
    <w:rsid w:val="00531BAA"/>
    <w:rsid w:val="005435D0"/>
    <w:rsid w:val="005563B4"/>
    <w:rsid w:val="005674F8"/>
    <w:rsid w:val="00572E62"/>
    <w:rsid w:val="00577152"/>
    <w:rsid w:val="0058699B"/>
    <w:rsid w:val="00586B8B"/>
    <w:rsid w:val="005879CB"/>
    <w:rsid w:val="005961A8"/>
    <w:rsid w:val="005A3008"/>
    <w:rsid w:val="005A63DF"/>
    <w:rsid w:val="005B2174"/>
    <w:rsid w:val="005C3677"/>
    <w:rsid w:val="005C39F6"/>
    <w:rsid w:val="005E67C2"/>
    <w:rsid w:val="006011EA"/>
    <w:rsid w:val="006017AB"/>
    <w:rsid w:val="0060496C"/>
    <w:rsid w:val="00610905"/>
    <w:rsid w:val="00615B9A"/>
    <w:rsid w:val="00631364"/>
    <w:rsid w:val="00640B1F"/>
    <w:rsid w:val="00643F82"/>
    <w:rsid w:val="00651276"/>
    <w:rsid w:val="006534BE"/>
    <w:rsid w:val="006637CF"/>
    <w:rsid w:val="00673DF4"/>
    <w:rsid w:val="0069681B"/>
    <w:rsid w:val="006A0B39"/>
    <w:rsid w:val="006B23C1"/>
    <w:rsid w:val="006B3087"/>
    <w:rsid w:val="006C658C"/>
    <w:rsid w:val="006C703E"/>
    <w:rsid w:val="006D56E3"/>
    <w:rsid w:val="006F601A"/>
    <w:rsid w:val="00701762"/>
    <w:rsid w:val="0070358B"/>
    <w:rsid w:val="00704819"/>
    <w:rsid w:val="00704F84"/>
    <w:rsid w:val="007057F3"/>
    <w:rsid w:val="00705E0B"/>
    <w:rsid w:val="00713F9D"/>
    <w:rsid w:val="0071569F"/>
    <w:rsid w:val="00724511"/>
    <w:rsid w:val="00727E28"/>
    <w:rsid w:val="00732132"/>
    <w:rsid w:val="007355DA"/>
    <w:rsid w:val="0074529E"/>
    <w:rsid w:val="007509F4"/>
    <w:rsid w:val="007542EC"/>
    <w:rsid w:val="007674BB"/>
    <w:rsid w:val="00770DC8"/>
    <w:rsid w:val="0077245A"/>
    <w:rsid w:val="0077304E"/>
    <w:rsid w:val="00777A42"/>
    <w:rsid w:val="00780613"/>
    <w:rsid w:val="00787035"/>
    <w:rsid w:val="007906E9"/>
    <w:rsid w:val="00791DB2"/>
    <w:rsid w:val="00793F8D"/>
    <w:rsid w:val="007A044F"/>
    <w:rsid w:val="007A3FCB"/>
    <w:rsid w:val="007B1D62"/>
    <w:rsid w:val="007B5F7E"/>
    <w:rsid w:val="007C4E05"/>
    <w:rsid w:val="007C54EF"/>
    <w:rsid w:val="007E75B5"/>
    <w:rsid w:val="007F1B56"/>
    <w:rsid w:val="007F3032"/>
    <w:rsid w:val="00806161"/>
    <w:rsid w:val="00810E89"/>
    <w:rsid w:val="00815778"/>
    <w:rsid w:val="00820D02"/>
    <w:rsid w:val="00820DD2"/>
    <w:rsid w:val="00824E31"/>
    <w:rsid w:val="00825919"/>
    <w:rsid w:val="00830D23"/>
    <w:rsid w:val="00843464"/>
    <w:rsid w:val="00855813"/>
    <w:rsid w:val="0086021F"/>
    <w:rsid w:val="008647E0"/>
    <w:rsid w:val="0087672F"/>
    <w:rsid w:val="00876EE9"/>
    <w:rsid w:val="0088057C"/>
    <w:rsid w:val="00882DA4"/>
    <w:rsid w:val="008848AB"/>
    <w:rsid w:val="00887D3F"/>
    <w:rsid w:val="00891492"/>
    <w:rsid w:val="008956B6"/>
    <w:rsid w:val="00896532"/>
    <w:rsid w:val="00896989"/>
    <w:rsid w:val="008A2956"/>
    <w:rsid w:val="008B0A39"/>
    <w:rsid w:val="008B5554"/>
    <w:rsid w:val="008B598B"/>
    <w:rsid w:val="008C3450"/>
    <w:rsid w:val="008C3D4F"/>
    <w:rsid w:val="008D7A5A"/>
    <w:rsid w:val="00911F3C"/>
    <w:rsid w:val="00915EF1"/>
    <w:rsid w:val="00915FE1"/>
    <w:rsid w:val="00916F8A"/>
    <w:rsid w:val="009344F9"/>
    <w:rsid w:val="00937C23"/>
    <w:rsid w:val="00937D76"/>
    <w:rsid w:val="00942A94"/>
    <w:rsid w:val="00945733"/>
    <w:rsid w:val="00946FAB"/>
    <w:rsid w:val="00952A45"/>
    <w:rsid w:val="00952E4E"/>
    <w:rsid w:val="00954070"/>
    <w:rsid w:val="00961CE8"/>
    <w:rsid w:val="00967411"/>
    <w:rsid w:val="009716F4"/>
    <w:rsid w:val="00976F8A"/>
    <w:rsid w:val="00977A55"/>
    <w:rsid w:val="009814FB"/>
    <w:rsid w:val="0099235C"/>
    <w:rsid w:val="00993E88"/>
    <w:rsid w:val="009A42A8"/>
    <w:rsid w:val="009A54CB"/>
    <w:rsid w:val="009C2A16"/>
    <w:rsid w:val="009C66A7"/>
    <w:rsid w:val="009D5E91"/>
    <w:rsid w:val="009F5783"/>
    <w:rsid w:val="00A02789"/>
    <w:rsid w:val="00A02C29"/>
    <w:rsid w:val="00A06531"/>
    <w:rsid w:val="00A12394"/>
    <w:rsid w:val="00A12671"/>
    <w:rsid w:val="00A15B9E"/>
    <w:rsid w:val="00A20261"/>
    <w:rsid w:val="00A26C6A"/>
    <w:rsid w:val="00A30A4C"/>
    <w:rsid w:val="00A3163E"/>
    <w:rsid w:val="00A475A8"/>
    <w:rsid w:val="00A6697F"/>
    <w:rsid w:val="00A70AA5"/>
    <w:rsid w:val="00A72CD0"/>
    <w:rsid w:val="00A8642A"/>
    <w:rsid w:val="00A9717F"/>
    <w:rsid w:val="00AA146E"/>
    <w:rsid w:val="00AA4772"/>
    <w:rsid w:val="00AB0AFD"/>
    <w:rsid w:val="00AB2805"/>
    <w:rsid w:val="00AB32F0"/>
    <w:rsid w:val="00AB3A51"/>
    <w:rsid w:val="00AB48A6"/>
    <w:rsid w:val="00AB5872"/>
    <w:rsid w:val="00AC4A6E"/>
    <w:rsid w:val="00AD43F0"/>
    <w:rsid w:val="00AE27CA"/>
    <w:rsid w:val="00AE474D"/>
    <w:rsid w:val="00AF0174"/>
    <w:rsid w:val="00AF07C7"/>
    <w:rsid w:val="00AF0CC1"/>
    <w:rsid w:val="00B02BAB"/>
    <w:rsid w:val="00B047ED"/>
    <w:rsid w:val="00B10629"/>
    <w:rsid w:val="00B17E6B"/>
    <w:rsid w:val="00B2044E"/>
    <w:rsid w:val="00B22114"/>
    <w:rsid w:val="00B23732"/>
    <w:rsid w:val="00B257E2"/>
    <w:rsid w:val="00B32474"/>
    <w:rsid w:val="00B33C0D"/>
    <w:rsid w:val="00B33F56"/>
    <w:rsid w:val="00B35950"/>
    <w:rsid w:val="00B40882"/>
    <w:rsid w:val="00B420BB"/>
    <w:rsid w:val="00B52DD8"/>
    <w:rsid w:val="00B53E14"/>
    <w:rsid w:val="00B61959"/>
    <w:rsid w:val="00B6213F"/>
    <w:rsid w:val="00B62DC3"/>
    <w:rsid w:val="00B64ABC"/>
    <w:rsid w:val="00B700B5"/>
    <w:rsid w:val="00B806C6"/>
    <w:rsid w:val="00B80E4A"/>
    <w:rsid w:val="00B85AB5"/>
    <w:rsid w:val="00B92039"/>
    <w:rsid w:val="00B94D16"/>
    <w:rsid w:val="00BA1F41"/>
    <w:rsid w:val="00BA6385"/>
    <w:rsid w:val="00BB4A73"/>
    <w:rsid w:val="00BC452C"/>
    <w:rsid w:val="00BD7A02"/>
    <w:rsid w:val="00BE0125"/>
    <w:rsid w:val="00BE409D"/>
    <w:rsid w:val="00BE519F"/>
    <w:rsid w:val="00BE7179"/>
    <w:rsid w:val="00BF0E67"/>
    <w:rsid w:val="00C03F31"/>
    <w:rsid w:val="00C24452"/>
    <w:rsid w:val="00C249CB"/>
    <w:rsid w:val="00C3338F"/>
    <w:rsid w:val="00C34AF4"/>
    <w:rsid w:val="00C3576D"/>
    <w:rsid w:val="00C42141"/>
    <w:rsid w:val="00C45FA9"/>
    <w:rsid w:val="00C5320F"/>
    <w:rsid w:val="00C6303C"/>
    <w:rsid w:val="00C6373C"/>
    <w:rsid w:val="00C63B42"/>
    <w:rsid w:val="00C76F49"/>
    <w:rsid w:val="00C81E5D"/>
    <w:rsid w:val="00C969E3"/>
    <w:rsid w:val="00C970FC"/>
    <w:rsid w:val="00CA41F1"/>
    <w:rsid w:val="00CA6558"/>
    <w:rsid w:val="00CA75BE"/>
    <w:rsid w:val="00CB0B0C"/>
    <w:rsid w:val="00CC5878"/>
    <w:rsid w:val="00CD3370"/>
    <w:rsid w:val="00CD4159"/>
    <w:rsid w:val="00CE3BCF"/>
    <w:rsid w:val="00CF1CD3"/>
    <w:rsid w:val="00CF4AD0"/>
    <w:rsid w:val="00D13A7E"/>
    <w:rsid w:val="00D158F1"/>
    <w:rsid w:val="00D221EA"/>
    <w:rsid w:val="00D33DC9"/>
    <w:rsid w:val="00D446EF"/>
    <w:rsid w:val="00D45F48"/>
    <w:rsid w:val="00D4644E"/>
    <w:rsid w:val="00D4658A"/>
    <w:rsid w:val="00D54154"/>
    <w:rsid w:val="00D62DB3"/>
    <w:rsid w:val="00D6308D"/>
    <w:rsid w:val="00D64913"/>
    <w:rsid w:val="00D831DA"/>
    <w:rsid w:val="00D91904"/>
    <w:rsid w:val="00D9303C"/>
    <w:rsid w:val="00D9587F"/>
    <w:rsid w:val="00DA3F1C"/>
    <w:rsid w:val="00DA404A"/>
    <w:rsid w:val="00DA749C"/>
    <w:rsid w:val="00DA7FEE"/>
    <w:rsid w:val="00DC30A3"/>
    <w:rsid w:val="00DC5345"/>
    <w:rsid w:val="00DE5801"/>
    <w:rsid w:val="00DE5E29"/>
    <w:rsid w:val="00DE60F1"/>
    <w:rsid w:val="00DF0378"/>
    <w:rsid w:val="00E11C86"/>
    <w:rsid w:val="00E50EA9"/>
    <w:rsid w:val="00E62F3C"/>
    <w:rsid w:val="00E639D0"/>
    <w:rsid w:val="00E75474"/>
    <w:rsid w:val="00E875C2"/>
    <w:rsid w:val="00E90B26"/>
    <w:rsid w:val="00EB2B6F"/>
    <w:rsid w:val="00EB6A53"/>
    <w:rsid w:val="00EC11ED"/>
    <w:rsid w:val="00EC12BE"/>
    <w:rsid w:val="00EC4159"/>
    <w:rsid w:val="00EC60F2"/>
    <w:rsid w:val="00EC71CC"/>
    <w:rsid w:val="00EF21D4"/>
    <w:rsid w:val="00F16768"/>
    <w:rsid w:val="00F16C52"/>
    <w:rsid w:val="00F277AA"/>
    <w:rsid w:val="00F331AF"/>
    <w:rsid w:val="00F36A36"/>
    <w:rsid w:val="00F574F1"/>
    <w:rsid w:val="00F92A5B"/>
    <w:rsid w:val="00F96935"/>
    <w:rsid w:val="00FA16F1"/>
    <w:rsid w:val="00FA4F05"/>
    <w:rsid w:val="00FC0580"/>
    <w:rsid w:val="00FC7DED"/>
    <w:rsid w:val="00FD1892"/>
    <w:rsid w:val="00FE2263"/>
    <w:rsid w:val="00FE7B6C"/>
    <w:rsid w:val="00FE7FA1"/>
    <w:rsid w:val="00FF4300"/>
    <w:rsid w:val="00FF55A1"/>
    <w:rsid w:val="011E19C1"/>
    <w:rsid w:val="012D2227"/>
    <w:rsid w:val="01625C07"/>
    <w:rsid w:val="01A1753C"/>
    <w:rsid w:val="01BA7306"/>
    <w:rsid w:val="01D57DAA"/>
    <w:rsid w:val="026E2AF7"/>
    <w:rsid w:val="02BA21D2"/>
    <w:rsid w:val="02DD1A2B"/>
    <w:rsid w:val="02F76CD4"/>
    <w:rsid w:val="038273B1"/>
    <w:rsid w:val="03B8327E"/>
    <w:rsid w:val="03CF1DEC"/>
    <w:rsid w:val="043266C2"/>
    <w:rsid w:val="04602770"/>
    <w:rsid w:val="049A2478"/>
    <w:rsid w:val="04CD55C8"/>
    <w:rsid w:val="04DD4B94"/>
    <w:rsid w:val="05513EDB"/>
    <w:rsid w:val="05ED63F3"/>
    <w:rsid w:val="060F1CD0"/>
    <w:rsid w:val="06236327"/>
    <w:rsid w:val="06391E94"/>
    <w:rsid w:val="069557B8"/>
    <w:rsid w:val="06AF4A20"/>
    <w:rsid w:val="06E96F15"/>
    <w:rsid w:val="074E0824"/>
    <w:rsid w:val="085A5FF7"/>
    <w:rsid w:val="085A7ACB"/>
    <w:rsid w:val="0877170E"/>
    <w:rsid w:val="09323053"/>
    <w:rsid w:val="09832C49"/>
    <w:rsid w:val="098B0807"/>
    <w:rsid w:val="099E59E1"/>
    <w:rsid w:val="09CE54C5"/>
    <w:rsid w:val="0A1A1689"/>
    <w:rsid w:val="0A5C0A70"/>
    <w:rsid w:val="0A634F0B"/>
    <w:rsid w:val="0A6E59C9"/>
    <w:rsid w:val="0ACB025B"/>
    <w:rsid w:val="0B064E15"/>
    <w:rsid w:val="0B31588C"/>
    <w:rsid w:val="0B4777C6"/>
    <w:rsid w:val="0B877609"/>
    <w:rsid w:val="0BBF788F"/>
    <w:rsid w:val="0BC70426"/>
    <w:rsid w:val="0C0B1BF8"/>
    <w:rsid w:val="0CA67B98"/>
    <w:rsid w:val="0CA90D99"/>
    <w:rsid w:val="0CB8367C"/>
    <w:rsid w:val="0CD47B4B"/>
    <w:rsid w:val="0D2A0776"/>
    <w:rsid w:val="0D2C0625"/>
    <w:rsid w:val="0D616098"/>
    <w:rsid w:val="0DCC1085"/>
    <w:rsid w:val="0DDA6377"/>
    <w:rsid w:val="0DE42320"/>
    <w:rsid w:val="0E1232C4"/>
    <w:rsid w:val="0E463D30"/>
    <w:rsid w:val="0E5723AE"/>
    <w:rsid w:val="0E676C9A"/>
    <w:rsid w:val="0ED432C6"/>
    <w:rsid w:val="0EDB76AA"/>
    <w:rsid w:val="0F17665D"/>
    <w:rsid w:val="0F546063"/>
    <w:rsid w:val="0FC06E27"/>
    <w:rsid w:val="0FC727A9"/>
    <w:rsid w:val="0FEF6F11"/>
    <w:rsid w:val="10011AFF"/>
    <w:rsid w:val="10074496"/>
    <w:rsid w:val="102959C3"/>
    <w:rsid w:val="10B257D9"/>
    <w:rsid w:val="10D75D0B"/>
    <w:rsid w:val="10EA2E79"/>
    <w:rsid w:val="11261E23"/>
    <w:rsid w:val="12261E7A"/>
    <w:rsid w:val="123714F1"/>
    <w:rsid w:val="12557A4B"/>
    <w:rsid w:val="135C4838"/>
    <w:rsid w:val="13777B0D"/>
    <w:rsid w:val="13780B86"/>
    <w:rsid w:val="13FF37F9"/>
    <w:rsid w:val="144369F8"/>
    <w:rsid w:val="14503162"/>
    <w:rsid w:val="15514CBB"/>
    <w:rsid w:val="15715F7D"/>
    <w:rsid w:val="159B6432"/>
    <w:rsid w:val="15CC6890"/>
    <w:rsid w:val="16397379"/>
    <w:rsid w:val="165C59E2"/>
    <w:rsid w:val="16CB7B05"/>
    <w:rsid w:val="17435EC2"/>
    <w:rsid w:val="178A41A2"/>
    <w:rsid w:val="1790051F"/>
    <w:rsid w:val="17B1305C"/>
    <w:rsid w:val="18474482"/>
    <w:rsid w:val="18916399"/>
    <w:rsid w:val="18CA5617"/>
    <w:rsid w:val="19547180"/>
    <w:rsid w:val="198D2F3A"/>
    <w:rsid w:val="19D64B0E"/>
    <w:rsid w:val="1A2E3C7D"/>
    <w:rsid w:val="1A3222AF"/>
    <w:rsid w:val="1A5A7769"/>
    <w:rsid w:val="1ACE6A61"/>
    <w:rsid w:val="1AD62816"/>
    <w:rsid w:val="1B0777FA"/>
    <w:rsid w:val="1B185449"/>
    <w:rsid w:val="1B5318E1"/>
    <w:rsid w:val="1B5C5810"/>
    <w:rsid w:val="1B950FE1"/>
    <w:rsid w:val="1BAF173B"/>
    <w:rsid w:val="1BF53135"/>
    <w:rsid w:val="1C533735"/>
    <w:rsid w:val="1C536F5F"/>
    <w:rsid w:val="1CEE30D0"/>
    <w:rsid w:val="1D465313"/>
    <w:rsid w:val="1DF20763"/>
    <w:rsid w:val="1E4C4DE7"/>
    <w:rsid w:val="1E8F1635"/>
    <w:rsid w:val="1F164BB8"/>
    <w:rsid w:val="1F213F6F"/>
    <w:rsid w:val="1F2A447F"/>
    <w:rsid w:val="1F5D2948"/>
    <w:rsid w:val="1F881244"/>
    <w:rsid w:val="1FDC0CF8"/>
    <w:rsid w:val="1FF02DEA"/>
    <w:rsid w:val="1FF25236"/>
    <w:rsid w:val="204265B6"/>
    <w:rsid w:val="21135A2B"/>
    <w:rsid w:val="212357AE"/>
    <w:rsid w:val="21355F6E"/>
    <w:rsid w:val="216B2B06"/>
    <w:rsid w:val="2177416D"/>
    <w:rsid w:val="21AE663C"/>
    <w:rsid w:val="22361059"/>
    <w:rsid w:val="225B045F"/>
    <w:rsid w:val="22CC337D"/>
    <w:rsid w:val="2313752C"/>
    <w:rsid w:val="24402CEA"/>
    <w:rsid w:val="24534401"/>
    <w:rsid w:val="24702D97"/>
    <w:rsid w:val="25783EBA"/>
    <w:rsid w:val="25D415D6"/>
    <w:rsid w:val="26330174"/>
    <w:rsid w:val="26782387"/>
    <w:rsid w:val="26AA32D7"/>
    <w:rsid w:val="27633FC3"/>
    <w:rsid w:val="280256C0"/>
    <w:rsid w:val="282F67C5"/>
    <w:rsid w:val="28376D52"/>
    <w:rsid w:val="285031BF"/>
    <w:rsid w:val="28621D2F"/>
    <w:rsid w:val="292969E7"/>
    <w:rsid w:val="294C78CB"/>
    <w:rsid w:val="29893677"/>
    <w:rsid w:val="298C3FB5"/>
    <w:rsid w:val="299E097F"/>
    <w:rsid w:val="29BC7A5E"/>
    <w:rsid w:val="2AF46B58"/>
    <w:rsid w:val="2B0A2C61"/>
    <w:rsid w:val="2B381C4D"/>
    <w:rsid w:val="2BD044C9"/>
    <w:rsid w:val="2BE8360B"/>
    <w:rsid w:val="2C1C302A"/>
    <w:rsid w:val="2C7A3FA9"/>
    <w:rsid w:val="2C913961"/>
    <w:rsid w:val="2CF5678B"/>
    <w:rsid w:val="2CFD1B3E"/>
    <w:rsid w:val="2D4E4391"/>
    <w:rsid w:val="2D520F4C"/>
    <w:rsid w:val="2D6E7D27"/>
    <w:rsid w:val="2D7D75A4"/>
    <w:rsid w:val="2DD77DFE"/>
    <w:rsid w:val="2DE60292"/>
    <w:rsid w:val="2DE954C0"/>
    <w:rsid w:val="2E033291"/>
    <w:rsid w:val="2E4F2C4F"/>
    <w:rsid w:val="2E5E177A"/>
    <w:rsid w:val="2EA076E3"/>
    <w:rsid w:val="2EAC4425"/>
    <w:rsid w:val="2EB70093"/>
    <w:rsid w:val="2F0D53F4"/>
    <w:rsid w:val="2F474446"/>
    <w:rsid w:val="2F950300"/>
    <w:rsid w:val="2FC1551A"/>
    <w:rsid w:val="2FEB78E6"/>
    <w:rsid w:val="305D03A5"/>
    <w:rsid w:val="30E5665B"/>
    <w:rsid w:val="30F43403"/>
    <w:rsid w:val="310A6756"/>
    <w:rsid w:val="315D1713"/>
    <w:rsid w:val="318D0964"/>
    <w:rsid w:val="31B90D9F"/>
    <w:rsid w:val="31B95C1C"/>
    <w:rsid w:val="324A05DB"/>
    <w:rsid w:val="3277267C"/>
    <w:rsid w:val="32B24235"/>
    <w:rsid w:val="32BD2A08"/>
    <w:rsid w:val="33044A58"/>
    <w:rsid w:val="33BB0DF0"/>
    <w:rsid w:val="33CE32AC"/>
    <w:rsid w:val="33E97D63"/>
    <w:rsid w:val="34B913D5"/>
    <w:rsid w:val="34C07A9F"/>
    <w:rsid w:val="34C56DFC"/>
    <w:rsid w:val="34E20283"/>
    <w:rsid w:val="35300C41"/>
    <w:rsid w:val="359E7932"/>
    <w:rsid w:val="35F24972"/>
    <w:rsid w:val="36064AB9"/>
    <w:rsid w:val="36454F13"/>
    <w:rsid w:val="36691CF8"/>
    <w:rsid w:val="36ED163E"/>
    <w:rsid w:val="3707383D"/>
    <w:rsid w:val="37380FDF"/>
    <w:rsid w:val="376B7580"/>
    <w:rsid w:val="37A52596"/>
    <w:rsid w:val="37F85124"/>
    <w:rsid w:val="380C3327"/>
    <w:rsid w:val="38AF1431"/>
    <w:rsid w:val="38CC47B3"/>
    <w:rsid w:val="39960BD9"/>
    <w:rsid w:val="39D3244C"/>
    <w:rsid w:val="39D81EE9"/>
    <w:rsid w:val="3A831B0F"/>
    <w:rsid w:val="3AA248B3"/>
    <w:rsid w:val="3B277FFA"/>
    <w:rsid w:val="3B2D0C48"/>
    <w:rsid w:val="3B727B1C"/>
    <w:rsid w:val="3C4D1C6D"/>
    <w:rsid w:val="3C6348C7"/>
    <w:rsid w:val="3C636A31"/>
    <w:rsid w:val="3CA601D3"/>
    <w:rsid w:val="3CB11EB4"/>
    <w:rsid w:val="3CFC08DA"/>
    <w:rsid w:val="3D0B1D8E"/>
    <w:rsid w:val="3D1337EA"/>
    <w:rsid w:val="3D2B5BF1"/>
    <w:rsid w:val="3D375B51"/>
    <w:rsid w:val="3D58450C"/>
    <w:rsid w:val="3D7E7EDB"/>
    <w:rsid w:val="3D8561FB"/>
    <w:rsid w:val="3DA20C0B"/>
    <w:rsid w:val="3DB47D78"/>
    <w:rsid w:val="3DF35955"/>
    <w:rsid w:val="3DF8713D"/>
    <w:rsid w:val="3E2470C9"/>
    <w:rsid w:val="3E324264"/>
    <w:rsid w:val="3E3A277F"/>
    <w:rsid w:val="3E5B216E"/>
    <w:rsid w:val="3E73230E"/>
    <w:rsid w:val="3ECC18FB"/>
    <w:rsid w:val="3EDF7E95"/>
    <w:rsid w:val="3EF124B9"/>
    <w:rsid w:val="3F0C6D29"/>
    <w:rsid w:val="3F7522D1"/>
    <w:rsid w:val="3F9A4C63"/>
    <w:rsid w:val="3FD80692"/>
    <w:rsid w:val="3FE2184E"/>
    <w:rsid w:val="3FFE2B08"/>
    <w:rsid w:val="4005737C"/>
    <w:rsid w:val="403C691C"/>
    <w:rsid w:val="40D50AD5"/>
    <w:rsid w:val="40DB0111"/>
    <w:rsid w:val="41095E1F"/>
    <w:rsid w:val="41675204"/>
    <w:rsid w:val="416E07D9"/>
    <w:rsid w:val="41925B7F"/>
    <w:rsid w:val="41BC72FA"/>
    <w:rsid w:val="41C24A4F"/>
    <w:rsid w:val="41F54376"/>
    <w:rsid w:val="425478E8"/>
    <w:rsid w:val="427C6DB1"/>
    <w:rsid w:val="42952FCF"/>
    <w:rsid w:val="42C67EAC"/>
    <w:rsid w:val="434343FD"/>
    <w:rsid w:val="4360117A"/>
    <w:rsid w:val="4364125A"/>
    <w:rsid w:val="43CF3086"/>
    <w:rsid w:val="43D14FC1"/>
    <w:rsid w:val="441C53A2"/>
    <w:rsid w:val="4453105A"/>
    <w:rsid w:val="44837ACD"/>
    <w:rsid w:val="4493692D"/>
    <w:rsid w:val="44DD550F"/>
    <w:rsid w:val="44E729DE"/>
    <w:rsid w:val="45094353"/>
    <w:rsid w:val="454B47FF"/>
    <w:rsid w:val="456221FC"/>
    <w:rsid w:val="45C128C8"/>
    <w:rsid w:val="46085BB6"/>
    <w:rsid w:val="46A0379A"/>
    <w:rsid w:val="46BF5539"/>
    <w:rsid w:val="46C962FC"/>
    <w:rsid w:val="46D15601"/>
    <w:rsid w:val="478C0246"/>
    <w:rsid w:val="47944981"/>
    <w:rsid w:val="481F1FD4"/>
    <w:rsid w:val="48592516"/>
    <w:rsid w:val="48AC2AD5"/>
    <w:rsid w:val="48FF2957"/>
    <w:rsid w:val="4935284B"/>
    <w:rsid w:val="49D076E7"/>
    <w:rsid w:val="49FA447E"/>
    <w:rsid w:val="4A0977B8"/>
    <w:rsid w:val="4A315C16"/>
    <w:rsid w:val="4A3E1653"/>
    <w:rsid w:val="4A4561EF"/>
    <w:rsid w:val="4B2961FA"/>
    <w:rsid w:val="4B987D62"/>
    <w:rsid w:val="4BB25ACE"/>
    <w:rsid w:val="4C0E07FC"/>
    <w:rsid w:val="4C5053E4"/>
    <w:rsid w:val="4D0F1981"/>
    <w:rsid w:val="4DF20706"/>
    <w:rsid w:val="4E7539A1"/>
    <w:rsid w:val="4EAA5602"/>
    <w:rsid w:val="4EFB597C"/>
    <w:rsid w:val="4F080BDC"/>
    <w:rsid w:val="4F3A0EC6"/>
    <w:rsid w:val="4F686542"/>
    <w:rsid w:val="4F9C2F86"/>
    <w:rsid w:val="4F9E53EF"/>
    <w:rsid w:val="50406721"/>
    <w:rsid w:val="505446A7"/>
    <w:rsid w:val="5064621A"/>
    <w:rsid w:val="507E7601"/>
    <w:rsid w:val="509F36C7"/>
    <w:rsid w:val="50FD1A97"/>
    <w:rsid w:val="510A0563"/>
    <w:rsid w:val="51595E29"/>
    <w:rsid w:val="51666325"/>
    <w:rsid w:val="5169355E"/>
    <w:rsid w:val="51E25F4A"/>
    <w:rsid w:val="524F15CA"/>
    <w:rsid w:val="52C56FA3"/>
    <w:rsid w:val="52D66E5D"/>
    <w:rsid w:val="52FE6B29"/>
    <w:rsid w:val="53096DD1"/>
    <w:rsid w:val="53634B6C"/>
    <w:rsid w:val="536F5C17"/>
    <w:rsid w:val="53B80D53"/>
    <w:rsid w:val="54031D9B"/>
    <w:rsid w:val="54212AF2"/>
    <w:rsid w:val="543F730B"/>
    <w:rsid w:val="54A66E77"/>
    <w:rsid w:val="550E1F63"/>
    <w:rsid w:val="553F0DF9"/>
    <w:rsid w:val="554020D7"/>
    <w:rsid w:val="556A56D3"/>
    <w:rsid w:val="556C0BC2"/>
    <w:rsid w:val="56CA7691"/>
    <w:rsid w:val="56E77340"/>
    <w:rsid w:val="5704514F"/>
    <w:rsid w:val="57204AB9"/>
    <w:rsid w:val="573E1552"/>
    <w:rsid w:val="57534543"/>
    <w:rsid w:val="57ED3DF0"/>
    <w:rsid w:val="58906596"/>
    <w:rsid w:val="58A71838"/>
    <w:rsid w:val="58D16285"/>
    <w:rsid w:val="590520D6"/>
    <w:rsid w:val="590C2C29"/>
    <w:rsid w:val="595D59A8"/>
    <w:rsid w:val="59C73AA8"/>
    <w:rsid w:val="5A043137"/>
    <w:rsid w:val="5A184D71"/>
    <w:rsid w:val="5A754376"/>
    <w:rsid w:val="5A9F0919"/>
    <w:rsid w:val="5AF078F6"/>
    <w:rsid w:val="5B0A6B8C"/>
    <w:rsid w:val="5B6F1ED3"/>
    <w:rsid w:val="5BB6003C"/>
    <w:rsid w:val="5BDC6559"/>
    <w:rsid w:val="5C613EB1"/>
    <w:rsid w:val="5C6152F4"/>
    <w:rsid w:val="5C68432A"/>
    <w:rsid w:val="5C690428"/>
    <w:rsid w:val="5C6B73C6"/>
    <w:rsid w:val="5C790656"/>
    <w:rsid w:val="5CB34C8B"/>
    <w:rsid w:val="5CF27865"/>
    <w:rsid w:val="5D261921"/>
    <w:rsid w:val="5D6D3FF6"/>
    <w:rsid w:val="5D7B2089"/>
    <w:rsid w:val="5DBA6DB2"/>
    <w:rsid w:val="5DBC313C"/>
    <w:rsid w:val="5DE55E1A"/>
    <w:rsid w:val="5DF21A67"/>
    <w:rsid w:val="5DFB2606"/>
    <w:rsid w:val="5E214B77"/>
    <w:rsid w:val="5E230CAE"/>
    <w:rsid w:val="5E253A55"/>
    <w:rsid w:val="5E304833"/>
    <w:rsid w:val="5E40626B"/>
    <w:rsid w:val="5E445D1A"/>
    <w:rsid w:val="5E716FE4"/>
    <w:rsid w:val="5F1D6D0F"/>
    <w:rsid w:val="5F3934FB"/>
    <w:rsid w:val="5F7310E5"/>
    <w:rsid w:val="601A3932"/>
    <w:rsid w:val="60304E60"/>
    <w:rsid w:val="60FC2626"/>
    <w:rsid w:val="610F58F3"/>
    <w:rsid w:val="61502C69"/>
    <w:rsid w:val="61807BB3"/>
    <w:rsid w:val="61C326CA"/>
    <w:rsid w:val="61FA5754"/>
    <w:rsid w:val="62417CD5"/>
    <w:rsid w:val="6263716C"/>
    <w:rsid w:val="6274592D"/>
    <w:rsid w:val="62834290"/>
    <w:rsid w:val="62A22E5F"/>
    <w:rsid w:val="63724C11"/>
    <w:rsid w:val="637518B0"/>
    <w:rsid w:val="64262F16"/>
    <w:rsid w:val="642B5C08"/>
    <w:rsid w:val="642C1EB3"/>
    <w:rsid w:val="656D6647"/>
    <w:rsid w:val="65933DCC"/>
    <w:rsid w:val="65964D49"/>
    <w:rsid w:val="659F0F09"/>
    <w:rsid w:val="65AC15DD"/>
    <w:rsid w:val="65B86875"/>
    <w:rsid w:val="65DD6A95"/>
    <w:rsid w:val="660773BC"/>
    <w:rsid w:val="663977F4"/>
    <w:rsid w:val="668F1358"/>
    <w:rsid w:val="66C11D2D"/>
    <w:rsid w:val="66C527FB"/>
    <w:rsid w:val="670936C2"/>
    <w:rsid w:val="674B5260"/>
    <w:rsid w:val="687D6833"/>
    <w:rsid w:val="693A08FC"/>
    <w:rsid w:val="69B636D5"/>
    <w:rsid w:val="69B72128"/>
    <w:rsid w:val="69E64259"/>
    <w:rsid w:val="6A0706D6"/>
    <w:rsid w:val="6A676B8C"/>
    <w:rsid w:val="6A8815F4"/>
    <w:rsid w:val="6AD03491"/>
    <w:rsid w:val="6AEC4C12"/>
    <w:rsid w:val="6B5D36FB"/>
    <w:rsid w:val="6B8A37BC"/>
    <w:rsid w:val="6BFD1C3F"/>
    <w:rsid w:val="6CF93955"/>
    <w:rsid w:val="6D3B2268"/>
    <w:rsid w:val="6D3F6E3D"/>
    <w:rsid w:val="6D765FAB"/>
    <w:rsid w:val="6D954E16"/>
    <w:rsid w:val="6DC26DC1"/>
    <w:rsid w:val="6E2C7198"/>
    <w:rsid w:val="6E3C7F42"/>
    <w:rsid w:val="6E441DB5"/>
    <w:rsid w:val="6EC51C76"/>
    <w:rsid w:val="6F06705D"/>
    <w:rsid w:val="6F08742B"/>
    <w:rsid w:val="6FC81F46"/>
    <w:rsid w:val="6FD252FB"/>
    <w:rsid w:val="701B5529"/>
    <w:rsid w:val="703F476E"/>
    <w:rsid w:val="706F09F5"/>
    <w:rsid w:val="70871857"/>
    <w:rsid w:val="708B00B6"/>
    <w:rsid w:val="709C53B3"/>
    <w:rsid w:val="70B44D99"/>
    <w:rsid w:val="7137479A"/>
    <w:rsid w:val="714F3CB8"/>
    <w:rsid w:val="71E222C5"/>
    <w:rsid w:val="71ED3FF5"/>
    <w:rsid w:val="7203702B"/>
    <w:rsid w:val="721D1F91"/>
    <w:rsid w:val="721E5934"/>
    <w:rsid w:val="723F6970"/>
    <w:rsid w:val="7298518A"/>
    <w:rsid w:val="72A65EEB"/>
    <w:rsid w:val="72C155AA"/>
    <w:rsid w:val="72D24D20"/>
    <w:rsid w:val="72D87806"/>
    <w:rsid w:val="731E6B8C"/>
    <w:rsid w:val="73591E51"/>
    <w:rsid w:val="735F35C5"/>
    <w:rsid w:val="73686B5B"/>
    <w:rsid w:val="74035BBA"/>
    <w:rsid w:val="742B23D1"/>
    <w:rsid w:val="745E147B"/>
    <w:rsid w:val="746E21DC"/>
    <w:rsid w:val="748600D6"/>
    <w:rsid w:val="74C62DBB"/>
    <w:rsid w:val="75482AB0"/>
    <w:rsid w:val="758D6F28"/>
    <w:rsid w:val="75DE52A1"/>
    <w:rsid w:val="76294F72"/>
    <w:rsid w:val="7640289A"/>
    <w:rsid w:val="766E2207"/>
    <w:rsid w:val="770F055F"/>
    <w:rsid w:val="774464EA"/>
    <w:rsid w:val="774751DC"/>
    <w:rsid w:val="77505A30"/>
    <w:rsid w:val="776C340D"/>
    <w:rsid w:val="778662E2"/>
    <w:rsid w:val="77D76992"/>
    <w:rsid w:val="7831543A"/>
    <w:rsid w:val="78534BC5"/>
    <w:rsid w:val="78615304"/>
    <w:rsid w:val="78E73A5B"/>
    <w:rsid w:val="795057A1"/>
    <w:rsid w:val="79E9735F"/>
    <w:rsid w:val="7A404C4F"/>
    <w:rsid w:val="7A8E08D7"/>
    <w:rsid w:val="7A916190"/>
    <w:rsid w:val="7A9E2264"/>
    <w:rsid w:val="7AC92FEC"/>
    <w:rsid w:val="7ACA04C7"/>
    <w:rsid w:val="7AEE43E6"/>
    <w:rsid w:val="7B146AB9"/>
    <w:rsid w:val="7B205E0A"/>
    <w:rsid w:val="7BBA1A57"/>
    <w:rsid w:val="7C0A0101"/>
    <w:rsid w:val="7C27509C"/>
    <w:rsid w:val="7C2B2719"/>
    <w:rsid w:val="7C3D324E"/>
    <w:rsid w:val="7C407361"/>
    <w:rsid w:val="7C79024E"/>
    <w:rsid w:val="7C8A65C6"/>
    <w:rsid w:val="7CA83D86"/>
    <w:rsid w:val="7D172CEF"/>
    <w:rsid w:val="7DC12ACC"/>
    <w:rsid w:val="7E0644F4"/>
    <w:rsid w:val="7E3D4084"/>
    <w:rsid w:val="7E6A102C"/>
    <w:rsid w:val="7EC56FE1"/>
    <w:rsid w:val="7F1A0CC1"/>
    <w:rsid w:val="7F790C63"/>
    <w:rsid w:val="7F7E1F7A"/>
    <w:rsid w:val="7FB5649C"/>
    <w:rsid w:val="7FCB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5">
    <w:name w:val="annotation text"/>
    <w:basedOn w:val="1"/>
    <w:link w:val="40"/>
    <w:unhideWhenUsed/>
    <w:qFormat/>
    <w:uiPriority w:val="99"/>
    <w:pPr>
      <w:jc w:val="left"/>
    </w:pPr>
  </w:style>
  <w:style w:type="paragraph" w:styleId="6">
    <w:name w:val="Body Text"/>
    <w:basedOn w:val="1"/>
    <w:next w:val="7"/>
    <w:unhideWhenUsed/>
    <w:qFormat/>
    <w:uiPriority w:val="99"/>
    <w:pPr>
      <w:spacing w:after="120"/>
    </w:pPr>
  </w:style>
  <w:style w:type="paragraph" w:customStyle="1" w:styleId="7">
    <w:name w:val="Default"/>
    <w:qFormat/>
    <w:uiPriority w:val="0"/>
    <w:pPr>
      <w:widowControl w:val="0"/>
      <w:autoSpaceDE w:val="0"/>
      <w:autoSpaceDN w:val="0"/>
    </w:pPr>
    <w:rPr>
      <w:rFonts w:hint="eastAsia" w:ascii="黑体" w:hAnsi="黑体" w:eastAsia="黑体" w:cs="Times New Roman"/>
      <w:color w:val="000000"/>
      <w:sz w:val="24"/>
      <w:szCs w:val="22"/>
      <w:lang w:val="en-US" w:eastAsia="zh-CN" w:bidi="ar-SA"/>
    </w:rPr>
  </w:style>
  <w:style w:type="paragraph" w:styleId="8">
    <w:name w:val="Body Text Indent"/>
    <w:basedOn w:val="1"/>
    <w:next w:val="9"/>
    <w:qFormat/>
    <w:uiPriority w:val="0"/>
    <w:pPr>
      <w:spacing w:line="360" w:lineRule="auto"/>
      <w:ind w:firstLine="420"/>
    </w:pPr>
    <w:rPr>
      <w:rFonts w:ascii="宋体"/>
      <w:sz w:val="24"/>
      <w:szCs w:val="20"/>
    </w:rPr>
  </w:style>
  <w:style w:type="paragraph" w:styleId="9">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10">
    <w:name w:val="index 4"/>
    <w:basedOn w:val="1"/>
    <w:next w:val="1"/>
    <w:unhideWhenUsed/>
    <w:qFormat/>
    <w:uiPriority w:val="99"/>
    <w:pPr>
      <w:ind w:left="600" w:leftChars="600"/>
    </w:pPr>
  </w:style>
  <w:style w:type="paragraph" w:styleId="11">
    <w:name w:val="Plain Text"/>
    <w:basedOn w:val="1"/>
    <w:next w:val="12"/>
    <w:qFormat/>
    <w:uiPriority w:val="0"/>
    <w:pPr>
      <w:spacing w:beforeLines="50" w:afterLines="50" w:line="400" w:lineRule="exact"/>
    </w:pPr>
    <w:rPr>
      <w:rFonts w:ascii="宋体" w:hAnsi="Courier New"/>
      <w:sz w:val="24"/>
    </w:rPr>
  </w:style>
  <w:style w:type="paragraph" w:styleId="12">
    <w:name w:val="Date"/>
    <w:basedOn w:val="1"/>
    <w:next w:val="1"/>
    <w:qFormat/>
    <w:uiPriority w:val="99"/>
    <w:pPr>
      <w:ind w:left="2500" w:leftChars="2500"/>
    </w:pPr>
    <w:rPr>
      <w:kern w:val="0"/>
      <w:sz w:val="20"/>
    </w:rPr>
  </w:style>
  <w:style w:type="paragraph" w:styleId="13">
    <w:name w:val="Balloon Text"/>
    <w:basedOn w:val="1"/>
    <w:link w:val="43"/>
    <w:unhideWhenUsed/>
    <w:qFormat/>
    <w:uiPriority w:val="99"/>
    <w:rPr>
      <w:sz w:val="18"/>
      <w:szCs w:val="18"/>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qFormat/>
    <w:uiPriority w:val="0"/>
    <w:pPr>
      <w:ind w:left="1050"/>
      <w:jc w:val="left"/>
    </w:pPr>
    <w:rPr>
      <w:sz w:val="18"/>
      <w:szCs w:val="18"/>
    </w:rPr>
  </w:style>
  <w:style w:type="paragraph" w:styleId="17">
    <w:name w:val="Normal (Web)"/>
    <w:basedOn w:val="1"/>
    <w:unhideWhenUsed/>
    <w:qFormat/>
    <w:uiPriority w:val="0"/>
    <w:pPr>
      <w:spacing w:beforeAutospacing="1" w:afterAutospacing="1"/>
      <w:jc w:val="left"/>
    </w:pPr>
    <w:rPr>
      <w:kern w:val="0"/>
      <w:sz w:val="24"/>
    </w:rPr>
  </w:style>
  <w:style w:type="paragraph" w:styleId="18">
    <w:name w:val="annotation subject"/>
    <w:basedOn w:val="5"/>
    <w:next w:val="5"/>
    <w:link w:val="39"/>
    <w:unhideWhenUsed/>
    <w:qFormat/>
    <w:uiPriority w:val="99"/>
    <w:rPr>
      <w:b/>
      <w:bCs/>
    </w:rPr>
  </w:style>
  <w:style w:type="paragraph" w:styleId="19">
    <w:name w:val="Body Text First Indent"/>
    <w:basedOn w:val="6"/>
    <w:qFormat/>
    <w:uiPriority w:val="99"/>
    <w:pPr>
      <w:spacing w:line="360" w:lineRule="auto"/>
      <w:ind w:firstLine="200" w:firstLineChars="200"/>
    </w:pPr>
    <w:rPr>
      <w:rFonts w:ascii="仿宋_GB2312" w:eastAsia="仿宋_GB2312"/>
      <w:kern w:val="0"/>
      <w:sz w:val="30"/>
      <w:szCs w:val="30"/>
    </w:rPr>
  </w:style>
  <w:style w:type="paragraph" w:styleId="20">
    <w:name w:val="Body Text First Indent 2"/>
    <w:basedOn w:val="8"/>
    <w:next w:val="2"/>
    <w:unhideWhenUsed/>
    <w:qFormat/>
    <w:uiPriority w:val="0"/>
    <w:pPr>
      <w:spacing w:line="240" w:lineRule="auto"/>
      <w:ind w:left="420" w:leftChars="200" w:firstLine="200" w:firstLineChars="200"/>
    </w:pPr>
    <w:rPr>
      <w:rFonts w:ascii="仿宋_GB2312" w:eastAsia="仿宋_GB231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000000"/>
      <w:u w:val="none"/>
    </w:rPr>
  </w:style>
  <w:style w:type="character" w:styleId="26">
    <w:name w:val="Emphasis"/>
    <w:basedOn w:val="23"/>
    <w:qFormat/>
    <w:uiPriority w:val="20"/>
    <w:rPr>
      <w:b/>
      <w:bCs/>
    </w:rPr>
  </w:style>
  <w:style w:type="character" w:styleId="27">
    <w:name w:val="HTML Definition"/>
    <w:basedOn w:val="23"/>
    <w:semiHidden/>
    <w:unhideWhenUsed/>
    <w:qFormat/>
    <w:uiPriority w:val="99"/>
  </w:style>
  <w:style w:type="character" w:styleId="28">
    <w:name w:val="HTML Typewriter"/>
    <w:basedOn w:val="23"/>
    <w:semiHidden/>
    <w:unhideWhenUsed/>
    <w:qFormat/>
    <w:uiPriority w:val="99"/>
    <w:rPr>
      <w:rFonts w:hint="default" w:ascii="monospace" w:hAnsi="monospace" w:eastAsia="monospace" w:cs="monospace"/>
      <w:sz w:val="20"/>
    </w:rPr>
  </w:style>
  <w:style w:type="character" w:styleId="29">
    <w:name w:val="HTML Acronym"/>
    <w:basedOn w:val="23"/>
    <w:semiHidden/>
    <w:unhideWhenUsed/>
    <w:qFormat/>
    <w:uiPriority w:val="99"/>
  </w:style>
  <w:style w:type="character" w:styleId="30">
    <w:name w:val="HTML Variable"/>
    <w:basedOn w:val="23"/>
    <w:semiHidden/>
    <w:unhideWhenUsed/>
    <w:qFormat/>
    <w:uiPriority w:val="99"/>
  </w:style>
  <w:style w:type="character" w:styleId="31">
    <w:name w:val="Hyperlink"/>
    <w:basedOn w:val="23"/>
    <w:semiHidden/>
    <w:unhideWhenUsed/>
    <w:qFormat/>
    <w:uiPriority w:val="99"/>
    <w:rPr>
      <w:color w:val="000000"/>
      <w:u w:val="none"/>
    </w:rPr>
  </w:style>
  <w:style w:type="character" w:styleId="32">
    <w:name w:val="HTML Code"/>
    <w:basedOn w:val="23"/>
    <w:semiHidden/>
    <w:unhideWhenUsed/>
    <w:qFormat/>
    <w:uiPriority w:val="99"/>
    <w:rPr>
      <w:rFonts w:hint="default" w:ascii="monospace" w:hAnsi="monospace" w:eastAsia="monospace" w:cs="monospace"/>
      <w:sz w:val="20"/>
    </w:rPr>
  </w:style>
  <w:style w:type="character" w:styleId="33">
    <w:name w:val="annotation reference"/>
    <w:basedOn w:val="23"/>
    <w:unhideWhenUsed/>
    <w:qFormat/>
    <w:uiPriority w:val="99"/>
    <w:rPr>
      <w:sz w:val="21"/>
      <w:szCs w:val="21"/>
    </w:rPr>
  </w:style>
  <w:style w:type="character" w:styleId="34">
    <w:name w:val="HTML Cite"/>
    <w:basedOn w:val="23"/>
    <w:semiHidden/>
    <w:unhideWhenUsed/>
    <w:qFormat/>
    <w:uiPriority w:val="99"/>
  </w:style>
  <w:style w:type="character" w:styleId="35">
    <w:name w:val="HTML Keyboard"/>
    <w:basedOn w:val="23"/>
    <w:semiHidden/>
    <w:unhideWhenUsed/>
    <w:qFormat/>
    <w:uiPriority w:val="99"/>
    <w:rPr>
      <w:rFonts w:ascii="monospace" w:hAnsi="monospace" w:eastAsia="monospace" w:cs="monospace"/>
      <w:sz w:val="20"/>
    </w:rPr>
  </w:style>
  <w:style w:type="character" w:styleId="36">
    <w:name w:val="HTML Sample"/>
    <w:basedOn w:val="23"/>
    <w:semiHidden/>
    <w:unhideWhenUsed/>
    <w:qFormat/>
    <w:uiPriority w:val="99"/>
    <w:rPr>
      <w:rFonts w:hint="default" w:ascii="monospace" w:hAnsi="monospace" w:eastAsia="monospace" w:cs="monospace"/>
    </w:rPr>
  </w:style>
  <w:style w:type="paragraph" w:customStyle="1" w:styleId="37">
    <w:name w:val="TOC 标题1"/>
    <w:basedOn w:val="3"/>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38">
    <w:name w:val="标题二、"/>
    <w:basedOn w:val="1"/>
    <w:qFormat/>
    <w:uiPriority w:val="0"/>
    <w:pPr>
      <w:spacing w:line="360" w:lineRule="auto"/>
      <w:ind w:firstLine="200" w:firstLineChars="200"/>
      <w:outlineLvl w:val="2"/>
    </w:pPr>
    <w:rPr>
      <w:rFonts w:ascii="宋体" w:hAnsi="宋体" w:cs="宋体"/>
      <w:b/>
    </w:rPr>
  </w:style>
  <w:style w:type="character" w:customStyle="1" w:styleId="39">
    <w:name w:val="批注主题 Char"/>
    <w:basedOn w:val="40"/>
    <w:link w:val="18"/>
    <w:semiHidden/>
    <w:qFormat/>
    <w:uiPriority w:val="99"/>
    <w:rPr>
      <w:b/>
      <w:bCs/>
      <w:kern w:val="2"/>
      <w:sz w:val="21"/>
      <w:szCs w:val="24"/>
    </w:rPr>
  </w:style>
  <w:style w:type="character" w:customStyle="1" w:styleId="40">
    <w:name w:val="批注文字 Char"/>
    <w:basedOn w:val="23"/>
    <w:link w:val="5"/>
    <w:semiHidden/>
    <w:qFormat/>
    <w:uiPriority w:val="99"/>
    <w:rPr>
      <w:kern w:val="2"/>
      <w:sz w:val="21"/>
      <w:szCs w:val="24"/>
    </w:rPr>
  </w:style>
  <w:style w:type="character" w:customStyle="1" w:styleId="41">
    <w:name w:val="页脚 Char"/>
    <w:basedOn w:val="23"/>
    <w:link w:val="14"/>
    <w:qFormat/>
    <w:uiPriority w:val="99"/>
    <w:rPr>
      <w:sz w:val="18"/>
      <w:szCs w:val="18"/>
    </w:rPr>
  </w:style>
  <w:style w:type="character" w:customStyle="1" w:styleId="42">
    <w:name w:val="页眉 Char"/>
    <w:basedOn w:val="23"/>
    <w:link w:val="15"/>
    <w:semiHidden/>
    <w:qFormat/>
    <w:uiPriority w:val="99"/>
    <w:rPr>
      <w:sz w:val="18"/>
      <w:szCs w:val="18"/>
    </w:rPr>
  </w:style>
  <w:style w:type="character" w:customStyle="1" w:styleId="43">
    <w:name w:val="批注框文本 Char"/>
    <w:basedOn w:val="23"/>
    <w:link w:val="13"/>
    <w:semiHidden/>
    <w:qFormat/>
    <w:uiPriority w:val="99"/>
    <w:rPr>
      <w:kern w:val="2"/>
      <w:sz w:val="18"/>
      <w:szCs w:val="18"/>
    </w:rPr>
  </w:style>
  <w:style w:type="paragraph" w:styleId="44">
    <w:name w:val="List Paragraph"/>
    <w:basedOn w:val="1"/>
    <w:qFormat/>
    <w:uiPriority w:val="99"/>
    <w:pPr>
      <w:ind w:firstLine="420" w:firstLineChars="200"/>
    </w:pPr>
  </w:style>
  <w:style w:type="paragraph" w:customStyle="1" w:styleId="4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active13"/>
    <w:basedOn w:val="23"/>
    <w:qFormat/>
    <w:uiPriority w:val="0"/>
    <w:rPr>
      <w:color w:val="FFFFFF"/>
      <w:bdr w:val="single" w:color="0F5BB9" w:sz="4" w:space="0"/>
      <w:shd w:val="clear" w:color="auto" w:fill="0F5BB9"/>
    </w:rPr>
  </w:style>
  <w:style w:type="paragraph" w:customStyle="1" w:styleId="48">
    <w:name w:val="UserStyle_50"/>
    <w:basedOn w:val="1"/>
    <w:qFormat/>
    <w:uiPriority w:val="0"/>
    <w:pPr>
      <w:widowControl/>
      <w:textAlignment w:val="baseline"/>
    </w:pPr>
    <w:rPr>
      <w:rFonts w:ascii="宋体" w:hAnsi="Courier New" w:eastAsia="楷体_GB2312"/>
      <w:sz w:val="26"/>
    </w:rPr>
  </w:style>
  <w:style w:type="character" w:customStyle="1" w:styleId="49">
    <w:name w:val="NormalCharacter"/>
    <w:semiHidden/>
    <w:qFormat/>
    <w:uiPriority w:val="0"/>
    <w:rPr>
      <w:kern w:val="2"/>
      <w:sz w:val="21"/>
      <w:szCs w:val="24"/>
      <w:lang w:val="en-US" w:eastAsia="zh-CN" w:bidi="ar-SA"/>
    </w:rPr>
  </w:style>
  <w:style w:type="paragraph" w:customStyle="1" w:styleId="50">
    <w:name w:val="UserStyle_17"/>
    <w:basedOn w:val="1"/>
    <w:qFormat/>
    <w:uiPriority w:val="0"/>
    <w:pPr>
      <w:ind w:firstLine="480" w:firstLineChars="200"/>
      <w:textAlignment w:val="baseline"/>
    </w:pPr>
    <w:rPr>
      <w:sz w:val="28"/>
    </w:rPr>
  </w:style>
  <w:style w:type="paragraph" w:customStyle="1" w:styleId="51">
    <w:name w:val="Heading3"/>
    <w:basedOn w:val="1"/>
    <w:next w:val="1"/>
    <w:qFormat/>
    <w:uiPriority w:val="0"/>
    <w:pPr>
      <w:keepNext/>
      <w:keepLines/>
      <w:spacing w:before="260" w:after="260" w:line="415" w:lineRule="auto"/>
      <w:textAlignment w:val="baseline"/>
    </w:pPr>
    <w:rPr>
      <w:b/>
      <w:sz w:val="32"/>
    </w:rPr>
  </w:style>
  <w:style w:type="paragraph" w:customStyle="1" w:styleId="52">
    <w:name w:val="UserStyle_46"/>
    <w:basedOn w:val="1"/>
    <w:qFormat/>
    <w:uiPriority w:val="0"/>
    <w:pPr>
      <w:ind w:firstLine="420" w:firstLineChars="200"/>
      <w:textAlignment w:val="baseline"/>
    </w:pPr>
    <w:rPr>
      <w:rFonts w:ascii="Calibri" w:hAnsi="Calibri"/>
      <w:szCs w:val="22"/>
    </w:rPr>
  </w:style>
  <w:style w:type="paragraph" w:customStyle="1" w:styleId="53">
    <w:name w:val="普通(Web)4"/>
    <w:basedOn w:val="1"/>
    <w:qFormat/>
    <w:uiPriority w:val="0"/>
    <w:pPr>
      <w:widowControl/>
      <w:spacing w:before="100" w:beforeAutospacing="1" w:after="100" w:afterAutospacing="1" w:line="375" w:lineRule="atLeast"/>
      <w:jc w:val="left"/>
    </w:pPr>
    <w:rPr>
      <w:rFonts w:ascii="ˎ̥" w:hAnsi="ˎ̥"/>
      <w:kern w:val="0"/>
      <w:sz w:val="24"/>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font11"/>
    <w:basedOn w:val="23"/>
    <w:qFormat/>
    <w:uiPriority w:val="0"/>
    <w:rPr>
      <w:rFonts w:hint="default" w:ascii="Tahoma" w:hAnsi="Tahoma" w:eastAsia="Tahoma" w:cs="Tahoma"/>
      <w:color w:val="000000"/>
      <w:sz w:val="28"/>
      <w:szCs w:val="28"/>
      <w:u w:val="none"/>
    </w:rPr>
  </w:style>
  <w:style w:type="character" w:customStyle="1" w:styleId="56">
    <w:name w:val="font01"/>
    <w:basedOn w:val="2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C2ACC-13CD-4363-BCE1-221F4451BC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18564</Words>
  <Characters>20629</Characters>
  <Lines>98</Lines>
  <Paragraphs>27</Paragraphs>
  <TotalTime>323</TotalTime>
  <ScaleCrop>false</ScaleCrop>
  <LinksUpToDate>false</LinksUpToDate>
  <CharactersWithSpaces>21764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2021-03-13T10:27:00Z</dcterms:created>
  <dc:creator>微软用户</dc:creator>
  <cp:lastModifiedBy>盐城市大丰区住房和城乡建设局(填报)</cp:lastModifiedBy>
  <cp:lastPrinted>2024-07-11T02:22:00Z</cp:lastPrinted>
  <dcterms:modified xsi:type="dcterms:W3CDTF">2024-07-12T00:58:15Z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14E56897BB604F6EA29923559376D8A4</vt:lpwstr>
  </property>
  <property fmtid="{D5CDD505-2E9C-101B-9397-08002B2CF9AE}" pid="4" name="commondata">
    <vt:lpwstr>eyJoZGlkIjoiYjk2N2IzZjJlOTVmYzJlZTg2M2MyN2FhYjlhZTc0ZjIifQ==</vt:lpwstr>
  </property>
</Properties>
</file>