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楷体_GB2312" w:hAnsi="楷体" w:eastAsia="楷体_GB2312"/>
          <w:b/>
          <w:sz w:val="44"/>
          <w:szCs w:val="44"/>
        </w:rPr>
      </w:pPr>
    </w:p>
    <w:p>
      <w:pPr>
        <w:spacing w:line="700" w:lineRule="exact"/>
        <w:jc w:val="center"/>
        <w:rPr>
          <w:rFonts w:hint="eastAsia" w:ascii="宋体" w:hAnsi="宋体"/>
          <w:b/>
          <w:sz w:val="44"/>
          <w:szCs w:val="44"/>
          <w:lang w:eastAsia="zh-CN"/>
        </w:rPr>
      </w:pPr>
      <w:bookmarkStart w:id="0" w:name="_Toc363326675"/>
      <w:bookmarkStart w:id="1" w:name="_Toc369077541"/>
      <w:bookmarkStart w:id="2" w:name="_Toc368759509"/>
      <w:bookmarkStart w:id="3" w:name="_Toc387526166"/>
      <w:r>
        <w:rPr>
          <w:rFonts w:hint="eastAsia" w:ascii="宋体" w:hAnsi="宋体"/>
          <w:b/>
          <w:sz w:val="44"/>
          <w:szCs w:val="44"/>
          <w:lang w:eastAsia="zh-CN"/>
        </w:rPr>
        <w:t>盐城市大丰区新丰中学</w:t>
      </w:r>
      <w:r>
        <w:rPr>
          <w:rFonts w:hint="eastAsia" w:ascii="宋体" w:hAnsi="宋体"/>
          <w:b/>
          <w:sz w:val="44"/>
          <w:szCs w:val="44"/>
          <w:lang w:val="en-US" w:eastAsia="zh-CN"/>
        </w:rPr>
        <w:t>2019</w:t>
      </w:r>
      <w:r>
        <w:rPr>
          <w:rFonts w:hint="eastAsia" w:ascii="宋体" w:hAnsi="宋体"/>
          <w:b/>
          <w:sz w:val="44"/>
          <w:szCs w:val="44"/>
          <w:lang w:eastAsia="zh-CN"/>
        </w:rPr>
        <w:t>年度办公用纸</w:t>
      </w:r>
    </w:p>
    <w:p>
      <w:pPr>
        <w:spacing w:line="700" w:lineRule="exact"/>
        <w:jc w:val="center"/>
        <w:rPr>
          <w:rFonts w:hint="eastAsia" w:ascii="宋体" w:hAnsi="宋体" w:eastAsia="宋体"/>
          <w:b/>
          <w:sz w:val="44"/>
          <w:szCs w:val="44"/>
          <w:lang w:eastAsia="zh-CN"/>
        </w:rPr>
      </w:pPr>
      <w:r>
        <w:rPr>
          <w:rFonts w:hint="eastAsia" w:ascii="宋体" w:hAnsi="宋体"/>
          <w:b/>
          <w:sz w:val="44"/>
          <w:szCs w:val="44"/>
          <w:lang w:val="en-US" w:eastAsia="zh-CN"/>
        </w:rPr>
        <w:t>协议采购</w:t>
      </w:r>
      <w:r>
        <w:rPr>
          <w:rFonts w:hint="eastAsia" w:ascii="宋体" w:hAnsi="宋体"/>
          <w:b/>
          <w:sz w:val="44"/>
          <w:szCs w:val="44"/>
          <w:lang w:eastAsia="zh-CN"/>
        </w:rPr>
        <w:t>项目</w:t>
      </w:r>
    </w:p>
    <w:p>
      <w:pPr>
        <w:spacing w:line="360" w:lineRule="auto"/>
        <w:rPr>
          <w:rFonts w:ascii="宋体" w:hAnsi="宋体"/>
          <w:sz w:val="72"/>
          <w:szCs w:val="72"/>
        </w:rPr>
      </w:pPr>
    </w:p>
    <w:p>
      <w:pPr>
        <w:spacing w:line="360" w:lineRule="auto"/>
        <w:jc w:val="center"/>
        <w:rPr>
          <w:rFonts w:ascii="宋体" w:hAnsi="宋体"/>
          <w:sz w:val="72"/>
          <w:szCs w:val="72"/>
        </w:rPr>
      </w:pPr>
    </w:p>
    <w:p>
      <w:pPr>
        <w:spacing w:line="360" w:lineRule="auto"/>
        <w:jc w:val="center"/>
        <w:rPr>
          <w:rFonts w:ascii="宋体" w:hAnsi="宋体"/>
          <w:b/>
          <w:sz w:val="84"/>
          <w:szCs w:val="84"/>
        </w:rPr>
      </w:pPr>
      <w:r>
        <w:rPr>
          <w:rFonts w:hint="eastAsia" w:ascii="宋体" w:hAnsi="宋体"/>
          <w:b/>
          <w:sz w:val="84"/>
          <w:szCs w:val="84"/>
        </w:rPr>
        <w:t>招 标 文 件</w:t>
      </w:r>
    </w:p>
    <w:p>
      <w:pPr>
        <w:spacing w:line="360" w:lineRule="auto"/>
        <w:jc w:val="center"/>
        <w:rPr>
          <w:rFonts w:ascii="宋体" w:hAnsi="宋体"/>
          <w:b/>
          <w:sz w:val="32"/>
          <w:szCs w:val="32"/>
        </w:rPr>
      </w:pPr>
    </w:p>
    <w:p>
      <w:pPr>
        <w:spacing w:line="360" w:lineRule="auto"/>
        <w:ind w:firstLine="2075" w:firstLineChars="646"/>
        <w:rPr>
          <w:rFonts w:ascii="宋体" w:hAnsi="宋体"/>
          <w:b/>
          <w:sz w:val="32"/>
          <w:szCs w:val="32"/>
        </w:rPr>
      </w:pPr>
      <w:r>
        <w:rPr>
          <w:rFonts w:hint="eastAsia" w:ascii="宋体" w:hAnsi="宋体"/>
          <w:b/>
          <w:sz w:val="32"/>
          <w:szCs w:val="32"/>
        </w:rPr>
        <w:t>标段编号：DFCG20190</w:t>
      </w:r>
      <w:r>
        <w:rPr>
          <w:rFonts w:hint="eastAsia" w:ascii="宋体" w:hAnsi="宋体"/>
          <w:b/>
          <w:sz w:val="32"/>
          <w:szCs w:val="32"/>
          <w:lang w:val="en-US" w:eastAsia="zh-CN"/>
        </w:rPr>
        <w:t>199</w:t>
      </w:r>
      <w:r>
        <w:rPr>
          <w:rFonts w:hint="eastAsia" w:ascii="宋体" w:hAnsi="宋体"/>
          <w:b/>
          <w:sz w:val="32"/>
          <w:szCs w:val="32"/>
        </w:rPr>
        <w:t xml:space="preserve"> </w:t>
      </w: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720" w:lineRule="auto"/>
        <w:ind w:right="-170" w:rightChars="-81" w:firstLine="630" w:firstLineChars="196"/>
        <w:rPr>
          <w:rFonts w:ascii="宋体" w:hAnsi="宋体"/>
          <w:b/>
          <w:sz w:val="32"/>
          <w:szCs w:val="32"/>
        </w:rPr>
      </w:pPr>
      <w:r>
        <w:rPr>
          <w:rFonts w:hint="eastAsia" w:ascii="宋体" w:hAnsi="宋体"/>
          <w:b/>
          <w:sz w:val="32"/>
          <w:szCs w:val="32"/>
        </w:rPr>
        <w:t>招   标   人：</w:t>
      </w:r>
      <w:r>
        <w:rPr>
          <w:rFonts w:hint="eastAsia" w:ascii="宋体" w:hAnsi="宋体"/>
          <w:b/>
          <w:sz w:val="32"/>
          <w:szCs w:val="32"/>
          <w:u w:val="single"/>
        </w:rPr>
        <w:t xml:space="preserve"> </w:t>
      </w:r>
      <w:r>
        <w:rPr>
          <w:rFonts w:hint="eastAsia" w:ascii="宋体" w:hAnsi="宋体"/>
          <w:b/>
          <w:sz w:val="32"/>
          <w:szCs w:val="32"/>
          <w:u w:val="single"/>
          <w:lang w:eastAsia="zh-CN"/>
        </w:rPr>
        <w:t>盐城市大丰区新丰中学</w:t>
      </w:r>
      <w:r>
        <w:rPr>
          <w:rFonts w:hint="eastAsia" w:ascii="宋体" w:hAnsi="宋体"/>
          <w:b/>
          <w:sz w:val="32"/>
          <w:szCs w:val="32"/>
          <w:u w:val="single"/>
        </w:rPr>
        <w:t>（盖章）</w:t>
      </w:r>
    </w:p>
    <w:p>
      <w:pPr>
        <w:tabs>
          <w:tab w:val="left" w:pos="7560"/>
        </w:tabs>
        <w:spacing w:line="720" w:lineRule="auto"/>
        <w:ind w:right="-111" w:rightChars="-53" w:firstLine="630" w:firstLineChars="196"/>
        <w:rPr>
          <w:rFonts w:ascii="宋体" w:hAnsi="宋体"/>
          <w:b/>
          <w:spacing w:val="-12"/>
          <w:sz w:val="32"/>
          <w:szCs w:val="32"/>
          <w:u w:val="single"/>
        </w:rPr>
      </w:pPr>
      <w:r>
        <w:rPr>
          <w:rFonts w:hint="eastAsia" w:ascii="宋体" w:hAnsi="宋体"/>
          <w:b/>
          <w:sz w:val="32"/>
          <w:szCs w:val="32"/>
        </w:rPr>
        <w:t>招标代理机构：</w:t>
      </w:r>
      <w:r>
        <w:rPr>
          <w:rFonts w:hint="eastAsia" w:ascii="宋体" w:hAnsi="宋体"/>
          <w:b/>
          <w:sz w:val="32"/>
          <w:szCs w:val="32"/>
          <w:u w:val="single"/>
        </w:rPr>
        <w:t xml:space="preserve"> </w:t>
      </w:r>
      <w:r>
        <w:rPr>
          <w:rFonts w:hint="eastAsia" w:ascii="宋体" w:hAnsi="宋体"/>
          <w:b/>
          <w:spacing w:val="-12"/>
          <w:sz w:val="32"/>
          <w:szCs w:val="32"/>
          <w:u w:val="single"/>
        </w:rPr>
        <w:t>南京琼斯工程管理有限公司（盖章）</w:t>
      </w:r>
    </w:p>
    <w:p>
      <w:pPr>
        <w:tabs>
          <w:tab w:val="left" w:pos="7560"/>
        </w:tabs>
        <w:spacing w:line="720" w:lineRule="auto"/>
        <w:ind w:right="-111" w:rightChars="-53" w:firstLine="630" w:firstLineChars="196"/>
        <w:rPr>
          <w:rFonts w:ascii="宋体" w:hAnsi="宋体"/>
          <w:b/>
          <w:sz w:val="32"/>
          <w:szCs w:val="32"/>
        </w:rPr>
      </w:pPr>
      <w:r>
        <w:rPr>
          <w:rFonts w:hint="eastAsia" w:ascii="宋体" w:hAnsi="宋体"/>
          <w:b/>
          <w:sz w:val="32"/>
          <w:szCs w:val="32"/>
        </w:rPr>
        <w:t>日     期  ： 2019年</w:t>
      </w:r>
      <w:r>
        <w:rPr>
          <w:rFonts w:hint="eastAsia" w:ascii="宋体" w:hAnsi="宋体"/>
          <w:b/>
          <w:sz w:val="32"/>
          <w:szCs w:val="32"/>
          <w:lang w:val="en-US" w:eastAsia="zh-CN"/>
        </w:rPr>
        <w:t>6</w:t>
      </w:r>
      <w:r>
        <w:rPr>
          <w:rFonts w:hint="eastAsia" w:ascii="宋体" w:hAnsi="宋体"/>
          <w:b/>
          <w:sz w:val="32"/>
          <w:szCs w:val="32"/>
        </w:rPr>
        <w:t xml:space="preserve">月    </w:t>
      </w:r>
    </w:p>
    <w:p>
      <w:pPr>
        <w:jc w:val="center"/>
        <w:rPr>
          <w:rFonts w:ascii="宋体" w:hAnsi="宋体"/>
          <w:b/>
          <w:sz w:val="32"/>
          <w:szCs w:val="32"/>
        </w:rPr>
      </w:pPr>
    </w:p>
    <w:p>
      <w:pPr>
        <w:jc w:val="center"/>
        <w:rPr>
          <w:rFonts w:hint="eastAsia" w:ascii="宋体" w:hAnsi="宋体"/>
          <w:b/>
          <w:bCs/>
          <w:color w:val="000000"/>
          <w:sz w:val="32"/>
          <w:szCs w:val="32"/>
        </w:rPr>
        <w:sectPr>
          <w:footerReference r:id="rId3" w:type="default"/>
          <w:type w:val="continuous"/>
          <w:pgSz w:w="11906" w:h="16838"/>
          <w:pgMar w:top="1440" w:right="1800" w:bottom="1440" w:left="1800" w:header="851" w:footer="992" w:gutter="0"/>
          <w:pgNumType w:fmt="decimal"/>
          <w:cols w:space="720" w:num="1"/>
          <w:docGrid w:type="lines" w:linePitch="312" w:charSpace="0"/>
        </w:sectPr>
      </w:pPr>
      <w:bookmarkStart w:id="513" w:name="_GoBack"/>
      <w:bookmarkEnd w:id="513"/>
    </w:p>
    <w:p>
      <w:pPr>
        <w:jc w:val="center"/>
        <w:rPr>
          <w:rFonts w:ascii="宋体" w:hAnsi="宋体"/>
          <w:b/>
          <w:bCs/>
          <w:color w:val="000000"/>
          <w:sz w:val="32"/>
          <w:szCs w:val="32"/>
        </w:rPr>
      </w:pPr>
      <w:r>
        <w:rPr>
          <w:rFonts w:hint="eastAsia" w:ascii="宋体" w:hAnsi="宋体"/>
          <w:b/>
          <w:bCs/>
          <w:color w:val="000000"/>
          <w:sz w:val="32"/>
          <w:szCs w:val="32"/>
        </w:rPr>
        <w:t>招标文件备案表</w:t>
      </w:r>
    </w:p>
    <w:p>
      <w:pPr>
        <w:jc w:val="center"/>
        <w:rPr>
          <w:rFonts w:ascii="宋体"/>
          <w:b/>
          <w:color w:val="000000"/>
          <w:sz w:val="36"/>
          <w:szCs w:val="36"/>
        </w:rPr>
      </w:pPr>
    </w:p>
    <w:tbl>
      <w:tblPr>
        <w:tblStyle w:val="48"/>
        <w:tblW w:w="9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6"/>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3426" w:type="dxa"/>
            <w:vAlign w:val="center"/>
          </w:tcPr>
          <w:p>
            <w:pPr>
              <w:jc w:val="center"/>
              <w:rPr>
                <w:rFonts w:ascii="宋体" w:hAnsi="宋体"/>
                <w:color w:val="000000"/>
                <w:sz w:val="24"/>
              </w:rPr>
            </w:pPr>
            <w:r>
              <w:rPr>
                <w:rFonts w:hint="eastAsia" w:ascii="宋体" w:hAnsi="宋体"/>
                <w:color w:val="000000"/>
                <w:sz w:val="24"/>
              </w:rPr>
              <w:t>招标人及</w:t>
            </w:r>
          </w:p>
          <w:p>
            <w:pPr>
              <w:jc w:val="center"/>
              <w:rPr>
                <w:rFonts w:ascii="宋体" w:hAnsi="宋体"/>
                <w:color w:val="000000"/>
                <w:sz w:val="24"/>
              </w:rPr>
            </w:pPr>
            <w:r>
              <w:rPr>
                <w:rFonts w:hint="eastAsia" w:ascii="宋体" w:hAnsi="宋体"/>
                <w:color w:val="000000"/>
                <w:sz w:val="24"/>
              </w:rPr>
              <w:t>招标代理机构名称</w:t>
            </w:r>
          </w:p>
        </w:tc>
        <w:tc>
          <w:tcPr>
            <w:tcW w:w="6408" w:type="dxa"/>
            <w:vAlign w:val="center"/>
          </w:tcPr>
          <w:p>
            <w:pPr>
              <w:spacing w:line="440" w:lineRule="exact"/>
              <w:jc w:val="center"/>
              <w:rPr>
                <w:rFonts w:hint="eastAsia" w:ascii="宋体" w:hAnsi="宋体" w:eastAsia="宋体"/>
                <w:color w:val="000000"/>
                <w:szCs w:val="21"/>
                <w:lang w:eastAsia="zh-CN"/>
              </w:rPr>
            </w:pPr>
            <w:r>
              <w:rPr>
                <w:rFonts w:hint="eastAsia" w:ascii="宋体" w:hAnsi="宋体"/>
                <w:color w:val="000000"/>
                <w:szCs w:val="21"/>
                <w:lang w:eastAsia="zh-CN"/>
              </w:rPr>
              <w:t>盐城市大丰区新丰中学</w:t>
            </w:r>
          </w:p>
          <w:p>
            <w:pPr>
              <w:spacing w:line="440" w:lineRule="exact"/>
              <w:jc w:val="center"/>
              <w:rPr>
                <w:rFonts w:ascii="宋体" w:hAnsi="宋体"/>
                <w:color w:val="000000"/>
                <w:sz w:val="24"/>
              </w:rPr>
            </w:pPr>
            <w:r>
              <w:rPr>
                <w:rFonts w:hint="eastAsia" w:ascii="宋体" w:hAnsi="宋体"/>
                <w:szCs w:val="21"/>
              </w:rPr>
              <w:t>南京琼斯工程管理有限公司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3426" w:type="dxa"/>
            <w:vAlign w:val="center"/>
          </w:tcPr>
          <w:p>
            <w:pPr>
              <w:jc w:val="center"/>
              <w:rPr>
                <w:rFonts w:ascii="宋体" w:hAnsi="宋体"/>
                <w:color w:val="000000"/>
                <w:sz w:val="24"/>
              </w:rPr>
            </w:pPr>
            <w:r>
              <w:rPr>
                <w:rFonts w:hint="eastAsia" w:ascii="宋体" w:hAnsi="宋体"/>
                <w:color w:val="000000"/>
                <w:sz w:val="24"/>
              </w:rPr>
              <w:t>招标内容</w:t>
            </w:r>
          </w:p>
        </w:tc>
        <w:tc>
          <w:tcPr>
            <w:tcW w:w="6408" w:type="dxa"/>
            <w:vAlign w:val="center"/>
          </w:tcPr>
          <w:p>
            <w:pPr>
              <w:jc w:val="center"/>
              <w:rPr>
                <w:rFonts w:hint="eastAsia" w:ascii="宋体" w:hAnsi="宋体" w:eastAsia="宋体"/>
                <w:color w:val="000000"/>
                <w:sz w:val="24"/>
                <w:lang w:eastAsia="zh-CN"/>
              </w:rPr>
            </w:pPr>
            <w:r>
              <w:rPr>
                <w:rFonts w:hint="eastAsia" w:ascii="宋体" w:hAnsi="宋体"/>
                <w:szCs w:val="21"/>
                <w:lang w:eastAsia="zh-CN"/>
              </w:rPr>
              <w:t>盐城市大丰区新丰中学2019年度办公用纸协议采购项目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426" w:type="dxa"/>
            <w:vAlign w:val="center"/>
          </w:tcPr>
          <w:p>
            <w:pPr>
              <w:jc w:val="center"/>
              <w:rPr>
                <w:rFonts w:ascii="宋体" w:hAnsi="宋体"/>
                <w:color w:val="000000"/>
                <w:sz w:val="24"/>
              </w:rPr>
            </w:pPr>
            <w:r>
              <w:rPr>
                <w:rFonts w:hint="eastAsia" w:ascii="宋体" w:hAnsi="宋体"/>
                <w:color w:val="000000"/>
                <w:sz w:val="24"/>
              </w:rPr>
              <w:t>标段编号</w:t>
            </w:r>
          </w:p>
        </w:tc>
        <w:tc>
          <w:tcPr>
            <w:tcW w:w="6408" w:type="dxa"/>
            <w:vAlign w:val="center"/>
          </w:tcPr>
          <w:p>
            <w:pPr>
              <w:jc w:val="center"/>
              <w:rPr>
                <w:rFonts w:hint="default" w:ascii="宋体" w:hAnsi="宋体" w:eastAsia="宋体"/>
                <w:color w:val="000000"/>
                <w:sz w:val="24"/>
                <w:lang w:val="en-US" w:eastAsia="zh-CN"/>
              </w:rPr>
            </w:pPr>
            <w:r>
              <w:rPr>
                <w:rFonts w:ascii="宋体" w:hAnsi="宋体"/>
                <w:color w:val="000000"/>
                <w:sz w:val="24"/>
              </w:rPr>
              <w:t>DFCG2019</w:t>
            </w:r>
            <w:r>
              <w:rPr>
                <w:rFonts w:hint="eastAsia" w:ascii="宋体" w:hAnsi="宋体"/>
                <w:color w:val="000000"/>
                <w:sz w:val="24"/>
                <w:lang w:val="en-US" w:eastAsia="zh-CN"/>
              </w:rPr>
              <w:t>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6" w:hRule="atLeast"/>
          <w:jc w:val="center"/>
        </w:trPr>
        <w:tc>
          <w:tcPr>
            <w:tcW w:w="9834" w:type="dxa"/>
            <w:gridSpan w:val="2"/>
          </w:tcPr>
          <w:p>
            <w:pPr>
              <w:spacing w:line="640" w:lineRule="exact"/>
              <w:rPr>
                <w:rFonts w:ascii="宋体" w:hAnsi="宋体"/>
                <w:color w:val="000000"/>
                <w:sz w:val="24"/>
              </w:rPr>
            </w:pPr>
          </w:p>
          <w:p>
            <w:pPr>
              <w:spacing w:line="640" w:lineRule="exact"/>
              <w:ind w:firstLine="555"/>
              <w:rPr>
                <w:rFonts w:ascii="宋体" w:hAnsi="宋体"/>
                <w:sz w:val="24"/>
              </w:rPr>
            </w:pPr>
            <w:r>
              <w:rPr>
                <w:rFonts w:hint="eastAsia" w:ascii="宋体" w:hAnsi="宋体"/>
                <w:sz w:val="24"/>
              </w:rPr>
              <w:t>此文件审查工作已结束，于2019年</w:t>
            </w:r>
            <w:r>
              <w:rPr>
                <w:rFonts w:hint="eastAsia" w:ascii="宋体" w:hAnsi="宋体"/>
                <w:sz w:val="24"/>
                <w:u w:val="single"/>
                <w:lang w:val="en-US" w:eastAsia="zh-CN"/>
              </w:rPr>
              <w:t>5</w:t>
            </w:r>
            <w:r>
              <w:rPr>
                <w:rFonts w:hint="eastAsia" w:ascii="宋体" w:hAnsi="宋体"/>
                <w:sz w:val="24"/>
              </w:rPr>
              <w:t>月</w:t>
            </w:r>
            <w:r>
              <w:rPr>
                <w:rFonts w:hint="eastAsia" w:ascii="宋体" w:hAnsi="宋体"/>
                <w:sz w:val="24"/>
                <w:u w:val="single"/>
                <w:lang w:val="en-US" w:eastAsia="zh-CN"/>
              </w:rPr>
              <w:t>27</w:t>
            </w:r>
            <w:r>
              <w:rPr>
                <w:rFonts w:hint="eastAsia" w:ascii="宋体" w:hAnsi="宋体"/>
                <w:sz w:val="24"/>
              </w:rPr>
              <w:t>日备案，共</w:t>
            </w:r>
            <w:r>
              <w:rPr>
                <w:rFonts w:hint="eastAsia" w:ascii="宋体" w:hAnsi="宋体"/>
                <w:sz w:val="24"/>
                <w:u w:val="single"/>
                <w:lang w:val="en-US" w:eastAsia="zh-CN"/>
              </w:rPr>
              <w:t>38</w:t>
            </w:r>
            <w:r>
              <w:rPr>
                <w:rFonts w:hint="eastAsia" w:ascii="宋体" w:hAnsi="宋体"/>
                <w:sz w:val="24"/>
              </w:rPr>
              <w:t>页，附件有：</w:t>
            </w:r>
          </w:p>
          <w:p>
            <w:pPr>
              <w:spacing w:line="640" w:lineRule="exact"/>
              <w:ind w:firstLine="555"/>
              <w:rPr>
                <w:rFonts w:ascii="宋体" w:hAnsi="宋体"/>
                <w:sz w:val="24"/>
              </w:rPr>
            </w:pPr>
            <w:r>
              <w:rPr>
                <w:rFonts w:hint="eastAsia" w:ascii="宋体" w:hAnsi="宋体"/>
                <w:sz w:val="24"/>
              </w:rPr>
              <w:t>1、招标采购计划申报表；</w:t>
            </w:r>
          </w:p>
          <w:p>
            <w:pPr>
              <w:spacing w:line="640" w:lineRule="exact"/>
              <w:ind w:firstLine="555"/>
              <w:rPr>
                <w:rFonts w:ascii="宋体" w:hAnsi="宋体"/>
                <w:sz w:val="24"/>
              </w:rPr>
            </w:pPr>
            <w:r>
              <w:rPr>
                <w:rFonts w:hint="eastAsia" w:ascii="宋体" w:hAnsi="宋体"/>
                <w:sz w:val="24"/>
              </w:rPr>
              <w:t>2、采购通知单；</w:t>
            </w:r>
          </w:p>
          <w:p>
            <w:pPr>
              <w:spacing w:line="640" w:lineRule="exact"/>
              <w:ind w:firstLine="555"/>
              <w:rPr>
                <w:rFonts w:ascii="宋体" w:hAnsi="宋体"/>
                <w:sz w:val="24"/>
              </w:rPr>
            </w:pPr>
            <w:r>
              <w:rPr>
                <w:rFonts w:hint="eastAsia" w:ascii="宋体" w:hAnsi="宋体"/>
                <w:sz w:val="24"/>
              </w:rPr>
              <w:t>3、招标代理服务合同。</w:t>
            </w:r>
          </w:p>
          <w:p>
            <w:pPr>
              <w:spacing w:line="640" w:lineRule="exact"/>
              <w:ind w:firstLine="555"/>
              <w:rPr>
                <w:rFonts w:ascii="宋体" w:hAnsi="宋体"/>
                <w:sz w:val="24"/>
              </w:rPr>
            </w:pPr>
          </w:p>
          <w:p>
            <w:pPr>
              <w:spacing w:line="640" w:lineRule="exact"/>
              <w:ind w:firstLine="555"/>
              <w:rPr>
                <w:rFonts w:ascii="宋体" w:hAnsi="宋体"/>
                <w:sz w:val="24"/>
              </w:rPr>
            </w:pPr>
            <w:r>
              <w:rPr>
                <w:rFonts w:hint="eastAsia" w:ascii="宋体" w:hAnsi="宋体"/>
                <w:sz w:val="24"/>
              </w:rPr>
              <w:t xml:space="preserve"> </w:t>
            </w:r>
          </w:p>
          <w:p>
            <w:pPr>
              <w:spacing w:line="640" w:lineRule="exact"/>
              <w:ind w:firstLine="555"/>
              <w:rPr>
                <w:rFonts w:ascii="宋体" w:hAnsi="宋体"/>
                <w:sz w:val="24"/>
              </w:rPr>
            </w:pPr>
          </w:p>
          <w:p>
            <w:pPr>
              <w:spacing w:line="640" w:lineRule="exact"/>
              <w:ind w:firstLine="555"/>
              <w:rPr>
                <w:rFonts w:ascii="宋体" w:hAnsi="宋体"/>
                <w:sz w:val="24"/>
              </w:rPr>
            </w:pPr>
          </w:p>
          <w:p>
            <w:pPr>
              <w:spacing w:line="640" w:lineRule="exact"/>
              <w:rPr>
                <w:rFonts w:ascii="宋体" w:hAnsi="宋体"/>
                <w:sz w:val="24"/>
              </w:rPr>
            </w:pPr>
          </w:p>
          <w:p>
            <w:pPr>
              <w:spacing w:line="420" w:lineRule="exact"/>
              <w:ind w:firstLine="556"/>
              <w:rPr>
                <w:rFonts w:ascii="宋体" w:hAnsi="宋体"/>
                <w:sz w:val="24"/>
              </w:rPr>
            </w:pPr>
            <w:r>
              <w:rPr>
                <w:rFonts w:hint="eastAsia" w:ascii="宋体" w:hAnsi="宋体"/>
                <w:sz w:val="24"/>
              </w:rPr>
              <w:t xml:space="preserve">                              招标管理部门（盖章）：</w:t>
            </w:r>
          </w:p>
          <w:p>
            <w:pPr>
              <w:spacing w:line="640" w:lineRule="exact"/>
              <w:rPr>
                <w:rFonts w:ascii="宋体" w:hAnsi="宋体"/>
                <w:color w:val="000000"/>
                <w:sz w:val="24"/>
              </w:rPr>
            </w:pPr>
          </w:p>
        </w:tc>
      </w:tr>
    </w:tbl>
    <w:p>
      <w:pPr>
        <w:spacing w:after="156" w:afterLines="50"/>
        <w:jc w:val="center"/>
        <w:rPr>
          <w:rFonts w:ascii="宋体" w:hAnsi="宋体"/>
          <w:b/>
          <w:bCs/>
          <w:sz w:val="36"/>
          <w:szCs w:val="36"/>
        </w:rPr>
      </w:pPr>
    </w:p>
    <w:p>
      <w:pPr>
        <w:pStyle w:val="2"/>
      </w:pPr>
      <w:r>
        <w:t xml:space="preserve"> </w:t>
      </w:r>
      <w:bookmarkStart w:id="4" w:name="_Toc387526362"/>
      <w:bookmarkStart w:id="5" w:name="_Toc19260"/>
      <w:bookmarkStart w:id="6" w:name="_Toc5291"/>
      <w:r>
        <w:rPr>
          <w:rFonts w:hint="eastAsia"/>
        </w:rPr>
        <w:t xml:space="preserve">第一章  </w:t>
      </w:r>
      <w:r>
        <w:t>招标公告</w:t>
      </w:r>
      <w:bookmarkEnd w:id="0"/>
      <w:bookmarkEnd w:id="1"/>
      <w:bookmarkEnd w:id="2"/>
      <w:bookmarkEnd w:id="3"/>
      <w:bookmarkEnd w:id="4"/>
      <w:bookmarkEnd w:id="5"/>
      <w:bookmarkEnd w:id="6"/>
    </w:p>
    <w:p>
      <w:pPr>
        <w:widowControl/>
        <w:snapToGrid w:val="0"/>
        <w:spacing w:before="100" w:beforeAutospacing="1" w:after="100" w:afterAutospacing="1" w:line="360" w:lineRule="auto"/>
        <w:ind w:firstLine="482"/>
        <w:jc w:val="left"/>
        <w:rPr>
          <w:rFonts w:ascii="宋体" w:hAnsi="宋体" w:cs="宋体"/>
          <w:kern w:val="0"/>
          <w:szCs w:val="21"/>
        </w:rPr>
      </w:pPr>
      <w:bookmarkStart w:id="7" w:name="_Toc369077550"/>
      <w:bookmarkStart w:id="8" w:name="_Toc368759511"/>
      <w:r>
        <w:rPr>
          <w:rFonts w:hint="eastAsia" w:ascii="宋体" w:hAnsi="宋体" w:cs="宋体"/>
          <w:color w:val="000000"/>
          <w:kern w:val="0"/>
          <w:szCs w:val="21"/>
        </w:rPr>
        <w:t>一、根据《中华人民共和国政府采购法》、《中华人民共和国招标投标法》等有关法律规定，</w:t>
      </w:r>
      <w:r>
        <w:rPr>
          <w:rFonts w:hint="eastAsia" w:ascii="宋体" w:hAnsi="宋体" w:cs="宋体"/>
          <w:color w:val="000000"/>
          <w:kern w:val="0"/>
          <w:szCs w:val="21"/>
          <w:u w:val="single"/>
        </w:rPr>
        <w:t>南京琼斯工程管理有限公司</w:t>
      </w:r>
      <w:r>
        <w:rPr>
          <w:rFonts w:hint="eastAsia" w:ascii="宋体" w:hAnsi="宋体" w:cs="宋体"/>
          <w:color w:val="000000"/>
          <w:kern w:val="0"/>
          <w:szCs w:val="21"/>
        </w:rPr>
        <w:t>受</w:t>
      </w:r>
      <w:r>
        <w:rPr>
          <w:rFonts w:hint="eastAsia" w:ascii="宋体" w:hAnsi="宋体" w:cs="宋体"/>
          <w:color w:val="000000"/>
          <w:kern w:val="0"/>
          <w:szCs w:val="21"/>
          <w:u w:val="single"/>
          <w:lang w:eastAsia="zh-CN"/>
        </w:rPr>
        <w:t>盐城市大丰区新丰中学</w:t>
      </w:r>
      <w:r>
        <w:rPr>
          <w:rFonts w:hint="eastAsia" w:ascii="宋体" w:hAnsi="宋体" w:cs="宋体"/>
          <w:color w:val="000000"/>
          <w:kern w:val="0"/>
          <w:szCs w:val="21"/>
        </w:rPr>
        <w:t>委托，就下列项目进行</w:t>
      </w:r>
      <w:r>
        <w:rPr>
          <w:rFonts w:hint="eastAsia" w:ascii="宋体" w:hAnsi="宋体" w:cs="宋体"/>
          <w:color w:val="000000"/>
          <w:kern w:val="0"/>
          <w:szCs w:val="21"/>
          <w:u w:val="single"/>
        </w:rPr>
        <w:t>公开招标</w:t>
      </w:r>
      <w:r>
        <w:rPr>
          <w:rFonts w:hint="eastAsia" w:ascii="宋体" w:hAnsi="宋体" w:cs="宋体"/>
          <w:color w:val="000000"/>
          <w:kern w:val="0"/>
          <w:szCs w:val="21"/>
        </w:rPr>
        <w:t>，诚邀合格的企业前来报名参加。</w:t>
      </w:r>
    </w:p>
    <w:p>
      <w:pPr>
        <w:widowControl/>
        <w:snapToGrid w:val="0"/>
        <w:spacing w:before="100" w:beforeAutospacing="1" w:after="100" w:afterAutospacing="1" w:line="360" w:lineRule="auto"/>
        <w:ind w:firstLine="480"/>
        <w:jc w:val="left"/>
        <w:rPr>
          <w:rFonts w:ascii="宋体" w:hAnsi="宋体" w:cs="宋体"/>
          <w:b/>
          <w:kern w:val="0"/>
          <w:szCs w:val="21"/>
        </w:rPr>
      </w:pPr>
      <w:r>
        <w:rPr>
          <w:rFonts w:hint="eastAsia" w:ascii="宋体" w:hAnsi="宋体" w:cs="宋体"/>
          <w:b/>
          <w:color w:val="000000"/>
          <w:kern w:val="0"/>
          <w:szCs w:val="21"/>
        </w:rPr>
        <w:t>二、项目概况</w:t>
      </w:r>
    </w:p>
    <w:p>
      <w:pPr>
        <w:widowControl/>
        <w:snapToGrid w:val="0"/>
        <w:spacing w:before="100" w:beforeAutospacing="1" w:after="100" w:afterAutospacing="1" w:line="360" w:lineRule="auto"/>
        <w:ind w:firstLine="480"/>
        <w:jc w:val="left"/>
        <w:rPr>
          <w:rFonts w:hint="eastAsia" w:ascii="宋体" w:hAnsi="宋体" w:eastAsia="宋体" w:cs="宋体"/>
          <w:kern w:val="0"/>
          <w:szCs w:val="21"/>
          <w:lang w:eastAsia="zh-CN"/>
        </w:rPr>
      </w:pPr>
      <w:r>
        <w:rPr>
          <w:rFonts w:hint="eastAsia" w:ascii="宋体" w:hAnsi="宋体" w:cs="宋体"/>
          <w:color w:val="000000"/>
          <w:kern w:val="0"/>
          <w:szCs w:val="21"/>
        </w:rPr>
        <w:t>（1）项目名称：</w:t>
      </w:r>
      <w:r>
        <w:rPr>
          <w:rFonts w:hint="eastAsia" w:ascii="宋体" w:hAnsi="宋体" w:cs="宋体"/>
          <w:color w:val="000000"/>
          <w:kern w:val="0"/>
          <w:szCs w:val="21"/>
          <w:u w:val="single"/>
          <w:lang w:eastAsia="zh-CN"/>
        </w:rPr>
        <w:t>盐城市大丰区新丰中学2019年度办公用纸协议采购项目</w:t>
      </w:r>
    </w:p>
    <w:p>
      <w:pPr>
        <w:widowControl/>
        <w:snapToGrid w:val="0"/>
        <w:spacing w:before="100" w:beforeAutospacing="1" w:after="100" w:afterAutospacing="1" w:line="360" w:lineRule="auto"/>
        <w:ind w:firstLine="480"/>
        <w:jc w:val="left"/>
        <w:rPr>
          <w:rFonts w:hint="default" w:ascii="宋体" w:hAnsi="宋体" w:eastAsia="宋体" w:cs="宋体"/>
          <w:kern w:val="0"/>
          <w:szCs w:val="21"/>
          <w:lang w:val="en-US" w:eastAsia="zh-CN"/>
        </w:rPr>
      </w:pPr>
      <w:r>
        <w:rPr>
          <w:rFonts w:hint="eastAsia" w:ascii="宋体" w:hAnsi="宋体" w:cs="宋体"/>
          <w:color w:val="000000"/>
          <w:kern w:val="0"/>
          <w:szCs w:val="21"/>
        </w:rPr>
        <w:t>（2）项目编号：</w:t>
      </w:r>
      <w:r>
        <w:rPr>
          <w:rFonts w:hint="eastAsia" w:ascii="宋体" w:hAnsi="宋体" w:cs="宋体"/>
          <w:color w:val="000000"/>
          <w:kern w:val="0"/>
          <w:szCs w:val="21"/>
          <w:highlight w:val="none"/>
          <w:u w:val="single"/>
          <w:lang w:eastAsia="zh-CN"/>
        </w:rPr>
        <w:t>DFCG2019</w:t>
      </w:r>
      <w:r>
        <w:rPr>
          <w:rFonts w:hint="eastAsia" w:ascii="宋体" w:hAnsi="宋体" w:cs="宋体"/>
          <w:color w:val="000000"/>
          <w:kern w:val="0"/>
          <w:szCs w:val="21"/>
          <w:highlight w:val="none"/>
          <w:u w:val="single"/>
          <w:lang w:val="en-US" w:eastAsia="zh-CN"/>
        </w:rPr>
        <w:t>0199</w:t>
      </w:r>
    </w:p>
    <w:p>
      <w:pPr>
        <w:widowControl/>
        <w:snapToGrid w:val="0"/>
        <w:spacing w:before="100" w:beforeAutospacing="1" w:after="100" w:afterAutospacing="1" w:line="360" w:lineRule="auto"/>
        <w:ind w:firstLine="482"/>
        <w:jc w:val="left"/>
        <w:rPr>
          <w:rFonts w:ascii="宋体" w:hAnsi="宋体" w:cs="宋体"/>
          <w:kern w:val="0"/>
          <w:szCs w:val="21"/>
        </w:rPr>
      </w:pPr>
      <w:r>
        <w:rPr>
          <w:rFonts w:hint="eastAsia" w:ascii="宋体" w:hAnsi="宋体" w:cs="宋体"/>
          <w:color w:val="000000"/>
          <w:kern w:val="0"/>
          <w:szCs w:val="21"/>
        </w:rPr>
        <w:t>（3）招标方式：</w:t>
      </w:r>
      <w:r>
        <w:rPr>
          <w:rFonts w:hint="eastAsia" w:ascii="宋体" w:hAnsi="宋体" w:cs="宋体"/>
          <w:color w:val="000000"/>
          <w:kern w:val="0"/>
          <w:szCs w:val="21"/>
          <w:u w:val="single"/>
        </w:rPr>
        <w:t>公开招标</w:t>
      </w:r>
    </w:p>
    <w:p>
      <w:pPr>
        <w:widowControl/>
        <w:snapToGrid w:val="0"/>
        <w:spacing w:before="100" w:beforeAutospacing="1" w:after="100" w:afterAutospacing="1" w:line="360" w:lineRule="auto"/>
        <w:ind w:firstLine="482"/>
        <w:jc w:val="left"/>
        <w:rPr>
          <w:rFonts w:hint="eastAsia" w:ascii="宋体" w:hAnsi="宋体" w:cs="宋体"/>
          <w:color w:val="000000"/>
          <w:kern w:val="0"/>
          <w:szCs w:val="21"/>
          <w:u w:val="single"/>
          <w:lang w:eastAsia="zh-CN"/>
        </w:rPr>
      </w:pPr>
      <w:r>
        <w:rPr>
          <w:rFonts w:hint="eastAsia" w:ascii="宋体" w:hAnsi="宋体" w:cs="宋体"/>
          <w:color w:val="000000"/>
          <w:kern w:val="0"/>
          <w:szCs w:val="21"/>
        </w:rPr>
        <w:t>（4）采购内容：</w:t>
      </w:r>
      <w:r>
        <w:rPr>
          <w:rFonts w:hint="eastAsia" w:ascii="宋体" w:hAnsi="宋体" w:cs="宋体"/>
          <w:color w:val="000000"/>
          <w:kern w:val="0"/>
          <w:szCs w:val="21"/>
          <w:u w:val="single"/>
          <w:lang w:eastAsia="zh-CN"/>
        </w:rPr>
        <w:t>年度办公用纸采购、</w:t>
      </w:r>
      <w:r>
        <w:rPr>
          <w:rFonts w:hint="eastAsia" w:ascii="宋体" w:hAnsi="宋体" w:cs="宋体"/>
          <w:color w:val="000000"/>
          <w:kern w:val="0"/>
          <w:szCs w:val="21"/>
          <w:u w:val="single"/>
          <w:lang w:val="en-US" w:eastAsia="zh-CN"/>
        </w:rPr>
        <w:t>送货上门服务</w:t>
      </w:r>
      <w:r>
        <w:rPr>
          <w:rFonts w:hint="eastAsia" w:ascii="宋体" w:hAnsi="宋体" w:cs="宋体"/>
          <w:color w:val="000000"/>
          <w:kern w:val="0"/>
          <w:szCs w:val="21"/>
          <w:u w:val="single"/>
          <w:lang w:eastAsia="zh-CN"/>
        </w:rPr>
        <w:t>（以优良的服务态度、便利、快捷的方式响应需方的采购要求，并对不符合技术和质量要求的商品提供包退、包换、包修等服务；同时，还需对所供货物提供完备的售后服务）。</w:t>
      </w:r>
    </w:p>
    <w:p>
      <w:pPr>
        <w:widowControl/>
        <w:snapToGrid w:val="0"/>
        <w:spacing w:before="100" w:beforeAutospacing="1" w:after="100" w:afterAutospacing="1" w:line="360" w:lineRule="auto"/>
        <w:ind w:firstLine="482"/>
        <w:jc w:val="left"/>
        <w:rPr>
          <w:rFonts w:ascii="宋体" w:hAnsi="宋体" w:cs="宋体"/>
          <w:kern w:val="0"/>
          <w:szCs w:val="21"/>
        </w:rPr>
      </w:pPr>
      <w:r>
        <w:rPr>
          <w:rFonts w:hint="eastAsia" w:ascii="宋体" w:hAnsi="宋体" w:cs="宋体"/>
          <w:color w:val="000000"/>
          <w:kern w:val="0"/>
          <w:szCs w:val="21"/>
        </w:rPr>
        <w:t>（5）资金来源：</w:t>
      </w:r>
      <w:r>
        <w:rPr>
          <w:rFonts w:hint="eastAsia" w:ascii="宋体" w:hAnsi="宋体" w:cs="宋体"/>
          <w:color w:val="000000"/>
          <w:kern w:val="0"/>
          <w:szCs w:val="21"/>
          <w:u w:val="single"/>
        </w:rPr>
        <w:t xml:space="preserve"> 财政性资金 </w:t>
      </w:r>
    </w:p>
    <w:p>
      <w:pPr>
        <w:widowControl/>
        <w:snapToGrid w:val="0"/>
        <w:spacing w:before="100" w:beforeAutospacing="1" w:after="100" w:afterAutospacing="1" w:line="360" w:lineRule="auto"/>
        <w:ind w:firstLine="480"/>
        <w:jc w:val="left"/>
        <w:rPr>
          <w:rFonts w:hint="eastAsia" w:ascii="宋体" w:hAnsi="宋体" w:cs="宋体"/>
          <w:kern w:val="0"/>
          <w:szCs w:val="21"/>
          <w:u w:val="single"/>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年度预算额</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18</w:t>
      </w:r>
      <w:r>
        <w:rPr>
          <w:rFonts w:hint="eastAsia" w:ascii="宋体" w:hAnsi="宋体" w:cs="宋体"/>
          <w:color w:val="000000"/>
          <w:kern w:val="0"/>
          <w:szCs w:val="21"/>
          <w:u w:val="single"/>
        </w:rPr>
        <w:t xml:space="preserve"> 万元 </w:t>
      </w:r>
      <w:r>
        <w:rPr>
          <w:rFonts w:hint="eastAsia" w:ascii="宋体" w:hAnsi="宋体" w:cs="宋体"/>
          <w:color w:val="000000"/>
          <w:kern w:val="0"/>
          <w:szCs w:val="21"/>
          <w:u w:val="none"/>
        </w:rPr>
        <w:t xml:space="preserve"> </w:t>
      </w:r>
      <w:r>
        <w:rPr>
          <w:rFonts w:hint="eastAsia" w:ascii="宋体" w:hAnsi="宋体" w:cs="宋体"/>
          <w:color w:val="000000"/>
          <w:kern w:val="0"/>
          <w:szCs w:val="21"/>
          <w:u w:val="none"/>
          <w:lang w:eastAsia="zh-CN"/>
        </w:rPr>
        <w:t>，</w:t>
      </w:r>
      <w:r>
        <w:rPr>
          <w:rFonts w:hint="eastAsia" w:ascii="宋体" w:hAnsi="宋体" w:cs="宋体"/>
          <w:color w:val="000000"/>
          <w:kern w:val="0"/>
          <w:szCs w:val="21"/>
          <w:u w:val="none"/>
          <w:lang w:val="en-US" w:eastAsia="zh-CN"/>
        </w:rPr>
        <w:t>单价总额控制价：</w:t>
      </w:r>
      <w:r>
        <w:rPr>
          <w:rFonts w:hint="eastAsia" w:ascii="宋体" w:hAnsi="宋体" w:cs="宋体"/>
          <w:kern w:val="0"/>
          <w:szCs w:val="21"/>
          <w:u w:val="single"/>
          <w:lang w:val="en-US" w:eastAsia="zh-CN"/>
        </w:rPr>
        <w:t xml:space="preserve"> 865元 </w:t>
      </w:r>
    </w:p>
    <w:p>
      <w:pPr>
        <w:widowControl/>
        <w:snapToGrid w:val="0"/>
        <w:spacing w:before="100" w:beforeAutospacing="1" w:after="100" w:afterAutospacing="1" w:line="360" w:lineRule="auto"/>
        <w:ind w:firstLine="480"/>
        <w:jc w:val="left"/>
        <w:rPr>
          <w:rFonts w:hint="eastAsia" w:ascii="宋体" w:hAnsi="宋体" w:cs="宋体"/>
          <w:kern w:val="0"/>
          <w:sz w:val="24"/>
          <w:u w:val="single"/>
          <w:lang w:val="en-US" w:eastAsia="zh-CN"/>
        </w:rPr>
      </w:pPr>
      <w:r>
        <w:rPr>
          <w:rFonts w:hint="eastAsia" w:ascii="宋体" w:hAnsi="宋体" w:cs="宋体"/>
          <w:color w:val="000000"/>
          <w:kern w:val="0"/>
          <w:szCs w:val="21"/>
        </w:rPr>
        <w:t>（7）</w:t>
      </w:r>
      <w:r>
        <w:rPr>
          <w:rFonts w:hint="eastAsia" w:ascii="宋体" w:hAnsi="宋体" w:cs="宋体"/>
          <w:color w:val="000000"/>
          <w:kern w:val="0"/>
          <w:szCs w:val="21"/>
          <w:lang w:val="en-US" w:eastAsia="zh-CN"/>
        </w:rPr>
        <w:t>协议</w:t>
      </w:r>
      <w:r>
        <w:rPr>
          <w:rFonts w:hint="eastAsia" w:ascii="宋体" w:hAnsi="宋体" w:cs="宋体"/>
          <w:color w:val="000000"/>
          <w:kern w:val="0"/>
          <w:szCs w:val="21"/>
        </w:rPr>
        <w:t>供货期限:</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一</w:t>
      </w:r>
      <w:r>
        <w:rPr>
          <w:rFonts w:hint="eastAsia" w:ascii="宋体" w:hAnsi="宋体" w:cs="宋体"/>
          <w:kern w:val="0"/>
          <w:sz w:val="24"/>
          <w:u w:val="single"/>
          <w:lang w:val="en-US" w:eastAsia="zh-CN"/>
        </w:rPr>
        <w:t>年（以合同签订时间为准）</w:t>
      </w:r>
    </w:p>
    <w:p>
      <w:pPr>
        <w:widowControl/>
        <w:snapToGrid w:val="0"/>
        <w:spacing w:before="100" w:beforeAutospacing="1" w:after="100" w:afterAutospacing="1" w:line="360" w:lineRule="auto"/>
        <w:ind w:firstLine="480"/>
        <w:jc w:val="left"/>
        <w:rPr>
          <w:rFonts w:hint="default" w:ascii="宋体" w:hAnsi="宋体" w:cs="宋体"/>
          <w:kern w:val="0"/>
          <w:sz w:val="24"/>
          <w:u w:val="single"/>
          <w:lang w:val="en-US" w:eastAsia="zh-CN"/>
        </w:rPr>
      </w:pPr>
      <w:r>
        <w:rPr>
          <w:rFonts w:hint="eastAsia" w:ascii="宋体" w:hAnsi="宋体" w:cs="宋体"/>
          <w:color w:val="000000"/>
          <w:kern w:val="0"/>
          <w:szCs w:val="21"/>
          <w:lang w:val="en-US" w:eastAsia="zh-CN"/>
        </w:rPr>
        <w:t>（8）质量要求：</w:t>
      </w:r>
      <w:r>
        <w:rPr>
          <w:rFonts w:hint="eastAsia" w:ascii="宋体" w:hAnsi="宋体" w:cs="宋体"/>
          <w:color w:val="000000"/>
          <w:kern w:val="0"/>
          <w:szCs w:val="21"/>
          <w:u w:val="single"/>
          <w:lang w:val="en-US" w:eastAsia="zh-CN"/>
        </w:rPr>
        <w:t xml:space="preserve"> </w:t>
      </w:r>
      <w:r>
        <w:rPr>
          <w:rFonts w:hint="eastAsia" w:ascii="宋体" w:hAnsi="宋体" w:cs="宋体"/>
          <w:kern w:val="0"/>
          <w:sz w:val="24"/>
          <w:u w:val="single"/>
          <w:lang w:val="en-US" w:eastAsia="zh-CN"/>
        </w:rPr>
        <w:t>相关质量验收</w:t>
      </w:r>
      <w:r>
        <w:rPr>
          <w:rFonts w:hint="eastAsia" w:ascii="宋体" w:hAnsi="宋体" w:cs="宋体"/>
          <w:b/>
          <w:bCs/>
          <w:kern w:val="0"/>
          <w:sz w:val="24"/>
          <w:u w:val="single"/>
          <w:lang w:val="en-US" w:eastAsia="zh-CN"/>
        </w:rPr>
        <w:t>合格</w:t>
      </w:r>
      <w:r>
        <w:rPr>
          <w:rFonts w:hint="eastAsia" w:ascii="宋体" w:hAnsi="宋体" w:cs="宋体"/>
          <w:kern w:val="0"/>
          <w:sz w:val="24"/>
          <w:u w:val="single"/>
          <w:lang w:val="en-US" w:eastAsia="zh-CN"/>
        </w:rPr>
        <w:t xml:space="preserve">标准 </w:t>
      </w:r>
    </w:p>
    <w:p>
      <w:pPr>
        <w:widowControl/>
        <w:snapToGrid w:val="0"/>
        <w:spacing w:before="100" w:beforeAutospacing="1" w:after="100" w:afterAutospacing="1" w:line="360" w:lineRule="auto"/>
        <w:ind w:firstLine="480"/>
        <w:jc w:val="left"/>
        <w:rPr>
          <w:rFonts w:ascii="宋体" w:hAnsi="宋体" w:cs="宋体"/>
          <w:color w:val="000000"/>
          <w:kern w:val="0"/>
          <w:szCs w:val="21"/>
        </w:rPr>
      </w:pPr>
      <w:r>
        <w:rPr>
          <w:rFonts w:hint="eastAsia" w:ascii="宋体" w:hAnsi="宋体" w:cs="宋体"/>
          <w:b/>
          <w:color w:val="000000"/>
          <w:kern w:val="0"/>
          <w:szCs w:val="21"/>
        </w:rPr>
        <w:t>三、标段划分：</w:t>
      </w:r>
      <w:r>
        <w:rPr>
          <w:rFonts w:hint="eastAsia" w:ascii="宋体" w:hAnsi="宋体" w:cs="宋体"/>
          <w:color w:val="000000"/>
          <w:kern w:val="0"/>
          <w:szCs w:val="21"/>
        </w:rPr>
        <w:t>本招标项目共分</w:t>
      </w:r>
      <w:r>
        <w:rPr>
          <w:rFonts w:hint="eastAsia" w:ascii="宋体" w:hAnsi="宋体" w:cs="宋体"/>
          <w:color w:val="000000"/>
          <w:kern w:val="0"/>
          <w:szCs w:val="21"/>
          <w:u w:val="single"/>
        </w:rPr>
        <w:t xml:space="preserve">  1  </w:t>
      </w:r>
      <w:r>
        <w:rPr>
          <w:rFonts w:hint="eastAsia" w:ascii="宋体" w:hAnsi="宋体" w:cs="宋体"/>
          <w:color w:val="000000"/>
          <w:kern w:val="0"/>
          <w:szCs w:val="21"/>
        </w:rPr>
        <w:t>个标段，招标内容如下：</w:t>
      </w:r>
    </w:p>
    <w:tbl>
      <w:tblPr>
        <w:tblStyle w:val="48"/>
        <w:tblW w:w="8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1"/>
        <w:gridCol w:w="198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5391" w:type="dxa"/>
            <w:vAlign w:val="center"/>
          </w:tcPr>
          <w:p>
            <w:pPr>
              <w:spacing w:line="360" w:lineRule="auto"/>
              <w:jc w:val="center"/>
              <w:rPr>
                <w:rFonts w:ascii="宋体" w:hAnsi="宋体"/>
                <w:szCs w:val="21"/>
              </w:rPr>
            </w:pPr>
            <w:r>
              <w:rPr>
                <w:rFonts w:hint="eastAsia" w:ascii="宋体" w:hAnsi="宋体"/>
                <w:szCs w:val="21"/>
              </w:rPr>
              <w:t>项目名称</w:t>
            </w:r>
          </w:p>
        </w:tc>
        <w:tc>
          <w:tcPr>
            <w:tcW w:w="1987"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单价总额控制价</w:t>
            </w:r>
          </w:p>
        </w:tc>
        <w:tc>
          <w:tcPr>
            <w:tcW w:w="1554" w:type="dxa"/>
            <w:vAlign w:val="center"/>
          </w:tcPr>
          <w:p>
            <w:pPr>
              <w:spacing w:line="360" w:lineRule="auto"/>
              <w:jc w:val="center"/>
              <w:rPr>
                <w:rFonts w:hint="default" w:ascii="宋体" w:hAnsi="宋体"/>
                <w:szCs w:val="21"/>
                <w:lang w:val="en-US" w:eastAsia="zh-CN"/>
              </w:rPr>
            </w:pPr>
            <w:r>
              <w:rPr>
                <w:rFonts w:hint="eastAsia" w:ascii="宋体" w:hAnsi="宋体"/>
                <w:szCs w:val="21"/>
                <w:lang w:val="en-US" w:eastAsia="zh-CN"/>
              </w:rPr>
              <w:t>年度预算额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5391" w:type="dxa"/>
            <w:vAlign w:val="center"/>
          </w:tcPr>
          <w:p>
            <w:pPr>
              <w:widowControl/>
              <w:snapToGrid w:val="0"/>
              <w:spacing w:before="156" w:beforeLines="50" w:after="100" w:afterAutospacing="1" w:line="360" w:lineRule="auto"/>
              <w:jc w:val="center"/>
              <w:rPr>
                <w:rFonts w:hint="eastAsia" w:ascii="宋体" w:hAnsi="宋体" w:eastAsia="宋体" w:cs="宋体"/>
                <w:kern w:val="0"/>
                <w:szCs w:val="21"/>
                <w:lang w:eastAsia="zh-CN"/>
              </w:rPr>
            </w:pPr>
            <w:r>
              <w:rPr>
                <w:rFonts w:hint="eastAsia" w:ascii="宋体" w:hAnsi="宋体" w:cs="宋体"/>
                <w:color w:val="000000"/>
                <w:kern w:val="0"/>
                <w:szCs w:val="21"/>
                <w:lang w:eastAsia="zh-CN"/>
              </w:rPr>
              <w:t>盐城市大丰区新丰中学2019年度办公用纸协议采购项目</w:t>
            </w:r>
          </w:p>
        </w:tc>
        <w:tc>
          <w:tcPr>
            <w:tcW w:w="1987" w:type="dxa"/>
            <w:vAlign w:val="center"/>
          </w:tcPr>
          <w:p>
            <w:pPr>
              <w:spacing w:line="360" w:lineRule="auto"/>
              <w:jc w:val="center"/>
              <w:rPr>
                <w:rFonts w:ascii="宋体" w:hAnsi="宋体"/>
                <w:szCs w:val="21"/>
              </w:rPr>
            </w:pPr>
            <w:r>
              <w:rPr>
                <w:rFonts w:hint="eastAsia" w:ascii="宋体" w:hAnsi="宋体"/>
                <w:szCs w:val="21"/>
                <w:lang w:val="en-US" w:eastAsia="zh-CN"/>
              </w:rPr>
              <w:t>865</w:t>
            </w:r>
            <w:r>
              <w:rPr>
                <w:rFonts w:hint="eastAsia" w:ascii="宋体" w:hAnsi="宋体"/>
                <w:szCs w:val="21"/>
              </w:rPr>
              <w:t>元</w:t>
            </w:r>
          </w:p>
        </w:tc>
        <w:tc>
          <w:tcPr>
            <w:tcW w:w="1554" w:type="dxa"/>
            <w:vAlign w:val="center"/>
          </w:tcPr>
          <w:p>
            <w:pPr>
              <w:spacing w:line="360" w:lineRule="auto"/>
              <w:jc w:val="center"/>
              <w:rPr>
                <w:rFonts w:hint="default" w:ascii="宋体" w:hAnsi="宋体"/>
                <w:szCs w:val="21"/>
                <w:lang w:val="en-US" w:eastAsia="zh-CN"/>
              </w:rPr>
            </w:pPr>
            <w:r>
              <w:rPr>
                <w:rFonts w:hint="eastAsia" w:ascii="宋体" w:hAnsi="宋体"/>
                <w:szCs w:val="21"/>
                <w:lang w:val="en-US" w:eastAsia="zh-CN"/>
              </w:rPr>
              <w:t>18万元</w:t>
            </w:r>
          </w:p>
        </w:tc>
      </w:tr>
    </w:tbl>
    <w:p>
      <w:pPr>
        <w:widowControl/>
        <w:snapToGrid w:val="0"/>
        <w:spacing w:before="100" w:beforeAutospacing="1" w:after="100" w:afterAutospacing="1" w:line="500" w:lineRule="exact"/>
        <w:ind w:firstLine="472"/>
        <w:jc w:val="left"/>
        <w:rPr>
          <w:rFonts w:ascii="宋体" w:hAnsi="宋体" w:cs="宋体"/>
          <w:b/>
          <w:color w:val="000000"/>
          <w:kern w:val="0"/>
          <w:szCs w:val="21"/>
        </w:rPr>
      </w:pPr>
      <w:r>
        <w:rPr>
          <w:rFonts w:hint="eastAsia" w:ascii="宋体" w:hAnsi="宋体" w:cs="宋体"/>
          <w:b/>
          <w:color w:val="000000"/>
          <w:kern w:val="0"/>
          <w:szCs w:val="21"/>
        </w:rPr>
        <w:t>四、申请人应当具备的主要资格条件及要求：</w:t>
      </w:r>
    </w:p>
    <w:p>
      <w:pPr>
        <w:widowControl/>
        <w:spacing w:line="500" w:lineRule="exact"/>
        <w:ind w:firstLine="210" w:firstLineChars="100"/>
        <w:jc w:val="left"/>
        <w:rPr>
          <w:rFonts w:ascii="宋体" w:hAnsi="宋体" w:cs="宋体"/>
          <w:kern w:val="0"/>
          <w:szCs w:val="21"/>
          <w:highlight w:val="none"/>
        </w:rPr>
      </w:pPr>
      <w:r>
        <w:rPr>
          <w:rFonts w:hint="eastAsia" w:ascii="宋体" w:hAnsi="宋体" w:cs="宋体"/>
          <w:kern w:val="0"/>
          <w:szCs w:val="21"/>
        </w:rPr>
        <w:t>（1）投标申请人须在中国境内注册，具有独立法人资格，具有独立订立合同的能力，近三年内没有严重违约和重大质量问题</w:t>
      </w:r>
      <w:r>
        <w:rPr>
          <w:rFonts w:hint="eastAsia" w:ascii="宋体" w:hAnsi="宋体" w:cs="宋体"/>
          <w:kern w:val="0"/>
          <w:szCs w:val="21"/>
          <w:highlight w:val="none"/>
        </w:rPr>
        <w:t>，未处于被责令停业、财产被接管、冻结、破产等状态；</w:t>
      </w:r>
    </w:p>
    <w:p>
      <w:pPr>
        <w:spacing w:line="50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（2）投标申请人营业执照须包含与本招标项目相对应产品生产或销售的经营范围。</w:t>
      </w:r>
    </w:p>
    <w:p>
      <w:pPr>
        <w:spacing w:line="500" w:lineRule="exact"/>
        <w:ind w:firstLine="420" w:firstLineChars="200"/>
        <w:rPr>
          <w:rFonts w:ascii="宋体" w:hAnsi="宋体" w:cs="宋体"/>
          <w:kern w:val="0"/>
          <w:szCs w:val="21"/>
        </w:rPr>
      </w:pPr>
      <w:r>
        <w:rPr>
          <w:rFonts w:hint="eastAsia" w:ascii="宋体" w:hAnsi="宋体" w:cs="宋体"/>
          <w:kern w:val="0"/>
          <w:szCs w:val="21"/>
        </w:rPr>
        <w:t>（3）投标人应保证招标人在使用该采购项目软硬件设备或其任何一部分时不受第三方提出侵犯其专利权、版权、商标权和工业设计权等知识产权的起诉。一旦出现侵权，一律由投标人承担全部责任；</w:t>
      </w:r>
    </w:p>
    <w:p>
      <w:pPr>
        <w:spacing w:line="500" w:lineRule="exact"/>
        <w:ind w:firstLine="437"/>
        <w:rPr>
          <w:rFonts w:ascii="宋体" w:hAnsi="宋体" w:cs="宋体"/>
          <w:kern w:val="0"/>
          <w:szCs w:val="21"/>
        </w:rPr>
      </w:pPr>
      <w:r>
        <w:rPr>
          <w:rFonts w:hint="eastAsia" w:ascii="宋体" w:hAnsi="宋体" w:cs="宋体"/>
          <w:kern w:val="0"/>
          <w:szCs w:val="21"/>
        </w:rPr>
        <w:t>（4）投标人应有固定的经营场所</w:t>
      </w:r>
      <w:r>
        <w:rPr>
          <w:rFonts w:hint="eastAsia" w:ascii="宋体" w:hAnsi="宋体" w:cs="宋体"/>
          <w:kern w:val="0"/>
          <w:szCs w:val="21"/>
          <w:lang w:eastAsia="zh-CN"/>
        </w:rPr>
        <w:t>，</w:t>
      </w:r>
      <w:r>
        <w:rPr>
          <w:rFonts w:hint="eastAsia" w:ascii="宋体" w:hAnsi="宋体" w:cs="宋体"/>
          <w:kern w:val="0"/>
          <w:szCs w:val="21"/>
        </w:rPr>
        <w:t>具备相关项目的供货能力和售后服务能力，具有良好的商业信誉</w:t>
      </w:r>
      <w:r>
        <w:rPr>
          <w:rFonts w:ascii="宋体" w:hAnsi="宋体"/>
          <w:color w:val="auto"/>
          <w:szCs w:val="21"/>
          <w:highlight w:val="none"/>
        </w:rPr>
        <w:t>和健全的财务会计制度</w:t>
      </w:r>
      <w:r>
        <w:rPr>
          <w:rFonts w:hint="eastAsia" w:ascii="宋体" w:hAnsi="宋体" w:cs="宋体"/>
          <w:kern w:val="0"/>
          <w:szCs w:val="21"/>
        </w:rPr>
        <w:t>；</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（5）投标申请人应当满足《中华人民共和国政府采购法》第22条之规定的各项条件。</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（6）本次招标 不接受联合体投标。</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（7）符合相关法律、法规规定的其他要求。</w:t>
      </w:r>
    </w:p>
    <w:p>
      <w:pPr>
        <w:spacing w:line="500" w:lineRule="exact"/>
        <w:ind w:firstLine="422" w:firstLineChars="200"/>
        <w:jc w:val="left"/>
        <w:rPr>
          <w:rFonts w:ascii="宋体" w:hAnsi="宋体" w:cs="宋体"/>
          <w:b/>
          <w:kern w:val="0"/>
          <w:szCs w:val="21"/>
        </w:rPr>
      </w:pPr>
      <w:r>
        <w:rPr>
          <w:rFonts w:hint="eastAsia" w:ascii="宋体" w:hAnsi="宋体" w:cs="宋体"/>
          <w:b/>
          <w:color w:val="000000"/>
          <w:kern w:val="0"/>
          <w:szCs w:val="21"/>
        </w:rPr>
        <w:t>五、投标保证金</w:t>
      </w:r>
    </w:p>
    <w:p>
      <w:pPr>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本项目投标保证金人民币：</w:t>
      </w:r>
      <w:r>
        <w:rPr>
          <w:rFonts w:hint="eastAsia" w:ascii="宋体" w:hAnsi="宋体" w:cs="宋体"/>
          <w:kern w:val="0"/>
          <w:szCs w:val="21"/>
          <w:u w:val="single"/>
          <w:lang w:val="en-US" w:eastAsia="zh-CN"/>
        </w:rPr>
        <w:t xml:space="preserve"> </w:t>
      </w:r>
      <w:r>
        <w:rPr>
          <w:rFonts w:hint="eastAsia" w:ascii="宋体" w:hAnsi="宋体" w:cs="宋体"/>
          <w:kern w:val="0"/>
          <w:szCs w:val="21"/>
          <w:u w:val="single"/>
          <w:lang w:eastAsia="zh-CN"/>
        </w:rPr>
        <w:t>贰仟</w:t>
      </w:r>
      <w:r>
        <w:rPr>
          <w:rFonts w:hint="eastAsia" w:ascii="宋体" w:hAnsi="宋体" w:cs="宋体"/>
          <w:kern w:val="0"/>
          <w:szCs w:val="21"/>
          <w:u w:val="single"/>
        </w:rPr>
        <w:t>元</w:t>
      </w:r>
      <w:r>
        <w:rPr>
          <w:rFonts w:hint="eastAsia" w:ascii="宋体" w:hAnsi="宋体" w:cs="宋体"/>
          <w:kern w:val="0"/>
          <w:szCs w:val="21"/>
          <w:u w:val="single"/>
          <w:lang w:val="en-US" w:eastAsia="zh-CN"/>
        </w:rPr>
        <w:t xml:space="preserve"> </w:t>
      </w:r>
      <w:r>
        <w:rPr>
          <w:rFonts w:hint="eastAsia" w:ascii="宋体" w:hAnsi="宋体" w:cs="宋体"/>
          <w:kern w:val="0"/>
          <w:szCs w:val="21"/>
        </w:rPr>
        <w:t>整（</w:t>
      </w:r>
      <w:r>
        <w:rPr>
          <w:rFonts w:hint="eastAsia" w:ascii="宋体" w:hAnsi="宋体" w:cs="宋体"/>
          <w:kern w:val="0"/>
          <w:szCs w:val="21"/>
          <w:u w:val="single"/>
          <w:lang w:val="en-US" w:eastAsia="zh-CN"/>
        </w:rPr>
        <w:t xml:space="preserve"> 2000.00 </w:t>
      </w:r>
      <w:r>
        <w:rPr>
          <w:rFonts w:hint="eastAsia" w:ascii="宋体" w:hAnsi="宋体" w:cs="宋体"/>
          <w:kern w:val="0"/>
          <w:szCs w:val="21"/>
        </w:rPr>
        <w:t>元），投标人必须在投标文件递交截止时间前将投标保证金从投标人本单位的基本账户上直接转（汇）至盐城市大丰区公共资源交易中心投标保证金帐户：</w:t>
      </w:r>
    </w:p>
    <w:p>
      <w:pPr>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保证金标段子帐户信息：</w:t>
      </w:r>
    </w:p>
    <w:p>
      <w:pPr>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户名：盐城市大丰区公共资源交易中心</w:t>
      </w:r>
    </w:p>
    <w:p>
      <w:pPr>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账号：3209820531010000088465;</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 xml:space="preserve">开户银行：大丰农村商业银行创业支行    </w:t>
      </w:r>
    </w:p>
    <w:p>
      <w:pPr>
        <w:spacing w:line="500" w:lineRule="exact"/>
        <w:ind w:firstLine="422" w:firstLineChars="20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注：（1）获得投标保证金账号后，投标单位通过基本户选择以下方式缴纳保证金，请投标单位根据所使用的支付方式把握保证金缴纳开始时间和到账截止时间。</w:t>
      </w:r>
    </w:p>
    <w:p>
      <w:pPr>
        <w:spacing w:line="500" w:lineRule="exact"/>
        <w:ind w:firstLine="422" w:firstLineChars="20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投标人可通过所开立的基本户选择网上银行、柜面电汇二种方式支付保证金。（重要提醒：无论是通过网银汇款还是柜面电汇，5万元以上的汇款，请在工作日9：00至17：00办理，以便于您的资金可以及时到账，同时，防止少数银行要求不一样，汇款前请先向您的基本户开户银行做好咨询）。</w:t>
      </w:r>
    </w:p>
    <w:p>
      <w:pPr>
        <w:spacing w:line="500" w:lineRule="exact"/>
        <w:ind w:firstLine="422" w:firstLineChars="20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（2）开标时间截止前，请务必查询保证金到账情况，确认在会员系统保证金缴纳明细查看页面查询到记录，否则可能会导致标书不予接收。</w:t>
      </w:r>
    </w:p>
    <w:p>
      <w:pPr>
        <w:spacing w:line="500" w:lineRule="exact"/>
        <w:ind w:firstLine="422" w:firstLineChars="20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（3）投标单位应尽量避免在缴纳保证金截止日汇入资金，充分考虑资金在途时间，以免失去投标资格。</w:t>
      </w:r>
    </w:p>
    <w:p>
      <w:pPr>
        <w:spacing w:line="500" w:lineRule="exact"/>
        <w:ind w:firstLine="422" w:firstLineChars="20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（4）投标人不需要到窗口换取保证金收据。</w:t>
      </w:r>
    </w:p>
    <w:p>
      <w:pPr>
        <w:spacing w:line="500" w:lineRule="exact"/>
        <w:ind w:firstLine="422" w:firstLineChars="200"/>
        <w:jc w:val="left"/>
        <w:rPr>
          <w:rFonts w:hint="eastAsia" w:ascii="宋体" w:hAnsi="宋体" w:eastAsia="宋体" w:cs="宋体"/>
          <w:b/>
          <w:bCs/>
          <w:kern w:val="0"/>
          <w:szCs w:val="21"/>
          <w:lang w:eastAsia="zh-CN"/>
        </w:rPr>
      </w:pPr>
      <w:r>
        <w:rPr>
          <w:rFonts w:hint="eastAsia" w:ascii="宋体" w:hAnsi="宋体" w:cs="宋体"/>
          <w:b/>
          <w:bCs/>
          <w:kern w:val="0"/>
          <w:szCs w:val="21"/>
          <w:lang w:val="en-US" w:eastAsia="zh-CN"/>
        </w:rPr>
        <w:t>2、查询电话：0515-83927237（朱会计）</w:t>
      </w:r>
    </w:p>
    <w:p>
      <w:pPr>
        <w:widowControl/>
        <w:snapToGrid w:val="0"/>
        <w:spacing w:line="480" w:lineRule="exact"/>
        <w:ind w:firstLine="480"/>
        <w:jc w:val="left"/>
        <w:rPr>
          <w:rFonts w:ascii="宋体" w:hAnsi="宋体" w:cs="宋体"/>
          <w:b/>
          <w:kern w:val="0"/>
          <w:szCs w:val="21"/>
        </w:rPr>
      </w:pPr>
      <w:r>
        <w:rPr>
          <w:rFonts w:hint="eastAsia" w:ascii="宋体" w:hAnsi="宋体" w:cs="宋体"/>
          <w:b/>
          <w:kern w:val="0"/>
          <w:szCs w:val="21"/>
        </w:rPr>
        <w:t>六、报名及招标文件的获取</w:t>
      </w:r>
    </w:p>
    <w:p>
      <w:pPr>
        <w:widowControl/>
        <w:snapToGrid w:val="0"/>
        <w:spacing w:line="480" w:lineRule="exact"/>
        <w:jc w:val="left"/>
        <w:rPr>
          <w:rFonts w:hint="eastAsia" w:ascii="宋体" w:hAnsi="宋体" w:cs="宋体"/>
          <w:kern w:val="0"/>
          <w:szCs w:val="21"/>
        </w:rPr>
      </w:pPr>
      <w:r>
        <w:rPr>
          <w:rFonts w:hint="eastAsia" w:ascii="宋体" w:hAnsi="宋体" w:cs="宋体"/>
          <w:kern w:val="0"/>
          <w:szCs w:val="21"/>
        </w:rPr>
        <w:t>1、各潜在投标人（供应商或生产商）采用网上方式报名及下载招标文件，具体步骤如下：</w:t>
      </w:r>
    </w:p>
    <w:p>
      <w:pPr>
        <w:widowControl/>
        <w:snapToGrid w:val="0"/>
        <w:spacing w:line="480" w:lineRule="exact"/>
        <w:ind w:firstLine="480"/>
        <w:jc w:val="left"/>
        <w:rPr>
          <w:rFonts w:hint="eastAsia" w:ascii="宋体" w:hAnsi="宋体" w:cs="宋体"/>
          <w:kern w:val="0"/>
          <w:szCs w:val="21"/>
        </w:rPr>
      </w:pPr>
      <w:r>
        <w:rPr>
          <w:rFonts w:hint="eastAsia" w:ascii="宋体" w:hAnsi="宋体" w:cs="宋体"/>
          <w:kern w:val="0"/>
          <w:szCs w:val="21"/>
        </w:rPr>
        <w:t>（1）各潜在投标人（供应商）下载采购类项目网上报名操作指南（网站 http://ggzy.dafeng.gov.cn/dfweb/InfoDetail/?InfoID=8a98b92b-4bd3-4d80-afcf-ddb1d664dfbf&amp;CategoryNum=029 ）；</w:t>
      </w:r>
    </w:p>
    <w:p>
      <w:pPr>
        <w:widowControl/>
        <w:snapToGrid w:val="0"/>
        <w:spacing w:line="480" w:lineRule="exact"/>
        <w:ind w:firstLine="480"/>
        <w:jc w:val="left"/>
        <w:rPr>
          <w:rFonts w:hint="eastAsia" w:ascii="宋体" w:hAnsi="宋体" w:cs="宋体"/>
          <w:kern w:val="0"/>
          <w:szCs w:val="21"/>
        </w:rPr>
      </w:pPr>
      <w:r>
        <w:rPr>
          <w:rFonts w:hint="eastAsia" w:ascii="宋体" w:hAnsi="宋体" w:cs="宋体"/>
          <w:kern w:val="0"/>
          <w:szCs w:val="21"/>
        </w:rPr>
        <w:t>（2）各潜在投标人（供应商或生产商）根据网上报名操作指南进行操作，仔细阅读采购类项目网上报名操作指南，认真掌握操作方法(请牢记登录名和密码)，确保信息准确无误，如填报错误,后果由投标单位自行承担；</w:t>
      </w:r>
    </w:p>
    <w:p>
      <w:pPr>
        <w:widowControl/>
        <w:snapToGrid w:val="0"/>
        <w:spacing w:line="480" w:lineRule="exact"/>
        <w:ind w:firstLine="480"/>
        <w:jc w:val="left"/>
        <w:rPr>
          <w:rFonts w:hint="eastAsia" w:ascii="宋体" w:hAnsi="宋体" w:cs="宋体"/>
          <w:kern w:val="0"/>
          <w:szCs w:val="21"/>
        </w:rPr>
      </w:pPr>
      <w:r>
        <w:rPr>
          <w:rFonts w:hint="eastAsia" w:ascii="宋体" w:hAnsi="宋体" w:cs="宋体"/>
          <w:kern w:val="0"/>
          <w:szCs w:val="21"/>
        </w:rPr>
        <w:t>（3）各潜在投标人（供应商或生产商）在交纳招标文件工本费后，报名视为成功。若未交纳招标文件工本费，视为未报名(本项目招标文件售价：详见报名系统)。</w:t>
      </w:r>
    </w:p>
    <w:p>
      <w:pPr>
        <w:widowControl/>
        <w:snapToGrid w:val="0"/>
        <w:spacing w:line="480" w:lineRule="exact"/>
        <w:ind w:firstLine="480"/>
        <w:jc w:val="left"/>
        <w:rPr>
          <w:rFonts w:hint="eastAsia" w:ascii="宋体" w:hAnsi="宋体" w:cs="宋体"/>
          <w:kern w:val="0"/>
          <w:szCs w:val="21"/>
        </w:rPr>
      </w:pPr>
      <w:r>
        <w:rPr>
          <w:rFonts w:hint="eastAsia" w:ascii="宋体" w:hAnsi="宋体" w:cs="宋体"/>
          <w:kern w:val="0"/>
          <w:szCs w:val="21"/>
        </w:rPr>
        <w:t>（4）报名技术咨询电话：刘文辉 0515—83927236或咨询本项目的招标代理联系人。</w:t>
      </w:r>
    </w:p>
    <w:p>
      <w:pPr>
        <w:widowControl/>
        <w:snapToGrid w:val="0"/>
        <w:spacing w:line="480" w:lineRule="exact"/>
        <w:ind w:firstLine="480"/>
        <w:jc w:val="left"/>
        <w:rPr>
          <w:rFonts w:ascii="宋体" w:hAnsi="宋体" w:cs="宋体"/>
          <w:b/>
          <w:kern w:val="0"/>
          <w:szCs w:val="21"/>
        </w:rPr>
      </w:pPr>
      <w:r>
        <w:rPr>
          <w:rFonts w:hint="eastAsia" w:ascii="宋体" w:hAnsi="宋体" w:cs="宋体"/>
          <w:b/>
          <w:kern w:val="0"/>
          <w:szCs w:val="21"/>
        </w:rPr>
        <w:t>2、请各投标</w:t>
      </w:r>
      <w:r>
        <w:rPr>
          <w:rFonts w:hint="eastAsia" w:ascii="宋体" w:hAnsi="宋体" w:cs="宋体"/>
          <w:b/>
          <w:kern w:val="0"/>
          <w:szCs w:val="21"/>
          <w:highlight w:val="none"/>
        </w:rPr>
        <w:t>申请人于2019年</w:t>
      </w:r>
      <w:r>
        <w:rPr>
          <w:rFonts w:hint="eastAsia" w:ascii="宋体" w:hAnsi="宋体" w:cs="宋体"/>
          <w:b/>
          <w:kern w:val="0"/>
          <w:szCs w:val="21"/>
          <w:highlight w:val="none"/>
          <w:u w:val="single"/>
          <w:lang w:val="en-US" w:eastAsia="zh-CN"/>
        </w:rPr>
        <w:t>6</w:t>
      </w:r>
      <w:r>
        <w:rPr>
          <w:rFonts w:hint="eastAsia" w:ascii="宋体" w:hAnsi="宋体" w:cs="宋体"/>
          <w:b/>
          <w:kern w:val="0"/>
          <w:szCs w:val="21"/>
          <w:highlight w:val="none"/>
        </w:rPr>
        <w:t>月</w:t>
      </w:r>
      <w:r>
        <w:rPr>
          <w:rFonts w:hint="eastAsia" w:ascii="宋体" w:hAnsi="宋体" w:cs="宋体"/>
          <w:b/>
          <w:kern w:val="0"/>
          <w:szCs w:val="21"/>
          <w:highlight w:val="none"/>
          <w:u w:val="single"/>
          <w:lang w:val="en-US" w:eastAsia="zh-CN"/>
        </w:rPr>
        <w:t>19</w:t>
      </w:r>
      <w:r>
        <w:rPr>
          <w:rFonts w:hint="eastAsia" w:ascii="宋体" w:hAnsi="宋体" w:cs="宋体"/>
          <w:b/>
          <w:kern w:val="0"/>
          <w:szCs w:val="21"/>
          <w:highlight w:val="none"/>
        </w:rPr>
        <w:t>日至2019年</w:t>
      </w:r>
      <w:r>
        <w:rPr>
          <w:rFonts w:hint="eastAsia" w:ascii="宋体" w:hAnsi="宋体" w:cs="宋体"/>
          <w:b/>
          <w:kern w:val="0"/>
          <w:szCs w:val="21"/>
          <w:highlight w:val="none"/>
          <w:u w:val="single"/>
          <w:lang w:val="en-US" w:eastAsia="zh-CN"/>
        </w:rPr>
        <w:t>6</w:t>
      </w:r>
      <w:r>
        <w:rPr>
          <w:rFonts w:hint="eastAsia" w:ascii="宋体" w:hAnsi="宋体" w:cs="宋体"/>
          <w:b/>
          <w:kern w:val="0"/>
          <w:szCs w:val="21"/>
          <w:highlight w:val="none"/>
        </w:rPr>
        <w:t>月</w:t>
      </w:r>
      <w:r>
        <w:rPr>
          <w:rFonts w:hint="eastAsia" w:ascii="宋体" w:hAnsi="宋体" w:cs="宋体"/>
          <w:b/>
          <w:kern w:val="0"/>
          <w:szCs w:val="21"/>
          <w:highlight w:val="none"/>
          <w:u w:val="single"/>
          <w:lang w:val="en-US" w:eastAsia="zh-CN"/>
        </w:rPr>
        <w:t>25</w:t>
      </w:r>
      <w:r>
        <w:rPr>
          <w:rFonts w:hint="eastAsia" w:ascii="宋体" w:hAnsi="宋体" w:cs="宋体"/>
          <w:b/>
          <w:kern w:val="0"/>
          <w:szCs w:val="21"/>
          <w:highlight w:val="none"/>
        </w:rPr>
        <w:t>日进</w:t>
      </w:r>
      <w:r>
        <w:rPr>
          <w:rFonts w:hint="eastAsia" w:ascii="宋体" w:hAnsi="宋体" w:cs="宋体"/>
          <w:b/>
          <w:kern w:val="0"/>
          <w:szCs w:val="21"/>
        </w:rPr>
        <w:t>行网上报名及下载招标文件，如在规定时间内未下载招标文件，由此引起的责任自负。</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七、本项目对投标申请人的资格审查采用资格后审方式，由评标委员会根据招标文件进行评定；报名时不进行报名资料的任何审查，由意向投标人自行判断是否符合投标资格。</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八、本招标项目采用的评标方法：综合评分法。</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九、本招标项目招标公告发布媒介：中国大丰(http://www.dafeng.gov.cn)、盐城政府采购网(http://czj.yancheng.gov.cn/col/col2383/index.html)、大丰公共资源交易平台(</w:t>
      </w:r>
      <w:r>
        <w:rPr>
          <w:rFonts w:hint="eastAsia" w:ascii="宋体" w:hAnsi="宋体" w:cs="宋体"/>
          <w:color w:val="000000"/>
          <w:sz w:val="24"/>
          <w:shd w:val="clear" w:color="auto" w:fill="FFFFFF"/>
        </w:rPr>
        <w:t>http://ggzy.dafeng.gov.cn</w:t>
      </w:r>
      <w:r>
        <w:rPr>
          <w:rFonts w:hint="eastAsia" w:ascii="宋体" w:hAnsi="宋体" w:cs="宋体"/>
          <w:kern w:val="0"/>
          <w:szCs w:val="21"/>
        </w:rPr>
        <w:t>)</w:t>
      </w:r>
    </w:p>
    <w:p>
      <w:pPr>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十、投标时间、开标时间和地点</w:t>
      </w:r>
    </w:p>
    <w:p>
      <w:pPr>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1、投标时间段：2019年</w:t>
      </w:r>
      <w:r>
        <w:rPr>
          <w:rFonts w:hint="eastAsia" w:ascii="宋体" w:hAnsi="宋体" w:cs="宋体"/>
          <w:kern w:val="0"/>
          <w:szCs w:val="21"/>
          <w:highlight w:val="none"/>
          <w:lang w:val="en-US" w:eastAsia="zh-CN"/>
        </w:rPr>
        <w:t>7</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10</w:t>
      </w:r>
      <w:r>
        <w:rPr>
          <w:rFonts w:hint="eastAsia" w:ascii="宋体" w:hAnsi="宋体" w:cs="宋体"/>
          <w:kern w:val="0"/>
          <w:szCs w:val="21"/>
          <w:highlight w:val="none"/>
        </w:rPr>
        <w:t>日</w:t>
      </w:r>
      <w:r>
        <w:rPr>
          <w:rFonts w:hint="eastAsia" w:ascii="宋体" w:hAnsi="宋体" w:cs="宋体"/>
          <w:kern w:val="0"/>
          <w:szCs w:val="21"/>
          <w:highlight w:val="none"/>
          <w:lang w:val="en-US" w:eastAsia="zh-CN"/>
        </w:rPr>
        <w:t>10</w:t>
      </w:r>
      <w:r>
        <w:rPr>
          <w:rFonts w:hint="eastAsia" w:ascii="宋体" w:hAnsi="宋体" w:cs="宋体"/>
          <w:kern w:val="0"/>
          <w:szCs w:val="21"/>
          <w:highlight w:val="none"/>
        </w:rPr>
        <w:t>时—</w:t>
      </w:r>
      <w:r>
        <w:rPr>
          <w:rFonts w:hint="eastAsia" w:ascii="宋体" w:hAnsi="宋体" w:cs="宋体"/>
          <w:kern w:val="0"/>
          <w:szCs w:val="21"/>
          <w:highlight w:val="none"/>
          <w:lang w:val="en-US" w:eastAsia="zh-CN"/>
        </w:rPr>
        <w:t>10</w:t>
      </w:r>
      <w:r>
        <w:rPr>
          <w:rFonts w:hint="eastAsia" w:ascii="宋体" w:hAnsi="宋体" w:cs="宋体"/>
          <w:kern w:val="0"/>
          <w:szCs w:val="21"/>
          <w:highlight w:val="none"/>
        </w:rPr>
        <w:t>时30分</w:t>
      </w:r>
    </w:p>
    <w:p>
      <w:pPr>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2、开标时间：2019年</w:t>
      </w:r>
      <w:r>
        <w:rPr>
          <w:rFonts w:hint="eastAsia" w:ascii="宋体" w:hAnsi="宋体" w:cs="宋体"/>
          <w:kern w:val="0"/>
          <w:szCs w:val="21"/>
          <w:highlight w:val="none"/>
          <w:lang w:val="en-US" w:eastAsia="zh-CN"/>
        </w:rPr>
        <w:t>7</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10</w:t>
      </w:r>
      <w:r>
        <w:rPr>
          <w:rFonts w:hint="eastAsia" w:ascii="宋体" w:hAnsi="宋体" w:cs="宋体"/>
          <w:kern w:val="0"/>
          <w:szCs w:val="21"/>
          <w:highlight w:val="none"/>
        </w:rPr>
        <w:t>日</w:t>
      </w:r>
      <w:r>
        <w:rPr>
          <w:rFonts w:hint="eastAsia" w:ascii="宋体" w:hAnsi="宋体" w:cs="宋体"/>
          <w:kern w:val="0"/>
          <w:szCs w:val="21"/>
          <w:highlight w:val="none"/>
          <w:lang w:val="en-US" w:eastAsia="zh-CN"/>
        </w:rPr>
        <w:t>10</w:t>
      </w:r>
      <w:r>
        <w:rPr>
          <w:rFonts w:hint="eastAsia" w:ascii="宋体" w:hAnsi="宋体" w:cs="宋体"/>
          <w:kern w:val="0"/>
          <w:szCs w:val="21"/>
          <w:highlight w:val="none"/>
        </w:rPr>
        <w:t>时30分</w:t>
      </w:r>
    </w:p>
    <w:p>
      <w:pPr>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3、投标文件提交地点：盐城市大丰区公共资源交易中心开标二室（大丰城东新区丰华国际大厦四楼,盐城市大丰区丰华路与飞达路交叉西150米）</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十一、投标前请关注“大丰公共资源交易平台”的“政府采购”——“最高限价”和“答疑补充”栏目。及时了解到项目的“最高限价”和“答疑补充”等情况。</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十二、联系方式</w:t>
      </w:r>
    </w:p>
    <w:p>
      <w:pPr>
        <w:spacing w:line="500" w:lineRule="exact"/>
        <w:ind w:firstLine="420" w:firstLineChars="200"/>
        <w:jc w:val="center"/>
        <w:rPr>
          <w:rFonts w:ascii="宋体" w:hAnsi="宋体" w:cs="宋体"/>
          <w:kern w:val="0"/>
          <w:szCs w:val="21"/>
        </w:rPr>
      </w:pPr>
      <w:r>
        <w:rPr>
          <w:rFonts w:hint="eastAsia" w:ascii="宋体" w:hAnsi="宋体" w:cs="宋体"/>
          <w:kern w:val="0"/>
          <w:szCs w:val="21"/>
        </w:rPr>
        <w:t>招  标  人</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招标人：</w:t>
      </w:r>
      <w:r>
        <w:rPr>
          <w:rFonts w:hint="eastAsia" w:ascii="宋体" w:hAnsi="宋体" w:cs="宋体"/>
          <w:kern w:val="0"/>
          <w:szCs w:val="21"/>
          <w:lang w:eastAsia="zh-CN"/>
        </w:rPr>
        <w:t>盐城市大丰区新丰中学</w:t>
      </w:r>
      <w:r>
        <w:rPr>
          <w:rFonts w:hint="eastAsia" w:ascii="宋体" w:hAnsi="宋体" w:cs="宋体"/>
          <w:kern w:val="0"/>
          <w:szCs w:val="21"/>
        </w:rPr>
        <w:t> </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联系地址：大丰区</w:t>
      </w:r>
      <w:r>
        <w:rPr>
          <w:rFonts w:hint="eastAsia" w:ascii="宋体" w:hAnsi="宋体" w:cs="宋体"/>
          <w:kern w:val="0"/>
          <w:szCs w:val="21"/>
          <w:lang w:val="en-US" w:eastAsia="zh-CN"/>
        </w:rPr>
        <w:t>新丰中</w:t>
      </w:r>
      <w:r>
        <w:rPr>
          <w:rFonts w:hint="eastAsia" w:ascii="宋体" w:hAnsi="宋体" w:cs="宋体"/>
          <w:kern w:val="0"/>
          <w:szCs w:val="21"/>
        </w:rPr>
        <w:t xml:space="preserve">学 </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联系人：</w:t>
      </w:r>
      <w:r>
        <w:rPr>
          <w:rFonts w:hint="eastAsia" w:ascii="宋体" w:hAnsi="宋体" w:cs="宋体"/>
          <w:kern w:val="0"/>
          <w:szCs w:val="21"/>
          <w:lang w:val="en-US" w:eastAsia="zh-CN"/>
        </w:rPr>
        <w:t>陈</w:t>
      </w:r>
      <w:r>
        <w:rPr>
          <w:rFonts w:hint="eastAsia" w:ascii="宋体" w:hAnsi="宋体" w:cs="宋体"/>
          <w:kern w:val="0"/>
          <w:szCs w:val="21"/>
        </w:rPr>
        <w:t>先生 </w:t>
      </w:r>
    </w:p>
    <w:p>
      <w:pPr>
        <w:spacing w:line="500" w:lineRule="exact"/>
        <w:ind w:firstLine="420" w:firstLineChars="200"/>
        <w:jc w:val="left"/>
        <w:rPr>
          <w:rFonts w:hint="default"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15151085299</w:t>
      </w:r>
    </w:p>
    <w:p>
      <w:pPr>
        <w:spacing w:line="500" w:lineRule="exact"/>
        <w:ind w:firstLine="420" w:firstLineChars="200"/>
        <w:jc w:val="center"/>
        <w:rPr>
          <w:rFonts w:ascii="宋体" w:hAnsi="宋体" w:cs="宋体"/>
          <w:kern w:val="0"/>
          <w:szCs w:val="21"/>
        </w:rPr>
      </w:pPr>
      <w:r>
        <w:rPr>
          <w:rFonts w:hint="eastAsia" w:ascii="宋体" w:hAnsi="宋体" w:cs="宋体"/>
          <w:kern w:val="0"/>
          <w:szCs w:val="21"/>
        </w:rPr>
        <w:t>招标代理机构</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招标代理：南京琼斯工程管理有限公司</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联系地址：大丰区疏港路北侧上川钢材市场2幢5</w:t>
      </w:r>
      <w:r>
        <w:rPr>
          <w:rFonts w:hint="eastAsia" w:ascii="宋体" w:hAnsi="宋体" w:cs="宋体"/>
          <w:kern w:val="0"/>
          <w:szCs w:val="21"/>
          <w:lang w:val="en-US" w:eastAsia="zh-CN"/>
        </w:rPr>
        <w:t>楼</w:t>
      </w:r>
      <w:r>
        <w:rPr>
          <w:rFonts w:hint="eastAsia" w:ascii="宋体" w:hAnsi="宋体" w:cs="宋体"/>
          <w:kern w:val="0"/>
          <w:szCs w:val="21"/>
        </w:rPr>
        <w:t xml:space="preserve"> </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联系人： 朱艳峰                </w:t>
      </w:r>
    </w:p>
    <w:p>
      <w:pPr>
        <w:spacing w:line="500" w:lineRule="exact"/>
        <w:ind w:firstLine="420" w:firstLineChars="200"/>
        <w:jc w:val="left"/>
        <w:rPr>
          <w:rFonts w:ascii="宋体" w:hAnsi="宋体" w:cs="宋体"/>
          <w:kern w:val="0"/>
          <w:szCs w:val="21"/>
        </w:rPr>
      </w:pPr>
      <w:r>
        <w:rPr>
          <w:rFonts w:hint="eastAsia" w:ascii="宋体" w:hAnsi="宋体" w:cs="宋体"/>
          <w:kern w:val="0"/>
          <w:szCs w:val="21"/>
        </w:rPr>
        <w:t>联系电话：</w:t>
      </w:r>
      <w:r>
        <w:rPr>
          <w:rFonts w:hint="eastAsia" w:ascii="宋体" w:hAnsi="宋体" w:cs="宋体"/>
          <w:kern w:val="0"/>
          <w:szCs w:val="21"/>
          <w:lang w:val="en-US" w:eastAsia="zh-CN"/>
        </w:rPr>
        <w:t>0515-83283686</w:t>
      </w: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p>
      <w:pPr>
        <w:spacing w:line="500" w:lineRule="exact"/>
        <w:ind w:firstLine="420" w:firstLineChars="200"/>
        <w:jc w:val="left"/>
        <w:rPr>
          <w:rFonts w:ascii="宋体" w:hAnsi="宋体" w:cs="宋体"/>
          <w:kern w:val="0"/>
          <w:szCs w:val="21"/>
        </w:rPr>
      </w:pPr>
    </w:p>
    <w:bookmarkEnd w:id="7"/>
    <w:bookmarkEnd w:id="8"/>
    <w:p>
      <w:pPr>
        <w:pStyle w:val="2"/>
      </w:pPr>
      <w:bookmarkStart w:id="9" w:name="_Toc363326679"/>
      <w:bookmarkStart w:id="10" w:name="_Toc369077558"/>
      <w:bookmarkStart w:id="11" w:name="_Toc184635069"/>
      <w:bookmarkStart w:id="12" w:name="_Toc31114"/>
      <w:bookmarkStart w:id="13" w:name="_Toc6770"/>
      <w:bookmarkStart w:id="14" w:name="_Toc387526281"/>
      <w:bookmarkStart w:id="15" w:name="_Toc387526177"/>
      <w:bookmarkStart w:id="16" w:name="_Toc387526373"/>
      <w:bookmarkStart w:id="17" w:name="_Toc368759512"/>
      <w:r>
        <w:t>第二章  投标人须知</w:t>
      </w:r>
      <w:bookmarkEnd w:id="9"/>
      <w:bookmarkEnd w:id="10"/>
      <w:bookmarkEnd w:id="11"/>
      <w:bookmarkEnd w:id="12"/>
      <w:bookmarkEnd w:id="13"/>
      <w:bookmarkEnd w:id="14"/>
      <w:bookmarkEnd w:id="15"/>
      <w:bookmarkEnd w:id="16"/>
      <w:bookmarkEnd w:id="17"/>
    </w:p>
    <w:p>
      <w:pPr>
        <w:pStyle w:val="159"/>
        <w:spacing w:line="240" w:lineRule="auto"/>
        <w:rPr>
          <w:color w:val="auto"/>
        </w:rPr>
      </w:pPr>
      <w:bookmarkStart w:id="18" w:name="_Toc369077559"/>
      <w:bookmarkStart w:id="19" w:name="_Toc387526282"/>
      <w:bookmarkStart w:id="20" w:name="_Toc387526178"/>
      <w:bookmarkStart w:id="21" w:name="_Toc27642"/>
      <w:bookmarkStart w:id="22" w:name="_Toc387526374"/>
      <w:bookmarkStart w:id="23" w:name="_Toc16205"/>
      <w:r>
        <w:rPr>
          <w:color w:val="auto"/>
        </w:rPr>
        <w:t>投标人须知前附表</w:t>
      </w:r>
      <w:bookmarkEnd w:id="18"/>
      <w:bookmarkEnd w:id="19"/>
      <w:bookmarkEnd w:id="20"/>
      <w:bookmarkEnd w:id="21"/>
      <w:bookmarkEnd w:id="22"/>
      <w:bookmarkEnd w:id="23"/>
    </w:p>
    <w:tbl>
      <w:tblPr>
        <w:tblStyle w:val="48"/>
        <w:tblW w:w="94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392"/>
        <w:gridCol w:w="5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b/>
                <w:szCs w:val="21"/>
              </w:rPr>
            </w:pPr>
            <w:r>
              <w:rPr>
                <w:b/>
                <w:szCs w:val="21"/>
              </w:rPr>
              <w:t>条款号</w:t>
            </w:r>
          </w:p>
        </w:tc>
        <w:tc>
          <w:tcPr>
            <w:tcW w:w="3392" w:type="dxa"/>
            <w:vAlign w:val="center"/>
          </w:tcPr>
          <w:p>
            <w:pPr>
              <w:jc w:val="center"/>
              <w:rPr>
                <w:b/>
                <w:szCs w:val="21"/>
              </w:rPr>
            </w:pPr>
            <w:r>
              <w:rPr>
                <w:b/>
                <w:szCs w:val="21"/>
              </w:rPr>
              <w:t>条 款 名 称</w:t>
            </w:r>
          </w:p>
        </w:tc>
        <w:tc>
          <w:tcPr>
            <w:tcW w:w="5119" w:type="dxa"/>
            <w:vAlign w:val="center"/>
          </w:tcPr>
          <w:p>
            <w:pPr>
              <w:jc w:val="center"/>
              <w:rPr>
                <w:b/>
                <w:szCs w:val="21"/>
              </w:rPr>
            </w:pPr>
            <w:r>
              <w:rPr>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17" w:type="dxa"/>
            <w:vAlign w:val="center"/>
          </w:tcPr>
          <w:p>
            <w:pPr>
              <w:jc w:val="center"/>
              <w:rPr>
                <w:szCs w:val="21"/>
              </w:rPr>
            </w:pPr>
            <w:r>
              <w:rPr>
                <w:szCs w:val="21"/>
              </w:rPr>
              <w:t>1.1.2</w:t>
            </w:r>
          </w:p>
        </w:tc>
        <w:tc>
          <w:tcPr>
            <w:tcW w:w="3392" w:type="dxa"/>
            <w:vAlign w:val="center"/>
          </w:tcPr>
          <w:p>
            <w:pPr>
              <w:rPr>
                <w:szCs w:val="21"/>
              </w:rPr>
            </w:pPr>
            <w:r>
              <w:rPr>
                <w:szCs w:val="21"/>
              </w:rPr>
              <w:t>招标人</w:t>
            </w:r>
          </w:p>
        </w:tc>
        <w:tc>
          <w:tcPr>
            <w:tcW w:w="5119" w:type="dxa"/>
            <w:vAlign w:val="center"/>
          </w:tcPr>
          <w:p>
            <w:pPr>
              <w:rPr>
                <w:rFonts w:hint="eastAsia" w:eastAsia="宋体"/>
                <w:szCs w:val="21"/>
                <w:lang w:eastAsia="zh-CN"/>
              </w:rPr>
            </w:pPr>
            <w:r>
              <w:rPr>
                <w:rFonts w:hint="eastAsia"/>
                <w:szCs w:val="21"/>
              </w:rPr>
              <w:t>招标人</w:t>
            </w:r>
            <w:r>
              <w:rPr>
                <w:szCs w:val="21"/>
              </w:rPr>
              <w:t>名称：</w:t>
            </w:r>
            <w:r>
              <w:rPr>
                <w:rFonts w:hint="eastAsia" w:ascii="宋体" w:hAnsi="宋体"/>
                <w:szCs w:val="21"/>
                <w:lang w:eastAsia="zh-CN"/>
              </w:rPr>
              <w:t>盐城市大丰区新丰中学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917" w:type="dxa"/>
            <w:vAlign w:val="center"/>
          </w:tcPr>
          <w:p>
            <w:pPr>
              <w:jc w:val="center"/>
              <w:rPr>
                <w:szCs w:val="21"/>
              </w:rPr>
            </w:pPr>
            <w:r>
              <w:rPr>
                <w:szCs w:val="21"/>
              </w:rPr>
              <w:t>1.1.3</w:t>
            </w:r>
          </w:p>
        </w:tc>
        <w:tc>
          <w:tcPr>
            <w:tcW w:w="3392" w:type="dxa"/>
            <w:vAlign w:val="center"/>
          </w:tcPr>
          <w:p>
            <w:pPr>
              <w:rPr>
                <w:szCs w:val="21"/>
              </w:rPr>
            </w:pPr>
            <w:r>
              <w:rPr>
                <w:szCs w:val="21"/>
              </w:rPr>
              <w:t>招标代理机构</w:t>
            </w:r>
          </w:p>
        </w:tc>
        <w:tc>
          <w:tcPr>
            <w:tcW w:w="5119" w:type="dxa"/>
            <w:vAlign w:val="center"/>
          </w:tcPr>
          <w:p>
            <w:pPr>
              <w:rPr>
                <w:szCs w:val="21"/>
              </w:rPr>
            </w:pPr>
            <w:r>
              <w:rPr>
                <w:szCs w:val="21"/>
              </w:rPr>
              <w:t>代理机构名称：</w:t>
            </w:r>
            <w:r>
              <w:rPr>
                <w:rFonts w:hint="eastAsia" w:ascii="宋体" w:hAnsi="宋体"/>
                <w:szCs w:val="21"/>
              </w:rPr>
              <w:t>南京琼斯工程管理有限公司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1.1.4</w:t>
            </w:r>
          </w:p>
        </w:tc>
        <w:tc>
          <w:tcPr>
            <w:tcW w:w="3392" w:type="dxa"/>
            <w:vAlign w:val="center"/>
          </w:tcPr>
          <w:p>
            <w:pPr>
              <w:rPr>
                <w:szCs w:val="21"/>
              </w:rPr>
            </w:pPr>
            <w:r>
              <w:rPr>
                <w:szCs w:val="21"/>
              </w:rPr>
              <w:t>项目名称</w:t>
            </w:r>
          </w:p>
        </w:tc>
        <w:tc>
          <w:tcPr>
            <w:tcW w:w="5119" w:type="dxa"/>
            <w:vAlign w:val="center"/>
          </w:tcPr>
          <w:p>
            <w:pPr>
              <w:rPr>
                <w:rFonts w:hint="eastAsia" w:eastAsia="宋体"/>
                <w:szCs w:val="21"/>
                <w:lang w:eastAsia="zh-CN"/>
              </w:rPr>
            </w:pPr>
            <w:r>
              <w:rPr>
                <w:rFonts w:hint="eastAsia" w:ascii="宋体" w:hAnsi="宋体"/>
                <w:szCs w:val="21"/>
                <w:lang w:eastAsia="zh-CN"/>
              </w:rPr>
              <w:t>盐城市大丰区新丰中学2019年度办公用纸协议采购项目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1.2.1</w:t>
            </w:r>
          </w:p>
        </w:tc>
        <w:tc>
          <w:tcPr>
            <w:tcW w:w="3392" w:type="dxa"/>
            <w:vAlign w:val="center"/>
          </w:tcPr>
          <w:p>
            <w:pPr>
              <w:rPr>
                <w:szCs w:val="21"/>
              </w:rPr>
            </w:pPr>
            <w:r>
              <w:rPr>
                <w:szCs w:val="21"/>
              </w:rPr>
              <w:t>资金来源</w:t>
            </w:r>
          </w:p>
        </w:tc>
        <w:tc>
          <w:tcPr>
            <w:tcW w:w="5119" w:type="dxa"/>
            <w:vAlign w:val="center"/>
          </w:tcPr>
          <w:p>
            <w:pPr>
              <w:rPr>
                <w:szCs w:val="21"/>
              </w:rPr>
            </w:pPr>
            <w:r>
              <w:rPr>
                <w:rFonts w:hint="eastAsia"/>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1.2.2</w:t>
            </w:r>
          </w:p>
        </w:tc>
        <w:tc>
          <w:tcPr>
            <w:tcW w:w="3392" w:type="dxa"/>
            <w:vAlign w:val="center"/>
          </w:tcPr>
          <w:p>
            <w:pPr>
              <w:rPr>
                <w:szCs w:val="21"/>
              </w:rPr>
            </w:pPr>
            <w:r>
              <w:rPr>
                <w:szCs w:val="21"/>
              </w:rPr>
              <w:t>出资比例</w:t>
            </w:r>
          </w:p>
        </w:tc>
        <w:tc>
          <w:tcPr>
            <w:tcW w:w="5119" w:type="dxa"/>
            <w:vAlign w:val="center"/>
          </w:tcPr>
          <w:p>
            <w:pPr>
              <w:rPr>
                <w:szCs w:val="21"/>
              </w:rPr>
            </w:pPr>
            <w:r>
              <w:rPr>
                <w:rFonts w:hint="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1.2.3</w:t>
            </w:r>
          </w:p>
        </w:tc>
        <w:tc>
          <w:tcPr>
            <w:tcW w:w="3392" w:type="dxa"/>
            <w:vAlign w:val="center"/>
          </w:tcPr>
          <w:p>
            <w:pPr>
              <w:rPr>
                <w:szCs w:val="21"/>
              </w:rPr>
            </w:pPr>
            <w:r>
              <w:rPr>
                <w:szCs w:val="21"/>
              </w:rPr>
              <w:t>资金落实情况</w:t>
            </w:r>
          </w:p>
        </w:tc>
        <w:tc>
          <w:tcPr>
            <w:tcW w:w="5119" w:type="dxa"/>
            <w:vAlign w:val="center"/>
          </w:tcPr>
          <w:p>
            <w:pPr>
              <w:rPr>
                <w:szCs w:val="21"/>
              </w:rPr>
            </w:pPr>
            <w:r>
              <w:rPr>
                <w:rFonts w:hint="eastAsia"/>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17" w:type="dxa"/>
            <w:vAlign w:val="center"/>
          </w:tcPr>
          <w:p>
            <w:pPr>
              <w:jc w:val="center"/>
              <w:rPr>
                <w:szCs w:val="21"/>
              </w:rPr>
            </w:pPr>
            <w:r>
              <w:rPr>
                <w:szCs w:val="21"/>
              </w:rPr>
              <w:t>1.3.1</w:t>
            </w:r>
          </w:p>
        </w:tc>
        <w:tc>
          <w:tcPr>
            <w:tcW w:w="3392" w:type="dxa"/>
            <w:vAlign w:val="center"/>
          </w:tcPr>
          <w:p>
            <w:pPr>
              <w:rPr>
                <w:rFonts w:hint="default" w:eastAsia="宋体"/>
                <w:szCs w:val="21"/>
                <w:lang w:val="en-US" w:eastAsia="zh-CN"/>
              </w:rPr>
            </w:pPr>
            <w:r>
              <w:rPr>
                <w:rFonts w:hint="eastAsia"/>
                <w:szCs w:val="21"/>
                <w:lang w:val="en-US" w:eastAsia="zh-CN"/>
              </w:rPr>
              <w:t>采购内容</w:t>
            </w:r>
          </w:p>
        </w:tc>
        <w:tc>
          <w:tcPr>
            <w:tcW w:w="5119" w:type="dxa"/>
            <w:vAlign w:val="center"/>
          </w:tcPr>
          <w:p>
            <w:pPr>
              <w:rPr>
                <w:rFonts w:hint="default" w:eastAsia="宋体"/>
                <w:szCs w:val="21"/>
                <w:u w:val="single"/>
                <w:lang w:val="en-US" w:eastAsia="zh-CN"/>
              </w:rPr>
            </w:pPr>
            <w:r>
              <w:rPr>
                <w:rFonts w:hint="eastAsia"/>
                <w:szCs w:val="21"/>
                <w:u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1.3.2</w:t>
            </w:r>
          </w:p>
        </w:tc>
        <w:tc>
          <w:tcPr>
            <w:tcW w:w="3392" w:type="dxa"/>
            <w:vAlign w:val="center"/>
          </w:tcPr>
          <w:p>
            <w:pPr>
              <w:rPr>
                <w:rFonts w:hint="default" w:eastAsia="宋体"/>
                <w:szCs w:val="21"/>
                <w:lang w:val="en-US" w:eastAsia="zh-CN"/>
              </w:rPr>
            </w:pPr>
            <w:r>
              <w:rPr>
                <w:rFonts w:hint="eastAsia"/>
                <w:szCs w:val="21"/>
                <w:lang w:val="en-US" w:eastAsia="zh-CN"/>
              </w:rPr>
              <w:t>交货期或交付使用期</w:t>
            </w:r>
          </w:p>
        </w:tc>
        <w:tc>
          <w:tcPr>
            <w:tcW w:w="5119" w:type="dxa"/>
            <w:vAlign w:val="center"/>
          </w:tcPr>
          <w:p>
            <w:pPr>
              <w:rPr>
                <w:szCs w:val="21"/>
              </w:rPr>
            </w:pPr>
            <w:r>
              <w:rPr>
                <w:rFonts w:hint="eastAsia"/>
                <w:szCs w:val="21"/>
                <w:lang w:val="en-US" w:eastAsia="zh-CN"/>
              </w:rPr>
              <w:t>中标人</w:t>
            </w:r>
            <w:r>
              <w:rPr>
                <w:rFonts w:hint="eastAsia"/>
                <w:szCs w:val="21"/>
              </w:rPr>
              <w:t>在接到</w:t>
            </w:r>
            <w:r>
              <w:rPr>
                <w:rFonts w:hint="eastAsia"/>
                <w:szCs w:val="21"/>
                <w:lang w:val="en-US" w:eastAsia="zh-CN"/>
              </w:rPr>
              <w:t>需</w:t>
            </w:r>
            <w:r>
              <w:rPr>
                <w:rFonts w:hint="eastAsia"/>
                <w:szCs w:val="21"/>
              </w:rPr>
              <w:t>方供货通知后</w:t>
            </w:r>
            <w:r>
              <w:rPr>
                <w:rFonts w:hint="eastAsia"/>
                <w:szCs w:val="21"/>
                <w:lang w:val="en-US" w:eastAsia="zh-CN"/>
              </w:rPr>
              <w:t>2</w:t>
            </w:r>
            <w:r>
              <w:rPr>
                <w:rFonts w:hint="eastAsia"/>
                <w:szCs w:val="21"/>
              </w:rPr>
              <w:t>个工作日之内供货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1.3.3</w:t>
            </w:r>
          </w:p>
        </w:tc>
        <w:tc>
          <w:tcPr>
            <w:tcW w:w="3392" w:type="dxa"/>
            <w:vAlign w:val="center"/>
          </w:tcPr>
          <w:p>
            <w:pPr>
              <w:rPr>
                <w:rFonts w:hint="default" w:eastAsia="宋体"/>
                <w:szCs w:val="21"/>
                <w:lang w:val="en-US" w:eastAsia="zh-CN"/>
              </w:rPr>
            </w:pPr>
            <w:r>
              <w:rPr>
                <w:rFonts w:hint="eastAsia"/>
                <w:szCs w:val="21"/>
                <w:lang w:val="en-US" w:eastAsia="zh-CN"/>
              </w:rPr>
              <w:t>交货或服务地点</w:t>
            </w:r>
          </w:p>
        </w:tc>
        <w:tc>
          <w:tcPr>
            <w:tcW w:w="5119" w:type="dxa"/>
            <w:vAlign w:val="center"/>
          </w:tcPr>
          <w:p>
            <w:pPr>
              <w:rPr>
                <w:szCs w:val="21"/>
              </w:rPr>
            </w:pPr>
            <w:r>
              <w:rPr>
                <w:rFonts w:hint="eastAsia"/>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1.3.4</w:t>
            </w:r>
          </w:p>
        </w:tc>
        <w:tc>
          <w:tcPr>
            <w:tcW w:w="3392" w:type="dxa"/>
            <w:vAlign w:val="center"/>
          </w:tcPr>
          <w:p>
            <w:pPr>
              <w:rPr>
                <w:rFonts w:hint="default" w:eastAsia="宋体"/>
                <w:szCs w:val="21"/>
                <w:lang w:val="en-US" w:eastAsia="zh-CN"/>
              </w:rPr>
            </w:pPr>
            <w:r>
              <w:rPr>
                <w:rFonts w:hint="eastAsia"/>
                <w:szCs w:val="21"/>
                <w:lang w:val="en-US" w:eastAsia="zh-CN"/>
              </w:rPr>
              <w:t>质量要求及验收标准</w:t>
            </w:r>
          </w:p>
        </w:tc>
        <w:tc>
          <w:tcPr>
            <w:tcW w:w="5119" w:type="dxa"/>
            <w:vAlign w:val="center"/>
          </w:tcPr>
          <w:p>
            <w:pPr>
              <w:rPr>
                <w:rFonts w:hint="eastAsia"/>
                <w:szCs w:val="21"/>
              </w:rPr>
            </w:pPr>
            <w:r>
              <w:rPr>
                <w:rFonts w:hint="eastAsia"/>
                <w:szCs w:val="21"/>
              </w:rPr>
              <w:t>相关质量验收规范合格标准，本工程招标人或项目所在地质量技术监督部门或招标人委托的第三方检测机构可能对中标人的所供产品进行抽检，如抽检不合格导致的费用损失由中标人承担，所有返工、拆除、更换等费用均由中标人承担，给招标人造成损失的，招标人将依</w:t>
            </w:r>
          </w:p>
          <w:p>
            <w:pPr>
              <w:rPr>
                <w:rFonts w:hint="eastAsia"/>
                <w:szCs w:val="21"/>
              </w:rPr>
            </w:pPr>
            <w:r>
              <w:rPr>
                <w:rFonts w:hint="eastAsia"/>
                <w:szCs w:val="21"/>
              </w:rPr>
              <w:t>法追偿。</w:t>
            </w:r>
          </w:p>
          <w:p>
            <w:pPr>
              <w:rPr>
                <w:szCs w:val="21"/>
              </w:rPr>
            </w:pPr>
            <w:r>
              <w:rPr>
                <w:rFonts w:hint="eastAsia"/>
                <w:szCs w:val="21"/>
              </w:rPr>
              <w:t>验收执行标准：国家或行业最新标准、招标文件各项技术参数指标、投标文件投标承诺所达到的各项技术参数指标（招标文件、投标文件、国家或行业标准不一致处以最高标准执行）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1.4.1</w:t>
            </w:r>
          </w:p>
        </w:tc>
        <w:tc>
          <w:tcPr>
            <w:tcW w:w="3392" w:type="dxa"/>
            <w:vAlign w:val="center"/>
          </w:tcPr>
          <w:p>
            <w:pPr>
              <w:rPr>
                <w:szCs w:val="21"/>
              </w:rPr>
            </w:pPr>
            <w:r>
              <w:rPr>
                <w:szCs w:val="21"/>
              </w:rPr>
              <w:t>投标人资格要求</w:t>
            </w:r>
          </w:p>
        </w:tc>
        <w:tc>
          <w:tcPr>
            <w:tcW w:w="5119" w:type="dxa"/>
            <w:vAlign w:val="center"/>
          </w:tcPr>
          <w:p>
            <w:pPr>
              <w:rPr>
                <w:szCs w:val="21"/>
              </w:rPr>
            </w:pPr>
            <w:r>
              <w:rPr>
                <w:rFonts w:hint="eastAsia"/>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17" w:type="dxa"/>
            <w:vAlign w:val="center"/>
          </w:tcPr>
          <w:p>
            <w:pPr>
              <w:jc w:val="center"/>
              <w:rPr>
                <w:szCs w:val="21"/>
              </w:rPr>
            </w:pPr>
            <w:r>
              <w:rPr>
                <w:szCs w:val="21"/>
              </w:rPr>
              <w:t>1.4.2</w:t>
            </w:r>
          </w:p>
        </w:tc>
        <w:tc>
          <w:tcPr>
            <w:tcW w:w="3392" w:type="dxa"/>
            <w:vAlign w:val="center"/>
          </w:tcPr>
          <w:p>
            <w:pPr>
              <w:rPr>
                <w:szCs w:val="21"/>
              </w:rPr>
            </w:pPr>
            <w:r>
              <w:rPr>
                <w:szCs w:val="21"/>
              </w:rPr>
              <w:t>是否接受联合体投标</w:t>
            </w:r>
          </w:p>
        </w:tc>
        <w:tc>
          <w:tcPr>
            <w:tcW w:w="5119" w:type="dxa"/>
            <w:vAlign w:val="center"/>
          </w:tcPr>
          <w:p>
            <w:pPr>
              <w:rPr>
                <w:kern w:val="0"/>
                <w:szCs w:val="21"/>
              </w:rPr>
            </w:pPr>
            <w:r>
              <w:rPr>
                <w:rFonts w:hint="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17" w:type="dxa"/>
            <w:vAlign w:val="center"/>
          </w:tcPr>
          <w:p>
            <w:pPr>
              <w:jc w:val="center"/>
              <w:rPr>
                <w:rFonts w:ascii="宋体" w:hAnsi="宋体"/>
                <w:b/>
                <w:szCs w:val="21"/>
              </w:rPr>
            </w:pPr>
            <w:r>
              <w:rPr>
                <w:rFonts w:hint="eastAsia" w:ascii="宋体" w:hAnsi="宋体"/>
                <w:szCs w:val="21"/>
              </w:rPr>
              <w:t>1.9.1</w:t>
            </w:r>
          </w:p>
        </w:tc>
        <w:tc>
          <w:tcPr>
            <w:tcW w:w="3392" w:type="dxa"/>
            <w:vAlign w:val="center"/>
          </w:tcPr>
          <w:p>
            <w:pPr>
              <w:rPr>
                <w:rFonts w:ascii="宋体" w:hAnsi="宋体"/>
                <w:b/>
                <w:szCs w:val="21"/>
              </w:rPr>
            </w:pPr>
            <w:r>
              <w:rPr>
                <w:rFonts w:hint="eastAsia" w:ascii="宋体" w:cs="宋体"/>
                <w:kern w:val="0"/>
                <w:szCs w:val="21"/>
              </w:rPr>
              <w:t>踏勘现场</w:t>
            </w:r>
          </w:p>
        </w:tc>
        <w:tc>
          <w:tcPr>
            <w:tcW w:w="5119" w:type="dxa"/>
            <w:vAlign w:val="center"/>
          </w:tcPr>
          <w:p>
            <w:pPr>
              <w:rPr>
                <w:rFonts w:ascii="宋体" w:hAnsi="宋体"/>
                <w:b/>
                <w:szCs w:val="21"/>
                <w:u w:val="single"/>
              </w:rPr>
            </w:pPr>
            <w:r>
              <w:rPr>
                <w:rFonts w:hint="eastAsia"/>
                <w:color w:val="000000"/>
                <w:szCs w:val="21"/>
              </w:rPr>
              <w:t>投标人自行踏勘现场，招标人不组织集中踏勘</w:t>
            </w:r>
            <w:r>
              <w:rPr>
                <w:rFonts w:hint="eastAsia"/>
                <w:szCs w:val="21"/>
              </w:rPr>
              <w:t xml:space="preserve"> </w:t>
            </w:r>
            <w:r>
              <w:rPr>
                <w:rFonts w:hint="eastAsia" w:ascii="宋体" w:hAnsi="宋体" w:cs="宋体"/>
                <w:kern w:val="0"/>
                <w:szCs w:val="21"/>
              </w:rPr>
              <w:t xml:space="preserve">  </w:t>
            </w:r>
            <w:r>
              <w:rPr>
                <w:rFonts w:hint="eastAsia" w:ascii="宋体" w:hAnsi="TimesNewRomanPSMT"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917" w:type="dxa"/>
            <w:vAlign w:val="center"/>
          </w:tcPr>
          <w:p>
            <w:pPr>
              <w:jc w:val="center"/>
              <w:rPr>
                <w:szCs w:val="21"/>
              </w:rPr>
            </w:pPr>
            <w:r>
              <w:rPr>
                <w:szCs w:val="21"/>
              </w:rPr>
              <w:t>1.10</w:t>
            </w:r>
          </w:p>
        </w:tc>
        <w:tc>
          <w:tcPr>
            <w:tcW w:w="3392" w:type="dxa"/>
            <w:vAlign w:val="center"/>
          </w:tcPr>
          <w:p>
            <w:pPr>
              <w:rPr>
                <w:szCs w:val="21"/>
              </w:rPr>
            </w:pPr>
            <w:r>
              <w:rPr>
                <w:szCs w:val="21"/>
              </w:rPr>
              <w:t>投标预备会</w:t>
            </w:r>
          </w:p>
        </w:tc>
        <w:tc>
          <w:tcPr>
            <w:tcW w:w="5119" w:type="dxa"/>
            <w:vAlign w:val="center"/>
          </w:tcPr>
          <w:p>
            <w:pPr>
              <w:rPr>
                <w:szCs w:val="21"/>
              </w:rPr>
            </w:pPr>
            <w:r>
              <w:rPr>
                <w:rFonts w:ascii="宋体" w:hAnsi="宋体"/>
                <w:b/>
                <w:kern w:val="0"/>
                <w:szCs w:val="21"/>
                <w:bdr w:val="single" w:color="auto" w:sz="4" w:space="0"/>
              </w:rPr>
              <w:t>√</w:t>
            </w:r>
            <w:r>
              <w:rPr>
                <w:szCs w:val="21"/>
              </w:rPr>
              <w:t>不召开</w:t>
            </w:r>
          </w:p>
          <w:p>
            <w:pPr>
              <w:rPr>
                <w:szCs w:val="21"/>
              </w:rPr>
            </w:pPr>
            <w:r>
              <w:rPr>
                <w:rFonts w:ascii="宋体" w:hAnsi="宋体"/>
                <w:kern w:val="0"/>
                <w:szCs w:val="21"/>
              </w:rPr>
              <w:t>□</w:t>
            </w:r>
            <w:r>
              <w:rPr>
                <w:szCs w:val="21"/>
              </w:rPr>
              <w:t>召开，召开时间：</w:t>
            </w:r>
          </w:p>
          <w:p>
            <w:pPr>
              <w:ind w:firstLine="840" w:firstLineChars="400"/>
              <w:rPr>
                <w:szCs w:val="21"/>
              </w:rPr>
            </w:pPr>
            <w:r>
              <w:rPr>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917" w:type="dxa"/>
            <w:vAlign w:val="center"/>
          </w:tcPr>
          <w:p>
            <w:pPr>
              <w:jc w:val="center"/>
              <w:rPr>
                <w:szCs w:val="21"/>
                <w:highlight w:val="none"/>
              </w:rPr>
            </w:pPr>
            <w:r>
              <w:rPr>
                <w:szCs w:val="21"/>
                <w:highlight w:val="none"/>
              </w:rPr>
              <w:t>1.11</w:t>
            </w:r>
          </w:p>
        </w:tc>
        <w:tc>
          <w:tcPr>
            <w:tcW w:w="3392" w:type="dxa"/>
            <w:vAlign w:val="center"/>
          </w:tcPr>
          <w:p>
            <w:pPr>
              <w:rPr>
                <w:szCs w:val="21"/>
                <w:highlight w:val="none"/>
              </w:rPr>
            </w:pPr>
            <w:r>
              <w:rPr>
                <w:szCs w:val="21"/>
                <w:highlight w:val="none"/>
              </w:rPr>
              <w:t>偏离</w:t>
            </w:r>
          </w:p>
        </w:tc>
        <w:tc>
          <w:tcPr>
            <w:tcW w:w="5119" w:type="dxa"/>
            <w:vAlign w:val="center"/>
          </w:tcPr>
          <w:p>
            <w:pPr>
              <w:rPr>
                <w:szCs w:val="21"/>
              </w:rPr>
            </w:pPr>
            <w:r>
              <w:rPr>
                <w:rFonts w:ascii="宋体" w:hAnsi="宋体"/>
                <w:b/>
                <w:kern w:val="0"/>
                <w:szCs w:val="21"/>
                <w:bdr w:val="single" w:color="auto" w:sz="4" w:space="0"/>
              </w:rPr>
              <w:t>√</w:t>
            </w:r>
            <w:r>
              <w:rPr>
                <w:szCs w:val="21"/>
              </w:rPr>
              <w:t>不允许</w:t>
            </w:r>
          </w:p>
          <w:p>
            <w:pPr>
              <w:rPr>
                <w:szCs w:val="21"/>
              </w:rPr>
            </w:pPr>
            <w:r>
              <w:rPr>
                <w:rFonts w:ascii="宋体" w:hAnsi="宋体"/>
                <w:kern w:val="0"/>
                <w:szCs w:val="21"/>
              </w:rPr>
              <w:t>□</w:t>
            </w:r>
            <w:r>
              <w:rPr>
                <w:szCs w:val="21"/>
              </w:rPr>
              <w:t>允许</w:t>
            </w:r>
            <w:r>
              <w:rPr>
                <w:rFonts w:hint="eastAsia"/>
                <w:szCs w:val="21"/>
              </w:rPr>
              <w:t xml:space="preserve">      </w:t>
            </w:r>
            <w:r>
              <w:rPr>
                <w:szCs w:val="21"/>
              </w:rPr>
              <w:t>允许偏离幅度：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17" w:type="dxa"/>
            <w:vAlign w:val="center"/>
          </w:tcPr>
          <w:p>
            <w:pPr>
              <w:jc w:val="center"/>
              <w:rPr>
                <w:rFonts w:ascii="宋体" w:hAnsi="宋体" w:cs="宋体"/>
                <w:szCs w:val="21"/>
              </w:rPr>
            </w:pPr>
            <w:r>
              <w:rPr>
                <w:rFonts w:hint="eastAsia"/>
                <w:szCs w:val="21"/>
              </w:rPr>
              <w:t>2.1.1</w:t>
            </w:r>
          </w:p>
        </w:tc>
        <w:tc>
          <w:tcPr>
            <w:tcW w:w="3392" w:type="dxa"/>
            <w:vAlign w:val="center"/>
          </w:tcPr>
          <w:p>
            <w:pPr>
              <w:jc w:val="left"/>
              <w:rPr>
                <w:rFonts w:ascii="宋体" w:hAnsi="宋体" w:cs="宋体"/>
                <w:kern w:val="0"/>
                <w:szCs w:val="21"/>
              </w:rPr>
            </w:pPr>
            <w:r>
              <w:rPr>
                <w:rFonts w:hint="eastAsia" w:ascii="宋体" w:hAnsi="宋体" w:cs="宋体"/>
                <w:kern w:val="0"/>
                <w:szCs w:val="21"/>
              </w:rPr>
              <w:t>构成招标文件的其它材料</w:t>
            </w:r>
          </w:p>
        </w:tc>
        <w:tc>
          <w:tcPr>
            <w:tcW w:w="5119" w:type="dxa"/>
            <w:vAlign w:val="center"/>
          </w:tcPr>
          <w:p>
            <w:pPr>
              <w:rPr>
                <w:rFonts w:ascii="宋体" w:hAnsi="宋体"/>
                <w:kern w:val="0"/>
                <w:szCs w:val="21"/>
              </w:rPr>
            </w:pPr>
            <w:r>
              <w:rPr>
                <w:rFonts w:hint="eastAsia" w:ascii="宋体" w:hAnsi="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917" w:type="dxa"/>
            <w:vAlign w:val="center"/>
          </w:tcPr>
          <w:p>
            <w:pPr>
              <w:jc w:val="center"/>
              <w:rPr>
                <w:szCs w:val="21"/>
              </w:rPr>
            </w:pPr>
            <w:r>
              <w:rPr>
                <w:szCs w:val="21"/>
              </w:rPr>
              <w:t>2.2.1</w:t>
            </w:r>
          </w:p>
        </w:tc>
        <w:tc>
          <w:tcPr>
            <w:tcW w:w="3392" w:type="dxa"/>
            <w:vAlign w:val="center"/>
          </w:tcPr>
          <w:p>
            <w:pPr>
              <w:rPr>
                <w:rFonts w:ascii="宋体" w:hAnsi="宋体" w:cs="宋体"/>
                <w:kern w:val="0"/>
                <w:szCs w:val="21"/>
              </w:rPr>
            </w:pPr>
            <w:r>
              <w:rPr>
                <w:rFonts w:hint="eastAsia" w:ascii="宋体" w:hAnsi="宋体" w:cs="宋体"/>
                <w:kern w:val="0"/>
                <w:szCs w:val="21"/>
              </w:rPr>
              <w:t>要求招标人澄清招标文件截至时间</w:t>
            </w:r>
          </w:p>
        </w:tc>
        <w:tc>
          <w:tcPr>
            <w:tcW w:w="5119" w:type="dxa"/>
            <w:vAlign w:val="center"/>
          </w:tcPr>
          <w:p>
            <w:pPr>
              <w:rPr>
                <w:rFonts w:hint="default" w:ascii="宋体" w:hAnsi="宋体" w:eastAsia="宋体" w:cs="宋体"/>
                <w:kern w:val="0"/>
                <w:szCs w:val="21"/>
                <w:lang w:val="en-US" w:eastAsia="zh-CN"/>
              </w:rPr>
            </w:pPr>
            <w:r>
              <w:rPr>
                <w:rFonts w:hint="eastAsia" w:ascii="宋体" w:hAnsi="宋体" w:cs="宋体"/>
                <w:kern w:val="0"/>
                <w:szCs w:val="21"/>
                <w:lang w:val="en-US" w:eastAsia="zh-CN"/>
              </w:rPr>
              <w:t>2019年6月27日12时前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17" w:type="dxa"/>
            <w:vAlign w:val="center"/>
          </w:tcPr>
          <w:p>
            <w:pPr>
              <w:jc w:val="center"/>
              <w:rPr>
                <w:szCs w:val="21"/>
              </w:rPr>
            </w:pPr>
            <w:r>
              <w:rPr>
                <w:szCs w:val="21"/>
              </w:rPr>
              <w:t>2.2.3</w:t>
            </w:r>
          </w:p>
        </w:tc>
        <w:tc>
          <w:tcPr>
            <w:tcW w:w="3392" w:type="dxa"/>
            <w:vAlign w:val="center"/>
          </w:tcPr>
          <w:p>
            <w:pPr>
              <w:rPr>
                <w:rFonts w:ascii="宋体" w:hAnsi="宋体" w:cs="宋体"/>
                <w:kern w:val="0"/>
                <w:szCs w:val="21"/>
              </w:rPr>
            </w:pPr>
            <w:r>
              <w:rPr>
                <w:rFonts w:ascii="宋体" w:hAnsi="宋体" w:cs="宋体"/>
                <w:kern w:val="0"/>
                <w:szCs w:val="21"/>
              </w:rPr>
              <w:t>投标人确认收到招标文件澄清时间</w:t>
            </w:r>
          </w:p>
        </w:tc>
        <w:tc>
          <w:tcPr>
            <w:tcW w:w="5119" w:type="dxa"/>
            <w:vAlign w:val="center"/>
          </w:tcPr>
          <w:p>
            <w:pPr>
              <w:rPr>
                <w:rFonts w:ascii="宋体" w:hAnsi="宋体" w:cs="宋体"/>
                <w:kern w:val="0"/>
                <w:szCs w:val="21"/>
              </w:rPr>
            </w:pPr>
            <w:r>
              <w:rPr>
                <w:rFonts w:hint="eastAsia" w:ascii="宋体" w:hAnsi="宋体" w:cs="宋体"/>
                <w:kern w:val="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17" w:type="dxa"/>
            <w:vAlign w:val="center"/>
          </w:tcPr>
          <w:p>
            <w:pPr>
              <w:jc w:val="center"/>
              <w:rPr>
                <w:szCs w:val="21"/>
              </w:rPr>
            </w:pPr>
            <w:r>
              <w:rPr>
                <w:szCs w:val="21"/>
              </w:rPr>
              <w:t>2.3.2</w:t>
            </w:r>
          </w:p>
        </w:tc>
        <w:tc>
          <w:tcPr>
            <w:tcW w:w="3392" w:type="dxa"/>
            <w:vAlign w:val="center"/>
          </w:tcPr>
          <w:p>
            <w:pPr>
              <w:rPr>
                <w:rFonts w:ascii="宋体" w:hAnsi="宋体" w:cs="宋体"/>
                <w:kern w:val="0"/>
                <w:szCs w:val="21"/>
              </w:rPr>
            </w:pPr>
            <w:r>
              <w:rPr>
                <w:rFonts w:ascii="宋体" w:hAnsi="宋体" w:cs="宋体"/>
                <w:kern w:val="0"/>
                <w:szCs w:val="21"/>
              </w:rPr>
              <w:t>投标人确认收到招标文件修改时间</w:t>
            </w:r>
          </w:p>
        </w:tc>
        <w:tc>
          <w:tcPr>
            <w:tcW w:w="5119" w:type="dxa"/>
            <w:vAlign w:val="center"/>
          </w:tcPr>
          <w:p>
            <w:pPr>
              <w:rPr>
                <w:rFonts w:ascii="宋体" w:hAnsi="宋体" w:cs="宋体"/>
                <w:kern w:val="0"/>
                <w:szCs w:val="21"/>
              </w:rPr>
            </w:pPr>
            <w:r>
              <w:rPr>
                <w:rFonts w:hint="eastAsia" w:ascii="宋体" w:hAnsi="宋体" w:cs="宋体"/>
                <w:kern w:val="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17" w:type="dxa"/>
            <w:vAlign w:val="center"/>
          </w:tcPr>
          <w:p>
            <w:pPr>
              <w:jc w:val="center"/>
              <w:rPr>
                <w:szCs w:val="21"/>
              </w:rPr>
            </w:pPr>
            <w:r>
              <w:rPr>
                <w:rFonts w:hint="eastAsia"/>
                <w:szCs w:val="21"/>
              </w:rPr>
              <w:t>3.1.1</w:t>
            </w:r>
          </w:p>
        </w:tc>
        <w:tc>
          <w:tcPr>
            <w:tcW w:w="3392" w:type="dxa"/>
            <w:vAlign w:val="center"/>
          </w:tcPr>
          <w:p>
            <w:pPr>
              <w:rPr>
                <w:szCs w:val="21"/>
              </w:rPr>
            </w:pPr>
            <w:r>
              <w:rPr>
                <w:rFonts w:hint="eastAsia"/>
                <w:szCs w:val="21"/>
              </w:rPr>
              <w:t>投标文件的组成</w:t>
            </w:r>
          </w:p>
        </w:tc>
        <w:tc>
          <w:tcPr>
            <w:tcW w:w="5119" w:type="dxa"/>
            <w:vAlign w:val="center"/>
          </w:tcPr>
          <w:p>
            <w:pPr>
              <w:rPr>
                <w:rFonts w:ascii="宋体" w:hAnsi="宋体" w:cs="宋体"/>
                <w:szCs w:val="21"/>
              </w:rPr>
            </w:pPr>
            <w:r>
              <w:rPr>
                <w:rFonts w:hint="eastAsia" w:ascii="宋体" w:hAnsi="宋体" w:cs="宋体"/>
                <w:szCs w:val="21"/>
              </w:rPr>
              <w:t>投标文件一般包括资信文件、商务文件、技术文件等，详见投标人须知 3.1 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rFonts w:hint="eastAsia"/>
                <w:szCs w:val="21"/>
              </w:rPr>
              <w:t>3.1.3</w:t>
            </w:r>
          </w:p>
        </w:tc>
        <w:tc>
          <w:tcPr>
            <w:tcW w:w="3392" w:type="dxa"/>
            <w:vAlign w:val="center"/>
          </w:tcPr>
          <w:p>
            <w:pPr>
              <w:rPr>
                <w:szCs w:val="21"/>
              </w:rPr>
            </w:pPr>
            <w:r>
              <w:rPr>
                <w:rFonts w:hint="eastAsia"/>
                <w:szCs w:val="21"/>
              </w:rPr>
              <w:t>须提交核验的原件材料</w:t>
            </w:r>
          </w:p>
        </w:tc>
        <w:tc>
          <w:tcPr>
            <w:tcW w:w="5119" w:type="dxa"/>
            <w:vAlign w:val="center"/>
          </w:tcPr>
          <w:p>
            <w:pPr>
              <w:rPr>
                <w:szCs w:val="21"/>
              </w:rPr>
            </w:pPr>
            <w:r>
              <w:rPr>
                <w:rFonts w:hint="eastAsia"/>
                <w:szCs w:val="21"/>
              </w:rPr>
              <w:t>详见本招标文件3.1.3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3.2.</w:t>
            </w:r>
            <w:r>
              <w:rPr>
                <w:rFonts w:hint="eastAsia"/>
                <w:szCs w:val="21"/>
              </w:rPr>
              <w:t>2</w:t>
            </w:r>
          </w:p>
        </w:tc>
        <w:tc>
          <w:tcPr>
            <w:tcW w:w="3392" w:type="dxa"/>
            <w:vAlign w:val="center"/>
          </w:tcPr>
          <w:p>
            <w:pPr>
              <w:jc w:val="left"/>
              <w:rPr>
                <w:szCs w:val="21"/>
              </w:rPr>
            </w:pPr>
            <w:r>
              <w:rPr>
                <w:szCs w:val="21"/>
              </w:rPr>
              <w:t>投标报价</w:t>
            </w:r>
            <w:r>
              <w:rPr>
                <w:rFonts w:hint="eastAsia"/>
                <w:szCs w:val="21"/>
              </w:rPr>
              <w:t>要求</w:t>
            </w:r>
          </w:p>
        </w:tc>
        <w:tc>
          <w:tcPr>
            <w:tcW w:w="5119" w:type="dxa"/>
            <w:vAlign w:val="center"/>
          </w:tcPr>
          <w:p>
            <w:pPr>
              <w:pStyle w:val="26"/>
              <w:snapToGrid w:val="0"/>
              <w:jc w:val="left"/>
              <w:rPr>
                <w:rFonts w:ascii="Times New Roman" w:hAnsi="Times New Roman"/>
                <w:sz w:val="21"/>
                <w:szCs w:val="21"/>
              </w:rPr>
            </w:pPr>
            <w:r>
              <w:rPr>
                <w:rFonts w:hint="eastAsia"/>
                <w:sz w:val="21"/>
                <w:szCs w:val="21"/>
              </w:rPr>
              <w:t>投标报价所报价格是履行合同的最终结算</w:t>
            </w:r>
            <w:r>
              <w:rPr>
                <w:rFonts w:hint="eastAsia"/>
                <w:sz w:val="21"/>
                <w:szCs w:val="21"/>
                <w:lang w:val="en-US" w:eastAsia="zh-CN"/>
              </w:rPr>
              <w:t>单</w:t>
            </w:r>
            <w:r>
              <w:rPr>
                <w:rFonts w:hint="eastAsia"/>
                <w:sz w:val="21"/>
                <w:szCs w:val="21"/>
              </w:rPr>
              <w:t>价，应包括完成本项目的硬件及软件产品（包括项目开发实施过程中所需的第三方产品（硬件、中间件等内容）以及乙方自有产品的报价）、开发实施、数据采集与加工、实现本项目功能所需要的第三方软件及接口升级改造、劳务、制作、维护、升级、报验、人员、交通、食宿、加班、人员签证、工作许可证、验收、检测、实施期间所必须的货款、加工制造、标准附件、备品备件、专用工具、包装、运输、装卸、安装、调试、保修、保险、利润、税金、货到就位（按招标人要求运送、堆放）、风险费、培训、售后服务、资金成本、招标代理费等所需的为完成本项目全部费用的价格体现。投标所报价格为最终结算价，因特殊原因并经买卖双方协商同意，投标人不得再要求追加任何费用。同时，除非合同条款中另有规定，否则，投标单位所报单价在合同实施期间不因市场变化因素而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szCs w:val="21"/>
              </w:rPr>
            </w:pPr>
            <w:r>
              <w:rPr>
                <w:szCs w:val="21"/>
              </w:rPr>
              <w:t>3.2.3</w:t>
            </w:r>
          </w:p>
        </w:tc>
        <w:tc>
          <w:tcPr>
            <w:tcW w:w="3392" w:type="dxa"/>
            <w:vAlign w:val="center"/>
          </w:tcPr>
          <w:p>
            <w:pPr>
              <w:rPr>
                <w:rFonts w:hint="default" w:eastAsia="宋体"/>
                <w:szCs w:val="21"/>
                <w:lang w:val="en-US" w:eastAsia="zh-CN"/>
              </w:rPr>
            </w:pPr>
            <w:r>
              <w:rPr>
                <w:rFonts w:hint="eastAsia"/>
                <w:szCs w:val="21"/>
                <w:lang w:val="en-US" w:eastAsia="zh-CN"/>
              </w:rPr>
              <w:t>年度预算及单价总额控制价</w:t>
            </w:r>
          </w:p>
        </w:tc>
        <w:tc>
          <w:tcPr>
            <w:tcW w:w="5119" w:type="dxa"/>
            <w:vAlign w:val="center"/>
          </w:tcPr>
          <w:p>
            <w:pPr>
              <w:rPr>
                <w:rFonts w:hint="default" w:eastAsia="宋体"/>
                <w:szCs w:val="21"/>
                <w:u w:val="single"/>
                <w:lang w:val="en-US" w:eastAsia="zh-CN"/>
              </w:rPr>
            </w:pPr>
            <w:r>
              <w:rPr>
                <w:rFonts w:hint="eastAsia"/>
                <w:szCs w:val="21"/>
                <w:u w:val="none"/>
                <w:lang w:val="en-US" w:eastAsia="zh-CN"/>
              </w:rPr>
              <w:t>年度预算总额</w:t>
            </w:r>
            <w:r>
              <w:rPr>
                <w:rFonts w:hint="eastAsia"/>
                <w:szCs w:val="21"/>
                <w:u w:val="single"/>
                <w:lang w:val="en-US" w:eastAsia="zh-CN"/>
              </w:rPr>
              <w:t xml:space="preserve"> 18</w:t>
            </w:r>
            <w:r>
              <w:rPr>
                <w:rFonts w:hint="eastAsia"/>
                <w:szCs w:val="21"/>
                <w:u w:val="single"/>
              </w:rPr>
              <w:t>万元</w:t>
            </w:r>
            <w:r>
              <w:rPr>
                <w:rFonts w:hint="eastAsia"/>
                <w:szCs w:val="21"/>
                <w:u w:val="single"/>
                <w:lang w:val="en-US" w:eastAsia="zh-CN"/>
              </w:rPr>
              <w:t xml:space="preserve"> </w:t>
            </w:r>
            <w:r>
              <w:rPr>
                <w:rFonts w:hint="eastAsia"/>
                <w:szCs w:val="21"/>
                <w:lang w:eastAsia="zh-CN"/>
              </w:rPr>
              <w:t>，</w:t>
            </w:r>
            <w:r>
              <w:rPr>
                <w:rFonts w:hint="eastAsia"/>
                <w:szCs w:val="21"/>
                <w:lang w:val="en-US" w:eastAsia="zh-CN"/>
              </w:rPr>
              <w:t>单价总额控制价</w:t>
            </w:r>
            <w:r>
              <w:rPr>
                <w:rFonts w:hint="eastAsia"/>
                <w:szCs w:val="21"/>
                <w:u w:val="single"/>
                <w:lang w:val="en-US" w:eastAsia="zh-CN"/>
              </w:rPr>
              <w:t xml:space="preserve"> 865元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17" w:type="dxa"/>
            <w:vAlign w:val="center"/>
          </w:tcPr>
          <w:p>
            <w:pPr>
              <w:jc w:val="center"/>
              <w:rPr>
                <w:szCs w:val="21"/>
              </w:rPr>
            </w:pPr>
            <w:r>
              <w:rPr>
                <w:szCs w:val="21"/>
              </w:rPr>
              <w:t>3.3.1</w:t>
            </w:r>
          </w:p>
        </w:tc>
        <w:tc>
          <w:tcPr>
            <w:tcW w:w="3392" w:type="dxa"/>
            <w:vAlign w:val="center"/>
          </w:tcPr>
          <w:p>
            <w:pPr>
              <w:rPr>
                <w:szCs w:val="21"/>
              </w:rPr>
            </w:pPr>
            <w:r>
              <w:rPr>
                <w:szCs w:val="21"/>
              </w:rPr>
              <w:t>投标有效期</w:t>
            </w:r>
          </w:p>
        </w:tc>
        <w:tc>
          <w:tcPr>
            <w:tcW w:w="5119" w:type="dxa"/>
            <w:vAlign w:val="center"/>
          </w:tcPr>
          <w:p>
            <w:pPr>
              <w:rPr>
                <w:szCs w:val="21"/>
              </w:rPr>
            </w:pPr>
            <w:r>
              <w:rPr>
                <w:rFonts w:hint="eastAsia"/>
                <w:szCs w:val="21"/>
                <w:u w:val="single"/>
                <w:lang w:val="zh-CN"/>
              </w:rPr>
              <w:t>60</w:t>
            </w:r>
            <w:r>
              <w:rPr>
                <w:szCs w:val="21"/>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17" w:type="dxa"/>
            <w:vAlign w:val="center"/>
          </w:tcPr>
          <w:p>
            <w:pPr>
              <w:jc w:val="center"/>
              <w:rPr>
                <w:szCs w:val="21"/>
              </w:rPr>
            </w:pPr>
            <w:r>
              <w:rPr>
                <w:szCs w:val="21"/>
              </w:rPr>
              <w:t>3.4.1</w:t>
            </w:r>
          </w:p>
        </w:tc>
        <w:tc>
          <w:tcPr>
            <w:tcW w:w="3392" w:type="dxa"/>
            <w:vAlign w:val="center"/>
          </w:tcPr>
          <w:p>
            <w:pPr>
              <w:rPr>
                <w:szCs w:val="21"/>
              </w:rPr>
            </w:pPr>
            <w:r>
              <w:rPr>
                <w:szCs w:val="21"/>
              </w:rPr>
              <w:t>投标保证金</w:t>
            </w:r>
          </w:p>
        </w:tc>
        <w:tc>
          <w:tcPr>
            <w:tcW w:w="5119" w:type="dxa"/>
            <w:vAlign w:val="center"/>
          </w:tcPr>
          <w:p>
            <w:pPr>
              <w:rPr>
                <w:szCs w:val="21"/>
                <w:u w:val="single"/>
              </w:rPr>
            </w:pPr>
            <w:r>
              <w:rPr>
                <w:rFonts w:hint="eastAsia"/>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17" w:type="dxa"/>
            <w:vAlign w:val="center"/>
          </w:tcPr>
          <w:p>
            <w:pPr>
              <w:jc w:val="center"/>
              <w:rPr>
                <w:szCs w:val="21"/>
              </w:rPr>
            </w:pPr>
            <w:r>
              <w:rPr>
                <w:rFonts w:hint="eastAsia"/>
                <w:szCs w:val="21"/>
              </w:rPr>
              <w:t>3.5</w:t>
            </w:r>
          </w:p>
        </w:tc>
        <w:tc>
          <w:tcPr>
            <w:tcW w:w="3392" w:type="dxa"/>
            <w:vAlign w:val="center"/>
          </w:tcPr>
          <w:p>
            <w:pPr>
              <w:rPr>
                <w:szCs w:val="21"/>
              </w:rPr>
            </w:pPr>
            <w:r>
              <w:rPr>
                <w:szCs w:val="21"/>
              </w:rPr>
              <w:t>是否允许递交备选投标方案</w:t>
            </w:r>
          </w:p>
        </w:tc>
        <w:tc>
          <w:tcPr>
            <w:tcW w:w="5119" w:type="dxa"/>
            <w:vAlign w:val="center"/>
          </w:tcPr>
          <w:p>
            <w:pPr>
              <w:rPr>
                <w:szCs w:val="21"/>
              </w:rPr>
            </w:pPr>
            <w:r>
              <w:rPr>
                <w:rFonts w:ascii="宋体" w:hAnsi="宋体"/>
                <w:b/>
                <w:kern w:val="0"/>
                <w:szCs w:val="21"/>
                <w:bdr w:val="single" w:color="auto" w:sz="4" w:space="0"/>
              </w:rPr>
              <w:t>√</w:t>
            </w:r>
            <w:r>
              <w:rPr>
                <w:szCs w:val="21"/>
              </w:rPr>
              <w:t>不允许</w:t>
            </w:r>
          </w:p>
          <w:p>
            <w:pPr>
              <w:rPr>
                <w:szCs w:val="21"/>
              </w:rPr>
            </w:pPr>
            <w:r>
              <w:rPr>
                <w:rFonts w:ascii="宋体" w:hAnsi="宋体"/>
                <w:kern w:val="0"/>
                <w:szCs w:val="21"/>
              </w:rPr>
              <w:t>□</w:t>
            </w:r>
            <w:r>
              <w:rPr>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917" w:type="dxa"/>
            <w:vAlign w:val="center"/>
          </w:tcPr>
          <w:p>
            <w:pPr>
              <w:jc w:val="center"/>
              <w:rPr>
                <w:szCs w:val="21"/>
              </w:rPr>
            </w:pPr>
            <w:r>
              <w:rPr>
                <w:rFonts w:hint="eastAsia"/>
                <w:szCs w:val="21"/>
              </w:rPr>
              <w:t>3.6.3</w:t>
            </w:r>
          </w:p>
        </w:tc>
        <w:tc>
          <w:tcPr>
            <w:tcW w:w="3392" w:type="dxa"/>
            <w:vAlign w:val="center"/>
          </w:tcPr>
          <w:p>
            <w:pPr>
              <w:jc w:val="left"/>
              <w:rPr>
                <w:szCs w:val="21"/>
              </w:rPr>
            </w:pPr>
            <w:r>
              <w:rPr>
                <w:rFonts w:hint="eastAsia"/>
                <w:szCs w:val="21"/>
              </w:rPr>
              <w:t>投标文件数量</w:t>
            </w:r>
          </w:p>
        </w:tc>
        <w:tc>
          <w:tcPr>
            <w:tcW w:w="5119" w:type="dxa"/>
            <w:vAlign w:val="center"/>
          </w:tcPr>
          <w:p>
            <w:pPr>
              <w:rPr>
                <w:rFonts w:ascii="宋体" w:hAnsi="宋体"/>
                <w:kern w:val="0"/>
                <w:szCs w:val="21"/>
              </w:rPr>
            </w:pPr>
            <w:r>
              <w:rPr>
                <w:rFonts w:hint="eastAsia" w:ascii="宋体" w:hAnsi="宋体"/>
                <w:kern w:val="0"/>
                <w:szCs w:val="21"/>
              </w:rPr>
              <w:t>一式五份，正本一份，副本四份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17" w:type="dxa"/>
            <w:vAlign w:val="center"/>
          </w:tcPr>
          <w:p>
            <w:pPr>
              <w:jc w:val="center"/>
              <w:rPr>
                <w:szCs w:val="21"/>
              </w:rPr>
            </w:pPr>
            <w:r>
              <w:rPr>
                <w:rFonts w:hint="eastAsia"/>
                <w:szCs w:val="21"/>
              </w:rPr>
              <w:t>3.6.4</w:t>
            </w:r>
          </w:p>
        </w:tc>
        <w:tc>
          <w:tcPr>
            <w:tcW w:w="3392" w:type="dxa"/>
            <w:vAlign w:val="center"/>
          </w:tcPr>
          <w:p>
            <w:pPr>
              <w:jc w:val="left"/>
              <w:rPr>
                <w:szCs w:val="21"/>
              </w:rPr>
            </w:pPr>
            <w:r>
              <w:rPr>
                <w:rFonts w:hint="eastAsia"/>
                <w:szCs w:val="21"/>
              </w:rPr>
              <w:t>投标文件装订要求</w:t>
            </w:r>
          </w:p>
        </w:tc>
        <w:tc>
          <w:tcPr>
            <w:tcW w:w="5119" w:type="dxa"/>
            <w:vAlign w:val="center"/>
          </w:tcPr>
          <w:p>
            <w:pPr>
              <w:rPr>
                <w:rFonts w:ascii="宋体" w:hAnsi="宋体"/>
                <w:kern w:val="0"/>
                <w:szCs w:val="21"/>
              </w:rPr>
            </w:pPr>
            <w:r>
              <w:rPr>
                <w:rFonts w:hint="eastAsia" w:ascii="宋体" w:hAnsi="宋体"/>
                <w:bCs/>
                <w:szCs w:val="21"/>
              </w:rPr>
              <w:t>投标人应密封封装投标文件，密封袋包装封面上应注明投标人名称、投标人地址、投标项目名称、项目编号、“开标时启封”字样，并加盖投标人公章。投标文件不得采用活页夹、拉杆夹、夹杆夹等可拆换内页的装订形式（否则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17" w:type="dxa"/>
            <w:vAlign w:val="center"/>
          </w:tcPr>
          <w:p>
            <w:pPr>
              <w:jc w:val="center"/>
              <w:rPr>
                <w:szCs w:val="21"/>
              </w:rPr>
            </w:pPr>
            <w:r>
              <w:rPr>
                <w:szCs w:val="21"/>
              </w:rPr>
              <w:t>4.2.1</w:t>
            </w:r>
          </w:p>
        </w:tc>
        <w:tc>
          <w:tcPr>
            <w:tcW w:w="3392" w:type="dxa"/>
            <w:vAlign w:val="center"/>
          </w:tcPr>
          <w:p>
            <w:pPr>
              <w:rPr>
                <w:szCs w:val="21"/>
                <w:highlight w:val="none"/>
              </w:rPr>
            </w:pPr>
            <w:r>
              <w:rPr>
                <w:szCs w:val="21"/>
                <w:highlight w:val="none"/>
              </w:rPr>
              <w:t>投标文件递交截止时间</w:t>
            </w:r>
            <w:r>
              <w:rPr>
                <w:rFonts w:hint="eastAsia"/>
                <w:szCs w:val="21"/>
                <w:highlight w:val="none"/>
              </w:rPr>
              <w:t>和地点</w:t>
            </w:r>
          </w:p>
        </w:tc>
        <w:tc>
          <w:tcPr>
            <w:tcW w:w="5119" w:type="dxa"/>
            <w:vAlign w:val="center"/>
          </w:tcPr>
          <w:p>
            <w:pPr>
              <w:jc w:val="left"/>
              <w:rPr>
                <w:szCs w:val="21"/>
                <w:highlight w:val="none"/>
              </w:rPr>
            </w:pPr>
            <w:r>
              <w:rPr>
                <w:rFonts w:hint="eastAsia"/>
                <w:szCs w:val="21"/>
                <w:highlight w:val="none"/>
              </w:rPr>
              <w:t>时间：2019</w:t>
            </w:r>
            <w:r>
              <w:rPr>
                <w:szCs w:val="21"/>
                <w:highlight w:val="none"/>
              </w:rPr>
              <w:t>年</w:t>
            </w:r>
            <w:r>
              <w:rPr>
                <w:rFonts w:hint="eastAsia"/>
                <w:szCs w:val="21"/>
                <w:highlight w:val="none"/>
                <w:lang w:val="en-US" w:eastAsia="zh-CN"/>
              </w:rPr>
              <w:t>7</w:t>
            </w:r>
            <w:r>
              <w:rPr>
                <w:szCs w:val="21"/>
                <w:highlight w:val="none"/>
              </w:rPr>
              <w:t>月</w:t>
            </w:r>
            <w:r>
              <w:rPr>
                <w:rFonts w:hint="eastAsia"/>
                <w:szCs w:val="21"/>
                <w:highlight w:val="none"/>
                <w:lang w:val="en-US" w:eastAsia="zh-CN"/>
              </w:rPr>
              <w:t>10</w:t>
            </w:r>
            <w:r>
              <w:rPr>
                <w:szCs w:val="21"/>
                <w:highlight w:val="none"/>
              </w:rPr>
              <w:t>日</w:t>
            </w:r>
            <w:r>
              <w:rPr>
                <w:rFonts w:hint="eastAsia"/>
                <w:szCs w:val="21"/>
                <w:highlight w:val="none"/>
                <w:u w:val="single"/>
                <w:lang w:val="en-US" w:eastAsia="zh-CN"/>
              </w:rPr>
              <w:t>10</w:t>
            </w:r>
            <w:r>
              <w:rPr>
                <w:szCs w:val="21"/>
                <w:highlight w:val="none"/>
              </w:rPr>
              <w:t>时</w:t>
            </w:r>
            <w:r>
              <w:rPr>
                <w:rFonts w:hint="eastAsia"/>
                <w:szCs w:val="21"/>
                <w:highlight w:val="none"/>
                <w:u w:val="single"/>
              </w:rPr>
              <w:t>30</w:t>
            </w:r>
            <w:r>
              <w:rPr>
                <w:szCs w:val="21"/>
                <w:highlight w:val="none"/>
              </w:rPr>
              <w:t>分</w:t>
            </w:r>
          </w:p>
          <w:p>
            <w:pPr>
              <w:jc w:val="left"/>
              <w:rPr>
                <w:szCs w:val="21"/>
                <w:highlight w:val="none"/>
              </w:rPr>
            </w:pPr>
            <w:r>
              <w:rPr>
                <w:rFonts w:hint="eastAsia"/>
                <w:szCs w:val="21"/>
                <w:highlight w:val="none"/>
              </w:rPr>
              <w:t>地点：盐城市大丰区公共资源交易中心开标二室（大丰城东新区丰华国际大厦四楼,盐城市大丰区丰华路与飞达路交叉西150米）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17" w:type="dxa"/>
            <w:vAlign w:val="center"/>
          </w:tcPr>
          <w:p>
            <w:pPr>
              <w:jc w:val="center"/>
              <w:rPr>
                <w:szCs w:val="21"/>
              </w:rPr>
            </w:pPr>
            <w:r>
              <w:rPr>
                <w:szCs w:val="21"/>
              </w:rPr>
              <w:t>4.2.3</w:t>
            </w:r>
          </w:p>
        </w:tc>
        <w:tc>
          <w:tcPr>
            <w:tcW w:w="3392" w:type="dxa"/>
            <w:vAlign w:val="center"/>
          </w:tcPr>
          <w:p>
            <w:pPr>
              <w:rPr>
                <w:szCs w:val="21"/>
              </w:rPr>
            </w:pPr>
            <w:r>
              <w:rPr>
                <w:szCs w:val="21"/>
              </w:rPr>
              <w:t>是否退还投标文件</w:t>
            </w:r>
          </w:p>
        </w:tc>
        <w:tc>
          <w:tcPr>
            <w:tcW w:w="5119" w:type="dxa"/>
            <w:vAlign w:val="center"/>
          </w:tcPr>
          <w:p>
            <w:pPr>
              <w:rPr>
                <w:szCs w:val="21"/>
              </w:rPr>
            </w:pPr>
            <w:r>
              <w:rPr>
                <w:rFonts w:ascii="宋体" w:hAnsi="宋体"/>
                <w:b/>
                <w:kern w:val="0"/>
                <w:szCs w:val="21"/>
                <w:bdr w:val="single" w:color="auto" w:sz="4" w:space="0"/>
              </w:rPr>
              <w:t>√</w:t>
            </w:r>
            <w:r>
              <w:rPr>
                <w:szCs w:val="21"/>
              </w:rPr>
              <w:t>否</w:t>
            </w:r>
            <w:r>
              <w:rPr>
                <w:rFonts w:hint="eastAsia"/>
                <w:szCs w:val="21"/>
              </w:rPr>
              <w:t>，除相关原件外。</w:t>
            </w:r>
          </w:p>
          <w:p>
            <w:pPr>
              <w:rPr>
                <w:szCs w:val="21"/>
                <w:u w:val="single"/>
              </w:rPr>
            </w:pPr>
            <w:r>
              <w:rPr>
                <w:rFonts w:ascii="宋体" w:hAnsi="宋体"/>
                <w:kern w:val="0"/>
                <w:szCs w:val="21"/>
              </w:rPr>
              <w:t>□</w:t>
            </w:r>
            <w:r>
              <w:rPr>
                <w:szCs w:val="21"/>
              </w:rPr>
              <w:t>是</w:t>
            </w:r>
            <w:r>
              <w:rPr>
                <w:rFonts w:hint="eastAsia" w:ascii="宋体" w:hAnsi="宋体"/>
                <w:szCs w:val="21"/>
              </w:rPr>
              <w:t>，退还安排：</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17" w:type="dxa"/>
            <w:vAlign w:val="center"/>
          </w:tcPr>
          <w:p>
            <w:pPr>
              <w:jc w:val="center"/>
              <w:rPr>
                <w:szCs w:val="21"/>
              </w:rPr>
            </w:pPr>
            <w:r>
              <w:rPr>
                <w:szCs w:val="21"/>
              </w:rPr>
              <w:t>5.1</w:t>
            </w:r>
          </w:p>
        </w:tc>
        <w:tc>
          <w:tcPr>
            <w:tcW w:w="3392" w:type="dxa"/>
            <w:vAlign w:val="center"/>
          </w:tcPr>
          <w:p>
            <w:pPr>
              <w:rPr>
                <w:szCs w:val="21"/>
              </w:rPr>
            </w:pPr>
            <w:r>
              <w:rPr>
                <w:szCs w:val="21"/>
              </w:rPr>
              <w:t>开标时间和地点</w:t>
            </w:r>
          </w:p>
        </w:tc>
        <w:tc>
          <w:tcPr>
            <w:tcW w:w="5119" w:type="dxa"/>
            <w:vAlign w:val="center"/>
          </w:tcPr>
          <w:p>
            <w:pPr>
              <w:rPr>
                <w:szCs w:val="21"/>
              </w:rPr>
            </w:pPr>
            <w:r>
              <w:rPr>
                <w:szCs w:val="21"/>
              </w:rPr>
              <w:t>开标时间：</w:t>
            </w:r>
            <w:r>
              <w:rPr>
                <w:rFonts w:hint="eastAsia"/>
                <w:szCs w:val="21"/>
              </w:rPr>
              <w:t>同投标截止时间</w:t>
            </w:r>
          </w:p>
          <w:p>
            <w:pPr>
              <w:rPr>
                <w:szCs w:val="21"/>
                <w:u w:val="single"/>
              </w:rPr>
            </w:pPr>
            <w:r>
              <w:rPr>
                <w:szCs w:val="21"/>
              </w:rPr>
              <w:t>开标地点：</w:t>
            </w:r>
            <w:r>
              <w:rPr>
                <w:rFonts w:hint="eastAsia" w:ascii="宋体" w:hAnsi="宋体" w:cs="宋体"/>
                <w:szCs w:val="21"/>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17" w:type="dxa"/>
            <w:vAlign w:val="center"/>
          </w:tcPr>
          <w:p>
            <w:pPr>
              <w:jc w:val="center"/>
              <w:rPr>
                <w:szCs w:val="21"/>
              </w:rPr>
            </w:pPr>
            <w:r>
              <w:rPr>
                <w:rFonts w:hint="eastAsia"/>
                <w:szCs w:val="21"/>
              </w:rPr>
              <w:t>6.4</w:t>
            </w:r>
          </w:p>
        </w:tc>
        <w:tc>
          <w:tcPr>
            <w:tcW w:w="3392" w:type="dxa"/>
            <w:vAlign w:val="center"/>
          </w:tcPr>
          <w:p>
            <w:pPr>
              <w:rPr>
                <w:szCs w:val="21"/>
              </w:rPr>
            </w:pPr>
            <w:r>
              <w:rPr>
                <w:rFonts w:hint="eastAsia"/>
                <w:szCs w:val="21"/>
              </w:rPr>
              <w:t>多标段推荐中标候选人方法</w:t>
            </w:r>
          </w:p>
        </w:tc>
        <w:tc>
          <w:tcPr>
            <w:tcW w:w="5119" w:type="dxa"/>
            <w:vAlign w:val="center"/>
          </w:tcPr>
          <w:p>
            <w:pP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17" w:type="dxa"/>
            <w:vAlign w:val="center"/>
          </w:tcPr>
          <w:p>
            <w:pPr>
              <w:jc w:val="center"/>
              <w:rPr>
                <w:szCs w:val="21"/>
                <w:highlight w:val="none"/>
              </w:rPr>
            </w:pPr>
            <w:r>
              <w:rPr>
                <w:rFonts w:hint="eastAsia"/>
                <w:szCs w:val="21"/>
                <w:highlight w:val="none"/>
              </w:rPr>
              <w:t>8</w:t>
            </w:r>
            <w:r>
              <w:rPr>
                <w:szCs w:val="21"/>
                <w:highlight w:val="none"/>
              </w:rPr>
              <w:t>.1</w:t>
            </w:r>
          </w:p>
        </w:tc>
        <w:tc>
          <w:tcPr>
            <w:tcW w:w="3392" w:type="dxa"/>
            <w:vAlign w:val="center"/>
          </w:tcPr>
          <w:p>
            <w:pPr>
              <w:rPr>
                <w:szCs w:val="21"/>
                <w:highlight w:val="none"/>
              </w:rPr>
            </w:pPr>
            <w:r>
              <w:rPr>
                <w:szCs w:val="21"/>
                <w:highlight w:val="none"/>
              </w:rPr>
              <w:t>是否授权评标委员会确定中标人</w:t>
            </w:r>
          </w:p>
        </w:tc>
        <w:tc>
          <w:tcPr>
            <w:tcW w:w="5119" w:type="dxa"/>
            <w:vAlign w:val="center"/>
          </w:tcPr>
          <w:p>
            <w:pPr>
              <w:rPr>
                <w:szCs w:val="21"/>
              </w:rPr>
            </w:pPr>
            <w:r>
              <w:rPr>
                <w:rFonts w:ascii="宋体" w:hAnsi="宋体"/>
                <w:kern w:val="0"/>
                <w:szCs w:val="21"/>
              </w:rPr>
              <w:t>□</w:t>
            </w:r>
            <w:r>
              <w:rPr>
                <w:szCs w:val="21"/>
              </w:rPr>
              <w:t>是</w:t>
            </w:r>
          </w:p>
          <w:p>
            <w:pPr>
              <w:rPr>
                <w:szCs w:val="21"/>
                <w:u w:val="single"/>
              </w:rPr>
            </w:pPr>
            <w:r>
              <w:rPr>
                <w:rFonts w:ascii="宋体" w:hAnsi="宋体"/>
                <w:b/>
                <w:kern w:val="0"/>
                <w:szCs w:val="21"/>
                <w:bdr w:val="single" w:color="auto" w:sz="4" w:space="0"/>
              </w:rPr>
              <w:t>√</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17" w:type="dxa"/>
            <w:vAlign w:val="center"/>
          </w:tcPr>
          <w:p>
            <w:pPr>
              <w:jc w:val="center"/>
              <w:rPr>
                <w:rFonts w:ascii="宋体" w:hAnsi="宋体"/>
                <w:color w:val="000000"/>
                <w:szCs w:val="21"/>
              </w:rPr>
            </w:pPr>
            <w:r>
              <w:rPr>
                <w:rFonts w:hint="eastAsia" w:ascii="宋体" w:hAnsi="宋体"/>
                <w:color w:val="000000"/>
                <w:szCs w:val="21"/>
              </w:rPr>
              <w:t>8.3</w:t>
            </w:r>
          </w:p>
        </w:tc>
        <w:tc>
          <w:tcPr>
            <w:tcW w:w="3392" w:type="dxa"/>
            <w:vAlign w:val="center"/>
          </w:tcPr>
          <w:p>
            <w:pPr>
              <w:rPr>
                <w:rFonts w:ascii="宋体" w:hAnsi="宋体"/>
                <w:color w:val="000000"/>
                <w:szCs w:val="21"/>
              </w:rPr>
            </w:pPr>
            <w:r>
              <w:rPr>
                <w:rFonts w:ascii="宋体" w:hAnsi="宋体"/>
                <w:color w:val="000000"/>
                <w:szCs w:val="21"/>
              </w:rPr>
              <w:t>履约保证金</w:t>
            </w:r>
          </w:p>
        </w:tc>
        <w:tc>
          <w:tcPr>
            <w:tcW w:w="5119" w:type="dxa"/>
            <w:vAlign w:val="center"/>
          </w:tcPr>
          <w:p>
            <w:pPr>
              <w:rPr>
                <w:rFonts w:ascii="宋体" w:hAnsi="宋体"/>
                <w:bCs/>
                <w:color w:val="000000"/>
                <w:szCs w:val="21"/>
              </w:rPr>
            </w:pPr>
            <w:r>
              <w:rPr>
                <w:rFonts w:ascii="宋体" w:hAnsi="宋体"/>
                <w:bCs/>
                <w:color w:val="000000"/>
                <w:szCs w:val="21"/>
              </w:rPr>
              <w:t>履约保证金的形式</w:t>
            </w:r>
            <w:r>
              <w:rPr>
                <w:rFonts w:hint="eastAsia" w:ascii="宋体" w:hAnsi="宋体"/>
                <w:bCs/>
                <w:color w:val="000000"/>
                <w:szCs w:val="21"/>
              </w:rPr>
              <w:t>：银行转帐、电汇、网汇等。</w:t>
            </w:r>
          </w:p>
          <w:p>
            <w:pPr>
              <w:rPr>
                <w:rFonts w:ascii="宋体" w:hAnsi="宋体"/>
                <w:color w:val="000000"/>
                <w:szCs w:val="21"/>
              </w:rPr>
            </w:pPr>
            <w:r>
              <w:rPr>
                <w:rFonts w:ascii="宋体" w:hAnsi="宋体"/>
                <w:bCs/>
                <w:color w:val="000000"/>
                <w:szCs w:val="21"/>
              </w:rPr>
              <w:t>履约保证金的金额</w:t>
            </w:r>
            <w:r>
              <w:rPr>
                <w:rFonts w:ascii="宋体" w:hAnsi="宋体"/>
                <w:bCs/>
                <w:szCs w:val="21"/>
              </w:rPr>
              <w:t>：</w:t>
            </w:r>
            <w:r>
              <w:rPr>
                <w:rFonts w:ascii="宋体" w:hAnsi="宋体"/>
                <w:szCs w:val="21"/>
              </w:rPr>
              <w:t>中标价的</w:t>
            </w:r>
            <w:r>
              <w:rPr>
                <w:rFonts w:hint="eastAsia" w:ascii="宋体" w:hAnsi="宋体"/>
                <w:szCs w:val="21"/>
                <w:u w:val="single"/>
              </w:rPr>
              <w:t>10</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17" w:type="dxa"/>
            <w:vAlign w:val="center"/>
          </w:tcPr>
          <w:p>
            <w:pPr>
              <w:jc w:val="center"/>
              <w:rPr>
                <w:rFonts w:ascii="宋体" w:hAnsi="宋体"/>
                <w:color w:val="000000"/>
                <w:szCs w:val="21"/>
              </w:rPr>
            </w:pPr>
            <w:r>
              <w:rPr>
                <w:rFonts w:hint="eastAsia" w:ascii="宋体" w:hAnsi="宋体"/>
                <w:color w:val="000000"/>
                <w:szCs w:val="21"/>
              </w:rPr>
              <w:t>10.1</w:t>
            </w:r>
          </w:p>
        </w:tc>
        <w:tc>
          <w:tcPr>
            <w:tcW w:w="3392" w:type="dxa"/>
            <w:vAlign w:val="center"/>
          </w:tcPr>
          <w:p>
            <w:pPr>
              <w:rPr>
                <w:rFonts w:ascii="宋体" w:hAnsi="宋体"/>
                <w:color w:val="000000"/>
                <w:szCs w:val="21"/>
              </w:rPr>
            </w:pPr>
            <w:r>
              <w:rPr>
                <w:rFonts w:hint="eastAsia" w:ascii="宋体" w:hAnsi="宋体"/>
                <w:color w:val="000000"/>
                <w:szCs w:val="21"/>
              </w:rPr>
              <w:t>收费标准</w:t>
            </w:r>
          </w:p>
        </w:tc>
        <w:tc>
          <w:tcPr>
            <w:tcW w:w="5119" w:type="dxa"/>
            <w:vAlign w:val="center"/>
          </w:tcPr>
          <w:p>
            <w:pPr>
              <w:rPr>
                <w:rFonts w:ascii="宋体" w:hAnsi="宋体"/>
                <w:color w:val="000000"/>
                <w:szCs w:val="21"/>
              </w:rPr>
            </w:pPr>
            <w:r>
              <w:rPr>
                <w:rFonts w:hint="eastAsia"/>
                <w:bCs/>
                <w:szCs w:val="21"/>
              </w:rPr>
              <w:t>本项目招标代理费向中标单位收取，招标代理费按国家发改价格[2011]534号文件规定货物类标准缴纳；请投标人考虑在投标报价中，但不单列，自行分摊至投标单价、合价中。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917" w:type="dxa"/>
            <w:vAlign w:val="center"/>
          </w:tcPr>
          <w:p>
            <w:pPr>
              <w:jc w:val="center"/>
              <w:rPr>
                <w:rFonts w:ascii="宋体" w:hAnsi="宋体"/>
                <w:color w:val="000000"/>
                <w:szCs w:val="21"/>
              </w:rPr>
            </w:pPr>
            <w:r>
              <w:rPr>
                <w:rFonts w:hint="eastAsia" w:ascii="宋体" w:hAnsi="宋体"/>
                <w:color w:val="000000"/>
                <w:szCs w:val="21"/>
              </w:rPr>
              <w:t>11</w:t>
            </w:r>
          </w:p>
        </w:tc>
        <w:tc>
          <w:tcPr>
            <w:tcW w:w="3392" w:type="dxa"/>
            <w:vAlign w:val="center"/>
          </w:tcPr>
          <w:p>
            <w:pPr>
              <w:rPr>
                <w:rFonts w:ascii="宋体" w:hAnsi="宋体"/>
                <w:color w:val="000000"/>
                <w:szCs w:val="21"/>
              </w:rPr>
            </w:pPr>
            <w:r>
              <w:rPr>
                <w:rFonts w:hint="eastAsia" w:ascii="宋体" w:hAnsi="宋体"/>
                <w:color w:val="000000"/>
                <w:szCs w:val="21"/>
              </w:rPr>
              <w:t>付款方式</w:t>
            </w:r>
          </w:p>
        </w:tc>
        <w:tc>
          <w:tcPr>
            <w:tcW w:w="5119" w:type="dxa"/>
            <w:vAlign w:val="center"/>
          </w:tcPr>
          <w:p>
            <w:pPr>
              <w:rPr>
                <w:rFonts w:hint="default"/>
                <w:bCs/>
                <w:szCs w:val="21"/>
                <w:lang w:val="en-US" w:eastAsia="zh-CN"/>
              </w:rPr>
            </w:pPr>
            <w:r>
              <w:rPr>
                <w:rFonts w:hint="eastAsia" w:ascii="宋体" w:hAnsi="宋体"/>
                <w:color w:val="auto"/>
                <w:szCs w:val="21"/>
                <w:highlight w:val="none"/>
              </w:rPr>
              <w:t>付款方式：</w:t>
            </w:r>
            <w:r>
              <w:rPr>
                <w:rFonts w:hint="eastAsia"/>
                <w:bCs/>
                <w:szCs w:val="21"/>
                <w:lang w:val="en-US" w:eastAsia="zh-CN"/>
              </w:rPr>
              <w:t>本项目无预付款，在签订合同后货物送达至招标人指定地点安装调试完毕并经验收合格，凭发票及验收单实时结算。</w:t>
            </w:r>
          </w:p>
          <w:p>
            <w:pPr>
              <w:rPr>
                <w:rFonts w:ascii="宋体" w:hAnsi="宋体"/>
                <w:color w:val="000000"/>
                <w:szCs w:val="21"/>
              </w:rPr>
            </w:pPr>
            <w:r>
              <w:rPr>
                <w:rFonts w:hint="eastAsia"/>
                <w:bCs/>
                <w:szCs w:val="21"/>
                <w:lang w:val="en-US" w:eastAsia="zh-CN"/>
              </w:rPr>
              <w:t>按以上付款进度，无任何利息补偿。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917" w:type="dxa"/>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12</w:t>
            </w:r>
          </w:p>
        </w:tc>
        <w:tc>
          <w:tcPr>
            <w:tcW w:w="3392" w:type="dxa"/>
            <w:vAlign w:val="center"/>
          </w:tcPr>
          <w:p>
            <w:pPr>
              <w:rPr>
                <w:rFonts w:hint="default" w:ascii="宋体" w:hAnsi="宋体" w:eastAsia="宋体"/>
                <w:color w:val="000000"/>
                <w:szCs w:val="21"/>
                <w:lang w:val="en-US" w:eastAsia="zh-CN"/>
              </w:rPr>
            </w:pPr>
            <w:r>
              <w:rPr>
                <w:rFonts w:hint="eastAsia" w:ascii="宋体" w:hAnsi="宋体"/>
                <w:color w:val="000000"/>
                <w:szCs w:val="21"/>
                <w:lang w:val="en-US" w:eastAsia="zh-CN"/>
              </w:rPr>
              <w:t>质量保证及市场价格浮动</w:t>
            </w:r>
          </w:p>
        </w:tc>
        <w:tc>
          <w:tcPr>
            <w:tcW w:w="5119" w:type="dxa"/>
            <w:vAlign w:val="center"/>
          </w:tcPr>
          <w:p>
            <w:pPr>
              <w:rPr>
                <w:rFonts w:hint="eastAsia"/>
                <w:bCs/>
                <w:szCs w:val="21"/>
                <w:lang w:val="en-US" w:eastAsia="zh-CN"/>
              </w:rPr>
            </w:pPr>
            <w:r>
              <w:rPr>
                <w:rFonts w:hint="eastAsia"/>
                <w:bCs/>
                <w:szCs w:val="21"/>
                <w:lang w:val="en-US" w:eastAsia="zh-CN"/>
              </w:rPr>
              <w:t>供货应为符合常规要求的合格产品，在“三包” 范围内，质量出现问题（包括破损、短缺及达不到常规性能等）供方负责包修、包退、包换，费用由供方负责。验收包括当场的数量、外观验收及售后使用功能的验收等。对需方以书面或电函形式提出的质量问题说明，供方应在收到书面或电函后24小时内响应并解决。</w:t>
            </w:r>
          </w:p>
          <w:p>
            <w:pPr>
              <w:rPr>
                <w:rFonts w:hint="eastAsia"/>
                <w:bCs/>
                <w:szCs w:val="21"/>
                <w:lang w:val="en-US" w:eastAsia="zh-CN"/>
              </w:rPr>
            </w:pPr>
            <w:r>
              <w:rPr>
                <w:rFonts w:hint="eastAsia"/>
                <w:bCs/>
                <w:szCs w:val="21"/>
                <w:lang w:val="en-US" w:eastAsia="zh-CN"/>
              </w:rPr>
              <w:t>供货时必须按照投标文件标明的品牌和规格进行供货；</w:t>
            </w:r>
          </w:p>
          <w:p>
            <w:pPr>
              <w:rPr>
                <w:rFonts w:hint="eastAsia"/>
                <w:bCs/>
                <w:szCs w:val="21"/>
                <w:lang w:val="en-US" w:eastAsia="zh-CN"/>
              </w:rPr>
            </w:pPr>
            <w:r>
              <w:rPr>
                <w:rFonts w:hint="eastAsia"/>
                <w:bCs/>
                <w:szCs w:val="21"/>
                <w:lang w:val="en-US" w:eastAsia="zh-CN"/>
              </w:rPr>
              <w:t>在供货时间内投标方必须严格执行中标价，如遇市场价格波动超过10%，双方根据当地市场价格协商调整。</w:t>
            </w:r>
          </w:p>
        </w:tc>
      </w:tr>
    </w:tbl>
    <w:p>
      <w:pPr>
        <w:rPr>
          <w:rFonts w:ascii="宋体" w:hAnsi="宋体"/>
          <w:color w:val="000000"/>
          <w:szCs w:val="21"/>
        </w:rPr>
      </w:pPr>
      <w:r>
        <w:rPr>
          <w:rFonts w:ascii="宋体" w:hAnsi="宋体"/>
          <w:color w:val="000000"/>
          <w:szCs w:val="21"/>
        </w:rPr>
        <w:t>特别提醒：</w:t>
      </w:r>
    </w:p>
    <w:p>
      <w:pPr>
        <w:spacing w:line="360" w:lineRule="auto"/>
        <w:ind w:firstLine="482" w:firstLineChars="200"/>
        <w:rPr>
          <w:b/>
          <w:color w:val="000000"/>
          <w:sz w:val="24"/>
        </w:rPr>
      </w:pPr>
      <w:r>
        <w:rPr>
          <w:rFonts w:hint="eastAsia"/>
          <w:b/>
          <w:color w:val="000000"/>
          <w:sz w:val="24"/>
        </w:rPr>
        <w:t>1、</w:t>
      </w:r>
      <w:r>
        <w:rPr>
          <w:b/>
          <w:color w:val="000000"/>
          <w:sz w:val="24"/>
        </w:rPr>
        <w:t>招标人会根据招标需要，可能会不定期在</w:t>
      </w:r>
      <w:r>
        <w:rPr>
          <w:rFonts w:hint="eastAsia"/>
          <w:b/>
          <w:color w:val="000000"/>
          <w:sz w:val="24"/>
        </w:rPr>
        <w:t>盐城市大丰区公共资源交易中心</w:t>
      </w:r>
      <w:r>
        <w:rPr>
          <w:b/>
          <w:color w:val="000000"/>
          <w:sz w:val="24"/>
        </w:rPr>
        <w:t>上</w:t>
      </w:r>
      <w:r>
        <w:rPr>
          <w:rStyle w:val="55"/>
          <w:b/>
          <w:color w:val="000000"/>
          <w:sz w:val="24"/>
        </w:rPr>
        <w:t>(</w:t>
      </w:r>
      <w:r>
        <w:rPr>
          <w:rStyle w:val="55"/>
          <w:rFonts w:hint="eastAsia"/>
          <w:b/>
          <w:color w:val="000000"/>
          <w:sz w:val="24"/>
        </w:rPr>
        <w:t>http://ggzy.dafeng.gov.cn)</w:t>
      </w:r>
      <w:r>
        <w:rPr>
          <w:b/>
          <w:color w:val="000000"/>
          <w:sz w:val="24"/>
        </w:rPr>
        <w:t>发布该项目补充答疑等澄清修改文件，请各投标人自行网上查寻，未能及时查阅响应而影响投标的，结果由投标人负责。</w:t>
      </w:r>
    </w:p>
    <w:p>
      <w:pPr>
        <w:spacing w:line="360" w:lineRule="auto"/>
        <w:ind w:firstLine="482" w:firstLineChars="200"/>
        <w:rPr>
          <w:rFonts w:hint="eastAsia"/>
          <w:b/>
          <w:color w:val="000000"/>
          <w:sz w:val="24"/>
        </w:rPr>
      </w:pPr>
      <w:r>
        <w:rPr>
          <w:rFonts w:hint="eastAsia"/>
          <w:b/>
          <w:color w:val="000000"/>
          <w:sz w:val="24"/>
        </w:rPr>
        <w:t>2、投标单位的法定代表人或其委托代理人须携带有效身份证明原件出席开标会议，否则其投标将被拒绝。</w:t>
      </w:r>
    </w:p>
    <w:p>
      <w:pPr>
        <w:spacing w:line="360" w:lineRule="auto"/>
        <w:ind w:firstLine="482" w:firstLineChars="200"/>
        <w:rPr>
          <w:rFonts w:hint="eastAsia"/>
          <w:b/>
          <w:color w:val="000000"/>
          <w:sz w:val="24"/>
        </w:rPr>
      </w:pPr>
    </w:p>
    <w:p>
      <w:pPr>
        <w:spacing w:line="360" w:lineRule="auto"/>
        <w:ind w:firstLine="482" w:firstLineChars="200"/>
        <w:rPr>
          <w:rFonts w:hint="eastAsia"/>
          <w:b/>
          <w:color w:val="000000"/>
          <w:sz w:val="24"/>
        </w:rPr>
      </w:pPr>
    </w:p>
    <w:p>
      <w:pPr>
        <w:spacing w:line="360" w:lineRule="auto"/>
        <w:rPr>
          <w:rFonts w:hint="eastAsia"/>
          <w:b/>
          <w:color w:val="000000"/>
          <w:sz w:val="24"/>
        </w:rPr>
      </w:pPr>
    </w:p>
    <w:p>
      <w:pPr>
        <w:pStyle w:val="3"/>
        <w:spacing w:line="360" w:lineRule="auto"/>
        <w:rPr>
          <w:rFonts w:ascii="宋体" w:hAnsi="宋体" w:eastAsia="宋体"/>
        </w:rPr>
      </w:pPr>
      <w:bookmarkStart w:id="24" w:name="_Toc387526375"/>
      <w:bookmarkStart w:id="25" w:name="_Toc367894798"/>
      <w:bookmarkStart w:id="26" w:name="_Toc18948"/>
      <w:bookmarkStart w:id="27" w:name="_Toc368760427"/>
      <w:bookmarkStart w:id="28" w:name="_Toc6539"/>
      <w:bookmarkStart w:id="29" w:name="_Toc368759375"/>
      <w:bookmarkStart w:id="30" w:name="_Toc387526283"/>
      <w:bookmarkStart w:id="31" w:name="_Toc387526179"/>
      <w:bookmarkStart w:id="32" w:name="_Toc369077561"/>
      <w:bookmarkStart w:id="33" w:name="_Toc184635071"/>
      <w:bookmarkStart w:id="34" w:name="_Toc363329370"/>
      <w:r>
        <w:rPr>
          <w:rFonts w:ascii="宋体" w:hAnsi="宋体" w:eastAsia="宋体"/>
        </w:rPr>
        <w:t>1</w:t>
      </w:r>
      <w:r>
        <w:rPr>
          <w:sz w:val="28"/>
          <w:szCs w:val="28"/>
        </w:rPr>
        <w:t>.</w:t>
      </w:r>
      <w:r>
        <w:rPr>
          <w:rFonts w:ascii="宋体" w:hAnsi="宋体" w:eastAsia="宋体"/>
        </w:rPr>
        <w:t>总则</w:t>
      </w:r>
      <w:bookmarkEnd w:id="24"/>
      <w:bookmarkEnd w:id="25"/>
      <w:bookmarkEnd w:id="26"/>
      <w:bookmarkEnd w:id="27"/>
      <w:bookmarkEnd w:id="28"/>
      <w:bookmarkEnd w:id="29"/>
      <w:bookmarkEnd w:id="30"/>
      <w:bookmarkEnd w:id="31"/>
      <w:bookmarkEnd w:id="32"/>
      <w:bookmarkEnd w:id="33"/>
      <w:bookmarkEnd w:id="34"/>
    </w:p>
    <w:p>
      <w:pPr>
        <w:pStyle w:val="4"/>
        <w:spacing w:before="60" w:after="60" w:line="360" w:lineRule="auto"/>
        <w:ind w:firstLine="118"/>
        <w:rPr>
          <w:szCs w:val="24"/>
        </w:rPr>
      </w:pPr>
      <w:bookmarkStart w:id="35" w:name="_Toc387526376"/>
      <w:bookmarkStart w:id="36" w:name="_Toc387526180"/>
      <w:bookmarkStart w:id="37" w:name="_Toc5365"/>
      <w:bookmarkStart w:id="38" w:name="_Toc19302"/>
      <w:bookmarkStart w:id="39" w:name="_Toc387526284"/>
      <w:r>
        <w:rPr>
          <w:szCs w:val="24"/>
        </w:rPr>
        <w:t>1.1 项目概况</w:t>
      </w:r>
      <w:bookmarkEnd w:id="35"/>
      <w:bookmarkEnd w:id="36"/>
      <w:bookmarkEnd w:id="37"/>
      <w:bookmarkEnd w:id="38"/>
      <w:bookmarkEnd w:id="39"/>
    </w:p>
    <w:p>
      <w:pPr>
        <w:spacing w:line="360" w:lineRule="auto"/>
        <w:ind w:firstLine="420" w:firstLineChars="200"/>
      </w:pPr>
      <w:r>
        <w:t>1.1.1根据有关法律、法规和规章的规定，本招标项目已具备招标条件，现对本项目货物进行招标。</w:t>
      </w:r>
    </w:p>
    <w:p>
      <w:pPr>
        <w:spacing w:line="360" w:lineRule="auto"/>
        <w:ind w:firstLine="420" w:firstLineChars="200"/>
      </w:pPr>
      <w:r>
        <w:t>1.1.2本招标项目招标人：见投标人须知前附表。</w:t>
      </w:r>
    </w:p>
    <w:p>
      <w:pPr>
        <w:spacing w:line="360" w:lineRule="auto"/>
        <w:ind w:firstLine="420" w:firstLineChars="200"/>
      </w:pPr>
      <w:r>
        <w:t>1.1.3本招标项目招标代理机构：见投标人须知前附表。</w:t>
      </w:r>
    </w:p>
    <w:p>
      <w:pPr>
        <w:spacing w:line="360" w:lineRule="auto"/>
        <w:ind w:firstLine="420" w:firstLineChars="200"/>
      </w:pPr>
      <w:r>
        <w:t>1.1.4本招标项目名称：见投标人须知前附表。</w:t>
      </w:r>
    </w:p>
    <w:p>
      <w:pPr>
        <w:pStyle w:val="4"/>
        <w:spacing w:before="60" w:after="60" w:line="360" w:lineRule="auto"/>
        <w:ind w:firstLine="118"/>
        <w:rPr>
          <w:szCs w:val="24"/>
        </w:rPr>
      </w:pPr>
      <w:bookmarkStart w:id="40" w:name="_Toc387526181"/>
      <w:bookmarkStart w:id="41" w:name="_Toc387526377"/>
      <w:bookmarkStart w:id="42" w:name="_Toc11796"/>
      <w:bookmarkStart w:id="43" w:name="_Toc387526285"/>
      <w:bookmarkStart w:id="44" w:name="_Toc27291"/>
      <w:r>
        <w:rPr>
          <w:szCs w:val="24"/>
        </w:rPr>
        <w:t>1.2 资金来源和落实情况</w:t>
      </w:r>
      <w:bookmarkEnd w:id="40"/>
      <w:bookmarkEnd w:id="41"/>
      <w:bookmarkEnd w:id="42"/>
      <w:bookmarkEnd w:id="43"/>
      <w:bookmarkEnd w:id="44"/>
    </w:p>
    <w:p>
      <w:pPr>
        <w:spacing w:line="360" w:lineRule="auto"/>
        <w:ind w:firstLine="420" w:firstLineChars="200"/>
      </w:pPr>
      <w:r>
        <w:t>1.2.1本招标项目的资金来源：见投标人须知前附表。</w:t>
      </w:r>
    </w:p>
    <w:p>
      <w:pPr>
        <w:spacing w:line="360" w:lineRule="auto"/>
        <w:ind w:firstLine="420" w:firstLineChars="200"/>
      </w:pPr>
      <w:r>
        <w:t>1.2.2本招标项目的出资比例：见投标人须知前附表。</w:t>
      </w:r>
    </w:p>
    <w:p>
      <w:pPr>
        <w:spacing w:line="360" w:lineRule="auto"/>
        <w:ind w:firstLine="420" w:firstLineChars="200"/>
      </w:pPr>
      <w:r>
        <w:t>1.2.3本招标项目的资金落实情况：见投标人须知前附表。</w:t>
      </w:r>
    </w:p>
    <w:p>
      <w:pPr>
        <w:pStyle w:val="4"/>
        <w:spacing w:before="60" w:after="60" w:line="360" w:lineRule="auto"/>
        <w:ind w:firstLine="118"/>
        <w:rPr>
          <w:szCs w:val="24"/>
        </w:rPr>
      </w:pPr>
      <w:bookmarkStart w:id="45" w:name="_Toc387526286"/>
      <w:bookmarkStart w:id="46" w:name="_Toc853"/>
      <w:bookmarkStart w:id="47" w:name="_Toc350"/>
      <w:bookmarkStart w:id="48" w:name="_Toc387526378"/>
      <w:bookmarkStart w:id="49" w:name="_Toc387526182"/>
      <w:r>
        <w:rPr>
          <w:szCs w:val="24"/>
        </w:rPr>
        <w:t>1.3</w:t>
      </w:r>
      <w:r>
        <w:rPr>
          <w:rFonts w:hint="eastAsia"/>
          <w:szCs w:val="24"/>
        </w:rPr>
        <w:t xml:space="preserve"> </w:t>
      </w:r>
      <w:r>
        <w:rPr>
          <w:szCs w:val="24"/>
        </w:rPr>
        <w:t>招标范围、交货期或工期和质量要求</w:t>
      </w:r>
      <w:bookmarkEnd w:id="45"/>
      <w:bookmarkEnd w:id="46"/>
      <w:bookmarkEnd w:id="47"/>
      <w:bookmarkEnd w:id="48"/>
      <w:bookmarkEnd w:id="49"/>
    </w:p>
    <w:p>
      <w:pPr>
        <w:spacing w:line="360" w:lineRule="auto"/>
        <w:ind w:firstLine="420" w:firstLineChars="200"/>
      </w:pPr>
      <w:r>
        <w:t>1.3.1本次招标范围：见投标人须知前附表。</w:t>
      </w:r>
    </w:p>
    <w:p>
      <w:pPr>
        <w:spacing w:line="360" w:lineRule="auto"/>
        <w:ind w:firstLine="420" w:firstLineChars="200"/>
      </w:pPr>
      <w:r>
        <w:t>1.3.2本招标项目的交货期或工期：见投标人须知前附表。</w:t>
      </w:r>
    </w:p>
    <w:p>
      <w:pPr>
        <w:spacing w:line="360" w:lineRule="auto"/>
        <w:ind w:firstLine="420" w:firstLineChars="200"/>
      </w:pPr>
      <w:r>
        <w:t>1.3.3本招标项目的交货地点：见投标人须知前附表。</w:t>
      </w:r>
    </w:p>
    <w:p>
      <w:pPr>
        <w:spacing w:line="360" w:lineRule="auto"/>
        <w:ind w:firstLine="420" w:firstLineChars="200"/>
      </w:pPr>
      <w:r>
        <w:t>1.3.4本招标项目的质量要求</w:t>
      </w:r>
      <w:r>
        <w:rPr>
          <w:rFonts w:hint="eastAsia"/>
        </w:rPr>
        <w:t>及验收标准</w:t>
      </w:r>
      <w:r>
        <w:t>：见投标人须知前附表。</w:t>
      </w:r>
    </w:p>
    <w:p>
      <w:pPr>
        <w:pStyle w:val="4"/>
        <w:spacing w:before="60" w:after="60" w:line="360" w:lineRule="auto"/>
        <w:ind w:firstLine="118"/>
        <w:rPr>
          <w:szCs w:val="24"/>
        </w:rPr>
      </w:pPr>
      <w:bookmarkStart w:id="50" w:name="_Toc13930"/>
      <w:bookmarkStart w:id="51" w:name="_Toc387526287"/>
      <w:bookmarkStart w:id="52" w:name="_Toc387526183"/>
      <w:bookmarkStart w:id="53" w:name="_Toc387526379"/>
      <w:bookmarkStart w:id="54" w:name="_Toc26594"/>
      <w:r>
        <w:rPr>
          <w:szCs w:val="24"/>
        </w:rPr>
        <w:t>1.4 投标人资格要求</w:t>
      </w:r>
      <w:bookmarkEnd w:id="50"/>
      <w:bookmarkEnd w:id="51"/>
      <w:bookmarkEnd w:id="52"/>
      <w:bookmarkEnd w:id="53"/>
      <w:bookmarkEnd w:id="54"/>
    </w:p>
    <w:p>
      <w:pPr>
        <w:autoSpaceDE w:val="0"/>
        <w:autoSpaceDN w:val="0"/>
        <w:adjustRightInd w:val="0"/>
        <w:spacing w:line="360" w:lineRule="auto"/>
        <w:ind w:firstLine="420" w:firstLineChars="200"/>
        <w:jc w:val="left"/>
      </w:pPr>
      <w:r>
        <w:rPr>
          <w:rFonts w:hint="eastAsia"/>
        </w:rPr>
        <w:t>1.4.1 投标人应具备的资格要求见投标人须知前附表。</w:t>
      </w:r>
    </w:p>
    <w:p>
      <w:pPr>
        <w:autoSpaceDE w:val="0"/>
        <w:autoSpaceDN w:val="0"/>
        <w:adjustRightInd w:val="0"/>
        <w:spacing w:line="360" w:lineRule="auto"/>
        <w:ind w:firstLine="420" w:firstLineChars="200"/>
        <w:jc w:val="left"/>
        <w:rPr>
          <w:rFonts w:ascii="TimesNewRomanPSMT" w:hAnsi="TimesNewRomanPSMT" w:cs="TimesNewRomanPSMT"/>
          <w:kern w:val="0"/>
          <w:sz w:val="24"/>
        </w:rPr>
      </w:pPr>
      <w:r>
        <w:rPr>
          <w:rFonts w:hint="eastAsia"/>
        </w:rPr>
        <w:t>1.4.2 本项目不接受联合体投标</w:t>
      </w:r>
      <w:r>
        <w:rPr>
          <w:rFonts w:hint="eastAsia" w:ascii="TimesNewRomanPSMT" w:hAnsi="TimesNewRomanPSMT" w:cs="TimesNewRomanPSMT"/>
          <w:kern w:val="0"/>
          <w:sz w:val="24"/>
        </w:rPr>
        <w:t>。</w:t>
      </w:r>
    </w:p>
    <w:p>
      <w:pPr>
        <w:spacing w:line="360" w:lineRule="auto"/>
        <w:ind w:firstLine="420" w:firstLineChars="200"/>
        <w:rPr>
          <w:rFonts w:ascii="宋体" w:hAnsi="宋体"/>
          <w:szCs w:val="21"/>
        </w:rPr>
      </w:pPr>
      <w:r>
        <w:rPr>
          <w:rFonts w:hint="eastAsia" w:ascii="宋体" w:hAnsi="宋体"/>
          <w:szCs w:val="21"/>
        </w:rPr>
        <w:t xml:space="preserve">1.4.3 </w:t>
      </w:r>
      <w:r>
        <w:rPr>
          <w:rFonts w:hint="eastAsia"/>
        </w:rPr>
        <w:t>投标</w:t>
      </w:r>
      <w:r>
        <w:rPr>
          <w:rFonts w:hint="eastAsia" w:ascii="宋体" w:hAnsi="宋体"/>
          <w:szCs w:val="21"/>
        </w:rPr>
        <w:t xml:space="preserve">人不得存在下列情形之一： </w:t>
      </w:r>
    </w:p>
    <w:p>
      <w:pPr>
        <w:spacing w:line="360" w:lineRule="auto"/>
        <w:ind w:firstLine="420" w:firstLineChars="200"/>
        <w:rPr>
          <w:rFonts w:ascii="宋体" w:hAnsi="宋体"/>
          <w:szCs w:val="21"/>
        </w:rPr>
      </w:pPr>
      <w:bookmarkStart w:id="55" w:name="_Toc387526288"/>
      <w:bookmarkStart w:id="56" w:name="_Toc387526184"/>
      <w:bookmarkStart w:id="57" w:name="_Toc1684"/>
      <w:bookmarkStart w:id="58" w:name="_Toc387526380"/>
      <w:r>
        <w:rPr>
          <w:rFonts w:hint="eastAsia" w:ascii="宋体" w:hAnsi="宋体"/>
          <w:szCs w:val="21"/>
        </w:rPr>
        <w:t xml:space="preserve">（1）为招标人的附属机构（单位）； </w:t>
      </w:r>
    </w:p>
    <w:p>
      <w:pPr>
        <w:spacing w:line="360" w:lineRule="auto"/>
        <w:ind w:firstLine="420" w:firstLineChars="200"/>
        <w:rPr>
          <w:rFonts w:ascii="宋体" w:hAnsi="宋体"/>
          <w:szCs w:val="21"/>
        </w:rPr>
      </w:pPr>
      <w:r>
        <w:rPr>
          <w:rFonts w:hint="eastAsia" w:ascii="宋体" w:hAnsi="宋体"/>
          <w:szCs w:val="21"/>
        </w:rPr>
        <w:t>（2）为本标段前期准备提供设计或咨询服务的，但两阶段招标的除外；</w:t>
      </w:r>
    </w:p>
    <w:p>
      <w:pPr>
        <w:spacing w:line="360" w:lineRule="auto"/>
        <w:ind w:firstLine="420" w:firstLineChars="200"/>
        <w:rPr>
          <w:rFonts w:ascii="宋体" w:hAnsi="宋体"/>
          <w:szCs w:val="21"/>
        </w:rPr>
      </w:pPr>
      <w:r>
        <w:rPr>
          <w:rFonts w:hint="eastAsia" w:ascii="宋体" w:hAnsi="宋体"/>
          <w:szCs w:val="21"/>
        </w:rPr>
        <w:t xml:space="preserve">（3）为本标段的监理人； </w:t>
      </w:r>
    </w:p>
    <w:p>
      <w:pPr>
        <w:spacing w:line="360" w:lineRule="auto"/>
        <w:ind w:firstLine="420" w:firstLineChars="200"/>
        <w:rPr>
          <w:rFonts w:ascii="宋体" w:hAnsi="宋体"/>
          <w:szCs w:val="21"/>
        </w:rPr>
      </w:pPr>
      <w:r>
        <w:rPr>
          <w:rFonts w:hint="eastAsia" w:ascii="宋体" w:hAnsi="宋体"/>
          <w:szCs w:val="21"/>
        </w:rPr>
        <w:t xml:space="preserve">（4）为本标段的代建人； </w:t>
      </w:r>
    </w:p>
    <w:p>
      <w:pPr>
        <w:spacing w:line="360" w:lineRule="auto"/>
        <w:ind w:firstLine="420" w:firstLineChars="200"/>
        <w:rPr>
          <w:rFonts w:ascii="宋体" w:hAnsi="宋体"/>
          <w:szCs w:val="21"/>
        </w:rPr>
      </w:pPr>
      <w:r>
        <w:rPr>
          <w:rFonts w:hint="eastAsia" w:ascii="宋体" w:hAnsi="宋体"/>
          <w:szCs w:val="21"/>
        </w:rPr>
        <w:t xml:space="preserve">（5）为本标段提供招标代理服务的； </w:t>
      </w:r>
    </w:p>
    <w:p>
      <w:pPr>
        <w:spacing w:line="360" w:lineRule="auto"/>
        <w:ind w:firstLine="420" w:firstLineChars="200"/>
        <w:rPr>
          <w:rFonts w:ascii="宋体" w:hAnsi="宋体"/>
          <w:szCs w:val="21"/>
        </w:rPr>
      </w:pPr>
      <w:r>
        <w:rPr>
          <w:rFonts w:hint="eastAsia" w:ascii="宋体" w:hAnsi="宋体"/>
          <w:szCs w:val="21"/>
        </w:rPr>
        <w:t xml:space="preserve">（6）与本标段的监理人或代建人或招标代理机构的单位负责人为同一个人的； </w:t>
      </w:r>
    </w:p>
    <w:p>
      <w:pPr>
        <w:spacing w:line="360" w:lineRule="auto"/>
        <w:ind w:firstLine="420" w:firstLineChars="200"/>
        <w:rPr>
          <w:rFonts w:ascii="宋体" w:hAnsi="宋体"/>
          <w:szCs w:val="21"/>
        </w:rPr>
      </w:pPr>
      <w:r>
        <w:rPr>
          <w:rFonts w:hint="eastAsia" w:ascii="宋体" w:hAnsi="宋体"/>
          <w:szCs w:val="21"/>
        </w:rPr>
        <w:t xml:space="preserve">（7）与本标段的监理人或代建人或招标代理机构相互控股或参股的； </w:t>
      </w:r>
    </w:p>
    <w:p>
      <w:pPr>
        <w:spacing w:line="360" w:lineRule="auto"/>
        <w:ind w:firstLine="420" w:firstLineChars="200"/>
        <w:rPr>
          <w:rFonts w:ascii="宋体" w:hAnsi="宋体"/>
          <w:szCs w:val="21"/>
        </w:rPr>
      </w:pPr>
      <w:r>
        <w:rPr>
          <w:rFonts w:hint="eastAsia" w:ascii="宋体" w:hAnsi="宋体"/>
          <w:szCs w:val="21"/>
        </w:rPr>
        <w:t>（8）与本标段的其他申请人的单位负责人为同一个人的；</w:t>
      </w:r>
    </w:p>
    <w:p>
      <w:pPr>
        <w:spacing w:line="360" w:lineRule="auto"/>
        <w:ind w:firstLine="420" w:firstLineChars="200"/>
        <w:rPr>
          <w:rFonts w:ascii="宋体" w:hAnsi="宋体"/>
          <w:szCs w:val="21"/>
        </w:rPr>
      </w:pPr>
      <w:r>
        <w:rPr>
          <w:rFonts w:hint="eastAsia" w:ascii="宋体" w:hAnsi="宋体"/>
          <w:szCs w:val="21"/>
        </w:rPr>
        <w:t>（9）与本标段的其他申请人之间存在控股、管理关系或母公司、全资子公司关系的；</w:t>
      </w:r>
    </w:p>
    <w:p>
      <w:pPr>
        <w:spacing w:line="360" w:lineRule="auto"/>
        <w:ind w:firstLine="420" w:firstLineChars="200"/>
        <w:rPr>
          <w:rFonts w:ascii="宋体" w:hAnsi="宋体"/>
          <w:szCs w:val="21"/>
        </w:rPr>
      </w:pPr>
      <w:r>
        <w:rPr>
          <w:rFonts w:hint="eastAsia" w:ascii="宋体" w:hAnsi="宋体"/>
          <w:szCs w:val="21"/>
        </w:rPr>
        <w:t>（10）与本标段的其他申请人投标的货物为同一品牌同一型号；</w:t>
      </w:r>
    </w:p>
    <w:p>
      <w:pPr>
        <w:spacing w:line="360" w:lineRule="auto"/>
        <w:ind w:firstLine="420" w:firstLineChars="200"/>
        <w:rPr>
          <w:rFonts w:ascii="宋体" w:hAnsi="宋体"/>
          <w:szCs w:val="21"/>
        </w:rPr>
      </w:pPr>
      <w:r>
        <w:rPr>
          <w:rFonts w:hint="eastAsia" w:ascii="宋体" w:hAnsi="宋体"/>
          <w:szCs w:val="21"/>
        </w:rPr>
        <w:t>（11）法律法规规定的其他情形。</w:t>
      </w:r>
    </w:p>
    <w:p>
      <w:pPr>
        <w:pStyle w:val="4"/>
        <w:spacing w:before="60" w:after="60" w:line="360" w:lineRule="auto"/>
        <w:ind w:firstLine="118"/>
        <w:rPr>
          <w:szCs w:val="24"/>
        </w:rPr>
      </w:pPr>
      <w:bookmarkStart w:id="59" w:name="_Toc23585"/>
      <w:r>
        <w:rPr>
          <w:szCs w:val="24"/>
        </w:rPr>
        <w:t xml:space="preserve">1.5 </w:t>
      </w:r>
      <w:r>
        <w:rPr>
          <w:rFonts w:hint="eastAsia"/>
          <w:szCs w:val="24"/>
        </w:rPr>
        <w:t>费用承担</w:t>
      </w:r>
      <w:bookmarkEnd w:id="55"/>
      <w:bookmarkEnd w:id="56"/>
      <w:bookmarkEnd w:id="57"/>
      <w:bookmarkEnd w:id="58"/>
      <w:bookmarkEnd w:id="59"/>
    </w:p>
    <w:p>
      <w:pPr>
        <w:autoSpaceDE w:val="0"/>
        <w:autoSpaceDN w:val="0"/>
        <w:adjustRightInd w:val="0"/>
        <w:spacing w:line="360" w:lineRule="auto"/>
        <w:ind w:firstLine="420" w:firstLineChars="200"/>
        <w:jc w:val="left"/>
        <w:rPr>
          <w:rFonts w:eastAsia="黑体"/>
          <w:b/>
          <w:szCs w:val="21"/>
        </w:rPr>
      </w:pPr>
      <w:r>
        <w:rPr>
          <w:rFonts w:hint="eastAsia" w:ascii="宋体" w:hAnsi="TimesNewRomanPSMT" w:cs="宋体"/>
          <w:kern w:val="0"/>
          <w:szCs w:val="21"/>
        </w:rPr>
        <w:t>投标人准备和参加投标活动发生的费用自理。</w:t>
      </w:r>
    </w:p>
    <w:p>
      <w:pPr>
        <w:pStyle w:val="4"/>
        <w:spacing w:before="60" w:after="60" w:line="360" w:lineRule="auto"/>
        <w:ind w:firstLine="118"/>
        <w:rPr>
          <w:szCs w:val="24"/>
        </w:rPr>
      </w:pPr>
      <w:bookmarkStart w:id="60" w:name="_Toc20337"/>
      <w:bookmarkStart w:id="61" w:name="_Toc5130"/>
      <w:bookmarkStart w:id="62" w:name="_Toc387526289"/>
      <w:bookmarkStart w:id="63" w:name="_Toc387526381"/>
      <w:bookmarkStart w:id="64" w:name="_Toc387526185"/>
      <w:r>
        <w:rPr>
          <w:szCs w:val="24"/>
        </w:rPr>
        <w:t>1.6 保密</w:t>
      </w:r>
      <w:bookmarkEnd w:id="60"/>
      <w:bookmarkEnd w:id="61"/>
      <w:bookmarkEnd w:id="62"/>
      <w:bookmarkEnd w:id="63"/>
      <w:bookmarkEnd w:id="64"/>
    </w:p>
    <w:p>
      <w:pPr>
        <w:spacing w:line="360" w:lineRule="auto"/>
        <w:ind w:firstLine="420" w:firstLineChars="200"/>
        <w:rPr>
          <w:szCs w:val="21"/>
        </w:rPr>
      </w:pPr>
      <w:r>
        <w:rPr>
          <w:szCs w:val="21"/>
        </w:rPr>
        <w:t>参与招标投标活动的各方应对招标文件和投标文件中的商业和技术等秘密保密，违者应对由此造成的后果承担法律责任。</w:t>
      </w:r>
    </w:p>
    <w:p>
      <w:pPr>
        <w:pStyle w:val="4"/>
        <w:spacing w:before="60" w:after="60" w:line="360" w:lineRule="auto"/>
        <w:ind w:firstLine="118"/>
        <w:rPr>
          <w:szCs w:val="24"/>
        </w:rPr>
      </w:pPr>
      <w:bookmarkStart w:id="65" w:name="_Toc387526186"/>
      <w:bookmarkStart w:id="66" w:name="_Toc28421"/>
      <w:bookmarkStart w:id="67" w:name="_Toc387526382"/>
      <w:bookmarkStart w:id="68" w:name="_Toc822"/>
      <w:bookmarkStart w:id="69" w:name="_Toc387526290"/>
      <w:r>
        <w:rPr>
          <w:szCs w:val="24"/>
        </w:rPr>
        <w:t>1.7 语言文字</w:t>
      </w:r>
      <w:bookmarkEnd w:id="65"/>
      <w:bookmarkEnd w:id="66"/>
      <w:bookmarkEnd w:id="67"/>
      <w:bookmarkEnd w:id="68"/>
      <w:bookmarkEnd w:id="69"/>
    </w:p>
    <w:p>
      <w:pPr>
        <w:spacing w:line="360" w:lineRule="auto"/>
        <w:ind w:firstLine="420" w:firstLineChars="200"/>
        <w:rPr>
          <w:szCs w:val="21"/>
        </w:rPr>
      </w:pPr>
      <w:r>
        <w:rPr>
          <w:szCs w:val="21"/>
        </w:rPr>
        <w:t>除专用术语外，与招标投标有关的语言均使用中文。必要时专用术语应附有中文注释。</w:t>
      </w:r>
    </w:p>
    <w:p>
      <w:pPr>
        <w:pStyle w:val="4"/>
        <w:spacing w:before="60" w:after="60" w:line="360" w:lineRule="auto"/>
        <w:ind w:firstLine="118"/>
        <w:rPr>
          <w:szCs w:val="24"/>
        </w:rPr>
      </w:pPr>
      <w:bookmarkStart w:id="70" w:name="_Toc387526291"/>
      <w:bookmarkStart w:id="71" w:name="_Toc31413"/>
      <w:bookmarkStart w:id="72" w:name="_Toc387526383"/>
      <w:bookmarkStart w:id="73" w:name="_Toc387526187"/>
      <w:bookmarkStart w:id="74" w:name="_Toc9903"/>
      <w:r>
        <w:rPr>
          <w:szCs w:val="24"/>
        </w:rPr>
        <w:t>1.8 计量单位</w:t>
      </w:r>
      <w:bookmarkEnd w:id="70"/>
      <w:bookmarkEnd w:id="71"/>
      <w:bookmarkEnd w:id="72"/>
      <w:bookmarkEnd w:id="73"/>
      <w:bookmarkEnd w:id="74"/>
    </w:p>
    <w:p>
      <w:pPr>
        <w:spacing w:line="360" w:lineRule="auto"/>
        <w:ind w:firstLine="420" w:firstLineChars="200"/>
        <w:rPr>
          <w:szCs w:val="21"/>
        </w:rPr>
      </w:pPr>
      <w:r>
        <w:rPr>
          <w:szCs w:val="21"/>
        </w:rPr>
        <w:t>所有计量均采用中华人民共和国法定计量单位。</w:t>
      </w:r>
    </w:p>
    <w:p>
      <w:pPr>
        <w:pStyle w:val="4"/>
        <w:spacing w:before="60" w:after="60" w:line="360" w:lineRule="auto"/>
        <w:ind w:firstLine="118"/>
        <w:rPr>
          <w:szCs w:val="24"/>
        </w:rPr>
      </w:pPr>
      <w:bookmarkStart w:id="75" w:name="_Toc387526292"/>
      <w:bookmarkStart w:id="76" w:name="_Toc387526188"/>
      <w:bookmarkStart w:id="77" w:name="_Toc387526384"/>
      <w:bookmarkStart w:id="78" w:name="_Toc29620"/>
      <w:bookmarkStart w:id="79" w:name="_Toc25122"/>
      <w:r>
        <w:rPr>
          <w:szCs w:val="24"/>
        </w:rPr>
        <w:t>1.9 踏勘现场</w:t>
      </w:r>
      <w:bookmarkEnd w:id="75"/>
      <w:bookmarkEnd w:id="76"/>
      <w:bookmarkEnd w:id="77"/>
      <w:bookmarkEnd w:id="78"/>
      <w:bookmarkEnd w:id="79"/>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1.9.2 投标人踏勘现场发生的费用自理。</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1.9.3 除招标人的原因外，投标人自行负责在踏勘现场中所发生的人员伤亡和财产损失。</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1.9.4 招标人向投标人提供的有关施工现场的资料和数据是招标人现有的能使投标人利用的资料。招标人对投标人由此而做出的推论、理解和结论概不负责。</w:t>
      </w:r>
    </w:p>
    <w:p>
      <w:pPr>
        <w:pStyle w:val="4"/>
        <w:spacing w:before="60" w:after="60" w:line="360" w:lineRule="auto"/>
        <w:ind w:firstLine="118"/>
        <w:rPr>
          <w:szCs w:val="24"/>
        </w:rPr>
      </w:pPr>
      <w:bookmarkStart w:id="80" w:name="_Toc387526189"/>
      <w:bookmarkStart w:id="81" w:name="_Toc387526385"/>
      <w:bookmarkStart w:id="82" w:name="_Toc19208"/>
      <w:bookmarkStart w:id="83" w:name="_Toc11088"/>
      <w:bookmarkStart w:id="84" w:name="_Toc387526293"/>
      <w:r>
        <w:rPr>
          <w:szCs w:val="24"/>
        </w:rPr>
        <w:t>1.10 投标预备会</w:t>
      </w:r>
      <w:bookmarkEnd w:id="80"/>
      <w:bookmarkEnd w:id="81"/>
      <w:bookmarkEnd w:id="82"/>
      <w:bookmarkEnd w:id="83"/>
      <w:bookmarkEnd w:id="84"/>
    </w:p>
    <w:p>
      <w:pPr>
        <w:spacing w:line="360" w:lineRule="auto"/>
        <w:ind w:firstLine="420" w:firstLineChars="200"/>
        <w:rPr>
          <w:szCs w:val="21"/>
        </w:rPr>
      </w:pPr>
      <w:r>
        <w:rPr>
          <w:rFonts w:hint="eastAsia"/>
          <w:szCs w:val="21"/>
        </w:rPr>
        <w:t>1.10.1 投标人须知前附表规定召开投标预备会的，招标人按投标人须知前附表规定的时间和地点召开投标预备会，澄清投标人提出的问题。</w:t>
      </w:r>
    </w:p>
    <w:p>
      <w:pPr>
        <w:spacing w:line="360" w:lineRule="auto"/>
        <w:ind w:firstLine="420" w:firstLineChars="200"/>
        <w:rPr>
          <w:szCs w:val="21"/>
        </w:rPr>
      </w:pPr>
      <w:r>
        <w:rPr>
          <w:rFonts w:hint="eastAsia"/>
          <w:szCs w:val="21"/>
        </w:rPr>
        <w:t>1.10.2 投标人应在投标人须知前附表规定的时间前，以书面形式将提出的问题送达招标人，以便招标人在会议期间澄清。</w:t>
      </w:r>
    </w:p>
    <w:p>
      <w:pPr>
        <w:spacing w:line="360" w:lineRule="auto"/>
        <w:ind w:firstLine="420" w:firstLineChars="200"/>
        <w:rPr>
          <w:szCs w:val="21"/>
        </w:rPr>
      </w:pPr>
      <w:r>
        <w:rPr>
          <w:rFonts w:hint="eastAsia"/>
          <w:szCs w:val="21"/>
        </w:rPr>
        <w:t>1.10.3 投标预备会后，招标人在投标人须知前附表规定的时间内，将对投标人所提问颗的澄清，以书面方式通知所有购买招标文件的投标人。该澄清内容为招标文件的组成部分。</w:t>
      </w:r>
    </w:p>
    <w:p>
      <w:pPr>
        <w:pStyle w:val="4"/>
        <w:spacing w:before="60" w:after="60" w:line="360" w:lineRule="auto"/>
        <w:ind w:firstLine="118"/>
        <w:rPr>
          <w:szCs w:val="24"/>
        </w:rPr>
      </w:pPr>
      <w:bookmarkStart w:id="85" w:name="_Toc387526386"/>
      <w:bookmarkStart w:id="86" w:name="_Toc387526294"/>
      <w:bookmarkStart w:id="87" w:name="_Toc366679673"/>
      <w:bookmarkStart w:id="88" w:name="_Toc31376"/>
      <w:bookmarkStart w:id="89" w:name="_Toc21970"/>
      <w:bookmarkStart w:id="90" w:name="_Toc387526190"/>
      <w:bookmarkStart w:id="91" w:name="_Toc367894799"/>
      <w:bookmarkStart w:id="92" w:name="_Toc363329371"/>
      <w:r>
        <w:rPr>
          <w:szCs w:val="24"/>
        </w:rPr>
        <w:t>1.11 偏离</w:t>
      </w:r>
      <w:bookmarkEnd w:id="85"/>
      <w:bookmarkEnd w:id="86"/>
      <w:bookmarkEnd w:id="87"/>
      <w:bookmarkEnd w:id="88"/>
      <w:bookmarkEnd w:id="89"/>
      <w:bookmarkEnd w:id="90"/>
    </w:p>
    <w:p>
      <w:pPr>
        <w:spacing w:line="360" w:lineRule="auto"/>
        <w:ind w:firstLine="420" w:firstLineChars="200"/>
        <w:rPr>
          <w:szCs w:val="21"/>
        </w:rPr>
      </w:pPr>
      <w:r>
        <w:rPr>
          <w:szCs w:val="21"/>
        </w:rPr>
        <w:t>投标人须知前附表允许投标文件偏离招标文件某些要求的，偏离应当符合招标文件规定的偏离范围和幅度。</w:t>
      </w:r>
    </w:p>
    <w:p>
      <w:pPr>
        <w:pStyle w:val="159"/>
        <w:rPr>
          <w:color w:val="auto"/>
        </w:rPr>
      </w:pPr>
      <w:bookmarkStart w:id="93" w:name="_Toc387526191"/>
      <w:bookmarkStart w:id="94" w:name="_Toc368759376"/>
      <w:bookmarkStart w:id="95" w:name="_Toc387526387"/>
      <w:bookmarkStart w:id="96" w:name="_Toc369077562"/>
      <w:bookmarkStart w:id="97" w:name="_Toc14688"/>
      <w:bookmarkStart w:id="98" w:name="_Toc387526295"/>
      <w:bookmarkStart w:id="99" w:name="_Toc30422"/>
      <w:bookmarkStart w:id="100" w:name="_Toc368760428"/>
      <w:r>
        <w:rPr>
          <w:color w:val="auto"/>
        </w:rPr>
        <w:t>2.招标文件</w:t>
      </w:r>
      <w:bookmarkEnd w:id="91"/>
      <w:bookmarkEnd w:id="92"/>
      <w:bookmarkEnd w:id="93"/>
      <w:bookmarkEnd w:id="94"/>
      <w:bookmarkEnd w:id="95"/>
      <w:bookmarkEnd w:id="96"/>
      <w:bookmarkEnd w:id="97"/>
      <w:bookmarkEnd w:id="98"/>
      <w:bookmarkEnd w:id="99"/>
      <w:bookmarkEnd w:id="100"/>
    </w:p>
    <w:p>
      <w:pPr>
        <w:pStyle w:val="4"/>
        <w:spacing w:before="60" w:after="60" w:line="360" w:lineRule="auto"/>
        <w:ind w:firstLine="118"/>
        <w:rPr>
          <w:szCs w:val="24"/>
        </w:rPr>
      </w:pPr>
      <w:bookmarkStart w:id="101" w:name="_Toc23070"/>
      <w:bookmarkStart w:id="102" w:name="_Toc387526192"/>
      <w:bookmarkStart w:id="103" w:name="_Toc387526296"/>
      <w:bookmarkStart w:id="104" w:name="_Toc2791"/>
      <w:bookmarkStart w:id="105" w:name="_Toc387526388"/>
      <w:r>
        <w:rPr>
          <w:szCs w:val="24"/>
        </w:rPr>
        <w:t>2.1</w:t>
      </w:r>
      <w:r>
        <w:rPr>
          <w:rFonts w:hint="eastAsia"/>
          <w:szCs w:val="24"/>
        </w:rPr>
        <w:t xml:space="preserve"> </w:t>
      </w:r>
      <w:r>
        <w:rPr>
          <w:szCs w:val="24"/>
        </w:rPr>
        <w:t>招标文件组成</w:t>
      </w:r>
      <w:bookmarkEnd w:id="101"/>
      <w:bookmarkEnd w:id="102"/>
      <w:bookmarkEnd w:id="103"/>
      <w:bookmarkEnd w:id="104"/>
      <w:bookmarkEnd w:id="105"/>
    </w:p>
    <w:p>
      <w:pPr>
        <w:shd w:val="clear" w:color="auto" w:fill="FFFFFF"/>
        <w:autoSpaceDE w:val="0"/>
        <w:autoSpaceDN w:val="0"/>
        <w:adjustRightInd w:val="0"/>
        <w:spacing w:line="360" w:lineRule="auto"/>
        <w:ind w:firstLine="420" w:firstLineChars="200"/>
        <w:jc w:val="left"/>
        <w:rPr>
          <w:szCs w:val="21"/>
        </w:rPr>
      </w:pPr>
      <w:r>
        <w:rPr>
          <w:szCs w:val="21"/>
        </w:rPr>
        <w:t>2.1.1 本招标文件包括：</w:t>
      </w:r>
    </w:p>
    <w:p>
      <w:pPr>
        <w:spacing w:line="360" w:lineRule="auto"/>
        <w:ind w:firstLine="420" w:firstLineChars="200"/>
      </w:pPr>
      <w:r>
        <w:rPr>
          <w:rFonts w:hint="eastAsia"/>
        </w:rPr>
        <w:t>（1）</w:t>
      </w:r>
      <w:r>
        <w:t>招标公告；</w:t>
      </w:r>
    </w:p>
    <w:p>
      <w:pPr>
        <w:spacing w:line="360" w:lineRule="auto"/>
        <w:ind w:firstLine="420" w:firstLineChars="200"/>
      </w:pPr>
      <w:r>
        <w:rPr>
          <w:rFonts w:hint="eastAsia"/>
        </w:rPr>
        <w:t>（2）</w:t>
      </w:r>
      <w:r>
        <w:t>投标人须知；</w:t>
      </w:r>
    </w:p>
    <w:p>
      <w:pPr>
        <w:spacing w:line="360" w:lineRule="auto"/>
        <w:ind w:firstLine="420" w:firstLineChars="200"/>
      </w:pPr>
      <w:r>
        <w:rPr>
          <w:rFonts w:hint="eastAsia"/>
        </w:rPr>
        <w:t>（3）</w:t>
      </w:r>
      <w:r>
        <w:t>评标办法；</w:t>
      </w:r>
    </w:p>
    <w:p>
      <w:pPr>
        <w:spacing w:line="360" w:lineRule="auto"/>
        <w:ind w:firstLine="420" w:firstLineChars="200"/>
      </w:pPr>
      <w:r>
        <w:rPr>
          <w:rFonts w:hint="eastAsia"/>
        </w:rPr>
        <w:t>（4）</w:t>
      </w:r>
      <w:r>
        <w:t>合同条款及格式；</w:t>
      </w:r>
    </w:p>
    <w:p>
      <w:pPr>
        <w:spacing w:line="360" w:lineRule="auto"/>
        <w:ind w:firstLine="420" w:firstLineChars="200"/>
      </w:pPr>
      <w:r>
        <w:rPr>
          <w:rFonts w:hint="eastAsia"/>
        </w:rPr>
        <w:t>（5）招标</w:t>
      </w:r>
      <w:r>
        <w:t>需求；</w:t>
      </w:r>
    </w:p>
    <w:p>
      <w:pPr>
        <w:spacing w:line="360" w:lineRule="auto"/>
        <w:ind w:firstLine="420" w:firstLineChars="200"/>
      </w:pPr>
      <w:r>
        <w:rPr>
          <w:rFonts w:hint="eastAsia"/>
        </w:rPr>
        <w:t>（</w:t>
      </w:r>
      <w:r>
        <w:rPr>
          <w:rFonts w:hint="eastAsia"/>
          <w:lang w:val="en-US" w:eastAsia="zh-CN"/>
        </w:rPr>
        <w:t>6</w:t>
      </w:r>
      <w:r>
        <w:rPr>
          <w:rFonts w:hint="eastAsia"/>
        </w:rPr>
        <w:t>）</w:t>
      </w:r>
      <w:r>
        <w:t>投标文件格式；</w:t>
      </w:r>
    </w:p>
    <w:p>
      <w:pPr>
        <w:spacing w:line="360" w:lineRule="auto"/>
        <w:ind w:firstLine="420" w:firstLineChars="200"/>
      </w:pPr>
      <w:r>
        <w:rPr>
          <w:rFonts w:hint="eastAsia"/>
        </w:rPr>
        <w:t>（</w:t>
      </w:r>
      <w:r>
        <w:rPr>
          <w:rFonts w:hint="eastAsia"/>
          <w:lang w:val="en-US" w:eastAsia="zh-CN"/>
        </w:rPr>
        <w:t>7</w:t>
      </w:r>
      <w:r>
        <w:rPr>
          <w:rFonts w:hint="eastAsia"/>
        </w:rPr>
        <w:t>）</w:t>
      </w:r>
      <w:r>
        <w:t>投标人须知前附表规定的其他材料。</w:t>
      </w:r>
    </w:p>
    <w:p>
      <w:pPr>
        <w:spacing w:line="360" w:lineRule="auto"/>
        <w:ind w:firstLine="420" w:firstLineChars="200"/>
      </w:pPr>
      <w:r>
        <w:rPr>
          <w:rFonts w:hint="eastAsia"/>
        </w:rPr>
        <w:t>2.1.2根据本章第1.10款、第2.2款和第2.3款对招标文件所作的澄清、修改，构成招标文件的组成部分。当招标文件相互之间发生矛盾时，以后发出的文件为准。</w:t>
      </w:r>
    </w:p>
    <w:p>
      <w:pPr>
        <w:pStyle w:val="4"/>
        <w:spacing w:before="60" w:after="60" w:line="360" w:lineRule="auto"/>
        <w:ind w:firstLine="118"/>
        <w:rPr>
          <w:szCs w:val="24"/>
        </w:rPr>
      </w:pPr>
      <w:bookmarkStart w:id="106" w:name="_Toc9593"/>
      <w:bookmarkStart w:id="107" w:name="_Toc247085703"/>
      <w:bookmarkStart w:id="108" w:name="_Toc366679676"/>
      <w:bookmarkStart w:id="109" w:name="_Toc387526297"/>
      <w:bookmarkStart w:id="110" w:name="_Toc387526389"/>
      <w:bookmarkStart w:id="111" w:name="_Toc152042320"/>
      <w:bookmarkStart w:id="112" w:name="_Toc18905"/>
      <w:bookmarkStart w:id="113" w:name="_Toc179632562"/>
      <w:bookmarkStart w:id="114" w:name="_Toc246996189"/>
      <w:bookmarkStart w:id="115" w:name="_Toc246996932"/>
      <w:bookmarkStart w:id="116" w:name="_Toc152045544"/>
      <w:bookmarkStart w:id="117" w:name="_Toc387526193"/>
      <w:bookmarkStart w:id="118" w:name="_Toc144974512"/>
      <w:r>
        <w:rPr>
          <w:szCs w:val="24"/>
        </w:rPr>
        <w:t>2.2 招标文件的澄清</w:t>
      </w:r>
      <w:bookmarkEnd w:id="106"/>
      <w:bookmarkEnd w:id="107"/>
      <w:bookmarkEnd w:id="108"/>
      <w:bookmarkEnd w:id="109"/>
      <w:bookmarkEnd w:id="110"/>
      <w:bookmarkEnd w:id="111"/>
      <w:bookmarkEnd w:id="112"/>
      <w:bookmarkEnd w:id="113"/>
      <w:bookmarkEnd w:id="114"/>
      <w:bookmarkEnd w:id="115"/>
      <w:bookmarkEnd w:id="116"/>
      <w:bookmarkEnd w:id="117"/>
      <w:bookmarkEnd w:id="118"/>
      <w:r>
        <w:rPr>
          <w:szCs w:val="24"/>
        </w:rPr>
        <w:t xml:space="preserve"> </w:t>
      </w:r>
    </w:p>
    <w:p>
      <w:pPr>
        <w:shd w:val="clear" w:color="auto" w:fill="FFFFFF"/>
        <w:autoSpaceDE w:val="0"/>
        <w:autoSpaceDN w:val="0"/>
        <w:adjustRightInd w:val="0"/>
        <w:spacing w:line="360" w:lineRule="auto"/>
        <w:ind w:firstLine="420" w:firstLineChars="200"/>
        <w:jc w:val="left"/>
        <w:rPr>
          <w:szCs w:val="21"/>
        </w:rPr>
      </w:pPr>
      <w:r>
        <w:rPr>
          <w:rFonts w:hint="eastAsia"/>
          <w:szCs w:val="21"/>
        </w:rPr>
        <w:t>2.2.1 投标人应仔细阅读和检查招标文件的全部内容。如发现缺页或附件不全，应及时向招标人提出，以便补齐。如有疑问，应在投标人须知前附表规定的时间前、前附表规定的方式要求招标人对招标文件予以澄清。</w:t>
      </w:r>
    </w:p>
    <w:p>
      <w:pPr>
        <w:shd w:val="clear" w:color="auto" w:fill="FFFFFF"/>
        <w:autoSpaceDE w:val="0"/>
        <w:autoSpaceDN w:val="0"/>
        <w:adjustRightInd w:val="0"/>
        <w:spacing w:line="360" w:lineRule="auto"/>
        <w:ind w:firstLine="420" w:firstLineChars="200"/>
        <w:jc w:val="left"/>
        <w:rPr>
          <w:szCs w:val="21"/>
        </w:rPr>
      </w:pPr>
      <w:r>
        <w:rPr>
          <w:rFonts w:hint="eastAsia"/>
          <w:szCs w:val="21"/>
        </w:rPr>
        <w:t>2.2.2 招标文件的澄清将在投标人须知前附表规定的投标截止时间15天前以前附表规定的方式予以澄清，但不指明澄清问题的来源。如果澄清发出的时间距投标截止时间不足15天，且澄清内容影响投标文件编制的，相应延长投标截止时间。</w:t>
      </w:r>
    </w:p>
    <w:p>
      <w:pPr>
        <w:shd w:val="clear" w:color="auto" w:fill="FFFFFF"/>
        <w:autoSpaceDE w:val="0"/>
        <w:autoSpaceDN w:val="0"/>
        <w:adjustRightInd w:val="0"/>
        <w:spacing w:line="360" w:lineRule="auto"/>
        <w:ind w:firstLine="420" w:firstLineChars="200"/>
        <w:jc w:val="left"/>
        <w:rPr>
          <w:szCs w:val="21"/>
        </w:rPr>
      </w:pPr>
      <w:r>
        <w:rPr>
          <w:rFonts w:hint="eastAsia"/>
          <w:szCs w:val="21"/>
        </w:rPr>
        <w:t>2.2.3 投标人在投标前应每天在招标公告发布网站查阅、获取招标文件的澄清（或修改），因投标人原因未能及时获取招标文件的澄清（或修改）其责任由投标人自负。</w:t>
      </w:r>
    </w:p>
    <w:p>
      <w:pPr>
        <w:pStyle w:val="4"/>
        <w:spacing w:before="60" w:after="60" w:line="360" w:lineRule="auto"/>
        <w:ind w:firstLine="118"/>
        <w:rPr>
          <w:szCs w:val="24"/>
        </w:rPr>
      </w:pPr>
      <w:bookmarkStart w:id="119" w:name="_Toc246996933"/>
      <w:bookmarkStart w:id="120" w:name="_Toc19263"/>
      <w:bookmarkStart w:id="121" w:name="_Toc387526194"/>
      <w:bookmarkStart w:id="122" w:name="_Toc387526390"/>
      <w:bookmarkStart w:id="123" w:name="_Toc179632563"/>
      <w:bookmarkStart w:id="124" w:name="_Toc246996190"/>
      <w:bookmarkStart w:id="125" w:name="_Toc366679677"/>
      <w:bookmarkStart w:id="126" w:name="_Toc387526298"/>
      <w:bookmarkStart w:id="127" w:name="_Toc247085704"/>
      <w:bookmarkStart w:id="128" w:name="_Toc6690"/>
      <w:r>
        <w:rPr>
          <w:szCs w:val="24"/>
        </w:rPr>
        <w:t>2.3 招标文件的修改</w:t>
      </w:r>
      <w:bookmarkEnd w:id="119"/>
      <w:bookmarkEnd w:id="120"/>
      <w:bookmarkEnd w:id="121"/>
      <w:bookmarkEnd w:id="122"/>
      <w:bookmarkEnd w:id="123"/>
      <w:bookmarkEnd w:id="124"/>
      <w:bookmarkEnd w:id="125"/>
      <w:bookmarkEnd w:id="126"/>
      <w:bookmarkEnd w:id="127"/>
      <w:bookmarkEnd w:id="128"/>
    </w:p>
    <w:p>
      <w:pPr>
        <w:shd w:val="clear" w:color="auto" w:fill="FFFFFF"/>
        <w:autoSpaceDE w:val="0"/>
        <w:autoSpaceDN w:val="0"/>
        <w:adjustRightInd w:val="0"/>
        <w:spacing w:line="360" w:lineRule="auto"/>
        <w:ind w:firstLine="420" w:firstLineChars="200"/>
        <w:jc w:val="left"/>
        <w:rPr>
          <w:szCs w:val="21"/>
        </w:rPr>
      </w:pPr>
      <w:r>
        <w:rPr>
          <w:rFonts w:hint="eastAsia"/>
          <w:szCs w:val="21"/>
        </w:rPr>
        <w:t>2.3.1 在投标截止时间15天前，招标人可以书面形式修改招标文件，并通知所有已购买招标文件的投标人。如果修改招标文件的时间距投标截止时间不足15天，且修改内容影响投标文件编制的，相应延长投标截止时间。</w:t>
      </w:r>
    </w:p>
    <w:p>
      <w:pPr>
        <w:shd w:val="clear" w:color="auto" w:fill="FFFFFF"/>
        <w:autoSpaceDE w:val="0"/>
        <w:autoSpaceDN w:val="0"/>
        <w:adjustRightInd w:val="0"/>
        <w:spacing w:line="360" w:lineRule="auto"/>
        <w:ind w:firstLine="420" w:firstLineChars="200"/>
        <w:jc w:val="left"/>
        <w:rPr>
          <w:szCs w:val="21"/>
        </w:rPr>
      </w:pPr>
      <w:r>
        <w:rPr>
          <w:rFonts w:hint="eastAsia"/>
          <w:szCs w:val="21"/>
        </w:rPr>
        <w:t>2.3.2投标人收到修改内容后，应在投标人须知前附表规定的时间内及时下载、查阅，因投标人原因未能及时获取招标文件的澄清（或修改）其责任由投标人自负。</w:t>
      </w:r>
    </w:p>
    <w:p>
      <w:pPr>
        <w:pStyle w:val="159"/>
        <w:rPr>
          <w:color w:val="auto"/>
        </w:rPr>
      </w:pPr>
      <w:bookmarkStart w:id="129" w:name="_Toc387526299"/>
      <w:bookmarkStart w:id="130" w:name="_Toc387526195"/>
      <w:bookmarkStart w:id="131" w:name="_Toc19165"/>
      <w:bookmarkStart w:id="132" w:name="_Toc367894800"/>
      <w:bookmarkStart w:id="133" w:name="_Toc369077563"/>
      <w:bookmarkStart w:id="134" w:name="_Toc387526391"/>
      <w:bookmarkStart w:id="135" w:name="_Toc363329372"/>
      <w:bookmarkStart w:id="136" w:name="_Toc19481"/>
      <w:bookmarkStart w:id="137" w:name="_Toc368759377"/>
      <w:bookmarkStart w:id="138" w:name="_Toc368760429"/>
      <w:bookmarkStart w:id="139" w:name="_Toc119718089"/>
      <w:r>
        <w:rPr>
          <w:color w:val="auto"/>
        </w:rPr>
        <w:t>3.投标文件</w:t>
      </w:r>
      <w:bookmarkEnd w:id="129"/>
      <w:bookmarkEnd w:id="130"/>
      <w:bookmarkEnd w:id="131"/>
      <w:bookmarkEnd w:id="132"/>
      <w:bookmarkEnd w:id="133"/>
      <w:bookmarkEnd w:id="134"/>
      <w:bookmarkEnd w:id="135"/>
      <w:bookmarkEnd w:id="136"/>
      <w:bookmarkEnd w:id="137"/>
      <w:bookmarkEnd w:id="138"/>
    </w:p>
    <w:p>
      <w:pPr>
        <w:pStyle w:val="4"/>
        <w:spacing w:before="60" w:after="60" w:line="360" w:lineRule="auto"/>
        <w:ind w:firstLine="118"/>
        <w:rPr>
          <w:szCs w:val="24"/>
        </w:rPr>
      </w:pPr>
      <w:bookmarkStart w:id="140" w:name="_Toc387526392"/>
      <w:bookmarkStart w:id="141" w:name="_Toc14614"/>
      <w:bookmarkStart w:id="142" w:name="_Toc5625"/>
      <w:bookmarkStart w:id="143" w:name="_Toc387526300"/>
      <w:bookmarkStart w:id="144" w:name="_Toc387526196"/>
      <w:r>
        <w:rPr>
          <w:szCs w:val="24"/>
        </w:rPr>
        <w:t>3.1 投标文件</w:t>
      </w:r>
      <w:bookmarkEnd w:id="139"/>
      <w:r>
        <w:rPr>
          <w:rFonts w:hint="eastAsia"/>
          <w:szCs w:val="24"/>
        </w:rPr>
        <w:t>的</w:t>
      </w:r>
      <w:r>
        <w:rPr>
          <w:szCs w:val="24"/>
        </w:rPr>
        <w:t>组成</w:t>
      </w:r>
      <w:bookmarkEnd w:id="140"/>
      <w:bookmarkEnd w:id="141"/>
      <w:bookmarkEnd w:id="142"/>
      <w:bookmarkEnd w:id="143"/>
      <w:bookmarkEnd w:id="144"/>
    </w:p>
    <w:p>
      <w:pPr>
        <w:spacing w:line="360" w:lineRule="auto"/>
        <w:ind w:firstLine="420" w:firstLineChars="200"/>
        <w:rPr>
          <w:rFonts w:hint="eastAsia"/>
          <w:szCs w:val="21"/>
        </w:rPr>
      </w:pPr>
      <w:r>
        <w:rPr>
          <w:rFonts w:hint="eastAsia"/>
          <w:szCs w:val="21"/>
        </w:rPr>
        <w:t>3.1.1 投标文件的组成见投标人须知前附表。</w:t>
      </w:r>
    </w:p>
    <w:p>
      <w:pPr>
        <w:spacing w:line="360" w:lineRule="auto"/>
        <w:ind w:firstLine="420" w:firstLineChars="200"/>
        <w:rPr>
          <w:szCs w:val="21"/>
        </w:rPr>
      </w:pPr>
      <w:r>
        <w:rPr>
          <w:rFonts w:hint="eastAsia"/>
          <w:szCs w:val="21"/>
        </w:rPr>
        <w:t xml:space="preserve"> 投标文件包括资信文件、商务文件、技术文件及开标一览表</w:t>
      </w:r>
    </w:p>
    <w:p>
      <w:pPr>
        <w:ind w:firstLine="420" w:firstLineChars="200"/>
        <w:jc w:val="left"/>
        <w:rPr>
          <w:szCs w:val="21"/>
        </w:rPr>
      </w:pPr>
      <w:r>
        <w:rPr>
          <w:rFonts w:hint="eastAsia"/>
          <w:szCs w:val="21"/>
        </w:rPr>
        <w:t>（1）资信文件应包括如下内容：</w:t>
      </w:r>
    </w:p>
    <w:p>
      <w:pPr>
        <w:spacing w:line="360" w:lineRule="auto"/>
        <w:ind w:firstLine="420" w:firstLineChars="200"/>
        <w:rPr>
          <w:szCs w:val="21"/>
        </w:rPr>
      </w:pPr>
      <w:r>
        <w:rPr>
          <w:rFonts w:hint="eastAsia"/>
          <w:szCs w:val="21"/>
        </w:rPr>
        <w:t>主要包括下述材料原件或加盖单位公章的复印件：</w:t>
      </w:r>
    </w:p>
    <w:p>
      <w:pPr>
        <w:spacing w:line="360" w:lineRule="auto"/>
        <w:ind w:firstLine="420" w:firstLineChars="200"/>
        <w:rPr>
          <w:szCs w:val="21"/>
        </w:rPr>
      </w:pPr>
      <w:r>
        <w:rPr>
          <w:rFonts w:hint="eastAsia"/>
          <w:szCs w:val="21"/>
        </w:rPr>
        <w:t>企业营业执照（三证合一副本）；</w:t>
      </w:r>
    </w:p>
    <w:p>
      <w:pPr>
        <w:spacing w:line="360" w:lineRule="auto"/>
        <w:ind w:firstLine="420" w:firstLineChars="200"/>
        <w:rPr>
          <w:szCs w:val="21"/>
        </w:rPr>
      </w:pPr>
      <w:r>
        <w:rPr>
          <w:rFonts w:hint="eastAsia"/>
          <w:szCs w:val="21"/>
        </w:rPr>
        <w:t>投标人针对本项目评标办法认为需要提供的其他材料。</w:t>
      </w:r>
    </w:p>
    <w:p>
      <w:pPr>
        <w:ind w:firstLine="420" w:firstLineChars="200"/>
        <w:jc w:val="left"/>
        <w:rPr>
          <w:szCs w:val="21"/>
        </w:rPr>
      </w:pPr>
      <w:r>
        <w:rPr>
          <w:rFonts w:hint="eastAsia"/>
          <w:szCs w:val="21"/>
        </w:rPr>
        <w:t>（2）商务文件应包括如下内容：</w:t>
      </w:r>
    </w:p>
    <w:p>
      <w:pPr>
        <w:spacing w:line="360" w:lineRule="auto"/>
        <w:ind w:firstLine="420" w:firstLineChars="200"/>
        <w:rPr>
          <w:szCs w:val="21"/>
        </w:rPr>
      </w:pPr>
      <w:r>
        <w:rPr>
          <w:rFonts w:hint="eastAsia"/>
          <w:szCs w:val="21"/>
        </w:rPr>
        <w:t>投标函</w:t>
      </w:r>
    </w:p>
    <w:p>
      <w:pPr>
        <w:spacing w:line="360" w:lineRule="auto"/>
        <w:ind w:firstLine="420" w:firstLineChars="200"/>
        <w:rPr>
          <w:szCs w:val="21"/>
        </w:rPr>
      </w:pPr>
      <w:r>
        <w:rPr>
          <w:rFonts w:hint="eastAsia"/>
          <w:szCs w:val="21"/>
        </w:rPr>
        <w:t>投标报价汇总表</w:t>
      </w:r>
    </w:p>
    <w:p>
      <w:pPr>
        <w:spacing w:line="360" w:lineRule="auto"/>
        <w:ind w:firstLine="420" w:firstLineChars="200"/>
        <w:rPr>
          <w:szCs w:val="21"/>
        </w:rPr>
      </w:pPr>
      <w:r>
        <w:rPr>
          <w:rFonts w:hint="eastAsia"/>
          <w:szCs w:val="21"/>
        </w:rPr>
        <w:t>商务及技术条款偏离表</w:t>
      </w:r>
    </w:p>
    <w:p>
      <w:pPr>
        <w:spacing w:line="360" w:lineRule="auto"/>
        <w:ind w:firstLine="420" w:firstLineChars="200"/>
        <w:rPr>
          <w:szCs w:val="21"/>
        </w:rPr>
      </w:pPr>
      <w:r>
        <w:rPr>
          <w:rFonts w:hint="eastAsia"/>
          <w:szCs w:val="21"/>
        </w:rPr>
        <w:t>投标人基本情况表及附件</w:t>
      </w:r>
    </w:p>
    <w:p>
      <w:pPr>
        <w:spacing w:line="360" w:lineRule="auto"/>
        <w:ind w:firstLine="420" w:firstLineChars="200"/>
        <w:rPr>
          <w:szCs w:val="21"/>
        </w:rPr>
      </w:pPr>
      <w:r>
        <w:rPr>
          <w:rFonts w:hint="eastAsia"/>
          <w:szCs w:val="21"/>
        </w:rPr>
        <w:t>注：上述所有商务文件复印件均应装订成册（份数详见前附表相关约定）。</w:t>
      </w:r>
    </w:p>
    <w:p>
      <w:pPr>
        <w:ind w:firstLine="420" w:firstLineChars="200"/>
        <w:jc w:val="left"/>
        <w:rPr>
          <w:szCs w:val="21"/>
        </w:rPr>
      </w:pPr>
      <w:r>
        <w:rPr>
          <w:rFonts w:hint="eastAsia"/>
          <w:szCs w:val="21"/>
        </w:rPr>
        <w:t>（3）技术文件应包括如下内容：</w:t>
      </w:r>
    </w:p>
    <w:p>
      <w:pPr>
        <w:spacing w:line="360" w:lineRule="auto"/>
        <w:ind w:firstLine="420" w:firstLineChars="200"/>
        <w:rPr>
          <w:szCs w:val="21"/>
        </w:rPr>
      </w:pPr>
      <w:r>
        <w:rPr>
          <w:rFonts w:hint="eastAsia"/>
          <w:szCs w:val="21"/>
        </w:rPr>
        <w:t>参考评标办法的相应评分角度，准备相应的投标文件内容。</w:t>
      </w:r>
    </w:p>
    <w:p>
      <w:pPr>
        <w:spacing w:line="360" w:lineRule="auto"/>
        <w:ind w:firstLine="420" w:firstLineChars="200"/>
        <w:rPr>
          <w:szCs w:val="21"/>
        </w:rPr>
      </w:pPr>
      <w:r>
        <w:rPr>
          <w:rFonts w:hint="eastAsia"/>
          <w:szCs w:val="21"/>
        </w:rPr>
        <w:t>各投标人根据评分标准自行清晰组织文稿，也可自行增加认为需要补充的内容。</w:t>
      </w:r>
    </w:p>
    <w:p>
      <w:pPr>
        <w:ind w:firstLine="420" w:firstLineChars="200"/>
        <w:jc w:val="left"/>
        <w:rPr>
          <w:szCs w:val="21"/>
        </w:rPr>
      </w:pPr>
      <w:r>
        <w:rPr>
          <w:rFonts w:hint="eastAsia"/>
          <w:szCs w:val="21"/>
        </w:rPr>
        <w:t>（4）开标一览表的要求（单独密封）</w:t>
      </w:r>
    </w:p>
    <w:p>
      <w:pPr>
        <w:spacing w:line="360" w:lineRule="auto"/>
        <w:ind w:firstLine="420" w:firstLineChars="200"/>
        <w:rPr>
          <w:rFonts w:hint="eastAsia"/>
          <w:szCs w:val="21"/>
        </w:rPr>
      </w:pPr>
      <w:r>
        <w:rPr>
          <w:rFonts w:hint="eastAsia"/>
          <w:szCs w:val="21"/>
        </w:rPr>
        <w:t>开标一览表密封袋里须附（法定代表人身份证明书）或（授权委托代理人的身份证复印件及授权委托书）</w:t>
      </w:r>
    </w:p>
    <w:p>
      <w:pPr>
        <w:spacing w:line="360" w:lineRule="auto"/>
        <w:ind w:firstLine="420" w:firstLineChars="200"/>
        <w:rPr>
          <w:szCs w:val="21"/>
        </w:rPr>
      </w:pPr>
      <w:r>
        <w:rPr>
          <w:rFonts w:hint="eastAsia"/>
          <w:szCs w:val="21"/>
        </w:rPr>
        <w:t>3.1.2 第六章“投标文件格式”要求提供相关证明材料的复印件作为附件的，投标人应按要求在投标文件中提供相应材料，否则不予认可。</w:t>
      </w:r>
    </w:p>
    <w:p>
      <w:pPr>
        <w:snapToGrid w:val="0"/>
        <w:spacing w:before="156" w:beforeLines="50" w:line="360" w:lineRule="auto"/>
        <w:ind w:firstLine="411" w:firstLineChars="196"/>
        <w:jc w:val="left"/>
        <w:rPr>
          <w:rFonts w:ascii="宋体" w:hAnsi="宋体"/>
          <w:szCs w:val="21"/>
        </w:rPr>
      </w:pPr>
      <w:r>
        <w:rPr>
          <w:rFonts w:hint="eastAsia"/>
          <w:szCs w:val="21"/>
        </w:rPr>
        <w:t>3.1.3 投标人应按投标人须知前附表的规定提供相关证明材料的原件，用于现场核验，否则不予认可。资格审查材料</w:t>
      </w:r>
      <w:r>
        <w:rPr>
          <w:rFonts w:hint="eastAsia" w:ascii="宋体" w:hAnsi="宋体"/>
          <w:szCs w:val="21"/>
        </w:rPr>
        <w:t>主要</w:t>
      </w:r>
      <w:r>
        <w:rPr>
          <w:rFonts w:ascii="宋体" w:hAnsi="宋体"/>
          <w:szCs w:val="21"/>
        </w:rPr>
        <w:t>包括</w:t>
      </w:r>
      <w:r>
        <w:rPr>
          <w:rFonts w:hint="eastAsia" w:ascii="宋体" w:hAnsi="宋体"/>
          <w:szCs w:val="21"/>
        </w:rPr>
        <w:t>下述材料原件和复印件（复印件须装订在投标文件中，原件须在投标截止之前与投标文件一并提交，可随投标文件一起装袋密封提交，也可单独密封提交）：</w:t>
      </w:r>
    </w:p>
    <w:p>
      <w:pPr>
        <w:snapToGrid w:val="0"/>
        <w:spacing w:line="360" w:lineRule="auto"/>
        <w:ind w:firstLine="422" w:firstLineChars="200"/>
        <w:jc w:val="left"/>
        <w:rPr>
          <w:b/>
          <w:bCs/>
          <w:szCs w:val="21"/>
          <w:u w:val="single"/>
        </w:rPr>
      </w:pPr>
      <w:r>
        <w:rPr>
          <w:rFonts w:hint="eastAsia"/>
          <w:b/>
          <w:bCs/>
          <w:szCs w:val="21"/>
          <w:u w:val="single"/>
        </w:rPr>
        <w:t>投标人投标时需提供下列材料的原件及复印件：</w:t>
      </w:r>
    </w:p>
    <w:p>
      <w:pPr>
        <w:spacing w:line="360" w:lineRule="auto"/>
        <w:ind w:firstLine="422" w:firstLineChars="200"/>
        <w:rPr>
          <w:b/>
          <w:bCs/>
          <w:szCs w:val="21"/>
          <w:u w:val="single"/>
        </w:rPr>
      </w:pPr>
      <w:r>
        <w:rPr>
          <w:rFonts w:hint="eastAsia"/>
          <w:b/>
          <w:bCs/>
          <w:szCs w:val="21"/>
          <w:u w:val="single"/>
        </w:rPr>
        <w:t>（1）企业营业执照（副本）；</w:t>
      </w:r>
    </w:p>
    <w:p>
      <w:pPr>
        <w:spacing w:line="360" w:lineRule="auto"/>
        <w:ind w:firstLine="422" w:firstLineChars="200"/>
        <w:rPr>
          <w:b/>
          <w:bCs/>
          <w:szCs w:val="21"/>
          <w:u w:val="single"/>
        </w:rPr>
      </w:pPr>
      <w:r>
        <w:rPr>
          <w:rFonts w:hint="eastAsia"/>
          <w:b/>
          <w:bCs/>
          <w:szCs w:val="21"/>
          <w:u w:val="single"/>
        </w:rPr>
        <w:t>（</w:t>
      </w:r>
      <w:r>
        <w:rPr>
          <w:rFonts w:hint="eastAsia"/>
          <w:b/>
          <w:bCs/>
          <w:szCs w:val="21"/>
          <w:u w:val="single"/>
          <w:lang w:val="en-US" w:eastAsia="zh-CN"/>
        </w:rPr>
        <w:t>2</w:t>
      </w:r>
      <w:r>
        <w:rPr>
          <w:rFonts w:hint="eastAsia"/>
          <w:b/>
          <w:bCs/>
          <w:szCs w:val="21"/>
          <w:u w:val="single"/>
        </w:rPr>
        <w:t>）招标文件要求提供的其它材料。</w:t>
      </w:r>
    </w:p>
    <w:p>
      <w:pPr>
        <w:spacing w:line="360" w:lineRule="auto"/>
        <w:ind w:firstLine="420" w:firstLineChars="200"/>
        <w:rPr>
          <w:szCs w:val="21"/>
        </w:rPr>
      </w:pPr>
      <w:r>
        <w:rPr>
          <w:rFonts w:hint="eastAsia"/>
          <w:szCs w:val="21"/>
        </w:rPr>
        <w:t>注：以上资料须提供原件供评标委员会审查，未提供原件或原件资料不全的资格审查不予通过，确有特殊原因无法提供原件的，复印件必须经原发证部门确认，否则按无效投标文件处理。</w:t>
      </w:r>
    </w:p>
    <w:p>
      <w:pPr>
        <w:pStyle w:val="4"/>
        <w:spacing w:before="60" w:after="60" w:line="360" w:lineRule="auto"/>
        <w:ind w:firstLine="118"/>
        <w:rPr>
          <w:szCs w:val="24"/>
        </w:rPr>
      </w:pPr>
      <w:bookmarkStart w:id="145" w:name="_Toc387526197"/>
      <w:bookmarkStart w:id="146" w:name="_Toc10820"/>
      <w:bookmarkStart w:id="147" w:name="_Toc32160"/>
      <w:bookmarkStart w:id="148" w:name="_Toc387526301"/>
      <w:bookmarkStart w:id="149" w:name="_Toc387526393"/>
      <w:r>
        <w:rPr>
          <w:szCs w:val="24"/>
        </w:rPr>
        <w:t>3.2 投标报价</w:t>
      </w:r>
      <w:bookmarkEnd w:id="145"/>
      <w:bookmarkEnd w:id="146"/>
      <w:bookmarkEnd w:id="147"/>
      <w:bookmarkEnd w:id="148"/>
      <w:bookmarkEnd w:id="149"/>
    </w:p>
    <w:p>
      <w:pPr>
        <w:tabs>
          <w:tab w:val="left" w:pos="790"/>
        </w:tabs>
        <w:spacing w:line="480" w:lineRule="exact"/>
        <w:ind w:firstLine="420" w:firstLineChars="200"/>
        <w:rPr>
          <w:szCs w:val="21"/>
        </w:rPr>
      </w:pPr>
      <w:r>
        <w:rPr>
          <w:szCs w:val="21"/>
        </w:rPr>
        <w:t>3.2.1</w:t>
      </w:r>
      <w:r>
        <w:rPr>
          <w:rFonts w:hint="eastAsia"/>
          <w:szCs w:val="21"/>
        </w:rPr>
        <w:t>投标报价应包含本招标文件中的全部内容所需的所有费用，</w:t>
      </w:r>
      <w:r>
        <w:rPr>
          <w:rFonts w:hint="eastAsia" w:ascii="宋体" w:hAnsi="宋体" w:cs="Arial"/>
          <w:szCs w:val="21"/>
        </w:rPr>
        <w:t>投标人投标报价应是投标人在承诺的质量目标和完成时限目标内为完成招标文件所确定的招标范围的全部内容。投标人应充分考虑为完成上述内容所必须的直接和间接成本【包括所有设备、软件（包括所有第三方软件）开发和采购、方案设计、备品备件、</w:t>
      </w:r>
      <w:r>
        <w:rPr>
          <w:rFonts w:ascii="宋体" w:hAnsi="宋体" w:cs="Arial"/>
          <w:szCs w:val="21"/>
        </w:rPr>
        <w:t>劳务、运输、管理、安装、集成、</w:t>
      </w:r>
      <w:r>
        <w:rPr>
          <w:rFonts w:hint="eastAsia" w:ascii="宋体" w:hAnsi="宋体" w:cs="Arial"/>
          <w:szCs w:val="21"/>
        </w:rPr>
        <w:t>售后、培训、</w:t>
      </w:r>
      <w:r>
        <w:rPr>
          <w:rFonts w:ascii="宋体" w:hAnsi="宋体" w:cs="Arial"/>
          <w:szCs w:val="21"/>
        </w:rPr>
        <w:t>保险、</w:t>
      </w:r>
      <w:r>
        <w:rPr>
          <w:rFonts w:hint="eastAsia" w:ascii="宋体" w:hAnsi="宋体" w:cs="Arial"/>
          <w:szCs w:val="21"/>
        </w:rPr>
        <w:t>知识产权、</w:t>
      </w:r>
      <w:r>
        <w:rPr>
          <w:rFonts w:ascii="宋体" w:hAnsi="宋体" w:cs="Arial"/>
          <w:szCs w:val="21"/>
        </w:rPr>
        <w:t>利润、税金、政策性文件规定及合同包含的所有风险、责任等各项应有费用</w:t>
      </w:r>
      <w:r>
        <w:rPr>
          <w:rFonts w:hint="eastAsia" w:ascii="宋体" w:hAnsi="宋体" w:cs="Arial"/>
          <w:szCs w:val="21"/>
        </w:rPr>
        <w:t>】、本招标文件规定的招标代理费、竣工验收前设备、设施委托第三方进行检测、检验费和相关有权部门验收所需的所有费用、工程完工后临时设施的拆除与清理及现场恢复费用、现场安全防护、材料二次搬运、招标代理费、为完成竣工验收所需的一切检验试验费用、配合费用及总包管理费、与其他施工单位交叉施工增加费、赶工措施费、风险费、以及各种管线、建筑物、构筑物的加固围护、责任及政策性文件规定以及本项目规定的全部费用的价格体现。</w:t>
      </w:r>
      <w:r>
        <w:rPr>
          <w:rFonts w:hint="eastAsia"/>
          <w:szCs w:val="21"/>
        </w:rPr>
        <w:t>投标所报价格为最终结算</w:t>
      </w:r>
      <w:r>
        <w:rPr>
          <w:rFonts w:hint="eastAsia"/>
          <w:szCs w:val="21"/>
          <w:lang w:val="en-US" w:eastAsia="zh-CN"/>
        </w:rPr>
        <w:t>单</w:t>
      </w:r>
      <w:r>
        <w:rPr>
          <w:rFonts w:hint="eastAsia"/>
          <w:szCs w:val="21"/>
        </w:rPr>
        <w:t>价，因特殊原因并经买卖双方协商同意，投标人不得再要求追加任何费用。同时，除非合同条款中另有规定，否则，投标单位所报单价在合同实施期间不因市场变化因素而变动。本项目招标代理费详见须知前附表，包含在投标报价内，不得单列。</w:t>
      </w:r>
    </w:p>
    <w:p>
      <w:pPr>
        <w:spacing w:line="360" w:lineRule="auto"/>
        <w:ind w:firstLine="420" w:firstLineChars="200"/>
        <w:rPr>
          <w:szCs w:val="21"/>
        </w:rPr>
      </w:pPr>
      <w:r>
        <w:rPr>
          <w:szCs w:val="21"/>
        </w:rPr>
        <w:t>3.2.2</w:t>
      </w:r>
      <w:r>
        <w:rPr>
          <w:rFonts w:hint="eastAsia"/>
          <w:szCs w:val="21"/>
        </w:rPr>
        <w:t>投标人按投标人须知前附表的具体规定进行报价。</w:t>
      </w:r>
    </w:p>
    <w:p>
      <w:pPr>
        <w:spacing w:line="360" w:lineRule="auto"/>
        <w:ind w:firstLine="420" w:firstLineChars="200"/>
        <w:rPr>
          <w:szCs w:val="21"/>
        </w:rPr>
      </w:pPr>
      <w:r>
        <w:rPr>
          <w:rFonts w:hint="eastAsia"/>
          <w:szCs w:val="21"/>
        </w:rPr>
        <w:t>3.2.3</w:t>
      </w:r>
      <w:r>
        <w:rPr>
          <w:szCs w:val="21"/>
        </w:rPr>
        <w:t>招标人设有最高投标限价的，投标人的投标报价不得超过最高投标限价，最高投标限价见投标人须知前附表。</w:t>
      </w:r>
    </w:p>
    <w:p>
      <w:pPr>
        <w:pStyle w:val="4"/>
        <w:spacing w:before="60" w:after="60" w:line="360" w:lineRule="auto"/>
        <w:ind w:firstLine="118"/>
        <w:rPr>
          <w:szCs w:val="24"/>
        </w:rPr>
      </w:pPr>
      <w:bookmarkStart w:id="150" w:name="_Toc387526198"/>
      <w:bookmarkStart w:id="151" w:name="_Toc387526394"/>
      <w:bookmarkStart w:id="152" w:name="_Toc21008"/>
      <w:bookmarkStart w:id="153" w:name="_Toc387526302"/>
      <w:bookmarkStart w:id="154" w:name="_Toc4373"/>
      <w:r>
        <w:rPr>
          <w:szCs w:val="24"/>
        </w:rPr>
        <w:t>3.3 投标有效期</w:t>
      </w:r>
      <w:bookmarkEnd w:id="150"/>
      <w:bookmarkEnd w:id="151"/>
      <w:bookmarkEnd w:id="152"/>
      <w:bookmarkEnd w:id="153"/>
      <w:bookmarkEnd w:id="154"/>
    </w:p>
    <w:p>
      <w:pPr>
        <w:spacing w:line="360" w:lineRule="auto"/>
        <w:ind w:firstLine="420" w:firstLineChars="200"/>
        <w:rPr>
          <w:szCs w:val="21"/>
        </w:rPr>
      </w:pPr>
      <w:r>
        <w:rPr>
          <w:szCs w:val="21"/>
        </w:rPr>
        <w:t>3.3.1 在投标人须知前附表第3.3.1条规定的投标有效期内，投标人不得要求撤销或修改其投标文件。</w:t>
      </w:r>
    </w:p>
    <w:p>
      <w:pPr>
        <w:spacing w:line="360" w:lineRule="auto"/>
        <w:ind w:firstLine="420" w:firstLineChars="200"/>
        <w:rPr>
          <w:szCs w:val="21"/>
        </w:rPr>
      </w:pPr>
      <w:r>
        <w:rPr>
          <w:szCs w:val="21"/>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
        <w:spacing w:before="60" w:after="60" w:line="360" w:lineRule="auto"/>
        <w:ind w:firstLine="118"/>
        <w:rPr>
          <w:szCs w:val="24"/>
        </w:rPr>
      </w:pPr>
      <w:bookmarkStart w:id="155" w:name="_Toc387526199"/>
      <w:bookmarkStart w:id="156" w:name="_Toc387526395"/>
      <w:bookmarkStart w:id="157" w:name="_Toc18281"/>
      <w:bookmarkStart w:id="158" w:name="_Toc387526303"/>
      <w:bookmarkStart w:id="159" w:name="_Toc15701"/>
      <w:r>
        <w:rPr>
          <w:szCs w:val="24"/>
        </w:rPr>
        <w:t>3.4 投标保证金</w:t>
      </w:r>
      <w:bookmarkEnd w:id="155"/>
      <w:bookmarkEnd w:id="156"/>
      <w:bookmarkEnd w:id="157"/>
      <w:bookmarkEnd w:id="158"/>
      <w:bookmarkEnd w:id="159"/>
    </w:p>
    <w:p>
      <w:pPr>
        <w:spacing w:line="360" w:lineRule="auto"/>
        <w:ind w:firstLine="420" w:firstLineChars="200"/>
        <w:rPr>
          <w:szCs w:val="21"/>
        </w:rPr>
      </w:pPr>
      <w:bookmarkStart w:id="160" w:name="_Toc324255909"/>
      <w:bookmarkStart w:id="161" w:name="_Toc339359765"/>
      <w:bookmarkStart w:id="162" w:name="_Toc269310939"/>
      <w:r>
        <w:rPr>
          <w:szCs w:val="21"/>
        </w:rPr>
        <w:t xml:space="preserve">3.4.1 </w:t>
      </w:r>
      <w:r>
        <w:rPr>
          <w:rFonts w:hint="eastAsia"/>
          <w:szCs w:val="21"/>
        </w:rPr>
        <w:t>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pPr>
        <w:spacing w:line="360" w:lineRule="auto"/>
        <w:ind w:firstLine="420" w:firstLineChars="200"/>
        <w:rPr>
          <w:szCs w:val="21"/>
        </w:rPr>
      </w:pPr>
      <w:r>
        <w:rPr>
          <w:szCs w:val="21"/>
        </w:rPr>
        <w:t>3.4.2 投标人不按本章第3.4.1项要求提交投标保证金的，评标委员会将否决其投标。</w:t>
      </w:r>
    </w:p>
    <w:p>
      <w:pPr>
        <w:spacing w:line="360" w:lineRule="auto"/>
        <w:ind w:firstLine="420" w:firstLineChars="200"/>
        <w:rPr>
          <w:szCs w:val="21"/>
        </w:rPr>
      </w:pPr>
      <w:r>
        <w:rPr>
          <w:szCs w:val="21"/>
        </w:rPr>
        <w:t>3.4.3 招标人最迟应当在书面合同签订后5日内向中标人和未中标的投标人退还投标保证金。</w:t>
      </w:r>
    </w:p>
    <w:p>
      <w:pPr>
        <w:spacing w:line="360" w:lineRule="auto"/>
        <w:ind w:firstLine="420" w:firstLineChars="200"/>
        <w:rPr>
          <w:szCs w:val="21"/>
        </w:rPr>
      </w:pPr>
      <w:r>
        <w:rPr>
          <w:szCs w:val="21"/>
        </w:rPr>
        <w:t>3.4.4 有下列情形之一的，投标保证金将不予退还：</w:t>
      </w:r>
    </w:p>
    <w:p>
      <w:pPr>
        <w:spacing w:line="360" w:lineRule="auto"/>
        <w:ind w:firstLine="420" w:firstLineChars="200"/>
        <w:rPr>
          <w:szCs w:val="21"/>
        </w:rPr>
      </w:pPr>
      <w:r>
        <w:rPr>
          <w:rFonts w:hint="eastAsia"/>
          <w:szCs w:val="21"/>
        </w:rPr>
        <w:t>（1）</w:t>
      </w:r>
      <w:r>
        <w:rPr>
          <w:szCs w:val="21"/>
        </w:rPr>
        <w:t>投标截止后投标人撤销投标文件的。</w:t>
      </w:r>
    </w:p>
    <w:p>
      <w:pPr>
        <w:spacing w:line="360" w:lineRule="auto"/>
        <w:ind w:firstLine="420" w:firstLineChars="200"/>
        <w:rPr>
          <w:szCs w:val="21"/>
        </w:rPr>
      </w:pPr>
      <w:r>
        <w:rPr>
          <w:rFonts w:hint="eastAsia"/>
          <w:szCs w:val="21"/>
        </w:rPr>
        <w:t>（2）</w:t>
      </w:r>
      <w:r>
        <w:rPr>
          <w:szCs w:val="21"/>
        </w:rPr>
        <w:t>中标人无正当理由不与招标人订立合同；在签订合同时向招标人提出附加条件，或者不按照招标文件要求提交履约保证金的。</w:t>
      </w:r>
    </w:p>
    <w:p>
      <w:pPr>
        <w:pStyle w:val="4"/>
        <w:spacing w:before="60" w:after="60" w:line="360" w:lineRule="auto"/>
        <w:ind w:firstLine="118"/>
        <w:rPr>
          <w:szCs w:val="24"/>
        </w:rPr>
      </w:pPr>
      <w:bookmarkStart w:id="163" w:name="_Toc387526396"/>
      <w:bookmarkStart w:id="164" w:name="_Toc22895"/>
      <w:bookmarkStart w:id="165" w:name="_Toc22147"/>
      <w:bookmarkStart w:id="166" w:name="_Toc387526304"/>
      <w:bookmarkStart w:id="167" w:name="_Toc387526200"/>
      <w:r>
        <w:rPr>
          <w:szCs w:val="24"/>
        </w:rPr>
        <w:t>3.</w:t>
      </w:r>
      <w:r>
        <w:rPr>
          <w:rFonts w:hint="eastAsia"/>
          <w:szCs w:val="24"/>
        </w:rPr>
        <w:t>5</w:t>
      </w:r>
      <w:r>
        <w:rPr>
          <w:szCs w:val="24"/>
        </w:rPr>
        <w:t xml:space="preserve"> 备选投标方案</w:t>
      </w:r>
      <w:bookmarkEnd w:id="160"/>
      <w:bookmarkEnd w:id="161"/>
      <w:bookmarkEnd w:id="162"/>
      <w:bookmarkEnd w:id="163"/>
      <w:bookmarkEnd w:id="164"/>
      <w:bookmarkEnd w:id="165"/>
      <w:bookmarkEnd w:id="166"/>
      <w:bookmarkEnd w:id="167"/>
    </w:p>
    <w:p>
      <w:pPr>
        <w:spacing w:line="360" w:lineRule="auto"/>
        <w:ind w:firstLine="420"/>
        <w:rPr>
          <w:szCs w:val="21"/>
        </w:rPr>
      </w:pPr>
      <w:r>
        <w:rPr>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4"/>
        <w:spacing w:before="60" w:after="60" w:line="360" w:lineRule="auto"/>
        <w:ind w:firstLine="118"/>
        <w:rPr>
          <w:szCs w:val="24"/>
        </w:rPr>
      </w:pPr>
      <w:bookmarkStart w:id="168" w:name="_Toc16855"/>
      <w:bookmarkStart w:id="169" w:name="_Toc387526201"/>
      <w:bookmarkStart w:id="170" w:name="_Toc387526397"/>
      <w:bookmarkStart w:id="171" w:name="_Toc387526305"/>
      <w:bookmarkStart w:id="172" w:name="_Toc18018"/>
      <w:r>
        <w:rPr>
          <w:szCs w:val="24"/>
        </w:rPr>
        <w:t>3.</w:t>
      </w:r>
      <w:r>
        <w:rPr>
          <w:rFonts w:hint="eastAsia"/>
          <w:szCs w:val="24"/>
        </w:rPr>
        <w:t>6</w:t>
      </w:r>
      <w:r>
        <w:rPr>
          <w:szCs w:val="24"/>
        </w:rPr>
        <w:t xml:space="preserve"> 投标文件的编制</w:t>
      </w:r>
      <w:bookmarkEnd w:id="168"/>
      <w:bookmarkEnd w:id="169"/>
      <w:bookmarkEnd w:id="170"/>
      <w:bookmarkEnd w:id="171"/>
      <w:bookmarkEnd w:id="172"/>
    </w:p>
    <w:p>
      <w:pPr>
        <w:spacing w:line="360" w:lineRule="auto"/>
        <w:ind w:firstLine="420"/>
        <w:rPr>
          <w:szCs w:val="21"/>
        </w:rPr>
      </w:pPr>
      <w:r>
        <w:rPr>
          <w:rFonts w:hint="eastAsia"/>
          <w:szCs w:val="21"/>
        </w:rPr>
        <w:t>3.6.1 投标文件应按“投标文件格式”进行编写，如有必要，可以增加附页，作为投标文件的组成部分。</w:t>
      </w:r>
    </w:p>
    <w:p>
      <w:pPr>
        <w:spacing w:line="360" w:lineRule="auto"/>
        <w:ind w:firstLine="420"/>
        <w:rPr>
          <w:szCs w:val="21"/>
        </w:rPr>
      </w:pPr>
      <w:r>
        <w:rPr>
          <w:rFonts w:hint="eastAsia"/>
          <w:szCs w:val="21"/>
        </w:rPr>
        <w:t>3.6.2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360" w:lineRule="auto"/>
        <w:ind w:firstLine="420"/>
        <w:rPr>
          <w:szCs w:val="21"/>
        </w:rPr>
      </w:pPr>
      <w:r>
        <w:rPr>
          <w:rFonts w:hint="eastAsia"/>
          <w:szCs w:val="21"/>
        </w:rPr>
        <w:t>3.6.3 投标文件正本一份，副本份数见投标人须知前附表。正本和副本的封面上应清楚地标记“正本”或“副本”的字样。当副本和正本不一致时，以正本为准。</w:t>
      </w:r>
    </w:p>
    <w:p>
      <w:pPr>
        <w:spacing w:line="360" w:lineRule="auto"/>
        <w:ind w:firstLine="420"/>
        <w:rPr>
          <w:szCs w:val="21"/>
        </w:rPr>
      </w:pPr>
      <w:r>
        <w:rPr>
          <w:rFonts w:hint="eastAsia"/>
          <w:szCs w:val="21"/>
        </w:rPr>
        <w:t>3.6.4 投标文件的正本与副本应分别装订成册，并编制目录，具体装订要求见投标人须知前附表规定。</w:t>
      </w:r>
    </w:p>
    <w:p>
      <w:pPr>
        <w:pStyle w:val="159"/>
        <w:rPr>
          <w:color w:val="auto"/>
        </w:rPr>
      </w:pPr>
      <w:bookmarkStart w:id="173" w:name="_Toc387526306"/>
      <w:bookmarkStart w:id="174" w:name="_Toc367894801"/>
      <w:bookmarkStart w:id="175" w:name="_Toc184635074"/>
      <w:bookmarkStart w:id="176" w:name="_Toc368760430"/>
      <w:bookmarkStart w:id="177" w:name="_Toc363329373"/>
      <w:bookmarkStart w:id="178" w:name="_Toc17644"/>
      <w:bookmarkStart w:id="179" w:name="_Toc24421"/>
      <w:bookmarkStart w:id="180" w:name="_Toc387526202"/>
      <w:bookmarkStart w:id="181" w:name="_Toc387526398"/>
      <w:bookmarkStart w:id="182" w:name="_Toc369077564"/>
      <w:bookmarkStart w:id="183" w:name="_Toc368759378"/>
      <w:bookmarkStart w:id="184" w:name="_Toc368759379"/>
      <w:bookmarkStart w:id="185" w:name="_Toc184635075"/>
      <w:bookmarkStart w:id="186" w:name="_Toc367894802"/>
      <w:bookmarkStart w:id="187" w:name="_Toc363329374"/>
      <w:r>
        <w:rPr>
          <w:color w:val="auto"/>
        </w:rPr>
        <w:t>4.投标</w:t>
      </w:r>
      <w:bookmarkEnd w:id="173"/>
      <w:bookmarkEnd w:id="174"/>
      <w:bookmarkEnd w:id="175"/>
      <w:bookmarkEnd w:id="176"/>
      <w:bookmarkEnd w:id="177"/>
      <w:bookmarkEnd w:id="178"/>
      <w:bookmarkEnd w:id="179"/>
      <w:bookmarkEnd w:id="180"/>
      <w:bookmarkEnd w:id="181"/>
      <w:bookmarkEnd w:id="182"/>
      <w:bookmarkEnd w:id="183"/>
    </w:p>
    <w:p>
      <w:pPr>
        <w:pStyle w:val="4"/>
        <w:ind w:firstLine="118"/>
      </w:pPr>
      <w:bookmarkStart w:id="188" w:name="_Toc387526203"/>
      <w:bookmarkStart w:id="189" w:name="_Toc27481"/>
      <w:bookmarkStart w:id="190" w:name="_Toc387526307"/>
      <w:bookmarkStart w:id="191" w:name="_Toc11721"/>
      <w:bookmarkStart w:id="192" w:name="_Toc387526399"/>
      <w:r>
        <w:rPr>
          <w:rFonts w:hint="eastAsia"/>
        </w:rPr>
        <w:t>4.1 投标文件的密封和标记</w:t>
      </w:r>
      <w:bookmarkEnd w:id="188"/>
      <w:bookmarkEnd w:id="189"/>
      <w:bookmarkEnd w:id="190"/>
      <w:bookmarkEnd w:id="191"/>
      <w:bookmarkEnd w:id="192"/>
    </w:p>
    <w:p>
      <w:pPr>
        <w:spacing w:line="360" w:lineRule="auto"/>
        <w:ind w:firstLine="420"/>
        <w:rPr>
          <w:szCs w:val="21"/>
        </w:rPr>
      </w:pPr>
      <w:bookmarkStart w:id="193" w:name="_Toc387526308"/>
      <w:bookmarkStart w:id="194" w:name="_Toc7888"/>
      <w:bookmarkStart w:id="195" w:name="_Toc387526400"/>
      <w:bookmarkStart w:id="196" w:name="_Toc387526204"/>
      <w:r>
        <w:rPr>
          <w:rFonts w:hint="eastAsia"/>
          <w:szCs w:val="21"/>
        </w:rPr>
        <w:t>4.1.1 投标文件应按以下要求进行密封：正本与副本分开包装密封，并在封套上加盖投标人公章。封袋大小、数量由投标人根据需要自行制作。</w:t>
      </w:r>
    </w:p>
    <w:p>
      <w:pPr>
        <w:spacing w:line="360" w:lineRule="auto"/>
        <w:ind w:firstLine="420"/>
        <w:rPr>
          <w:szCs w:val="21"/>
        </w:rPr>
      </w:pPr>
      <w:r>
        <w:rPr>
          <w:rFonts w:hint="eastAsia"/>
          <w:szCs w:val="21"/>
        </w:rPr>
        <w:t>4.1.2 投标文件的封套应按以下要求进行标记：分别清楚地标记“正本”、“副本”字样，并写明招标人名称、工程名称和投标人名称等。资格审查资料原件可以随投标文件一起装袋密封，也可单独密封提交。</w:t>
      </w:r>
    </w:p>
    <w:p>
      <w:pPr>
        <w:pStyle w:val="4"/>
        <w:ind w:firstLine="118"/>
      </w:pPr>
      <w:bookmarkStart w:id="197" w:name="_Toc6384"/>
      <w:r>
        <w:t>4.2 投标文件的递交</w:t>
      </w:r>
      <w:bookmarkEnd w:id="193"/>
      <w:bookmarkEnd w:id="194"/>
      <w:bookmarkEnd w:id="195"/>
      <w:bookmarkEnd w:id="196"/>
      <w:bookmarkEnd w:id="197"/>
    </w:p>
    <w:p>
      <w:pPr>
        <w:spacing w:line="360" w:lineRule="auto"/>
        <w:ind w:firstLine="420"/>
        <w:rPr>
          <w:szCs w:val="21"/>
        </w:rPr>
      </w:pPr>
      <w:r>
        <w:rPr>
          <w:rFonts w:hint="eastAsia"/>
          <w:szCs w:val="21"/>
        </w:rPr>
        <w:t>4.2.1 投标人应在投标人须知前附表规定的投标截止时间前递交投标文件。</w:t>
      </w:r>
    </w:p>
    <w:p>
      <w:pPr>
        <w:spacing w:line="360" w:lineRule="auto"/>
        <w:ind w:firstLine="420"/>
        <w:rPr>
          <w:szCs w:val="21"/>
        </w:rPr>
      </w:pPr>
      <w:r>
        <w:rPr>
          <w:rFonts w:hint="eastAsia"/>
          <w:szCs w:val="21"/>
        </w:rPr>
        <w:t>4.2.2 投标人递交投标文件的地点：见投标人须知前附表。</w:t>
      </w:r>
    </w:p>
    <w:p>
      <w:pPr>
        <w:spacing w:line="360" w:lineRule="auto"/>
        <w:ind w:firstLine="420"/>
        <w:rPr>
          <w:szCs w:val="21"/>
        </w:rPr>
      </w:pPr>
      <w:r>
        <w:rPr>
          <w:rFonts w:hint="eastAsia"/>
          <w:szCs w:val="21"/>
        </w:rPr>
        <w:t>4.2.3 除投标人须知前附表另有规定外，投标人所递交的投标文件不予退还。</w:t>
      </w:r>
    </w:p>
    <w:p>
      <w:pPr>
        <w:pStyle w:val="4"/>
        <w:ind w:firstLine="118"/>
      </w:pPr>
      <w:bookmarkStart w:id="198" w:name="_Toc387526309"/>
      <w:bookmarkStart w:id="199" w:name="_Toc11439"/>
      <w:bookmarkStart w:id="200" w:name="_Toc387526205"/>
      <w:bookmarkStart w:id="201" w:name="_Toc12008"/>
      <w:bookmarkStart w:id="202" w:name="_Toc387526401"/>
      <w:r>
        <w:rPr>
          <w:rFonts w:hint="eastAsia"/>
        </w:rPr>
        <w:t>4.3 投标文件的修改与撤回</w:t>
      </w:r>
      <w:bookmarkEnd w:id="198"/>
      <w:bookmarkEnd w:id="199"/>
      <w:bookmarkEnd w:id="200"/>
      <w:bookmarkEnd w:id="201"/>
      <w:bookmarkEnd w:id="202"/>
    </w:p>
    <w:p>
      <w:pPr>
        <w:spacing w:line="360" w:lineRule="auto"/>
        <w:ind w:firstLine="420"/>
        <w:rPr>
          <w:szCs w:val="21"/>
        </w:rPr>
      </w:pPr>
      <w:r>
        <w:rPr>
          <w:rFonts w:hint="eastAsia"/>
          <w:szCs w:val="21"/>
        </w:rPr>
        <w:t>4.3.1 在投标人须知前附表规定的投标截止时间前，投标人可以修改或撤回已递交的投标文件，但应以书面形式通知招标人。</w:t>
      </w:r>
    </w:p>
    <w:p>
      <w:pPr>
        <w:spacing w:line="360" w:lineRule="auto"/>
        <w:ind w:firstLine="420"/>
        <w:rPr>
          <w:szCs w:val="21"/>
        </w:rPr>
      </w:pPr>
      <w:r>
        <w:rPr>
          <w:rFonts w:hint="eastAsia"/>
          <w:szCs w:val="21"/>
        </w:rPr>
        <w:t>4.3.2 投标人修改或撤回已递交投标文件的书面通知应按照本章第3.6.2 项的要求签字或盖章。招标人收到书面通知后，向投标人出具签收凭证。</w:t>
      </w:r>
    </w:p>
    <w:p>
      <w:pPr>
        <w:spacing w:line="360" w:lineRule="auto"/>
        <w:ind w:firstLine="420"/>
        <w:rPr>
          <w:szCs w:val="21"/>
        </w:rPr>
      </w:pPr>
      <w:r>
        <w:rPr>
          <w:rFonts w:hint="eastAsia"/>
          <w:szCs w:val="21"/>
        </w:rPr>
        <w:t>4.3.3 修改的内容为投标文件的组成部分。修改的投标文件应按照本章第3 条、第4 条规定进行编制、密封、标记和递交，并标明“修改”字样。</w:t>
      </w:r>
    </w:p>
    <w:p>
      <w:pPr>
        <w:pStyle w:val="4"/>
        <w:ind w:firstLine="118"/>
      </w:pPr>
      <w:bookmarkStart w:id="203" w:name="_Toc11740"/>
      <w:bookmarkStart w:id="204" w:name="_Toc24201"/>
      <w:r>
        <w:rPr>
          <w:rFonts w:hint="eastAsia"/>
        </w:rPr>
        <w:t>4.4 不予接收的投标文件</w:t>
      </w:r>
      <w:bookmarkEnd w:id="203"/>
      <w:bookmarkEnd w:id="204"/>
    </w:p>
    <w:p>
      <w:pPr>
        <w:spacing w:line="360" w:lineRule="auto"/>
        <w:ind w:firstLine="420"/>
        <w:rPr>
          <w:szCs w:val="21"/>
        </w:rPr>
      </w:pPr>
      <w:r>
        <w:rPr>
          <w:rFonts w:hint="eastAsia"/>
          <w:szCs w:val="21"/>
        </w:rPr>
        <w:t>4.4.1未按本章第4.1.1款规定密封的投标文件，招标人不予接收。</w:t>
      </w:r>
    </w:p>
    <w:p>
      <w:pPr>
        <w:spacing w:line="360" w:lineRule="auto"/>
        <w:ind w:firstLine="420"/>
        <w:rPr>
          <w:szCs w:val="21"/>
        </w:rPr>
      </w:pPr>
      <w:r>
        <w:rPr>
          <w:rFonts w:hint="eastAsia"/>
          <w:szCs w:val="21"/>
        </w:rPr>
        <w:t>4.4.2逾期送达或者未送达指定地点的投标文件，招标人不予接收。</w:t>
      </w:r>
    </w:p>
    <w:p>
      <w:pPr>
        <w:pStyle w:val="159"/>
        <w:rPr>
          <w:color w:val="auto"/>
        </w:rPr>
      </w:pPr>
      <w:bookmarkStart w:id="205" w:name="_Toc22329"/>
      <w:bookmarkStart w:id="206" w:name="_Toc369077565"/>
      <w:bookmarkStart w:id="207" w:name="_Toc31657"/>
      <w:bookmarkStart w:id="208" w:name="_Toc368760431"/>
      <w:bookmarkStart w:id="209" w:name="_Toc387526402"/>
      <w:bookmarkStart w:id="210" w:name="_Toc387526206"/>
      <w:bookmarkStart w:id="211" w:name="_Toc387526310"/>
      <w:bookmarkStart w:id="212" w:name="_Toc152042342"/>
      <w:bookmarkStart w:id="213" w:name="_Toc368759381"/>
      <w:bookmarkStart w:id="214" w:name="_Toc152045566"/>
      <w:bookmarkStart w:id="215" w:name="_Toc247085724"/>
      <w:bookmarkStart w:id="216" w:name="_Toc246996953"/>
      <w:bookmarkStart w:id="217" w:name="_Toc246996210"/>
      <w:bookmarkStart w:id="218" w:name="_Toc144974534"/>
      <w:bookmarkStart w:id="219" w:name="_Toc366679697"/>
      <w:bookmarkStart w:id="220" w:name="_Toc179632584"/>
      <w:r>
        <w:rPr>
          <w:color w:val="auto"/>
        </w:rPr>
        <w:t>5.开标</w:t>
      </w:r>
      <w:bookmarkEnd w:id="205"/>
      <w:bookmarkEnd w:id="206"/>
      <w:bookmarkEnd w:id="207"/>
      <w:bookmarkEnd w:id="208"/>
      <w:bookmarkEnd w:id="209"/>
      <w:bookmarkEnd w:id="210"/>
      <w:bookmarkEnd w:id="211"/>
    </w:p>
    <w:p>
      <w:pPr>
        <w:pStyle w:val="4"/>
        <w:ind w:firstLine="118"/>
      </w:pPr>
      <w:bookmarkStart w:id="221" w:name="_Toc3233"/>
      <w:bookmarkStart w:id="222" w:name="_Toc387526207"/>
      <w:bookmarkStart w:id="223" w:name="_Toc24174"/>
      <w:bookmarkStart w:id="224" w:name="_Toc387526403"/>
      <w:bookmarkStart w:id="225" w:name="_Toc387526311"/>
      <w:r>
        <w:t>5.1 开标时间和地点</w:t>
      </w:r>
      <w:bookmarkEnd w:id="221"/>
      <w:bookmarkEnd w:id="222"/>
      <w:bookmarkEnd w:id="223"/>
      <w:bookmarkEnd w:id="224"/>
      <w:bookmarkEnd w:id="225"/>
    </w:p>
    <w:p>
      <w:pPr>
        <w:pStyle w:val="43"/>
        <w:spacing w:after="0" w:line="360" w:lineRule="auto"/>
        <w:ind w:left="0" w:firstLine="420" w:firstLineChars="200"/>
        <w:rPr>
          <w:szCs w:val="21"/>
        </w:rPr>
      </w:pPr>
      <w:r>
        <w:rPr>
          <w:szCs w:val="21"/>
        </w:rPr>
        <w:t>招标人在投标人须知前附表规定的开标时间和地点公开开标，并邀请所有投标人准时参加。</w:t>
      </w:r>
    </w:p>
    <w:p>
      <w:pPr>
        <w:pStyle w:val="4"/>
        <w:ind w:firstLine="118"/>
      </w:pPr>
      <w:bookmarkStart w:id="226" w:name="_Toc20773"/>
      <w:bookmarkStart w:id="227" w:name="_Toc387526208"/>
      <w:bookmarkStart w:id="228" w:name="_Toc387526312"/>
      <w:bookmarkStart w:id="229" w:name="_Toc387526404"/>
      <w:bookmarkStart w:id="230" w:name="_Toc11103"/>
      <w:r>
        <w:t>5.2 开标程序</w:t>
      </w:r>
      <w:bookmarkEnd w:id="226"/>
      <w:bookmarkEnd w:id="227"/>
      <w:bookmarkEnd w:id="228"/>
      <w:bookmarkEnd w:id="229"/>
      <w:bookmarkEnd w:id="230"/>
    </w:p>
    <w:p>
      <w:pPr>
        <w:spacing w:line="360" w:lineRule="auto"/>
        <w:ind w:firstLine="420"/>
        <w:rPr>
          <w:szCs w:val="21"/>
        </w:rPr>
      </w:pPr>
      <w:bookmarkStart w:id="231" w:name="_Toc367894803"/>
      <w:bookmarkStart w:id="232" w:name="_Toc368759380"/>
      <w:bookmarkStart w:id="233" w:name="_Toc184635076"/>
      <w:bookmarkStart w:id="234" w:name="_Toc368760432"/>
      <w:bookmarkStart w:id="235" w:name="_Toc363329375"/>
      <w:bookmarkStart w:id="236" w:name="_Toc369077566"/>
      <w:r>
        <w:rPr>
          <w:rFonts w:hint="eastAsia"/>
          <w:szCs w:val="21"/>
        </w:rPr>
        <w:t>5.2.1 主持人按下列程序进行开标：</w:t>
      </w:r>
    </w:p>
    <w:p>
      <w:pPr>
        <w:spacing w:line="360" w:lineRule="auto"/>
        <w:ind w:firstLine="420"/>
        <w:rPr>
          <w:szCs w:val="21"/>
        </w:rPr>
      </w:pPr>
      <w:r>
        <w:rPr>
          <w:rFonts w:hint="eastAsia"/>
          <w:szCs w:val="21"/>
        </w:rPr>
        <w:t>（1）宣布开标纪律；</w:t>
      </w:r>
    </w:p>
    <w:p>
      <w:pPr>
        <w:spacing w:line="360" w:lineRule="auto"/>
        <w:ind w:firstLine="420"/>
        <w:rPr>
          <w:szCs w:val="21"/>
        </w:rPr>
      </w:pPr>
      <w:r>
        <w:rPr>
          <w:rFonts w:hint="eastAsia"/>
          <w:szCs w:val="21"/>
        </w:rPr>
        <w:t>（2）公布在投标截止时间前递交投标文件的投标人名称，并按投标人须知前附表的要求确认投标人是否派相关人员到场；</w:t>
      </w:r>
    </w:p>
    <w:p>
      <w:pPr>
        <w:spacing w:line="360" w:lineRule="auto"/>
        <w:ind w:firstLine="420"/>
        <w:rPr>
          <w:szCs w:val="21"/>
        </w:rPr>
      </w:pPr>
      <w:r>
        <w:rPr>
          <w:rFonts w:hint="eastAsia"/>
          <w:szCs w:val="21"/>
        </w:rPr>
        <w:t>（3）宣布相关参会人员姓名；</w:t>
      </w:r>
    </w:p>
    <w:p>
      <w:pPr>
        <w:spacing w:line="360" w:lineRule="auto"/>
        <w:ind w:firstLine="420"/>
        <w:rPr>
          <w:szCs w:val="21"/>
        </w:rPr>
      </w:pPr>
      <w:r>
        <w:rPr>
          <w:rFonts w:hint="eastAsia"/>
          <w:szCs w:val="21"/>
        </w:rPr>
        <w:t>（4）检查投标文件的密封情况；</w:t>
      </w:r>
    </w:p>
    <w:p>
      <w:pPr>
        <w:spacing w:line="360" w:lineRule="auto"/>
        <w:ind w:firstLine="420"/>
        <w:rPr>
          <w:szCs w:val="21"/>
        </w:rPr>
      </w:pPr>
      <w:r>
        <w:rPr>
          <w:rFonts w:hint="eastAsia"/>
          <w:szCs w:val="21"/>
        </w:rPr>
        <w:t>（5）当众开标、唱标，并记录在案；</w:t>
      </w:r>
    </w:p>
    <w:p>
      <w:pPr>
        <w:spacing w:line="360" w:lineRule="auto"/>
        <w:ind w:firstLine="420"/>
        <w:rPr>
          <w:szCs w:val="21"/>
        </w:rPr>
      </w:pPr>
      <w:r>
        <w:rPr>
          <w:rFonts w:hint="eastAsia"/>
          <w:szCs w:val="21"/>
        </w:rPr>
        <w:t>（6）相关参会人员在开标记录上签字确认；</w:t>
      </w:r>
    </w:p>
    <w:p>
      <w:pPr>
        <w:spacing w:line="360" w:lineRule="auto"/>
        <w:ind w:firstLine="420"/>
        <w:rPr>
          <w:szCs w:val="21"/>
        </w:rPr>
      </w:pPr>
      <w:r>
        <w:rPr>
          <w:rFonts w:hint="eastAsia"/>
          <w:szCs w:val="21"/>
        </w:rPr>
        <w:t>（7）开标结束。</w:t>
      </w:r>
    </w:p>
    <w:p>
      <w:pPr>
        <w:spacing w:line="360" w:lineRule="auto"/>
        <w:ind w:firstLine="420"/>
        <w:rPr>
          <w:szCs w:val="21"/>
        </w:rPr>
      </w:pPr>
      <w:r>
        <w:rPr>
          <w:rFonts w:hint="eastAsia"/>
          <w:szCs w:val="21"/>
        </w:rPr>
        <w:t>5.2.2投标人对开标有异议的，应当在开标现场提出，招标人应当当场作出答复，并制作记录。</w:t>
      </w:r>
    </w:p>
    <w:p>
      <w:pPr>
        <w:pStyle w:val="159"/>
        <w:rPr>
          <w:color w:val="auto"/>
        </w:rPr>
      </w:pPr>
      <w:bookmarkStart w:id="237" w:name="_Toc387526313"/>
      <w:bookmarkStart w:id="238" w:name="_Toc2977"/>
      <w:bookmarkStart w:id="239" w:name="_Toc387526405"/>
      <w:bookmarkStart w:id="240" w:name="_Toc22517"/>
      <w:bookmarkStart w:id="241" w:name="_Toc387526209"/>
      <w:r>
        <w:rPr>
          <w:color w:val="auto"/>
        </w:rPr>
        <w:t>6.评标</w:t>
      </w:r>
      <w:bookmarkEnd w:id="231"/>
      <w:bookmarkEnd w:id="232"/>
      <w:bookmarkEnd w:id="233"/>
      <w:bookmarkEnd w:id="234"/>
      <w:bookmarkEnd w:id="235"/>
      <w:bookmarkEnd w:id="236"/>
      <w:bookmarkEnd w:id="237"/>
      <w:bookmarkEnd w:id="238"/>
      <w:bookmarkEnd w:id="239"/>
      <w:bookmarkEnd w:id="240"/>
      <w:bookmarkEnd w:id="241"/>
    </w:p>
    <w:p>
      <w:pPr>
        <w:pStyle w:val="4"/>
        <w:ind w:firstLine="118"/>
      </w:pPr>
      <w:bookmarkStart w:id="242" w:name="_Toc387526210"/>
      <w:bookmarkStart w:id="243" w:name="_Toc14651"/>
      <w:bookmarkStart w:id="244" w:name="_Toc9909"/>
      <w:bookmarkStart w:id="245" w:name="_Toc387526406"/>
      <w:bookmarkStart w:id="246" w:name="_Toc387526314"/>
      <w:r>
        <w:t>6.1 评标委员会</w:t>
      </w:r>
      <w:bookmarkEnd w:id="242"/>
      <w:bookmarkEnd w:id="243"/>
      <w:bookmarkEnd w:id="244"/>
      <w:bookmarkEnd w:id="245"/>
      <w:bookmarkEnd w:id="246"/>
    </w:p>
    <w:p>
      <w:pPr>
        <w:spacing w:line="360" w:lineRule="auto"/>
        <w:ind w:firstLine="420"/>
        <w:rPr>
          <w:szCs w:val="21"/>
        </w:rPr>
      </w:pPr>
      <w:bookmarkStart w:id="247" w:name="_Toc269310951"/>
      <w:bookmarkStart w:id="248" w:name="_Toc339359778"/>
      <w:bookmarkStart w:id="249" w:name="_Toc324255922"/>
      <w:r>
        <w:rPr>
          <w:szCs w:val="21"/>
        </w:rPr>
        <w:t>6.1.1 评标由招标人依法组建的评标委员会负责。评标委员会由招标人代表以及有关技术、经济等方面的专家组成。</w:t>
      </w:r>
    </w:p>
    <w:p>
      <w:pPr>
        <w:spacing w:line="360" w:lineRule="auto"/>
        <w:ind w:firstLine="420"/>
        <w:rPr>
          <w:szCs w:val="21"/>
        </w:rPr>
      </w:pPr>
      <w:r>
        <w:rPr>
          <w:szCs w:val="21"/>
        </w:rPr>
        <w:t>6.1.2 评标委员会成员有下列情形之一的，应当回避：</w:t>
      </w:r>
    </w:p>
    <w:p>
      <w:pPr>
        <w:spacing w:line="360" w:lineRule="auto"/>
        <w:ind w:firstLine="420"/>
        <w:rPr>
          <w:szCs w:val="21"/>
        </w:rPr>
      </w:pPr>
      <w:r>
        <w:rPr>
          <w:rFonts w:hint="eastAsia"/>
          <w:szCs w:val="21"/>
        </w:rPr>
        <w:t>（1）</w:t>
      </w:r>
      <w:r>
        <w:rPr>
          <w:szCs w:val="21"/>
        </w:rPr>
        <w:t>投标人或投标人主要负责人的近亲属；</w:t>
      </w:r>
    </w:p>
    <w:p>
      <w:pPr>
        <w:spacing w:line="360" w:lineRule="auto"/>
        <w:ind w:firstLine="420"/>
        <w:rPr>
          <w:szCs w:val="21"/>
        </w:rPr>
      </w:pPr>
      <w:r>
        <w:rPr>
          <w:rFonts w:hint="eastAsia"/>
          <w:szCs w:val="21"/>
        </w:rPr>
        <w:t>（2）</w:t>
      </w:r>
      <w:r>
        <w:rPr>
          <w:szCs w:val="21"/>
        </w:rPr>
        <w:t>项目主管部门或者行政监督部门的人员；</w:t>
      </w:r>
    </w:p>
    <w:p>
      <w:pPr>
        <w:spacing w:line="360" w:lineRule="auto"/>
        <w:ind w:firstLine="420"/>
        <w:rPr>
          <w:szCs w:val="21"/>
        </w:rPr>
      </w:pPr>
      <w:r>
        <w:rPr>
          <w:rFonts w:hint="eastAsia"/>
          <w:szCs w:val="21"/>
        </w:rPr>
        <w:t>（3）</w:t>
      </w:r>
      <w:r>
        <w:rPr>
          <w:szCs w:val="21"/>
        </w:rPr>
        <w:t>与投标人有经济利益关系；</w:t>
      </w:r>
    </w:p>
    <w:p>
      <w:pPr>
        <w:spacing w:line="360" w:lineRule="auto"/>
        <w:ind w:firstLine="420"/>
        <w:rPr>
          <w:szCs w:val="21"/>
        </w:rPr>
      </w:pPr>
      <w:r>
        <w:rPr>
          <w:rFonts w:hint="eastAsia"/>
          <w:szCs w:val="21"/>
        </w:rPr>
        <w:t>（4）</w:t>
      </w:r>
      <w:r>
        <w:rPr>
          <w:szCs w:val="21"/>
        </w:rPr>
        <w:t>曾因在招标、评标以及其他与招标投标有关活动中从事违法行为而受过行政处罚或刑事处罚的</w:t>
      </w:r>
      <w:r>
        <w:rPr>
          <w:rFonts w:hint="eastAsia"/>
          <w:szCs w:val="21"/>
        </w:rPr>
        <w:t>。</w:t>
      </w:r>
    </w:p>
    <w:p>
      <w:pPr>
        <w:pStyle w:val="4"/>
        <w:ind w:firstLine="118"/>
      </w:pPr>
      <w:bookmarkStart w:id="250" w:name="_Toc12316"/>
      <w:bookmarkStart w:id="251" w:name="_Toc387526315"/>
      <w:bookmarkStart w:id="252" w:name="_Toc387526211"/>
      <w:bookmarkStart w:id="253" w:name="_Toc387526407"/>
      <w:bookmarkStart w:id="254" w:name="_Toc6768"/>
      <w:r>
        <w:t>6.2</w:t>
      </w:r>
      <w:bookmarkEnd w:id="247"/>
      <w:bookmarkEnd w:id="248"/>
      <w:bookmarkEnd w:id="249"/>
      <w:r>
        <w:rPr>
          <w:rFonts w:hint="eastAsia"/>
        </w:rPr>
        <w:t xml:space="preserve"> </w:t>
      </w:r>
      <w:r>
        <w:t>评标原则</w:t>
      </w:r>
      <w:bookmarkEnd w:id="250"/>
      <w:bookmarkEnd w:id="251"/>
      <w:bookmarkEnd w:id="252"/>
      <w:bookmarkEnd w:id="253"/>
      <w:bookmarkEnd w:id="254"/>
    </w:p>
    <w:p>
      <w:pPr>
        <w:spacing w:line="360" w:lineRule="auto"/>
        <w:ind w:firstLine="420" w:firstLineChars="200"/>
      </w:pPr>
      <w:r>
        <w:t>评标活动遵循公平、公正、科学和择优的原则。</w:t>
      </w:r>
    </w:p>
    <w:p>
      <w:pPr>
        <w:pStyle w:val="4"/>
        <w:ind w:firstLine="118"/>
      </w:pPr>
      <w:bookmarkStart w:id="255" w:name="_Toc179632583"/>
      <w:bookmarkStart w:id="256" w:name="_Toc247085723"/>
      <w:bookmarkStart w:id="257" w:name="_Toc387526212"/>
      <w:bookmarkStart w:id="258" w:name="_Toc366679696"/>
      <w:bookmarkStart w:id="259" w:name="_Toc6500"/>
      <w:bookmarkStart w:id="260" w:name="_Toc246996952"/>
      <w:bookmarkStart w:id="261" w:name="_Toc387526408"/>
      <w:bookmarkStart w:id="262" w:name="_Toc30005"/>
      <w:bookmarkStart w:id="263" w:name="_Toc152042341"/>
      <w:bookmarkStart w:id="264" w:name="_Toc152045565"/>
      <w:bookmarkStart w:id="265" w:name="_Toc246996209"/>
      <w:bookmarkStart w:id="266" w:name="_Toc387526316"/>
      <w:bookmarkStart w:id="267" w:name="_Toc144974533"/>
      <w:r>
        <w:t>6.3 评标</w:t>
      </w:r>
      <w:bookmarkEnd w:id="255"/>
      <w:bookmarkEnd w:id="256"/>
      <w:bookmarkEnd w:id="257"/>
      <w:bookmarkEnd w:id="258"/>
      <w:bookmarkEnd w:id="259"/>
      <w:bookmarkEnd w:id="260"/>
      <w:bookmarkEnd w:id="261"/>
      <w:bookmarkEnd w:id="262"/>
      <w:bookmarkEnd w:id="263"/>
      <w:bookmarkEnd w:id="264"/>
      <w:bookmarkEnd w:id="265"/>
      <w:bookmarkEnd w:id="266"/>
      <w:bookmarkEnd w:id="267"/>
    </w:p>
    <w:p>
      <w:pPr>
        <w:spacing w:line="400" w:lineRule="exact"/>
        <w:ind w:firstLine="420" w:firstLineChars="200"/>
      </w:pPr>
      <w:r>
        <w:rPr>
          <w:rFonts w:hint="eastAsia"/>
        </w:rPr>
        <w:t>评标委员会按照第三章“评标办法”规定的方法、评审因素、标准和程序对投标文件进行评审。第三章“评标办法”没有规定的方法、评审因素和标准，不作为评标依据。</w:t>
      </w:r>
    </w:p>
    <w:p>
      <w:pPr>
        <w:pStyle w:val="4"/>
        <w:ind w:firstLine="118"/>
      </w:pPr>
      <w:bookmarkStart w:id="268" w:name="_Toc29804"/>
      <w:r>
        <w:rPr>
          <w:rFonts w:hint="eastAsia"/>
        </w:rPr>
        <w:t>6.4 多个标段推荐中标候选人顺序</w:t>
      </w:r>
      <w:bookmarkEnd w:id="268"/>
    </w:p>
    <w:p>
      <w:pPr>
        <w:spacing w:line="360" w:lineRule="auto"/>
        <w:ind w:firstLine="420" w:firstLineChars="200"/>
      </w:pPr>
      <w:r>
        <w:rPr>
          <w:rFonts w:hint="eastAsia"/>
        </w:rPr>
        <w:t>见投标人须知前附表</w:t>
      </w:r>
    </w:p>
    <w:p>
      <w:pPr>
        <w:pStyle w:val="159"/>
        <w:rPr>
          <w:color w:val="auto"/>
        </w:rPr>
      </w:pPr>
      <w:bookmarkStart w:id="269" w:name="_Toc387526317"/>
      <w:bookmarkStart w:id="270" w:name="_Toc387526409"/>
      <w:bookmarkStart w:id="271" w:name="_Toc26657"/>
      <w:bookmarkStart w:id="272" w:name="_Toc387526213"/>
      <w:bookmarkStart w:id="273" w:name="_Toc22985"/>
      <w:bookmarkStart w:id="274" w:name="_Toc369077567"/>
      <w:bookmarkStart w:id="275" w:name="_Toc368760433"/>
      <w:r>
        <w:rPr>
          <w:color w:val="auto"/>
        </w:rPr>
        <w:t>7.</w:t>
      </w:r>
      <w:r>
        <w:rPr>
          <w:rFonts w:hint="eastAsia"/>
          <w:color w:val="auto"/>
        </w:rPr>
        <w:t>评标结果公示</w:t>
      </w:r>
      <w:bookmarkEnd w:id="269"/>
      <w:bookmarkEnd w:id="270"/>
      <w:bookmarkEnd w:id="271"/>
      <w:bookmarkEnd w:id="272"/>
      <w:bookmarkEnd w:id="273"/>
    </w:p>
    <w:p>
      <w:pPr>
        <w:spacing w:line="360" w:lineRule="auto"/>
        <w:ind w:firstLine="420"/>
        <w:rPr>
          <w:szCs w:val="21"/>
        </w:rPr>
      </w:pPr>
      <w:r>
        <w:rPr>
          <w:rFonts w:hint="eastAsia"/>
          <w:szCs w:val="21"/>
        </w:rPr>
        <w:t>7.1 招标人在收到评标报告之日起3日内，在与招标公告相同的发布媒介上对评标结果进行公示。</w:t>
      </w:r>
    </w:p>
    <w:p>
      <w:pPr>
        <w:spacing w:line="360" w:lineRule="auto"/>
        <w:ind w:firstLine="420"/>
        <w:rPr>
          <w:szCs w:val="21"/>
        </w:rPr>
      </w:pPr>
      <w:r>
        <w:rPr>
          <w:rFonts w:hint="eastAsia"/>
          <w:szCs w:val="21"/>
        </w:rPr>
        <w:t xml:space="preserve">7.2 </w:t>
      </w:r>
      <w:r>
        <w:rPr>
          <w:szCs w:val="21"/>
        </w:rPr>
        <w:t>投标人或者其他利害关系人对评标结果有异议的，应当在</w:t>
      </w:r>
      <w:r>
        <w:rPr>
          <w:rFonts w:hint="eastAsia"/>
          <w:szCs w:val="21"/>
        </w:rPr>
        <w:t>评标结果</w:t>
      </w:r>
      <w:r>
        <w:rPr>
          <w:szCs w:val="21"/>
        </w:rPr>
        <w:t>公示期间</w:t>
      </w:r>
      <w:r>
        <w:rPr>
          <w:rFonts w:hint="eastAsia"/>
          <w:szCs w:val="21"/>
        </w:rPr>
        <w:t>向招标人提出异议。</w:t>
      </w:r>
      <w:r>
        <w:rPr>
          <w:szCs w:val="21"/>
        </w:rPr>
        <w:t>招标人自收到异议之日起10日内作出答复</w:t>
      </w:r>
      <w:r>
        <w:rPr>
          <w:rFonts w:hint="eastAsia"/>
          <w:szCs w:val="21"/>
        </w:rPr>
        <w:t>，并在</w:t>
      </w:r>
      <w:r>
        <w:rPr>
          <w:szCs w:val="21"/>
        </w:rPr>
        <w:t>作出答复前暂停招标投标活动。</w:t>
      </w:r>
    </w:p>
    <w:p>
      <w:pPr>
        <w:pStyle w:val="159"/>
        <w:rPr>
          <w:color w:val="auto"/>
        </w:rPr>
      </w:pPr>
      <w:bookmarkStart w:id="276" w:name="_Toc387526318"/>
      <w:bookmarkStart w:id="277" w:name="_Toc6435"/>
      <w:bookmarkStart w:id="278" w:name="_Toc387526410"/>
      <w:bookmarkStart w:id="279" w:name="_Toc387526214"/>
      <w:bookmarkStart w:id="280" w:name="_Toc15824"/>
      <w:r>
        <w:rPr>
          <w:rFonts w:hint="eastAsia"/>
          <w:color w:val="auto"/>
        </w:rPr>
        <w:t>8.</w:t>
      </w:r>
      <w:r>
        <w:rPr>
          <w:color w:val="auto"/>
        </w:rPr>
        <w:t>合同授予</w:t>
      </w:r>
      <w:bookmarkEnd w:id="212"/>
      <w:bookmarkEnd w:id="213"/>
      <w:bookmarkEnd w:id="214"/>
      <w:bookmarkEnd w:id="215"/>
      <w:bookmarkEnd w:id="216"/>
      <w:bookmarkEnd w:id="217"/>
      <w:bookmarkEnd w:id="218"/>
      <w:bookmarkEnd w:id="219"/>
      <w:bookmarkEnd w:id="220"/>
      <w:bookmarkEnd w:id="274"/>
      <w:bookmarkEnd w:id="275"/>
      <w:bookmarkEnd w:id="276"/>
      <w:bookmarkEnd w:id="277"/>
      <w:bookmarkEnd w:id="278"/>
      <w:bookmarkEnd w:id="279"/>
      <w:bookmarkEnd w:id="280"/>
    </w:p>
    <w:p>
      <w:pPr>
        <w:pStyle w:val="4"/>
        <w:ind w:firstLine="118"/>
      </w:pPr>
      <w:bookmarkStart w:id="281" w:name="_Toc247085725"/>
      <w:bookmarkStart w:id="282" w:name="_Toc246996211"/>
      <w:bookmarkStart w:id="283" w:name="_Toc246996954"/>
      <w:bookmarkStart w:id="284" w:name="_Toc298"/>
      <w:bookmarkStart w:id="285" w:name="_Toc144974535"/>
      <w:bookmarkStart w:id="286" w:name="_Toc387526215"/>
      <w:bookmarkStart w:id="287" w:name="_Toc387526411"/>
      <w:bookmarkStart w:id="288" w:name="_Toc387526319"/>
      <w:bookmarkStart w:id="289" w:name="_Toc179632585"/>
      <w:bookmarkStart w:id="290" w:name="_Toc152045567"/>
      <w:bookmarkStart w:id="291" w:name="_Toc5192"/>
      <w:bookmarkStart w:id="292" w:name="_Toc152042343"/>
      <w:bookmarkStart w:id="293" w:name="_Toc366679698"/>
      <w:r>
        <w:rPr>
          <w:rFonts w:hint="eastAsia"/>
        </w:rPr>
        <w:t>8</w:t>
      </w:r>
      <w:r>
        <w:t>.1 定标方式</w:t>
      </w:r>
      <w:bookmarkEnd w:id="281"/>
      <w:bookmarkEnd w:id="282"/>
      <w:bookmarkEnd w:id="283"/>
      <w:bookmarkEnd w:id="284"/>
      <w:bookmarkEnd w:id="285"/>
      <w:bookmarkEnd w:id="286"/>
      <w:bookmarkEnd w:id="287"/>
      <w:bookmarkEnd w:id="288"/>
      <w:bookmarkEnd w:id="289"/>
      <w:bookmarkEnd w:id="290"/>
      <w:bookmarkEnd w:id="291"/>
      <w:bookmarkEnd w:id="292"/>
      <w:bookmarkEnd w:id="293"/>
    </w:p>
    <w:p>
      <w:pPr>
        <w:spacing w:line="360" w:lineRule="auto"/>
        <w:ind w:firstLine="420" w:firstLineChars="200"/>
      </w:pPr>
      <w:bookmarkStart w:id="294" w:name="_Toc387526216"/>
      <w:bookmarkStart w:id="295" w:name="_Toc29357"/>
      <w:bookmarkStart w:id="296" w:name="_Toc387526320"/>
      <w:bookmarkStart w:id="297" w:name="_Toc387526412"/>
      <w:r>
        <w:rPr>
          <w:rFonts w:hint="eastAsia"/>
        </w:rPr>
        <w:t>除投标人须知前附表规定评标委员会直接确定中标人外，招标人依据评标委员会推荐的中标候选人确定中标人，评标委员会推荐中标候选人的人数</w:t>
      </w:r>
      <w:r>
        <w:rPr>
          <w:rFonts w:hint="eastAsia" w:ascii="宋体" w:hAnsi="TimesNewRomanPSMT" w:cs="宋体"/>
          <w:kern w:val="0"/>
          <w:szCs w:val="21"/>
        </w:rPr>
        <w:t>不超过3个</w:t>
      </w:r>
      <w:r>
        <w:t>。</w:t>
      </w:r>
    </w:p>
    <w:p>
      <w:pPr>
        <w:spacing w:line="360" w:lineRule="auto"/>
        <w:ind w:firstLine="420" w:firstLineChars="200"/>
        <w:outlineLvl w:val="0"/>
      </w:pPr>
      <w:bookmarkStart w:id="298" w:name="_Toc14753"/>
      <w:r>
        <w:rPr>
          <w:rFonts w:hint="eastAsia"/>
        </w:rPr>
        <w:t>8.2</w:t>
      </w:r>
      <w:bookmarkEnd w:id="294"/>
      <w:bookmarkEnd w:id="295"/>
      <w:bookmarkEnd w:id="296"/>
      <w:bookmarkEnd w:id="297"/>
      <w:bookmarkStart w:id="299" w:name="_Toc246996212"/>
      <w:bookmarkStart w:id="300" w:name="_Toc13765"/>
      <w:bookmarkStart w:id="301" w:name="_Toc179632586"/>
      <w:bookmarkStart w:id="302" w:name="_Toc366679700"/>
      <w:bookmarkStart w:id="303" w:name="_Toc246996955"/>
      <w:bookmarkStart w:id="304" w:name="_Toc387526321"/>
      <w:bookmarkStart w:id="305" w:name="_Toc387526217"/>
      <w:bookmarkStart w:id="306" w:name="_Toc387526413"/>
      <w:bookmarkStart w:id="307" w:name="_Toc247085726"/>
      <w:r>
        <w:rPr>
          <w:rFonts w:hint="eastAsia"/>
        </w:rPr>
        <w:t>中标</w:t>
      </w:r>
      <w:r>
        <w:t>通知</w:t>
      </w:r>
      <w:bookmarkEnd w:id="298"/>
      <w:bookmarkEnd w:id="299"/>
      <w:bookmarkEnd w:id="300"/>
      <w:bookmarkEnd w:id="301"/>
      <w:bookmarkEnd w:id="302"/>
      <w:bookmarkEnd w:id="303"/>
      <w:bookmarkEnd w:id="304"/>
      <w:bookmarkEnd w:id="305"/>
      <w:bookmarkEnd w:id="306"/>
      <w:bookmarkEnd w:id="307"/>
    </w:p>
    <w:p>
      <w:pPr>
        <w:spacing w:line="360" w:lineRule="auto"/>
        <w:ind w:firstLine="420" w:firstLineChars="200"/>
      </w:pPr>
      <w:bookmarkStart w:id="308" w:name="_Toc179632587"/>
      <w:bookmarkStart w:id="309" w:name="_Toc247085727"/>
      <w:bookmarkStart w:id="310" w:name="_Toc366679701"/>
      <w:bookmarkStart w:id="311" w:name="_Toc246996213"/>
      <w:bookmarkStart w:id="312" w:name="_Toc246996956"/>
      <w:r>
        <w:rPr>
          <w:rFonts w:hint="eastAsia"/>
        </w:rPr>
        <w:t>招标人在本招标文件规定的投标有效期内将中标人名称、中标价等在与招标公告相同的发布媒介上予以公告，并以书面形式向中标人发出中标通知书。</w:t>
      </w:r>
    </w:p>
    <w:p>
      <w:pPr>
        <w:spacing w:line="360" w:lineRule="auto"/>
        <w:ind w:firstLine="420" w:firstLineChars="200"/>
      </w:pPr>
      <w:r>
        <w:rPr>
          <w:rFonts w:hint="eastAsia"/>
        </w:rPr>
        <w:t>第一中标候选人须在中标结果公示结束后的3个工作日内领取中标通知书，投标人未能在规定期限内领取中标通知书，招标人有权另行选择中标单位。</w:t>
      </w:r>
    </w:p>
    <w:p>
      <w:pPr>
        <w:pStyle w:val="4"/>
        <w:ind w:firstLine="118"/>
      </w:pPr>
      <w:bookmarkStart w:id="313" w:name="_Toc387526414"/>
      <w:bookmarkStart w:id="314" w:name="_Toc387526218"/>
      <w:bookmarkStart w:id="315" w:name="_Toc26386"/>
      <w:bookmarkStart w:id="316" w:name="_Toc387526322"/>
      <w:bookmarkStart w:id="317" w:name="_Toc22925"/>
      <w:r>
        <w:rPr>
          <w:rFonts w:hint="eastAsia"/>
        </w:rPr>
        <w:t xml:space="preserve">8.3 </w:t>
      </w:r>
      <w:r>
        <w:t>履约保证金</w:t>
      </w:r>
      <w:bookmarkEnd w:id="308"/>
      <w:bookmarkEnd w:id="309"/>
      <w:bookmarkEnd w:id="310"/>
      <w:bookmarkEnd w:id="311"/>
      <w:bookmarkEnd w:id="312"/>
      <w:bookmarkEnd w:id="313"/>
      <w:bookmarkEnd w:id="314"/>
      <w:bookmarkEnd w:id="315"/>
      <w:bookmarkEnd w:id="316"/>
      <w:bookmarkEnd w:id="317"/>
    </w:p>
    <w:p>
      <w:pPr>
        <w:spacing w:line="360" w:lineRule="auto"/>
        <w:ind w:firstLine="420" w:firstLineChars="200"/>
      </w:pPr>
      <w:r>
        <w:rPr>
          <w:rFonts w:hint="eastAsia"/>
        </w:rPr>
        <w:t>8</w:t>
      </w:r>
      <w:r>
        <w:t>.</w:t>
      </w:r>
      <w:r>
        <w:rPr>
          <w:rFonts w:hint="eastAsia"/>
        </w:rPr>
        <w:t>3</w:t>
      </w:r>
      <w:r>
        <w:t>.1在签订合同前，中标人应按投标人须知前附表规定的形式和招标文件“合同条款及格式”规定的或者事先经过招标人书面认可的履约保证金格式向招标人提交履约保证金。</w:t>
      </w:r>
    </w:p>
    <w:p>
      <w:pPr>
        <w:spacing w:line="360" w:lineRule="auto"/>
        <w:ind w:firstLine="420" w:firstLineChars="200"/>
      </w:pPr>
      <w:r>
        <w:rPr>
          <w:rFonts w:hint="eastAsia"/>
        </w:rPr>
        <w:t>本项目招标人要求投标人在领取中标通知书后的3个工作日内、在合同签订前以转账或现金方式向招标人提交履约保证金，投标人未能在规定期限内提交履约保证金的，招标人可以另行选择中标单位。</w:t>
      </w:r>
    </w:p>
    <w:p>
      <w:pPr>
        <w:spacing w:line="360" w:lineRule="auto"/>
        <w:ind w:firstLine="420" w:firstLineChars="200"/>
      </w:pPr>
      <w:r>
        <w:rPr>
          <w:rFonts w:hint="eastAsia"/>
        </w:rPr>
        <w:t>8</w:t>
      </w:r>
      <w:r>
        <w:t>.</w:t>
      </w:r>
      <w:r>
        <w:rPr>
          <w:rFonts w:hint="eastAsia"/>
        </w:rPr>
        <w:t>3</w:t>
      </w:r>
      <w:r>
        <w:t>.2 中标人不能按本章第</w:t>
      </w:r>
      <w:r>
        <w:rPr>
          <w:rFonts w:hint="eastAsia"/>
        </w:rPr>
        <w:t>8</w:t>
      </w:r>
      <w:r>
        <w:t>.</w:t>
      </w:r>
      <w:r>
        <w:rPr>
          <w:rFonts w:hint="eastAsia"/>
        </w:rPr>
        <w:t>3</w:t>
      </w:r>
      <w:r>
        <w:t>.1项要求提交履约保证金的，视为放弃中标，其投标保证金不予退还，给招标人造成的损失超过投标保证金数额的，中标人还应当对超过部分予以赔偿。</w:t>
      </w:r>
    </w:p>
    <w:p>
      <w:pPr>
        <w:pStyle w:val="4"/>
        <w:ind w:firstLine="118"/>
      </w:pPr>
      <w:bookmarkStart w:id="318" w:name="_Toc246996214"/>
      <w:bookmarkStart w:id="319" w:name="_Toc387526323"/>
      <w:bookmarkStart w:id="320" w:name="_Toc3330"/>
      <w:bookmarkStart w:id="321" w:name="_Toc387526219"/>
      <w:bookmarkStart w:id="322" w:name="_Toc366679702"/>
      <w:bookmarkStart w:id="323" w:name="_Toc179632588"/>
      <w:bookmarkStart w:id="324" w:name="_Toc10565"/>
      <w:bookmarkStart w:id="325" w:name="_Toc387526415"/>
      <w:bookmarkStart w:id="326" w:name="_Toc247085728"/>
      <w:bookmarkStart w:id="327" w:name="_Toc246996957"/>
      <w:r>
        <w:rPr>
          <w:rFonts w:hint="eastAsia"/>
        </w:rPr>
        <w:t xml:space="preserve">8.4 </w:t>
      </w:r>
      <w:r>
        <w:t>签订合同</w:t>
      </w:r>
      <w:bookmarkEnd w:id="318"/>
      <w:bookmarkEnd w:id="319"/>
      <w:bookmarkEnd w:id="320"/>
      <w:bookmarkEnd w:id="321"/>
      <w:bookmarkEnd w:id="322"/>
      <w:bookmarkEnd w:id="323"/>
      <w:bookmarkEnd w:id="324"/>
      <w:bookmarkEnd w:id="325"/>
      <w:bookmarkEnd w:id="326"/>
      <w:bookmarkEnd w:id="327"/>
    </w:p>
    <w:p>
      <w:pPr>
        <w:spacing w:line="360" w:lineRule="auto"/>
        <w:ind w:firstLine="420" w:firstLineChars="200"/>
      </w:pPr>
      <w:r>
        <w:rPr>
          <w:rFonts w:hint="eastAsia"/>
        </w:rPr>
        <w:t>8</w:t>
      </w:r>
      <w:r>
        <w:t>.</w:t>
      </w:r>
      <w:r>
        <w:rPr>
          <w:rFonts w:hint="eastAsia"/>
        </w:rPr>
        <w:t>4</w:t>
      </w:r>
      <w:r>
        <w:t>.1中标人</w:t>
      </w:r>
      <w:r>
        <w:rPr>
          <w:rFonts w:hint="eastAsia"/>
        </w:rPr>
        <w:t>须</w:t>
      </w:r>
      <w:r>
        <w:t>在中标通知书发出之日起3</w:t>
      </w:r>
      <w:r>
        <w:rPr>
          <w:rFonts w:hint="eastAsia"/>
        </w:rPr>
        <w:t>个工作</w:t>
      </w:r>
      <w:r>
        <w:t>日内根据招标文件和中标人的投标文件</w:t>
      </w:r>
      <w:r>
        <w:rPr>
          <w:rFonts w:hint="eastAsia"/>
        </w:rPr>
        <w:t>与招标</w:t>
      </w:r>
      <w:r>
        <w:t>人订立书面合同</w:t>
      </w:r>
      <w:r>
        <w:rPr>
          <w:rFonts w:hint="eastAsia"/>
        </w:rPr>
        <w:t>。</w:t>
      </w:r>
      <w:r>
        <w:t>中标人无正当理由拒签合同的</w:t>
      </w:r>
      <w:r>
        <w:rPr>
          <w:rFonts w:hint="eastAsia"/>
        </w:rPr>
        <w:t>或</w:t>
      </w:r>
      <w:r>
        <w:t>未能在上述规定的时间内</w:t>
      </w:r>
      <w:r>
        <w:rPr>
          <w:rFonts w:hint="eastAsia"/>
        </w:rPr>
        <w:t>与招标</w:t>
      </w:r>
      <w:r>
        <w:t>人订立书面合同</w:t>
      </w:r>
      <w:r>
        <w:rPr>
          <w:rFonts w:hint="eastAsia"/>
        </w:rPr>
        <w:t>人</w:t>
      </w:r>
      <w:r>
        <w:t>，招标人</w:t>
      </w:r>
      <w:r>
        <w:rPr>
          <w:rFonts w:hint="eastAsia"/>
        </w:rPr>
        <w:t>有权</w:t>
      </w:r>
      <w:r>
        <w:t>取消其中标资格，其投标保证金不予退还；给招标人造成的损失超过投标保证金数额的，中标人还应当对超过部分予以赔偿。</w:t>
      </w:r>
    </w:p>
    <w:p>
      <w:pPr>
        <w:spacing w:line="360" w:lineRule="auto"/>
        <w:ind w:firstLine="420" w:firstLineChars="200"/>
      </w:pPr>
      <w:r>
        <w:rPr>
          <w:rFonts w:hint="eastAsia"/>
        </w:rPr>
        <w:t>8</w:t>
      </w:r>
      <w:r>
        <w:t>.</w:t>
      </w:r>
      <w:r>
        <w:rPr>
          <w:rFonts w:hint="eastAsia"/>
        </w:rPr>
        <w:t>4</w:t>
      </w:r>
      <w:r>
        <w:t>.2 发出中标通知书后，招标人无正当理由拒签合同的，招标人向中标人退还投标保证金；给中标人造成损失的，还应当赔偿损失。</w:t>
      </w:r>
    </w:p>
    <w:bookmarkEnd w:id="184"/>
    <w:bookmarkEnd w:id="185"/>
    <w:bookmarkEnd w:id="186"/>
    <w:bookmarkEnd w:id="187"/>
    <w:p>
      <w:pPr>
        <w:pStyle w:val="159"/>
        <w:rPr>
          <w:color w:val="auto"/>
        </w:rPr>
      </w:pPr>
      <w:bookmarkStart w:id="328" w:name="_Toc11110"/>
      <w:bookmarkStart w:id="329" w:name="_Toc322503149"/>
      <w:bookmarkStart w:id="330" w:name="_Toc367894807"/>
      <w:bookmarkStart w:id="331" w:name="_Toc387526416"/>
      <w:bookmarkStart w:id="332" w:name="_Toc30717"/>
      <w:bookmarkStart w:id="333" w:name="_Toc387526324"/>
      <w:bookmarkStart w:id="334" w:name="_Toc387526220"/>
      <w:bookmarkStart w:id="335" w:name="_Toc368760435"/>
      <w:bookmarkStart w:id="336" w:name="_Toc363329380"/>
      <w:bookmarkStart w:id="337" w:name="_Toc369077569"/>
      <w:bookmarkStart w:id="338" w:name="_Toc368759383"/>
      <w:r>
        <w:rPr>
          <w:rFonts w:hint="eastAsia"/>
          <w:color w:val="auto"/>
        </w:rPr>
        <w:t>9</w:t>
      </w:r>
      <w:r>
        <w:rPr>
          <w:color w:val="auto"/>
        </w:rPr>
        <w:t>.纪律和监督</w:t>
      </w:r>
      <w:bookmarkEnd w:id="328"/>
      <w:bookmarkEnd w:id="329"/>
      <w:bookmarkEnd w:id="330"/>
      <w:bookmarkEnd w:id="331"/>
      <w:bookmarkEnd w:id="332"/>
      <w:bookmarkEnd w:id="333"/>
      <w:bookmarkEnd w:id="334"/>
      <w:bookmarkEnd w:id="335"/>
      <w:bookmarkEnd w:id="336"/>
      <w:bookmarkEnd w:id="337"/>
      <w:bookmarkEnd w:id="338"/>
    </w:p>
    <w:p>
      <w:pPr>
        <w:pStyle w:val="4"/>
        <w:ind w:firstLine="118"/>
      </w:pPr>
      <w:bookmarkStart w:id="339" w:name="_Toc152042351"/>
      <w:bookmarkStart w:id="340" w:name="_Toc144974543"/>
      <w:bookmarkStart w:id="341" w:name="_Toc387526417"/>
      <w:bookmarkStart w:id="342" w:name="_Toc3745"/>
      <w:bookmarkStart w:id="343" w:name="_Toc387526221"/>
      <w:bookmarkStart w:id="344" w:name="_Toc387526325"/>
      <w:bookmarkStart w:id="345" w:name="_Toc152045575"/>
      <w:bookmarkStart w:id="346" w:name="_Toc322503150"/>
      <w:bookmarkStart w:id="347" w:name="_Toc269310963"/>
      <w:bookmarkStart w:id="348" w:name="_Toc29855"/>
      <w:r>
        <w:rPr>
          <w:rFonts w:hint="eastAsia"/>
        </w:rPr>
        <w:t>9</w:t>
      </w:r>
      <w:r>
        <w:t>.1 对招标人的纪律要求</w:t>
      </w:r>
      <w:bookmarkEnd w:id="339"/>
      <w:bookmarkEnd w:id="340"/>
      <w:bookmarkEnd w:id="341"/>
      <w:bookmarkEnd w:id="342"/>
      <w:bookmarkEnd w:id="343"/>
      <w:bookmarkEnd w:id="344"/>
      <w:bookmarkEnd w:id="345"/>
      <w:bookmarkEnd w:id="346"/>
      <w:bookmarkEnd w:id="347"/>
      <w:bookmarkEnd w:id="348"/>
    </w:p>
    <w:p>
      <w:pPr>
        <w:spacing w:line="360" w:lineRule="auto"/>
        <w:ind w:firstLine="420"/>
        <w:rPr>
          <w:szCs w:val="21"/>
        </w:rPr>
      </w:pPr>
      <w:r>
        <w:rPr>
          <w:szCs w:val="21"/>
        </w:rPr>
        <w:t>招标人不得泄露招标投标活动中应当保密的情况和资料，不得与投标人串通损害国家利益、社会公众利益或者他人合法权益。</w:t>
      </w:r>
    </w:p>
    <w:p>
      <w:pPr>
        <w:pStyle w:val="4"/>
        <w:spacing w:before="60" w:after="60" w:line="360" w:lineRule="auto"/>
        <w:ind w:firstLine="118"/>
        <w:rPr>
          <w:szCs w:val="24"/>
        </w:rPr>
      </w:pPr>
      <w:bookmarkStart w:id="349" w:name="_Toc152042352"/>
      <w:bookmarkStart w:id="350" w:name="_Toc269310964"/>
      <w:bookmarkStart w:id="351" w:name="_Toc387526418"/>
      <w:bookmarkStart w:id="352" w:name="_Toc387526326"/>
      <w:bookmarkStart w:id="353" w:name="_Toc322503151"/>
      <w:bookmarkStart w:id="354" w:name="_Toc144974544"/>
      <w:bookmarkStart w:id="355" w:name="_Toc12199"/>
      <w:bookmarkStart w:id="356" w:name="_Toc1420"/>
      <w:bookmarkStart w:id="357" w:name="_Toc152045576"/>
      <w:bookmarkStart w:id="358" w:name="_Toc387526222"/>
      <w:r>
        <w:rPr>
          <w:rFonts w:hint="eastAsia"/>
          <w:szCs w:val="24"/>
        </w:rPr>
        <w:t>9</w:t>
      </w:r>
      <w:r>
        <w:rPr>
          <w:szCs w:val="24"/>
        </w:rPr>
        <w:t>.2 对投标人的纪律要求</w:t>
      </w:r>
      <w:bookmarkEnd w:id="349"/>
      <w:bookmarkEnd w:id="350"/>
      <w:bookmarkEnd w:id="351"/>
      <w:bookmarkEnd w:id="352"/>
      <w:bookmarkEnd w:id="353"/>
      <w:bookmarkEnd w:id="354"/>
      <w:bookmarkEnd w:id="355"/>
      <w:bookmarkEnd w:id="356"/>
      <w:bookmarkEnd w:id="357"/>
      <w:bookmarkEnd w:id="358"/>
    </w:p>
    <w:p>
      <w:pPr>
        <w:spacing w:line="360" w:lineRule="auto"/>
        <w:ind w:firstLine="420"/>
        <w:rPr>
          <w:szCs w:val="21"/>
        </w:rPr>
      </w:pPr>
      <w:bookmarkStart w:id="359" w:name="_Toc269310965"/>
      <w:bookmarkStart w:id="360" w:name="_Toc322503152"/>
      <w:bookmarkStart w:id="361" w:name="_Toc152042353"/>
      <w:bookmarkStart w:id="362" w:name="_Toc152045577"/>
      <w:bookmarkStart w:id="363" w:name="_Toc144974545"/>
      <w:r>
        <w:rPr>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60" w:after="60" w:line="360" w:lineRule="auto"/>
        <w:ind w:firstLine="118"/>
        <w:rPr>
          <w:szCs w:val="24"/>
        </w:rPr>
      </w:pPr>
      <w:bookmarkStart w:id="364" w:name="_Toc6821"/>
      <w:bookmarkStart w:id="365" w:name="_Toc16374"/>
      <w:bookmarkStart w:id="366" w:name="_Toc387526327"/>
      <w:bookmarkStart w:id="367" w:name="_Toc387526419"/>
      <w:bookmarkStart w:id="368" w:name="_Toc387526223"/>
      <w:r>
        <w:rPr>
          <w:rFonts w:hint="eastAsia"/>
          <w:szCs w:val="24"/>
        </w:rPr>
        <w:t>9</w:t>
      </w:r>
      <w:r>
        <w:rPr>
          <w:szCs w:val="24"/>
        </w:rPr>
        <w:t>.3 对评标委员会成员的纪律要求</w:t>
      </w:r>
      <w:bookmarkEnd w:id="359"/>
      <w:bookmarkEnd w:id="360"/>
      <w:bookmarkEnd w:id="361"/>
      <w:bookmarkEnd w:id="362"/>
      <w:bookmarkEnd w:id="363"/>
      <w:bookmarkEnd w:id="364"/>
      <w:bookmarkEnd w:id="365"/>
      <w:bookmarkEnd w:id="366"/>
      <w:bookmarkEnd w:id="367"/>
      <w:bookmarkEnd w:id="368"/>
    </w:p>
    <w:p>
      <w:pPr>
        <w:spacing w:line="360" w:lineRule="auto"/>
        <w:ind w:firstLine="420"/>
        <w:rPr>
          <w:szCs w:val="21"/>
        </w:rPr>
      </w:pPr>
      <w:bookmarkStart w:id="369" w:name="_Toc246996965"/>
      <w:bookmarkStart w:id="370" w:name="_Toc246996222"/>
      <w:bookmarkStart w:id="371" w:name="_Toc247085736"/>
      <w:bookmarkStart w:id="372" w:name="_Toc152042354"/>
      <w:bookmarkStart w:id="373" w:name="_Toc366679707"/>
      <w:bookmarkStart w:id="374" w:name="_Toc152045578"/>
      <w:bookmarkStart w:id="375" w:name="_Toc179632596"/>
      <w:bookmarkStart w:id="376" w:name="_Toc144974546"/>
      <w:r>
        <w:rPr>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60" w:after="60" w:line="360" w:lineRule="auto"/>
        <w:ind w:firstLine="118"/>
        <w:rPr>
          <w:szCs w:val="24"/>
        </w:rPr>
      </w:pPr>
      <w:bookmarkStart w:id="377" w:name="_Toc387526420"/>
      <w:bookmarkStart w:id="378" w:name="_Toc9455"/>
      <w:bookmarkStart w:id="379" w:name="_Toc387526224"/>
      <w:bookmarkStart w:id="380" w:name="_Toc1042"/>
      <w:bookmarkStart w:id="381" w:name="_Toc387526328"/>
      <w:r>
        <w:rPr>
          <w:rFonts w:hint="eastAsia"/>
          <w:szCs w:val="24"/>
        </w:rPr>
        <w:t>9</w:t>
      </w:r>
      <w:r>
        <w:rPr>
          <w:szCs w:val="24"/>
        </w:rPr>
        <w:t>.4 对与评标活动有关的工作人员的纪律要求</w:t>
      </w:r>
      <w:bookmarkEnd w:id="369"/>
      <w:bookmarkEnd w:id="370"/>
      <w:bookmarkEnd w:id="371"/>
      <w:bookmarkEnd w:id="372"/>
      <w:bookmarkEnd w:id="373"/>
      <w:bookmarkEnd w:id="374"/>
      <w:bookmarkEnd w:id="375"/>
      <w:bookmarkEnd w:id="377"/>
      <w:bookmarkEnd w:id="378"/>
      <w:bookmarkEnd w:id="379"/>
      <w:bookmarkEnd w:id="380"/>
      <w:bookmarkEnd w:id="381"/>
    </w:p>
    <w:p>
      <w:pPr>
        <w:spacing w:line="360" w:lineRule="auto"/>
        <w:ind w:firstLine="420"/>
        <w:rPr>
          <w:szCs w:val="21"/>
        </w:rPr>
      </w:pPr>
      <w:bookmarkStart w:id="382" w:name="_Toc152042355"/>
      <w:bookmarkStart w:id="383" w:name="_Toc152042356"/>
      <w:bookmarkStart w:id="384" w:name="_Toc246996223"/>
      <w:bookmarkStart w:id="385" w:name="_Toc247085737"/>
      <w:bookmarkStart w:id="386" w:name="_Toc152045579"/>
      <w:bookmarkStart w:id="387" w:name="_Toc366679708"/>
      <w:bookmarkStart w:id="388" w:name="_Toc179632597"/>
      <w:bookmarkStart w:id="389" w:name="_Toc246996966"/>
      <w:r>
        <w:rPr>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82"/>
    </w:p>
    <w:p>
      <w:pPr>
        <w:pStyle w:val="4"/>
        <w:spacing w:before="60" w:after="60" w:line="360" w:lineRule="auto"/>
        <w:ind w:firstLine="118"/>
        <w:rPr>
          <w:szCs w:val="24"/>
        </w:rPr>
      </w:pPr>
      <w:bookmarkStart w:id="390" w:name="_Toc387526225"/>
      <w:bookmarkStart w:id="391" w:name="_Toc17394"/>
      <w:bookmarkStart w:id="392" w:name="_Toc27873"/>
      <w:bookmarkStart w:id="393" w:name="_Toc387526421"/>
      <w:bookmarkStart w:id="394" w:name="_Toc387526329"/>
      <w:r>
        <w:rPr>
          <w:rFonts w:hint="eastAsia"/>
          <w:szCs w:val="24"/>
        </w:rPr>
        <w:t>9</w:t>
      </w:r>
      <w:r>
        <w:rPr>
          <w:szCs w:val="24"/>
        </w:rPr>
        <w:t>.5 投诉</w:t>
      </w:r>
      <w:bookmarkEnd w:id="376"/>
      <w:bookmarkEnd w:id="383"/>
      <w:bookmarkEnd w:id="384"/>
      <w:bookmarkEnd w:id="385"/>
      <w:bookmarkEnd w:id="386"/>
      <w:bookmarkEnd w:id="387"/>
      <w:bookmarkEnd w:id="388"/>
      <w:bookmarkEnd w:id="389"/>
      <w:bookmarkEnd w:id="390"/>
      <w:bookmarkEnd w:id="391"/>
      <w:bookmarkEnd w:id="392"/>
      <w:bookmarkEnd w:id="393"/>
      <w:bookmarkEnd w:id="394"/>
    </w:p>
    <w:p>
      <w:pPr>
        <w:spacing w:line="360" w:lineRule="auto"/>
        <w:ind w:firstLine="420"/>
        <w:rPr>
          <w:szCs w:val="21"/>
        </w:rPr>
      </w:pPr>
      <w:bookmarkStart w:id="395" w:name="_Toc387526330"/>
      <w:bookmarkStart w:id="396" w:name="_Toc387526226"/>
      <w:bookmarkStart w:id="397" w:name="_Toc9600"/>
      <w:bookmarkStart w:id="398" w:name="_Toc387526422"/>
      <w:r>
        <w:rPr>
          <w:rFonts w:hint="eastAsia"/>
          <w:szCs w:val="21"/>
        </w:rPr>
        <w:t>1、本项目的招投标工作在盐城市大丰区</w:t>
      </w:r>
      <w:r>
        <w:rPr>
          <w:rFonts w:hint="eastAsia"/>
          <w:szCs w:val="21"/>
          <w:lang w:val="en-US" w:eastAsia="zh-CN"/>
        </w:rPr>
        <w:t>公共资源交易中心</w:t>
      </w:r>
      <w:r>
        <w:rPr>
          <w:rFonts w:hint="eastAsia"/>
          <w:szCs w:val="21"/>
        </w:rPr>
        <w:t>办公室的监督下进行，并接受社会监督。</w:t>
      </w:r>
    </w:p>
    <w:p>
      <w:pPr>
        <w:spacing w:line="360" w:lineRule="auto"/>
        <w:ind w:firstLine="420"/>
        <w:rPr>
          <w:szCs w:val="21"/>
        </w:rPr>
      </w:pPr>
      <w:r>
        <w:rPr>
          <w:rFonts w:hint="eastAsia"/>
          <w:szCs w:val="21"/>
        </w:rPr>
        <w:t>2、投标人和其他利害关系人如认为本次招标投标活动不符合法律、法规和规章规定的，依法先向招标人提出质疑，对质疑回复不满意的，向盐城市大丰区公共资源交易中心办公室投诉。任何以口头形式提出的询问、质疑、投诉等，都不予答复。</w:t>
      </w:r>
    </w:p>
    <w:p>
      <w:pPr>
        <w:spacing w:line="360" w:lineRule="auto"/>
        <w:ind w:firstLine="420"/>
        <w:rPr>
          <w:szCs w:val="21"/>
        </w:rPr>
      </w:pPr>
      <w:r>
        <w:rPr>
          <w:rFonts w:hint="eastAsia"/>
          <w:szCs w:val="21"/>
        </w:rPr>
        <w:t>质疑：投标人对招标活动提出疑义，在开标前若质疑招标文件的相关条款，不得超出质疑期，若超出质疑期对招标文件提出疑义，招标采购单位、招标采购监管部门将不予受理；</w:t>
      </w:r>
    </w:p>
    <w:p>
      <w:pPr>
        <w:spacing w:line="360" w:lineRule="auto"/>
        <w:ind w:firstLine="420"/>
        <w:rPr>
          <w:szCs w:val="21"/>
        </w:rPr>
      </w:pPr>
      <w:r>
        <w:rPr>
          <w:rFonts w:hint="eastAsia"/>
          <w:szCs w:val="21"/>
        </w:rPr>
        <w:t>在评标结束（中标结果公示后）质疑范围为除招标文件以外的招标活动，若在中标结果公示后，对招标文件提出质疑，招标采购单位、招标采购监管部门将不予受理；</w:t>
      </w:r>
    </w:p>
    <w:p>
      <w:pPr>
        <w:spacing w:line="360" w:lineRule="auto"/>
        <w:ind w:firstLine="420"/>
        <w:rPr>
          <w:szCs w:val="21"/>
        </w:rPr>
      </w:pPr>
      <w:r>
        <w:rPr>
          <w:rFonts w:hint="eastAsia"/>
          <w:szCs w:val="21"/>
        </w:rPr>
        <w:t>投诉方面：具体投诉期限及处理办法，请查询《政府采购货物和服务招标投标管理办法》第六十三条，或登录盐城市大丰区公共资源交易中心查阅。</w:t>
      </w:r>
    </w:p>
    <w:p>
      <w:pPr>
        <w:spacing w:line="360" w:lineRule="auto"/>
        <w:ind w:firstLine="420"/>
        <w:rPr>
          <w:szCs w:val="21"/>
        </w:rPr>
      </w:pPr>
      <w:r>
        <w:rPr>
          <w:rFonts w:hint="eastAsia"/>
          <w:szCs w:val="21"/>
        </w:rPr>
        <w:t>特别提示：政府采购类项目投诉须先向采购单位（业主）提供质疑，若对采购单位（业主）的答复不满意，再进入投诉程序。</w:t>
      </w:r>
    </w:p>
    <w:p>
      <w:pPr>
        <w:pStyle w:val="159"/>
        <w:outlineLvl w:val="0"/>
        <w:rPr>
          <w:color w:val="auto"/>
        </w:rPr>
      </w:pPr>
      <w:bookmarkStart w:id="399" w:name="_Toc3631"/>
      <w:r>
        <w:rPr>
          <w:rFonts w:hint="eastAsia"/>
          <w:color w:val="auto"/>
        </w:rPr>
        <w:t>10. 招标人需要补充的其他内容</w:t>
      </w:r>
      <w:bookmarkEnd w:id="395"/>
      <w:bookmarkEnd w:id="396"/>
      <w:bookmarkEnd w:id="397"/>
      <w:bookmarkEnd w:id="398"/>
      <w:bookmarkEnd w:id="399"/>
    </w:p>
    <w:p>
      <w:pPr>
        <w:spacing w:line="360" w:lineRule="auto"/>
        <w:ind w:firstLine="420"/>
        <w:rPr>
          <w:szCs w:val="21"/>
        </w:rPr>
      </w:pPr>
      <w:r>
        <w:rPr>
          <w:rFonts w:hint="eastAsia"/>
          <w:szCs w:val="21"/>
        </w:rPr>
        <w:t>10.1重新招标与不再招标</w:t>
      </w:r>
    </w:p>
    <w:p>
      <w:pPr>
        <w:spacing w:line="360" w:lineRule="auto"/>
        <w:ind w:firstLine="420"/>
        <w:rPr>
          <w:szCs w:val="21"/>
        </w:rPr>
      </w:pPr>
      <w:r>
        <w:rPr>
          <w:rFonts w:hint="eastAsia"/>
          <w:szCs w:val="21"/>
        </w:rPr>
        <w:t>A、重新招标</w:t>
      </w:r>
    </w:p>
    <w:p>
      <w:pPr>
        <w:spacing w:line="360" w:lineRule="auto"/>
        <w:ind w:firstLine="420"/>
        <w:rPr>
          <w:szCs w:val="21"/>
        </w:rPr>
      </w:pPr>
      <w:r>
        <w:rPr>
          <w:rFonts w:hint="eastAsia"/>
          <w:szCs w:val="21"/>
        </w:rPr>
        <w:t>有下列情形之一的，招标人应当采取改进措施后重新招标：</w:t>
      </w:r>
    </w:p>
    <w:p>
      <w:pPr>
        <w:spacing w:line="360" w:lineRule="auto"/>
        <w:ind w:firstLine="420"/>
        <w:rPr>
          <w:szCs w:val="21"/>
        </w:rPr>
      </w:pPr>
      <w:r>
        <w:rPr>
          <w:rFonts w:hint="eastAsia"/>
          <w:szCs w:val="21"/>
        </w:rPr>
        <w:t>（1）获取招标文件的潜在投标人少于3个的；</w:t>
      </w:r>
    </w:p>
    <w:p>
      <w:pPr>
        <w:spacing w:line="360" w:lineRule="auto"/>
        <w:ind w:firstLine="420"/>
        <w:rPr>
          <w:szCs w:val="21"/>
        </w:rPr>
      </w:pPr>
      <w:r>
        <w:rPr>
          <w:rFonts w:hint="eastAsia"/>
          <w:szCs w:val="21"/>
        </w:rPr>
        <w:t>（2）通过符合性评审的投标申请人少于3个的。</w:t>
      </w:r>
    </w:p>
    <w:p>
      <w:pPr>
        <w:spacing w:line="360" w:lineRule="auto"/>
        <w:ind w:firstLine="420"/>
        <w:rPr>
          <w:szCs w:val="21"/>
        </w:rPr>
      </w:pPr>
      <w:r>
        <w:rPr>
          <w:rFonts w:hint="eastAsia"/>
          <w:szCs w:val="21"/>
        </w:rPr>
        <w:t>B、不再招标</w:t>
      </w:r>
    </w:p>
    <w:p>
      <w:pPr>
        <w:spacing w:line="360" w:lineRule="auto"/>
        <w:ind w:firstLine="420"/>
        <w:rPr>
          <w:szCs w:val="21"/>
        </w:rPr>
      </w:pPr>
      <w:r>
        <w:rPr>
          <w:rFonts w:hint="eastAsia"/>
          <w:szCs w:val="21"/>
        </w:rPr>
        <w:t xml:space="preserve">  重新招标后，仍存在上述A条情形的，属于经相关部门核准后可不再进行招标，招标人</w:t>
      </w:r>
      <w:r>
        <w:rPr>
          <w:rFonts w:hint="eastAsia" w:ascii="宋体" w:hAnsi="TimesNewRomanPSMT"/>
          <w:kern w:val="0"/>
        </w:rPr>
        <w:t>可以采取竞争性谈判方式”、“单一来源采购方式”等条款评审、确定潜在的中标人</w:t>
      </w:r>
      <w:r>
        <w:rPr>
          <w:rFonts w:hint="eastAsia"/>
          <w:szCs w:val="21"/>
        </w:rPr>
        <w:t>。</w:t>
      </w:r>
    </w:p>
    <w:p>
      <w:pPr>
        <w:spacing w:line="360" w:lineRule="auto"/>
        <w:ind w:firstLine="420"/>
        <w:rPr>
          <w:szCs w:val="21"/>
        </w:rPr>
      </w:pPr>
      <w:r>
        <w:rPr>
          <w:rFonts w:hint="eastAsia"/>
          <w:szCs w:val="21"/>
        </w:rPr>
        <w:t>10.2招标人在发出中标通知书前将根据需要组织相关部门或单位对中标候选人进行全面考察，如发现投标人有不列情形的（包括但不限于），将被取消中标资格：</w:t>
      </w:r>
    </w:p>
    <w:p>
      <w:pPr>
        <w:spacing w:line="360" w:lineRule="auto"/>
        <w:ind w:firstLine="420"/>
        <w:rPr>
          <w:szCs w:val="21"/>
        </w:rPr>
      </w:pPr>
      <w:r>
        <w:rPr>
          <w:rFonts w:hint="eastAsia"/>
          <w:szCs w:val="21"/>
        </w:rPr>
        <w:t>（1）投标人在近3年实施的项目中有不按规定履行合同或无故拖延工期或发生安全事故造成社会不良影响的。</w:t>
      </w:r>
    </w:p>
    <w:p>
      <w:pPr>
        <w:spacing w:line="360" w:lineRule="auto"/>
        <w:ind w:firstLine="420"/>
        <w:rPr>
          <w:szCs w:val="21"/>
        </w:rPr>
      </w:pPr>
      <w:r>
        <w:rPr>
          <w:rFonts w:hint="eastAsia"/>
          <w:szCs w:val="21"/>
        </w:rPr>
        <w:t>（2）投标文件所提交的材料经查实存在虚假情形的。</w:t>
      </w:r>
    </w:p>
    <w:p>
      <w:pPr>
        <w:spacing w:line="360" w:lineRule="auto"/>
        <w:ind w:firstLine="420"/>
        <w:rPr>
          <w:szCs w:val="21"/>
        </w:rPr>
      </w:pPr>
      <w:r>
        <w:rPr>
          <w:rFonts w:hint="eastAsia"/>
          <w:szCs w:val="21"/>
        </w:rPr>
        <w:t>（3）投标人不具备本项目生产、供货能力的。</w:t>
      </w:r>
    </w:p>
    <w:p>
      <w:pPr>
        <w:spacing w:line="360" w:lineRule="auto"/>
        <w:ind w:firstLine="420"/>
        <w:rPr>
          <w:rFonts w:hint="eastAsia"/>
          <w:szCs w:val="21"/>
        </w:rPr>
      </w:pPr>
      <w:r>
        <w:rPr>
          <w:rFonts w:hint="eastAsia"/>
          <w:szCs w:val="21"/>
        </w:rPr>
        <w:t>10.3、其他需要补充的其他内容</w:t>
      </w:r>
    </w:p>
    <w:p>
      <w:pPr>
        <w:pStyle w:val="2"/>
      </w:pPr>
      <w:r>
        <w:rPr>
          <w:rFonts w:hint="eastAsia"/>
        </w:rPr>
        <w:br w:type="page"/>
      </w:r>
      <w:bookmarkStart w:id="400" w:name="_Toc22233"/>
      <w:r>
        <w:rPr>
          <w:rFonts w:hint="eastAsia"/>
        </w:rPr>
        <w:t>第三章 评标办法（综合评分法）</w:t>
      </w:r>
      <w:bookmarkEnd w:id="400"/>
    </w:p>
    <w:p>
      <w:pPr>
        <w:pStyle w:val="3"/>
        <w:rPr>
          <w:rFonts w:ascii="宋体" w:hAnsi="宋体" w:eastAsia="宋体"/>
          <w:sz w:val="21"/>
          <w:szCs w:val="21"/>
        </w:rPr>
      </w:pPr>
      <w:bookmarkStart w:id="401" w:name="_Toc11060"/>
      <w:bookmarkStart w:id="402" w:name="_Toc28459"/>
      <w:r>
        <w:rPr>
          <w:rFonts w:hint="eastAsia" w:ascii="宋体" w:hAnsi="宋体" w:eastAsia="宋体"/>
          <w:sz w:val="21"/>
          <w:szCs w:val="21"/>
        </w:rPr>
        <w:t>评标办法前附表</w:t>
      </w:r>
      <w:bookmarkEnd w:id="401"/>
      <w:bookmarkEnd w:id="402"/>
    </w:p>
    <w:p>
      <w:pPr>
        <w:autoSpaceDE w:val="0"/>
        <w:autoSpaceDN w:val="0"/>
        <w:spacing w:line="360" w:lineRule="auto"/>
        <w:ind w:firstLine="420" w:firstLineChars="200"/>
        <w:jc w:val="left"/>
        <w:rPr>
          <w:color w:val="000000"/>
          <w:kern w:val="0"/>
          <w:szCs w:val="21"/>
        </w:rPr>
      </w:pPr>
      <w:r>
        <w:rPr>
          <w:rFonts w:hint="eastAsia"/>
          <w:color w:val="000000"/>
          <w:kern w:val="0"/>
          <w:szCs w:val="21"/>
        </w:rPr>
        <w:t>根据《中华人民共和国政府采购法实施条例》第九条规定，评委评标前签订评标回避书，作为永久档案存档。</w:t>
      </w:r>
    </w:p>
    <w:p>
      <w:pPr>
        <w:pStyle w:val="3"/>
        <w:spacing w:line="360" w:lineRule="auto"/>
        <w:rPr>
          <w:rFonts w:ascii="宋体" w:hAnsi="宋体" w:eastAsia="宋体"/>
          <w:color w:val="000000"/>
        </w:rPr>
      </w:pPr>
      <w:bookmarkStart w:id="403" w:name="_Toc454283350"/>
      <w:bookmarkStart w:id="404" w:name="_Toc22000"/>
      <w:bookmarkStart w:id="405" w:name="_Toc397928601"/>
      <w:r>
        <w:rPr>
          <w:rFonts w:ascii="宋体" w:hAnsi="宋体" w:eastAsia="宋体"/>
          <w:color w:val="000000"/>
        </w:rPr>
        <w:t>1</w:t>
      </w:r>
      <w:r>
        <w:rPr>
          <w:rFonts w:hint="eastAsia" w:ascii="宋体" w:hAnsi="宋体" w:eastAsia="宋体"/>
          <w:color w:val="000000"/>
        </w:rPr>
        <w:t>．</w:t>
      </w:r>
      <w:r>
        <w:rPr>
          <w:rFonts w:ascii="宋体" w:hAnsi="宋体" w:eastAsia="宋体"/>
          <w:color w:val="000000"/>
        </w:rPr>
        <w:t xml:space="preserve"> </w:t>
      </w:r>
      <w:r>
        <w:rPr>
          <w:rFonts w:hint="eastAsia" w:ascii="宋体" w:hAnsi="宋体" w:eastAsia="宋体"/>
          <w:color w:val="000000"/>
        </w:rPr>
        <w:t>评标方法</w:t>
      </w:r>
      <w:bookmarkEnd w:id="403"/>
      <w:bookmarkEnd w:id="404"/>
      <w:bookmarkEnd w:id="405"/>
    </w:p>
    <w:p>
      <w:pPr>
        <w:autoSpaceDE w:val="0"/>
        <w:autoSpaceDN w:val="0"/>
        <w:spacing w:line="400" w:lineRule="exact"/>
        <w:ind w:firstLine="420" w:firstLineChars="200"/>
        <w:jc w:val="left"/>
        <w:rPr>
          <w:rFonts w:ascii="宋体" w:hAnsi="TimesNewRomanPSMT"/>
          <w:color w:val="000000"/>
          <w:kern w:val="0"/>
          <w:szCs w:val="21"/>
        </w:rPr>
      </w:pPr>
      <w:r>
        <w:rPr>
          <w:rFonts w:hint="eastAsia" w:ascii="宋体" w:hAnsi="TimesNewRomanPSMT"/>
          <w:color w:val="000000"/>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3"/>
        <w:spacing w:line="360" w:lineRule="auto"/>
        <w:rPr>
          <w:rFonts w:ascii="宋体" w:hAnsi="宋体" w:eastAsia="宋体"/>
          <w:color w:val="000000"/>
        </w:rPr>
      </w:pPr>
      <w:bookmarkStart w:id="406" w:name="_Toc454283351"/>
      <w:bookmarkStart w:id="407" w:name="_Toc397928602"/>
      <w:bookmarkStart w:id="408" w:name="_Toc15971"/>
      <w:r>
        <w:rPr>
          <w:rFonts w:ascii="宋体" w:hAnsi="宋体" w:eastAsia="宋体"/>
          <w:color w:val="000000"/>
        </w:rPr>
        <w:t>2</w:t>
      </w:r>
      <w:r>
        <w:rPr>
          <w:rFonts w:hint="eastAsia" w:ascii="宋体" w:hAnsi="宋体" w:eastAsia="宋体"/>
          <w:color w:val="000000"/>
        </w:rPr>
        <w:t>．</w:t>
      </w:r>
      <w:r>
        <w:rPr>
          <w:rFonts w:ascii="宋体" w:hAnsi="宋体" w:eastAsia="宋体"/>
          <w:color w:val="000000"/>
        </w:rPr>
        <w:t xml:space="preserve"> </w:t>
      </w:r>
      <w:r>
        <w:rPr>
          <w:rFonts w:hint="eastAsia" w:ascii="宋体" w:hAnsi="宋体" w:eastAsia="宋体"/>
          <w:color w:val="000000"/>
        </w:rPr>
        <w:t>评审标准</w:t>
      </w:r>
      <w:bookmarkEnd w:id="406"/>
      <w:bookmarkEnd w:id="407"/>
      <w:bookmarkEnd w:id="408"/>
    </w:p>
    <w:p>
      <w:pPr>
        <w:spacing w:line="400" w:lineRule="exact"/>
        <w:ind w:firstLine="420" w:firstLineChars="200"/>
        <w:rPr>
          <w:rFonts w:ascii="宋体" w:hAnsi="宋体"/>
          <w:color w:val="000000"/>
          <w:szCs w:val="21"/>
        </w:rPr>
      </w:pPr>
      <w:r>
        <w:rPr>
          <w:rFonts w:hint="eastAsia" w:ascii="宋体" w:hAnsi="宋体"/>
          <w:color w:val="000000"/>
          <w:szCs w:val="21"/>
        </w:rPr>
        <w:t>(如涉及到产品的参考品牌，在评审前评标委员会对照招标文件品牌的要求先进行品牌评审认定。)</w:t>
      </w:r>
    </w:p>
    <w:p>
      <w:pPr>
        <w:pStyle w:val="4"/>
        <w:spacing w:line="400" w:lineRule="exact"/>
        <w:ind w:firstLine="103"/>
        <w:rPr>
          <w:color w:val="000000"/>
          <w:sz w:val="21"/>
          <w:szCs w:val="21"/>
        </w:rPr>
      </w:pPr>
      <w:bookmarkStart w:id="409" w:name="_Toc27382"/>
      <w:bookmarkStart w:id="410" w:name="_Toc454283352"/>
      <w:bookmarkStart w:id="411" w:name="_Toc397928603"/>
      <w:r>
        <w:rPr>
          <w:color w:val="000000"/>
          <w:sz w:val="21"/>
          <w:szCs w:val="21"/>
        </w:rPr>
        <w:t xml:space="preserve">2.1 </w:t>
      </w:r>
      <w:r>
        <w:rPr>
          <w:rFonts w:hint="eastAsia"/>
          <w:color w:val="000000"/>
          <w:sz w:val="21"/>
          <w:szCs w:val="21"/>
        </w:rPr>
        <w:t>初步评审标准</w:t>
      </w:r>
      <w:bookmarkEnd w:id="409"/>
      <w:bookmarkEnd w:id="410"/>
      <w:bookmarkEnd w:id="411"/>
    </w:p>
    <w:p>
      <w:pPr>
        <w:spacing w:line="400" w:lineRule="exact"/>
        <w:ind w:firstLine="420" w:firstLineChars="200"/>
        <w:rPr>
          <w:rFonts w:hint="eastAsia" w:ascii="宋体" w:hAnsi="宋体"/>
          <w:color w:val="000000"/>
          <w:szCs w:val="21"/>
        </w:rPr>
      </w:pPr>
      <w:r>
        <w:rPr>
          <w:rFonts w:hint="eastAsia" w:ascii="宋体" w:hAnsi="宋体"/>
          <w:color w:val="000000"/>
          <w:szCs w:val="21"/>
        </w:rPr>
        <w:t>2.1.1 资质性评审标准：</w:t>
      </w:r>
    </w:p>
    <w:p>
      <w:pPr>
        <w:spacing w:line="400" w:lineRule="exact"/>
        <w:ind w:firstLine="422" w:firstLineChars="200"/>
        <w:rPr>
          <w:rFonts w:hint="eastAsia" w:ascii="宋体" w:hAnsi="宋体"/>
          <w:color w:val="000000"/>
          <w:szCs w:val="21"/>
        </w:rPr>
      </w:pPr>
      <w:r>
        <w:rPr>
          <w:rFonts w:hint="eastAsia"/>
          <w:b/>
          <w:bCs/>
          <w:szCs w:val="21"/>
          <w:u w:val="single"/>
        </w:rPr>
        <w:t>企业营业执照（副本）；</w:t>
      </w:r>
    </w:p>
    <w:p>
      <w:pPr>
        <w:spacing w:line="400" w:lineRule="exact"/>
        <w:ind w:firstLine="422" w:firstLineChars="200"/>
        <w:rPr>
          <w:rFonts w:ascii="宋体" w:hAnsi="宋体"/>
          <w:b/>
          <w:color w:val="000000"/>
          <w:szCs w:val="21"/>
        </w:rPr>
      </w:pPr>
      <w:r>
        <w:rPr>
          <w:rFonts w:hint="eastAsia" w:ascii="宋体" w:hAnsi="宋体"/>
          <w:b/>
          <w:color w:val="000000"/>
          <w:szCs w:val="21"/>
        </w:rPr>
        <w:t>在投标时应按招标文件要求将上述原件放入资质标书封袋内随投标文件一起递交，未提交上述原件资料或资料不全的，资格审查不予通过。</w:t>
      </w:r>
    </w:p>
    <w:p>
      <w:pPr>
        <w:spacing w:line="400" w:lineRule="exact"/>
        <w:ind w:firstLine="420" w:firstLineChars="200"/>
        <w:rPr>
          <w:rFonts w:ascii="宋体" w:hAnsi="宋体"/>
          <w:color w:val="000000"/>
          <w:szCs w:val="21"/>
        </w:rPr>
      </w:pPr>
      <w:r>
        <w:rPr>
          <w:rFonts w:hint="eastAsia" w:ascii="宋体" w:hAnsi="宋体"/>
          <w:color w:val="000000"/>
          <w:szCs w:val="21"/>
        </w:rPr>
        <w:t>2.1.2 符合性评审标准：依据招标文件的规定，从投标文件的有效性、完整性和对招标文件的响应程度进行审查，以确定是否对招标文件的实质性要求作出响应。</w:t>
      </w:r>
    </w:p>
    <w:p>
      <w:pPr>
        <w:shd w:val="clear" w:color="auto" w:fill="FFFFFF"/>
        <w:spacing w:line="400" w:lineRule="exact"/>
        <w:ind w:firstLine="447"/>
        <w:rPr>
          <w:rFonts w:ascii="宋体" w:hAnsi="宋体"/>
          <w:color w:val="000000"/>
          <w:szCs w:val="21"/>
        </w:rPr>
      </w:pPr>
      <w:r>
        <w:rPr>
          <w:rFonts w:hint="eastAsia" w:ascii="宋体" w:hAnsi="宋体"/>
          <w:color w:val="000000"/>
          <w:szCs w:val="21"/>
        </w:rPr>
        <w:t>审查标准主要有投标文件签字盖章、投标文件的组成、投标文件及报价唯一、交货期或工期、质量要求、投标保证金等方面。</w:t>
      </w:r>
    </w:p>
    <w:p>
      <w:pPr>
        <w:pStyle w:val="4"/>
        <w:spacing w:line="400" w:lineRule="exact"/>
        <w:ind w:firstLine="103"/>
        <w:rPr>
          <w:color w:val="000000"/>
          <w:sz w:val="21"/>
          <w:szCs w:val="21"/>
        </w:rPr>
      </w:pPr>
      <w:bookmarkStart w:id="412" w:name="_Toc16104"/>
      <w:bookmarkStart w:id="413" w:name="_Toc454283353"/>
      <w:bookmarkStart w:id="414" w:name="_Toc397928604"/>
    </w:p>
    <w:p>
      <w:pPr>
        <w:pStyle w:val="4"/>
        <w:spacing w:line="400" w:lineRule="exact"/>
        <w:ind w:firstLine="103"/>
        <w:rPr>
          <w:rFonts w:hint="eastAsia" w:ascii="宋体" w:hAnsi="宋体"/>
          <w:b/>
          <w:color w:val="000000"/>
          <w:szCs w:val="21"/>
        </w:rPr>
      </w:pPr>
      <w:r>
        <w:rPr>
          <w:color w:val="000000"/>
          <w:sz w:val="21"/>
          <w:szCs w:val="21"/>
        </w:rPr>
        <w:t>2.2</w:t>
      </w:r>
      <w:r>
        <w:rPr>
          <w:rFonts w:hint="eastAsia"/>
          <w:color w:val="000000"/>
          <w:sz w:val="21"/>
          <w:szCs w:val="21"/>
        </w:rPr>
        <w:t xml:space="preserve"> 分值构成与评分标准</w:t>
      </w:r>
    </w:p>
    <w:p>
      <w:pPr>
        <w:spacing w:line="400" w:lineRule="exact"/>
        <w:ind w:firstLine="420" w:firstLineChars="200"/>
        <w:rPr>
          <w:rFonts w:hint="eastAsia" w:ascii="宋体" w:hAnsi="宋体"/>
          <w:color w:val="000000"/>
          <w:szCs w:val="21"/>
        </w:rPr>
      </w:pPr>
      <w:r>
        <w:rPr>
          <w:rFonts w:hint="eastAsia" w:ascii="宋体" w:hAnsi="宋体"/>
          <w:color w:val="000000"/>
          <w:szCs w:val="21"/>
        </w:rPr>
        <w:t>评分采用百分制，由评标委员会成员根据各投标人的投标报价、技术响应性、投标文件制作、供货能力、备件情况、企业实力及业绩、售后服务和服务措施等进行比较，并进行综合打分。得分由高到低顺序排列。</w:t>
      </w:r>
    </w:p>
    <w:bookmarkEnd w:id="412"/>
    <w:bookmarkEnd w:id="413"/>
    <w:bookmarkEnd w:id="414"/>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tbl>
      <w:tblPr>
        <w:tblStyle w:val="48"/>
        <w:tblW w:w="9055"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176"/>
        <w:gridCol w:w="1351"/>
        <w:gridCol w:w="885"/>
        <w:gridCol w:w="5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26" w:type="dxa"/>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序号</w:t>
            </w:r>
          </w:p>
        </w:tc>
        <w:tc>
          <w:tcPr>
            <w:tcW w:w="1176" w:type="dxa"/>
            <w:vAlign w:val="center"/>
          </w:tcPr>
          <w:p>
            <w:pPr>
              <w:spacing w:line="320" w:lineRule="exact"/>
              <w:jc w:val="center"/>
              <w:rPr>
                <w:rFonts w:hint="default" w:ascii="宋体" w:hAnsi="宋体" w:eastAsia="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分部内容</w:t>
            </w:r>
          </w:p>
        </w:tc>
        <w:tc>
          <w:tcPr>
            <w:tcW w:w="1351" w:type="dxa"/>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评分项目</w:t>
            </w:r>
          </w:p>
        </w:tc>
        <w:tc>
          <w:tcPr>
            <w:tcW w:w="885" w:type="dxa"/>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分值</w:t>
            </w:r>
          </w:p>
        </w:tc>
        <w:tc>
          <w:tcPr>
            <w:tcW w:w="5117" w:type="dxa"/>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评定细则及说明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0" w:hRule="atLeast"/>
          <w:jc w:val="center"/>
        </w:trPr>
        <w:tc>
          <w:tcPr>
            <w:tcW w:w="526" w:type="dxa"/>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1</w:t>
            </w:r>
          </w:p>
        </w:tc>
        <w:tc>
          <w:tcPr>
            <w:tcW w:w="1176" w:type="dxa"/>
            <w:vAlign w:val="center"/>
          </w:tcPr>
          <w:p>
            <w:pPr>
              <w:spacing w:line="320" w:lineRule="exact"/>
              <w:jc w:val="center"/>
              <w:rPr>
                <w:rFonts w:hint="default" w:ascii="宋体" w:hAnsi="宋体" w:eastAsia="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商务部分</w:t>
            </w:r>
          </w:p>
        </w:tc>
        <w:tc>
          <w:tcPr>
            <w:tcW w:w="1351" w:type="dxa"/>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投标报价</w:t>
            </w:r>
          </w:p>
        </w:tc>
        <w:tc>
          <w:tcPr>
            <w:tcW w:w="885" w:type="dxa"/>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cs="宋体"/>
                <w:kern w:val="0"/>
                <w:sz w:val="21"/>
                <w:szCs w:val="21"/>
                <w:shd w:val="clear" w:color="auto" w:fill="FFFFFF"/>
                <w:lang w:val="en-US" w:eastAsia="zh-CN"/>
              </w:rPr>
              <w:t>65</w:t>
            </w:r>
            <w:r>
              <w:rPr>
                <w:rFonts w:hint="eastAsia" w:ascii="宋体" w:hAnsi="宋体" w:eastAsia="宋体" w:cs="宋体"/>
                <w:kern w:val="0"/>
                <w:sz w:val="21"/>
                <w:szCs w:val="21"/>
                <w:shd w:val="clear" w:color="auto" w:fill="FFFFFF"/>
              </w:rPr>
              <w:t>分</w:t>
            </w:r>
          </w:p>
        </w:tc>
        <w:tc>
          <w:tcPr>
            <w:tcW w:w="5117" w:type="dxa"/>
            <w:vAlign w:val="center"/>
          </w:tcPr>
          <w:p>
            <w:pPr>
              <w:spacing w:line="240" w:lineRule="auto"/>
              <w:jc w:val="left"/>
              <w:rPr>
                <w:rFonts w:hint="default" w:asciiTheme="minorEastAsia" w:hAnsiTheme="minorEastAsia" w:eastAsiaTheme="minorEastAsia" w:cstheme="minorEastAsia"/>
                <w:b w:val="0"/>
                <w:bCs/>
                <w:color w:val="auto"/>
                <w:sz w:val="21"/>
                <w:szCs w:val="21"/>
                <w:highlight w:val="none"/>
                <w:vertAlign w:val="baseline"/>
                <w:lang w:val="en-US" w:eastAsia="zh-CN"/>
              </w:rPr>
            </w:pPr>
            <w:r>
              <w:rPr>
                <w:rFonts w:hint="eastAsia" w:asciiTheme="minorEastAsia" w:hAnsiTheme="minorEastAsia" w:eastAsiaTheme="minorEastAsia" w:cstheme="minorEastAsia"/>
                <w:b w:val="0"/>
                <w:bCs/>
                <w:color w:val="auto"/>
                <w:sz w:val="21"/>
                <w:szCs w:val="21"/>
                <w:highlight w:val="none"/>
                <w:vertAlign w:val="baseline"/>
                <w:lang w:val="en-US" w:eastAsia="zh-CN"/>
              </w:rPr>
              <w:t>投标人投标报价得分＝（评标基准价/投标报价）×65</w:t>
            </w:r>
          </w:p>
          <w:p>
            <w:pPr>
              <w:spacing w:line="240" w:lineRule="auto"/>
              <w:jc w:val="left"/>
              <w:rPr>
                <w:rFonts w:hint="eastAsia" w:asciiTheme="minorEastAsia" w:hAnsiTheme="minorEastAsia" w:eastAsiaTheme="minorEastAsia" w:cstheme="minorEastAsia"/>
                <w:b w:val="0"/>
                <w:bCs/>
                <w:color w:val="auto"/>
                <w:sz w:val="21"/>
                <w:szCs w:val="21"/>
                <w:highlight w:val="none"/>
                <w:vertAlign w:val="baseline"/>
                <w:lang w:val="en-US" w:eastAsia="zh-CN"/>
              </w:rPr>
            </w:pPr>
            <w:r>
              <w:rPr>
                <w:rFonts w:hint="eastAsia" w:asciiTheme="minorEastAsia" w:hAnsiTheme="minorEastAsia" w:eastAsiaTheme="minorEastAsia" w:cstheme="minorEastAsia"/>
                <w:b w:val="0"/>
                <w:bCs/>
                <w:color w:val="auto"/>
                <w:sz w:val="21"/>
                <w:szCs w:val="21"/>
                <w:highlight w:val="none"/>
                <w:vertAlign w:val="baseline"/>
                <w:lang w:val="en-US" w:eastAsia="zh-CN"/>
              </w:rPr>
              <w:t>注解：</w:t>
            </w:r>
          </w:p>
          <w:p>
            <w:pPr>
              <w:spacing w:line="240" w:lineRule="auto"/>
              <w:jc w:val="left"/>
              <w:rPr>
                <w:rFonts w:hint="eastAsia" w:asciiTheme="minorEastAsia" w:hAnsiTheme="minorEastAsia" w:eastAsiaTheme="minorEastAsia" w:cstheme="minorEastAsia"/>
                <w:b w:val="0"/>
                <w:bCs/>
                <w:color w:val="auto"/>
                <w:sz w:val="21"/>
                <w:szCs w:val="21"/>
                <w:highlight w:val="none"/>
                <w:vertAlign w:val="baseline"/>
                <w:lang w:val="en-US" w:eastAsia="zh-CN"/>
              </w:rPr>
            </w:pPr>
            <w:r>
              <w:rPr>
                <w:rFonts w:hint="eastAsia" w:asciiTheme="minorEastAsia" w:hAnsiTheme="minorEastAsia" w:eastAsiaTheme="minorEastAsia" w:cstheme="minorEastAsia"/>
                <w:b w:val="0"/>
                <w:bCs/>
                <w:color w:val="auto"/>
                <w:sz w:val="21"/>
                <w:szCs w:val="21"/>
                <w:highlight w:val="none"/>
                <w:vertAlign w:val="baseline"/>
                <w:lang w:val="en-US" w:eastAsia="zh-CN"/>
              </w:rPr>
              <w:t>1、评标基准价为满足招标文件要求且投标价格最低的有效投标报价;</w:t>
            </w:r>
          </w:p>
          <w:p>
            <w:pPr>
              <w:spacing w:line="240" w:lineRule="auto"/>
              <w:jc w:val="left"/>
              <w:rPr>
                <w:rFonts w:hint="eastAsia" w:asciiTheme="minorEastAsia" w:hAnsiTheme="minorEastAsia" w:eastAsiaTheme="minorEastAsia" w:cstheme="minorEastAsia"/>
                <w:b w:val="0"/>
                <w:bCs/>
                <w:color w:val="auto"/>
                <w:sz w:val="21"/>
                <w:szCs w:val="21"/>
                <w:highlight w:val="none"/>
                <w:vertAlign w:val="baseline"/>
                <w:lang w:val="en-US" w:eastAsia="zh-CN"/>
              </w:rPr>
            </w:pPr>
            <w:r>
              <w:rPr>
                <w:rFonts w:hint="eastAsia" w:asciiTheme="minorEastAsia" w:hAnsiTheme="minorEastAsia" w:eastAsiaTheme="minorEastAsia" w:cstheme="minorEastAsia"/>
                <w:b w:val="0"/>
                <w:bCs/>
                <w:color w:val="auto"/>
                <w:sz w:val="21"/>
                <w:szCs w:val="21"/>
                <w:highlight w:val="none"/>
                <w:vertAlign w:val="baseline"/>
                <w:lang w:val="en-US" w:eastAsia="zh-CN"/>
              </w:rPr>
              <w:t>2、投标报价为投标文件中投标单价总和 ；</w:t>
            </w:r>
          </w:p>
          <w:p>
            <w:pPr>
              <w:spacing w:line="240" w:lineRule="auto"/>
              <w:jc w:val="left"/>
              <w:rPr>
                <w:rFonts w:hint="eastAsia" w:asciiTheme="minorEastAsia" w:hAnsiTheme="minorEastAsia" w:eastAsiaTheme="minorEastAsia" w:cstheme="minorEastAsia"/>
                <w:b w:val="0"/>
                <w:bCs/>
                <w:color w:val="auto"/>
                <w:sz w:val="21"/>
                <w:szCs w:val="21"/>
                <w:highlight w:val="none"/>
                <w:vertAlign w:val="baseline"/>
                <w:lang w:val="en-US" w:eastAsia="zh-CN"/>
              </w:rPr>
            </w:pPr>
            <w:r>
              <w:rPr>
                <w:rFonts w:hint="eastAsia" w:asciiTheme="minorEastAsia" w:hAnsiTheme="minorEastAsia" w:eastAsiaTheme="minorEastAsia" w:cstheme="minorEastAsia"/>
                <w:b w:val="0"/>
                <w:bCs/>
                <w:color w:val="auto"/>
                <w:sz w:val="21"/>
                <w:szCs w:val="21"/>
                <w:highlight w:val="none"/>
                <w:vertAlign w:val="baseline"/>
                <w:lang w:val="en-US" w:eastAsia="zh-CN"/>
              </w:rPr>
              <w:t>3、上述方法的评标基准价不因评标后招投标当事人质疑 、投诉 、复议以及其它任何情形而改变（计算错误除外）；</w:t>
            </w:r>
          </w:p>
          <w:p>
            <w:pPr>
              <w:spacing w:line="360" w:lineRule="exact"/>
              <w:rPr>
                <w:rFonts w:hint="default" w:ascii="宋体" w:hAnsi="宋体" w:cs="宋体"/>
                <w:kern w:val="0"/>
                <w:sz w:val="21"/>
                <w:szCs w:val="21"/>
                <w:shd w:val="clear" w:color="auto" w:fill="FFFFFF"/>
                <w:lang w:val="en-US" w:eastAsia="zh-CN"/>
              </w:rPr>
            </w:pPr>
            <w:r>
              <w:rPr>
                <w:rFonts w:hint="eastAsia" w:asciiTheme="minorEastAsia" w:hAnsiTheme="minorEastAsia" w:eastAsiaTheme="minorEastAsia" w:cstheme="minorEastAsia"/>
                <w:b w:val="0"/>
                <w:bCs/>
                <w:color w:val="auto"/>
                <w:sz w:val="21"/>
                <w:szCs w:val="21"/>
                <w:highlight w:val="none"/>
                <w:vertAlign w:val="baseline"/>
                <w:lang w:val="en-US" w:eastAsia="zh-CN"/>
              </w:rPr>
              <w:t>4、得分数值保留两位小数。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526" w:type="dxa"/>
            <w:vMerge w:val="restart"/>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2</w:t>
            </w:r>
          </w:p>
        </w:tc>
        <w:tc>
          <w:tcPr>
            <w:tcW w:w="1176" w:type="dxa"/>
            <w:vMerge w:val="restart"/>
            <w:vAlign w:val="center"/>
          </w:tcPr>
          <w:p>
            <w:pPr>
              <w:spacing w:line="320" w:lineRule="exact"/>
              <w:jc w:val="center"/>
              <w:rPr>
                <w:rFonts w:hint="default" w:ascii="宋体" w:hAnsi="宋体" w:eastAsia="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资信部分</w:t>
            </w:r>
          </w:p>
        </w:tc>
        <w:tc>
          <w:tcPr>
            <w:tcW w:w="1351" w:type="dxa"/>
            <w:vMerge w:val="restart"/>
            <w:vAlign w:val="center"/>
          </w:tcPr>
          <w:p>
            <w:pPr>
              <w:spacing w:line="320" w:lineRule="exact"/>
              <w:jc w:val="center"/>
              <w:rPr>
                <w:rFonts w:hint="default" w:ascii="宋体" w:hAnsi="宋体" w:eastAsia="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投标人资信</w:t>
            </w:r>
          </w:p>
        </w:tc>
        <w:tc>
          <w:tcPr>
            <w:tcW w:w="885" w:type="dxa"/>
            <w:vAlign w:val="center"/>
          </w:tcPr>
          <w:p>
            <w:pPr>
              <w:spacing w:line="320" w:lineRule="exact"/>
              <w:jc w:val="center"/>
              <w:rPr>
                <w:rFonts w:hint="default" w:ascii="宋体" w:hAnsi="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3分</w:t>
            </w:r>
          </w:p>
        </w:tc>
        <w:tc>
          <w:tcPr>
            <w:tcW w:w="5117" w:type="dxa"/>
            <w:vAlign w:val="center"/>
          </w:tcPr>
          <w:p>
            <w:pPr>
              <w:spacing w:line="360" w:lineRule="exact"/>
              <w:rPr>
                <w:rFonts w:hint="eastAsia" w:ascii="宋体" w:hAnsi="宋体" w:eastAsia="宋体" w:cs="宋体"/>
                <w:kern w:val="0"/>
                <w:sz w:val="21"/>
                <w:szCs w:val="21"/>
                <w:shd w:val="clear" w:color="auto" w:fill="FFFFFF"/>
              </w:rPr>
            </w:pPr>
            <w:r>
              <w:rPr>
                <w:rFonts w:hint="eastAsia" w:asciiTheme="minorEastAsia" w:hAnsiTheme="minorEastAsia" w:eastAsiaTheme="minorEastAsia" w:cstheme="minorEastAsia"/>
                <w:b w:val="0"/>
                <w:bCs/>
                <w:color w:val="auto"/>
                <w:sz w:val="21"/>
                <w:szCs w:val="21"/>
                <w:highlight w:val="none"/>
                <w:vertAlign w:val="baseline"/>
                <w:lang w:val="en-US" w:eastAsia="zh-CN"/>
              </w:rPr>
              <w:t>投标人近1年经会计师事务所审计的财务审计报告和财务报表得3分（提供原件及复印件）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526"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1176"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1351"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885" w:type="dxa"/>
            <w:vAlign w:val="center"/>
          </w:tcPr>
          <w:p>
            <w:pPr>
              <w:spacing w:line="360" w:lineRule="exact"/>
              <w:jc w:val="center"/>
              <w:rPr>
                <w:rFonts w:hint="default" w:ascii="宋体" w:hAnsi="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4分</w:t>
            </w:r>
          </w:p>
        </w:tc>
        <w:tc>
          <w:tcPr>
            <w:tcW w:w="5117" w:type="dxa"/>
            <w:vAlign w:val="center"/>
          </w:tcPr>
          <w:p>
            <w:pPr>
              <w:spacing w:line="360" w:lineRule="exact"/>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投标供应商提供自2016年1月1日以来完成的同类项目案例。每提供一个得</w:t>
            </w:r>
            <w:r>
              <w:rPr>
                <w:rFonts w:hint="eastAsia" w:ascii="宋体" w:hAnsi="宋体" w:eastAsia="宋体" w:cs="宋体"/>
                <w:kern w:val="0"/>
                <w:sz w:val="21"/>
                <w:szCs w:val="21"/>
                <w:shd w:val="clear" w:color="auto" w:fill="FFFFFF"/>
                <w:lang w:val="en-US" w:eastAsia="zh-CN"/>
              </w:rPr>
              <w:t>2</w:t>
            </w:r>
            <w:r>
              <w:rPr>
                <w:rFonts w:hint="eastAsia" w:ascii="宋体" w:hAnsi="宋体" w:eastAsia="宋体" w:cs="宋体"/>
                <w:kern w:val="0"/>
                <w:sz w:val="21"/>
                <w:szCs w:val="21"/>
                <w:shd w:val="clear" w:color="auto" w:fill="FFFFFF"/>
              </w:rPr>
              <w:t>分，满分</w:t>
            </w:r>
            <w:r>
              <w:rPr>
                <w:rFonts w:hint="eastAsia" w:ascii="宋体" w:hAnsi="宋体" w:eastAsia="宋体" w:cs="宋体"/>
                <w:kern w:val="0"/>
                <w:sz w:val="21"/>
                <w:szCs w:val="21"/>
                <w:shd w:val="clear" w:color="auto" w:fill="FFFFFF"/>
                <w:lang w:val="en-US" w:eastAsia="zh-CN"/>
              </w:rPr>
              <w:t>4</w:t>
            </w:r>
            <w:r>
              <w:rPr>
                <w:rFonts w:hint="eastAsia" w:ascii="宋体" w:hAnsi="宋体" w:eastAsia="宋体" w:cs="宋体"/>
                <w:kern w:val="0"/>
                <w:sz w:val="21"/>
                <w:szCs w:val="21"/>
                <w:shd w:val="clear" w:color="auto" w:fill="FFFFFF"/>
              </w:rPr>
              <w:t>分（提供合同复印件、原件备查）。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26" w:type="dxa"/>
            <w:vMerge w:val="restart"/>
            <w:vAlign w:val="center"/>
          </w:tcPr>
          <w:p>
            <w:pPr>
              <w:spacing w:line="320" w:lineRule="exact"/>
              <w:jc w:val="center"/>
              <w:rPr>
                <w:rFonts w:hint="eastAsia" w:ascii="宋体" w:hAnsi="宋体" w:eastAsia="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3</w:t>
            </w:r>
          </w:p>
        </w:tc>
        <w:tc>
          <w:tcPr>
            <w:tcW w:w="1176" w:type="dxa"/>
            <w:vMerge w:val="restart"/>
            <w:vAlign w:val="center"/>
          </w:tcPr>
          <w:p>
            <w:pPr>
              <w:spacing w:line="320" w:lineRule="exact"/>
              <w:jc w:val="center"/>
              <w:rPr>
                <w:rFonts w:hint="default" w:ascii="宋体" w:hAnsi="宋体" w:eastAsia="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技术部分</w:t>
            </w:r>
          </w:p>
        </w:tc>
        <w:tc>
          <w:tcPr>
            <w:tcW w:w="1351" w:type="dxa"/>
            <w:vMerge w:val="restart"/>
            <w:vAlign w:val="center"/>
          </w:tcPr>
          <w:p>
            <w:pPr>
              <w:spacing w:line="320" w:lineRule="exact"/>
              <w:jc w:val="center"/>
              <w:rPr>
                <w:rFonts w:hint="default" w:ascii="宋体" w:hAnsi="宋体" w:eastAsia="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产品技术</w:t>
            </w:r>
          </w:p>
        </w:tc>
        <w:tc>
          <w:tcPr>
            <w:tcW w:w="885" w:type="dxa"/>
            <w:vAlign w:val="center"/>
          </w:tcPr>
          <w:p>
            <w:pPr>
              <w:spacing w:line="360" w:lineRule="exact"/>
              <w:jc w:val="center"/>
              <w:rPr>
                <w:rFonts w:hint="default" w:ascii="宋体" w:hAnsi="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15分</w:t>
            </w:r>
          </w:p>
        </w:tc>
        <w:tc>
          <w:tcPr>
            <w:tcW w:w="5117" w:type="dxa"/>
            <w:vAlign w:val="center"/>
          </w:tcPr>
          <w:p>
            <w:pPr>
              <w:spacing w:line="360" w:lineRule="exact"/>
              <w:rPr>
                <w:rFonts w:hint="eastAsia" w:ascii="宋体" w:hAnsi="宋体" w:eastAsia="宋体" w:cs="宋体"/>
                <w:kern w:val="0"/>
                <w:sz w:val="21"/>
                <w:szCs w:val="21"/>
                <w:shd w:val="clear" w:color="auto" w:fill="FFFFFF"/>
              </w:rPr>
            </w:pPr>
            <w:r>
              <w:rPr>
                <w:rFonts w:hint="eastAsia" w:asciiTheme="minorEastAsia" w:hAnsiTheme="minorEastAsia" w:eastAsiaTheme="minorEastAsia" w:cstheme="minorEastAsia"/>
                <w:b w:val="0"/>
                <w:bCs/>
                <w:color w:val="auto"/>
                <w:sz w:val="21"/>
                <w:szCs w:val="21"/>
                <w:highlight w:val="none"/>
                <w:vertAlign w:val="baseline"/>
                <w:lang w:val="en-US" w:eastAsia="zh-CN"/>
              </w:rPr>
              <w:t>评委依据招标文件要求对投标人投标样品及响应情况等进行综合评审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526"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1176"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1351"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885" w:type="dxa"/>
            <w:vAlign w:val="center"/>
          </w:tcPr>
          <w:p>
            <w:pPr>
              <w:spacing w:line="320" w:lineRule="exact"/>
              <w:jc w:val="center"/>
              <w:rPr>
                <w:rFonts w:hint="eastAsia" w:ascii="宋体" w:hAnsi="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3</w:t>
            </w:r>
            <w:r>
              <w:rPr>
                <w:rFonts w:hint="eastAsia" w:ascii="宋体" w:hAnsi="宋体" w:eastAsia="宋体" w:cs="宋体"/>
                <w:kern w:val="0"/>
                <w:sz w:val="21"/>
                <w:szCs w:val="21"/>
                <w:shd w:val="clear" w:color="auto" w:fill="FFFFFF"/>
              </w:rPr>
              <w:t>分</w:t>
            </w:r>
          </w:p>
        </w:tc>
        <w:tc>
          <w:tcPr>
            <w:tcW w:w="5117" w:type="dxa"/>
            <w:vAlign w:val="center"/>
          </w:tcPr>
          <w:p>
            <w:pPr>
              <w:spacing w:line="360" w:lineRule="exact"/>
              <w:rPr>
                <w:rFonts w:hint="eastAsia" w:ascii="宋体" w:hAnsi="宋体" w:eastAsia="宋体" w:cs="宋体"/>
                <w:kern w:val="0"/>
                <w:sz w:val="21"/>
                <w:szCs w:val="21"/>
                <w:shd w:val="clear" w:color="auto" w:fill="FFFFFF"/>
              </w:rPr>
            </w:pPr>
            <w:r>
              <w:rPr>
                <w:rFonts w:hint="eastAsia" w:ascii="宋体" w:hAnsi="宋体" w:cs="宋体"/>
                <w:kern w:val="0"/>
                <w:sz w:val="21"/>
                <w:szCs w:val="21"/>
                <w:shd w:val="clear" w:color="auto" w:fill="FFFFFF"/>
                <w:lang w:val="en-US" w:eastAsia="zh-CN"/>
              </w:rPr>
              <w:t>所投</w:t>
            </w:r>
            <w:r>
              <w:rPr>
                <w:rFonts w:hint="eastAsia" w:ascii="宋体" w:hAnsi="宋体" w:eastAsia="宋体" w:cs="宋体"/>
                <w:kern w:val="0"/>
                <w:sz w:val="21"/>
                <w:szCs w:val="21"/>
                <w:shd w:val="clear" w:color="auto" w:fill="FFFFFF"/>
              </w:rPr>
              <w:t>产品生产企业通过ISO900</w:t>
            </w:r>
            <w:r>
              <w:rPr>
                <w:rFonts w:hint="eastAsia" w:ascii="宋体" w:hAnsi="宋体" w:cs="宋体"/>
                <w:kern w:val="0"/>
                <w:sz w:val="21"/>
                <w:szCs w:val="21"/>
                <w:shd w:val="clear" w:color="auto" w:fill="FFFFFF"/>
                <w:lang w:val="en-US" w:eastAsia="zh-CN"/>
              </w:rPr>
              <w:t>1</w:t>
            </w:r>
            <w:r>
              <w:rPr>
                <w:rFonts w:hint="eastAsia" w:ascii="宋体" w:hAnsi="宋体" w:eastAsia="宋体" w:cs="宋体"/>
                <w:kern w:val="0"/>
                <w:sz w:val="21"/>
                <w:szCs w:val="21"/>
                <w:shd w:val="clear" w:color="auto" w:fill="FFFFFF"/>
              </w:rPr>
              <w:t>质量管理体系认证、ISO14001环境管理体系认证、GB/T28001职业健康安全认证，投标人</w:t>
            </w:r>
            <w:r>
              <w:rPr>
                <w:rFonts w:hint="eastAsia" w:asciiTheme="minorEastAsia" w:hAnsiTheme="minorEastAsia" w:eastAsiaTheme="minorEastAsia" w:cstheme="minorEastAsia"/>
                <w:b w:val="0"/>
                <w:bCs/>
                <w:color w:val="auto"/>
                <w:sz w:val="21"/>
                <w:szCs w:val="21"/>
                <w:highlight w:val="none"/>
                <w:vertAlign w:val="baseline"/>
                <w:lang w:val="en-US" w:eastAsia="zh-CN"/>
              </w:rPr>
              <w:t>提供以上证书复印件加盖厂商鲜章 ，每提供一个证书得1分，最高得3分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526"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1176"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1351" w:type="dxa"/>
            <w:vMerge w:val="restart"/>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cs="宋体"/>
                <w:kern w:val="0"/>
                <w:sz w:val="21"/>
                <w:szCs w:val="21"/>
                <w:shd w:val="clear" w:color="auto" w:fill="FFFFFF"/>
                <w:lang w:val="en-US" w:eastAsia="zh-CN"/>
              </w:rPr>
              <w:t>售后</w:t>
            </w:r>
            <w:r>
              <w:rPr>
                <w:rFonts w:hint="eastAsia" w:ascii="宋体" w:hAnsi="宋体" w:eastAsia="宋体" w:cs="宋体"/>
                <w:kern w:val="0"/>
                <w:sz w:val="21"/>
                <w:szCs w:val="21"/>
                <w:shd w:val="clear" w:color="auto" w:fill="FFFFFF"/>
              </w:rPr>
              <w:t>服务</w:t>
            </w:r>
          </w:p>
        </w:tc>
        <w:tc>
          <w:tcPr>
            <w:tcW w:w="885" w:type="dxa"/>
            <w:vAlign w:val="center"/>
          </w:tcPr>
          <w:p>
            <w:pPr>
              <w:spacing w:line="360" w:lineRule="exact"/>
              <w:jc w:val="center"/>
              <w:rPr>
                <w:rFonts w:hint="eastAsia" w:ascii="宋体" w:hAnsi="宋体" w:eastAsia="宋体" w:cs="宋体"/>
                <w:kern w:val="0"/>
                <w:sz w:val="21"/>
                <w:szCs w:val="21"/>
                <w:shd w:val="clear" w:color="auto" w:fill="FFFFFF"/>
              </w:rPr>
            </w:pPr>
            <w:r>
              <w:rPr>
                <w:rFonts w:hint="eastAsia" w:ascii="宋体" w:hAnsi="宋体" w:cs="宋体"/>
                <w:kern w:val="0"/>
                <w:sz w:val="21"/>
                <w:szCs w:val="21"/>
                <w:shd w:val="clear" w:color="auto" w:fill="FFFFFF"/>
                <w:lang w:val="en-US" w:eastAsia="zh-CN"/>
              </w:rPr>
              <w:t>6</w:t>
            </w:r>
            <w:r>
              <w:rPr>
                <w:rFonts w:hint="eastAsia" w:ascii="宋体" w:hAnsi="宋体" w:eastAsia="宋体" w:cs="宋体"/>
                <w:kern w:val="0"/>
                <w:sz w:val="21"/>
                <w:szCs w:val="21"/>
                <w:shd w:val="clear" w:color="auto" w:fill="FFFFFF"/>
              </w:rPr>
              <w:t>分</w:t>
            </w:r>
          </w:p>
        </w:tc>
        <w:tc>
          <w:tcPr>
            <w:tcW w:w="5117" w:type="dxa"/>
            <w:vAlign w:val="center"/>
          </w:tcPr>
          <w:p>
            <w:pPr>
              <w:spacing w:line="360" w:lineRule="exact"/>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根据投标人针对本项目的供货组织方案、售后服务方案（响应时间、处理办法、解决时间、退换货等）其他服务承诺等酌情打分（ 0-</w:t>
            </w:r>
            <w:r>
              <w:rPr>
                <w:rFonts w:hint="eastAsia" w:ascii="宋体" w:hAnsi="宋体" w:cs="宋体"/>
                <w:kern w:val="0"/>
                <w:sz w:val="21"/>
                <w:szCs w:val="21"/>
                <w:shd w:val="clear" w:color="auto" w:fill="FFFFFF"/>
                <w:lang w:val="en-US" w:eastAsia="zh-CN"/>
              </w:rPr>
              <w:t>6</w:t>
            </w:r>
            <w:r>
              <w:rPr>
                <w:rFonts w:hint="eastAsia" w:ascii="宋体" w:hAnsi="宋体" w:eastAsia="宋体" w:cs="宋体"/>
                <w:kern w:val="0"/>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526"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1176"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1351" w:type="dxa"/>
            <w:vMerge w:val="continue"/>
            <w:vAlign w:val="center"/>
          </w:tcPr>
          <w:p>
            <w:pPr>
              <w:spacing w:line="320" w:lineRule="exact"/>
              <w:jc w:val="center"/>
              <w:rPr>
                <w:rFonts w:hint="eastAsia" w:ascii="宋体" w:hAnsi="宋体" w:eastAsia="宋体" w:cs="宋体"/>
                <w:kern w:val="0"/>
                <w:sz w:val="21"/>
                <w:szCs w:val="21"/>
                <w:shd w:val="clear" w:color="auto" w:fill="FFFFFF"/>
              </w:rPr>
            </w:pPr>
          </w:p>
        </w:tc>
        <w:tc>
          <w:tcPr>
            <w:tcW w:w="885" w:type="dxa"/>
            <w:vAlign w:val="center"/>
          </w:tcPr>
          <w:p>
            <w:pPr>
              <w:spacing w:line="360" w:lineRule="exact"/>
              <w:jc w:val="center"/>
              <w:rPr>
                <w:rFonts w:hint="default" w:ascii="宋体" w:hAnsi="宋体" w:eastAsia="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2分</w:t>
            </w:r>
          </w:p>
        </w:tc>
        <w:tc>
          <w:tcPr>
            <w:tcW w:w="5117" w:type="dxa"/>
            <w:vAlign w:val="center"/>
          </w:tcPr>
          <w:p>
            <w:pPr>
              <w:spacing w:line="360" w:lineRule="exact"/>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投标供应商提供送货上门服务</w:t>
            </w:r>
            <w:r>
              <w:rPr>
                <w:rFonts w:hint="eastAsia" w:ascii="宋体" w:hAnsi="宋体" w:cs="宋体"/>
                <w:kern w:val="0"/>
                <w:sz w:val="21"/>
                <w:szCs w:val="21"/>
                <w:shd w:val="clear" w:color="auto" w:fill="FFFFFF"/>
                <w:lang w:val="en-US" w:eastAsia="zh-CN"/>
              </w:rPr>
              <w:t>承诺函</w:t>
            </w:r>
            <w:r>
              <w:rPr>
                <w:rFonts w:hint="eastAsia" w:ascii="宋体" w:hAnsi="宋体" w:cs="宋体"/>
                <w:kern w:val="0"/>
                <w:sz w:val="21"/>
                <w:szCs w:val="21"/>
                <w:shd w:val="clear" w:color="auto" w:fill="FFFFFF"/>
                <w:lang w:eastAsia="zh-CN"/>
              </w:rPr>
              <w:t>，</w:t>
            </w:r>
            <w:r>
              <w:rPr>
                <w:rFonts w:hint="eastAsia" w:ascii="宋体" w:hAnsi="宋体" w:eastAsia="宋体" w:cs="宋体"/>
                <w:kern w:val="0"/>
                <w:sz w:val="21"/>
                <w:szCs w:val="21"/>
                <w:shd w:val="clear" w:color="auto" w:fill="FFFFFF"/>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526" w:type="dxa"/>
            <w:vMerge w:val="continue"/>
            <w:vAlign w:val="center"/>
          </w:tcPr>
          <w:p>
            <w:pPr>
              <w:spacing w:line="320" w:lineRule="exact"/>
              <w:jc w:val="center"/>
              <w:rPr>
                <w:rFonts w:hint="eastAsia" w:ascii="宋体" w:hAnsi="宋体" w:eastAsia="宋体" w:cs="宋体"/>
                <w:kern w:val="0"/>
                <w:sz w:val="21"/>
                <w:szCs w:val="21"/>
                <w:shd w:val="clear" w:color="auto" w:fill="FFFFFF"/>
                <w:lang w:val="en-US" w:eastAsia="zh-CN"/>
              </w:rPr>
            </w:pPr>
          </w:p>
        </w:tc>
        <w:tc>
          <w:tcPr>
            <w:tcW w:w="1176" w:type="dxa"/>
            <w:vMerge w:val="continue"/>
            <w:vAlign w:val="center"/>
          </w:tcPr>
          <w:p>
            <w:pPr>
              <w:spacing w:line="320" w:lineRule="exact"/>
              <w:jc w:val="center"/>
              <w:rPr>
                <w:rFonts w:hint="eastAsia" w:ascii="宋体" w:hAnsi="宋体" w:cs="宋体"/>
                <w:kern w:val="0"/>
                <w:sz w:val="21"/>
                <w:szCs w:val="21"/>
                <w:shd w:val="clear" w:color="auto" w:fill="FFFFFF"/>
                <w:lang w:val="en-US" w:eastAsia="zh-CN"/>
              </w:rPr>
            </w:pPr>
          </w:p>
        </w:tc>
        <w:tc>
          <w:tcPr>
            <w:tcW w:w="1351" w:type="dxa"/>
            <w:vAlign w:val="center"/>
          </w:tcPr>
          <w:p>
            <w:pPr>
              <w:spacing w:line="320" w:lineRule="exact"/>
              <w:jc w:val="center"/>
              <w:rPr>
                <w:rFonts w:hint="default" w:ascii="宋体" w:hAnsi="宋体" w:eastAsia="宋体" w:cs="宋体"/>
                <w:kern w:val="0"/>
                <w:sz w:val="21"/>
                <w:szCs w:val="21"/>
                <w:shd w:val="clear" w:color="auto" w:fill="FFFFFF"/>
                <w:lang w:val="en-US" w:eastAsia="zh-CN"/>
              </w:rPr>
            </w:pPr>
            <w:r>
              <w:rPr>
                <w:rFonts w:hint="eastAsia" w:ascii="宋体" w:hAnsi="宋体" w:cs="宋体"/>
                <w:kern w:val="0"/>
                <w:sz w:val="21"/>
                <w:szCs w:val="21"/>
                <w:shd w:val="clear" w:color="auto" w:fill="FFFFFF"/>
                <w:lang w:val="en-US" w:eastAsia="zh-CN"/>
              </w:rPr>
              <w:t>文件编制</w:t>
            </w:r>
          </w:p>
        </w:tc>
        <w:tc>
          <w:tcPr>
            <w:tcW w:w="885" w:type="dxa"/>
            <w:vAlign w:val="center"/>
          </w:tcPr>
          <w:p>
            <w:pPr>
              <w:spacing w:line="360" w:lineRule="exact"/>
              <w:jc w:val="center"/>
              <w:rPr>
                <w:rFonts w:hint="default" w:ascii="宋体" w:hAnsi="宋体" w:eastAsia="宋体" w:cs="宋体"/>
                <w:kern w:val="0"/>
                <w:sz w:val="21"/>
                <w:szCs w:val="21"/>
                <w:shd w:val="clear" w:color="auto" w:fill="FFFFFF"/>
                <w:lang w:val="en-US" w:eastAsia="zh-CN"/>
              </w:rPr>
            </w:pPr>
            <w:r>
              <w:rPr>
                <w:rFonts w:hint="eastAsia" w:ascii="宋体" w:hAnsi="宋体" w:eastAsia="宋体" w:cs="宋体"/>
                <w:kern w:val="0"/>
                <w:sz w:val="21"/>
                <w:szCs w:val="21"/>
                <w:shd w:val="clear" w:color="auto" w:fill="FFFFFF"/>
                <w:lang w:val="en-US" w:eastAsia="zh-CN"/>
              </w:rPr>
              <w:t>2分</w:t>
            </w:r>
          </w:p>
        </w:tc>
        <w:tc>
          <w:tcPr>
            <w:tcW w:w="5117" w:type="dxa"/>
            <w:vAlign w:val="center"/>
          </w:tcPr>
          <w:p>
            <w:pPr>
              <w:spacing w:line="360" w:lineRule="exact"/>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lang w:val="en-US" w:eastAsia="zh-CN"/>
              </w:rPr>
              <w:t>按招标文件规定提供所有内容，最高为0.5分；是否有投标文件目录，最高为0.5分；投标文件是否有编页码，最高为0.5分；是否有“评标引索页”，有利于评委评审、查阅，最高为0.5分。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702" w:type="dxa"/>
            <w:gridSpan w:val="2"/>
            <w:vAlign w:val="center"/>
          </w:tcPr>
          <w:p>
            <w:pPr>
              <w:spacing w:line="320" w:lineRule="exact"/>
              <w:jc w:val="center"/>
              <w:rPr>
                <w:rFonts w:hint="eastAsia" w:ascii="宋体" w:hAnsi="宋体" w:eastAsia="宋体" w:cs="宋体"/>
                <w:kern w:val="0"/>
                <w:sz w:val="21"/>
                <w:szCs w:val="21"/>
                <w:shd w:val="clear" w:color="auto" w:fill="FFFFFF"/>
              </w:rPr>
            </w:pPr>
          </w:p>
        </w:tc>
        <w:tc>
          <w:tcPr>
            <w:tcW w:w="1351" w:type="dxa"/>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合计</w:t>
            </w:r>
          </w:p>
        </w:tc>
        <w:tc>
          <w:tcPr>
            <w:tcW w:w="885" w:type="dxa"/>
            <w:vAlign w:val="center"/>
          </w:tcPr>
          <w:p>
            <w:pPr>
              <w:spacing w:line="320" w:lineRule="exact"/>
              <w:jc w:val="center"/>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 xml:space="preserve">100分 </w:t>
            </w:r>
          </w:p>
        </w:tc>
        <w:tc>
          <w:tcPr>
            <w:tcW w:w="5117" w:type="dxa"/>
            <w:vAlign w:val="center"/>
          </w:tcPr>
          <w:p>
            <w:pPr>
              <w:spacing w:line="320" w:lineRule="exact"/>
              <w:rPr>
                <w:rFonts w:hint="eastAsia" w:ascii="宋体" w:hAnsi="宋体" w:eastAsia="宋体" w:cs="宋体"/>
                <w:kern w:val="0"/>
                <w:sz w:val="21"/>
                <w:szCs w:val="21"/>
                <w:shd w:val="clear" w:color="auto" w:fill="FFFFFF"/>
              </w:rPr>
            </w:pPr>
          </w:p>
        </w:tc>
      </w:tr>
    </w:tbl>
    <w:p>
      <w:pPr>
        <w:pStyle w:val="26"/>
        <w:snapToGrid w:val="0"/>
        <w:spacing w:line="480" w:lineRule="exact"/>
        <w:ind w:firstLine="422" w:firstLineChars="200"/>
        <w:rPr>
          <w:rFonts w:hint="default" w:hAnsi="宋体"/>
          <w:b/>
          <w:color w:val="auto"/>
          <w:sz w:val="21"/>
          <w:szCs w:val="21"/>
          <w:highlight w:val="none"/>
          <w:lang w:val="en-US" w:eastAsia="zh-CN"/>
        </w:rPr>
      </w:pPr>
    </w:p>
    <w:p>
      <w:pPr>
        <w:pStyle w:val="3"/>
        <w:spacing w:line="360" w:lineRule="auto"/>
        <w:rPr>
          <w:rFonts w:ascii="宋体" w:hAnsi="宋体" w:eastAsia="宋体"/>
        </w:rPr>
      </w:pPr>
      <w:bookmarkStart w:id="415" w:name="_Toc21439"/>
      <w:bookmarkStart w:id="416" w:name="_Toc511142498"/>
      <w:bookmarkStart w:id="417" w:name="_Toc152045609"/>
      <w:bookmarkStart w:id="418" w:name="_Toc366679736"/>
      <w:bookmarkStart w:id="419" w:name="_Toc17692"/>
      <w:bookmarkStart w:id="420" w:name="_Toc247085767"/>
      <w:bookmarkStart w:id="421" w:name="_Toc387526240"/>
      <w:bookmarkStart w:id="422" w:name="_Toc246996995"/>
      <w:bookmarkStart w:id="423" w:name="_Toc387526436"/>
      <w:bookmarkStart w:id="424" w:name="_Toc179632627"/>
      <w:bookmarkStart w:id="425" w:name="_Toc387526344"/>
      <w:bookmarkStart w:id="426" w:name="_Toc246996252"/>
      <w:bookmarkStart w:id="427" w:name="_Toc152042387"/>
      <w:bookmarkStart w:id="428" w:name="_Toc144974577"/>
      <w:r>
        <w:rPr>
          <w:rFonts w:hint="eastAsia" w:hAnsi="宋体" w:eastAsia="宋体"/>
          <w:sz w:val="21"/>
          <w:szCs w:val="21"/>
          <w:lang w:val="en-US" w:eastAsia="zh-CN"/>
        </w:rPr>
        <w:t xml:space="preserve">  </w:t>
      </w:r>
      <w:r>
        <w:rPr>
          <w:rFonts w:ascii="宋体" w:hAnsi="宋体" w:eastAsia="宋体"/>
        </w:rPr>
        <w:t>3</w:t>
      </w:r>
      <w:r>
        <w:rPr>
          <w:rFonts w:hint="eastAsia" w:ascii="宋体" w:hAnsi="宋体" w:eastAsia="宋体"/>
        </w:rPr>
        <w:t>． 评标程序</w:t>
      </w:r>
      <w:bookmarkEnd w:id="415"/>
      <w:bookmarkEnd w:id="416"/>
    </w:p>
    <w:p>
      <w:pPr>
        <w:pStyle w:val="4"/>
        <w:spacing w:line="400" w:lineRule="exact"/>
        <w:ind w:firstLine="103"/>
        <w:rPr>
          <w:sz w:val="21"/>
          <w:szCs w:val="21"/>
        </w:rPr>
      </w:pPr>
      <w:bookmarkStart w:id="429" w:name="_Toc397928606"/>
      <w:bookmarkStart w:id="430" w:name="_Toc22907"/>
      <w:bookmarkStart w:id="431" w:name="_Toc511142499"/>
      <w:bookmarkStart w:id="432" w:name="_Toc18979"/>
      <w:r>
        <w:rPr>
          <w:kern w:val="0"/>
          <w:sz w:val="21"/>
          <w:szCs w:val="21"/>
        </w:rPr>
        <w:t xml:space="preserve">3.1 </w:t>
      </w:r>
      <w:r>
        <w:rPr>
          <w:rFonts w:hint="eastAsia"/>
          <w:kern w:val="0"/>
          <w:sz w:val="21"/>
          <w:szCs w:val="21"/>
        </w:rPr>
        <w:t>评标准备</w:t>
      </w:r>
      <w:bookmarkEnd w:id="429"/>
      <w:bookmarkEnd w:id="430"/>
      <w:bookmarkEnd w:id="431"/>
      <w:bookmarkEnd w:id="432"/>
    </w:p>
    <w:p>
      <w:pPr>
        <w:autoSpaceDE w:val="0"/>
        <w:autoSpaceDN w:val="0"/>
        <w:spacing w:line="400" w:lineRule="exact"/>
        <w:ind w:firstLine="420" w:firstLineChars="200"/>
        <w:jc w:val="left"/>
        <w:rPr>
          <w:kern w:val="0"/>
          <w:szCs w:val="21"/>
        </w:rPr>
      </w:pPr>
      <w:r>
        <w:rPr>
          <w:rFonts w:hint="eastAsia"/>
          <w:szCs w:val="21"/>
        </w:rPr>
        <w:t>3.1.1</w:t>
      </w:r>
      <w:r>
        <w:rPr>
          <w:rFonts w:hint="eastAsia" w:ascii="宋体" w:hAnsi="宋体"/>
          <w:kern w:val="0"/>
          <w:szCs w:val="21"/>
        </w:rPr>
        <w:t xml:space="preserve"> 评标委员会成员到达评标现场时应在签到表上签到</w:t>
      </w:r>
      <w:r>
        <w:rPr>
          <w:rFonts w:hint="eastAsia" w:ascii="宋体" w:hAnsi="TimesNewRomanPSMT" w:cs="宋体"/>
          <w:kern w:val="0"/>
          <w:szCs w:val="21"/>
        </w:rPr>
        <w:t>（或通过门禁系统签到）</w:t>
      </w:r>
      <w:r>
        <w:rPr>
          <w:rFonts w:hint="eastAsia" w:ascii="宋体" w:hAnsi="宋体"/>
          <w:kern w:val="0"/>
          <w:szCs w:val="21"/>
        </w:rPr>
        <w:t>以证明其出席。</w:t>
      </w:r>
    </w:p>
    <w:p>
      <w:pPr>
        <w:autoSpaceDE w:val="0"/>
        <w:autoSpaceDN w:val="0"/>
        <w:spacing w:line="400" w:lineRule="exact"/>
        <w:ind w:firstLine="420" w:firstLineChars="200"/>
        <w:jc w:val="left"/>
        <w:rPr>
          <w:kern w:val="0"/>
          <w:szCs w:val="21"/>
        </w:rPr>
      </w:pPr>
      <w:r>
        <w:rPr>
          <w:rFonts w:hint="eastAsia"/>
          <w:szCs w:val="21"/>
        </w:rPr>
        <w:t>3.1.2</w:t>
      </w:r>
      <w:r>
        <w:rPr>
          <w:rFonts w:hint="eastAsia" w:ascii="宋体" w:hAnsi="宋体"/>
          <w:kern w:val="0"/>
          <w:szCs w:val="21"/>
        </w:rPr>
        <w:t xml:space="preserve"> 评标委员会成员首先推选一名评标委员会负责人，负责评标活动的组织领导工作。</w:t>
      </w:r>
    </w:p>
    <w:p>
      <w:pPr>
        <w:autoSpaceDE w:val="0"/>
        <w:autoSpaceDN w:val="0"/>
        <w:spacing w:line="400" w:lineRule="exact"/>
        <w:ind w:firstLine="420" w:firstLineChars="200"/>
        <w:jc w:val="left"/>
        <w:rPr>
          <w:kern w:val="0"/>
          <w:szCs w:val="21"/>
        </w:rPr>
      </w:pPr>
      <w:r>
        <w:rPr>
          <w:rFonts w:hint="eastAsia"/>
          <w:szCs w:val="21"/>
        </w:rPr>
        <w:t>3.1.3</w:t>
      </w:r>
      <w:r>
        <w:rPr>
          <w:rFonts w:hint="eastAsia" w:ascii="宋体" w:hAnsi="宋体"/>
          <w:kern w:val="0"/>
          <w:szCs w:val="21"/>
        </w:rPr>
        <w:t xml:space="preserve"> 招标人或招标代理机构应向评标委员会提供评标所需的信息和数据。评标委员会负责人应组织评标委员会成员认真研究招标文件，未在招标文件中规定的标准和方法不得作为评标的依据。</w:t>
      </w:r>
    </w:p>
    <w:p>
      <w:pPr>
        <w:pStyle w:val="4"/>
        <w:spacing w:line="400" w:lineRule="exact"/>
        <w:ind w:firstLine="103"/>
        <w:rPr>
          <w:sz w:val="21"/>
          <w:szCs w:val="21"/>
        </w:rPr>
      </w:pPr>
      <w:bookmarkStart w:id="433" w:name="_Toc397928607"/>
      <w:bookmarkStart w:id="434" w:name="_Toc21357"/>
      <w:bookmarkStart w:id="435" w:name="_Toc511142500"/>
      <w:bookmarkStart w:id="436" w:name="_Toc6331"/>
      <w:r>
        <w:rPr>
          <w:sz w:val="21"/>
          <w:szCs w:val="21"/>
        </w:rPr>
        <w:t xml:space="preserve">3.2 </w:t>
      </w:r>
      <w:r>
        <w:rPr>
          <w:rFonts w:hint="eastAsia"/>
          <w:sz w:val="21"/>
          <w:szCs w:val="21"/>
        </w:rPr>
        <w:t>初步评审</w:t>
      </w:r>
      <w:bookmarkEnd w:id="433"/>
      <w:bookmarkEnd w:id="434"/>
      <w:bookmarkEnd w:id="435"/>
      <w:bookmarkEnd w:id="436"/>
    </w:p>
    <w:p>
      <w:pPr>
        <w:spacing w:line="400" w:lineRule="exact"/>
        <w:ind w:firstLine="420" w:firstLineChars="200"/>
        <w:rPr>
          <w:rFonts w:ascii="宋体" w:hAnsi="宋体"/>
          <w:szCs w:val="21"/>
        </w:rPr>
      </w:pPr>
      <w:r>
        <w:rPr>
          <w:rFonts w:hint="eastAsia"/>
          <w:szCs w:val="21"/>
        </w:rPr>
        <w:t>3.2.1</w:t>
      </w:r>
      <w:r>
        <w:rPr>
          <w:rFonts w:hint="eastAsia" w:ascii="宋体" w:hAnsi="宋体"/>
          <w:szCs w:val="21"/>
        </w:rPr>
        <w:t>评标委员会依据本章第2.1 款规定的标准对投标文件进行初步评审。</w:t>
      </w:r>
    </w:p>
    <w:p>
      <w:pPr>
        <w:spacing w:line="400" w:lineRule="exact"/>
        <w:ind w:firstLine="420" w:firstLineChars="200"/>
        <w:rPr>
          <w:rFonts w:ascii="宋体" w:hAnsi="宋体"/>
          <w:szCs w:val="21"/>
        </w:rPr>
      </w:pPr>
      <w:r>
        <w:rPr>
          <w:rFonts w:hint="eastAsia"/>
          <w:szCs w:val="21"/>
        </w:rPr>
        <w:t>3.2.2</w:t>
      </w:r>
      <w:r>
        <w:rPr>
          <w:rFonts w:hint="eastAsia" w:ascii="宋体" w:hAnsi="宋体"/>
          <w:szCs w:val="21"/>
        </w:rPr>
        <w:t>投标文件不符合本章第2.1款评审标准的，属于重大偏差，视为未能对招标文件作出实质性响应，应当作为无效投标予以否决。</w:t>
      </w:r>
    </w:p>
    <w:p>
      <w:pPr>
        <w:spacing w:line="400" w:lineRule="exact"/>
        <w:ind w:firstLine="420" w:firstLineChars="200"/>
        <w:rPr>
          <w:rFonts w:ascii="宋体" w:hAnsi="宋体"/>
          <w:szCs w:val="21"/>
        </w:rPr>
      </w:pPr>
      <w:r>
        <w:rPr>
          <w:rFonts w:hint="eastAsia"/>
          <w:szCs w:val="21"/>
        </w:rPr>
        <w:t>3.2.3</w:t>
      </w:r>
      <w:r>
        <w:rPr>
          <w:rFonts w:hint="eastAsia" w:ascii="宋体" w:hAnsi="宋体"/>
          <w:szCs w:val="21"/>
        </w:rPr>
        <w:t>对照投标人须知6.5款，投标文件有上述情况之一，视为未能对招标文件作出实质性响应，凡招标文件未明确标明无效标条款的，</w:t>
      </w:r>
      <w:r>
        <w:rPr>
          <w:rFonts w:ascii="宋体" w:hAnsi="宋体"/>
          <w:szCs w:val="21"/>
        </w:rPr>
        <w:t>评标委员会</w:t>
      </w:r>
      <w:r>
        <w:rPr>
          <w:rFonts w:hint="eastAsia" w:ascii="宋体" w:hAnsi="宋体"/>
          <w:szCs w:val="21"/>
        </w:rPr>
        <w:t>不得作为判定无效投标的依据。</w:t>
      </w:r>
    </w:p>
    <w:p>
      <w:pPr>
        <w:spacing w:line="400" w:lineRule="exact"/>
        <w:ind w:firstLine="420" w:firstLineChars="200"/>
        <w:rPr>
          <w:szCs w:val="21"/>
        </w:rPr>
      </w:pPr>
      <w:r>
        <w:rPr>
          <w:rFonts w:hint="eastAsia"/>
          <w:szCs w:val="21"/>
        </w:rPr>
        <w:t>3.2.4</w:t>
      </w:r>
      <w:r>
        <w:rPr>
          <w:rFonts w:hint="eastAsia" w:ascii="宋体" w:hAnsi="宋体"/>
          <w:szCs w:val="21"/>
        </w:rPr>
        <w:t xml:space="preserve"> 投标报价有算术错误的，评标委员会按以下原则对投标报价进行修正，修正的价格经投标人书面确认后具有约束力。</w:t>
      </w:r>
    </w:p>
    <w:p>
      <w:pPr>
        <w:spacing w:line="400" w:lineRule="exact"/>
        <w:ind w:firstLine="420" w:firstLineChars="200"/>
        <w:rPr>
          <w:szCs w:val="21"/>
        </w:rPr>
      </w:pPr>
      <w:r>
        <w:rPr>
          <w:rFonts w:hint="eastAsia" w:ascii="宋体" w:hAnsi="宋体"/>
          <w:szCs w:val="21"/>
        </w:rPr>
        <w:t>(1）投标文件中的大写金额与小写金额不一致的，以大写金额为准；</w:t>
      </w:r>
    </w:p>
    <w:p>
      <w:pPr>
        <w:spacing w:line="400" w:lineRule="exact"/>
        <w:ind w:firstLine="420" w:firstLineChars="200"/>
        <w:rPr>
          <w:rFonts w:ascii="宋体" w:hAnsi="宋体"/>
          <w:szCs w:val="21"/>
        </w:rPr>
      </w:pPr>
      <w:r>
        <w:rPr>
          <w:rFonts w:hint="eastAsia" w:ascii="宋体" w:hAnsi="宋体"/>
          <w:szCs w:val="21"/>
        </w:rPr>
        <w:t>(2）总价金额与依据单价计算出的结果不一致的，以单价金额为准修正总价，但单价金额小数点有明显错误的除外。</w:t>
      </w:r>
    </w:p>
    <w:p>
      <w:pPr>
        <w:spacing w:line="400" w:lineRule="exact"/>
        <w:ind w:firstLine="420" w:firstLineChars="200"/>
        <w:rPr>
          <w:rFonts w:ascii="宋体" w:hAnsi="宋体"/>
          <w:szCs w:val="21"/>
        </w:rPr>
      </w:pPr>
      <w:r>
        <w:rPr>
          <w:rFonts w:hint="eastAsia"/>
          <w:szCs w:val="21"/>
        </w:rPr>
        <w:t>3.2.5</w:t>
      </w:r>
      <w:r>
        <w:rPr>
          <w:rFonts w:hint="eastAsia" w:ascii="宋体" w:hAnsi="宋体"/>
          <w:szCs w:val="21"/>
        </w:rPr>
        <w:t>只有通过初步评审的投标文件才能进入详细评审。</w:t>
      </w:r>
    </w:p>
    <w:p>
      <w:pPr>
        <w:pStyle w:val="4"/>
        <w:spacing w:line="400" w:lineRule="exact"/>
        <w:ind w:firstLine="103"/>
        <w:rPr>
          <w:sz w:val="21"/>
          <w:szCs w:val="21"/>
        </w:rPr>
      </w:pPr>
      <w:bookmarkStart w:id="437" w:name="_Toc7389"/>
      <w:bookmarkStart w:id="438" w:name="_Toc511142501"/>
      <w:bookmarkStart w:id="439" w:name="_Toc397928608"/>
      <w:bookmarkStart w:id="440" w:name="_Toc4255"/>
      <w:r>
        <w:rPr>
          <w:sz w:val="21"/>
          <w:szCs w:val="21"/>
        </w:rPr>
        <w:t xml:space="preserve">3.3 </w:t>
      </w:r>
      <w:r>
        <w:rPr>
          <w:rFonts w:hint="eastAsia"/>
          <w:sz w:val="21"/>
          <w:szCs w:val="21"/>
        </w:rPr>
        <w:t>详细评审</w:t>
      </w:r>
      <w:bookmarkEnd w:id="437"/>
      <w:bookmarkEnd w:id="438"/>
      <w:bookmarkEnd w:id="439"/>
      <w:bookmarkEnd w:id="440"/>
    </w:p>
    <w:p>
      <w:pPr>
        <w:spacing w:line="400" w:lineRule="exact"/>
        <w:ind w:firstLine="420" w:firstLineChars="200"/>
        <w:rPr>
          <w:szCs w:val="21"/>
        </w:rPr>
      </w:pPr>
      <w:r>
        <w:rPr>
          <w:rFonts w:hint="eastAsia"/>
          <w:szCs w:val="21"/>
        </w:rPr>
        <w:t>3.3.1 在详细评审发现符合“无效标书条款”的，应当作为无效投标予以否决，其投标报价亦不作为评标基准价A值的依据。</w:t>
      </w:r>
    </w:p>
    <w:p>
      <w:pPr>
        <w:spacing w:line="400" w:lineRule="exact"/>
        <w:ind w:firstLine="420" w:firstLineChars="200"/>
        <w:rPr>
          <w:szCs w:val="21"/>
        </w:rPr>
      </w:pPr>
      <w:r>
        <w:rPr>
          <w:rFonts w:hint="eastAsia"/>
          <w:szCs w:val="21"/>
        </w:rPr>
        <w:t>3.3.2 评标委员会按本章第2.2款规定的量化因素和分值进行打分，并计算出综合评估得分。</w:t>
      </w:r>
    </w:p>
    <w:p>
      <w:pPr>
        <w:spacing w:line="400" w:lineRule="exact"/>
        <w:ind w:firstLine="420" w:firstLineChars="200"/>
        <w:rPr>
          <w:szCs w:val="21"/>
        </w:rPr>
      </w:pPr>
      <w:r>
        <w:rPr>
          <w:rFonts w:hint="eastAsia"/>
          <w:szCs w:val="21"/>
        </w:rPr>
        <w:t>3.3.3 评分分值计算保留小数点后两位，小数点后第三位“四舍五入”。</w:t>
      </w:r>
    </w:p>
    <w:p>
      <w:pPr>
        <w:pStyle w:val="4"/>
        <w:spacing w:line="400" w:lineRule="exact"/>
        <w:ind w:firstLine="103"/>
        <w:rPr>
          <w:sz w:val="21"/>
          <w:szCs w:val="21"/>
        </w:rPr>
      </w:pPr>
      <w:bookmarkStart w:id="441" w:name="_Toc5826"/>
      <w:bookmarkStart w:id="442" w:name="_Toc397928609"/>
      <w:bookmarkStart w:id="443" w:name="_Toc12932"/>
      <w:bookmarkStart w:id="444" w:name="_Toc511142502"/>
      <w:r>
        <w:rPr>
          <w:sz w:val="21"/>
          <w:szCs w:val="21"/>
        </w:rPr>
        <w:t xml:space="preserve">3.4 </w:t>
      </w:r>
      <w:r>
        <w:rPr>
          <w:rFonts w:hint="eastAsia"/>
          <w:sz w:val="21"/>
          <w:szCs w:val="21"/>
        </w:rPr>
        <w:t>投标文件的澄清和补正</w:t>
      </w:r>
      <w:bookmarkEnd w:id="441"/>
      <w:bookmarkEnd w:id="442"/>
      <w:bookmarkEnd w:id="443"/>
      <w:bookmarkEnd w:id="444"/>
    </w:p>
    <w:p>
      <w:pPr>
        <w:spacing w:line="400" w:lineRule="exact"/>
        <w:ind w:firstLine="420" w:firstLineChars="200"/>
        <w:rPr>
          <w:szCs w:val="21"/>
        </w:rPr>
      </w:pPr>
      <w:r>
        <w:rPr>
          <w:rFonts w:hint="eastAsia"/>
          <w:szCs w:val="21"/>
        </w:rPr>
        <w:t>3.4.1</w:t>
      </w:r>
      <w:r>
        <w:rPr>
          <w:rFonts w:hint="eastAsia" w:ascii="宋体" w:hAnsi="宋体"/>
          <w:szCs w:val="21"/>
        </w:rPr>
        <w:t xml:space="preserve">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szCs w:val="21"/>
        </w:rPr>
      </w:pPr>
      <w:r>
        <w:rPr>
          <w:rFonts w:hint="eastAsia"/>
          <w:szCs w:val="21"/>
        </w:rPr>
        <w:t xml:space="preserve">3.4.2 </w:t>
      </w:r>
      <w:r>
        <w:rPr>
          <w:rFonts w:hint="eastAsia" w:ascii="宋体" w:hAnsi="宋体"/>
          <w:szCs w:val="21"/>
        </w:rPr>
        <w:t>澄清、说明和补正不得改变投标文件的实质性内容（算术性错误修正的除外）。投标人的书面澄清、说明和补正属于投标文件的组成部分。</w:t>
      </w:r>
    </w:p>
    <w:p>
      <w:pPr>
        <w:spacing w:line="400" w:lineRule="exact"/>
        <w:ind w:firstLine="420" w:firstLineChars="200"/>
        <w:rPr>
          <w:szCs w:val="21"/>
        </w:rPr>
      </w:pPr>
      <w:r>
        <w:rPr>
          <w:rFonts w:hint="eastAsia"/>
          <w:szCs w:val="21"/>
        </w:rPr>
        <w:t>3.4.3</w:t>
      </w:r>
      <w:r>
        <w:rPr>
          <w:rFonts w:hint="eastAsia" w:ascii="宋体" w:hAnsi="宋体"/>
          <w:szCs w:val="21"/>
        </w:rPr>
        <w:t xml:space="preserve"> 评标委员会对投标人提交的澄清、说明或补正有疑问的，可以要求投标人进一步澄清、说明或补正。</w:t>
      </w:r>
    </w:p>
    <w:p>
      <w:pPr>
        <w:pStyle w:val="4"/>
        <w:spacing w:line="400" w:lineRule="exact"/>
        <w:ind w:firstLine="103"/>
        <w:rPr>
          <w:b/>
          <w:kern w:val="0"/>
          <w:sz w:val="21"/>
          <w:szCs w:val="21"/>
        </w:rPr>
      </w:pPr>
      <w:bookmarkStart w:id="445" w:name="_Toc21075"/>
      <w:bookmarkStart w:id="446" w:name="_Toc29288"/>
      <w:bookmarkStart w:id="447" w:name="_Toc397928610"/>
      <w:bookmarkStart w:id="448" w:name="_Toc511142503"/>
      <w:r>
        <w:rPr>
          <w:rFonts w:hint="eastAsia"/>
          <w:sz w:val="21"/>
          <w:szCs w:val="21"/>
        </w:rPr>
        <w:t>3.5 推荐中标候选人或直接确定中标人</w:t>
      </w:r>
      <w:bookmarkEnd w:id="445"/>
      <w:bookmarkEnd w:id="446"/>
      <w:bookmarkEnd w:id="447"/>
      <w:bookmarkEnd w:id="448"/>
    </w:p>
    <w:p>
      <w:pPr>
        <w:autoSpaceDE w:val="0"/>
        <w:autoSpaceDN w:val="0"/>
        <w:spacing w:line="400" w:lineRule="exact"/>
        <w:ind w:firstLine="420" w:firstLineChars="200"/>
        <w:jc w:val="left"/>
        <w:rPr>
          <w:rFonts w:ascii="宋体" w:hAnsi="TimesNewRomanPSMT"/>
          <w:kern w:val="0"/>
          <w:szCs w:val="21"/>
        </w:rPr>
      </w:pPr>
      <w:r>
        <w:rPr>
          <w:rFonts w:hint="eastAsia"/>
          <w:szCs w:val="21"/>
        </w:rPr>
        <w:t xml:space="preserve">3.5.1 </w:t>
      </w:r>
      <w:r>
        <w:rPr>
          <w:rFonts w:hint="eastAsia" w:ascii="宋体" w:hAnsi="TimesNewRomanPSMT"/>
          <w:kern w:val="0"/>
          <w:szCs w:val="21"/>
        </w:rPr>
        <w:t>除投标人须知前附表授权直接确定中标人外，评标委员会在推荐中标候选人时，应遵照以下原则:</w:t>
      </w:r>
    </w:p>
    <w:p>
      <w:pPr>
        <w:autoSpaceDE w:val="0"/>
        <w:autoSpaceDN w:val="0"/>
        <w:spacing w:line="400" w:lineRule="exact"/>
        <w:ind w:firstLine="420" w:firstLineChars="200"/>
        <w:jc w:val="left"/>
        <w:rPr>
          <w:rFonts w:ascii="宋体" w:hAnsi="TimesNewRomanPSMT"/>
          <w:kern w:val="0"/>
          <w:szCs w:val="21"/>
        </w:rPr>
      </w:pPr>
      <w:r>
        <w:rPr>
          <w:rFonts w:hint="eastAsia" w:ascii="宋体" w:hAnsi="TimesNewRomanPSMT"/>
          <w:kern w:val="0"/>
          <w:szCs w:val="21"/>
        </w:rPr>
        <w:t>评标委员会按照最终得分由高至低的次序排列，并根据投标人须知前附表规定的中标候选人数量，将排序在前的投标人推荐为中标候选人。</w:t>
      </w:r>
    </w:p>
    <w:p>
      <w:pPr>
        <w:pStyle w:val="4"/>
        <w:spacing w:line="400" w:lineRule="exact"/>
        <w:ind w:firstLine="103"/>
        <w:rPr>
          <w:sz w:val="21"/>
          <w:szCs w:val="21"/>
        </w:rPr>
      </w:pPr>
      <w:bookmarkStart w:id="449" w:name="_Toc511142504"/>
      <w:bookmarkStart w:id="450" w:name="_Toc397928611"/>
      <w:bookmarkStart w:id="451" w:name="_Toc27809"/>
      <w:r>
        <w:rPr>
          <w:rFonts w:hint="eastAsia"/>
          <w:sz w:val="21"/>
          <w:szCs w:val="21"/>
        </w:rPr>
        <w:t>3.6 提交评标报告</w:t>
      </w:r>
      <w:bookmarkEnd w:id="449"/>
      <w:bookmarkEnd w:id="450"/>
      <w:bookmarkEnd w:id="451"/>
      <w:r>
        <w:rPr>
          <w:rFonts w:hint="eastAsia"/>
          <w:sz w:val="21"/>
          <w:szCs w:val="21"/>
        </w:rPr>
        <w:t xml:space="preserve"> </w:t>
      </w:r>
    </w:p>
    <w:p>
      <w:pPr>
        <w:autoSpaceDE w:val="0"/>
        <w:autoSpaceDN w:val="0"/>
        <w:spacing w:line="400" w:lineRule="exact"/>
        <w:ind w:firstLine="420" w:firstLineChars="200"/>
        <w:jc w:val="left"/>
        <w:rPr>
          <w:rFonts w:ascii="宋体" w:hAnsi="TimesNewRomanPSMT"/>
          <w:kern w:val="0"/>
          <w:szCs w:val="21"/>
        </w:rPr>
      </w:pPr>
      <w:r>
        <w:rPr>
          <w:rFonts w:hint="eastAsia" w:ascii="宋体" w:hAnsi="TimesNewRomanPSMT"/>
          <w:kern w:val="0"/>
          <w:szCs w:val="21"/>
        </w:rPr>
        <w:t>评标委员会完成评标后，应当向招标人提交书面评标报告。评标报告应当由全体评标委员会成员签字，并于评标结束时抄送有关行政监督部门。</w:t>
      </w:r>
    </w:p>
    <w:p>
      <w:pPr>
        <w:pStyle w:val="3"/>
        <w:spacing w:line="360" w:lineRule="auto"/>
        <w:rPr>
          <w:rFonts w:ascii="宋体" w:hAnsi="宋体" w:eastAsia="宋体"/>
        </w:rPr>
      </w:pPr>
      <w:bookmarkStart w:id="452" w:name="_Toc511142505"/>
      <w:bookmarkStart w:id="453" w:name="_Toc20986"/>
      <w:r>
        <w:rPr>
          <w:rFonts w:hint="eastAsia" w:ascii="宋体" w:hAnsi="宋体" w:eastAsia="宋体"/>
        </w:rPr>
        <w:t>4． 通用评标规则</w:t>
      </w:r>
      <w:bookmarkEnd w:id="452"/>
      <w:bookmarkEnd w:id="453"/>
    </w:p>
    <w:p>
      <w:pPr>
        <w:pStyle w:val="4"/>
        <w:spacing w:line="400" w:lineRule="exact"/>
        <w:ind w:firstLine="103"/>
        <w:rPr>
          <w:sz w:val="21"/>
          <w:szCs w:val="21"/>
        </w:rPr>
      </w:pPr>
      <w:bookmarkStart w:id="454" w:name="_Toc511142506"/>
      <w:bookmarkStart w:id="455" w:name="_Toc24789"/>
      <w:r>
        <w:rPr>
          <w:rFonts w:hint="eastAsia"/>
          <w:sz w:val="21"/>
          <w:szCs w:val="21"/>
        </w:rPr>
        <w:t>4.1 评标程序</w:t>
      </w:r>
      <w:bookmarkEnd w:id="454"/>
      <w:bookmarkEnd w:id="455"/>
    </w:p>
    <w:p>
      <w:pPr>
        <w:snapToGrid w:val="0"/>
        <w:spacing w:line="400" w:lineRule="exact"/>
        <w:ind w:firstLine="420" w:firstLineChars="200"/>
        <w:rPr>
          <w:rFonts w:hAnsi="黑体" w:eastAsia="黑体"/>
          <w:kern w:val="0"/>
          <w:szCs w:val="21"/>
        </w:rPr>
      </w:pPr>
      <w:r>
        <w:rPr>
          <w:rFonts w:hint="eastAsia" w:ascii="宋体" w:hAnsi="TimesNewRomanPSMT"/>
          <w:kern w:val="0"/>
          <w:szCs w:val="21"/>
        </w:rPr>
        <w:t>资质标、商务标、技术标应分别评审，评审后不得更改。</w:t>
      </w:r>
    </w:p>
    <w:p>
      <w:pPr>
        <w:pStyle w:val="4"/>
        <w:spacing w:line="400" w:lineRule="exact"/>
        <w:ind w:firstLine="103"/>
        <w:rPr>
          <w:sz w:val="21"/>
          <w:szCs w:val="21"/>
        </w:rPr>
      </w:pPr>
      <w:bookmarkStart w:id="456" w:name="_Toc511142507"/>
      <w:bookmarkStart w:id="457" w:name="_Toc9345"/>
      <w:r>
        <w:rPr>
          <w:rFonts w:hint="eastAsia"/>
          <w:sz w:val="21"/>
          <w:szCs w:val="21"/>
        </w:rPr>
        <w:t>4.2不规范标书</w:t>
      </w:r>
      <w:bookmarkEnd w:id="456"/>
      <w:bookmarkEnd w:id="457"/>
    </w:p>
    <w:p>
      <w:pPr>
        <w:snapToGrid w:val="0"/>
        <w:spacing w:line="400" w:lineRule="exact"/>
        <w:ind w:firstLine="420" w:firstLineChars="200"/>
        <w:rPr>
          <w:rFonts w:ascii="宋体" w:hAnsi="TimesNewRomanPSMT"/>
          <w:kern w:val="0"/>
          <w:szCs w:val="21"/>
        </w:rPr>
      </w:pPr>
      <w:r>
        <w:rPr>
          <w:rFonts w:hint="eastAsia" w:ascii="宋体" w:hAnsi="TimesNewRomanPSMT"/>
          <w:kern w:val="0"/>
          <w:szCs w:val="21"/>
        </w:rPr>
        <w:t>评标审查中有发现投标书或投标人行为属不规范者，评标办法采用综合评分法的，且无法形成无效投标的，经评标委员会认定后扣减0.3—2分。</w:t>
      </w:r>
    </w:p>
    <w:p>
      <w:pPr>
        <w:pStyle w:val="4"/>
        <w:spacing w:line="400" w:lineRule="exact"/>
        <w:ind w:firstLine="103"/>
        <w:rPr>
          <w:rFonts w:ascii="宋体" w:hAnsi="TimesNewRomanPSMT"/>
          <w:kern w:val="0"/>
          <w:sz w:val="21"/>
          <w:szCs w:val="21"/>
        </w:rPr>
      </w:pPr>
      <w:bookmarkStart w:id="458" w:name="_Toc511142508"/>
      <w:bookmarkStart w:id="459" w:name="_Toc16888"/>
      <w:r>
        <w:rPr>
          <w:rFonts w:hint="eastAsia"/>
          <w:sz w:val="21"/>
          <w:szCs w:val="21"/>
        </w:rPr>
        <w:t>4.3计价文件评审规定</w:t>
      </w:r>
      <w:bookmarkEnd w:id="458"/>
      <w:bookmarkEnd w:id="459"/>
    </w:p>
    <w:p>
      <w:pPr>
        <w:snapToGrid w:val="0"/>
        <w:spacing w:line="400" w:lineRule="exact"/>
        <w:ind w:firstLine="420" w:firstLineChars="200"/>
        <w:rPr>
          <w:rFonts w:ascii="宋体" w:hAnsi="TimesNewRomanPSMT"/>
          <w:kern w:val="0"/>
          <w:szCs w:val="21"/>
        </w:rPr>
      </w:pPr>
      <w:r>
        <w:rPr>
          <w:rFonts w:hint="eastAsia" w:ascii="宋体" w:hAnsi="TimesNewRomanPSMT"/>
          <w:kern w:val="0"/>
          <w:szCs w:val="21"/>
        </w:rPr>
        <w:t>评标委员会认为投标人的投标报价有可能低于其个别成本时，应当要求投标人以书面方式作出澄清，并提供相关证明材料后再进行认定。</w:t>
      </w:r>
    </w:p>
    <w:p>
      <w:pPr>
        <w:pStyle w:val="4"/>
        <w:spacing w:line="400" w:lineRule="exact"/>
        <w:ind w:firstLine="103"/>
        <w:rPr>
          <w:sz w:val="21"/>
          <w:szCs w:val="21"/>
        </w:rPr>
      </w:pPr>
      <w:bookmarkStart w:id="460" w:name="_Toc17555"/>
      <w:bookmarkStart w:id="461" w:name="_Toc511142509"/>
      <w:r>
        <w:rPr>
          <w:rFonts w:hint="eastAsia"/>
          <w:sz w:val="21"/>
          <w:szCs w:val="21"/>
        </w:rPr>
        <w:t>4.4打分</w:t>
      </w:r>
      <w:bookmarkEnd w:id="460"/>
      <w:bookmarkEnd w:id="461"/>
    </w:p>
    <w:p>
      <w:pPr>
        <w:snapToGrid w:val="0"/>
        <w:spacing w:line="400" w:lineRule="exact"/>
        <w:ind w:firstLine="420" w:firstLineChars="200"/>
        <w:rPr>
          <w:rFonts w:ascii="宋体" w:hAnsi="TimesNewRomanPSMT"/>
          <w:kern w:val="0"/>
          <w:szCs w:val="21"/>
        </w:rPr>
      </w:pPr>
      <w:r>
        <w:rPr>
          <w:rFonts w:hint="eastAsia" w:ascii="宋体" w:hAnsi="TimesNewRomanPSMT"/>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4"/>
        <w:numPr>
          <w:ins w:id="0" w:author="微软用户" w:date="2014-05-17T16:25:00Z"/>
        </w:numPr>
        <w:spacing w:line="400" w:lineRule="exact"/>
        <w:ind w:firstLine="103"/>
        <w:rPr>
          <w:sz w:val="21"/>
          <w:szCs w:val="21"/>
        </w:rPr>
      </w:pPr>
      <w:bookmarkStart w:id="462" w:name="_Toc11886"/>
      <w:bookmarkStart w:id="463" w:name="_Toc511142510"/>
      <w:r>
        <w:rPr>
          <w:rFonts w:hint="eastAsia"/>
          <w:sz w:val="21"/>
          <w:szCs w:val="21"/>
        </w:rPr>
        <w:t>4.5争议处理</w:t>
      </w:r>
      <w:bookmarkEnd w:id="462"/>
      <w:bookmarkEnd w:id="463"/>
    </w:p>
    <w:p>
      <w:pPr>
        <w:snapToGrid w:val="0"/>
        <w:spacing w:line="400" w:lineRule="exact"/>
        <w:rPr>
          <w:rFonts w:ascii="宋体" w:hAnsi="TimesNewRomanPSMT"/>
          <w:kern w:val="0"/>
          <w:szCs w:val="21"/>
        </w:rPr>
      </w:pPr>
      <w:r>
        <w:rPr>
          <w:rFonts w:hint="eastAsia" w:ascii="宋体" w:hAnsi="TimesNewRomanPSMT"/>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pStyle w:val="4"/>
        <w:spacing w:line="400" w:lineRule="exact"/>
        <w:ind w:firstLine="103"/>
        <w:rPr>
          <w:sz w:val="21"/>
          <w:szCs w:val="21"/>
        </w:rPr>
      </w:pPr>
      <w:bookmarkStart w:id="464" w:name="_Toc21447"/>
      <w:bookmarkStart w:id="465" w:name="_Toc511142511"/>
      <w:r>
        <w:rPr>
          <w:rFonts w:hint="eastAsia"/>
          <w:sz w:val="21"/>
          <w:szCs w:val="21"/>
        </w:rPr>
        <w:t>4.6违法违纪行为</w:t>
      </w:r>
      <w:bookmarkEnd w:id="464"/>
      <w:bookmarkEnd w:id="465"/>
    </w:p>
    <w:p>
      <w:pPr>
        <w:spacing w:line="400" w:lineRule="exact"/>
        <w:ind w:firstLine="420" w:firstLineChars="200"/>
        <w:rPr>
          <w:rFonts w:ascii="宋体" w:hAnsi="TimesNewRomanPSMT"/>
          <w:kern w:val="0"/>
          <w:szCs w:val="21"/>
        </w:rPr>
      </w:pPr>
      <w:r>
        <w:rPr>
          <w:rFonts w:hint="eastAsia" w:ascii="宋体" w:hAnsi="TimesNewRomanPSMT"/>
          <w:kern w:val="0"/>
          <w:szCs w:val="21"/>
        </w:rPr>
        <w:t>在招投标过程中发生行贿受贿、扰乱招投标活动秩序及其他严重违法违纪行为的，一律取消有关责任人参与招投标活动的资格；影响评审结果的，应宣布评审结果无效。</w:t>
      </w:r>
    </w:p>
    <w:p>
      <w:pPr>
        <w:pStyle w:val="4"/>
        <w:spacing w:line="400" w:lineRule="exact"/>
        <w:ind w:firstLine="103"/>
        <w:rPr>
          <w:sz w:val="21"/>
          <w:szCs w:val="21"/>
        </w:rPr>
      </w:pPr>
      <w:bookmarkStart w:id="466" w:name="_Toc511142512"/>
      <w:bookmarkStart w:id="467" w:name="_Toc21297"/>
      <w:r>
        <w:rPr>
          <w:rFonts w:hint="eastAsia"/>
          <w:sz w:val="21"/>
          <w:szCs w:val="21"/>
        </w:rPr>
        <w:t>4.7其它</w:t>
      </w:r>
      <w:bookmarkEnd w:id="466"/>
      <w:bookmarkEnd w:id="467"/>
    </w:p>
    <w:p>
      <w:pPr>
        <w:spacing w:line="400" w:lineRule="exact"/>
        <w:ind w:firstLine="422" w:firstLineChars="200"/>
        <w:rPr>
          <w:rFonts w:ascii="宋体" w:hAnsi="TimesNewRomanPSMT"/>
          <w:b/>
          <w:kern w:val="0"/>
          <w:szCs w:val="21"/>
        </w:rPr>
      </w:pPr>
      <w:r>
        <w:rPr>
          <w:rFonts w:hint="eastAsia" w:ascii="宋体" w:hAnsi="TimesNewRomanPSMT"/>
          <w:b/>
          <w:kern w:val="0"/>
          <w:szCs w:val="21"/>
        </w:rPr>
        <w:t>在评审过程中，一旦发现招标文件中发现以下现象的，经评标委员会认定，删除该项评审或记分。</w:t>
      </w:r>
    </w:p>
    <w:p>
      <w:pPr>
        <w:spacing w:line="400" w:lineRule="exact"/>
        <w:ind w:firstLine="422" w:firstLineChars="200"/>
        <w:rPr>
          <w:rFonts w:ascii="宋体" w:hAnsi="TimesNewRomanPSMT"/>
          <w:b/>
          <w:kern w:val="0"/>
          <w:szCs w:val="21"/>
        </w:rPr>
      </w:pPr>
      <w:r>
        <w:rPr>
          <w:rFonts w:hint="eastAsia" w:ascii="宋体" w:hAnsi="TimesNewRomanPSMT"/>
          <w:b/>
          <w:kern w:val="0"/>
          <w:szCs w:val="21"/>
        </w:rPr>
        <w:t>（1）招标文件内容中某项条款，有明显倾向或歧视的；</w:t>
      </w:r>
    </w:p>
    <w:p>
      <w:pPr>
        <w:spacing w:line="400" w:lineRule="exact"/>
        <w:ind w:firstLine="422" w:firstLineChars="200"/>
        <w:rPr>
          <w:rFonts w:ascii="宋体" w:hAnsi="TimesNewRomanPSMT"/>
          <w:b/>
          <w:kern w:val="0"/>
          <w:szCs w:val="21"/>
        </w:rPr>
      </w:pPr>
      <w:r>
        <w:rPr>
          <w:rFonts w:hint="eastAsia" w:ascii="宋体" w:hAnsi="TimesNewRomanPSMT"/>
          <w:b/>
          <w:kern w:val="0"/>
          <w:szCs w:val="21"/>
        </w:rPr>
        <w:t>（2）招标文件内容中某项条款有多种解释的。</w:t>
      </w:r>
    </w:p>
    <w:p>
      <w:pPr>
        <w:spacing w:line="400" w:lineRule="exact"/>
        <w:ind w:firstLine="420" w:firstLineChars="200"/>
        <w:jc w:val="left"/>
        <w:rPr>
          <w:rFonts w:ascii="宋体" w:hAnsi="TimesNewRomanPSMT"/>
          <w:kern w:val="0"/>
          <w:szCs w:val="21"/>
        </w:rPr>
      </w:pPr>
      <w:r>
        <w:rPr>
          <w:rFonts w:hint="eastAsia" w:ascii="宋体" w:hAnsi="TimesNewRomanPSMT"/>
          <w:kern w:val="0"/>
          <w:szCs w:val="21"/>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360" w:lineRule="auto"/>
        <w:ind w:firstLine="420" w:firstLineChars="200"/>
        <w:rPr>
          <w:rFonts w:hint="eastAsia" w:ascii="宋体" w:hAnsi="TimesNewRomanPSMT"/>
          <w:kern w:val="0"/>
          <w:szCs w:val="21"/>
        </w:rPr>
      </w:pPr>
      <w:r>
        <w:rPr>
          <w:rFonts w:hint="eastAsia" w:ascii="宋体" w:hAnsi="TimesNewRomanPSMT"/>
          <w:kern w:val="0"/>
          <w:szCs w:val="21"/>
        </w:rPr>
        <w:t>经评审委员会评审，认为所有投标都不符合招标文件要求的，或符合的投标人少于三家的，可以否决所有投标；也可以根据《政府采购货物和服务招标投标管理办法》相关规定：“在评标期间，出现符合专业条件的供应商或者对招标文件作出实质性响应的供应商不足三家情形的，经相关主管部门同意，可以采取竞争性谈判方式”等条款评审，具体依据政府采购法第三十八条“竞争性谈判程序”执行。</w:t>
      </w:r>
    </w:p>
    <w:p>
      <w:pPr>
        <w:autoSpaceDE w:val="0"/>
        <w:autoSpaceDN w:val="0"/>
        <w:spacing w:line="360" w:lineRule="auto"/>
        <w:ind w:firstLine="422" w:firstLineChars="200"/>
        <w:rPr>
          <w:b/>
          <w:color w:val="000000"/>
          <w:kern w:val="0"/>
          <w:szCs w:val="21"/>
        </w:rPr>
      </w:pPr>
      <w:r>
        <w:rPr>
          <w:rFonts w:hint="eastAsia"/>
          <w:b/>
          <w:color w:val="000000"/>
          <w:kern w:val="0"/>
          <w:szCs w:val="21"/>
        </w:rPr>
        <w:t>根据《中华人民共和国政府采购法实施条例》第九条规定，评委评标前签订评标回避书，作为永久档案存档。</w:t>
      </w:r>
    </w:p>
    <w:p>
      <w:pPr>
        <w:autoSpaceDE w:val="0"/>
        <w:autoSpaceDN w:val="0"/>
        <w:spacing w:line="360" w:lineRule="auto"/>
        <w:ind w:firstLine="422" w:firstLineChars="200"/>
        <w:jc w:val="left"/>
        <w:rPr>
          <w:b/>
          <w:color w:val="000000"/>
          <w:kern w:val="0"/>
          <w:szCs w:val="21"/>
        </w:rPr>
      </w:pPr>
      <w:r>
        <w:rPr>
          <w:rFonts w:hint="eastAsia"/>
          <w:b/>
          <w:color w:val="000000"/>
          <w:kern w:val="0"/>
          <w:szCs w:val="21"/>
        </w:rPr>
        <w:t>评标回避书参考格式：</w:t>
      </w:r>
    </w:p>
    <w:p>
      <w:pPr>
        <w:autoSpaceDE w:val="0"/>
        <w:autoSpaceDN w:val="0"/>
        <w:spacing w:line="360" w:lineRule="auto"/>
        <w:ind w:firstLine="422" w:firstLineChars="200"/>
        <w:jc w:val="center"/>
        <w:rPr>
          <w:b/>
          <w:color w:val="000000"/>
          <w:kern w:val="0"/>
          <w:szCs w:val="21"/>
        </w:rPr>
      </w:pPr>
      <w:r>
        <w:rPr>
          <w:rFonts w:hint="eastAsia"/>
          <w:b/>
          <w:color w:val="000000"/>
          <w:kern w:val="0"/>
          <w:szCs w:val="21"/>
        </w:rPr>
        <w:t>评标回避书</w:t>
      </w:r>
    </w:p>
    <w:p>
      <w:pPr>
        <w:autoSpaceDE w:val="0"/>
        <w:autoSpaceDN w:val="0"/>
        <w:spacing w:line="360" w:lineRule="auto"/>
        <w:ind w:firstLine="420" w:firstLineChars="200"/>
        <w:rPr>
          <w:color w:val="000000"/>
          <w:szCs w:val="21"/>
        </w:rPr>
      </w:pPr>
      <w:r>
        <w:rPr>
          <w:rFonts w:hint="eastAsia"/>
          <w:color w:val="000000"/>
          <w:szCs w:val="21"/>
        </w:rPr>
        <w:t>根据《中华人民共和国政府采购法实施条例》第九条规定，在政府采购活动中，采购人员及相关人员与供应商有下列利害关系之一的，应当回避：</w:t>
      </w:r>
    </w:p>
    <w:p>
      <w:pPr>
        <w:autoSpaceDE w:val="0"/>
        <w:autoSpaceDN w:val="0"/>
        <w:spacing w:line="360" w:lineRule="auto"/>
        <w:ind w:firstLine="420" w:firstLineChars="200"/>
        <w:rPr>
          <w:color w:val="000000"/>
          <w:szCs w:val="21"/>
        </w:rPr>
      </w:pPr>
      <w:r>
        <w:rPr>
          <w:rFonts w:hint="eastAsia"/>
          <w:color w:val="000000"/>
          <w:szCs w:val="21"/>
        </w:rPr>
        <w:t>　　（一）参加采购活动前3年内与供应商存在劳动关系；</w:t>
      </w:r>
    </w:p>
    <w:p>
      <w:pPr>
        <w:autoSpaceDE w:val="0"/>
        <w:autoSpaceDN w:val="0"/>
        <w:spacing w:line="360" w:lineRule="auto"/>
        <w:ind w:firstLine="420" w:firstLineChars="200"/>
        <w:rPr>
          <w:color w:val="000000"/>
          <w:szCs w:val="21"/>
        </w:rPr>
      </w:pPr>
      <w:r>
        <w:rPr>
          <w:rFonts w:hint="eastAsia"/>
          <w:color w:val="000000"/>
          <w:szCs w:val="21"/>
        </w:rPr>
        <w:t>　　（二）参加采购活动前3年内担任供应商的董事、监事；</w:t>
      </w:r>
    </w:p>
    <w:p>
      <w:pPr>
        <w:autoSpaceDE w:val="0"/>
        <w:autoSpaceDN w:val="0"/>
        <w:spacing w:line="360" w:lineRule="auto"/>
        <w:ind w:firstLine="420" w:firstLineChars="200"/>
        <w:rPr>
          <w:color w:val="000000"/>
          <w:szCs w:val="21"/>
        </w:rPr>
      </w:pPr>
      <w:r>
        <w:rPr>
          <w:rFonts w:hint="eastAsia"/>
          <w:color w:val="000000"/>
          <w:szCs w:val="21"/>
        </w:rPr>
        <w:t>　　（三）参加采购活动前3年内是供应商的控股股东或者实际控制人；</w:t>
      </w:r>
    </w:p>
    <w:p>
      <w:pPr>
        <w:autoSpaceDE w:val="0"/>
        <w:autoSpaceDN w:val="0"/>
        <w:spacing w:line="360" w:lineRule="auto"/>
        <w:ind w:firstLine="420" w:firstLineChars="200"/>
        <w:rPr>
          <w:color w:val="000000"/>
          <w:szCs w:val="21"/>
        </w:rPr>
      </w:pPr>
      <w:r>
        <w:rPr>
          <w:rFonts w:hint="eastAsia"/>
          <w:color w:val="000000"/>
          <w:szCs w:val="21"/>
        </w:rPr>
        <w:t>　　（四）与供应商的法定代表人或者负责人有夫妻、直系血亲、三代以内旁系血亲或者近姻亲关系；</w:t>
      </w:r>
    </w:p>
    <w:p>
      <w:pPr>
        <w:autoSpaceDE w:val="0"/>
        <w:autoSpaceDN w:val="0"/>
        <w:spacing w:line="360" w:lineRule="auto"/>
        <w:ind w:firstLine="420" w:firstLineChars="200"/>
        <w:rPr>
          <w:color w:val="000000"/>
          <w:szCs w:val="21"/>
        </w:rPr>
      </w:pPr>
      <w:r>
        <w:rPr>
          <w:rFonts w:hint="eastAsia"/>
          <w:color w:val="000000"/>
          <w:szCs w:val="21"/>
        </w:rPr>
        <w:t>　　（五）与供应商有其他可能影响政府采购活动公平、公正进行的关系。</w:t>
      </w:r>
    </w:p>
    <w:p>
      <w:pPr>
        <w:autoSpaceDE w:val="0"/>
        <w:autoSpaceDN w:val="0"/>
        <w:spacing w:line="360" w:lineRule="auto"/>
        <w:ind w:firstLine="420" w:firstLineChars="200"/>
        <w:rPr>
          <w:color w:val="000000"/>
          <w:szCs w:val="21"/>
          <w:u w:val="single"/>
        </w:rPr>
      </w:pPr>
      <w:r>
        <w:rPr>
          <w:rFonts w:hint="eastAsia"/>
          <w:color w:val="000000"/>
          <w:szCs w:val="21"/>
        </w:rPr>
        <w:t>本招标项目名称：</w:t>
      </w:r>
      <w:r>
        <w:rPr>
          <w:rFonts w:hint="eastAsia"/>
          <w:color w:val="000000"/>
          <w:szCs w:val="21"/>
          <w:u w:val="single"/>
        </w:rPr>
        <w:t xml:space="preserve">                             </w:t>
      </w:r>
    </w:p>
    <w:p>
      <w:pPr>
        <w:autoSpaceDE w:val="0"/>
        <w:autoSpaceDN w:val="0"/>
        <w:spacing w:line="360" w:lineRule="auto"/>
        <w:ind w:firstLine="420" w:firstLineChars="200"/>
        <w:rPr>
          <w:color w:val="000000"/>
          <w:szCs w:val="21"/>
        </w:rPr>
      </w:pPr>
      <w:r>
        <w:rPr>
          <w:rFonts w:hint="eastAsia"/>
          <w:color w:val="000000"/>
          <w:szCs w:val="21"/>
        </w:rPr>
        <w:t>我作为本招标项目的评委，已经获知投标人名称，我对本招标项目评标：</w:t>
      </w:r>
    </w:p>
    <w:p>
      <w:pPr>
        <w:autoSpaceDE w:val="0"/>
        <w:autoSpaceDN w:val="0"/>
        <w:spacing w:line="360" w:lineRule="auto"/>
        <w:ind w:firstLine="420" w:firstLineChars="200"/>
        <w:rPr>
          <w:color w:val="000000"/>
          <w:szCs w:val="21"/>
        </w:rPr>
      </w:pPr>
      <w:r>
        <w:rPr>
          <w:rFonts w:hint="eastAsia"/>
          <w:color w:val="000000"/>
          <w:szCs w:val="21"/>
        </w:rPr>
        <w:t>□需要回避</w:t>
      </w:r>
    </w:p>
    <w:p>
      <w:pPr>
        <w:autoSpaceDE w:val="0"/>
        <w:autoSpaceDN w:val="0"/>
        <w:spacing w:line="360" w:lineRule="auto"/>
        <w:ind w:firstLine="420" w:firstLineChars="200"/>
        <w:rPr>
          <w:color w:val="000000"/>
          <w:szCs w:val="21"/>
        </w:rPr>
      </w:pPr>
      <w:r>
        <w:rPr>
          <w:rFonts w:hint="eastAsia"/>
          <w:color w:val="000000"/>
          <w:szCs w:val="21"/>
        </w:rPr>
        <w:t>□无需回避</w:t>
      </w:r>
    </w:p>
    <w:p>
      <w:pPr>
        <w:autoSpaceDE w:val="0"/>
        <w:autoSpaceDN w:val="0"/>
        <w:spacing w:line="360" w:lineRule="auto"/>
        <w:ind w:firstLine="420" w:firstLineChars="200"/>
        <w:rPr>
          <w:color w:val="000000"/>
          <w:szCs w:val="21"/>
        </w:rPr>
      </w:pPr>
      <w:r>
        <w:rPr>
          <w:rFonts w:hint="eastAsia"/>
          <w:color w:val="000000"/>
          <w:szCs w:val="21"/>
        </w:rPr>
        <w:t xml:space="preserve">                                          评委签名：</w:t>
      </w:r>
    </w:p>
    <w:p>
      <w:pPr>
        <w:autoSpaceDE w:val="0"/>
        <w:autoSpaceDN w:val="0"/>
        <w:spacing w:line="360" w:lineRule="auto"/>
        <w:ind w:firstLine="420" w:firstLineChars="200"/>
        <w:rPr>
          <w:rFonts w:hint="eastAsia" w:hAnsi="宋体"/>
          <w:color w:val="000000"/>
          <w:sz w:val="21"/>
          <w:szCs w:val="21"/>
          <w:u w:val="single"/>
          <w:lang w:val="en-US" w:eastAsia="zh-CN"/>
        </w:rPr>
      </w:pPr>
      <w:r>
        <w:rPr>
          <w:rFonts w:hint="eastAsia"/>
          <w:color w:val="000000"/>
          <w:szCs w:val="21"/>
        </w:rPr>
        <w:t xml:space="preserve">                                          日期：</w:t>
      </w:r>
      <w:bookmarkEnd w:id="417"/>
      <w:bookmarkEnd w:id="418"/>
      <w:bookmarkEnd w:id="419"/>
      <w:bookmarkEnd w:id="420"/>
      <w:bookmarkEnd w:id="421"/>
      <w:bookmarkEnd w:id="422"/>
      <w:bookmarkEnd w:id="423"/>
      <w:bookmarkEnd w:id="424"/>
      <w:bookmarkEnd w:id="425"/>
      <w:bookmarkEnd w:id="426"/>
      <w:bookmarkEnd w:id="427"/>
      <w:bookmarkEnd w:id="428"/>
    </w:p>
    <w:p>
      <w:pPr>
        <w:tabs>
          <w:tab w:val="left" w:pos="270"/>
        </w:tabs>
        <w:bidi w:val="0"/>
        <w:jc w:val="left"/>
        <w:rPr>
          <w:rFonts w:hint="eastAsia"/>
          <w:lang w:val="en-US" w:eastAsia="zh-CN"/>
        </w:rPr>
        <w:sectPr>
          <w:footerReference r:id="rId4" w:type="default"/>
          <w:pgSz w:w="11906" w:h="16838"/>
          <w:pgMar w:top="1440" w:right="1800" w:bottom="1440" w:left="1800" w:header="851" w:footer="992" w:gutter="0"/>
          <w:pgNumType w:fmt="decimal" w:start="1"/>
          <w:cols w:space="720" w:num="1"/>
          <w:docGrid w:type="lines" w:linePitch="312" w:charSpace="0"/>
        </w:sectPr>
      </w:pPr>
    </w:p>
    <w:p>
      <w:pPr>
        <w:pStyle w:val="2"/>
        <w:bidi w:val="0"/>
        <w:rPr>
          <w:rFonts w:hint="eastAsia"/>
        </w:rPr>
      </w:pPr>
      <w:r>
        <w:rPr>
          <w:rFonts w:hint="eastAsia"/>
        </w:rPr>
        <w:t>第四章 合同条款及格式</w:t>
      </w:r>
    </w:p>
    <w:p>
      <w:pPr>
        <w:pStyle w:val="26"/>
        <w:snapToGrid w:val="0"/>
        <w:spacing w:before="120" w:after="120" w:line="420" w:lineRule="exact"/>
        <w:rPr>
          <w:rFonts w:hAnsi="宋体"/>
          <w:sz w:val="21"/>
          <w:szCs w:val="21"/>
          <w:u w:val="single"/>
        </w:rPr>
      </w:pPr>
      <w:r>
        <w:rPr>
          <w:rFonts w:hint="eastAsia" w:hAnsi="宋体"/>
          <w:sz w:val="21"/>
          <w:szCs w:val="21"/>
        </w:rPr>
        <w:t>甲方：</w:t>
      </w:r>
      <w:r>
        <w:rPr>
          <w:rFonts w:hint="eastAsia" w:hAnsi="宋体"/>
          <w:sz w:val="21"/>
          <w:szCs w:val="21"/>
          <w:u w:val="single"/>
        </w:rPr>
        <w:t>盐城市大丰区</w:t>
      </w:r>
      <w:r>
        <w:rPr>
          <w:rFonts w:hint="eastAsia" w:hAnsi="宋体"/>
          <w:sz w:val="21"/>
          <w:szCs w:val="21"/>
          <w:u w:val="single"/>
          <w:lang w:val="en-US" w:eastAsia="zh-CN"/>
        </w:rPr>
        <w:t>新丰中</w:t>
      </w:r>
      <w:r>
        <w:rPr>
          <w:rFonts w:hint="eastAsia" w:hAnsi="宋体"/>
          <w:sz w:val="21"/>
          <w:szCs w:val="21"/>
          <w:u w:val="single"/>
        </w:rPr>
        <w:t>学（买方）</w:t>
      </w:r>
    </w:p>
    <w:p>
      <w:pPr>
        <w:pStyle w:val="26"/>
        <w:snapToGrid w:val="0"/>
        <w:spacing w:before="120" w:after="120" w:line="420" w:lineRule="exact"/>
        <w:rPr>
          <w:rFonts w:hAnsi="宋体"/>
          <w:sz w:val="21"/>
          <w:szCs w:val="21"/>
        </w:rPr>
      </w:pPr>
      <w:r>
        <w:rPr>
          <w:rFonts w:hint="eastAsia" w:hAnsi="宋体"/>
          <w:sz w:val="21"/>
          <w:szCs w:val="21"/>
        </w:rPr>
        <w:t>乙方：</w:t>
      </w:r>
      <w:r>
        <w:rPr>
          <w:rFonts w:hint="eastAsia" w:hAnsi="宋体"/>
          <w:sz w:val="21"/>
          <w:szCs w:val="21"/>
          <w:u w:val="single"/>
        </w:rPr>
        <w:t>中标人名称（卖方）</w:t>
      </w:r>
    </w:p>
    <w:p>
      <w:pPr>
        <w:pStyle w:val="26"/>
        <w:snapToGrid w:val="0"/>
        <w:spacing w:before="120" w:after="120" w:line="420" w:lineRule="exact"/>
        <w:rPr>
          <w:rFonts w:hAnsi="宋体"/>
          <w:b/>
          <w:sz w:val="21"/>
          <w:szCs w:val="21"/>
        </w:rPr>
      </w:pPr>
      <w:r>
        <w:rPr>
          <w:rFonts w:hint="eastAsia" w:hAnsi="宋体"/>
          <w:sz w:val="21"/>
          <w:szCs w:val="21"/>
        </w:rPr>
        <w:t>甲、乙双方根据公开招标的中标结果及中标通知书，签署本合同。</w:t>
      </w:r>
    </w:p>
    <w:p>
      <w:pPr>
        <w:pStyle w:val="26"/>
        <w:snapToGrid w:val="0"/>
        <w:spacing w:before="163" w:after="163" w:line="460" w:lineRule="exact"/>
        <w:rPr>
          <w:rFonts w:ascii="Arial" w:hAnsi="宋体" w:cs="Arial"/>
          <w:sz w:val="21"/>
          <w:szCs w:val="21"/>
        </w:rPr>
      </w:pPr>
      <w:r>
        <w:rPr>
          <w:rFonts w:ascii="Arial" w:hAnsi="宋体" w:cs="Arial"/>
          <w:sz w:val="21"/>
          <w:szCs w:val="21"/>
        </w:rPr>
        <w:t>一、合同内容</w:t>
      </w:r>
    </w:p>
    <w:p>
      <w:pPr>
        <w:pStyle w:val="26"/>
        <w:snapToGrid w:val="0"/>
        <w:spacing w:before="163" w:after="163" w:line="460" w:lineRule="exact"/>
        <w:rPr>
          <w:rFonts w:ascii="Arial" w:hAnsi="宋体" w:cs="Arial"/>
          <w:sz w:val="21"/>
          <w:szCs w:val="21"/>
        </w:rPr>
      </w:pPr>
      <w:r>
        <w:rPr>
          <w:rFonts w:ascii="Arial" w:hAnsi="宋体" w:cs="Arial"/>
          <w:sz w:val="21"/>
          <w:szCs w:val="21"/>
        </w:rPr>
        <w:t>1.项目名称：</w:t>
      </w:r>
      <w:r>
        <w:rPr>
          <w:rFonts w:ascii="Arial" w:hAnsi="宋体" w:cs="Arial"/>
          <w:sz w:val="21"/>
          <w:szCs w:val="21"/>
          <w:u w:val="single"/>
        </w:rPr>
        <w:t xml:space="preserve">  </w:t>
      </w:r>
      <w:r>
        <w:rPr>
          <w:rFonts w:hint="eastAsia" w:ascii="Arial" w:hAnsi="宋体" w:cs="Arial"/>
          <w:sz w:val="21"/>
          <w:szCs w:val="21"/>
          <w:u w:val="single"/>
          <w:lang w:val="en-US" w:eastAsia="zh-CN"/>
        </w:rPr>
        <w:t>盐城市大丰区新丰中学2019年度办公用纸协议采购项目</w:t>
      </w:r>
      <w:r>
        <w:rPr>
          <w:rFonts w:ascii="Arial" w:hAnsi="宋体" w:cs="Arial"/>
          <w:sz w:val="21"/>
          <w:szCs w:val="21"/>
          <w:u w:val="single"/>
        </w:rPr>
        <w:t xml:space="preserve">  </w:t>
      </w:r>
      <w:r>
        <w:rPr>
          <w:rFonts w:ascii="Arial" w:hAnsi="宋体" w:cs="Arial"/>
          <w:sz w:val="21"/>
          <w:szCs w:val="21"/>
        </w:rPr>
        <w:t xml:space="preserve"> </w:t>
      </w:r>
    </w:p>
    <w:p>
      <w:pPr>
        <w:pStyle w:val="26"/>
        <w:snapToGrid w:val="0"/>
        <w:spacing w:before="163" w:after="163" w:line="460" w:lineRule="exact"/>
        <w:rPr>
          <w:rFonts w:ascii="Arial" w:hAnsi="宋体" w:cs="Arial"/>
          <w:sz w:val="21"/>
          <w:szCs w:val="21"/>
        </w:rPr>
      </w:pPr>
      <w:r>
        <w:rPr>
          <w:rFonts w:ascii="Arial" w:hAnsi="宋体" w:cs="Arial"/>
          <w:sz w:val="21"/>
          <w:szCs w:val="21"/>
        </w:rPr>
        <w:t>2.项目内容：本项目招标文件规定的全部工作内容</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二、合同金额</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sz w:val="21"/>
          <w:szCs w:val="21"/>
        </w:rPr>
      </w:pPr>
      <w:r>
        <w:rPr>
          <w:rFonts w:hint="eastAsia" w:hAnsi="宋体"/>
          <w:sz w:val="21"/>
          <w:szCs w:val="21"/>
        </w:rPr>
        <w:t xml:space="preserve"> </w:t>
      </w:r>
      <w:r>
        <w:rPr>
          <w:rFonts w:hint="eastAsia" w:hAnsi="宋体"/>
          <w:sz w:val="21"/>
          <w:szCs w:val="21"/>
          <w:lang w:val="en-US" w:eastAsia="zh-CN"/>
        </w:rPr>
        <w:t xml:space="preserve">   </w:t>
      </w:r>
      <w:r>
        <w:rPr>
          <w:rFonts w:hint="eastAsia" w:hAnsi="宋体"/>
          <w:sz w:val="21"/>
          <w:szCs w:val="21"/>
          <w:u w:val="single"/>
        </w:rPr>
        <w:t>本合同</w:t>
      </w:r>
      <w:r>
        <w:rPr>
          <w:rFonts w:hint="eastAsia" w:hAnsi="宋体"/>
          <w:sz w:val="21"/>
          <w:szCs w:val="21"/>
          <w:u w:val="single"/>
          <w:lang w:val="en-US" w:eastAsia="zh-CN"/>
        </w:rPr>
        <w:t>以中标单价进行供货（中标单价附后）</w:t>
      </w:r>
      <w:r>
        <w:rPr>
          <w:rFonts w:hint="eastAsia" w:hAnsi="宋体"/>
          <w:sz w:val="21"/>
          <w:szCs w:val="21"/>
          <w:u w:val="single"/>
        </w:rPr>
        <w:t>。</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三、技术资料</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rPr>
      </w:pPr>
      <w:r>
        <w:rPr>
          <w:rFonts w:hint="eastAsia" w:hAnsi="宋体"/>
          <w:sz w:val="21"/>
          <w:szCs w:val="21"/>
        </w:rPr>
        <w:t>1.乙方应按招标文件规定的时间向甲方提供使用货物的有关技术资料。</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rightChars="0" w:firstLine="420" w:firstLineChars="200"/>
        <w:jc w:val="both"/>
        <w:textAlignment w:val="auto"/>
        <w:outlineLvl w:val="9"/>
        <w:rPr>
          <w:rFonts w:hint="eastAsia" w:hAnsi="宋体"/>
          <w:sz w:val="21"/>
          <w:szCs w:val="21"/>
        </w:rPr>
      </w:pPr>
      <w:r>
        <w:rPr>
          <w:rFonts w:hint="eastAsia" w:hAnsi="宋体"/>
          <w:sz w:val="21"/>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四、知识产权</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rPr>
      </w:pPr>
      <w:r>
        <w:rPr>
          <w:rFonts w:hint="eastAsia" w:hAnsi="宋体"/>
          <w:sz w:val="21"/>
          <w:szCs w:val="21"/>
        </w:rPr>
        <w:t>乙方应保证所提供的货物或其任何一部分均不会侵犯任何第三方的知识产权。</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sz w:val="21"/>
          <w:szCs w:val="21"/>
          <w:u w:val="single"/>
        </w:rPr>
      </w:pPr>
      <w:r>
        <w:rPr>
          <w:rFonts w:hint="eastAsia" w:hAnsi="宋体"/>
          <w:b/>
          <w:sz w:val="21"/>
          <w:szCs w:val="21"/>
        </w:rPr>
        <w:t>五、产权担保</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rPr>
      </w:pPr>
      <w:r>
        <w:rPr>
          <w:rFonts w:hint="eastAsia" w:hAnsi="宋体"/>
          <w:sz w:val="21"/>
          <w:szCs w:val="21"/>
        </w:rPr>
        <w:t>乙方保证所交付的货物的所有权完全属于乙方且无任何抵押、查封等产权瑕疵。</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六、履约保证金</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rPr>
      </w:pPr>
      <w:r>
        <w:rPr>
          <w:rFonts w:hint="eastAsia" w:ascii="宋体" w:hAnsi="宋体"/>
          <w:color w:val="000000"/>
          <w:sz w:val="21"/>
          <w:szCs w:val="21"/>
        </w:rPr>
        <w:t>合同签订前，按</w:t>
      </w:r>
      <w:r>
        <w:rPr>
          <w:rFonts w:hint="eastAsia" w:hAnsi="宋体"/>
          <w:color w:val="000000"/>
          <w:sz w:val="21"/>
          <w:szCs w:val="21"/>
          <w:lang w:val="en-US" w:eastAsia="zh-CN"/>
        </w:rPr>
        <w:t>年度预算额</w:t>
      </w:r>
      <w:r>
        <w:rPr>
          <w:rFonts w:hint="eastAsia" w:ascii="宋体" w:hAnsi="宋体"/>
          <w:color w:val="000000"/>
          <w:sz w:val="21"/>
          <w:szCs w:val="21"/>
        </w:rPr>
        <w:t>的</w:t>
      </w:r>
      <w:r>
        <w:rPr>
          <w:rFonts w:hint="eastAsia" w:hAnsi="宋体"/>
          <w:color w:val="000000"/>
          <w:sz w:val="21"/>
          <w:szCs w:val="21"/>
          <w:lang w:val="en-US" w:eastAsia="zh-CN"/>
        </w:rPr>
        <w:t>10</w:t>
      </w:r>
      <w:r>
        <w:rPr>
          <w:rFonts w:hint="eastAsia" w:ascii="宋体" w:hAnsi="宋体"/>
          <w:color w:val="000000"/>
          <w:sz w:val="21"/>
          <w:szCs w:val="21"/>
        </w:rPr>
        <w:t>%缴纳履约保证金，中标人按合同约定</w:t>
      </w:r>
      <w:r>
        <w:rPr>
          <w:rFonts w:hint="eastAsia" w:ascii="宋体" w:hAnsi="宋体"/>
          <w:color w:val="000000"/>
          <w:sz w:val="21"/>
          <w:szCs w:val="21"/>
          <w:lang w:val="en-US" w:eastAsia="zh-CN"/>
        </w:rPr>
        <w:t>供货期限内所供</w:t>
      </w:r>
      <w:r>
        <w:rPr>
          <w:rFonts w:hint="eastAsia" w:hAnsi="宋体"/>
          <w:color w:val="000000"/>
          <w:sz w:val="21"/>
          <w:szCs w:val="21"/>
          <w:lang w:val="en-US" w:eastAsia="zh-CN"/>
        </w:rPr>
        <w:t>产品</w:t>
      </w:r>
      <w:r>
        <w:rPr>
          <w:rFonts w:hint="eastAsia" w:ascii="宋体" w:hAnsi="宋体"/>
          <w:color w:val="000000"/>
          <w:sz w:val="21"/>
          <w:szCs w:val="21"/>
          <w:lang w:val="en-US" w:eastAsia="zh-CN"/>
        </w:rPr>
        <w:t>无任何质量服务等售后问题，待合同期限满后</w:t>
      </w:r>
      <w:r>
        <w:rPr>
          <w:rFonts w:hint="eastAsia" w:ascii="宋体" w:hAnsi="宋体"/>
          <w:color w:val="000000"/>
          <w:sz w:val="21"/>
          <w:szCs w:val="21"/>
        </w:rPr>
        <w:t>无息退还</w:t>
      </w:r>
      <w:r>
        <w:rPr>
          <w:rFonts w:hint="eastAsia" w:ascii="宋体" w:hAnsi="宋体"/>
          <w:color w:val="000000"/>
          <w:sz w:val="21"/>
          <w:szCs w:val="21"/>
          <w:lang w:eastAsia="zh-CN"/>
        </w:rPr>
        <w:t>。</w:t>
      </w:r>
      <w:r>
        <w:rPr>
          <w:rFonts w:hint="eastAsia" w:hAnsi="宋体"/>
          <w:sz w:val="21"/>
          <w:szCs w:val="21"/>
        </w:rPr>
        <w:t>。</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七、转包或分包</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rPr>
      </w:pPr>
      <w:r>
        <w:rPr>
          <w:rFonts w:hint="eastAsia" w:hAnsi="宋体"/>
          <w:sz w:val="21"/>
          <w:szCs w:val="21"/>
        </w:rPr>
        <w:t>1.本合同范围的货物，应由乙方直接供应，不得转让他人供应；</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rPr>
      </w:pPr>
      <w:r>
        <w:rPr>
          <w:rFonts w:hint="eastAsia" w:hAnsi="宋体"/>
          <w:sz w:val="21"/>
          <w:szCs w:val="21"/>
        </w:rPr>
        <w:t>2.除非得到甲方的书面同意，乙方不得将本合同范围的货物全部或部分分包给他人供应；</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rPr>
      </w:pPr>
      <w:r>
        <w:rPr>
          <w:rFonts w:hint="eastAsia" w:hAnsi="宋体"/>
          <w:sz w:val="21"/>
          <w:szCs w:val="21"/>
        </w:rPr>
        <w:t>3.如有转让和未经甲方同意的分包行为，甲方有权解除合同，没收履约保证金并追究乙方的违约责任。</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sz w:val="21"/>
          <w:szCs w:val="21"/>
        </w:rPr>
      </w:pPr>
      <w:r>
        <w:rPr>
          <w:rFonts w:hint="eastAsia" w:hAnsi="宋体"/>
          <w:b/>
          <w:sz w:val="21"/>
          <w:szCs w:val="21"/>
        </w:rPr>
        <w:t>八、</w:t>
      </w:r>
      <w:r>
        <w:rPr>
          <w:rFonts w:hint="eastAsia" w:hAnsi="宋体"/>
          <w:b/>
          <w:bCs/>
          <w:sz w:val="21"/>
          <w:szCs w:val="21"/>
          <w:u w:val="none"/>
          <w:lang w:val="en-US" w:eastAsia="zh-CN"/>
        </w:rPr>
        <w:t>供货协议</w:t>
      </w:r>
      <w:r>
        <w:rPr>
          <w:rFonts w:hint="eastAsia" w:hAnsi="宋体"/>
          <w:b/>
          <w:bCs/>
          <w:sz w:val="21"/>
          <w:szCs w:val="21"/>
          <w:u w:val="none"/>
        </w:rPr>
        <w:t>期</w:t>
      </w:r>
      <w:r>
        <w:rPr>
          <w:rFonts w:hint="eastAsia" w:hAnsi="宋体"/>
          <w:b/>
          <w:bCs/>
          <w:sz w:val="21"/>
          <w:szCs w:val="21"/>
          <w:u w:val="none"/>
          <w:lang w:eastAsia="zh-CN"/>
        </w:rPr>
        <w:t>为</w:t>
      </w:r>
      <w:r>
        <w:rPr>
          <w:rFonts w:hint="eastAsia" w:hAnsi="宋体"/>
          <w:b/>
          <w:bCs/>
          <w:sz w:val="21"/>
          <w:szCs w:val="21"/>
          <w:u w:val="none"/>
          <w:lang w:val="en-US" w:eastAsia="zh-CN"/>
        </w:rPr>
        <w:t>壹年</w:t>
      </w:r>
      <w:r>
        <w:rPr>
          <w:rFonts w:hint="eastAsia" w:hAnsi="宋体"/>
          <w:sz w:val="21"/>
          <w:szCs w:val="21"/>
          <w:lang w:val="en-US" w:eastAsia="zh-CN"/>
        </w:rPr>
        <w:t>。</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九、交货期、交货地点</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default" w:hAnsi="宋体"/>
          <w:sz w:val="21"/>
          <w:szCs w:val="21"/>
          <w:lang w:val="en-US" w:eastAsia="zh-CN"/>
        </w:rPr>
      </w:pPr>
      <w:r>
        <w:rPr>
          <w:rFonts w:hint="eastAsia" w:hAnsi="宋体"/>
          <w:sz w:val="21"/>
          <w:szCs w:val="21"/>
        </w:rPr>
        <w:t xml:space="preserve">1. </w:t>
      </w:r>
      <w:r>
        <w:rPr>
          <w:rFonts w:hint="eastAsia" w:hAnsi="宋体"/>
          <w:sz w:val="21"/>
          <w:szCs w:val="21"/>
          <w:lang w:val="en-US" w:eastAsia="zh-CN"/>
        </w:rPr>
        <w:t>供</w:t>
      </w:r>
      <w:r>
        <w:rPr>
          <w:rFonts w:hint="eastAsia" w:hAnsi="宋体"/>
          <w:sz w:val="21"/>
          <w:szCs w:val="21"/>
        </w:rPr>
        <w:t>货期：</w:t>
      </w:r>
      <w:r>
        <w:rPr>
          <w:rFonts w:hint="eastAsia" w:hAnsi="宋体"/>
          <w:b/>
          <w:bCs/>
          <w:sz w:val="21"/>
          <w:szCs w:val="21"/>
          <w:u w:val="single"/>
          <w:lang w:val="en-US" w:eastAsia="zh-CN"/>
        </w:rPr>
        <w:t>中标人</w:t>
      </w:r>
      <w:r>
        <w:rPr>
          <w:rFonts w:hint="eastAsia" w:hAnsi="宋体"/>
          <w:b/>
          <w:bCs/>
          <w:sz w:val="21"/>
          <w:szCs w:val="21"/>
          <w:u w:val="single"/>
          <w:lang w:eastAsia="zh-CN"/>
        </w:rPr>
        <w:t>必须在接到</w:t>
      </w:r>
      <w:r>
        <w:rPr>
          <w:rFonts w:hint="eastAsia" w:hAnsi="宋体"/>
          <w:b/>
          <w:bCs/>
          <w:sz w:val="21"/>
          <w:szCs w:val="21"/>
          <w:u w:val="single"/>
          <w:lang w:val="en-US" w:eastAsia="zh-CN"/>
        </w:rPr>
        <w:t>需</w:t>
      </w:r>
      <w:r>
        <w:rPr>
          <w:rFonts w:hint="eastAsia" w:hAnsi="宋体"/>
          <w:b/>
          <w:bCs/>
          <w:sz w:val="21"/>
          <w:szCs w:val="21"/>
          <w:u w:val="single"/>
          <w:lang w:eastAsia="zh-CN"/>
        </w:rPr>
        <w:t>方供货通知后</w:t>
      </w:r>
      <w:r>
        <w:rPr>
          <w:rFonts w:hint="eastAsia" w:hAnsi="宋体"/>
          <w:b/>
          <w:bCs/>
          <w:sz w:val="21"/>
          <w:szCs w:val="21"/>
          <w:u w:val="single"/>
          <w:lang w:val="en-US" w:eastAsia="zh-CN"/>
        </w:rPr>
        <w:t>2</w:t>
      </w:r>
      <w:r>
        <w:rPr>
          <w:rFonts w:hint="eastAsia" w:hAnsi="宋体"/>
          <w:b/>
          <w:bCs/>
          <w:sz w:val="21"/>
          <w:szCs w:val="21"/>
          <w:u w:val="single"/>
          <w:lang w:eastAsia="zh-CN"/>
        </w:rPr>
        <w:t>个工作日之内供货</w:t>
      </w:r>
      <w:r>
        <w:rPr>
          <w:rFonts w:hint="eastAsia" w:hAnsi="宋体"/>
          <w:b/>
          <w:bCs/>
          <w:sz w:val="21"/>
          <w:szCs w:val="21"/>
          <w:u w:val="single"/>
          <w:lang w:val="en-US" w:eastAsia="zh-CN"/>
        </w:rPr>
        <w:t>。</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rPr>
      </w:pPr>
      <w:r>
        <w:rPr>
          <w:rFonts w:hint="eastAsia" w:hAnsi="宋体"/>
          <w:sz w:val="21"/>
          <w:szCs w:val="21"/>
        </w:rPr>
        <w:t>2. 交货地点：</w:t>
      </w:r>
      <w:r>
        <w:rPr>
          <w:rFonts w:hint="eastAsia" w:hAnsi="宋体"/>
          <w:sz w:val="21"/>
          <w:szCs w:val="21"/>
          <w:lang w:val="en-US" w:eastAsia="zh-CN"/>
        </w:rPr>
        <w:t>需方</w:t>
      </w:r>
      <w:r>
        <w:rPr>
          <w:rFonts w:hint="eastAsia" w:hAnsi="宋体"/>
          <w:sz w:val="21"/>
          <w:szCs w:val="21"/>
          <w:lang w:eastAsia="zh-CN"/>
        </w:rPr>
        <w:t>指定地点为准。</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val="0"/>
          <w:bCs/>
          <w:sz w:val="21"/>
          <w:szCs w:val="21"/>
          <w:lang w:val="en-US" w:eastAsia="zh-CN"/>
        </w:rPr>
      </w:pPr>
      <w:r>
        <w:rPr>
          <w:rFonts w:hint="eastAsia" w:hAnsi="宋体"/>
          <w:b/>
          <w:sz w:val="21"/>
          <w:szCs w:val="21"/>
        </w:rPr>
        <w:t>十</w:t>
      </w:r>
      <w:r>
        <w:rPr>
          <w:rFonts w:hint="eastAsia" w:hAnsi="宋体"/>
          <w:b w:val="0"/>
          <w:bCs/>
          <w:sz w:val="21"/>
          <w:szCs w:val="21"/>
          <w:lang w:val="en-US" w:eastAsia="zh-CN"/>
        </w:rPr>
        <w:t>、</w:t>
      </w:r>
      <w:r>
        <w:rPr>
          <w:rFonts w:hint="eastAsia" w:hAnsi="宋体"/>
          <w:b/>
          <w:bCs w:val="0"/>
          <w:sz w:val="21"/>
          <w:szCs w:val="21"/>
          <w:lang w:val="en-US" w:eastAsia="zh-CN"/>
        </w:rPr>
        <w:t>货款支付</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u w:val="single"/>
          <w:lang w:val="en-US" w:eastAsia="zh-CN"/>
        </w:rPr>
      </w:pPr>
      <w:r>
        <w:rPr>
          <w:rFonts w:hint="eastAsia" w:hAnsi="宋体"/>
          <w:sz w:val="21"/>
          <w:szCs w:val="21"/>
          <w:lang w:val="en-US" w:eastAsia="zh-CN"/>
        </w:rPr>
        <w:t>付款方式：</w:t>
      </w:r>
      <w:r>
        <w:rPr>
          <w:rFonts w:hint="eastAsia" w:hAnsi="宋体"/>
          <w:b/>
          <w:sz w:val="21"/>
          <w:szCs w:val="21"/>
          <w:u w:val="single"/>
          <w:lang w:val="en-US" w:eastAsia="zh-CN"/>
        </w:rPr>
        <w:t>本项目无预付款，在签订合同后货物送达至招标人指定地点安装调试完毕并经验收合格，凭发票及验收单实时结算。</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val="0"/>
          <w:bCs/>
          <w:sz w:val="21"/>
          <w:szCs w:val="21"/>
          <w:u w:val="none"/>
          <w:lang w:val="en-US" w:eastAsia="zh-CN"/>
        </w:rPr>
      </w:pPr>
      <w:r>
        <w:rPr>
          <w:rFonts w:hint="eastAsia" w:hAnsi="宋体"/>
          <w:b w:val="0"/>
          <w:bCs/>
          <w:sz w:val="21"/>
          <w:szCs w:val="21"/>
          <w:u w:val="none"/>
          <w:lang w:val="en-US" w:eastAsia="zh-CN"/>
        </w:rPr>
        <w:t>按以上付款进度，无任何利息补偿。</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十一、税费</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本合同执行中相关的一切税费均由乙方负担。</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sz w:val="21"/>
          <w:szCs w:val="21"/>
        </w:rPr>
      </w:pPr>
      <w:r>
        <w:rPr>
          <w:rFonts w:hint="eastAsia" w:hAnsi="宋体"/>
          <w:b/>
          <w:sz w:val="21"/>
          <w:szCs w:val="21"/>
        </w:rPr>
        <w:t>十二、质量保证及售后服务</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1. 乙方应按招标文件规定的货物性能、技术要求、质量标准向甲方提供未经使用的全新产品。</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2. 乙方提供的货物在质保期内因货物本身的质量问题发生故障，乙方应负责免费更换。对达不到技术要求者，根据实际情况，经双方协商，可按以下办法处理：</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 xml:space="preserve">  （1）更换：由乙方承担所发生的全部费用。</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 xml:space="preserve">  （2）贬值处理：由甲乙双方合议定价。</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 xml:space="preserve">  （3）退货处理：乙方应退还甲方支付的合同款，同时应承担该货物的直接费用（运输、保险、检验、货款利息及银行手续费等）。</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3. 在质保期内，乙方应对货物出现的质量及安全问题负责处理解决并承担一切费用，在产品使用过程中如发现某一批次存在质量问题，中标方未能及时提供与本批次有效相关证明，采购人有权立即终止供货合同；</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default" w:hAnsi="宋体"/>
          <w:sz w:val="21"/>
          <w:szCs w:val="21"/>
          <w:lang w:val="en-US" w:eastAsia="zh-CN"/>
        </w:rPr>
      </w:pPr>
      <w:r>
        <w:rPr>
          <w:rFonts w:hint="eastAsia" w:hAnsi="宋体"/>
          <w:sz w:val="21"/>
          <w:szCs w:val="21"/>
          <w:lang w:val="en-US" w:eastAsia="zh-CN"/>
        </w:rPr>
        <w:t>4.在协议期内必须按照投标文件标明的品牌和规格进行供货；在供货期内投标方必须严格执行中标价，如遇市场价格波动超过10%，双方根据当地市场价格协商调整。</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十三、验收</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1. 甲方对乙方提交的货物依据招标文件上的技术规格要求和国家有关质量标准进行现场初步验收，外观、说明书符合招标文件技术要求的，给予签收，初步验收不合格的不予签收。</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2. 乙方交货前应对产品作出全面检查和对验收文件进行整理，并列出清单，作为甲方收货验收和使用的技术条件依据，检验的结果应随货物交甲方。</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3. 验收时乙方必须在现场，验收完毕后作出验收结果报告；验收费用由乙方负责。</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十四、货物包装、发运及运输</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1. 乙方应在货物发运前对其进行满足运输距离、防潮、防震、防锈和防破损装卸等要求包装，以保证货物安全运达甲方指定地点。</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2. 使用说明书、质量检验证明书、随配附件和工具以及清单一并附于货物内。</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3.  货物在交付甲方前发生的风险均由乙方负责。</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4. 货物在规定的交付期限内由乙方送达甲方指定的地点视为交付，乙方同时需通知甲方货物已送达。</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十五、违约责任</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1. 甲方无正当理由拒收货物的，甲方向乙方偿付拒收货款总值的百分之五违约金。</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2. 甲方无故逾期验收和办理货款支付手续的,甲方应按逾期付款总额每日万分之五向乙方支付违约金。</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 xml:space="preserve">3. 乙方逾期交付货物的，乙方应按逾期交货总额每日百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十六、不可抗力事件处理</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1. 在合同有效期内，任何一方因不可抗力事件导致不能履行合同，则合同履行期可延长，其延长期与不可抗力影响期相同。</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2. 不可抗力事件发生后，应立即通知对方，并寄送有关权威机构出具的证明。</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3. 不可抗力事件延续120天以上，双方应通过友好协商，确定是否继续履行合同。</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十七、诉讼</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 xml:space="preserve"> 双方在执行合同中所发生的一切争议，应通过协商解决。如协商不成，可向甲方所在地法院起诉。</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0" w:firstLineChars="0"/>
        <w:textAlignment w:val="auto"/>
        <w:rPr>
          <w:rFonts w:hint="eastAsia" w:hAnsi="宋体"/>
          <w:b/>
          <w:sz w:val="21"/>
          <w:szCs w:val="21"/>
        </w:rPr>
      </w:pPr>
      <w:r>
        <w:rPr>
          <w:rFonts w:hint="eastAsia" w:hAnsi="宋体"/>
          <w:b/>
          <w:sz w:val="21"/>
          <w:szCs w:val="21"/>
        </w:rPr>
        <w:t>十八、合同生效及其它</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1. 合同经双方法定代表人或授权代表签字并加盖单位公章后生效。</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2.本合同未尽事宜，遵照《合同法》有关条文执行。</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r>
        <w:rPr>
          <w:rFonts w:hint="eastAsia" w:hAnsi="宋体"/>
          <w:sz w:val="21"/>
          <w:szCs w:val="21"/>
          <w:lang w:val="en-US" w:eastAsia="zh-CN"/>
        </w:rPr>
        <w:t>3.本合同一式四份，具有同等法律效力，甲乙双方各执</w:t>
      </w:r>
      <w:r>
        <w:rPr>
          <w:rFonts w:hint="eastAsia" w:hAnsi="宋体"/>
          <w:sz w:val="21"/>
          <w:szCs w:val="21"/>
          <w:u w:val="single"/>
          <w:lang w:val="en-US" w:eastAsia="zh-CN"/>
        </w:rPr>
        <w:t xml:space="preserve">    </w:t>
      </w:r>
      <w:r>
        <w:rPr>
          <w:rFonts w:hint="eastAsia" w:hAnsi="宋体"/>
          <w:sz w:val="21"/>
          <w:szCs w:val="21"/>
          <w:lang w:val="en-US" w:eastAsia="zh-CN"/>
        </w:rPr>
        <w:t>份，副本</w:t>
      </w:r>
      <w:r>
        <w:rPr>
          <w:rFonts w:hint="eastAsia" w:hAnsi="宋体"/>
          <w:sz w:val="21"/>
          <w:szCs w:val="21"/>
          <w:u w:val="single"/>
          <w:lang w:val="en-US" w:eastAsia="zh-CN"/>
        </w:rPr>
        <w:t xml:space="preserve">   </w:t>
      </w:r>
      <w:r>
        <w:rPr>
          <w:rFonts w:hint="eastAsia" w:hAnsi="宋体"/>
          <w:sz w:val="21"/>
          <w:szCs w:val="21"/>
          <w:u w:val="none"/>
          <w:lang w:val="en-US" w:eastAsia="zh-CN"/>
        </w:rPr>
        <w:t>份（用于备案及存档）</w:t>
      </w:r>
      <w:r>
        <w:rPr>
          <w:rFonts w:hint="eastAsia" w:hAnsi="宋体"/>
          <w:sz w:val="21"/>
          <w:szCs w:val="21"/>
          <w:lang w:val="en-US" w:eastAsia="zh-CN"/>
        </w:rPr>
        <w:t>。</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right="0"/>
        <w:textAlignment w:val="auto"/>
        <w:rPr>
          <w:rFonts w:hint="eastAsia" w:hAnsi="宋体"/>
          <w:sz w:val="21"/>
          <w:szCs w:val="21"/>
          <w:lang w:val="en-US" w:eastAsia="zh-CN"/>
        </w:rPr>
      </w:pP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firstLine="420" w:firstLineChars="200"/>
        <w:textAlignment w:val="auto"/>
        <w:rPr>
          <w:rFonts w:hint="eastAsia" w:hAnsi="宋体"/>
          <w:sz w:val="21"/>
          <w:szCs w:val="21"/>
          <w:lang w:val="en-US" w:eastAsia="zh-CN"/>
        </w:rPr>
      </w:pPr>
    </w:p>
    <w:p>
      <w:pPr>
        <w:pStyle w:val="26"/>
        <w:snapToGrid w:val="0"/>
        <w:spacing w:before="231" w:beforeLines="0" w:after="231" w:afterLines="0" w:line="380" w:lineRule="exact"/>
        <w:ind w:left="480" w:hanging="420" w:hangingChars="200"/>
        <w:rPr>
          <w:rFonts w:hint="eastAsia" w:hAnsi="宋体"/>
          <w:sz w:val="21"/>
          <w:szCs w:val="21"/>
        </w:rPr>
      </w:pPr>
      <w:r>
        <w:rPr>
          <w:rFonts w:hint="eastAsia" w:hAnsi="宋体"/>
          <w:sz w:val="21"/>
          <w:szCs w:val="21"/>
        </w:rPr>
        <w:t xml:space="preserve">  甲方：                                   乙方： </w:t>
      </w:r>
    </w:p>
    <w:p>
      <w:pPr>
        <w:pStyle w:val="26"/>
        <w:snapToGrid w:val="0"/>
        <w:spacing w:before="231" w:beforeLines="0" w:after="231" w:afterLines="0" w:line="380" w:lineRule="exact"/>
        <w:rPr>
          <w:rFonts w:hint="eastAsia" w:hAnsi="宋体"/>
          <w:sz w:val="21"/>
          <w:szCs w:val="21"/>
        </w:rPr>
      </w:pPr>
      <w:r>
        <w:rPr>
          <w:rFonts w:hint="eastAsia" w:hAnsi="宋体"/>
          <w:sz w:val="21"/>
          <w:szCs w:val="21"/>
        </w:rPr>
        <w:t xml:space="preserve">  地址：                                   地址： </w:t>
      </w:r>
    </w:p>
    <w:p>
      <w:pPr>
        <w:pStyle w:val="26"/>
        <w:snapToGrid w:val="0"/>
        <w:spacing w:before="231" w:beforeLines="0" w:after="231" w:afterLines="0" w:line="380" w:lineRule="exact"/>
        <w:rPr>
          <w:rFonts w:hint="eastAsia" w:hAnsi="宋体"/>
          <w:sz w:val="21"/>
          <w:szCs w:val="21"/>
        </w:rPr>
      </w:pPr>
      <w:r>
        <w:rPr>
          <w:rFonts w:hint="eastAsia" w:hAnsi="宋体"/>
          <w:sz w:val="21"/>
          <w:szCs w:val="21"/>
        </w:rPr>
        <w:t xml:space="preserve">  法定（授权）代表人：                     法定（授权）代表人：</w:t>
      </w:r>
    </w:p>
    <w:p>
      <w:pPr>
        <w:pStyle w:val="26"/>
        <w:snapToGrid w:val="0"/>
        <w:spacing w:before="231" w:beforeLines="0" w:after="231" w:afterLines="0" w:line="380" w:lineRule="exact"/>
        <w:rPr>
          <w:rFonts w:hint="eastAsia" w:hAnsi="宋体"/>
          <w:sz w:val="21"/>
          <w:szCs w:val="21"/>
        </w:rPr>
      </w:pPr>
      <w:r>
        <w:rPr>
          <w:rFonts w:hint="eastAsia" w:hAnsi="宋体"/>
          <w:sz w:val="21"/>
          <w:szCs w:val="21"/>
        </w:rPr>
        <w:t xml:space="preserve">  签字日期：      年  月  日          </w:t>
      </w:r>
      <w:r>
        <w:rPr>
          <w:rFonts w:hint="eastAsia" w:hAnsi="宋体"/>
          <w:sz w:val="21"/>
          <w:szCs w:val="21"/>
          <w:lang w:val="en-US" w:eastAsia="zh-CN"/>
        </w:rPr>
        <w:t xml:space="preserve">    </w:t>
      </w:r>
      <w:r>
        <w:rPr>
          <w:rFonts w:hint="eastAsia" w:hAnsi="宋体"/>
          <w:sz w:val="21"/>
          <w:szCs w:val="21"/>
        </w:rPr>
        <w:t xml:space="preserve"> 签字日期：      年  月  日</w:t>
      </w:r>
    </w:p>
    <w:p>
      <w:pPr>
        <w:pStyle w:val="26"/>
        <w:snapToGrid w:val="0"/>
        <w:spacing w:before="120" w:after="120"/>
        <w:rPr>
          <w:szCs w:val="21"/>
        </w:rPr>
      </w:pPr>
      <w:r>
        <w:rPr>
          <w:rFonts w:hint="eastAsia"/>
          <w:szCs w:val="21"/>
        </w:rPr>
        <w:t xml:space="preserve">                                               </w:t>
      </w:r>
    </w:p>
    <w:p>
      <w:pPr>
        <w:jc w:val="center"/>
        <w:rPr>
          <w:rFonts w:ascii="黑体" w:hAnsi="黑体" w:eastAsia="黑体"/>
          <w:sz w:val="28"/>
          <w:szCs w:val="28"/>
        </w:rPr>
      </w:pPr>
      <w:r>
        <w:rPr>
          <w:szCs w:val="21"/>
        </w:rPr>
        <w:br w:type="page"/>
      </w:r>
      <w:r>
        <w:rPr>
          <w:rFonts w:ascii="黑体" w:hAnsi="黑体" w:eastAsia="黑体"/>
          <w:sz w:val="28"/>
          <w:szCs w:val="28"/>
        </w:rPr>
        <w:t>廉 政 合 同</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甲方：</w:t>
      </w:r>
      <w:r>
        <w:rPr>
          <w:rFonts w:hint="eastAsia" w:ascii="宋体" w:hAnsi="宋体" w:cs="宋体"/>
          <w:kern w:val="0"/>
          <w:szCs w:val="21"/>
          <w:u w:val="single"/>
        </w:rPr>
        <w:t xml:space="preserve">                            </w:t>
      </w:r>
    </w:p>
    <w:p>
      <w:pPr>
        <w:widowControl/>
        <w:spacing w:line="320" w:lineRule="exact"/>
        <w:ind w:firstLine="420" w:firstLineChars="200"/>
        <w:jc w:val="left"/>
        <w:rPr>
          <w:rFonts w:ascii="宋体" w:hAnsi="宋体" w:cs="宋体"/>
          <w:kern w:val="0"/>
          <w:szCs w:val="21"/>
          <w:u w:val="single"/>
        </w:rPr>
      </w:pPr>
      <w:r>
        <w:rPr>
          <w:rFonts w:ascii="宋体" w:hAnsi="宋体" w:cs="宋体"/>
          <w:kern w:val="0"/>
          <w:szCs w:val="21"/>
        </w:rPr>
        <w:t>乙方：</w:t>
      </w:r>
      <w:r>
        <w:rPr>
          <w:rFonts w:hint="eastAsia" w:ascii="宋体" w:hAnsi="宋体" w:cs="宋体"/>
          <w:kern w:val="0"/>
          <w:szCs w:val="21"/>
          <w:u w:val="single"/>
        </w:rPr>
        <w:t xml:space="preserve">                             </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为强化抓源治本工作力度，从制度机制上进一步规范</w:t>
      </w:r>
      <w:r>
        <w:rPr>
          <w:rFonts w:hint="eastAsia" w:ascii="宋体" w:hAnsi="宋体" w:cs="宋体"/>
          <w:kern w:val="0"/>
          <w:szCs w:val="21"/>
          <w:u w:val="single"/>
        </w:rPr>
        <w:t xml:space="preserve">               </w:t>
      </w:r>
      <w:r>
        <w:rPr>
          <w:rFonts w:ascii="宋体" w:hAnsi="宋体" w:cs="宋体"/>
          <w:kern w:val="0"/>
          <w:szCs w:val="21"/>
        </w:rPr>
        <w:t>建设行为，杜绝不廉洁行为，特订立本合同，双方遵照执行。</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1、甲、乙双方必须严格遵守国家法律、法规、政策及各项廉政规定，恪守职业道德规范。</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2、甲、乙双方在具体工程建设行为中，必须严格遵守招投标法规定的原则、方式、程序，保证公平、公正、公开。</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3、甲、乙双方不得相互串通，损害国家利益、社会公共利益及其他当事人的合法权益。</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4、甲方工作人员及其配偶、子女不得以任何形式或名义索要、接受乙方的现金、有价证券、支付凭证和其他馈赠礼品；乙方不得以任何形式或名义向甲方工作人员及其配偶、子女、评标人员赠送现金、有价证券、支付凭证和礼品或采取其他不正当手段谋取利益。</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5、甲方工作人员及其配偶、子女不得以任何形式或者名义接受乙方的宴请、请钓、旅游、健身和其他娱乐活动；乙方不得以任何形式或名义邀请甲方工作人员及其配偶、子女请吃、请钓、旅游、健身和其他娱乐活动。</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6、甲方工作人员及其配偶、子女不得以打“业务牌”等形式变相接受乙方的钱物；乙方不得以打“业务牌”的形式向甲方工作人员及其配偶、子女变相送钱物。</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7、甲方工作人员及其配偶、子女不得在乙方报销应由个人支付的费用或领取报酬；乙方不得为甲方工作人员及其配偶、子女报销应由个人支付的费用或发放报酬。</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违约责任：</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1、甲方发生违约行为，一经查实将视情节轻重对直接责任人进行严肃处理并追究主管人员的责任。</w:t>
      </w:r>
    </w:p>
    <w:p>
      <w:pPr>
        <w:widowControl/>
        <w:spacing w:line="320" w:lineRule="exact"/>
        <w:ind w:firstLine="420" w:firstLineChars="200"/>
        <w:jc w:val="left"/>
        <w:rPr>
          <w:rFonts w:ascii="宋体" w:hAnsi="宋体" w:cs="宋体"/>
          <w:kern w:val="0"/>
          <w:szCs w:val="21"/>
        </w:rPr>
      </w:pPr>
      <w:r>
        <w:rPr>
          <w:rFonts w:ascii="宋体" w:hAnsi="宋体" w:cs="宋体"/>
          <w:kern w:val="0"/>
          <w:szCs w:val="21"/>
        </w:rPr>
        <w:t>2、乙方发生违约行为，甲方有权解除合同，并将其列入“黑名单”在一定范围内公布，三年内不得参加辖区内的工程建设。</w:t>
      </w:r>
    </w:p>
    <w:p>
      <w:pPr>
        <w:widowControl/>
        <w:spacing w:line="320" w:lineRule="exact"/>
        <w:ind w:firstLine="420" w:firstLineChars="200"/>
        <w:jc w:val="left"/>
        <w:rPr>
          <w:rFonts w:hAnsi="宋体"/>
          <w:szCs w:val="21"/>
          <w:u w:val="single"/>
        </w:rPr>
      </w:pPr>
      <w:r>
        <w:rPr>
          <w:rFonts w:hint="eastAsia" w:ascii="宋体" w:hAnsi="宋体" w:cs="宋体"/>
          <w:kern w:val="0"/>
          <w:szCs w:val="21"/>
        </w:rPr>
        <w:t>8、</w:t>
      </w:r>
      <w:r>
        <w:rPr>
          <w:rFonts w:hint="eastAsia" w:hAnsi="宋体"/>
          <w:szCs w:val="21"/>
        </w:rPr>
        <w:t xml:space="preserve">合同签订时间： </w:t>
      </w:r>
      <w:r>
        <w:rPr>
          <w:rFonts w:hint="eastAsia" w:hAnsi="宋体"/>
          <w:szCs w:val="21"/>
          <w:u w:val="single"/>
        </w:rPr>
        <w:t xml:space="preserve">        年   月  </w:t>
      </w:r>
      <w:r>
        <w:rPr>
          <w:rFonts w:hint="eastAsia" w:hAnsi="宋体"/>
          <w:szCs w:val="21"/>
          <w:u w:val="single"/>
          <w:lang w:val="en-US" w:eastAsia="zh-CN"/>
        </w:rPr>
        <w:t xml:space="preserve"> </w:t>
      </w:r>
      <w:r>
        <w:rPr>
          <w:rFonts w:hint="eastAsia" w:hAnsi="宋体"/>
          <w:szCs w:val="21"/>
          <w:u w:val="single"/>
        </w:rPr>
        <w:t>日</w:t>
      </w:r>
      <w:r>
        <w:rPr>
          <w:rFonts w:hint="eastAsia" w:hAnsi="宋体"/>
          <w:szCs w:val="21"/>
        </w:rPr>
        <w:t>，签订地点：</w:t>
      </w:r>
      <w:r>
        <w:rPr>
          <w:rFonts w:hint="eastAsia" w:hAnsi="宋体"/>
          <w:szCs w:val="21"/>
          <w:u w:val="single"/>
        </w:rPr>
        <w:t xml:space="preserve">                  </w:t>
      </w:r>
    </w:p>
    <w:p>
      <w:pPr>
        <w:widowControl/>
        <w:spacing w:line="320" w:lineRule="exact"/>
        <w:ind w:firstLine="420" w:firstLineChars="200"/>
        <w:jc w:val="left"/>
        <w:rPr>
          <w:rFonts w:hAnsi="宋体"/>
          <w:szCs w:val="21"/>
          <w:u w:val="single"/>
        </w:rPr>
      </w:pPr>
    </w:p>
    <w:p>
      <w:pPr>
        <w:widowControl/>
        <w:spacing w:line="320" w:lineRule="exact"/>
        <w:ind w:firstLine="420" w:firstLineChars="200"/>
        <w:jc w:val="left"/>
        <w:rPr>
          <w:rFonts w:ascii="宋体" w:hAnsi="宋体" w:cs="宋体"/>
          <w:kern w:val="0"/>
          <w:szCs w:val="21"/>
        </w:rPr>
      </w:pPr>
    </w:p>
    <w:p>
      <w:pPr>
        <w:pStyle w:val="26"/>
        <w:snapToGrid w:val="0"/>
        <w:spacing w:before="120" w:after="120" w:line="440" w:lineRule="exact"/>
        <w:ind w:left="420" w:hanging="420" w:hangingChars="200"/>
        <w:rPr>
          <w:rFonts w:hAnsi="宋体"/>
          <w:sz w:val="21"/>
          <w:szCs w:val="21"/>
        </w:rPr>
      </w:pPr>
      <w:r>
        <w:rPr>
          <w:rFonts w:hint="eastAsia" w:hAnsi="宋体"/>
          <w:sz w:val="21"/>
          <w:szCs w:val="21"/>
        </w:rPr>
        <w:t xml:space="preserve">  甲方：                           </w:t>
      </w:r>
      <w:r>
        <w:rPr>
          <w:rFonts w:hint="eastAsia" w:hAnsi="宋体"/>
          <w:sz w:val="21"/>
          <w:szCs w:val="21"/>
        </w:rPr>
        <w:tab/>
      </w:r>
      <w:r>
        <w:rPr>
          <w:rFonts w:hint="eastAsia" w:hAnsi="宋体"/>
          <w:sz w:val="21"/>
          <w:szCs w:val="21"/>
        </w:rPr>
        <w:tab/>
      </w:r>
      <w:r>
        <w:rPr>
          <w:rFonts w:hint="eastAsia" w:hAnsi="宋体"/>
          <w:sz w:val="21"/>
          <w:szCs w:val="21"/>
        </w:rPr>
        <w:tab/>
      </w:r>
      <w:r>
        <w:rPr>
          <w:rFonts w:hint="eastAsia" w:hAnsi="宋体"/>
          <w:sz w:val="21"/>
          <w:szCs w:val="21"/>
        </w:rPr>
        <w:t>乙方：</w:t>
      </w:r>
    </w:p>
    <w:p>
      <w:pPr>
        <w:pStyle w:val="26"/>
        <w:snapToGrid w:val="0"/>
        <w:spacing w:before="120" w:after="120" w:line="440" w:lineRule="exact"/>
        <w:rPr>
          <w:rFonts w:hAnsi="宋体"/>
          <w:sz w:val="21"/>
          <w:szCs w:val="21"/>
        </w:rPr>
      </w:pPr>
      <w:r>
        <w:rPr>
          <w:rFonts w:hint="eastAsia" w:hAnsi="宋体"/>
          <w:sz w:val="21"/>
          <w:szCs w:val="21"/>
        </w:rPr>
        <w:t xml:space="preserve">  地址：                            </w:t>
      </w:r>
      <w:r>
        <w:rPr>
          <w:rFonts w:hint="eastAsia" w:hAnsi="宋体"/>
          <w:sz w:val="21"/>
          <w:szCs w:val="21"/>
        </w:rPr>
        <w:tab/>
      </w:r>
      <w:r>
        <w:rPr>
          <w:rFonts w:hint="eastAsia" w:hAnsi="宋体"/>
          <w:sz w:val="21"/>
          <w:szCs w:val="21"/>
        </w:rPr>
        <w:tab/>
      </w:r>
      <w:r>
        <w:rPr>
          <w:rFonts w:hint="eastAsia" w:hAnsi="宋体"/>
          <w:sz w:val="21"/>
          <w:szCs w:val="21"/>
        </w:rPr>
        <w:t>地址：</w:t>
      </w:r>
    </w:p>
    <w:p>
      <w:pPr>
        <w:pStyle w:val="26"/>
        <w:snapToGrid w:val="0"/>
        <w:spacing w:before="120" w:after="120" w:line="440" w:lineRule="exact"/>
        <w:rPr>
          <w:rFonts w:hAnsi="宋体"/>
          <w:sz w:val="21"/>
          <w:szCs w:val="21"/>
        </w:rPr>
      </w:pPr>
      <w:r>
        <w:rPr>
          <w:rFonts w:hint="eastAsia" w:hAnsi="宋体"/>
          <w:sz w:val="21"/>
          <w:szCs w:val="21"/>
        </w:rPr>
        <w:t xml:space="preserve">  法定代表人                        </w:t>
      </w:r>
      <w:r>
        <w:rPr>
          <w:rFonts w:hint="eastAsia" w:hAnsi="宋体"/>
          <w:sz w:val="21"/>
          <w:szCs w:val="21"/>
        </w:rPr>
        <w:tab/>
      </w:r>
      <w:r>
        <w:rPr>
          <w:rFonts w:hint="eastAsia" w:hAnsi="宋体"/>
          <w:sz w:val="21"/>
          <w:szCs w:val="21"/>
        </w:rPr>
        <w:tab/>
      </w:r>
      <w:r>
        <w:rPr>
          <w:rFonts w:hint="eastAsia" w:hAnsi="宋体"/>
          <w:sz w:val="21"/>
          <w:szCs w:val="21"/>
        </w:rPr>
        <w:t xml:space="preserve">法定代表人 </w:t>
      </w:r>
    </w:p>
    <w:p>
      <w:pPr>
        <w:pStyle w:val="26"/>
        <w:snapToGrid w:val="0"/>
        <w:spacing w:before="120" w:after="120" w:line="440" w:lineRule="exact"/>
        <w:rPr>
          <w:rFonts w:hAnsi="宋体"/>
          <w:sz w:val="21"/>
          <w:szCs w:val="21"/>
        </w:rPr>
      </w:pPr>
      <w:r>
        <w:rPr>
          <w:rFonts w:hint="eastAsia" w:hAnsi="宋体"/>
          <w:sz w:val="21"/>
          <w:szCs w:val="21"/>
        </w:rPr>
        <w:t xml:space="preserve">  或其委托代理人：                  </w:t>
      </w:r>
      <w:r>
        <w:rPr>
          <w:rFonts w:hint="eastAsia" w:hAnsi="宋体"/>
          <w:sz w:val="21"/>
          <w:szCs w:val="21"/>
        </w:rPr>
        <w:tab/>
      </w:r>
      <w:r>
        <w:rPr>
          <w:rFonts w:hint="eastAsia" w:hAnsi="宋体"/>
          <w:sz w:val="21"/>
          <w:szCs w:val="21"/>
        </w:rPr>
        <w:tab/>
      </w:r>
      <w:r>
        <w:rPr>
          <w:rFonts w:hint="eastAsia" w:hAnsi="宋体"/>
          <w:sz w:val="21"/>
          <w:szCs w:val="21"/>
        </w:rPr>
        <w:t xml:space="preserve">或其委托代理人：   </w:t>
      </w:r>
    </w:p>
    <w:p>
      <w:pPr>
        <w:spacing w:line="320" w:lineRule="exact"/>
        <w:ind w:firstLine="6930" w:firstLineChars="3300"/>
        <w:rPr>
          <w:szCs w:val="21"/>
        </w:rPr>
      </w:pPr>
      <w:r>
        <w:rPr>
          <w:rFonts w:ascii="宋体" w:hAnsi="宋体" w:cs="宋体"/>
          <w:kern w:val="0"/>
          <w:szCs w:val="21"/>
        </w:rPr>
        <w:t>年  月</w:t>
      </w:r>
      <w:r>
        <w:rPr>
          <w:rFonts w:hint="eastAsia" w:ascii="宋体" w:hAnsi="宋体" w:cs="宋体"/>
          <w:kern w:val="0"/>
          <w:szCs w:val="21"/>
        </w:rPr>
        <w:t xml:space="preserve">   </w:t>
      </w:r>
      <w:r>
        <w:rPr>
          <w:rFonts w:ascii="宋体" w:hAnsi="宋体" w:cs="宋体"/>
          <w:kern w:val="0"/>
          <w:szCs w:val="21"/>
        </w:rPr>
        <w:t>日</w:t>
      </w:r>
    </w:p>
    <w:p>
      <w:pPr>
        <w:pStyle w:val="2"/>
        <w:numPr>
          <w:ilvl w:val="0"/>
          <w:numId w:val="1"/>
        </w:numPr>
        <w:rPr>
          <w:rFonts w:hint="eastAsia"/>
        </w:rPr>
      </w:pPr>
      <w:r>
        <w:rPr>
          <w:rFonts w:hint="eastAsia"/>
        </w:rPr>
        <w:br w:type="page"/>
      </w:r>
      <w:bookmarkStart w:id="468" w:name="_Toc9724"/>
      <w:bookmarkStart w:id="469" w:name="_Toc23589"/>
      <w:bookmarkStart w:id="470" w:name="_Hlk2864518"/>
      <w:r>
        <w:rPr>
          <w:rFonts w:hint="eastAsia"/>
        </w:rPr>
        <w:t>招标需求</w:t>
      </w:r>
      <w:bookmarkEnd w:id="468"/>
      <w:bookmarkEnd w:id="469"/>
    </w:p>
    <w:p>
      <w:pPr>
        <w:numPr>
          <w:ilvl w:val="0"/>
          <w:numId w:val="0"/>
        </w:numPr>
        <w:ind w:left="7350" w:hanging="7350" w:hangingChars="3500"/>
        <w:jc w:val="left"/>
        <w:rPr>
          <w:rFonts w:hint="default" w:eastAsia="宋体"/>
          <w:lang w:val="en-US" w:eastAsia="zh-CN"/>
        </w:rPr>
      </w:pPr>
      <w:r>
        <w:rPr>
          <w:rFonts w:hint="eastAsia"/>
          <w:lang w:val="en-US" w:eastAsia="zh-CN"/>
        </w:rPr>
        <w:t>项目名称：盐城市大丰区新丰中学2019年度办公用纸协议采购项目                                                         金额：人民币元</w:t>
      </w:r>
    </w:p>
    <w:bookmarkEnd w:id="470"/>
    <w:tbl>
      <w:tblPr>
        <w:tblStyle w:val="48"/>
        <w:tblW w:w="8876" w:type="dxa"/>
        <w:jc w:val="center"/>
        <w:tblInd w:w="-1548" w:type="dxa"/>
        <w:tblLayout w:type="fixed"/>
        <w:tblCellMar>
          <w:top w:w="15" w:type="dxa"/>
          <w:left w:w="15" w:type="dxa"/>
          <w:bottom w:w="15" w:type="dxa"/>
          <w:right w:w="15" w:type="dxa"/>
        </w:tblCellMar>
      </w:tblPr>
      <w:tblGrid>
        <w:gridCol w:w="1305"/>
        <w:gridCol w:w="1422"/>
        <w:gridCol w:w="1487"/>
        <w:gridCol w:w="1039"/>
        <w:gridCol w:w="1113"/>
        <w:gridCol w:w="1342"/>
        <w:gridCol w:w="1168"/>
      </w:tblGrid>
      <w:tr>
        <w:tblPrEx>
          <w:tblLayout w:type="fixed"/>
          <w:tblCellMar>
            <w:top w:w="15" w:type="dxa"/>
            <w:left w:w="15" w:type="dxa"/>
            <w:bottom w:w="15" w:type="dxa"/>
            <w:right w:w="15" w:type="dxa"/>
          </w:tblCellMar>
        </w:tblPrEx>
        <w:trPr>
          <w:trHeight w:val="894" w:hRule="atLeast"/>
          <w:jc w:val="center"/>
        </w:trPr>
        <w:tc>
          <w:tcPr>
            <w:tcW w:w="1305"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kern w:val="0"/>
                <w:sz w:val="24"/>
                <w:lang w:val="en-US" w:eastAsia="zh-CN" w:bidi="ar"/>
              </w:rPr>
            </w:pPr>
            <w:bookmarkStart w:id="471" w:name="_Toc7525"/>
            <w:r>
              <w:rPr>
                <w:rFonts w:hint="eastAsia" w:ascii="宋体" w:hAnsi="宋体" w:cs="宋体"/>
                <w:b/>
                <w:color w:val="000000"/>
                <w:kern w:val="0"/>
                <w:sz w:val="24"/>
                <w:lang w:val="en-US" w:eastAsia="zh-CN" w:bidi="ar"/>
              </w:rPr>
              <w:t>项目</w:t>
            </w:r>
          </w:p>
        </w:tc>
        <w:tc>
          <w:tcPr>
            <w:tcW w:w="1422"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规格</w:t>
            </w:r>
          </w:p>
        </w:tc>
        <w:tc>
          <w:tcPr>
            <w:tcW w:w="1487"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b/>
                <w:color w:val="000000"/>
                <w:sz w:val="24"/>
                <w:lang w:val="en-US" w:eastAsia="zh-CN"/>
              </w:rPr>
            </w:pPr>
            <w:r>
              <w:rPr>
                <w:rFonts w:hint="eastAsia" w:ascii="宋体" w:hAnsi="宋体" w:cs="宋体"/>
                <w:b/>
                <w:color w:val="000000"/>
                <w:kern w:val="0"/>
                <w:sz w:val="24"/>
                <w:lang w:val="en-US" w:eastAsia="zh-CN" w:bidi="ar"/>
              </w:rPr>
              <w:t>包装要求</w:t>
            </w:r>
          </w:p>
        </w:tc>
        <w:tc>
          <w:tcPr>
            <w:tcW w:w="1039"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ascii="宋体" w:hAnsi="宋体" w:cs="宋体"/>
                <w:b/>
                <w:color w:val="000000"/>
                <w:kern w:val="0"/>
                <w:sz w:val="24"/>
                <w:lang w:val="en-US" w:eastAsia="zh-CN" w:bidi="ar"/>
              </w:rPr>
              <w:t>单位</w:t>
            </w:r>
          </w:p>
        </w:tc>
        <w:tc>
          <w:tcPr>
            <w:tcW w:w="1113" w:type="dxa"/>
            <w:tcBorders>
              <w:top w:val="single" w:color="auto"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hint="default" w:ascii="宋体" w:hAnsi="宋体" w:cs="宋体"/>
                <w:b/>
                <w:color w:val="000000"/>
                <w:kern w:val="0"/>
                <w:sz w:val="24"/>
                <w:lang w:val="en-US" w:eastAsia="zh-CN" w:bidi="ar"/>
              </w:rPr>
            </w:pPr>
            <w:r>
              <w:rPr>
                <w:rFonts w:hint="eastAsia" w:ascii="宋体" w:hAnsi="宋体" w:cs="宋体"/>
                <w:b/>
                <w:color w:val="000000"/>
                <w:kern w:val="0"/>
                <w:sz w:val="24"/>
                <w:lang w:val="en-US" w:eastAsia="zh-CN" w:bidi="ar"/>
              </w:rPr>
              <w:t>单价限价</w:t>
            </w:r>
          </w:p>
        </w:tc>
        <w:tc>
          <w:tcPr>
            <w:tcW w:w="1342" w:type="dxa"/>
            <w:tcBorders>
              <w:top w:val="single" w:color="auto"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pPr>
            <w:r>
              <w:rPr>
                <w:rFonts w:hint="eastAsia" w:ascii="宋体" w:hAnsi="宋体" w:cs="宋体"/>
                <w:b/>
                <w:color w:val="000000"/>
                <w:kern w:val="0"/>
                <w:sz w:val="24"/>
                <w:lang w:val="en-US" w:eastAsia="zh-CN" w:bidi="ar"/>
              </w:rPr>
              <w:t>品牌/产地</w:t>
            </w:r>
          </w:p>
        </w:tc>
        <w:tc>
          <w:tcPr>
            <w:tcW w:w="1168" w:type="dxa"/>
            <w:tcBorders>
              <w:top w:val="single" w:color="auto"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hint="eastAsia" w:ascii="宋体" w:hAnsi="宋体" w:cs="宋体"/>
                <w:b/>
                <w:color w:val="000000"/>
                <w:kern w:val="0"/>
                <w:sz w:val="24"/>
                <w:lang w:val="en-US" w:eastAsia="zh-CN" w:bidi="ar"/>
              </w:rPr>
            </w:pPr>
            <w:r>
              <w:rPr>
                <w:rFonts w:hint="eastAsia" w:ascii="宋体" w:hAnsi="宋体" w:cs="宋体"/>
                <w:b/>
                <w:color w:val="000000"/>
                <w:kern w:val="0"/>
                <w:sz w:val="24"/>
                <w:lang w:val="en-US" w:eastAsia="zh-CN" w:bidi="ar"/>
              </w:rPr>
              <w:t>报价</w:t>
            </w:r>
          </w:p>
          <w:p>
            <w:pPr>
              <w:widowControl/>
              <w:jc w:val="center"/>
              <w:textAlignment w:val="center"/>
              <w:rPr>
                <w:rFonts w:hint="eastAsia" w:ascii="宋体" w:hAnsi="宋体" w:cs="宋体"/>
                <w:b/>
                <w:color w:val="000000"/>
                <w:kern w:val="0"/>
                <w:sz w:val="24"/>
                <w:lang w:val="en-US" w:eastAsia="zh-CN" w:bidi="ar"/>
              </w:rPr>
            </w:pPr>
            <w:r>
              <w:rPr>
                <w:rFonts w:hint="eastAsia" w:ascii="宋体" w:hAnsi="宋体" w:cs="宋体"/>
                <w:b/>
                <w:color w:val="000000"/>
                <w:kern w:val="0"/>
                <w:sz w:val="24"/>
                <w:lang w:val="en-US" w:eastAsia="zh-CN" w:bidi="ar"/>
              </w:rPr>
              <w:t>（单价）</w:t>
            </w:r>
          </w:p>
        </w:tc>
      </w:tr>
      <w:tr>
        <w:tblPrEx>
          <w:tblLayout w:type="fixed"/>
          <w:tblCellMar>
            <w:top w:w="15" w:type="dxa"/>
            <w:left w:w="15" w:type="dxa"/>
            <w:bottom w:w="15" w:type="dxa"/>
            <w:right w:w="15" w:type="dxa"/>
          </w:tblCellMar>
        </w:tblPrEx>
        <w:trPr>
          <w:trHeight w:val="1083" w:hRule="atLeast"/>
          <w:jc w:val="center"/>
        </w:trPr>
        <w:tc>
          <w:tcPr>
            <w:tcW w:w="130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双胶速印纸</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8K-6</w:t>
            </w:r>
            <w:r>
              <w:rPr>
                <w:rFonts w:hint="eastAsia" w:ascii="宋体" w:hAnsi="宋体" w:cs="宋体"/>
                <w:color w:val="auto"/>
                <w:kern w:val="0"/>
                <w:szCs w:val="21"/>
                <w:lang w:val="en-US" w:eastAsia="zh-CN"/>
              </w:rPr>
              <w:t>0g</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4000张/令</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cs="宋体"/>
                <w:color w:val="000000"/>
                <w:sz w:val="22"/>
                <w:szCs w:val="22"/>
                <w:lang w:val="en-US" w:eastAsia="zh-CN"/>
              </w:rPr>
              <w:t>令</w:t>
            </w:r>
          </w:p>
        </w:tc>
        <w:tc>
          <w:tcPr>
            <w:tcW w:w="111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default" w:ascii="宋体" w:hAnsi="宋体" w:cs="宋体"/>
                <w:color w:val="000000"/>
                <w:kern w:val="0"/>
                <w:sz w:val="22"/>
                <w:szCs w:val="22"/>
                <w:lang w:val="en-US" w:eastAsia="zh-CN" w:bidi="ar"/>
              </w:rPr>
              <w:t>190</w:t>
            </w:r>
          </w:p>
        </w:tc>
        <w:tc>
          <w:tcPr>
            <w:tcW w:w="134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pPr>
          </w:p>
        </w:tc>
        <w:tc>
          <w:tcPr>
            <w:tcW w:w="116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color w:val="000000"/>
                <w:kern w:val="0"/>
                <w:sz w:val="22"/>
                <w:szCs w:val="22"/>
                <w:lang w:val="en-US" w:eastAsia="zh-CN" w:bidi="ar"/>
              </w:rPr>
            </w:pPr>
          </w:p>
        </w:tc>
      </w:tr>
      <w:tr>
        <w:tblPrEx>
          <w:tblLayout w:type="fixed"/>
          <w:tblCellMar>
            <w:top w:w="15" w:type="dxa"/>
            <w:left w:w="15" w:type="dxa"/>
            <w:bottom w:w="15" w:type="dxa"/>
            <w:right w:w="15" w:type="dxa"/>
          </w:tblCellMar>
        </w:tblPrEx>
        <w:trPr>
          <w:trHeight w:val="1083" w:hRule="atLeast"/>
          <w:jc w:val="center"/>
        </w:trPr>
        <w:tc>
          <w:tcPr>
            <w:tcW w:w="130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16K-</w:t>
            </w:r>
            <w:r>
              <w:rPr>
                <w:rFonts w:hint="eastAsia" w:ascii="宋体" w:hAnsi="宋体" w:cs="宋体"/>
                <w:color w:val="auto"/>
                <w:kern w:val="0"/>
                <w:szCs w:val="21"/>
                <w:lang w:val="en-US" w:eastAsia="zh-CN"/>
              </w:rPr>
              <w:t>70g</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8000张/令</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cs="宋体"/>
                <w:color w:val="000000"/>
                <w:sz w:val="22"/>
                <w:szCs w:val="22"/>
                <w:lang w:val="en-US" w:eastAsia="zh-CN"/>
              </w:rPr>
              <w:t>令</w:t>
            </w:r>
          </w:p>
        </w:tc>
        <w:tc>
          <w:tcPr>
            <w:tcW w:w="111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w:t>
            </w:r>
            <w:r>
              <w:rPr>
                <w:rFonts w:hint="default" w:ascii="宋体" w:hAnsi="宋体" w:cs="宋体"/>
                <w:color w:val="000000"/>
                <w:kern w:val="0"/>
                <w:sz w:val="22"/>
                <w:szCs w:val="22"/>
                <w:lang w:val="en-US" w:eastAsia="zh-CN" w:bidi="ar"/>
              </w:rPr>
              <w:t>90</w:t>
            </w:r>
          </w:p>
        </w:tc>
        <w:tc>
          <w:tcPr>
            <w:tcW w:w="134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pPr>
          </w:p>
        </w:tc>
        <w:tc>
          <w:tcPr>
            <w:tcW w:w="116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color w:val="000000"/>
                <w:kern w:val="0"/>
                <w:sz w:val="22"/>
                <w:szCs w:val="22"/>
                <w:lang w:val="en-US" w:eastAsia="zh-CN" w:bidi="ar"/>
              </w:rPr>
            </w:pPr>
          </w:p>
        </w:tc>
      </w:tr>
      <w:tr>
        <w:tblPrEx>
          <w:tblLayout w:type="fixed"/>
          <w:tblCellMar>
            <w:top w:w="15" w:type="dxa"/>
            <w:left w:w="15" w:type="dxa"/>
            <w:bottom w:w="15" w:type="dxa"/>
            <w:right w:w="15" w:type="dxa"/>
          </w:tblCellMar>
        </w:tblPrEx>
        <w:trPr>
          <w:trHeight w:val="1083" w:hRule="atLeast"/>
          <w:jc w:val="center"/>
        </w:trPr>
        <w:tc>
          <w:tcPr>
            <w:tcW w:w="130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复印纸</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8K-</w:t>
            </w:r>
            <w:r>
              <w:rPr>
                <w:rFonts w:hint="eastAsia" w:ascii="宋体" w:hAnsi="宋体" w:cs="宋体"/>
                <w:color w:val="auto"/>
                <w:kern w:val="0"/>
                <w:szCs w:val="21"/>
                <w:lang w:val="en-US" w:eastAsia="zh-CN"/>
              </w:rPr>
              <w:t>70g</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2000张/箱</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cs="宋体"/>
                <w:color w:val="000000"/>
                <w:sz w:val="22"/>
                <w:szCs w:val="22"/>
                <w:lang w:val="en-US" w:eastAsia="zh-CN"/>
              </w:rPr>
              <w:t>箱</w:t>
            </w:r>
          </w:p>
        </w:tc>
        <w:tc>
          <w:tcPr>
            <w:tcW w:w="111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165</w:t>
            </w:r>
          </w:p>
        </w:tc>
        <w:tc>
          <w:tcPr>
            <w:tcW w:w="134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pPr>
          </w:p>
        </w:tc>
        <w:tc>
          <w:tcPr>
            <w:tcW w:w="116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color w:val="000000"/>
                <w:kern w:val="0"/>
                <w:sz w:val="22"/>
                <w:szCs w:val="22"/>
                <w:lang w:val="en-US" w:eastAsia="zh-CN" w:bidi="ar"/>
              </w:rPr>
            </w:pPr>
          </w:p>
        </w:tc>
      </w:tr>
      <w:tr>
        <w:tblPrEx>
          <w:tblLayout w:type="fixed"/>
          <w:tblCellMar>
            <w:top w:w="15" w:type="dxa"/>
            <w:left w:w="15" w:type="dxa"/>
            <w:bottom w:w="15" w:type="dxa"/>
            <w:right w:w="15" w:type="dxa"/>
          </w:tblCellMar>
        </w:tblPrEx>
        <w:trPr>
          <w:trHeight w:val="1083" w:hRule="atLeast"/>
          <w:jc w:val="center"/>
        </w:trPr>
        <w:tc>
          <w:tcPr>
            <w:tcW w:w="1305"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16K-70</w:t>
            </w:r>
            <w:r>
              <w:rPr>
                <w:rFonts w:hint="eastAsia" w:ascii="宋体" w:hAnsi="宋体" w:cs="宋体"/>
                <w:color w:val="auto"/>
                <w:kern w:val="0"/>
                <w:szCs w:val="21"/>
                <w:lang w:val="en-US" w:eastAsia="zh-CN"/>
              </w:rPr>
              <w:t>g</w:t>
            </w: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4000张/箱</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cs="宋体"/>
                <w:color w:val="000000"/>
                <w:sz w:val="22"/>
                <w:szCs w:val="22"/>
                <w:lang w:val="en-US" w:eastAsia="zh-CN"/>
              </w:rPr>
              <w:t>箱</w:t>
            </w:r>
          </w:p>
        </w:tc>
        <w:tc>
          <w:tcPr>
            <w:tcW w:w="1113"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145</w:t>
            </w:r>
          </w:p>
        </w:tc>
        <w:tc>
          <w:tcPr>
            <w:tcW w:w="1342"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1168"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cs="宋体"/>
                <w:color w:val="000000"/>
                <w:sz w:val="22"/>
                <w:szCs w:val="22"/>
                <w:lang w:val="en-US" w:eastAsia="zh-CN"/>
              </w:rPr>
            </w:pPr>
          </w:p>
        </w:tc>
      </w:tr>
      <w:tr>
        <w:tblPrEx>
          <w:tblLayout w:type="fixed"/>
          <w:tblCellMar>
            <w:top w:w="15" w:type="dxa"/>
            <w:left w:w="15" w:type="dxa"/>
            <w:bottom w:w="15" w:type="dxa"/>
            <w:right w:w="15" w:type="dxa"/>
          </w:tblCellMar>
        </w:tblPrEx>
        <w:trPr>
          <w:trHeight w:val="1083" w:hRule="atLeast"/>
          <w:jc w:val="center"/>
        </w:trPr>
        <w:tc>
          <w:tcPr>
            <w:tcW w:w="1305"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A4-</w:t>
            </w:r>
            <w:r>
              <w:rPr>
                <w:rFonts w:hint="eastAsia" w:ascii="宋体" w:hAnsi="宋体" w:cs="宋体"/>
                <w:color w:val="000000"/>
                <w:szCs w:val="21"/>
                <w:lang w:val="en-US" w:eastAsia="zh-CN"/>
              </w:rPr>
              <w:t>70g</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4000张/箱</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cs="宋体"/>
                <w:color w:val="000000"/>
                <w:sz w:val="22"/>
                <w:szCs w:val="22"/>
                <w:lang w:val="en-US" w:eastAsia="zh-CN"/>
              </w:rPr>
              <w:t>箱</w:t>
            </w:r>
          </w:p>
        </w:tc>
        <w:tc>
          <w:tcPr>
            <w:tcW w:w="111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165</w:t>
            </w:r>
          </w:p>
        </w:tc>
        <w:tc>
          <w:tcPr>
            <w:tcW w:w="134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pPr>
          </w:p>
        </w:tc>
        <w:tc>
          <w:tcPr>
            <w:tcW w:w="116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color w:val="000000"/>
                <w:kern w:val="0"/>
                <w:sz w:val="22"/>
                <w:szCs w:val="22"/>
                <w:lang w:val="en-US" w:eastAsia="zh-CN" w:bidi="ar"/>
              </w:rPr>
            </w:pPr>
          </w:p>
        </w:tc>
      </w:tr>
      <w:tr>
        <w:tblPrEx>
          <w:tblLayout w:type="fixed"/>
          <w:tblCellMar>
            <w:top w:w="15" w:type="dxa"/>
            <w:left w:w="15" w:type="dxa"/>
            <w:bottom w:w="15" w:type="dxa"/>
            <w:right w:w="15" w:type="dxa"/>
          </w:tblCellMar>
        </w:tblPrEx>
        <w:trPr>
          <w:trHeight w:val="1103" w:hRule="atLeast"/>
          <w:jc w:val="center"/>
        </w:trPr>
        <w:tc>
          <w:tcPr>
            <w:tcW w:w="1305"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lang w:val="en-US" w:eastAsia="zh-CN"/>
              </w:rPr>
            </w:pPr>
          </w:p>
        </w:tc>
        <w:tc>
          <w:tcPr>
            <w:tcW w:w="142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A4-</w:t>
            </w:r>
            <w:r>
              <w:rPr>
                <w:rFonts w:hint="eastAsia" w:ascii="宋体" w:hAnsi="宋体" w:cs="宋体"/>
                <w:color w:val="000000"/>
                <w:szCs w:val="21"/>
                <w:lang w:val="en-US" w:eastAsia="zh-CN"/>
              </w:rPr>
              <w:t>75g（</w:t>
            </w:r>
            <w:r>
              <w:rPr>
                <w:rFonts w:hint="eastAsia" w:ascii="宋体" w:hAnsi="宋体" w:cs="宋体"/>
                <w:color w:val="000000"/>
                <w:sz w:val="22"/>
                <w:szCs w:val="22"/>
                <w:lang w:val="en-US" w:eastAsia="zh-CN"/>
              </w:rPr>
              <w:t>彩色）</w:t>
            </w:r>
          </w:p>
        </w:tc>
        <w:tc>
          <w:tcPr>
            <w:tcW w:w="1487"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100张/包</w:t>
            </w:r>
          </w:p>
        </w:tc>
        <w:tc>
          <w:tcPr>
            <w:tcW w:w="103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pPr>
            <w:r>
              <w:rPr>
                <w:rFonts w:hint="eastAsia" w:ascii="宋体" w:hAnsi="宋体" w:cs="宋体"/>
                <w:color w:val="000000"/>
                <w:sz w:val="22"/>
                <w:szCs w:val="22"/>
                <w:lang w:val="en-US" w:eastAsia="zh-CN"/>
              </w:rPr>
              <w:t>包</w:t>
            </w:r>
          </w:p>
        </w:tc>
        <w:tc>
          <w:tcPr>
            <w:tcW w:w="1113" w:type="dxa"/>
            <w:tcBorders>
              <w:top w:val="single" w:color="000000" w:sz="4" w:space="0"/>
              <w:left w:val="single" w:color="000000" w:sz="4" w:space="0"/>
              <w:bottom w:val="single" w:color="auto" w:sz="4" w:space="0"/>
              <w:right w:val="single" w:color="auto" w:sz="4" w:space="0"/>
            </w:tcBorders>
            <w:vAlign w:val="center"/>
          </w:tcPr>
          <w:p>
            <w:pPr>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10</w:t>
            </w:r>
          </w:p>
        </w:tc>
        <w:tc>
          <w:tcPr>
            <w:tcW w:w="1342" w:type="dxa"/>
            <w:tcBorders>
              <w:top w:val="single" w:color="000000" w:sz="4" w:space="0"/>
              <w:left w:val="single" w:color="000000" w:sz="4" w:space="0"/>
              <w:bottom w:val="single" w:color="auto" w:sz="4" w:space="0"/>
              <w:right w:val="single" w:color="auto" w:sz="4" w:space="0"/>
            </w:tcBorders>
            <w:vAlign w:val="center"/>
          </w:tcPr>
          <w:p>
            <w:pPr>
              <w:jc w:val="center"/>
            </w:pPr>
          </w:p>
        </w:tc>
        <w:tc>
          <w:tcPr>
            <w:tcW w:w="1168" w:type="dxa"/>
            <w:tcBorders>
              <w:top w:val="single" w:color="000000" w:sz="4" w:space="0"/>
              <w:left w:val="single" w:color="000000" w:sz="4" w:space="0"/>
              <w:bottom w:val="single" w:color="auto" w:sz="4" w:space="0"/>
              <w:right w:val="single" w:color="auto" w:sz="4" w:space="0"/>
            </w:tcBorders>
            <w:vAlign w:val="center"/>
          </w:tcPr>
          <w:p>
            <w:pPr>
              <w:jc w:val="center"/>
              <w:rPr>
                <w:rFonts w:hint="eastAsia" w:ascii="宋体" w:hAnsi="宋体" w:cs="宋体"/>
                <w:color w:val="000000"/>
                <w:kern w:val="0"/>
                <w:sz w:val="22"/>
                <w:szCs w:val="22"/>
                <w:lang w:val="en-US" w:eastAsia="zh-CN" w:bidi="ar"/>
              </w:rPr>
            </w:pPr>
          </w:p>
        </w:tc>
      </w:tr>
    </w:tbl>
    <w:p>
      <w:pPr>
        <w:rPr>
          <w:rFonts w:hint="eastAsia" w:eastAsia="宋体"/>
          <w:lang w:eastAsia="zh-CN"/>
        </w:rPr>
      </w:pPr>
    </w:p>
    <w:p>
      <w:pPr>
        <w:widowControl/>
        <w:spacing w:line="360" w:lineRule="auto"/>
        <w:jc w:val="left"/>
        <w:rPr>
          <w:rFonts w:hint="eastAsia" w:ascii="宋体" w:hAnsi="宋体" w:cs="宋体"/>
          <w:b/>
          <w:bCs/>
          <w:color w:val="333333"/>
          <w:kern w:val="0"/>
          <w:sz w:val="21"/>
          <w:szCs w:val="21"/>
        </w:rPr>
      </w:pPr>
      <w:r>
        <w:rPr>
          <w:rFonts w:hint="eastAsia" w:ascii="宋体" w:hAnsi="宋体" w:cs="宋体"/>
          <w:b/>
          <w:bCs/>
          <w:color w:val="333333"/>
          <w:kern w:val="0"/>
          <w:sz w:val="21"/>
          <w:szCs w:val="21"/>
        </w:rPr>
        <w:t>说明：</w:t>
      </w:r>
    </w:p>
    <w:p>
      <w:pPr>
        <w:spacing w:line="400" w:lineRule="exact"/>
        <w:ind w:firstLine="420" w:firstLineChars="200"/>
        <w:rPr>
          <w:rFonts w:hint="eastAsia" w:ascii="宋体" w:hAnsi="宋体" w:cs="宋体"/>
          <w:b/>
          <w:bCs/>
          <w:color w:val="333333"/>
          <w:kern w:val="0"/>
          <w:sz w:val="21"/>
          <w:szCs w:val="21"/>
        </w:rPr>
      </w:pPr>
      <w:r>
        <w:rPr>
          <w:rFonts w:hint="eastAsia" w:ascii="宋体" w:hAnsi="宋体" w:cs="宋体"/>
          <w:b/>
          <w:bCs/>
          <w:color w:val="333333"/>
          <w:kern w:val="0"/>
          <w:sz w:val="21"/>
          <w:szCs w:val="21"/>
          <w:lang w:val="en-US" w:eastAsia="zh-CN"/>
        </w:rPr>
        <w:t>1</w:t>
      </w:r>
      <w:r>
        <w:rPr>
          <w:rFonts w:hint="eastAsia" w:ascii="宋体" w:hAnsi="宋体" w:cs="宋体"/>
          <w:b/>
          <w:bCs/>
          <w:color w:val="333333"/>
          <w:kern w:val="0"/>
          <w:sz w:val="21"/>
          <w:szCs w:val="21"/>
        </w:rPr>
        <w:t>、以上价格为最高限价(供各投标</w:t>
      </w:r>
      <w:r>
        <w:rPr>
          <w:rFonts w:hint="eastAsia" w:ascii="宋体" w:hAnsi="宋体" w:cs="宋体"/>
          <w:b/>
          <w:bCs/>
          <w:color w:val="333333"/>
          <w:kern w:val="0"/>
          <w:sz w:val="21"/>
          <w:szCs w:val="21"/>
          <w:lang w:val="en-US" w:eastAsia="zh-CN"/>
        </w:rPr>
        <w:t>人</w:t>
      </w:r>
      <w:r>
        <w:rPr>
          <w:rFonts w:hint="eastAsia" w:ascii="宋体" w:hAnsi="宋体" w:cs="宋体"/>
          <w:b/>
          <w:bCs/>
          <w:color w:val="333333"/>
          <w:kern w:val="0"/>
          <w:sz w:val="21"/>
          <w:szCs w:val="21"/>
        </w:rPr>
        <w:t>参考)，各投标单位</w:t>
      </w:r>
      <w:r>
        <w:rPr>
          <w:rFonts w:hint="eastAsia" w:ascii="宋体" w:hAnsi="宋体" w:cs="宋体"/>
          <w:b/>
          <w:bCs/>
          <w:color w:val="333333"/>
          <w:kern w:val="0"/>
          <w:sz w:val="21"/>
          <w:szCs w:val="21"/>
          <w:lang w:val="en-US" w:eastAsia="zh-CN"/>
        </w:rPr>
        <w:t>须</w:t>
      </w:r>
      <w:r>
        <w:rPr>
          <w:rFonts w:hint="eastAsia" w:ascii="宋体" w:hAnsi="宋体" w:cs="宋体"/>
          <w:b/>
          <w:bCs/>
          <w:color w:val="333333"/>
          <w:kern w:val="0"/>
          <w:sz w:val="21"/>
          <w:szCs w:val="21"/>
        </w:rPr>
        <w:t>报出各自供货</w:t>
      </w:r>
      <w:r>
        <w:rPr>
          <w:rFonts w:hint="eastAsia" w:ascii="宋体" w:hAnsi="宋体" w:cs="宋体"/>
          <w:b/>
          <w:bCs/>
          <w:color w:val="333333"/>
          <w:kern w:val="0"/>
          <w:sz w:val="21"/>
          <w:szCs w:val="21"/>
          <w:lang w:val="en-US" w:eastAsia="zh-CN"/>
        </w:rPr>
        <w:t>单价</w:t>
      </w:r>
      <w:r>
        <w:rPr>
          <w:rFonts w:hint="eastAsia" w:ascii="宋体" w:hAnsi="宋体" w:cs="宋体"/>
          <w:b/>
          <w:bCs/>
          <w:color w:val="333333"/>
          <w:kern w:val="0"/>
          <w:sz w:val="21"/>
          <w:szCs w:val="21"/>
          <w:lang w:eastAsia="zh-CN"/>
        </w:rPr>
        <w:t>，</w:t>
      </w:r>
      <w:r>
        <w:rPr>
          <w:rFonts w:hint="eastAsia" w:ascii="宋体" w:hAnsi="宋体" w:cs="宋体"/>
          <w:b/>
          <w:bCs/>
          <w:color w:val="333333"/>
          <w:kern w:val="0"/>
          <w:sz w:val="21"/>
          <w:szCs w:val="21"/>
        </w:rPr>
        <w:t>所有报价均应已包含国家规定的所有税费、送货费和质保费等费用</w:t>
      </w:r>
      <w:r>
        <w:rPr>
          <w:rFonts w:hint="eastAsia" w:ascii="宋体" w:hAnsi="宋体" w:cs="宋体"/>
          <w:b/>
          <w:bCs/>
          <w:color w:val="333333"/>
          <w:kern w:val="0"/>
          <w:sz w:val="21"/>
          <w:szCs w:val="21"/>
          <w:lang w:eastAsia="zh-CN"/>
        </w:rPr>
        <w:t>，</w:t>
      </w:r>
      <w:r>
        <w:rPr>
          <w:rFonts w:hint="eastAsia" w:ascii="宋体" w:hAnsi="宋体" w:cs="宋体"/>
          <w:b/>
          <w:bCs/>
          <w:color w:val="333333"/>
          <w:kern w:val="0"/>
          <w:sz w:val="21"/>
          <w:szCs w:val="21"/>
          <w:lang w:val="zh-CN"/>
        </w:rPr>
        <w:t>自行估算单价</w:t>
      </w:r>
      <w:r>
        <w:rPr>
          <w:rFonts w:hint="eastAsia" w:ascii="宋体" w:hAnsi="宋体" w:cs="宋体"/>
          <w:b/>
          <w:bCs/>
          <w:color w:val="333333"/>
          <w:kern w:val="0"/>
          <w:sz w:val="21"/>
          <w:szCs w:val="21"/>
          <w:lang w:val="en-US" w:eastAsia="zh-CN"/>
        </w:rPr>
        <w:t>考虑在投标报价中，</w:t>
      </w:r>
      <w:r>
        <w:rPr>
          <w:rFonts w:hint="eastAsia" w:ascii="宋体" w:hAnsi="宋体" w:cs="宋体"/>
          <w:b/>
          <w:bCs/>
          <w:color w:val="333333"/>
          <w:kern w:val="0"/>
          <w:sz w:val="21"/>
          <w:szCs w:val="21"/>
          <w:lang w:val="zh-CN"/>
        </w:rPr>
        <w:t>中标</w:t>
      </w:r>
      <w:r>
        <w:rPr>
          <w:rFonts w:hint="eastAsia" w:ascii="宋体" w:hAnsi="宋体" w:cs="宋体"/>
          <w:b/>
          <w:bCs/>
          <w:color w:val="333333"/>
          <w:kern w:val="0"/>
          <w:sz w:val="21"/>
          <w:szCs w:val="21"/>
          <w:lang w:val="en-US" w:eastAsia="zh-CN"/>
        </w:rPr>
        <w:t>单价</w:t>
      </w:r>
      <w:r>
        <w:rPr>
          <w:rFonts w:hint="eastAsia" w:ascii="宋体" w:hAnsi="宋体" w:cs="宋体"/>
          <w:b/>
          <w:bCs/>
          <w:color w:val="333333"/>
          <w:kern w:val="0"/>
          <w:sz w:val="21"/>
          <w:szCs w:val="21"/>
          <w:lang w:val="zh-CN"/>
        </w:rPr>
        <w:t>即为最终结算</w:t>
      </w:r>
      <w:r>
        <w:rPr>
          <w:rFonts w:hint="eastAsia" w:ascii="宋体" w:hAnsi="宋体" w:cs="宋体"/>
          <w:b/>
          <w:bCs/>
          <w:color w:val="333333"/>
          <w:kern w:val="0"/>
          <w:sz w:val="21"/>
          <w:szCs w:val="21"/>
          <w:lang w:val="en-US" w:eastAsia="zh-CN"/>
        </w:rPr>
        <w:t>单</w:t>
      </w:r>
      <w:r>
        <w:rPr>
          <w:rFonts w:hint="eastAsia" w:ascii="宋体" w:hAnsi="宋体" w:cs="宋体"/>
          <w:b/>
          <w:bCs/>
          <w:color w:val="333333"/>
          <w:kern w:val="0"/>
          <w:sz w:val="21"/>
          <w:szCs w:val="21"/>
          <w:lang w:val="zh-CN"/>
        </w:rPr>
        <w:t>价</w:t>
      </w:r>
      <w:r>
        <w:rPr>
          <w:rFonts w:hint="eastAsia" w:ascii="宋体" w:hAnsi="宋体" w:cs="宋体"/>
          <w:b/>
          <w:bCs/>
          <w:color w:val="333333"/>
          <w:kern w:val="0"/>
          <w:sz w:val="21"/>
          <w:szCs w:val="21"/>
        </w:rPr>
        <w:t>。</w:t>
      </w:r>
    </w:p>
    <w:p>
      <w:pPr>
        <w:spacing w:line="400" w:lineRule="exact"/>
        <w:ind w:firstLine="420" w:firstLineChars="200"/>
        <w:rPr>
          <w:rFonts w:hint="eastAsia" w:ascii="宋体" w:hAnsi="宋体" w:cs="宋体"/>
          <w:b/>
          <w:bCs/>
          <w:color w:val="333333"/>
          <w:kern w:val="0"/>
          <w:sz w:val="21"/>
          <w:szCs w:val="21"/>
        </w:rPr>
      </w:pPr>
      <w:r>
        <w:rPr>
          <w:rFonts w:hint="eastAsia" w:ascii="宋体" w:hAnsi="宋体" w:cs="宋体"/>
          <w:b/>
          <w:bCs/>
          <w:color w:val="333333"/>
          <w:kern w:val="0"/>
          <w:sz w:val="21"/>
          <w:szCs w:val="21"/>
          <w:lang w:val="en-US" w:eastAsia="zh-CN"/>
        </w:rPr>
        <w:t>2</w:t>
      </w:r>
      <w:r>
        <w:rPr>
          <w:rFonts w:hint="eastAsia" w:ascii="宋体" w:hAnsi="宋体" w:cs="宋体"/>
          <w:b/>
          <w:bCs/>
          <w:color w:val="333333"/>
          <w:kern w:val="0"/>
          <w:sz w:val="21"/>
          <w:szCs w:val="21"/>
        </w:rPr>
        <w:t>、</w:t>
      </w:r>
      <w:r>
        <w:rPr>
          <w:rFonts w:hint="eastAsia" w:ascii="宋体" w:hAnsi="宋体" w:cs="宋体"/>
          <w:b/>
          <w:bCs/>
          <w:color w:val="333333"/>
          <w:kern w:val="0"/>
          <w:sz w:val="21"/>
          <w:szCs w:val="21"/>
          <w:lang w:val="en-US" w:eastAsia="zh-CN"/>
        </w:rPr>
        <w:t>以上所有规格产品</w:t>
      </w:r>
      <w:r>
        <w:rPr>
          <w:rFonts w:hint="eastAsia" w:ascii="宋体" w:hAnsi="宋体" w:cs="宋体"/>
          <w:b/>
          <w:bCs/>
          <w:color w:val="333333"/>
          <w:kern w:val="0"/>
          <w:sz w:val="21"/>
          <w:szCs w:val="21"/>
        </w:rPr>
        <w:t>需提供样品</w:t>
      </w:r>
      <w:r>
        <w:rPr>
          <w:rFonts w:hint="eastAsia" w:ascii="宋体" w:hAnsi="宋体" w:cs="宋体"/>
          <w:b/>
          <w:bCs/>
          <w:color w:val="333333"/>
          <w:kern w:val="0"/>
          <w:sz w:val="21"/>
          <w:szCs w:val="21"/>
          <w:lang w:eastAsia="zh-CN"/>
        </w:rPr>
        <w:t>，</w:t>
      </w:r>
      <w:r>
        <w:rPr>
          <w:rFonts w:hint="eastAsia" w:ascii="宋体" w:hAnsi="宋体" w:cs="宋体"/>
          <w:b/>
          <w:bCs/>
          <w:color w:val="333333"/>
          <w:kern w:val="0"/>
          <w:sz w:val="21"/>
          <w:szCs w:val="21"/>
          <w:lang w:val="en-US" w:eastAsia="zh-CN"/>
        </w:rPr>
        <w:t>否则作无效标处理</w:t>
      </w:r>
      <w:r>
        <w:rPr>
          <w:rFonts w:hint="eastAsia" w:ascii="宋体" w:hAnsi="宋体" w:cs="宋体"/>
          <w:b/>
          <w:bCs/>
          <w:color w:val="333333"/>
          <w:kern w:val="0"/>
          <w:sz w:val="21"/>
          <w:szCs w:val="21"/>
        </w:rPr>
        <w:t>。</w:t>
      </w:r>
    </w:p>
    <w:p>
      <w:pPr>
        <w:widowControl/>
        <w:spacing w:line="360" w:lineRule="auto"/>
        <w:jc w:val="left"/>
        <w:rPr>
          <w:rFonts w:hint="eastAsia" w:ascii="宋体" w:hAnsi="宋体" w:cs="宋体"/>
          <w:color w:val="333333"/>
          <w:kern w:val="0"/>
          <w:sz w:val="24"/>
        </w:rPr>
      </w:pPr>
      <w:r>
        <w:rPr>
          <w:rFonts w:hint="eastAsia" w:ascii="宋体" w:hAnsi="宋体" w:cs="宋体"/>
          <w:color w:val="333333"/>
          <w:kern w:val="0"/>
          <w:sz w:val="24"/>
        </w:rPr>
        <w:t>　　　</w:t>
      </w:r>
    </w:p>
    <w:p>
      <w:pPr>
        <w:rPr>
          <w:rFonts w:hint="eastAsia"/>
          <w:lang w:val="en-US" w:eastAsia="zh-CN"/>
        </w:rPr>
      </w:pPr>
    </w:p>
    <w:p>
      <w:pPr>
        <w:numPr>
          <w:ilvl w:val="0"/>
          <w:numId w:val="0"/>
        </w:numPr>
        <w:rPr>
          <w:rFonts w:hint="eastAsia" w:eastAsia="宋体"/>
          <w:lang w:eastAsia="zh-CN"/>
        </w:rPr>
      </w:pPr>
      <w:r>
        <w:rPr>
          <w:rFonts w:hint="eastAsia" w:eastAsia="宋体"/>
          <w:lang w:eastAsia="zh-CN"/>
        </w:rPr>
        <w:br w:type="page"/>
      </w:r>
    </w:p>
    <w:p>
      <w:pPr>
        <w:rPr>
          <w:rFonts w:hint="eastAsia" w:eastAsia="宋体"/>
          <w:lang w:eastAsia="zh-CN"/>
        </w:rPr>
      </w:pPr>
    </w:p>
    <w:p>
      <w:pPr>
        <w:pStyle w:val="2"/>
        <w:jc w:val="both"/>
      </w:pPr>
      <w:bookmarkStart w:id="472" w:name="_Toc22771"/>
      <w:r>
        <w:rPr>
          <w:rFonts w:hint="eastAsia"/>
        </w:rPr>
        <w:t>第六章 投标文件格式</w:t>
      </w:r>
      <w:bookmarkEnd w:id="471"/>
      <w:bookmarkEnd w:id="472"/>
    </w:p>
    <w:p>
      <w:pPr>
        <w:spacing w:line="360" w:lineRule="auto"/>
        <w:jc w:val="left"/>
        <w:rPr>
          <w:rFonts w:ascii="宋体" w:hAnsi="宋体"/>
          <w:b/>
          <w:sz w:val="32"/>
        </w:rPr>
      </w:pPr>
      <w:bookmarkStart w:id="473" w:name="_Toc397928631"/>
      <w:bookmarkStart w:id="474" w:name="_Toc511142522"/>
      <w:bookmarkStart w:id="475" w:name="_Toc17400"/>
      <w:r>
        <w:rPr>
          <w:rStyle w:val="59"/>
          <w:rFonts w:hint="eastAsia" w:ascii="宋体" w:hAnsi="宋体" w:eastAsia="宋体"/>
        </w:rPr>
        <w:t>封面</w:t>
      </w:r>
      <w:bookmarkEnd w:id="473"/>
      <w:bookmarkEnd w:id="474"/>
      <w:bookmarkEnd w:id="475"/>
    </w:p>
    <w:p>
      <w:pPr>
        <w:spacing w:line="360" w:lineRule="auto"/>
        <w:jc w:val="center"/>
        <w:rPr>
          <w:rFonts w:ascii="黑体" w:eastAsia="黑体"/>
          <w:b/>
          <w:sz w:val="32"/>
        </w:rPr>
      </w:pPr>
    </w:p>
    <w:p>
      <w:pPr>
        <w:jc w:val="center"/>
        <w:rPr>
          <w:rFonts w:ascii="宋体" w:hAnsi="宋体"/>
          <w:sz w:val="44"/>
          <w:szCs w:val="44"/>
        </w:rPr>
      </w:pPr>
      <w:r>
        <w:rPr>
          <w:rFonts w:hint="eastAsia" w:ascii="宋体" w:hAnsi="宋体"/>
          <w:sz w:val="44"/>
          <w:szCs w:val="44"/>
        </w:rPr>
        <w:t xml:space="preserve"> </w:t>
      </w:r>
    </w:p>
    <w:p>
      <w:pPr>
        <w:jc w:val="center"/>
        <w:rPr>
          <w:rFonts w:ascii="宋体" w:hAnsi="宋体"/>
          <w:sz w:val="44"/>
          <w:szCs w:val="44"/>
        </w:rPr>
      </w:pPr>
      <w:r>
        <w:rPr>
          <w:rFonts w:hint="eastAsia" w:ascii="宋体" w:hAnsi="宋体"/>
          <w:sz w:val="44"/>
          <w:szCs w:val="44"/>
          <w:u w:val="single"/>
        </w:rPr>
        <w:t xml:space="preserve"> （项目名称及标段）    </w:t>
      </w:r>
      <w:r>
        <w:rPr>
          <w:rFonts w:hint="eastAsia" w:ascii="宋体" w:hAnsi="宋体"/>
          <w:sz w:val="44"/>
          <w:szCs w:val="44"/>
        </w:rPr>
        <w:t>货物招标</w:t>
      </w: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72"/>
          <w:szCs w:val="72"/>
        </w:rPr>
      </w:pPr>
    </w:p>
    <w:p>
      <w:pPr>
        <w:spacing w:line="360" w:lineRule="auto"/>
        <w:jc w:val="center"/>
        <w:rPr>
          <w:rFonts w:ascii="黑体" w:hAnsi="黑体" w:eastAsia="黑体"/>
          <w:sz w:val="96"/>
          <w:szCs w:val="96"/>
        </w:rPr>
      </w:pPr>
      <w:r>
        <w:rPr>
          <w:rFonts w:hint="eastAsia" w:ascii="黑体" w:hAnsi="黑体" w:eastAsia="黑体"/>
          <w:sz w:val="96"/>
          <w:szCs w:val="96"/>
        </w:rPr>
        <w:t>投 标 文 件</w:t>
      </w:r>
    </w:p>
    <w:p>
      <w:pPr>
        <w:spacing w:line="360" w:lineRule="auto"/>
        <w:jc w:val="center"/>
        <w:rPr>
          <w:rFonts w:ascii="宋体" w:hAnsi="宋体"/>
          <w:sz w:val="28"/>
          <w:szCs w:val="28"/>
        </w:rPr>
      </w:pPr>
    </w:p>
    <w:p>
      <w:pPr>
        <w:spacing w:line="360" w:lineRule="auto"/>
        <w:jc w:val="center"/>
        <w:rPr>
          <w:rFonts w:ascii="宋体" w:hAnsi="宋体"/>
          <w:sz w:val="28"/>
          <w:szCs w:val="28"/>
        </w:rPr>
      </w:pPr>
      <w:r>
        <w:rPr>
          <w:rFonts w:hint="eastAsia" w:ascii="宋体" w:hAnsi="宋体"/>
          <w:sz w:val="28"/>
          <w:szCs w:val="28"/>
        </w:rPr>
        <w:t xml:space="preserve">招标编号： </w:t>
      </w: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rPr>
          <w:rFonts w:ascii="宋体" w:hAnsi="宋体"/>
          <w:sz w:val="28"/>
          <w:szCs w:val="28"/>
        </w:rPr>
      </w:pPr>
    </w:p>
    <w:p>
      <w:pPr>
        <w:spacing w:line="360" w:lineRule="auto"/>
        <w:jc w:val="center"/>
        <w:rPr>
          <w:rFonts w:ascii="宋体" w:hAnsi="宋体"/>
          <w:sz w:val="28"/>
          <w:szCs w:val="28"/>
        </w:rPr>
      </w:pPr>
    </w:p>
    <w:p>
      <w:pPr>
        <w:spacing w:line="360" w:lineRule="auto"/>
        <w:ind w:firstLine="708" w:firstLineChars="253"/>
        <w:jc w:val="left"/>
        <w:rPr>
          <w:rFonts w:ascii="宋体" w:hAnsi="宋体"/>
          <w:sz w:val="28"/>
          <w:szCs w:val="28"/>
          <w:u w:val="single"/>
        </w:rPr>
      </w:pPr>
      <w:r>
        <w:rPr>
          <w:rFonts w:hint="eastAsia" w:ascii="宋体" w:hAnsi="宋体"/>
          <w:sz w:val="28"/>
          <w:szCs w:val="28"/>
        </w:rPr>
        <w:t>投标人（盖章）：</w:t>
      </w:r>
      <w:r>
        <w:rPr>
          <w:rFonts w:hint="eastAsia" w:ascii="宋体" w:hAnsi="宋体"/>
          <w:sz w:val="28"/>
          <w:szCs w:val="28"/>
          <w:u w:val="single"/>
        </w:rPr>
        <w:t xml:space="preserve">                                </w:t>
      </w:r>
    </w:p>
    <w:p>
      <w:pPr>
        <w:spacing w:line="360" w:lineRule="auto"/>
        <w:jc w:val="cente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r>
        <w:rPr>
          <w:rFonts w:ascii="黑体" w:eastAsia="黑体"/>
          <w:b/>
          <w:sz w:val="32"/>
        </w:rPr>
        <w:br w:type="page"/>
      </w:r>
      <w:bookmarkStart w:id="476" w:name="_Toc397928632"/>
      <w:bookmarkStart w:id="477" w:name="_Toc387526346"/>
      <w:bookmarkStart w:id="478" w:name="_Toc5230"/>
      <w:bookmarkStart w:id="479" w:name="_Toc387526438"/>
      <w:bookmarkStart w:id="480" w:name="_Toc387526242"/>
    </w:p>
    <w:p>
      <w:pPr>
        <w:pStyle w:val="159"/>
        <w:rPr>
          <w:rFonts w:hAnsi="宋体"/>
          <w:color w:val="auto"/>
        </w:rPr>
      </w:pPr>
      <w:bookmarkStart w:id="481" w:name="_Toc511142523"/>
      <w:bookmarkStart w:id="482" w:name="_Toc10507"/>
      <w:r>
        <w:rPr>
          <w:rFonts w:hint="eastAsia"/>
          <w:color w:val="auto"/>
        </w:rPr>
        <w:t>1.投标函</w:t>
      </w:r>
      <w:bookmarkEnd w:id="476"/>
      <w:bookmarkEnd w:id="477"/>
      <w:bookmarkEnd w:id="478"/>
      <w:bookmarkEnd w:id="479"/>
      <w:bookmarkEnd w:id="480"/>
      <w:bookmarkEnd w:id="481"/>
      <w:bookmarkEnd w:id="482"/>
    </w:p>
    <w:p>
      <w:pPr>
        <w:pStyle w:val="212"/>
        <w:spacing w:line="360" w:lineRule="auto"/>
        <w:jc w:val="center"/>
        <w:rPr>
          <w:rFonts w:hAnsi="宋体" w:cs="宋体"/>
          <w:sz w:val="32"/>
          <w:szCs w:val="32"/>
        </w:rPr>
      </w:pPr>
      <w:r>
        <w:rPr>
          <w:rFonts w:hint="eastAsia" w:hAnsi="宋体" w:cs="宋体"/>
          <w:sz w:val="32"/>
          <w:szCs w:val="32"/>
        </w:rPr>
        <w:t>投   标   函</w:t>
      </w:r>
    </w:p>
    <w:p>
      <w:pPr>
        <w:pStyle w:val="212"/>
        <w:spacing w:line="360" w:lineRule="auto"/>
        <w:rPr>
          <w:rFonts w:hAnsi="宋体" w:cs="宋体"/>
          <w:sz w:val="21"/>
          <w:szCs w:val="21"/>
        </w:rPr>
      </w:pPr>
      <w:r>
        <w:rPr>
          <w:rFonts w:hint="eastAsia" w:hAnsi="宋体" w:cs="宋体"/>
          <w:sz w:val="21"/>
          <w:szCs w:val="21"/>
          <w:u w:val="single"/>
        </w:rPr>
        <w:t xml:space="preserve">  </w:t>
      </w:r>
      <w:r>
        <w:rPr>
          <w:rFonts w:hint="eastAsia" w:hAnsi="宋体" w:cs="宋体"/>
          <w:iCs/>
          <w:sz w:val="21"/>
          <w:szCs w:val="21"/>
          <w:u w:val="single"/>
        </w:rPr>
        <w:t>（招标人）</w:t>
      </w:r>
      <w:r>
        <w:rPr>
          <w:rFonts w:hint="eastAsia" w:hAnsi="宋体" w:cs="宋体"/>
          <w:sz w:val="21"/>
          <w:szCs w:val="21"/>
          <w:u w:val="single"/>
        </w:rPr>
        <w:t xml:space="preserve">   </w:t>
      </w:r>
      <w:r>
        <w:rPr>
          <w:rFonts w:hint="eastAsia" w:hAnsi="宋体" w:cs="宋体"/>
          <w:sz w:val="21"/>
          <w:szCs w:val="21"/>
        </w:rPr>
        <w:t>：</w:t>
      </w:r>
    </w:p>
    <w:p>
      <w:pPr>
        <w:spacing w:line="360" w:lineRule="auto"/>
        <w:ind w:firstLine="420" w:firstLineChars="200"/>
        <w:rPr>
          <w:szCs w:val="21"/>
        </w:rPr>
      </w:pPr>
      <w:r>
        <w:rPr>
          <w:szCs w:val="21"/>
        </w:rPr>
        <w:t>1．我方已仔细研究了</w:t>
      </w:r>
      <w:r>
        <w:rPr>
          <w:szCs w:val="21"/>
          <w:u w:val="single"/>
        </w:rPr>
        <w:t xml:space="preserve">       </w:t>
      </w:r>
      <w:r>
        <w:rPr>
          <w:rFonts w:hint="eastAsia"/>
          <w:szCs w:val="21"/>
          <w:u w:val="single"/>
        </w:rPr>
        <w:t xml:space="preserve">     </w:t>
      </w:r>
      <w:r>
        <w:rPr>
          <w:szCs w:val="21"/>
          <w:u w:val="single"/>
        </w:rPr>
        <w:t xml:space="preserve">   </w:t>
      </w:r>
      <w:r>
        <w:rPr>
          <w:rFonts w:hint="eastAsia" w:ascii="宋体" w:hAnsi="TimesNewRomanPSMT" w:cs="宋体"/>
          <w:kern w:val="0"/>
          <w:szCs w:val="21"/>
        </w:rPr>
        <w:t>（项目名称及标段）货物招标文件</w:t>
      </w:r>
      <w:r>
        <w:rPr>
          <w:szCs w:val="21"/>
        </w:rPr>
        <w:t>的全部内容，愿意以人民币（大写）</w:t>
      </w:r>
      <w:r>
        <w:rPr>
          <w:szCs w:val="21"/>
          <w:u w:val="single"/>
        </w:rPr>
        <w:t xml:space="preserve">    </w:t>
      </w:r>
      <w:r>
        <w:rPr>
          <w:rFonts w:hint="eastAsia"/>
          <w:szCs w:val="21"/>
          <w:u w:val="single"/>
        </w:rPr>
        <w:t xml:space="preserve">         </w:t>
      </w:r>
      <w:r>
        <w:rPr>
          <w:szCs w:val="21"/>
          <w:u w:val="single"/>
        </w:rPr>
        <w:t xml:space="preserve">     </w:t>
      </w:r>
      <w:r>
        <w:rPr>
          <w:szCs w:val="21"/>
        </w:rPr>
        <w:t>（¥</w:t>
      </w:r>
      <w:r>
        <w:rPr>
          <w:szCs w:val="21"/>
          <w:u w:val="single"/>
        </w:rPr>
        <w:t xml:space="preserve">           </w:t>
      </w:r>
      <w:r>
        <w:rPr>
          <w:szCs w:val="21"/>
        </w:rPr>
        <w:t>）</w:t>
      </w:r>
      <w:r>
        <w:rPr>
          <w:rFonts w:hint="eastAsia"/>
          <w:szCs w:val="21"/>
        </w:rPr>
        <w:t>元</w:t>
      </w:r>
      <w:r>
        <w:rPr>
          <w:szCs w:val="21"/>
        </w:rPr>
        <w:t>的</w:t>
      </w:r>
      <w:r>
        <w:rPr>
          <w:rFonts w:hint="eastAsia"/>
          <w:szCs w:val="21"/>
          <w:u w:val="none"/>
          <w:lang w:val="en-US" w:eastAsia="zh-CN"/>
        </w:rPr>
        <w:t>投标单价总和价，</w:t>
      </w:r>
      <w:r>
        <w:rPr>
          <w:szCs w:val="21"/>
        </w:rPr>
        <w:t>以</w:t>
      </w:r>
      <w:r>
        <w:rPr>
          <w:rFonts w:hint="eastAsia" w:hAnsi="宋体" w:cs="宋体"/>
          <w:szCs w:val="21"/>
          <w:u w:val="single"/>
        </w:rPr>
        <w:t xml:space="preserve"> （交货期或交付使用期）  </w:t>
      </w:r>
      <w:r>
        <w:rPr>
          <w:rFonts w:hint="eastAsia" w:hAnsi="宋体" w:cs="宋体"/>
          <w:szCs w:val="21"/>
        </w:rPr>
        <w:t>，并将按招标文件的规定履行合同责任和义务</w:t>
      </w:r>
      <w:r>
        <w:rPr>
          <w:szCs w:val="21"/>
        </w:rPr>
        <w:t>，</w:t>
      </w:r>
      <w:r>
        <w:rPr>
          <w:rFonts w:hint="eastAsia"/>
          <w:szCs w:val="21"/>
        </w:rPr>
        <w:t>实现工程目的</w:t>
      </w:r>
      <w:r>
        <w:rPr>
          <w:szCs w:val="21"/>
        </w:rPr>
        <w:t>。</w:t>
      </w:r>
    </w:p>
    <w:p>
      <w:pPr>
        <w:spacing w:line="360" w:lineRule="auto"/>
        <w:ind w:firstLine="420" w:firstLineChars="200"/>
        <w:rPr>
          <w:szCs w:val="21"/>
        </w:rPr>
      </w:pPr>
      <w:r>
        <w:rPr>
          <w:szCs w:val="21"/>
        </w:rPr>
        <w:t>2．我方承诺在</w:t>
      </w:r>
      <w:r>
        <w:rPr>
          <w:rFonts w:hint="eastAsia"/>
          <w:szCs w:val="21"/>
        </w:rPr>
        <w:t>招标文件规定的</w:t>
      </w:r>
      <w:r>
        <w:rPr>
          <w:szCs w:val="21"/>
        </w:rPr>
        <w:t>投标有效期内不修改、撤销投标文件</w:t>
      </w:r>
      <w:r>
        <w:rPr>
          <w:rFonts w:hint="eastAsia"/>
          <w:szCs w:val="21"/>
        </w:rPr>
        <w:t>。</w:t>
      </w:r>
    </w:p>
    <w:p>
      <w:pPr>
        <w:spacing w:line="360" w:lineRule="auto"/>
        <w:ind w:firstLine="420" w:firstLineChars="200"/>
        <w:rPr>
          <w:szCs w:val="21"/>
        </w:rPr>
      </w:pPr>
      <w:r>
        <w:rPr>
          <w:rFonts w:hint="eastAsia"/>
          <w:szCs w:val="21"/>
        </w:rPr>
        <w:t>3</w:t>
      </w:r>
      <w:r>
        <w:rPr>
          <w:szCs w:val="21"/>
        </w:rPr>
        <w:t>．如我方中标：</w:t>
      </w:r>
    </w:p>
    <w:p>
      <w:pPr>
        <w:spacing w:line="360" w:lineRule="auto"/>
        <w:ind w:firstLine="539" w:firstLineChars="257"/>
        <w:rPr>
          <w:szCs w:val="21"/>
        </w:rPr>
      </w:pPr>
      <w:r>
        <w:rPr>
          <w:szCs w:val="21"/>
        </w:rPr>
        <w:t>（1）我方承诺在收到中标通知书后，在中标通知书规定的期限内与你方签订合同。</w:t>
      </w:r>
    </w:p>
    <w:p>
      <w:pPr>
        <w:spacing w:line="360" w:lineRule="auto"/>
        <w:ind w:firstLine="539" w:firstLineChars="257"/>
        <w:rPr>
          <w:szCs w:val="21"/>
        </w:rPr>
      </w:pPr>
      <w:r>
        <w:rPr>
          <w:szCs w:val="21"/>
        </w:rPr>
        <w:t>（2）我方承诺按照招标文件规定向你方递交履约保证金。</w:t>
      </w:r>
    </w:p>
    <w:p>
      <w:pPr>
        <w:spacing w:line="360" w:lineRule="auto"/>
        <w:ind w:firstLine="539" w:firstLineChars="257"/>
        <w:rPr>
          <w:szCs w:val="21"/>
        </w:rPr>
      </w:pPr>
      <w:r>
        <w:rPr>
          <w:szCs w:val="21"/>
        </w:rPr>
        <w:t>（3）</w:t>
      </w:r>
      <w:r>
        <w:rPr>
          <w:rFonts w:hint="eastAsia"/>
          <w:szCs w:val="21"/>
        </w:rPr>
        <w:t>我方将严格履行本投标文件中的全部承诺和责任，并遵守招标文件中对投标人的所有规定。</w:t>
      </w:r>
    </w:p>
    <w:p>
      <w:pPr>
        <w:spacing w:line="360" w:lineRule="auto"/>
        <w:ind w:firstLine="420" w:firstLineChars="200"/>
        <w:rPr>
          <w:szCs w:val="21"/>
        </w:rPr>
      </w:pPr>
      <w:r>
        <w:rPr>
          <w:rFonts w:hint="eastAsia"/>
          <w:szCs w:val="21"/>
        </w:rPr>
        <w:t>4</w:t>
      </w:r>
      <w:r>
        <w:rPr>
          <w:szCs w:val="21"/>
        </w:rPr>
        <w:t>．</w:t>
      </w:r>
      <w:r>
        <w:rPr>
          <w:rFonts w:hint="eastAsia"/>
        </w:rPr>
        <w:t>我方在此声明，所递交的投标文件及有关资料内容完整、真实和准确，且不存在第二章“投标人须知”第1.4.3项规定的任何一种情形。</w:t>
      </w:r>
    </w:p>
    <w:p>
      <w:pPr>
        <w:spacing w:line="360" w:lineRule="auto"/>
        <w:ind w:firstLine="420" w:firstLineChars="200"/>
        <w:rPr>
          <w:szCs w:val="21"/>
        </w:rPr>
      </w:pPr>
      <w:r>
        <w:rPr>
          <w:rFonts w:hint="eastAsia"/>
          <w:szCs w:val="21"/>
        </w:rPr>
        <w:t>5．</w:t>
      </w:r>
      <w:r>
        <w:rPr>
          <w:szCs w:val="21"/>
          <w:u w:val="single"/>
        </w:rPr>
        <w:t xml:space="preserve">                                       </w:t>
      </w:r>
      <w:r>
        <w:rPr>
          <w:szCs w:val="21"/>
        </w:rPr>
        <w:t>（</w:t>
      </w:r>
      <w:r>
        <w:rPr>
          <w:rFonts w:hint="eastAsia"/>
          <w:szCs w:val="21"/>
        </w:rPr>
        <w:t>其他</w:t>
      </w:r>
      <w:r>
        <w:rPr>
          <w:szCs w:val="21"/>
        </w:rPr>
        <w:t>补充说明）。</w:t>
      </w:r>
    </w:p>
    <w:p>
      <w:pPr>
        <w:pStyle w:val="212"/>
        <w:spacing w:line="360" w:lineRule="auto"/>
        <w:ind w:firstLine="420" w:firstLineChars="200"/>
        <w:rPr>
          <w:rFonts w:hAnsi="宋体" w:cs="宋体"/>
          <w:sz w:val="21"/>
          <w:szCs w:val="21"/>
        </w:rPr>
      </w:pPr>
    </w:p>
    <w:p>
      <w:pPr>
        <w:pStyle w:val="212"/>
        <w:tabs>
          <w:tab w:val="left" w:pos="5665"/>
          <w:tab w:val="right" w:pos="8360"/>
        </w:tabs>
        <w:spacing w:line="360" w:lineRule="auto"/>
        <w:ind w:right="42" w:firstLine="1560" w:firstLineChars="650"/>
        <w:rPr>
          <w:rFonts w:hAnsi="宋体" w:cs="宋体"/>
          <w:sz w:val="24"/>
        </w:rPr>
      </w:pPr>
    </w:p>
    <w:p>
      <w:pPr>
        <w:pStyle w:val="212"/>
        <w:tabs>
          <w:tab w:val="left" w:pos="5665"/>
          <w:tab w:val="right" w:pos="8360"/>
        </w:tabs>
        <w:spacing w:line="360" w:lineRule="auto"/>
        <w:ind w:right="42" w:firstLine="1560" w:firstLineChars="650"/>
        <w:rPr>
          <w:rFonts w:hAnsi="宋体" w:cs="宋体"/>
          <w:sz w:val="24"/>
          <w:u w:val="single"/>
        </w:rPr>
      </w:pPr>
      <w:r>
        <w:rPr>
          <w:rFonts w:hint="eastAsia" w:hAnsi="宋体" w:cs="宋体"/>
          <w:sz w:val="24"/>
        </w:rPr>
        <w:t>投标人(公章)：</w:t>
      </w:r>
      <w:r>
        <w:rPr>
          <w:rFonts w:hint="eastAsia" w:hAnsi="宋体" w:cs="宋体"/>
          <w:sz w:val="24"/>
          <w:u w:val="single"/>
        </w:rPr>
        <w:t xml:space="preserve">                                  </w:t>
      </w:r>
    </w:p>
    <w:p>
      <w:pPr>
        <w:pStyle w:val="212"/>
        <w:tabs>
          <w:tab w:val="left" w:pos="5665"/>
          <w:tab w:val="right" w:pos="8360"/>
        </w:tabs>
        <w:spacing w:line="360" w:lineRule="auto"/>
        <w:ind w:right="42" w:firstLine="1560" w:firstLineChars="650"/>
        <w:rPr>
          <w:rFonts w:hAnsi="宋体" w:cs="宋体"/>
          <w:sz w:val="24"/>
          <w:u w:val="single"/>
        </w:rPr>
      </w:pPr>
    </w:p>
    <w:p>
      <w:pPr>
        <w:pStyle w:val="212"/>
        <w:tabs>
          <w:tab w:val="left" w:pos="5665"/>
          <w:tab w:val="right" w:pos="8360"/>
        </w:tabs>
        <w:spacing w:line="360" w:lineRule="auto"/>
        <w:ind w:right="42" w:firstLine="1560" w:firstLineChars="650"/>
        <w:rPr>
          <w:rFonts w:hAnsi="宋体" w:cs="宋体"/>
          <w:sz w:val="24"/>
          <w:u w:val="single"/>
        </w:rPr>
      </w:pPr>
    </w:p>
    <w:p>
      <w:pPr>
        <w:pStyle w:val="212"/>
        <w:tabs>
          <w:tab w:val="left" w:pos="5665"/>
          <w:tab w:val="right" w:pos="8360"/>
        </w:tabs>
        <w:spacing w:line="360" w:lineRule="auto"/>
        <w:ind w:right="42" w:firstLine="1560" w:firstLineChars="650"/>
        <w:rPr>
          <w:rFonts w:hAnsi="宋体" w:cs="宋体"/>
          <w:sz w:val="24"/>
          <w:u w:val="single"/>
        </w:rPr>
      </w:pPr>
      <w:r>
        <w:rPr>
          <w:rFonts w:hint="eastAsia" w:hAnsi="宋体" w:cs="宋体"/>
          <w:sz w:val="24"/>
        </w:rPr>
        <w:t>法人代表或授权委托人（签字或印章）：</w:t>
      </w:r>
      <w:r>
        <w:rPr>
          <w:rFonts w:hint="eastAsia" w:hAnsi="宋体" w:cs="宋体"/>
          <w:sz w:val="24"/>
          <w:u w:val="single"/>
        </w:rPr>
        <w:t xml:space="preserve">             </w:t>
      </w:r>
    </w:p>
    <w:p>
      <w:pPr>
        <w:pStyle w:val="212"/>
        <w:tabs>
          <w:tab w:val="left" w:pos="5665"/>
          <w:tab w:val="right" w:pos="8360"/>
        </w:tabs>
        <w:spacing w:line="360" w:lineRule="auto"/>
        <w:ind w:right="42" w:firstLine="1560" w:firstLineChars="650"/>
        <w:rPr>
          <w:rFonts w:hAnsi="宋体" w:cs="宋体"/>
          <w:sz w:val="24"/>
          <w:u w:val="single"/>
        </w:rPr>
      </w:pPr>
    </w:p>
    <w:p>
      <w:pPr>
        <w:pStyle w:val="212"/>
        <w:tabs>
          <w:tab w:val="left" w:pos="5665"/>
          <w:tab w:val="right" w:pos="8360"/>
        </w:tabs>
        <w:spacing w:line="360" w:lineRule="auto"/>
        <w:ind w:right="42" w:firstLine="1560" w:firstLineChars="650"/>
        <w:rPr>
          <w:rFonts w:hAnsi="宋体" w:cs="宋体"/>
          <w:sz w:val="24"/>
          <w:u w:val="single"/>
        </w:rPr>
      </w:pPr>
    </w:p>
    <w:p>
      <w:pPr>
        <w:pStyle w:val="212"/>
        <w:tabs>
          <w:tab w:val="left" w:pos="5665"/>
          <w:tab w:val="right" w:pos="8360"/>
        </w:tabs>
        <w:spacing w:line="360" w:lineRule="auto"/>
        <w:ind w:right="42" w:firstLine="1575" w:firstLineChars="750"/>
        <w:jc w:val="left"/>
        <w:rPr>
          <w:rFonts w:hAnsi="宋体" w:cs="宋体"/>
          <w:sz w:val="21"/>
          <w:szCs w:val="21"/>
          <w:u w:val="single"/>
        </w:rPr>
      </w:pPr>
      <w:r>
        <w:rPr>
          <w:rFonts w:hint="eastAsia" w:hAnsi="宋体" w:cs="宋体"/>
          <w:sz w:val="21"/>
          <w:szCs w:val="21"/>
        </w:rPr>
        <w:t>日 期：</w:t>
      </w:r>
      <w:r>
        <w:rPr>
          <w:rFonts w:hint="eastAsia" w:hAnsi="宋体" w:cs="宋体"/>
          <w:sz w:val="21"/>
          <w:szCs w:val="21"/>
          <w:u w:val="single"/>
        </w:rPr>
        <w:t xml:space="preserve">                                                </w:t>
      </w:r>
    </w:p>
    <w:p>
      <w:pPr>
        <w:pStyle w:val="212"/>
        <w:tabs>
          <w:tab w:val="left" w:pos="5665"/>
          <w:tab w:val="right" w:pos="8360"/>
        </w:tabs>
        <w:spacing w:line="360" w:lineRule="auto"/>
        <w:ind w:right="42" w:firstLine="1365" w:firstLineChars="650"/>
        <w:jc w:val="left"/>
        <w:rPr>
          <w:rFonts w:hAnsi="宋体" w:cs="宋体"/>
          <w:sz w:val="21"/>
          <w:szCs w:val="21"/>
          <w:u w:val="single"/>
        </w:rPr>
      </w:pPr>
    </w:p>
    <w:p>
      <w:pPr>
        <w:pStyle w:val="212"/>
        <w:tabs>
          <w:tab w:val="left" w:pos="5665"/>
          <w:tab w:val="right" w:pos="8360"/>
        </w:tabs>
        <w:spacing w:line="360" w:lineRule="auto"/>
        <w:ind w:right="42" w:firstLine="1365" w:firstLineChars="650"/>
        <w:jc w:val="left"/>
        <w:rPr>
          <w:rFonts w:hAnsi="宋体" w:cs="宋体"/>
          <w:b/>
          <w:sz w:val="21"/>
          <w:szCs w:val="21"/>
          <w:u w:val="single"/>
        </w:rPr>
      </w:pPr>
    </w:p>
    <w:p>
      <w:pPr>
        <w:pStyle w:val="159"/>
        <w:rPr>
          <w:color w:val="auto"/>
        </w:rPr>
      </w:pPr>
      <w:bookmarkStart w:id="483" w:name="_Toc387526243"/>
      <w:bookmarkStart w:id="484" w:name="_Toc387526439"/>
      <w:bookmarkStart w:id="485" w:name="_Toc4085"/>
      <w:bookmarkStart w:id="486" w:name="_Toc387526347"/>
      <w:r>
        <w:rPr>
          <w:color w:val="auto"/>
        </w:rPr>
        <w:br w:type="page"/>
      </w:r>
      <w:bookmarkStart w:id="487" w:name="_Toc397928633"/>
      <w:bookmarkStart w:id="488" w:name="_Toc26656"/>
      <w:bookmarkStart w:id="489" w:name="_Toc511142524"/>
      <w:r>
        <w:rPr>
          <w:rFonts w:hint="eastAsia"/>
          <w:color w:val="auto"/>
        </w:rPr>
        <w:t>2.投标报价汇总表</w:t>
      </w:r>
      <w:bookmarkEnd w:id="483"/>
      <w:bookmarkEnd w:id="484"/>
      <w:bookmarkEnd w:id="485"/>
      <w:bookmarkEnd w:id="486"/>
      <w:bookmarkEnd w:id="487"/>
      <w:bookmarkEnd w:id="488"/>
      <w:bookmarkEnd w:id="489"/>
    </w:p>
    <w:p>
      <w:pPr>
        <w:autoSpaceDE w:val="0"/>
        <w:autoSpaceDN w:val="0"/>
        <w:spacing w:line="360" w:lineRule="auto"/>
        <w:ind w:right="-5"/>
        <w:jc w:val="center"/>
        <w:textAlignment w:val="bottom"/>
        <w:rPr>
          <w:rFonts w:ascii="宋体" w:hAnsi="宋体" w:cs="宋体"/>
          <w:sz w:val="32"/>
          <w:szCs w:val="32"/>
        </w:rPr>
      </w:pPr>
      <w:r>
        <w:rPr>
          <w:rFonts w:hint="eastAsia" w:ascii="宋体" w:hAnsi="宋体" w:cs="宋体"/>
          <w:sz w:val="32"/>
          <w:szCs w:val="32"/>
        </w:rPr>
        <w:t>投标报价汇总表</w:t>
      </w:r>
    </w:p>
    <w:p>
      <w:pPr>
        <w:spacing w:line="360" w:lineRule="auto"/>
        <w:jc w:val="left"/>
        <w:rPr>
          <w:rFonts w:ascii="宋体" w:hAnsi="宋体" w:cs="宋体"/>
          <w:b/>
          <w:szCs w:val="21"/>
        </w:rPr>
      </w:pPr>
      <w:r>
        <w:rPr>
          <w:rFonts w:hint="eastAsia" w:ascii="宋体" w:hAnsi="宋体" w:cs="宋体"/>
          <w:szCs w:val="21"/>
        </w:rPr>
        <w:t>项目名称：</w:t>
      </w:r>
      <w:r>
        <w:rPr>
          <w:rFonts w:hint="eastAsia" w:ascii="宋体" w:hAnsi="宋体" w:cs="宋体"/>
          <w:b/>
          <w:szCs w:val="21"/>
        </w:rPr>
        <w:t xml:space="preserve"> </w:t>
      </w:r>
    </w:p>
    <w:p>
      <w:pPr>
        <w:spacing w:line="360" w:lineRule="auto"/>
        <w:rPr>
          <w:rFonts w:ascii="宋体" w:hAnsi="宋体" w:cs="宋体"/>
          <w:szCs w:val="21"/>
        </w:rPr>
      </w:pPr>
      <w:r>
        <w:rPr>
          <w:rFonts w:hint="eastAsia" w:ascii="宋体" w:hAnsi="宋体" w:cs="宋体"/>
          <w:szCs w:val="21"/>
        </w:rPr>
        <w:t xml:space="preserve">招标编号：                                   </w:t>
      </w:r>
      <w:r>
        <w:rPr>
          <w:rFonts w:hint="eastAsia" w:ascii="宋体" w:hAnsi="宋体" w:cs="宋体"/>
          <w:szCs w:val="21"/>
          <w:lang w:val="en-US" w:eastAsia="zh-CN"/>
        </w:rPr>
        <w:t xml:space="preserve">        </w:t>
      </w:r>
      <w:r>
        <w:rPr>
          <w:rFonts w:hint="eastAsia" w:ascii="宋体" w:hAnsi="宋体" w:cs="宋体"/>
          <w:szCs w:val="21"/>
        </w:rPr>
        <w:t xml:space="preserve">标段号：（如有时）  </w:t>
      </w:r>
    </w:p>
    <w:tbl>
      <w:tblPr>
        <w:tblStyle w:val="48"/>
        <w:tblW w:w="9167" w:type="dxa"/>
        <w:jc w:val="center"/>
        <w:tblInd w:w="0" w:type="dxa"/>
        <w:tblLayout w:type="fixed"/>
        <w:tblCellMar>
          <w:top w:w="0" w:type="dxa"/>
          <w:left w:w="30" w:type="dxa"/>
          <w:bottom w:w="0" w:type="dxa"/>
          <w:right w:w="30" w:type="dxa"/>
        </w:tblCellMar>
      </w:tblPr>
      <w:tblGrid>
        <w:gridCol w:w="840"/>
        <w:gridCol w:w="3585"/>
        <w:gridCol w:w="2976"/>
        <w:gridCol w:w="1766"/>
      </w:tblGrid>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序号</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内容</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价格（</w:t>
            </w:r>
            <w:r>
              <w:rPr>
                <w:rFonts w:hint="eastAsia" w:ascii="宋体" w:hAnsi="宋体" w:cs="宋体"/>
                <w:bCs/>
                <w:szCs w:val="21"/>
              </w:rPr>
              <w:t>人民币元）</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备注</w:t>
            </w: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1</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2</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3</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4</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5</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c>
          <w:tcPr>
            <w:tcW w:w="3585"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szCs w:val="21"/>
              </w:rPr>
            </w:pPr>
            <w:r>
              <w:rPr>
                <w:rFonts w:hint="eastAsia" w:ascii="宋体" w:hAnsi="宋体" w:cs="宋体"/>
                <w:szCs w:val="21"/>
              </w:rPr>
              <w:t>……</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szCs w:val="21"/>
              </w:rPr>
            </w:pPr>
          </w:p>
        </w:tc>
      </w:tr>
      <w:tr>
        <w:tblPrEx>
          <w:tblLayout w:type="fixed"/>
          <w:tblCellMar>
            <w:top w:w="0" w:type="dxa"/>
            <w:left w:w="30" w:type="dxa"/>
            <w:bottom w:w="0" w:type="dxa"/>
            <w:right w:w="30" w:type="dxa"/>
          </w:tblCellMar>
        </w:tblPrEx>
        <w:trPr>
          <w:trHeight w:val="445" w:hRule="atLeast"/>
          <w:jc w:val="center"/>
        </w:trPr>
        <w:tc>
          <w:tcPr>
            <w:tcW w:w="9167" w:type="dxa"/>
            <w:gridSpan w:val="4"/>
            <w:tcBorders>
              <w:top w:val="single" w:color="auto" w:sz="6" w:space="0"/>
              <w:left w:val="single" w:color="auto" w:sz="6" w:space="0"/>
              <w:bottom w:val="single" w:color="auto" w:sz="6" w:space="0"/>
              <w:right w:val="single" w:color="auto" w:sz="6" w:space="0"/>
            </w:tcBorders>
            <w:vAlign w:val="center"/>
          </w:tcPr>
          <w:p>
            <w:pPr>
              <w:tabs>
                <w:tab w:val="left" w:pos="5999"/>
              </w:tabs>
              <w:autoSpaceDE w:val="0"/>
              <w:autoSpaceDN w:val="0"/>
              <w:adjustRightInd w:val="0"/>
              <w:spacing w:line="360" w:lineRule="auto"/>
              <w:ind w:firstLine="210" w:firstLineChars="100"/>
              <w:jc w:val="left"/>
              <w:rPr>
                <w:rFonts w:ascii="宋体" w:hAnsi="宋体" w:cs="宋体"/>
                <w:szCs w:val="21"/>
              </w:rPr>
            </w:pPr>
            <w:r>
              <w:rPr>
                <w:rFonts w:hint="eastAsia" w:ascii="宋体" w:hAnsi="宋体" w:cs="宋体"/>
                <w:szCs w:val="21"/>
              </w:rPr>
              <w:t>投标</w:t>
            </w:r>
            <w:r>
              <w:rPr>
                <w:rFonts w:hint="eastAsia" w:ascii="宋体" w:hAnsi="宋体" w:cs="宋体"/>
                <w:szCs w:val="21"/>
                <w:lang w:val="en-US" w:eastAsia="zh-CN"/>
              </w:rPr>
              <w:t>单价</w:t>
            </w:r>
            <w:r>
              <w:rPr>
                <w:rFonts w:hint="eastAsia" w:ascii="宋体" w:hAnsi="宋体" w:cs="宋体"/>
                <w:szCs w:val="21"/>
              </w:rPr>
              <w:t>总</w:t>
            </w:r>
            <w:r>
              <w:rPr>
                <w:rFonts w:hint="eastAsia" w:ascii="宋体" w:hAnsi="宋体" w:cs="宋体"/>
                <w:szCs w:val="21"/>
                <w:lang w:val="en-US" w:eastAsia="zh-CN"/>
              </w:rPr>
              <w:t>额（人民币大写）：</w:t>
            </w:r>
            <w:r>
              <w:rPr>
                <w:rFonts w:hint="eastAsia" w:ascii="宋体" w:hAnsi="宋体" w:cs="宋体"/>
                <w:szCs w:val="21"/>
                <w:lang w:val="en-US" w:eastAsia="zh-CN"/>
              </w:rPr>
              <w:tab/>
            </w:r>
            <w:r>
              <w:rPr>
                <w:rFonts w:hint="eastAsia" w:ascii="宋体" w:hAnsi="宋体" w:cs="宋体"/>
                <w:szCs w:val="21"/>
                <w:lang w:val="en-US" w:eastAsia="zh-CN"/>
              </w:rPr>
              <w:t>￥</w:t>
            </w:r>
          </w:p>
        </w:tc>
      </w:tr>
      <w:tr>
        <w:tblPrEx>
          <w:tblLayout w:type="fixed"/>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szCs w:val="21"/>
              </w:rPr>
            </w:pPr>
            <w:r>
              <w:rPr>
                <w:rFonts w:hint="eastAsia" w:ascii="宋体" w:hAnsi="宋体" w:cs="宋体"/>
                <w:szCs w:val="21"/>
              </w:rPr>
              <w:t xml:space="preserve">投标保证金： </w:t>
            </w:r>
          </w:p>
        </w:tc>
      </w:tr>
      <w:tr>
        <w:tblPrEx>
          <w:tblLayout w:type="fixed"/>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szCs w:val="21"/>
              </w:rPr>
            </w:pPr>
            <w:r>
              <w:rPr>
                <w:rFonts w:hint="eastAsia" w:ascii="宋体" w:hAnsi="宋体" w:cs="宋体"/>
                <w:szCs w:val="21"/>
              </w:rPr>
              <w:t>供货期或交付使用期：</w:t>
            </w:r>
          </w:p>
        </w:tc>
      </w:tr>
      <w:tr>
        <w:tblPrEx>
          <w:tblLayout w:type="fixed"/>
          <w:tblCellMar>
            <w:top w:w="0" w:type="dxa"/>
            <w:left w:w="30" w:type="dxa"/>
            <w:bottom w:w="0" w:type="dxa"/>
            <w:right w:w="30" w:type="dxa"/>
          </w:tblCellMar>
        </w:tblPrEx>
        <w:trPr>
          <w:trHeight w:val="646"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szCs w:val="21"/>
              </w:rPr>
            </w:pPr>
            <w:r>
              <w:rPr>
                <w:rFonts w:hint="eastAsia" w:ascii="宋体" w:hAnsi="宋体" w:cs="宋体"/>
                <w:szCs w:val="21"/>
              </w:rPr>
              <w:t>优惠条件：（如有时）</w:t>
            </w:r>
          </w:p>
        </w:tc>
      </w:tr>
    </w:tbl>
    <w:p>
      <w:pPr>
        <w:autoSpaceDE w:val="0"/>
        <w:autoSpaceDN w:val="0"/>
        <w:spacing w:line="360" w:lineRule="auto"/>
        <w:ind w:right="-5"/>
        <w:textAlignment w:val="bottom"/>
        <w:rPr>
          <w:rFonts w:hint="eastAsia" w:ascii="宋体" w:hAnsi="宋体" w:eastAsia="宋体" w:cs="宋体"/>
          <w:szCs w:val="21"/>
          <w:lang w:eastAsia="zh-CN"/>
        </w:rPr>
      </w:pPr>
      <w:r>
        <w:rPr>
          <w:rFonts w:hint="eastAsia" w:ascii="宋体" w:hAnsi="宋体" w:cs="宋体"/>
          <w:szCs w:val="21"/>
        </w:rPr>
        <w:t>注：此表的投标</w:t>
      </w:r>
      <w:r>
        <w:rPr>
          <w:rFonts w:hint="eastAsia" w:ascii="宋体" w:hAnsi="宋体" w:cs="宋体"/>
          <w:szCs w:val="21"/>
          <w:lang w:val="en-US" w:eastAsia="zh-CN"/>
        </w:rPr>
        <w:t>价格</w:t>
      </w:r>
      <w:r>
        <w:rPr>
          <w:rFonts w:hint="eastAsia" w:ascii="宋体" w:hAnsi="宋体" w:cs="宋体"/>
          <w:szCs w:val="21"/>
        </w:rPr>
        <w:t>中已包含投标人完成本招标项目的一切费用，与开标一览表的报价一致；</w:t>
      </w:r>
      <w:r>
        <w:rPr>
          <w:rFonts w:hint="eastAsia" w:ascii="宋体" w:hAnsi="宋体" w:cs="宋体"/>
          <w:szCs w:val="21"/>
          <w:lang w:eastAsia="zh-CN"/>
        </w:rPr>
        <w:t>（</w:t>
      </w:r>
      <w:r>
        <w:rPr>
          <w:rFonts w:hint="eastAsia" w:ascii="宋体" w:hAnsi="宋体" w:cs="宋体"/>
          <w:szCs w:val="21"/>
          <w:lang w:val="en-US" w:eastAsia="zh-CN"/>
        </w:rPr>
        <w:t>表格自制</w:t>
      </w:r>
      <w:r>
        <w:rPr>
          <w:rFonts w:hint="eastAsia" w:ascii="宋体" w:hAnsi="宋体" w:cs="宋体"/>
          <w:szCs w:val="21"/>
          <w:lang w:eastAsia="zh-CN"/>
        </w:rPr>
        <w:t>）</w:t>
      </w:r>
    </w:p>
    <w:p>
      <w:pPr>
        <w:autoSpaceDE w:val="0"/>
        <w:autoSpaceDN w:val="0"/>
        <w:spacing w:line="360" w:lineRule="auto"/>
        <w:ind w:right="-5" w:firstLine="3780" w:firstLineChars="1800"/>
        <w:textAlignment w:val="bottom"/>
        <w:rPr>
          <w:rFonts w:ascii="宋体" w:hAnsi="宋体" w:cs="宋体"/>
          <w:szCs w:val="21"/>
        </w:rPr>
      </w:pPr>
    </w:p>
    <w:p>
      <w:pPr>
        <w:pStyle w:val="212"/>
        <w:tabs>
          <w:tab w:val="left" w:pos="5665"/>
          <w:tab w:val="right" w:pos="8360"/>
        </w:tabs>
        <w:ind w:right="42" w:firstLine="1560" w:firstLineChars="650"/>
        <w:rPr>
          <w:rFonts w:hAnsi="宋体" w:cs="宋体"/>
          <w:sz w:val="24"/>
          <w:u w:val="single"/>
        </w:rPr>
      </w:pPr>
      <w:r>
        <w:rPr>
          <w:rFonts w:hint="eastAsia" w:hAnsi="宋体" w:cs="宋体"/>
          <w:sz w:val="24"/>
        </w:rPr>
        <w:t>投标人(公章)：</w:t>
      </w:r>
      <w:r>
        <w:rPr>
          <w:rFonts w:hint="eastAsia" w:hAnsi="宋体" w:cs="宋体"/>
          <w:sz w:val="24"/>
          <w:u w:val="single"/>
        </w:rPr>
        <w:t xml:space="preserve">                                  </w:t>
      </w:r>
    </w:p>
    <w:p>
      <w:pPr>
        <w:pStyle w:val="212"/>
        <w:tabs>
          <w:tab w:val="left" w:pos="5665"/>
          <w:tab w:val="right" w:pos="8360"/>
        </w:tabs>
        <w:ind w:right="42" w:firstLine="1560" w:firstLineChars="650"/>
        <w:rPr>
          <w:rFonts w:hAnsi="宋体" w:cs="宋体"/>
          <w:sz w:val="24"/>
          <w:u w:val="single"/>
        </w:rPr>
      </w:pPr>
    </w:p>
    <w:p>
      <w:pPr>
        <w:pStyle w:val="212"/>
        <w:tabs>
          <w:tab w:val="left" w:pos="5665"/>
          <w:tab w:val="right" w:pos="8360"/>
        </w:tabs>
        <w:ind w:right="42" w:firstLine="1560" w:firstLineChars="650"/>
        <w:rPr>
          <w:rFonts w:hAnsi="宋体" w:cs="宋体"/>
          <w:sz w:val="24"/>
          <w:u w:val="single"/>
        </w:rPr>
      </w:pPr>
      <w:r>
        <w:rPr>
          <w:rFonts w:hint="eastAsia" w:hAnsi="宋体" w:cs="宋体"/>
          <w:sz w:val="24"/>
        </w:rPr>
        <w:t>法人代表或授权委托人（签字或印章）：</w:t>
      </w:r>
      <w:r>
        <w:rPr>
          <w:rFonts w:hint="eastAsia" w:hAnsi="宋体" w:cs="宋体"/>
          <w:sz w:val="24"/>
          <w:u w:val="single"/>
        </w:rPr>
        <w:t xml:space="preserve">             </w:t>
      </w:r>
    </w:p>
    <w:p>
      <w:pPr>
        <w:pStyle w:val="212"/>
        <w:tabs>
          <w:tab w:val="left" w:pos="5665"/>
          <w:tab w:val="right" w:pos="8360"/>
        </w:tabs>
        <w:ind w:right="42" w:firstLine="1560" w:firstLineChars="650"/>
        <w:rPr>
          <w:rFonts w:hAnsi="宋体" w:cs="宋体"/>
          <w:sz w:val="24"/>
          <w:u w:val="single"/>
        </w:rPr>
      </w:pPr>
    </w:p>
    <w:p>
      <w:pPr>
        <w:pStyle w:val="212"/>
        <w:tabs>
          <w:tab w:val="left" w:pos="5665"/>
          <w:tab w:val="right" w:pos="8360"/>
        </w:tabs>
        <w:ind w:right="42" w:firstLine="1575" w:firstLineChars="750"/>
        <w:jc w:val="left"/>
        <w:rPr>
          <w:rFonts w:hAnsi="宋体" w:cs="宋体"/>
          <w:sz w:val="21"/>
          <w:szCs w:val="21"/>
          <w:u w:val="single"/>
        </w:rPr>
      </w:pPr>
      <w:r>
        <w:rPr>
          <w:rFonts w:hint="eastAsia" w:hAnsi="宋体" w:cs="宋体"/>
          <w:sz w:val="21"/>
          <w:szCs w:val="21"/>
        </w:rPr>
        <w:t>日 期：</w:t>
      </w:r>
      <w:r>
        <w:rPr>
          <w:rFonts w:hint="eastAsia" w:hAnsi="宋体" w:cs="宋体"/>
          <w:sz w:val="21"/>
          <w:szCs w:val="21"/>
          <w:u w:val="single"/>
        </w:rPr>
        <w:t xml:space="preserve">                                                </w:t>
      </w:r>
    </w:p>
    <w:p>
      <w:pPr>
        <w:spacing w:line="360" w:lineRule="auto"/>
        <w:rPr>
          <w:rFonts w:ascii="宋体" w:hAnsi="宋体" w:cs="宋体"/>
          <w:szCs w:val="21"/>
        </w:rPr>
      </w:pPr>
      <w:r>
        <w:rPr>
          <w:rFonts w:hint="eastAsia" w:ascii="宋体" w:hAnsi="宋体" w:cs="宋体"/>
          <w:szCs w:val="21"/>
        </w:rPr>
        <w:t xml:space="preserve">    </w:t>
      </w:r>
    </w:p>
    <w:p>
      <w:pPr>
        <w:pStyle w:val="212"/>
        <w:tabs>
          <w:tab w:val="left" w:pos="5665"/>
          <w:tab w:val="right" w:pos="8360"/>
        </w:tabs>
        <w:ind w:right="42" w:firstLine="2100" w:firstLineChars="750"/>
        <w:jc w:val="left"/>
        <w:rPr>
          <w:rFonts w:hAnsi="宋体" w:cs="宋体"/>
          <w:sz w:val="21"/>
          <w:szCs w:val="21"/>
          <w:u w:val="single"/>
        </w:rPr>
      </w:pPr>
      <w:r>
        <w:rPr>
          <w:rFonts w:hint="eastAsia" w:ascii="宋体"/>
          <w:b/>
          <w:szCs w:val="21"/>
        </w:rPr>
        <w:br w:type="page"/>
      </w:r>
    </w:p>
    <w:p>
      <w:pPr>
        <w:pStyle w:val="159"/>
        <w:rPr>
          <w:color w:val="auto"/>
        </w:rPr>
      </w:pPr>
      <w:bookmarkStart w:id="490" w:name="_Toc27195"/>
      <w:bookmarkStart w:id="491" w:name="_Toc397928634"/>
      <w:bookmarkStart w:id="492" w:name="_Toc511142525"/>
      <w:bookmarkStart w:id="493" w:name="_Toc32230"/>
      <w:bookmarkStart w:id="494" w:name="_Toc387526244"/>
      <w:bookmarkStart w:id="495" w:name="_Toc387526440"/>
      <w:bookmarkStart w:id="496" w:name="_Toc387526348"/>
      <w:r>
        <w:rPr>
          <w:rFonts w:hint="eastAsia"/>
          <w:color w:val="auto"/>
        </w:rPr>
        <w:t>3.商务及技术条款偏离表</w:t>
      </w:r>
      <w:bookmarkEnd w:id="490"/>
      <w:bookmarkEnd w:id="491"/>
      <w:bookmarkEnd w:id="492"/>
      <w:bookmarkEnd w:id="493"/>
      <w:bookmarkEnd w:id="494"/>
      <w:bookmarkEnd w:id="495"/>
      <w:bookmarkEnd w:id="496"/>
    </w:p>
    <w:p>
      <w:pPr>
        <w:pStyle w:val="212"/>
        <w:spacing w:line="360" w:lineRule="auto"/>
        <w:jc w:val="center"/>
        <w:rPr>
          <w:rFonts w:hAnsi="宋体" w:cs="宋体"/>
          <w:sz w:val="32"/>
          <w:szCs w:val="32"/>
        </w:rPr>
      </w:pPr>
      <w:r>
        <w:rPr>
          <w:rFonts w:hint="eastAsia" w:hAnsi="宋体" w:cs="宋体"/>
          <w:sz w:val="32"/>
          <w:szCs w:val="32"/>
        </w:rPr>
        <w:t>商务及技术条款偏离表</w:t>
      </w:r>
    </w:p>
    <w:p>
      <w:pPr>
        <w:spacing w:line="360" w:lineRule="auto"/>
        <w:jc w:val="center"/>
        <w:rPr>
          <w:rFonts w:ascii="宋体" w:hAnsi="宋体" w:cs="宋体"/>
        </w:rPr>
      </w:pPr>
    </w:p>
    <w:p>
      <w:pPr>
        <w:spacing w:line="360" w:lineRule="auto"/>
        <w:ind w:right="-365" w:rightChars="-174" w:firstLine="119" w:firstLineChars="57"/>
        <w:rPr>
          <w:rFonts w:ascii="宋体" w:hAnsi="宋体" w:cs="宋体"/>
          <w:szCs w:val="21"/>
        </w:rPr>
      </w:pPr>
      <w:r>
        <w:rPr>
          <w:rFonts w:hint="eastAsia" w:ascii="宋体" w:hAnsi="宋体" w:cs="宋体"/>
          <w:szCs w:val="21"/>
        </w:rPr>
        <w:t>招标文件编号：                                         标段号（如有时）：</w:t>
      </w:r>
    </w:p>
    <w:tbl>
      <w:tblPr>
        <w:tblStyle w:val="48"/>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szCs w:val="21"/>
              </w:rPr>
            </w:pPr>
            <w:r>
              <w:rPr>
                <w:rFonts w:hint="eastAsia" w:ascii="宋体" w:hAnsi="宋体" w:cs="宋体"/>
                <w:szCs w:val="21"/>
              </w:rPr>
              <w:t>招标文件</w:t>
            </w:r>
          </w:p>
          <w:p>
            <w:pPr>
              <w:spacing w:line="360" w:lineRule="auto"/>
              <w:jc w:val="center"/>
              <w:rPr>
                <w:rFonts w:ascii="宋体" w:hAnsi="宋体" w:cs="宋体"/>
                <w:szCs w:val="21"/>
              </w:rPr>
            </w:pPr>
            <w:r>
              <w:rPr>
                <w:rFonts w:hint="eastAsia" w:ascii="宋体" w:hAnsi="宋体" w:cs="宋体"/>
                <w:szCs w:val="21"/>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szCs w:val="21"/>
              </w:rPr>
            </w:pPr>
            <w:r>
              <w:rPr>
                <w:rFonts w:hint="eastAsia" w:ascii="宋体" w:hAnsi="宋体" w:cs="宋体"/>
                <w:szCs w:val="21"/>
              </w:rPr>
              <w:t>招标文件的</w:t>
            </w:r>
          </w:p>
          <w:p>
            <w:pPr>
              <w:spacing w:line="360" w:lineRule="auto"/>
              <w:jc w:val="center"/>
              <w:rPr>
                <w:rFonts w:ascii="宋体" w:hAnsi="宋体" w:cs="宋体"/>
                <w:szCs w:val="21"/>
              </w:rPr>
            </w:pPr>
            <w:r>
              <w:rPr>
                <w:rFonts w:hint="eastAsia" w:ascii="宋体" w:hAnsi="宋体" w:cs="宋体"/>
                <w:szCs w:val="21"/>
              </w:rPr>
              <w:t>商务、技术条款</w:t>
            </w:r>
          </w:p>
        </w:tc>
        <w:tc>
          <w:tcPr>
            <w:tcW w:w="240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szCs w:val="21"/>
              </w:rPr>
            </w:pPr>
            <w:r>
              <w:rPr>
                <w:rFonts w:hint="eastAsia" w:ascii="宋体" w:hAnsi="宋体" w:cs="宋体"/>
                <w:szCs w:val="21"/>
              </w:rPr>
              <w:t>投标文件的</w:t>
            </w:r>
          </w:p>
          <w:p>
            <w:pPr>
              <w:spacing w:line="360" w:lineRule="auto"/>
              <w:jc w:val="center"/>
              <w:rPr>
                <w:rFonts w:ascii="宋体" w:hAnsi="宋体" w:cs="宋体"/>
                <w:szCs w:val="21"/>
              </w:rPr>
            </w:pPr>
            <w:r>
              <w:rPr>
                <w:rFonts w:hint="eastAsia" w:ascii="宋体" w:hAnsi="宋体" w:cs="宋体"/>
                <w:szCs w:val="21"/>
              </w:rPr>
              <w:t>商务、技术条款</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bl>
    <w:p>
      <w:pPr>
        <w:spacing w:line="360" w:lineRule="auto"/>
        <w:ind w:left="630" w:leftChars="100" w:hanging="420" w:hangingChars="200"/>
        <w:rPr>
          <w:rFonts w:hint="eastAsia" w:ascii="宋体" w:hAnsi="宋体" w:cs="宋体"/>
          <w:szCs w:val="21"/>
        </w:rPr>
      </w:pPr>
      <w:r>
        <w:rPr>
          <w:rFonts w:hint="eastAsia" w:ascii="宋体" w:hAnsi="宋体" w:cs="宋体"/>
          <w:szCs w:val="21"/>
        </w:rPr>
        <w:t>注：投标人必须对招标文件的主要商务技术条款（如供货期、付款方式、履约保证、质保期等）逐条填写</w:t>
      </w:r>
      <w:r>
        <w:rPr>
          <w:rFonts w:hint="eastAsia" w:ascii="宋体" w:hAnsi="宋体" w:cs="宋体"/>
          <w:szCs w:val="21"/>
          <w:lang w:eastAsia="zh-CN"/>
        </w:rPr>
        <w:t>（</w:t>
      </w:r>
      <w:r>
        <w:rPr>
          <w:rFonts w:hint="eastAsia" w:ascii="宋体" w:hAnsi="宋体" w:cs="宋体"/>
          <w:szCs w:val="21"/>
          <w:lang w:val="en-US" w:eastAsia="zh-CN"/>
        </w:rPr>
        <w:t>表格自制</w:t>
      </w:r>
      <w:r>
        <w:rPr>
          <w:rFonts w:hint="eastAsia" w:ascii="宋体" w:hAnsi="宋体" w:cs="宋体"/>
          <w:szCs w:val="21"/>
          <w:lang w:eastAsia="zh-CN"/>
        </w:rPr>
        <w:t>）</w:t>
      </w:r>
    </w:p>
    <w:p>
      <w:pPr>
        <w:spacing w:line="360" w:lineRule="auto"/>
        <w:ind w:firstLine="4139" w:firstLineChars="1971"/>
        <w:rPr>
          <w:rFonts w:ascii="宋体" w:hAnsi="宋体" w:cs="宋体"/>
          <w:szCs w:val="21"/>
        </w:rPr>
      </w:pPr>
      <w:r>
        <w:rPr>
          <w:rFonts w:hint="eastAsia" w:ascii="宋体" w:hAnsi="宋体" w:cs="宋体"/>
          <w:szCs w:val="21"/>
        </w:rPr>
        <w:t>授权委托人（签字）：</w:t>
      </w:r>
      <w:r>
        <w:rPr>
          <w:rFonts w:hint="eastAsia" w:ascii="宋体" w:hAnsi="宋体" w:cs="宋体"/>
          <w:szCs w:val="21"/>
          <w:u w:val="single"/>
        </w:rPr>
        <w:t xml:space="preserve">                      </w:t>
      </w:r>
    </w:p>
    <w:p>
      <w:pPr>
        <w:pStyle w:val="212"/>
        <w:spacing w:line="360" w:lineRule="auto"/>
        <w:ind w:firstLine="4139" w:firstLineChars="1971"/>
        <w:rPr>
          <w:rFonts w:hAnsi="宋体" w:cs="宋体"/>
          <w:sz w:val="21"/>
          <w:szCs w:val="21"/>
        </w:rPr>
      </w:pPr>
      <w:r>
        <w:rPr>
          <w:rFonts w:hint="eastAsia" w:hAnsi="宋体" w:cs="宋体"/>
          <w:sz w:val="21"/>
          <w:szCs w:val="21"/>
        </w:rPr>
        <w:t>日             期：</w:t>
      </w:r>
      <w:r>
        <w:rPr>
          <w:rFonts w:hint="eastAsia" w:hAnsi="宋体" w:cs="宋体"/>
          <w:sz w:val="21"/>
          <w:szCs w:val="21"/>
          <w:u w:val="single"/>
        </w:rPr>
        <w:t xml:space="preserve">                      </w:t>
      </w:r>
    </w:p>
    <w:p>
      <w:pPr>
        <w:pStyle w:val="3"/>
        <w:spacing w:line="360" w:lineRule="auto"/>
        <w:rPr>
          <w:rFonts w:ascii="宋体" w:hAnsi="宋体" w:eastAsia="宋体"/>
          <w:sz w:val="36"/>
          <w:szCs w:val="36"/>
        </w:rPr>
      </w:pPr>
      <w:r>
        <w:rPr>
          <w:sz w:val="24"/>
        </w:rPr>
        <w:br w:type="page"/>
      </w:r>
      <w:bookmarkStart w:id="497" w:name="_Toc511142526"/>
      <w:bookmarkStart w:id="498" w:name="_Toc5065"/>
      <w:bookmarkStart w:id="499" w:name="_Toc387526349"/>
      <w:bookmarkStart w:id="500" w:name="_Toc387526245"/>
      <w:bookmarkStart w:id="501" w:name="_Toc10679"/>
      <w:bookmarkStart w:id="502" w:name="_Toc387526441"/>
      <w:bookmarkStart w:id="503" w:name="_Toc397928635"/>
      <w:r>
        <w:rPr>
          <w:rFonts w:hint="eastAsia" w:ascii="宋体" w:hAnsi="宋体" w:eastAsia="宋体"/>
        </w:rPr>
        <w:t>4.授权委托书</w:t>
      </w:r>
      <w:bookmarkEnd w:id="497"/>
      <w:bookmarkEnd w:id="498"/>
      <w:bookmarkEnd w:id="499"/>
      <w:bookmarkEnd w:id="500"/>
      <w:bookmarkEnd w:id="501"/>
      <w:bookmarkEnd w:id="502"/>
      <w:bookmarkEnd w:id="503"/>
    </w:p>
    <w:p>
      <w:pPr>
        <w:autoSpaceDE w:val="0"/>
        <w:autoSpaceDN w:val="0"/>
        <w:adjustRightInd w:val="0"/>
        <w:jc w:val="center"/>
        <w:rPr>
          <w:rFonts w:ascii="宋体" w:hAnsi="宋体" w:cs="宋体"/>
          <w:kern w:val="0"/>
          <w:sz w:val="32"/>
          <w:szCs w:val="32"/>
        </w:rPr>
      </w:pPr>
      <w:r>
        <w:rPr>
          <w:rFonts w:hint="eastAsia" w:ascii="宋体" w:hAnsi="宋体" w:cs="宋体"/>
          <w:kern w:val="0"/>
          <w:sz w:val="32"/>
          <w:szCs w:val="32"/>
        </w:rPr>
        <w:t>授权委托书</w:t>
      </w:r>
    </w:p>
    <w:p>
      <w:pPr>
        <w:autoSpaceDE w:val="0"/>
        <w:autoSpaceDN w:val="0"/>
        <w:adjustRightInd w:val="0"/>
        <w:jc w:val="center"/>
        <w:rPr>
          <w:rFonts w:ascii="宋体" w:hAnsi="宋体" w:cs="宋体"/>
          <w:kern w:val="0"/>
          <w:szCs w:val="21"/>
        </w:rPr>
      </w:pP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（姓名）系</w:t>
      </w:r>
      <w:r>
        <w:rPr>
          <w:rFonts w:hint="eastAsia" w:ascii="宋体" w:hAnsi="宋体" w:cs="宋体"/>
          <w:kern w:val="0"/>
          <w:szCs w:val="21"/>
          <w:u w:val="single"/>
        </w:rPr>
        <w:t xml:space="preserve">               </w:t>
      </w:r>
      <w:r>
        <w:rPr>
          <w:rFonts w:hint="eastAsia" w:ascii="宋体" w:hAnsi="宋体" w:cs="宋体"/>
          <w:kern w:val="0"/>
          <w:szCs w:val="21"/>
        </w:rPr>
        <w:t>（投标人名称）的法定代表人，现委托</w:t>
      </w:r>
      <w:r>
        <w:rPr>
          <w:rFonts w:hint="eastAsia" w:ascii="宋体" w:hAnsi="宋体" w:cs="宋体"/>
          <w:kern w:val="0"/>
          <w:szCs w:val="21"/>
          <w:u w:val="single"/>
        </w:rPr>
        <w:t xml:space="preserve">            </w:t>
      </w:r>
      <w:r>
        <w:rPr>
          <w:rFonts w:hint="eastAsia" w:ascii="宋体" w:hAnsi="宋体" w:cs="宋体"/>
          <w:kern w:val="0"/>
          <w:szCs w:val="21"/>
        </w:rPr>
        <w:t>（姓名）为我方代理人。代理人根据授权，以我方名义签署、澄清、说明、补正、递交、撤回、修改</w:t>
      </w:r>
      <w:r>
        <w:rPr>
          <w:rFonts w:hint="eastAsia" w:ascii="宋体" w:hAnsi="宋体" w:cs="宋体"/>
          <w:kern w:val="0"/>
          <w:szCs w:val="21"/>
          <w:u w:val="single"/>
        </w:rPr>
        <w:t xml:space="preserve">             （项目名称及标段）      </w:t>
      </w:r>
      <w:r>
        <w:rPr>
          <w:rFonts w:hint="eastAsia" w:ascii="宋体" w:hAnsi="宋体" w:cs="宋体"/>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代理人无转委托权。</w:t>
      </w:r>
    </w:p>
    <w:p>
      <w:pPr>
        <w:autoSpaceDE w:val="0"/>
        <w:autoSpaceDN w:val="0"/>
        <w:adjustRightInd w:val="0"/>
        <w:spacing w:line="360" w:lineRule="auto"/>
        <w:ind w:firstLine="420" w:firstLineChars="200"/>
        <w:jc w:val="left"/>
        <w:rPr>
          <w:rFonts w:ascii="宋体" w:hAnsi="宋体" w:cs="宋体"/>
          <w:kern w:val="0"/>
          <w:szCs w:val="21"/>
        </w:rPr>
      </w:pP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附：法定代表人身份证明</w:t>
      </w:r>
    </w:p>
    <w:p>
      <w:pPr>
        <w:autoSpaceDE w:val="0"/>
        <w:autoSpaceDN w:val="0"/>
        <w:adjustRightInd w:val="0"/>
        <w:spacing w:line="360" w:lineRule="auto"/>
        <w:ind w:firstLine="420" w:firstLineChars="200"/>
        <w:jc w:val="left"/>
        <w:rPr>
          <w:rFonts w:ascii="宋体" w:hAnsi="宋体" w:cs="宋体"/>
          <w:kern w:val="0"/>
          <w:szCs w:val="21"/>
        </w:rPr>
      </w:pP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投  标  人：</w:t>
      </w:r>
      <w:r>
        <w:rPr>
          <w:rFonts w:hint="eastAsia" w:ascii="宋体" w:hAnsi="宋体" w:cs="宋体"/>
          <w:kern w:val="0"/>
          <w:szCs w:val="21"/>
          <w:u w:val="single"/>
        </w:rPr>
        <w:t xml:space="preserve">                        </w:t>
      </w:r>
      <w:r>
        <w:rPr>
          <w:rFonts w:hint="eastAsia" w:ascii="宋体" w:hAnsi="宋体" w:cs="宋体"/>
          <w:kern w:val="0"/>
          <w:szCs w:val="21"/>
        </w:rPr>
        <w:t>（盖单位章）</w:t>
      </w:r>
    </w:p>
    <w:p>
      <w:pPr>
        <w:autoSpaceDE w:val="0"/>
        <w:autoSpaceDN w:val="0"/>
        <w:adjustRightInd w:val="0"/>
        <w:spacing w:line="360" w:lineRule="auto"/>
        <w:ind w:firstLine="420" w:firstLineChars="200"/>
        <w:jc w:val="left"/>
        <w:rPr>
          <w:rFonts w:ascii="宋体" w:hAnsi="宋体" w:cs="宋体"/>
          <w:kern w:val="0"/>
          <w:szCs w:val="21"/>
        </w:rPr>
      </w:pP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w:t>
      </w:r>
      <w:r>
        <w:rPr>
          <w:rFonts w:hint="eastAsia" w:ascii="宋体" w:hAnsi="宋体" w:cs="宋体"/>
          <w:kern w:val="0"/>
          <w:szCs w:val="21"/>
          <w:u w:val="single"/>
        </w:rPr>
        <w:t xml:space="preserve">                            </w:t>
      </w:r>
      <w:r>
        <w:rPr>
          <w:rFonts w:hint="eastAsia" w:ascii="宋体" w:hAnsi="宋体" w:cs="宋体"/>
          <w:kern w:val="0"/>
          <w:szCs w:val="21"/>
        </w:rPr>
        <w:t>（签字）</w:t>
      </w:r>
    </w:p>
    <w:p>
      <w:pPr>
        <w:autoSpaceDE w:val="0"/>
        <w:autoSpaceDN w:val="0"/>
        <w:adjustRightInd w:val="0"/>
        <w:spacing w:line="360" w:lineRule="auto"/>
        <w:ind w:firstLine="420" w:firstLineChars="200"/>
        <w:jc w:val="left"/>
        <w:rPr>
          <w:rFonts w:ascii="宋体" w:hAnsi="宋体" w:cs="宋体"/>
          <w:kern w:val="0"/>
          <w:szCs w:val="21"/>
        </w:rPr>
      </w:pPr>
    </w:p>
    <w:p>
      <w:pPr>
        <w:autoSpaceDE w:val="0"/>
        <w:autoSpaceDN w:val="0"/>
        <w:adjustRightInd w:val="0"/>
        <w:spacing w:line="360" w:lineRule="auto"/>
        <w:ind w:firstLine="420" w:firstLineChars="200"/>
        <w:jc w:val="left"/>
        <w:rPr>
          <w:rFonts w:ascii="宋体" w:hAnsi="宋体" w:cs="宋体"/>
          <w:kern w:val="0"/>
          <w:szCs w:val="21"/>
          <w:u w:val="single"/>
        </w:rPr>
      </w:pPr>
      <w:r>
        <w:rPr>
          <w:rFonts w:hint="eastAsia" w:ascii="宋体" w:hAnsi="宋体" w:cs="宋体"/>
          <w:kern w:val="0"/>
          <w:szCs w:val="21"/>
        </w:rPr>
        <w:t>身份证号码：</w:t>
      </w:r>
      <w:r>
        <w:rPr>
          <w:rFonts w:hint="eastAsia" w:ascii="宋体" w:hAnsi="宋体" w:cs="宋体"/>
          <w:kern w:val="0"/>
          <w:szCs w:val="21"/>
          <w:u w:val="single"/>
        </w:rPr>
        <w:t xml:space="preserve">                                   </w:t>
      </w:r>
    </w:p>
    <w:p>
      <w:pPr>
        <w:autoSpaceDE w:val="0"/>
        <w:autoSpaceDN w:val="0"/>
        <w:adjustRightInd w:val="0"/>
        <w:spacing w:line="360" w:lineRule="auto"/>
        <w:ind w:firstLine="420" w:firstLineChars="200"/>
        <w:jc w:val="left"/>
        <w:rPr>
          <w:rFonts w:ascii="宋体" w:hAnsi="宋体" w:cs="宋体"/>
          <w:kern w:val="0"/>
          <w:szCs w:val="21"/>
        </w:rPr>
      </w:pP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委托代理人：</w:t>
      </w:r>
      <w:r>
        <w:rPr>
          <w:rFonts w:hint="eastAsia" w:ascii="宋体" w:hAnsi="宋体" w:cs="宋体"/>
          <w:kern w:val="0"/>
          <w:szCs w:val="21"/>
          <w:u w:val="single"/>
        </w:rPr>
        <w:t xml:space="preserve">                             </w:t>
      </w:r>
      <w:r>
        <w:rPr>
          <w:rFonts w:hint="eastAsia" w:ascii="宋体" w:hAnsi="宋体" w:cs="宋体"/>
          <w:kern w:val="0"/>
          <w:szCs w:val="21"/>
        </w:rPr>
        <w:t>（签字）</w:t>
      </w:r>
    </w:p>
    <w:p>
      <w:pPr>
        <w:autoSpaceDE w:val="0"/>
        <w:autoSpaceDN w:val="0"/>
        <w:adjustRightInd w:val="0"/>
        <w:spacing w:line="360" w:lineRule="auto"/>
        <w:ind w:firstLine="420" w:firstLineChars="200"/>
        <w:jc w:val="left"/>
        <w:rPr>
          <w:rFonts w:ascii="宋体" w:hAnsi="宋体" w:cs="宋体"/>
          <w:kern w:val="0"/>
          <w:szCs w:val="21"/>
        </w:rPr>
      </w:pPr>
    </w:p>
    <w:p>
      <w:pPr>
        <w:autoSpaceDE w:val="0"/>
        <w:autoSpaceDN w:val="0"/>
        <w:adjustRightInd w:val="0"/>
        <w:spacing w:line="360" w:lineRule="auto"/>
        <w:ind w:firstLine="420" w:firstLineChars="200"/>
        <w:jc w:val="left"/>
        <w:rPr>
          <w:rFonts w:ascii="宋体" w:hAnsi="宋体" w:cs="宋体"/>
          <w:kern w:val="0"/>
          <w:szCs w:val="21"/>
          <w:u w:val="single"/>
        </w:rPr>
      </w:pPr>
      <w:r>
        <w:rPr>
          <w:rFonts w:hint="eastAsia" w:ascii="宋体" w:hAnsi="宋体" w:cs="宋体"/>
          <w:kern w:val="0"/>
          <w:szCs w:val="21"/>
        </w:rPr>
        <w:t>身份证号码：</w:t>
      </w:r>
      <w:r>
        <w:rPr>
          <w:rFonts w:hint="eastAsia" w:ascii="宋体" w:hAnsi="宋体" w:cs="宋体"/>
          <w:kern w:val="0"/>
          <w:szCs w:val="21"/>
          <w:u w:val="single"/>
        </w:rPr>
        <w:t xml:space="preserve">                                   </w:t>
      </w:r>
    </w:p>
    <w:p>
      <w:pPr>
        <w:autoSpaceDE w:val="0"/>
        <w:autoSpaceDN w:val="0"/>
        <w:adjustRightInd w:val="0"/>
        <w:spacing w:line="360" w:lineRule="auto"/>
        <w:ind w:firstLine="420" w:firstLineChars="200"/>
        <w:jc w:val="left"/>
        <w:rPr>
          <w:rFonts w:ascii="宋体" w:hAnsi="宋体" w:cs="宋体"/>
          <w:kern w:val="0"/>
          <w:szCs w:val="21"/>
        </w:rPr>
      </w:pPr>
    </w:p>
    <w:p>
      <w:pPr>
        <w:autoSpaceDE w:val="0"/>
        <w:autoSpaceDN w:val="0"/>
        <w:adjustRightInd w:val="0"/>
        <w:spacing w:line="360" w:lineRule="auto"/>
        <w:ind w:firstLine="3255" w:firstLineChars="1550"/>
        <w:jc w:val="left"/>
        <w:rPr>
          <w:rFonts w:ascii="宋体" w:hAnsi="宋体" w:cs="宋体"/>
          <w:kern w:val="0"/>
          <w:szCs w:val="21"/>
          <w:u w:val="single"/>
        </w:rPr>
      </w:pPr>
    </w:p>
    <w:p>
      <w:pPr>
        <w:autoSpaceDE w:val="0"/>
        <w:autoSpaceDN w:val="0"/>
        <w:adjustRightInd w:val="0"/>
        <w:spacing w:line="360" w:lineRule="auto"/>
        <w:ind w:firstLine="3255" w:firstLineChars="1550"/>
        <w:jc w:val="left"/>
        <w:rPr>
          <w:rFonts w:ascii="宋体" w:hAnsi="宋体" w:cs="宋体"/>
          <w:kern w:val="0"/>
          <w:szCs w:val="21"/>
          <w:u w:val="single"/>
        </w:rPr>
      </w:pPr>
    </w:p>
    <w:p>
      <w:pPr>
        <w:autoSpaceDE w:val="0"/>
        <w:autoSpaceDN w:val="0"/>
        <w:adjustRightInd w:val="0"/>
        <w:spacing w:line="360" w:lineRule="auto"/>
        <w:ind w:firstLine="3255" w:firstLineChars="1550"/>
        <w:jc w:val="left"/>
        <w:rPr>
          <w:rFonts w:ascii="宋体" w:hAnsi="宋体" w:cs="宋体"/>
          <w:kern w:val="0"/>
          <w:szCs w:val="21"/>
          <w:u w:val="single"/>
        </w:rPr>
      </w:pPr>
    </w:p>
    <w:p>
      <w:pPr>
        <w:autoSpaceDE w:val="0"/>
        <w:autoSpaceDN w:val="0"/>
        <w:adjustRightInd w:val="0"/>
        <w:spacing w:line="360" w:lineRule="auto"/>
        <w:ind w:firstLine="3255" w:firstLineChars="1550"/>
        <w:jc w:val="left"/>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p>
      <w:pPr>
        <w:pStyle w:val="212"/>
        <w:spacing w:line="360" w:lineRule="auto"/>
        <w:jc w:val="left"/>
        <w:rPr>
          <w:rFonts w:hAnsi="宋体" w:cs="宋体"/>
          <w:sz w:val="24"/>
        </w:rPr>
      </w:pPr>
    </w:p>
    <w:p>
      <w:pPr>
        <w:pStyle w:val="212"/>
        <w:spacing w:line="360" w:lineRule="auto"/>
        <w:jc w:val="left"/>
        <w:rPr>
          <w:rFonts w:hAnsi="宋体" w:cs="宋体"/>
          <w:sz w:val="24"/>
        </w:rPr>
      </w:pPr>
    </w:p>
    <w:p>
      <w:pPr>
        <w:pStyle w:val="3"/>
        <w:spacing w:line="360" w:lineRule="auto"/>
        <w:rPr>
          <w:rFonts w:ascii="黑体" w:hAnsi="TimesNewRomanPSMT" w:cs="宋体"/>
          <w:kern w:val="0"/>
          <w:sz w:val="30"/>
          <w:szCs w:val="30"/>
        </w:rPr>
      </w:pPr>
      <w:r>
        <w:rPr>
          <w:rFonts w:hAnsi="宋体" w:cs="宋体"/>
          <w:sz w:val="24"/>
        </w:rPr>
        <w:br w:type="page"/>
      </w:r>
      <w:bookmarkStart w:id="504" w:name="_Toc511142527"/>
      <w:bookmarkStart w:id="505" w:name="_Toc27717"/>
      <w:r>
        <w:rPr>
          <w:rFonts w:hint="eastAsia" w:ascii="宋体" w:hAnsi="宋体" w:eastAsia="宋体"/>
        </w:rPr>
        <w:t>5.法定代表人身份证明</w:t>
      </w:r>
      <w:bookmarkEnd w:id="504"/>
      <w:bookmarkEnd w:id="505"/>
    </w:p>
    <w:p>
      <w:pPr>
        <w:autoSpaceDE w:val="0"/>
        <w:autoSpaceDN w:val="0"/>
        <w:adjustRightInd w:val="0"/>
        <w:spacing w:line="360" w:lineRule="auto"/>
        <w:ind w:firstLine="480" w:firstLineChars="200"/>
        <w:jc w:val="left"/>
        <w:rPr>
          <w:rFonts w:ascii="宋体" w:hAnsi="TimesNewRomanPSMT" w:cs="宋体"/>
          <w:kern w:val="0"/>
          <w:sz w:val="24"/>
        </w:rPr>
      </w:pPr>
    </w:p>
    <w:p>
      <w:pPr>
        <w:autoSpaceDE w:val="0"/>
        <w:autoSpaceDN w:val="0"/>
        <w:adjustRightInd w:val="0"/>
        <w:spacing w:line="360" w:lineRule="auto"/>
        <w:ind w:firstLine="480" w:firstLineChars="200"/>
        <w:jc w:val="left"/>
        <w:rPr>
          <w:rFonts w:ascii="宋体" w:hAnsi="TimesNewRomanPSMT" w:cs="宋体"/>
          <w:kern w:val="0"/>
          <w:sz w:val="24"/>
        </w:rPr>
      </w:pPr>
    </w:p>
    <w:p>
      <w:pPr>
        <w:autoSpaceDE w:val="0"/>
        <w:autoSpaceDN w:val="0"/>
        <w:adjustRightInd w:val="0"/>
        <w:spacing w:line="360" w:lineRule="auto"/>
        <w:jc w:val="center"/>
        <w:rPr>
          <w:rFonts w:ascii="宋体" w:hAnsi="宋体" w:cs="宋体"/>
          <w:kern w:val="0"/>
          <w:sz w:val="32"/>
          <w:szCs w:val="32"/>
        </w:rPr>
      </w:pPr>
      <w:r>
        <w:rPr>
          <w:rFonts w:hint="eastAsia" w:ascii="宋体" w:hAnsi="宋体" w:cs="宋体"/>
          <w:kern w:val="0"/>
          <w:sz w:val="32"/>
          <w:szCs w:val="32"/>
        </w:rPr>
        <w:t>法定代表人身份证明</w:t>
      </w:r>
    </w:p>
    <w:p>
      <w:pPr>
        <w:autoSpaceDE w:val="0"/>
        <w:autoSpaceDN w:val="0"/>
        <w:adjustRightInd w:val="0"/>
        <w:spacing w:line="360" w:lineRule="auto"/>
        <w:ind w:firstLine="480" w:firstLineChars="200"/>
        <w:jc w:val="left"/>
        <w:rPr>
          <w:rFonts w:ascii="宋体" w:hAnsi="TimesNewRomanPSMT" w:cs="宋体"/>
          <w:kern w:val="0"/>
          <w:sz w:val="24"/>
        </w:rPr>
      </w:pP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投 标 人：</w:t>
      </w:r>
      <w:r>
        <w:rPr>
          <w:rFonts w:hint="eastAsia" w:ascii="宋体" w:hAnsi="TimesNewRomanPSMT" w:cs="宋体"/>
          <w:kern w:val="0"/>
          <w:szCs w:val="21"/>
          <w:u w:val="single"/>
        </w:rPr>
        <w:t xml:space="preserve">                                                       </w:t>
      </w:r>
      <w:r>
        <w:rPr>
          <w:rFonts w:hint="eastAsia" w:ascii="宋体" w:hAnsi="TimesNewRomanPSMT" w:cs="宋体"/>
          <w:kern w:val="0"/>
          <w:szCs w:val="21"/>
        </w:rPr>
        <w:t xml:space="preserve"> </w:t>
      </w: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单位性质：</w:t>
      </w:r>
      <w:r>
        <w:rPr>
          <w:rFonts w:hint="eastAsia" w:ascii="宋体" w:hAnsi="TimesNewRomanPSMT" w:cs="宋体"/>
          <w:kern w:val="0"/>
          <w:szCs w:val="21"/>
          <w:u w:val="single"/>
        </w:rPr>
        <w:t xml:space="preserve">                                                       </w:t>
      </w:r>
      <w:r>
        <w:rPr>
          <w:rFonts w:hint="eastAsia" w:ascii="宋体" w:hAnsi="TimesNewRomanPSMT" w:cs="宋体"/>
          <w:kern w:val="0"/>
          <w:szCs w:val="21"/>
        </w:rPr>
        <w:t xml:space="preserve"> </w:t>
      </w: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地    址：</w:t>
      </w:r>
      <w:r>
        <w:rPr>
          <w:rFonts w:hint="eastAsia" w:ascii="宋体" w:hAnsi="TimesNewRomanPSMT" w:cs="宋体"/>
          <w:kern w:val="0"/>
          <w:szCs w:val="21"/>
          <w:u w:val="single"/>
        </w:rPr>
        <w:t xml:space="preserve">                                                       </w:t>
      </w:r>
      <w:r>
        <w:rPr>
          <w:rFonts w:hint="eastAsia" w:ascii="宋体" w:hAnsi="TimesNewRomanPSMT" w:cs="宋体"/>
          <w:kern w:val="0"/>
          <w:szCs w:val="21"/>
        </w:rPr>
        <w:t xml:space="preserve"> </w:t>
      </w: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成立时间：</w:t>
      </w:r>
      <w:r>
        <w:rPr>
          <w:rFonts w:hint="eastAsia" w:ascii="宋体" w:hAnsi="TimesNewRomanPSMT" w:cs="宋体"/>
          <w:kern w:val="0"/>
          <w:szCs w:val="21"/>
          <w:u w:val="single"/>
        </w:rPr>
        <w:t xml:space="preserve">                 </w:t>
      </w:r>
      <w:r>
        <w:rPr>
          <w:rFonts w:hint="eastAsia" w:ascii="宋体" w:hAnsi="TimesNewRomanPSMT" w:cs="宋体"/>
          <w:kern w:val="0"/>
          <w:szCs w:val="21"/>
        </w:rPr>
        <w:t>年</w:t>
      </w:r>
      <w:r>
        <w:rPr>
          <w:rFonts w:hint="eastAsia" w:ascii="宋体" w:hAnsi="TimesNewRomanPSMT" w:cs="宋体"/>
          <w:kern w:val="0"/>
          <w:szCs w:val="21"/>
          <w:u w:val="single"/>
        </w:rPr>
        <w:t xml:space="preserve">              </w:t>
      </w:r>
      <w:r>
        <w:rPr>
          <w:rFonts w:hint="eastAsia" w:ascii="宋体" w:hAnsi="TimesNewRomanPSMT" w:cs="宋体"/>
          <w:kern w:val="0"/>
          <w:szCs w:val="21"/>
        </w:rPr>
        <w:t>月</w:t>
      </w:r>
      <w:r>
        <w:rPr>
          <w:rFonts w:hint="eastAsia" w:ascii="宋体" w:hAnsi="TimesNewRomanPSMT" w:cs="宋体"/>
          <w:kern w:val="0"/>
          <w:szCs w:val="21"/>
          <w:u w:val="single"/>
        </w:rPr>
        <w:t xml:space="preserve">              </w:t>
      </w:r>
      <w:r>
        <w:rPr>
          <w:rFonts w:hint="eastAsia" w:ascii="宋体" w:hAnsi="TimesNewRomanPSMT" w:cs="宋体"/>
          <w:kern w:val="0"/>
          <w:szCs w:val="21"/>
        </w:rPr>
        <w:t>日</w:t>
      </w: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经营期限：</w:t>
      </w:r>
      <w:r>
        <w:rPr>
          <w:rFonts w:hint="eastAsia" w:ascii="宋体" w:hAnsi="TimesNewRomanPSMT" w:cs="宋体"/>
          <w:kern w:val="0"/>
          <w:szCs w:val="21"/>
          <w:u w:val="single"/>
        </w:rPr>
        <w:t xml:space="preserve">                                                        </w:t>
      </w: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姓    名：</w:t>
      </w:r>
      <w:r>
        <w:rPr>
          <w:rFonts w:hint="eastAsia" w:ascii="宋体" w:hAnsi="TimesNewRomanPSMT" w:cs="宋体"/>
          <w:kern w:val="0"/>
          <w:szCs w:val="21"/>
          <w:u w:val="single"/>
        </w:rPr>
        <w:t xml:space="preserve">                      </w:t>
      </w:r>
      <w:r>
        <w:rPr>
          <w:rFonts w:hint="eastAsia" w:ascii="宋体" w:hAnsi="TimesNewRomanPSMT" w:cs="宋体"/>
          <w:kern w:val="0"/>
          <w:szCs w:val="21"/>
        </w:rPr>
        <w:t xml:space="preserve">    性        别：</w:t>
      </w:r>
      <w:r>
        <w:rPr>
          <w:rFonts w:hint="eastAsia" w:ascii="宋体" w:hAnsi="TimesNewRomanPSMT" w:cs="宋体"/>
          <w:kern w:val="0"/>
          <w:szCs w:val="21"/>
          <w:u w:val="single"/>
        </w:rPr>
        <w:t xml:space="preserve">                </w:t>
      </w: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年    龄：</w:t>
      </w:r>
      <w:r>
        <w:rPr>
          <w:rFonts w:hint="eastAsia" w:ascii="宋体" w:hAnsi="TimesNewRomanPSMT" w:cs="宋体"/>
          <w:kern w:val="0"/>
          <w:szCs w:val="21"/>
          <w:u w:val="single"/>
        </w:rPr>
        <w:t xml:space="preserve">                      </w:t>
      </w:r>
      <w:r>
        <w:rPr>
          <w:rFonts w:hint="eastAsia" w:ascii="宋体" w:hAnsi="TimesNewRomanPSMT" w:cs="宋体"/>
          <w:kern w:val="0"/>
          <w:szCs w:val="21"/>
        </w:rPr>
        <w:t xml:space="preserve">    职        务：</w:t>
      </w:r>
      <w:r>
        <w:rPr>
          <w:rFonts w:hint="eastAsia" w:ascii="宋体" w:hAnsi="TimesNewRomanPSMT" w:cs="宋体"/>
          <w:kern w:val="0"/>
          <w:szCs w:val="21"/>
          <w:u w:val="single"/>
        </w:rPr>
        <w:t xml:space="preserve">                </w:t>
      </w: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系</w:t>
      </w:r>
      <w:r>
        <w:rPr>
          <w:rFonts w:hint="eastAsia" w:ascii="宋体" w:hAnsi="TimesNewRomanPSMT" w:cs="宋体"/>
          <w:kern w:val="0"/>
          <w:szCs w:val="21"/>
          <w:u w:val="single"/>
        </w:rPr>
        <w:t xml:space="preserve">                                    </w:t>
      </w:r>
      <w:r>
        <w:rPr>
          <w:rFonts w:hint="eastAsia" w:ascii="宋体" w:hAnsi="TimesNewRomanPSMT" w:cs="宋体"/>
          <w:kern w:val="0"/>
          <w:szCs w:val="21"/>
        </w:rPr>
        <w:t>（投标人名称）的法定代表人。</w:t>
      </w:r>
    </w:p>
    <w:p>
      <w:pPr>
        <w:autoSpaceDE w:val="0"/>
        <w:autoSpaceDN w:val="0"/>
        <w:adjustRightInd w:val="0"/>
        <w:spacing w:line="360" w:lineRule="auto"/>
        <w:ind w:firstLine="840" w:firstLineChars="400"/>
        <w:jc w:val="left"/>
        <w:rPr>
          <w:rFonts w:ascii="宋体" w:hAnsi="TimesNewRomanPSMT" w:cs="宋体"/>
          <w:kern w:val="0"/>
          <w:szCs w:val="21"/>
        </w:rPr>
      </w:pPr>
      <w:r>
        <w:rPr>
          <w:rFonts w:hint="eastAsia" w:ascii="宋体" w:hAnsi="TimesNewRomanPSMT" w:cs="宋体"/>
          <w:kern w:val="0"/>
          <w:szCs w:val="21"/>
        </w:rPr>
        <w:t>特此证明。</w:t>
      </w:r>
    </w:p>
    <w:p>
      <w:pPr>
        <w:autoSpaceDE w:val="0"/>
        <w:autoSpaceDN w:val="0"/>
        <w:adjustRightInd w:val="0"/>
        <w:spacing w:line="360" w:lineRule="auto"/>
        <w:ind w:firstLine="420" w:firstLineChars="200"/>
        <w:jc w:val="left"/>
        <w:rPr>
          <w:rFonts w:ascii="宋体" w:hAnsi="TimesNewRomanPSMT" w:cs="宋体"/>
          <w:kern w:val="0"/>
          <w:szCs w:val="21"/>
        </w:rPr>
      </w:pP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附：法定代表人身份证复印件。</w:t>
      </w:r>
    </w:p>
    <w:p>
      <w:pPr>
        <w:autoSpaceDE w:val="0"/>
        <w:autoSpaceDN w:val="0"/>
        <w:adjustRightInd w:val="0"/>
        <w:spacing w:line="360" w:lineRule="auto"/>
        <w:ind w:firstLine="420" w:firstLineChars="200"/>
        <w:jc w:val="left"/>
        <w:rPr>
          <w:rFonts w:ascii="宋体" w:hAnsi="TimesNewRomanPSMT" w:cs="宋体"/>
          <w:kern w:val="0"/>
          <w:szCs w:val="21"/>
        </w:rPr>
      </w:pPr>
    </w:p>
    <w:p>
      <w:pPr>
        <w:autoSpaceDE w:val="0"/>
        <w:autoSpaceDN w:val="0"/>
        <w:adjustRightInd w:val="0"/>
        <w:spacing w:line="360" w:lineRule="auto"/>
        <w:ind w:firstLine="420" w:firstLineChars="200"/>
        <w:jc w:val="left"/>
        <w:rPr>
          <w:rFonts w:ascii="宋体" w:hAnsi="TimesNewRomanPSMT" w:cs="宋体"/>
          <w:kern w:val="0"/>
          <w:szCs w:val="21"/>
        </w:rPr>
      </w:pPr>
    </w:p>
    <w:p>
      <w:pPr>
        <w:autoSpaceDE w:val="0"/>
        <w:autoSpaceDN w:val="0"/>
        <w:adjustRightInd w:val="0"/>
        <w:spacing w:line="360" w:lineRule="auto"/>
        <w:ind w:firstLine="420" w:firstLineChars="200"/>
        <w:jc w:val="left"/>
        <w:rPr>
          <w:rFonts w:ascii="宋体" w:hAnsi="TimesNewRomanPSMT" w:cs="宋体"/>
          <w:kern w:val="0"/>
          <w:szCs w:val="21"/>
        </w:rPr>
      </w:pPr>
    </w:p>
    <w:p>
      <w:pPr>
        <w:autoSpaceDE w:val="0"/>
        <w:autoSpaceDN w:val="0"/>
        <w:adjustRightInd w:val="0"/>
        <w:spacing w:line="360" w:lineRule="auto"/>
        <w:ind w:firstLine="420" w:firstLineChars="200"/>
        <w:jc w:val="left"/>
        <w:rPr>
          <w:rFonts w:ascii="宋体" w:hAnsi="TimesNewRomanPSMT" w:cs="宋体"/>
          <w:kern w:val="0"/>
          <w:szCs w:val="21"/>
        </w:rPr>
      </w:pPr>
    </w:p>
    <w:p>
      <w:pPr>
        <w:autoSpaceDE w:val="0"/>
        <w:autoSpaceDN w:val="0"/>
        <w:adjustRightInd w:val="0"/>
        <w:spacing w:line="360" w:lineRule="auto"/>
        <w:ind w:firstLine="1995" w:firstLineChars="950"/>
        <w:jc w:val="left"/>
        <w:rPr>
          <w:rFonts w:ascii="宋体" w:hAnsi="TimesNewRomanPSMT" w:cs="宋体"/>
          <w:kern w:val="0"/>
          <w:szCs w:val="21"/>
        </w:rPr>
      </w:pPr>
      <w:r>
        <w:rPr>
          <w:rFonts w:hint="eastAsia" w:ascii="宋体" w:hAnsi="TimesNewRomanPSMT" w:cs="宋体"/>
          <w:kern w:val="0"/>
          <w:szCs w:val="21"/>
        </w:rPr>
        <w:t>投标人：</w:t>
      </w:r>
      <w:r>
        <w:rPr>
          <w:rFonts w:hint="eastAsia" w:ascii="宋体" w:hAnsi="TimesNewRomanPSMT" w:cs="宋体"/>
          <w:kern w:val="0"/>
          <w:szCs w:val="21"/>
          <w:u w:val="single"/>
        </w:rPr>
        <w:t xml:space="preserve">                          </w:t>
      </w:r>
      <w:r>
        <w:rPr>
          <w:rFonts w:hint="eastAsia" w:ascii="宋体" w:hAnsi="TimesNewRomanPSMT" w:cs="宋体"/>
          <w:kern w:val="0"/>
          <w:szCs w:val="21"/>
        </w:rPr>
        <w:t>（盖单位章）</w:t>
      </w: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 xml:space="preserve">                         </w:t>
      </w:r>
      <w:r>
        <w:rPr>
          <w:rFonts w:hint="eastAsia" w:ascii="宋体" w:hAnsi="TimesNewRomanPSMT" w:cs="宋体"/>
          <w:kern w:val="0"/>
          <w:szCs w:val="21"/>
          <w:u w:val="single"/>
        </w:rPr>
        <w:t xml:space="preserve">          </w:t>
      </w:r>
      <w:r>
        <w:rPr>
          <w:rFonts w:hint="eastAsia" w:ascii="宋体" w:hAnsi="TimesNewRomanPSMT" w:cs="宋体"/>
          <w:kern w:val="0"/>
          <w:szCs w:val="21"/>
        </w:rPr>
        <w:t>年</w:t>
      </w:r>
      <w:r>
        <w:rPr>
          <w:rFonts w:hint="eastAsia" w:ascii="宋体" w:hAnsi="TimesNewRomanPSMT" w:cs="宋体"/>
          <w:kern w:val="0"/>
          <w:szCs w:val="21"/>
          <w:u w:val="single"/>
        </w:rPr>
        <w:t xml:space="preserve">        </w:t>
      </w:r>
      <w:r>
        <w:rPr>
          <w:rFonts w:hint="eastAsia" w:ascii="宋体" w:hAnsi="TimesNewRomanPSMT" w:cs="宋体"/>
          <w:kern w:val="0"/>
          <w:szCs w:val="21"/>
        </w:rPr>
        <w:t>月</w:t>
      </w:r>
      <w:r>
        <w:rPr>
          <w:rFonts w:hint="eastAsia" w:ascii="宋体" w:hAnsi="TimesNewRomanPSMT" w:cs="宋体"/>
          <w:kern w:val="0"/>
          <w:szCs w:val="21"/>
          <w:u w:val="single"/>
        </w:rPr>
        <w:t xml:space="preserve">        </w:t>
      </w:r>
      <w:r>
        <w:rPr>
          <w:rFonts w:hint="eastAsia" w:ascii="宋体" w:hAnsi="TimesNewRomanPSMT" w:cs="宋体"/>
          <w:kern w:val="0"/>
          <w:szCs w:val="21"/>
        </w:rPr>
        <w:t xml:space="preserve">日  </w:t>
      </w:r>
    </w:p>
    <w:p>
      <w:pPr>
        <w:pStyle w:val="3"/>
        <w:spacing w:line="360" w:lineRule="auto"/>
        <w:rPr>
          <w:rFonts w:ascii="宋体" w:hAnsi="宋体" w:eastAsia="宋体"/>
          <w:sz w:val="24"/>
          <w:szCs w:val="24"/>
        </w:rPr>
      </w:pPr>
    </w:p>
    <w:p>
      <w:pPr>
        <w:pStyle w:val="3"/>
        <w:spacing w:line="360" w:lineRule="auto"/>
        <w:rPr>
          <w:rFonts w:hAnsi="宋体" w:cs="宋体"/>
        </w:rPr>
      </w:pPr>
    </w:p>
    <w:p>
      <w:pPr>
        <w:pStyle w:val="212"/>
        <w:spacing w:line="360" w:lineRule="auto"/>
        <w:rPr>
          <w:rFonts w:hAnsi="宋体" w:cs="宋体"/>
          <w:b/>
          <w:sz w:val="24"/>
        </w:rPr>
      </w:pPr>
    </w:p>
    <w:p>
      <w:pPr>
        <w:pStyle w:val="212"/>
        <w:spacing w:line="360" w:lineRule="auto"/>
        <w:rPr>
          <w:rFonts w:hAnsi="宋体" w:cs="宋体"/>
          <w:sz w:val="24"/>
        </w:rPr>
      </w:pPr>
    </w:p>
    <w:p>
      <w:pPr>
        <w:pStyle w:val="159"/>
        <w:rPr>
          <w:color w:val="auto"/>
        </w:rPr>
      </w:pPr>
      <w:r>
        <w:rPr>
          <w:color w:val="auto"/>
        </w:rPr>
        <w:br w:type="page"/>
      </w:r>
      <w:bookmarkStart w:id="506" w:name="_Toc387526451"/>
      <w:bookmarkStart w:id="507" w:name="_Toc387526359"/>
      <w:bookmarkStart w:id="508" w:name="_Toc397928645"/>
      <w:bookmarkStart w:id="509" w:name="_Toc27205"/>
      <w:bookmarkStart w:id="510" w:name="_Toc387526255"/>
      <w:bookmarkStart w:id="511" w:name="_Toc17568"/>
      <w:bookmarkStart w:id="512" w:name="_Toc511142528"/>
      <w:r>
        <w:rPr>
          <w:rFonts w:hint="eastAsia"/>
          <w:color w:val="auto"/>
        </w:rPr>
        <w:t>6.技术参数响应表</w:t>
      </w:r>
      <w:bookmarkEnd w:id="506"/>
      <w:bookmarkEnd w:id="507"/>
      <w:bookmarkEnd w:id="508"/>
      <w:bookmarkEnd w:id="509"/>
      <w:bookmarkEnd w:id="510"/>
      <w:bookmarkEnd w:id="511"/>
      <w:bookmarkEnd w:id="512"/>
    </w:p>
    <w:p>
      <w:pPr>
        <w:pStyle w:val="212"/>
        <w:tabs>
          <w:tab w:val="left" w:pos="6930"/>
          <w:tab w:val="left" w:pos="8360"/>
        </w:tabs>
        <w:spacing w:line="360" w:lineRule="auto"/>
        <w:ind w:right="42"/>
        <w:jc w:val="center"/>
        <w:rPr>
          <w:rFonts w:hAnsi="宋体" w:cs="宋体"/>
          <w:sz w:val="32"/>
          <w:szCs w:val="32"/>
        </w:rPr>
      </w:pPr>
      <w:r>
        <w:rPr>
          <w:rFonts w:hint="eastAsia" w:hAnsi="宋体" w:cs="宋体"/>
          <w:sz w:val="32"/>
          <w:szCs w:val="32"/>
        </w:rPr>
        <w:t>技术参数响应表</w:t>
      </w:r>
    </w:p>
    <w:p>
      <w:pPr>
        <w:spacing w:line="360" w:lineRule="auto"/>
        <w:jc w:val="left"/>
        <w:rPr>
          <w:rFonts w:ascii="宋体" w:hAnsi="宋体" w:cs="宋体"/>
          <w:b/>
          <w:szCs w:val="21"/>
        </w:rPr>
      </w:pPr>
      <w:r>
        <w:rPr>
          <w:rFonts w:hint="eastAsia" w:ascii="宋体" w:hAnsi="宋体" w:cs="宋体"/>
          <w:b/>
          <w:szCs w:val="21"/>
        </w:rPr>
        <w:t>标段号：</w:t>
      </w:r>
    </w:p>
    <w:tbl>
      <w:tblPr>
        <w:tblStyle w:val="4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2"/>
        <w:gridCol w:w="1399"/>
        <w:gridCol w:w="1548"/>
        <w:gridCol w:w="1477"/>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4092" w:type="dxa"/>
            <w:tcBorders>
              <w:top w:val="single" w:color="000000" w:sz="4" w:space="0"/>
              <w:left w:val="single" w:color="auto" w:sz="4" w:space="0"/>
              <w:bottom w:val="single" w:color="000000" w:sz="4" w:space="0"/>
              <w:right w:val="single" w:color="000000" w:sz="4" w:space="0"/>
            </w:tcBorders>
          </w:tcPr>
          <w:p>
            <w:pPr>
              <w:spacing w:line="360" w:lineRule="auto"/>
              <w:jc w:val="left"/>
              <w:rPr>
                <w:rFonts w:hint="default" w:ascii="宋体" w:hAnsi="宋体" w:eastAsia="宋体" w:cs="宋体"/>
                <w:szCs w:val="21"/>
                <w:lang w:val="en-US" w:eastAsia="zh-CN"/>
              </w:rPr>
            </w:pPr>
            <w:r>
              <w:rPr>
                <w:rFonts w:hint="eastAsia" w:ascii="宋体" w:hAnsi="宋体" w:cs="宋体"/>
                <w:szCs w:val="21"/>
                <w:lang w:val="en-US" w:eastAsia="zh-CN"/>
              </w:rPr>
              <w:t>产品名称</w:t>
            </w: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r>
              <w:rPr>
                <w:rFonts w:hint="eastAsia" w:ascii="宋体" w:hAnsi="宋体" w:cs="宋体"/>
                <w:szCs w:val="21"/>
              </w:rPr>
              <w:t>招标要求</w:t>
            </w: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r>
              <w:rPr>
                <w:rFonts w:hint="eastAsia" w:ascii="宋体" w:hAnsi="宋体" w:cs="宋体"/>
                <w:szCs w:val="21"/>
              </w:rPr>
              <w:t>投标响应</w:t>
            </w:r>
          </w:p>
        </w:tc>
        <w:tc>
          <w:tcPr>
            <w:tcW w:w="1483" w:type="dxa"/>
            <w:gridSpan w:val="2"/>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r>
              <w:rPr>
                <w:rFonts w:hint="eastAsia" w:ascii="宋体" w:hAnsi="宋体" w:cs="宋体"/>
                <w:szCs w:val="21"/>
              </w:rPr>
              <w:t>正负偏离情况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szCs w:val="21"/>
              </w:rPr>
            </w:pPr>
          </w:p>
        </w:tc>
      </w:tr>
    </w:tbl>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注：投标人应按招标文件要求的品目号分别填写，逐点应答</w:t>
      </w:r>
      <w:r>
        <w:rPr>
          <w:rFonts w:hint="eastAsia" w:ascii="宋体" w:hAnsi="宋体" w:cs="宋体"/>
          <w:szCs w:val="21"/>
          <w:lang w:eastAsia="zh-CN"/>
        </w:rPr>
        <w:t>（</w:t>
      </w:r>
      <w:r>
        <w:rPr>
          <w:rFonts w:hint="eastAsia" w:ascii="宋体" w:hAnsi="宋体" w:cs="宋体"/>
          <w:szCs w:val="21"/>
          <w:lang w:val="en-US" w:eastAsia="zh-CN"/>
        </w:rPr>
        <w:t>表格自制</w:t>
      </w:r>
      <w:r>
        <w:rPr>
          <w:rFonts w:hint="eastAsia" w:ascii="宋体" w:hAnsi="宋体" w:cs="宋体"/>
          <w:szCs w:val="21"/>
          <w:lang w:eastAsia="zh-CN"/>
        </w:rPr>
        <w:t>）</w:t>
      </w:r>
      <w:r>
        <w:rPr>
          <w:rFonts w:hint="eastAsia" w:ascii="宋体" w:hAnsi="宋体" w:cs="宋体"/>
          <w:szCs w:val="21"/>
        </w:rPr>
        <w:t>。</w:t>
      </w:r>
    </w:p>
    <w:p>
      <w:pPr>
        <w:spacing w:line="360" w:lineRule="auto"/>
        <w:jc w:val="left"/>
        <w:rPr>
          <w:rFonts w:ascii="宋体" w:hAnsi="宋体" w:cs="宋体"/>
          <w:b/>
          <w:szCs w:val="21"/>
        </w:rPr>
      </w:pPr>
      <w:r>
        <w:rPr>
          <w:rFonts w:hint="eastAsia" w:ascii="宋体" w:hAnsi="宋体" w:cs="宋体"/>
          <w:b/>
          <w:szCs w:val="21"/>
        </w:rPr>
        <w:t>正偏离表示投标响应高于招标要求，并附页说明，否则可能导致不予认可。</w:t>
      </w:r>
    </w:p>
    <w:p>
      <w:pPr>
        <w:spacing w:line="360" w:lineRule="auto"/>
        <w:jc w:val="left"/>
        <w:rPr>
          <w:rFonts w:ascii="宋体" w:hAnsi="宋体" w:cs="宋体"/>
          <w:b/>
          <w:szCs w:val="21"/>
        </w:rPr>
      </w:pPr>
      <w:r>
        <w:rPr>
          <w:rFonts w:hint="eastAsia" w:ascii="宋体" w:hAnsi="宋体" w:cs="宋体"/>
          <w:b/>
          <w:szCs w:val="21"/>
        </w:rPr>
        <w:t>负偏离表示投标响应低于招标要求，并附页说明，否则可能导致作为不响应投标。</w:t>
      </w:r>
    </w:p>
    <w:p>
      <w:pPr>
        <w:spacing w:line="360" w:lineRule="auto"/>
        <w:jc w:val="left"/>
        <w:rPr>
          <w:rFonts w:ascii="宋体" w:hAnsi="宋体" w:cs="宋体"/>
          <w:b/>
          <w:szCs w:val="21"/>
        </w:rPr>
      </w:pPr>
      <w:r>
        <w:rPr>
          <w:rFonts w:hint="eastAsia" w:ascii="宋体" w:hAnsi="宋体" w:cs="宋体"/>
          <w:b/>
          <w:szCs w:val="21"/>
        </w:rPr>
        <w:t>无偏离表示投标响应等同于招标要求。</w:t>
      </w:r>
    </w:p>
    <w:p>
      <w:pPr>
        <w:pStyle w:val="212"/>
        <w:tabs>
          <w:tab w:val="left" w:pos="6930"/>
          <w:tab w:val="left" w:pos="8360"/>
        </w:tabs>
        <w:spacing w:line="360" w:lineRule="auto"/>
        <w:ind w:right="42"/>
        <w:rPr>
          <w:rFonts w:hAnsi="宋体" w:cs="宋体"/>
          <w:sz w:val="24"/>
        </w:rPr>
      </w:pPr>
    </w:p>
    <w:p>
      <w:pPr>
        <w:pStyle w:val="212"/>
        <w:tabs>
          <w:tab w:val="left" w:pos="6930"/>
          <w:tab w:val="left" w:pos="8360"/>
        </w:tabs>
        <w:spacing w:line="360" w:lineRule="auto"/>
        <w:ind w:right="42"/>
        <w:rPr>
          <w:rFonts w:hAnsi="宋体" w:cs="宋体"/>
          <w:sz w:val="24"/>
        </w:rPr>
      </w:pPr>
    </w:p>
    <w:p>
      <w:pPr>
        <w:pStyle w:val="212"/>
        <w:tabs>
          <w:tab w:val="left" w:pos="6930"/>
          <w:tab w:val="left" w:pos="8360"/>
        </w:tabs>
        <w:spacing w:line="360" w:lineRule="auto"/>
        <w:ind w:right="42"/>
        <w:rPr>
          <w:rFonts w:hAnsi="宋体" w:cs="宋体"/>
          <w:sz w:val="24"/>
        </w:rPr>
      </w:pPr>
    </w:p>
    <w:p>
      <w:pPr>
        <w:pStyle w:val="212"/>
        <w:tabs>
          <w:tab w:val="left" w:pos="6930"/>
          <w:tab w:val="left" w:pos="8360"/>
        </w:tabs>
        <w:spacing w:line="360" w:lineRule="auto"/>
        <w:ind w:right="42"/>
        <w:rPr>
          <w:rFonts w:hAnsi="宋体" w:cs="宋体"/>
          <w:sz w:val="24"/>
        </w:rPr>
      </w:pPr>
    </w:p>
    <w:p>
      <w:pPr>
        <w:pStyle w:val="212"/>
        <w:spacing w:line="360" w:lineRule="auto"/>
        <w:rPr>
          <w:rFonts w:hAnsi="宋体" w:cs="宋体"/>
          <w:sz w:val="24"/>
        </w:rPr>
      </w:pPr>
    </w:p>
    <w:p>
      <w:pPr>
        <w:pStyle w:val="212"/>
        <w:spacing w:line="360" w:lineRule="auto"/>
        <w:rPr>
          <w:rFonts w:hAnsi="宋体" w:cs="宋体"/>
          <w:sz w:val="24"/>
        </w:rPr>
      </w:pPr>
    </w:p>
    <w:p>
      <w:pPr>
        <w:pStyle w:val="212"/>
        <w:spacing w:line="360" w:lineRule="auto"/>
        <w:rPr>
          <w:rFonts w:hAnsi="宋体" w:cs="宋体"/>
          <w:sz w:val="24"/>
        </w:rPr>
      </w:pPr>
    </w:p>
    <w:p>
      <w:pPr>
        <w:pStyle w:val="212"/>
        <w:spacing w:line="360" w:lineRule="auto"/>
        <w:rPr>
          <w:rFonts w:hAnsi="宋体" w:cs="宋体"/>
          <w:sz w:val="24"/>
        </w:rPr>
        <w:sectPr>
          <w:footerReference r:id="rId5" w:type="default"/>
          <w:pgSz w:w="11906" w:h="16838"/>
          <w:pgMar w:top="1247" w:right="1418" w:bottom="1134" w:left="1418" w:header="851" w:footer="992" w:gutter="0"/>
          <w:pgNumType w:fmt="decimal"/>
          <w:cols w:space="720" w:num="1"/>
          <w:docGrid w:type="linesAndChars" w:linePitch="312" w:charSpace="0"/>
        </w:sectPr>
      </w:pPr>
    </w:p>
    <w:p>
      <w:pPr>
        <w:spacing w:line="440" w:lineRule="exact"/>
        <w:jc w:val="center"/>
        <w:rPr>
          <w:rFonts w:ascii="宋体" w:hAnsi="宋体"/>
          <w:b/>
          <w:sz w:val="32"/>
          <w:szCs w:val="32"/>
        </w:rPr>
      </w:pPr>
      <w:r>
        <w:rPr>
          <w:rFonts w:hint="eastAsia" w:ascii="宋体" w:hAnsi="宋体"/>
          <w:b/>
          <w:sz w:val="32"/>
          <w:szCs w:val="32"/>
          <w:lang w:val="en-US" w:eastAsia="zh-CN"/>
        </w:rPr>
        <w:t>7</w:t>
      </w:r>
      <w:r>
        <w:rPr>
          <w:rFonts w:hint="eastAsia" w:ascii="宋体" w:hAnsi="宋体"/>
          <w:b/>
          <w:sz w:val="32"/>
          <w:szCs w:val="32"/>
        </w:rPr>
        <w:t>、开标一览表</w:t>
      </w:r>
    </w:p>
    <w:p>
      <w:pPr>
        <w:snapToGrid w:val="0"/>
        <w:spacing w:before="50" w:after="50" w:line="440" w:lineRule="exact"/>
        <w:ind w:firstLine="420" w:firstLineChars="200"/>
        <w:rPr>
          <w:rFonts w:ascii="宋体" w:hAnsi="宋体"/>
          <w:szCs w:val="21"/>
          <w:u w:val="single"/>
        </w:rPr>
      </w:pPr>
      <w:r>
        <w:rPr>
          <w:rFonts w:hint="eastAsia" w:ascii="宋体" w:hAnsi="宋体"/>
          <w:szCs w:val="21"/>
        </w:rPr>
        <w:t>采购项目编号：</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 xml:space="preserve">                           </w:t>
      </w:r>
    </w:p>
    <w:p>
      <w:pPr>
        <w:snapToGrid w:val="0"/>
        <w:spacing w:before="50" w:after="50" w:line="440" w:lineRule="exact"/>
        <w:ind w:firstLine="420" w:firstLineChars="200"/>
        <w:rPr>
          <w:rFonts w:ascii="宋体" w:hAns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单位：元</w:t>
      </w:r>
    </w:p>
    <w:tbl>
      <w:tblPr>
        <w:tblStyle w:val="48"/>
        <w:tblW w:w="12643"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4269"/>
        <w:gridCol w:w="76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序号</w:t>
            </w:r>
          </w:p>
        </w:tc>
        <w:tc>
          <w:tcPr>
            <w:tcW w:w="42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项目名称</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hint="eastAsia" w:ascii="宋体" w:hAnsi="宋体"/>
                <w:b/>
                <w:szCs w:val="21"/>
              </w:rPr>
            </w:pPr>
            <w:r>
              <w:rPr>
                <w:rFonts w:hint="eastAsia" w:ascii="宋体" w:hAnsi="宋体"/>
                <w:b/>
                <w:szCs w:val="21"/>
              </w:rPr>
              <w:t>投标报价</w:t>
            </w:r>
            <w:r>
              <w:rPr>
                <w:rFonts w:hint="eastAsia" w:ascii="宋体" w:hAnsi="宋体"/>
                <w:b/>
                <w:szCs w:val="21"/>
                <w:lang w:eastAsia="zh-CN"/>
              </w:rPr>
              <w:t>（</w:t>
            </w:r>
            <w:r>
              <w:rPr>
                <w:rFonts w:hint="eastAsia" w:ascii="宋体" w:hAnsi="宋体"/>
                <w:b/>
                <w:szCs w:val="21"/>
                <w:lang w:val="en-US" w:eastAsia="zh-CN"/>
              </w:rPr>
              <w:t>单价总和</w:t>
            </w:r>
            <w:r>
              <w:rPr>
                <w:rFonts w:hint="eastAsia" w:ascii="宋体" w:hAnsi="宋体"/>
                <w:b/>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exact"/>
        </w:trPr>
        <w:tc>
          <w:tcPr>
            <w:tcW w:w="720" w:type="dxa"/>
            <w:vMerge w:val="restart"/>
            <w:tcBorders>
              <w:top w:val="single" w:color="auto" w:sz="4" w:space="0"/>
              <w:left w:val="single" w:color="auto" w:sz="4" w:space="0"/>
              <w:right w:val="single" w:color="auto" w:sz="4" w:space="0"/>
            </w:tcBorders>
            <w:vAlign w:val="center"/>
          </w:tcPr>
          <w:p>
            <w:pPr>
              <w:snapToGrid w:val="0"/>
              <w:spacing w:before="50" w:after="50" w:line="440" w:lineRule="exact"/>
              <w:jc w:val="center"/>
              <w:rPr>
                <w:rFonts w:ascii="宋体" w:hAnsi="宋体"/>
                <w:szCs w:val="21"/>
              </w:rPr>
            </w:pPr>
            <w:r>
              <w:rPr>
                <w:rFonts w:hint="eastAsia" w:ascii="宋体" w:hAnsi="宋体"/>
                <w:szCs w:val="21"/>
              </w:rPr>
              <w:t>1</w:t>
            </w:r>
          </w:p>
        </w:tc>
        <w:tc>
          <w:tcPr>
            <w:tcW w:w="4269"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kern w:val="0"/>
                <w:szCs w:val="21"/>
                <w:lang w:eastAsia="zh-CN"/>
              </w:rPr>
            </w:pPr>
            <w:r>
              <w:rPr>
                <w:rFonts w:hint="eastAsia" w:ascii="宋体" w:hAnsi="宋体"/>
                <w:szCs w:val="21"/>
                <w:lang w:eastAsia="zh-CN"/>
              </w:rPr>
              <w:t>盐城市大丰区新丰中学2019年度办公用纸协议采购项目</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ind w:right="-860" w:rightChars="-410"/>
              <w:jc w:val="left"/>
              <w:rPr>
                <w:rFonts w:hint="eastAsia" w:ascii="宋体" w:hAnsi="宋体"/>
                <w:bCs/>
                <w:szCs w:val="21"/>
              </w:rPr>
            </w:pPr>
            <w:r>
              <w:rPr>
                <w:rFonts w:hint="eastAsia" w:ascii="宋体" w:hAnsi="宋体"/>
                <w:bCs/>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exact"/>
        </w:trPr>
        <w:tc>
          <w:tcPr>
            <w:tcW w:w="720" w:type="dxa"/>
            <w:vMerge w:val="continue"/>
            <w:tcBorders>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szCs w:val="21"/>
              </w:rPr>
            </w:pPr>
          </w:p>
        </w:tc>
        <w:tc>
          <w:tcPr>
            <w:tcW w:w="426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ind w:right="-860" w:rightChars="-410"/>
              <w:jc w:val="left"/>
              <w:rPr>
                <w:rFonts w:hint="eastAsia" w:ascii="宋体" w:hAnsi="宋体"/>
                <w:bCs/>
                <w:szCs w:val="21"/>
              </w:rPr>
            </w:pPr>
            <w:r>
              <w:rPr>
                <w:rFonts w:hint="eastAsia" w:ascii="宋体" w:hAnsi="宋体"/>
                <w:bCs/>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7" w:hRule="exact"/>
        </w:trPr>
        <w:tc>
          <w:tcPr>
            <w:tcW w:w="498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供货期限</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left"/>
              <w:rPr>
                <w:rFonts w:ascii="宋体" w:hAnsi="宋体"/>
                <w:szCs w:val="21"/>
              </w:rPr>
            </w:pPr>
            <w:r>
              <w:rPr>
                <w:rFonts w:hint="eastAsia"/>
                <w:szCs w:val="21"/>
              </w:rPr>
              <w:t>接到</w:t>
            </w:r>
            <w:r>
              <w:rPr>
                <w:rFonts w:hint="eastAsia"/>
                <w:szCs w:val="21"/>
                <w:lang w:val="en-US" w:eastAsia="zh-CN"/>
              </w:rPr>
              <w:t>需</w:t>
            </w:r>
            <w:r>
              <w:rPr>
                <w:rFonts w:hint="eastAsia"/>
                <w:szCs w:val="21"/>
              </w:rPr>
              <w:t>方供货通知后</w:t>
            </w:r>
            <w:r>
              <w:rPr>
                <w:rFonts w:hint="eastAsia"/>
                <w:szCs w:val="21"/>
                <w:u w:val="single"/>
                <w:lang w:val="en-US" w:eastAsia="zh-CN"/>
              </w:rPr>
              <w:t xml:space="preserve">     </w:t>
            </w:r>
            <w:r>
              <w:rPr>
                <w:rFonts w:hint="eastAsia"/>
                <w:szCs w:val="21"/>
              </w:rPr>
              <w:t>个工作日之内供货</w:t>
            </w:r>
          </w:p>
        </w:tc>
      </w:tr>
    </w:tbl>
    <w:p>
      <w:pPr>
        <w:snapToGrid w:val="0"/>
        <w:spacing w:line="440" w:lineRule="exact"/>
        <w:ind w:firstLine="420" w:firstLineChars="200"/>
        <w:jc w:val="left"/>
        <w:rPr>
          <w:rFonts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spacing w:line="440" w:lineRule="exact"/>
        <w:ind w:left="478" w:leftChars="228" w:firstLine="315" w:firstLineChars="150"/>
        <w:jc w:val="left"/>
        <w:rPr>
          <w:rFonts w:ascii="宋体" w:hAnsi="宋体"/>
          <w:szCs w:val="21"/>
        </w:rPr>
      </w:pPr>
      <w:r>
        <w:rPr>
          <w:rFonts w:ascii="宋体" w:hAnsi="宋体"/>
          <w:szCs w:val="21"/>
        </w:rPr>
        <w:t>2</w:t>
      </w:r>
      <w:r>
        <w:rPr>
          <w:rFonts w:hint="eastAsia" w:ascii="宋体" w:hAnsi="宋体"/>
          <w:szCs w:val="21"/>
        </w:rPr>
        <w:t>、投标费用包括本项目招标文件规定的一切费用。</w:t>
      </w:r>
    </w:p>
    <w:p>
      <w:pPr>
        <w:snapToGrid w:val="0"/>
        <w:spacing w:line="440" w:lineRule="exact"/>
        <w:ind w:left="478" w:leftChars="228" w:firstLine="315" w:firstLineChars="150"/>
        <w:jc w:val="left"/>
        <w:rPr>
          <w:rFonts w:ascii="宋体" w:hAnsi="宋体"/>
          <w:szCs w:val="21"/>
        </w:rPr>
      </w:pPr>
      <w:r>
        <w:rPr>
          <w:rFonts w:hint="eastAsia" w:ascii="宋体" w:hAnsi="宋体"/>
          <w:szCs w:val="21"/>
        </w:rPr>
        <w:t>3、</w:t>
      </w:r>
      <w:r>
        <w:rPr>
          <w:rFonts w:hint="eastAsia" w:ascii="宋体" w:hAnsi="宋体"/>
          <w:szCs w:val="21"/>
          <w:u w:val="single"/>
        </w:rPr>
        <w:t>此表请单独密封提交，信封封面请注明招标编号、项目名称、投标人名称及“开标一览表”字样。</w:t>
      </w:r>
    </w:p>
    <w:p>
      <w:pPr>
        <w:snapToGrid w:val="0"/>
        <w:spacing w:line="440" w:lineRule="exact"/>
        <w:ind w:left="-2" w:leftChars="-1" w:right="-816" w:rightChars="-389" w:firstLine="420" w:firstLineChars="200"/>
        <w:rPr>
          <w:rFonts w:ascii="宋体" w:hAnsi="宋体"/>
          <w:szCs w:val="21"/>
        </w:rPr>
      </w:pPr>
      <w:r>
        <w:rPr>
          <w:rFonts w:hint="eastAsia" w:ascii="宋体" w:hAnsi="宋体"/>
          <w:szCs w:val="21"/>
        </w:rPr>
        <w:t>投标人名称（盖章）：</w:t>
      </w:r>
      <w:r>
        <w:rPr>
          <w:rFonts w:ascii="宋体" w:hAnsi="宋体"/>
          <w:szCs w:val="21"/>
        </w:rPr>
        <w:t xml:space="preserve"> </w:t>
      </w:r>
      <w:r>
        <w:rPr>
          <w:rFonts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napToGrid w:val="0"/>
        <w:spacing w:line="440" w:lineRule="exact"/>
        <w:ind w:left="-2" w:leftChars="-1" w:right="-816" w:rightChars="-389" w:firstLine="420" w:firstLineChars="200"/>
        <w:rPr>
          <w:rFonts w:ascii="宋体" w:hAnsi="宋体"/>
          <w:szCs w:val="21"/>
        </w:rPr>
      </w:pPr>
      <w:r>
        <w:rPr>
          <w:rFonts w:hint="eastAsia" w:ascii="宋体" w:hAnsi="宋体"/>
          <w:szCs w:val="21"/>
        </w:rPr>
        <w:t xml:space="preserve">法定代表人（签字或盖章）： </w:t>
      </w:r>
      <w:r>
        <w:rPr>
          <w:rFonts w:ascii="宋体" w:hAnsi="宋体"/>
          <w:szCs w:val="21"/>
          <w:u w:val="single"/>
        </w:rPr>
        <w:t xml:space="preserve">            </w:t>
      </w:r>
      <w:r>
        <w:rPr>
          <w:rFonts w:hint="eastAsia" w:ascii="宋体" w:hAnsi="宋体"/>
          <w:szCs w:val="21"/>
        </w:rPr>
        <w:t xml:space="preserve">  </w:t>
      </w:r>
    </w:p>
    <w:p>
      <w:pPr>
        <w:snapToGrid w:val="0"/>
        <w:spacing w:line="440" w:lineRule="exact"/>
        <w:ind w:left="-2" w:leftChars="-1" w:right="-816" w:rightChars="-389" w:firstLine="420" w:firstLineChars="200"/>
        <w:rPr>
          <w:rFonts w:ascii="宋体" w:hAnsi="宋体"/>
          <w:szCs w:val="21"/>
          <w:u w:val="single"/>
        </w:rPr>
      </w:pPr>
      <w:r>
        <w:rPr>
          <w:rFonts w:hint="eastAsia" w:ascii="宋体" w:hAnsi="宋体"/>
          <w:szCs w:val="21"/>
        </w:rPr>
        <w:t xml:space="preserve">授权委托代理人（签字或盖章）： </w:t>
      </w:r>
      <w:r>
        <w:rPr>
          <w:rFonts w:ascii="宋体" w:hAnsi="宋体"/>
          <w:szCs w:val="21"/>
          <w:u w:val="single"/>
        </w:rPr>
        <w:t xml:space="preserve">            </w:t>
      </w:r>
      <w:r>
        <w:rPr>
          <w:rFonts w:hint="eastAsia" w:ascii="宋体" w:hAnsi="宋体"/>
          <w:szCs w:val="21"/>
        </w:rPr>
        <w:t xml:space="preserve"> （如有授权）                             日期：</w:t>
      </w:r>
      <w:r>
        <w:rPr>
          <w:rFonts w:ascii="宋体" w:hAnsi="宋体"/>
          <w:szCs w:val="21"/>
          <w:u w:val="none"/>
        </w:rPr>
        <w:t xml:space="preserve">    </w:t>
      </w:r>
      <w:r>
        <w:rPr>
          <w:rFonts w:hint="eastAsia" w:ascii="宋体" w:hAnsi="宋体"/>
          <w:szCs w:val="21"/>
          <w:u w:val="none"/>
        </w:rPr>
        <w:t>年</w:t>
      </w:r>
      <w:r>
        <w:rPr>
          <w:rFonts w:ascii="宋体" w:hAnsi="宋体"/>
          <w:szCs w:val="21"/>
          <w:u w:val="none"/>
        </w:rPr>
        <w:t xml:space="preserve">   </w:t>
      </w:r>
      <w:r>
        <w:rPr>
          <w:rFonts w:hint="eastAsia" w:ascii="宋体" w:hAnsi="宋体"/>
          <w:szCs w:val="21"/>
          <w:u w:val="none"/>
        </w:rPr>
        <w:t>月</w:t>
      </w:r>
      <w:r>
        <w:rPr>
          <w:rFonts w:ascii="宋体" w:hAnsi="宋体"/>
          <w:szCs w:val="21"/>
          <w:u w:val="none"/>
        </w:rPr>
        <w:t xml:space="preserve">   </w:t>
      </w:r>
      <w:r>
        <w:rPr>
          <w:rFonts w:hint="eastAsia" w:ascii="宋体" w:hAnsi="宋体"/>
          <w:szCs w:val="21"/>
          <w:u w:val="none"/>
        </w:rPr>
        <w:t>日</w:t>
      </w:r>
    </w:p>
    <w:p>
      <w:pPr>
        <w:snapToGrid w:val="0"/>
        <w:spacing w:before="50" w:after="50" w:line="440" w:lineRule="exact"/>
        <w:ind w:left="-21" w:leftChars="-72" w:right="-816" w:rightChars="-389" w:hanging="130" w:hangingChars="62"/>
        <w:rPr>
          <w:rFonts w:hAnsi="宋体" w:cs="宋体"/>
          <w:sz w:val="24"/>
        </w:rPr>
      </w:pPr>
      <w:r>
        <w:rPr>
          <w:rFonts w:hint="eastAsia" w:ascii="宋体" w:hAnsi="宋体"/>
          <w:b/>
          <w:szCs w:val="21"/>
        </w:rPr>
        <w:t>需附：法定代表人身份证明书或授权委托代理人身份证复印件及授权委托书原件</w:t>
      </w:r>
    </w:p>
    <w:sectPr>
      <w:footerReference r:id="rId6" w:type="default"/>
      <w:pgSz w:w="16838" w:h="11906" w:orient="landscape"/>
      <w:pgMar w:top="1797" w:right="1440" w:bottom="1797" w:left="1440"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CS?o｡ﾀ?">
    <w:altName w:val="MS PGothic"/>
    <w:panose1 w:val="00000000000000000000"/>
    <w:charset w:val="80"/>
    <w:family w:val="moder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Impact">
    <w:panose1 w:val="020B080603090205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5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p>
    <w:pPr>
      <w:pStyle w:val="31"/>
      <w:jc w:val="center"/>
    </w:pP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97B1F8"/>
    <w:multiLevelType w:val="singleLevel"/>
    <w:tmpl w:val="B097B1F8"/>
    <w:lvl w:ilvl="0" w:tentative="0">
      <w:start w:val="5"/>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FA"/>
    <w:rsid w:val="00006FFE"/>
    <w:rsid w:val="00007B66"/>
    <w:rsid w:val="000208B6"/>
    <w:rsid w:val="0002472F"/>
    <w:rsid w:val="00024F72"/>
    <w:rsid w:val="0003111F"/>
    <w:rsid w:val="00032BBD"/>
    <w:rsid w:val="00040434"/>
    <w:rsid w:val="00044903"/>
    <w:rsid w:val="00055B9E"/>
    <w:rsid w:val="00056AEC"/>
    <w:rsid w:val="000675FD"/>
    <w:rsid w:val="000768D6"/>
    <w:rsid w:val="000858A0"/>
    <w:rsid w:val="000900AB"/>
    <w:rsid w:val="000A2BE9"/>
    <w:rsid w:val="000B11DC"/>
    <w:rsid w:val="000B3148"/>
    <w:rsid w:val="000C3198"/>
    <w:rsid w:val="000D1379"/>
    <w:rsid w:val="000D212F"/>
    <w:rsid w:val="000D5891"/>
    <w:rsid w:val="000E3612"/>
    <w:rsid w:val="000E3730"/>
    <w:rsid w:val="000E5A21"/>
    <w:rsid w:val="000F1EE4"/>
    <w:rsid w:val="00105310"/>
    <w:rsid w:val="00107E60"/>
    <w:rsid w:val="00115CCE"/>
    <w:rsid w:val="001166C9"/>
    <w:rsid w:val="00121D9D"/>
    <w:rsid w:val="00130EE0"/>
    <w:rsid w:val="00133BFE"/>
    <w:rsid w:val="00147EA7"/>
    <w:rsid w:val="00150576"/>
    <w:rsid w:val="001531D1"/>
    <w:rsid w:val="00153411"/>
    <w:rsid w:val="00164760"/>
    <w:rsid w:val="00172A27"/>
    <w:rsid w:val="0017536A"/>
    <w:rsid w:val="0017674A"/>
    <w:rsid w:val="0018412C"/>
    <w:rsid w:val="00186233"/>
    <w:rsid w:val="00193C6B"/>
    <w:rsid w:val="001A03BC"/>
    <w:rsid w:val="001A5E97"/>
    <w:rsid w:val="001A7873"/>
    <w:rsid w:val="001A7939"/>
    <w:rsid w:val="001A7BC3"/>
    <w:rsid w:val="001B2AFC"/>
    <w:rsid w:val="001B4BAA"/>
    <w:rsid w:val="001B532A"/>
    <w:rsid w:val="001C6628"/>
    <w:rsid w:val="001F1749"/>
    <w:rsid w:val="001F23CD"/>
    <w:rsid w:val="001F6279"/>
    <w:rsid w:val="00200588"/>
    <w:rsid w:val="00203C9D"/>
    <w:rsid w:val="00210ABA"/>
    <w:rsid w:val="002156C0"/>
    <w:rsid w:val="00236EDC"/>
    <w:rsid w:val="002379CA"/>
    <w:rsid w:val="00242181"/>
    <w:rsid w:val="00243D45"/>
    <w:rsid w:val="002464F5"/>
    <w:rsid w:val="00252C68"/>
    <w:rsid w:val="002555B1"/>
    <w:rsid w:val="00260D39"/>
    <w:rsid w:val="00267743"/>
    <w:rsid w:val="00276703"/>
    <w:rsid w:val="00281FC0"/>
    <w:rsid w:val="00284340"/>
    <w:rsid w:val="002849C4"/>
    <w:rsid w:val="00285F2A"/>
    <w:rsid w:val="002878FB"/>
    <w:rsid w:val="00291077"/>
    <w:rsid w:val="00291E6B"/>
    <w:rsid w:val="0029308D"/>
    <w:rsid w:val="002934A9"/>
    <w:rsid w:val="00293E5D"/>
    <w:rsid w:val="00294E78"/>
    <w:rsid w:val="002A1AF9"/>
    <w:rsid w:val="002C5A49"/>
    <w:rsid w:val="002C648A"/>
    <w:rsid w:val="002C7F05"/>
    <w:rsid w:val="002D1D22"/>
    <w:rsid w:val="002E2B7C"/>
    <w:rsid w:val="002E4777"/>
    <w:rsid w:val="002F0C5D"/>
    <w:rsid w:val="002F3EAB"/>
    <w:rsid w:val="002F42A2"/>
    <w:rsid w:val="002F4999"/>
    <w:rsid w:val="002F734F"/>
    <w:rsid w:val="003006AF"/>
    <w:rsid w:val="00301018"/>
    <w:rsid w:val="00310810"/>
    <w:rsid w:val="003152B9"/>
    <w:rsid w:val="00317C3D"/>
    <w:rsid w:val="00324A05"/>
    <w:rsid w:val="00330498"/>
    <w:rsid w:val="00331FD9"/>
    <w:rsid w:val="00334160"/>
    <w:rsid w:val="00341FCB"/>
    <w:rsid w:val="003441D2"/>
    <w:rsid w:val="00344FA2"/>
    <w:rsid w:val="00345423"/>
    <w:rsid w:val="0034575F"/>
    <w:rsid w:val="00356916"/>
    <w:rsid w:val="00360AF7"/>
    <w:rsid w:val="00362398"/>
    <w:rsid w:val="003665BE"/>
    <w:rsid w:val="003720AB"/>
    <w:rsid w:val="00382458"/>
    <w:rsid w:val="003A2552"/>
    <w:rsid w:val="003B6B41"/>
    <w:rsid w:val="003C2D18"/>
    <w:rsid w:val="003C7E9D"/>
    <w:rsid w:val="003D1338"/>
    <w:rsid w:val="003D13E2"/>
    <w:rsid w:val="003D2414"/>
    <w:rsid w:val="003D755B"/>
    <w:rsid w:val="003F1AA4"/>
    <w:rsid w:val="003F266B"/>
    <w:rsid w:val="003F5565"/>
    <w:rsid w:val="00401052"/>
    <w:rsid w:val="00406118"/>
    <w:rsid w:val="004110B3"/>
    <w:rsid w:val="00411827"/>
    <w:rsid w:val="00421366"/>
    <w:rsid w:val="004228D3"/>
    <w:rsid w:val="00423FFA"/>
    <w:rsid w:val="004329CD"/>
    <w:rsid w:val="0043519F"/>
    <w:rsid w:val="004534E7"/>
    <w:rsid w:val="00453D55"/>
    <w:rsid w:val="00480A40"/>
    <w:rsid w:val="00487E43"/>
    <w:rsid w:val="00490ED4"/>
    <w:rsid w:val="0049517F"/>
    <w:rsid w:val="004A0E6F"/>
    <w:rsid w:val="004A146D"/>
    <w:rsid w:val="004A3AAD"/>
    <w:rsid w:val="004B0664"/>
    <w:rsid w:val="004B4286"/>
    <w:rsid w:val="004D0D9F"/>
    <w:rsid w:val="004D420F"/>
    <w:rsid w:val="004D4E1B"/>
    <w:rsid w:val="004D5102"/>
    <w:rsid w:val="004D6759"/>
    <w:rsid w:val="004E56ED"/>
    <w:rsid w:val="004F4993"/>
    <w:rsid w:val="00502BF6"/>
    <w:rsid w:val="00510BEB"/>
    <w:rsid w:val="00511D23"/>
    <w:rsid w:val="00512FBD"/>
    <w:rsid w:val="00525D1B"/>
    <w:rsid w:val="00537C4C"/>
    <w:rsid w:val="005436E4"/>
    <w:rsid w:val="00544BAC"/>
    <w:rsid w:val="00554D32"/>
    <w:rsid w:val="00584181"/>
    <w:rsid w:val="005A24D9"/>
    <w:rsid w:val="005B0043"/>
    <w:rsid w:val="005C2AB4"/>
    <w:rsid w:val="005C2B1D"/>
    <w:rsid w:val="005D3472"/>
    <w:rsid w:val="005D7914"/>
    <w:rsid w:val="005E06D4"/>
    <w:rsid w:val="005E2A41"/>
    <w:rsid w:val="005E5010"/>
    <w:rsid w:val="005E7A3B"/>
    <w:rsid w:val="005F3894"/>
    <w:rsid w:val="005F4325"/>
    <w:rsid w:val="005F51F9"/>
    <w:rsid w:val="005F63D7"/>
    <w:rsid w:val="0060051F"/>
    <w:rsid w:val="00601184"/>
    <w:rsid w:val="00603845"/>
    <w:rsid w:val="00603CBE"/>
    <w:rsid w:val="00605BC3"/>
    <w:rsid w:val="00615313"/>
    <w:rsid w:val="006277DA"/>
    <w:rsid w:val="00632567"/>
    <w:rsid w:val="00633B98"/>
    <w:rsid w:val="0063431F"/>
    <w:rsid w:val="00635157"/>
    <w:rsid w:val="00641B19"/>
    <w:rsid w:val="0065714B"/>
    <w:rsid w:val="006576F6"/>
    <w:rsid w:val="0066008E"/>
    <w:rsid w:val="00661223"/>
    <w:rsid w:val="00666C69"/>
    <w:rsid w:val="00682CBB"/>
    <w:rsid w:val="006911F9"/>
    <w:rsid w:val="006A4923"/>
    <w:rsid w:val="006A5174"/>
    <w:rsid w:val="006C4AF7"/>
    <w:rsid w:val="006C66BC"/>
    <w:rsid w:val="006C672A"/>
    <w:rsid w:val="006C7E16"/>
    <w:rsid w:val="006D3E6F"/>
    <w:rsid w:val="006E36B8"/>
    <w:rsid w:val="00700548"/>
    <w:rsid w:val="00701F7E"/>
    <w:rsid w:val="00705AEE"/>
    <w:rsid w:val="00711726"/>
    <w:rsid w:val="007152E7"/>
    <w:rsid w:val="00715BFF"/>
    <w:rsid w:val="007220FE"/>
    <w:rsid w:val="00737B20"/>
    <w:rsid w:val="00737B76"/>
    <w:rsid w:val="00737F36"/>
    <w:rsid w:val="007435C7"/>
    <w:rsid w:val="0074571F"/>
    <w:rsid w:val="00745D63"/>
    <w:rsid w:val="00752226"/>
    <w:rsid w:val="007546C6"/>
    <w:rsid w:val="00755429"/>
    <w:rsid w:val="007557F2"/>
    <w:rsid w:val="00756553"/>
    <w:rsid w:val="00761E67"/>
    <w:rsid w:val="00766832"/>
    <w:rsid w:val="0077359B"/>
    <w:rsid w:val="007801A2"/>
    <w:rsid w:val="00787385"/>
    <w:rsid w:val="0079052D"/>
    <w:rsid w:val="00794257"/>
    <w:rsid w:val="00794B82"/>
    <w:rsid w:val="007A0748"/>
    <w:rsid w:val="007A50F8"/>
    <w:rsid w:val="007B27A6"/>
    <w:rsid w:val="007B5B2D"/>
    <w:rsid w:val="007C20ED"/>
    <w:rsid w:val="007C7070"/>
    <w:rsid w:val="007D6E26"/>
    <w:rsid w:val="007E3511"/>
    <w:rsid w:val="007E3C00"/>
    <w:rsid w:val="007F4092"/>
    <w:rsid w:val="007F54C9"/>
    <w:rsid w:val="007F69B9"/>
    <w:rsid w:val="007F7845"/>
    <w:rsid w:val="00801DB4"/>
    <w:rsid w:val="0080432B"/>
    <w:rsid w:val="00813F0E"/>
    <w:rsid w:val="0082638D"/>
    <w:rsid w:val="00827A79"/>
    <w:rsid w:val="00837644"/>
    <w:rsid w:val="0084337B"/>
    <w:rsid w:val="008527AF"/>
    <w:rsid w:val="00862AAB"/>
    <w:rsid w:val="00862EC1"/>
    <w:rsid w:val="008714AC"/>
    <w:rsid w:val="00884FDF"/>
    <w:rsid w:val="008948E5"/>
    <w:rsid w:val="00895913"/>
    <w:rsid w:val="00897D61"/>
    <w:rsid w:val="008B5889"/>
    <w:rsid w:val="008D5163"/>
    <w:rsid w:val="008D59ED"/>
    <w:rsid w:val="008E111A"/>
    <w:rsid w:val="008E6FC4"/>
    <w:rsid w:val="008E7282"/>
    <w:rsid w:val="00902CFC"/>
    <w:rsid w:val="00906EA4"/>
    <w:rsid w:val="00910443"/>
    <w:rsid w:val="00910AF5"/>
    <w:rsid w:val="00911456"/>
    <w:rsid w:val="00912801"/>
    <w:rsid w:val="00916671"/>
    <w:rsid w:val="0092318F"/>
    <w:rsid w:val="00932054"/>
    <w:rsid w:val="00934B30"/>
    <w:rsid w:val="00942A13"/>
    <w:rsid w:val="0095188F"/>
    <w:rsid w:val="00952D6E"/>
    <w:rsid w:val="00953DE5"/>
    <w:rsid w:val="00956FC3"/>
    <w:rsid w:val="00965CE7"/>
    <w:rsid w:val="009673DC"/>
    <w:rsid w:val="009701FB"/>
    <w:rsid w:val="009767BC"/>
    <w:rsid w:val="009872A4"/>
    <w:rsid w:val="00987E78"/>
    <w:rsid w:val="00991EE4"/>
    <w:rsid w:val="0099251D"/>
    <w:rsid w:val="009A352C"/>
    <w:rsid w:val="009A3706"/>
    <w:rsid w:val="009A6A49"/>
    <w:rsid w:val="009A73C0"/>
    <w:rsid w:val="009B198F"/>
    <w:rsid w:val="009C539F"/>
    <w:rsid w:val="009C694F"/>
    <w:rsid w:val="009C7272"/>
    <w:rsid w:val="009C75EE"/>
    <w:rsid w:val="009E5922"/>
    <w:rsid w:val="009E7161"/>
    <w:rsid w:val="009F1606"/>
    <w:rsid w:val="009F1EF3"/>
    <w:rsid w:val="009F5C41"/>
    <w:rsid w:val="009F752F"/>
    <w:rsid w:val="00A04CA4"/>
    <w:rsid w:val="00A07283"/>
    <w:rsid w:val="00A12BD5"/>
    <w:rsid w:val="00A13688"/>
    <w:rsid w:val="00A14F8A"/>
    <w:rsid w:val="00A2168B"/>
    <w:rsid w:val="00A26BA3"/>
    <w:rsid w:val="00A3588D"/>
    <w:rsid w:val="00A3610E"/>
    <w:rsid w:val="00A3633F"/>
    <w:rsid w:val="00A37D12"/>
    <w:rsid w:val="00A40E58"/>
    <w:rsid w:val="00A46294"/>
    <w:rsid w:val="00A5717A"/>
    <w:rsid w:val="00A571CB"/>
    <w:rsid w:val="00A625BA"/>
    <w:rsid w:val="00A63694"/>
    <w:rsid w:val="00A76221"/>
    <w:rsid w:val="00A8511F"/>
    <w:rsid w:val="00AB16EA"/>
    <w:rsid w:val="00AB420E"/>
    <w:rsid w:val="00AB5C91"/>
    <w:rsid w:val="00AC40AE"/>
    <w:rsid w:val="00AD5999"/>
    <w:rsid w:val="00AD7691"/>
    <w:rsid w:val="00AE0609"/>
    <w:rsid w:val="00AE1B1E"/>
    <w:rsid w:val="00AE60BC"/>
    <w:rsid w:val="00AE6214"/>
    <w:rsid w:val="00AE64B1"/>
    <w:rsid w:val="00AE6E91"/>
    <w:rsid w:val="00AE741D"/>
    <w:rsid w:val="00AE7A74"/>
    <w:rsid w:val="00AF036D"/>
    <w:rsid w:val="00B0071D"/>
    <w:rsid w:val="00B04484"/>
    <w:rsid w:val="00B12267"/>
    <w:rsid w:val="00B14BE3"/>
    <w:rsid w:val="00B22D9A"/>
    <w:rsid w:val="00B23250"/>
    <w:rsid w:val="00B26DFE"/>
    <w:rsid w:val="00B35203"/>
    <w:rsid w:val="00B43B64"/>
    <w:rsid w:val="00B50887"/>
    <w:rsid w:val="00B53845"/>
    <w:rsid w:val="00B6260B"/>
    <w:rsid w:val="00B67338"/>
    <w:rsid w:val="00B674BF"/>
    <w:rsid w:val="00B741D1"/>
    <w:rsid w:val="00B827A3"/>
    <w:rsid w:val="00B95FA3"/>
    <w:rsid w:val="00BA6E24"/>
    <w:rsid w:val="00BA6FEA"/>
    <w:rsid w:val="00BB335B"/>
    <w:rsid w:val="00BB4D4F"/>
    <w:rsid w:val="00BB5348"/>
    <w:rsid w:val="00BC037D"/>
    <w:rsid w:val="00BD441C"/>
    <w:rsid w:val="00BE138B"/>
    <w:rsid w:val="00BE2036"/>
    <w:rsid w:val="00C05D51"/>
    <w:rsid w:val="00C12061"/>
    <w:rsid w:val="00C232F8"/>
    <w:rsid w:val="00C274DE"/>
    <w:rsid w:val="00C32210"/>
    <w:rsid w:val="00C464F8"/>
    <w:rsid w:val="00C52BC3"/>
    <w:rsid w:val="00C60BCD"/>
    <w:rsid w:val="00C66EA3"/>
    <w:rsid w:val="00C7788C"/>
    <w:rsid w:val="00C77D85"/>
    <w:rsid w:val="00C81537"/>
    <w:rsid w:val="00C9001A"/>
    <w:rsid w:val="00C916DC"/>
    <w:rsid w:val="00C93943"/>
    <w:rsid w:val="00C94318"/>
    <w:rsid w:val="00CC0BBC"/>
    <w:rsid w:val="00CC3534"/>
    <w:rsid w:val="00CD61F8"/>
    <w:rsid w:val="00CD6CA1"/>
    <w:rsid w:val="00CE0BF2"/>
    <w:rsid w:val="00CE285D"/>
    <w:rsid w:val="00CF77FE"/>
    <w:rsid w:val="00D04418"/>
    <w:rsid w:val="00D04AA8"/>
    <w:rsid w:val="00D27CFD"/>
    <w:rsid w:val="00D3277A"/>
    <w:rsid w:val="00D355C1"/>
    <w:rsid w:val="00D35E37"/>
    <w:rsid w:val="00D40D7A"/>
    <w:rsid w:val="00D45FAC"/>
    <w:rsid w:val="00D476A4"/>
    <w:rsid w:val="00D560E0"/>
    <w:rsid w:val="00D61925"/>
    <w:rsid w:val="00D65A16"/>
    <w:rsid w:val="00D65FE0"/>
    <w:rsid w:val="00D67EB2"/>
    <w:rsid w:val="00D80F07"/>
    <w:rsid w:val="00D81645"/>
    <w:rsid w:val="00DA0466"/>
    <w:rsid w:val="00DA5771"/>
    <w:rsid w:val="00DB5AA0"/>
    <w:rsid w:val="00DC373F"/>
    <w:rsid w:val="00DC6695"/>
    <w:rsid w:val="00DC6F56"/>
    <w:rsid w:val="00DD11D1"/>
    <w:rsid w:val="00DD7C68"/>
    <w:rsid w:val="00DE1C46"/>
    <w:rsid w:val="00DE239D"/>
    <w:rsid w:val="00DE26FD"/>
    <w:rsid w:val="00DE38AE"/>
    <w:rsid w:val="00DE7D88"/>
    <w:rsid w:val="00DF2791"/>
    <w:rsid w:val="00DF505B"/>
    <w:rsid w:val="00DF57B4"/>
    <w:rsid w:val="00E01733"/>
    <w:rsid w:val="00E0281D"/>
    <w:rsid w:val="00E0316E"/>
    <w:rsid w:val="00E06E9F"/>
    <w:rsid w:val="00E120FD"/>
    <w:rsid w:val="00E12913"/>
    <w:rsid w:val="00E12D2D"/>
    <w:rsid w:val="00E1377B"/>
    <w:rsid w:val="00E13F44"/>
    <w:rsid w:val="00E26C67"/>
    <w:rsid w:val="00E276C5"/>
    <w:rsid w:val="00E31B37"/>
    <w:rsid w:val="00E34707"/>
    <w:rsid w:val="00E40139"/>
    <w:rsid w:val="00E41D89"/>
    <w:rsid w:val="00E43548"/>
    <w:rsid w:val="00E462F6"/>
    <w:rsid w:val="00E50E6E"/>
    <w:rsid w:val="00E53CD1"/>
    <w:rsid w:val="00E540F0"/>
    <w:rsid w:val="00E55898"/>
    <w:rsid w:val="00E71290"/>
    <w:rsid w:val="00E74BDE"/>
    <w:rsid w:val="00E861D3"/>
    <w:rsid w:val="00E94765"/>
    <w:rsid w:val="00EA1E7E"/>
    <w:rsid w:val="00EA2C55"/>
    <w:rsid w:val="00EA57AB"/>
    <w:rsid w:val="00EB1B3E"/>
    <w:rsid w:val="00EB326C"/>
    <w:rsid w:val="00EC47E0"/>
    <w:rsid w:val="00EC489B"/>
    <w:rsid w:val="00ED08C0"/>
    <w:rsid w:val="00ED1EF5"/>
    <w:rsid w:val="00ED3B56"/>
    <w:rsid w:val="00ED69E7"/>
    <w:rsid w:val="00EE092D"/>
    <w:rsid w:val="00EE13A0"/>
    <w:rsid w:val="00EE17CE"/>
    <w:rsid w:val="00EF4422"/>
    <w:rsid w:val="00EF5534"/>
    <w:rsid w:val="00EF59D5"/>
    <w:rsid w:val="00F00C42"/>
    <w:rsid w:val="00F0518A"/>
    <w:rsid w:val="00F06676"/>
    <w:rsid w:val="00F1701D"/>
    <w:rsid w:val="00F2383E"/>
    <w:rsid w:val="00F23972"/>
    <w:rsid w:val="00F240F5"/>
    <w:rsid w:val="00F24206"/>
    <w:rsid w:val="00F2585D"/>
    <w:rsid w:val="00F266E5"/>
    <w:rsid w:val="00F2789F"/>
    <w:rsid w:val="00F31042"/>
    <w:rsid w:val="00F31B94"/>
    <w:rsid w:val="00F31BE0"/>
    <w:rsid w:val="00F40931"/>
    <w:rsid w:val="00F44FE8"/>
    <w:rsid w:val="00F463F0"/>
    <w:rsid w:val="00F528AF"/>
    <w:rsid w:val="00F560A8"/>
    <w:rsid w:val="00F61EBD"/>
    <w:rsid w:val="00F63934"/>
    <w:rsid w:val="00F76C1B"/>
    <w:rsid w:val="00F92746"/>
    <w:rsid w:val="00FA6D52"/>
    <w:rsid w:val="00FB72B8"/>
    <w:rsid w:val="00FD328E"/>
    <w:rsid w:val="00FD58D9"/>
    <w:rsid w:val="00FE4F8C"/>
    <w:rsid w:val="00FE5566"/>
    <w:rsid w:val="00FF142C"/>
    <w:rsid w:val="00FF2FCB"/>
    <w:rsid w:val="00FF4929"/>
    <w:rsid w:val="00FF78D4"/>
    <w:rsid w:val="01E6665B"/>
    <w:rsid w:val="022F4B5C"/>
    <w:rsid w:val="08FC1BF7"/>
    <w:rsid w:val="0D052662"/>
    <w:rsid w:val="0D2626CA"/>
    <w:rsid w:val="0F7D2E6D"/>
    <w:rsid w:val="10044433"/>
    <w:rsid w:val="10914FE1"/>
    <w:rsid w:val="118765F1"/>
    <w:rsid w:val="121F6E18"/>
    <w:rsid w:val="13697B98"/>
    <w:rsid w:val="1495462E"/>
    <w:rsid w:val="179A592B"/>
    <w:rsid w:val="1BF623B2"/>
    <w:rsid w:val="1C580E04"/>
    <w:rsid w:val="1CF60B98"/>
    <w:rsid w:val="20654F48"/>
    <w:rsid w:val="20A10F0C"/>
    <w:rsid w:val="239868CB"/>
    <w:rsid w:val="23AB2AB4"/>
    <w:rsid w:val="24133DE3"/>
    <w:rsid w:val="26476039"/>
    <w:rsid w:val="26B52E60"/>
    <w:rsid w:val="27AC73CF"/>
    <w:rsid w:val="27CB34EC"/>
    <w:rsid w:val="28131730"/>
    <w:rsid w:val="28F43E1C"/>
    <w:rsid w:val="29DA794A"/>
    <w:rsid w:val="29EB2E84"/>
    <w:rsid w:val="2BBB21F1"/>
    <w:rsid w:val="2C8A57F4"/>
    <w:rsid w:val="2DD96E8B"/>
    <w:rsid w:val="308C6F3F"/>
    <w:rsid w:val="32177695"/>
    <w:rsid w:val="323B3B21"/>
    <w:rsid w:val="331521BB"/>
    <w:rsid w:val="33ED3209"/>
    <w:rsid w:val="34953323"/>
    <w:rsid w:val="3656161F"/>
    <w:rsid w:val="391A1F8C"/>
    <w:rsid w:val="39245545"/>
    <w:rsid w:val="3976149A"/>
    <w:rsid w:val="3A442505"/>
    <w:rsid w:val="3B73694D"/>
    <w:rsid w:val="3C8F3547"/>
    <w:rsid w:val="3E1568DE"/>
    <w:rsid w:val="41004712"/>
    <w:rsid w:val="416F30B7"/>
    <w:rsid w:val="43EB4ACE"/>
    <w:rsid w:val="443A1EE0"/>
    <w:rsid w:val="464128A6"/>
    <w:rsid w:val="46661D0B"/>
    <w:rsid w:val="485A0190"/>
    <w:rsid w:val="49DB5C3B"/>
    <w:rsid w:val="4D011CF0"/>
    <w:rsid w:val="4D2C69E6"/>
    <w:rsid w:val="52426233"/>
    <w:rsid w:val="544439C9"/>
    <w:rsid w:val="55380C8A"/>
    <w:rsid w:val="556D32B4"/>
    <w:rsid w:val="57066C36"/>
    <w:rsid w:val="57870875"/>
    <w:rsid w:val="599543FD"/>
    <w:rsid w:val="59AC16CD"/>
    <w:rsid w:val="59E171E5"/>
    <w:rsid w:val="5C1E67E7"/>
    <w:rsid w:val="61DC4E5B"/>
    <w:rsid w:val="6ADE14C4"/>
    <w:rsid w:val="6CCD13F5"/>
    <w:rsid w:val="6D3E2930"/>
    <w:rsid w:val="6DC765B0"/>
    <w:rsid w:val="6EEB3549"/>
    <w:rsid w:val="730D585A"/>
    <w:rsid w:val="73466E66"/>
    <w:rsid w:val="74070EC4"/>
    <w:rsid w:val="76DB5213"/>
    <w:rsid w:val="77B4683F"/>
    <w:rsid w:val="77F01830"/>
    <w:rsid w:val="7AAC444B"/>
    <w:rsid w:val="7B1B0C79"/>
    <w:rsid w:val="7D0F633E"/>
    <w:rsid w:val="7D54505D"/>
    <w:rsid w:val="7DA7665A"/>
    <w:rsid w:val="7DA82B51"/>
    <w:rsid w:val="7F0E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59"/>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60"/>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61"/>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62"/>
    <w:qFormat/>
    <w:uiPriority w:val="9"/>
    <w:pPr>
      <w:keepNext/>
      <w:keepLines/>
      <w:spacing w:before="280" w:after="290" w:line="376" w:lineRule="auto"/>
      <w:outlineLvl w:val="4"/>
    </w:pPr>
    <w:rPr>
      <w:b/>
      <w:bCs/>
      <w:sz w:val="28"/>
      <w:szCs w:val="28"/>
    </w:rPr>
  </w:style>
  <w:style w:type="paragraph" w:styleId="7">
    <w:name w:val="heading 6"/>
    <w:basedOn w:val="1"/>
    <w:next w:val="1"/>
    <w:link w:val="63"/>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4"/>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5"/>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6"/>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0">
    <w:name w:val="Default Paragraph Font"/>
    <w:unhideWhenUsed/>
    <w:qFormat/>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List Number 2"/>
    <w:basedOn w:val="1"/>
    <w:qFormat/>
    <w:uiPriority w:val="0"/>
    <w:pPr>
      <w:widowControl/>
      <w:tabs>
        <w:tab w:val="left" w:pos="1271"/>
        <w:tab w:val="left" w:pos="1680"/>
      </w:tabs>
      <w:spacing w:afterLines="50"/>
      <w:ind w:left="3360" w:hanging="420"/>
      <w:jc w:val="left"/>
    </w:pPr>
    <w:rPr>
      <w:kern w:val="0"/>
      <w:sz w:val="24"/>
      <w:szCs w:val="20"/>
    </w:rPr>
  </w:style>
  <w:style w:type="paragraph" w:styleId="13">
    <w:name w:val="List Number"/>
    <w:basedOn w:val="1"/>
    <w:qFormat/>
    <w:uiPriority w:val="0"/>
    <w:pPr>
      <w:tabs>
        <w:tab w:val="left" w:pos="420"/>
      </w:tabs>
      <w:ind w:left="840" w:hanging="420"/>
    </w:pPr>
    <w:rPr>
      <w:szCs w:val="20"/>
    </w:rPr>
  </w:style>
  <w:style w:type="paragraph" w:styleId="14">
    <w:name w:val="Normal Indent"/>
    <w:basedOn w:val="1"/>
    <w:link w:val="73"/>
    <w:qFormat/>
    <w:uiPriority w:val="0"/>
    <w:pPr>
      <w:ind w:firstLine="420"/>
    </w:pPr>
    <w:rPr>
      <w:b/>
      <w:sz w:val="24"/>
      <w:szCs w:val="20"/>
    </w:rPr>
  </w:style>
  <w:style w:type="paragraph" w:styleId="15">
    <w:name w:val="caption"/>
    <w:basedOn w:val="1"/>
    <w:next w:val="1"/>
    <w:qFormat/>
    <w:uiPriority w:val="35"/>
    <w:rPr>
      <w:rFonts w:ascii="Cambria" w:hAnsi="Cambria" w:eastAsia="黑体"/>
      <w:sz w:val="20"/>
      <w:szCs w:val="20"/>
    </w:rPr>
  </w:style>
  <w:style w:type="paragraph" w:styleId="16">
    <w:name w:val="Document Map"/>
    <w:basedOn w:val="1"/>
    <w:link w:val="131"/>
    <w:qFormat/>
    <w:uiPriority w:val="99"/>
    <w:pPr>
      <w:shd w:val="clear" w:color="auto" w:fill="000080"/>
    </w:pPr>
  </w:style>
  <w:style w:type="paragraph" w:styleId="17">
    <w:name w:val="toa heading"/>
    <w:basedOn w:val="1"/>
    <w:next w:val="1"/>
    <w:qFormat/>
    <w:uiPriority w:val="0"/>
    <w:pPr>
      <w:spacing w:before="120"/>
    </w:pPr>
    <w:rPr>
      <w:rFonts w:ascii="Arial" w:hAnsi="Arial" w:cs="Arial"/>
      <w:sz w:val="24"/>
    </w:rPr>
  </w:style>
  <w:style w:type="paragraph" w:styleId="18">
    <w:name w:val="annotation text"/>
    <w:basedOn w:val="1"/>
    <w:link w:val="83"/>
    <w:unhideWhenUsed/>
    <w:qFormat/>
    <w:uiPriority w:val="99"/>
    <w:pPr>
      <w:jc w:val="left"/>
    </w:pPr>
    <w:rPr>
      <w:szCs w:val="20"/>
    </w:rPr>
  </w:style>
  <w:style w:type="paragraph" w:styleId="19">
    <w:name w:val="Body Text 3"/>
    <w:basedOn w:val="1"/>
    <w:link w:val="86"/>
    <w:qFormat/>
    <w:uiPriority w:val="0"/>
    <w:rPr>
      <w:rFonts w:ascii="宋体"/>
      <w:sz w:val="24"/>
      <w:szCs w:val="20"/>
    </w:rPr>
  </w:style>
  <w:style w:type="paragraph" w:styleId="20">
    <w:name w:val="Body Text"/>
    <w:basedOn w:val="1"/>
    <w:link w:val="107"/>
    <w:qFormat/>
    <w:uiPriority w:val="0"/>
    <w:pPr>
      <w:spacing w:after="120"/>
    </w:pPr>
  </w:style>
  <w:style w:type="paragraph" w:styleId="21">
    <w:name w:val="Body Text Indent"/>
    <w:basedOn w:val="1"/>
    <w:link w:val="116"/>
    <w:qFormat/>
    <w:uiPriority w:val="0"/>
    <w:pPr>
      <w:spacing w:line="360" w:lineRule="auto"/>
      <w:ind w:firstLine="420"/>
    </w:pPr>
    <w:rPr>
      <w:rFonts w:ascii="宋体"/>
      <w:sz w:val="24"/>
      <w:szCs w:val="20"/>
    </w:rPr>
  </w:style>
  <w:style w:type="paragraph" w:styleId="22">
    <w:name w:val="List Number 3"/>
    <w:basedOn w:val="1"/>
    <w:qFormat/>
    <w:uiPriority w:val="0"/>
    <w:pPr>
      <w:tabs>
        <w:tab w:val="left" w:pos="420"/>
        <w:tab w:val="left" w:pos="1200"/>
      </w:tabs>
      <w:ind w:left="420" w:hanging="420"/>
    </w:pPr>
    <w:rPr>
      <w:szCs w:val="20"/>
    </w:rPr>
  </w:style>
  <w:style w:type="paragraph" w:styleId="23">
    <w:name w:val="index 4"/>
    <w:basedOn w:val="1"/>
    <w:next w:val="1"/>
    <w:qFormat/>
    <w:uiPriority w:val="0"/>
    <w:pPr>
      <w:ind w:left="600" w:leftChars="600"/>
    </w:pPr>
  </w:style>
  <w:style w:type="paragraph" w:styleId="24">
    <w:name w:val="toc 5"/>
    <w:basedOn w:val="1"/>
    <w:next w:val="1"/>
    <w:qFormat/>
    <w:uiPriority w:val="39"/>
    <w:pPr>
      <w:ind w:left="1680" w:leftChars="800"/>
    </w:pPr>
  </w:style>
  <w:style w:type="paragraph" w:styleId="25">
    <w:name w:val="toc 3"/>
    <w:basedOn w:val="1"/>
    <w:next w:val="1"/>
    <w:qFormat/>
    <w:uiPriority w:val="39"/>
    <w:pPr>
      <w:ind w:left="840" w:leftChars="400"/>
    </w:pPr>
  </w:style>
  <w:style w:type="paragraph" w:styleId="26">
    <w:name w:val="Plain Text"/>
    <w:basedOn w:val="1"/>
    <w:link w:val="75"/>
    <w:qFormat/>
    <w:uiPriority w:val="99"/>
    <w:rPr>
      <w:rFonts w:ascii="宋体" w:hAnsi="Courier New"/>
      <w:sz w:val="28"/>
      <w:szCs w:val="20"/>
    </w:rPr>
  </w:style>
  <w:style w:type="paragraph" w:styleId="27">
    <w:name w:val="toc 8"/>
    <w:basedOn w:val="1"/>
    <w:next w:val="1"/>
    <w:qFormat/>
    <w:uiPriority w:val="39"/>
    <w:pPr>
      <w:ind w:left="2940" w:leftChars="1400"/>
    </w:pPr>
  </w:style>
  <w:style w:type="paragraph" w:styleId="28">
    <w:name w:val="Date"/>
    <w:basedOn w:val="1"/>
    <w:next w:val="1"/>
    <w:qFormat/>
    <w:uiPriority w:val="0"/>
    <w:pPr>
      <w:ind w:left="100" w:leftChars="2500"/>
    </w:pPr>
  </w:style>
  <w:style w:type="paragraph" w:styleId="29">
    <w:name w:val="Body Text Indent 2"/>
    <w:basedOn w:val="1"/>
    <w:link w:val="108"/>
    <w:qFormat/>
    <w:uiPriority w:val="0"/>
    <w:pPr>
      <w:spacing w:line="420" w:lineRule="exact"/>
      <w:ind w:firstLine="525"/>
    </w:pPr>
    <w:rPr>
      <w:rFonts w:ascii="宋体"/>
      <w:szCs w:val="20"/>
    </w:rPr>
  </w:style>
  <w:style w:type="paragraph" w:styleId="30">
    <w:name w:val="Balloon Text"/>
    <w:basedOn w:val="1"/>
    <w:link w:val="72"/>
    <w:unhideWhenUsed/>
    <w:qFormat/>
    <w:uiPriority w:val="99"/>
    <w:rPr>
      <w:sz w:val="18"/>
      <w:szCs w:val="18"/>
    </w:rPr>
  </w:style>
  <w:style w:type="paragraph" w:styleId="31">
    <w:name w:val="footer"/>
    <w:basedOn w:val="1"/>
    <w:link w:val="90"/>
    <w:qFormat/>
    <w:uiPriority w:val="99"/>
    <w:pPr>
      <w:tabs>
        <w:tab w:val="center" w:pos="4153"/>
        <w:tab w:val="right" w:pos="8306"/>
      </w:tabs>
      <w:snapToGrid w:val="0"/>
      <w:jc w:val="left"/>
    </w:pPr>
    <w:rPr>
      <w:sz w:val="18"/>
      <w:szCs w:val="20"/>
    </w:rPr>
  </w:style>
  <w:style w:type="paragraph" w:styleId="32">
    <w:name w:val="header"/>
    <w:basedOn w:val="1"/>
    <w:link w:val="9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33">
    <w:name w:val="toc 1"/>
    <w:basedOn w:val="1"/>
    <w:next w:val="1"/>
    <w:qFormat/>
    <w:uiPriority w:val="39"/>
  </w:style>
  <w:style w:type="paragraph" w:styleId="34">
    <w:name w:val="toc 4"/>
    <w:basedOn w:val="1"/>
    <w:next w:val="1"/>
    <w:qFormat/>
    <w:uiPriority w:val="39"/>
    <w:pPr>
      <w:ind w:left="1260" w:leftChars="600"/>
    </w:pPr>
  </w:style>
  <w:style w:type="paragraph" w:styleId="35">
    <w:name w:val="Subtitle"/>
    <w:basedOn w:val="1"/>
    <w:next w:val="1"/>
    <w:link w:val="100"/>
    <w:qFormat/>
    <w:uiPriority w:val="11"/>
    <w:pPr>
      <w:spacing w:before="240" w:after="60" w:line="312" w:lineRule="auto"/>
      <w:jc w:val="center"/>
      <w:outlineLvl w:val="1"/>
    </w:pPr>
    <w:rPr>
      <w:rFonts w:ascii="Cambria" w:hAnsi="Cambria"/>
      <w:b/>
      <w:bCs/>
      <w:kern w:val="28"/>
      <w:sz w:val="32"/>
      <w:szCs w:val="32"/>
    </w:rPr>
  </w:style>
  <w:style w:type="paragraph" w:styleId="36">
    <w:name w:val="footnote text"/>
    <w:basedOn w:val="1"/>
    <w:link w:val="121"/>
    <w:qFormat/>
    <w:uiPriority w:val="0"/>
    <w:rPr>
      <w:sz w:val="20"/>
      <w:szCs w:val="20"/>
    </w:rPr>
  </w:style>
  <w:style w:type="paragraph" w:styleId="37">
    <w:name w:val="toc 6"/>
    <w:basedOn w:val="1"/>
    <w:next w:val="1"/>
    <w:qFormat/>
    <w:uiPriority w:val="39"/>
    <w:pPr>
      <w:ind w:left="2100" w:leftChars="1000"/>
    </w:pPr>
  </w:style>
  <w:style w:type="paragraph" w:styleId="38">
    <w:name w:val="Body Text Indent 3"/>
    <w:basedOn w:val="1"/>
    <w:link w:val="87"/>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39"/>
    <w:pPr>
      <w:ind w:left="420" w:leftChars="200"/>
    </w:pPr>
  </w:style>
  <w:style w:type="paragraph" w:styleId="41">
    <w:name w:val="toc 9"/>
    <w:basedOn w:val="1"/>
    <w:next w:val="1"/>
    <w:qFormat/>
    <w:uiPriority w:val="39"/>
    <w:pPr>
      <w:ind w:left="3360" w:leftChars="1600"/>
    </w:pPr>
  </w:style>
  <w:style w:type="paragraph" w:styleId="42">
    <w:name w:val="Body Text 2"/>
    <w:basedOn w:val="1"/>
    <w:link w:val="79"/>
    <w:qFormat/>
    <w:uiPriority w:val="0"/>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43">
    <w:name w:val="List Continue 2"/>
    <w:basedOn w:val="1"/>
    <w:qFormat/>
    <w:uiPriority w:val="0"/>
    <w:pPr>
      <w:spacing w:after="120"/>
      <w:ind w:left="840"/>
    </w:p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5">
    <w:name w:val="Title"/>
    <w:basedOn w:val="1"/>
    <w:link w:val="6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link w:val="82"/>
    <w:qFormat/>
    <w:uiPriority w:val="0"/>
    <w:rPr>
      <w:b/>
      <w:bCs/>
      <w:szCs w:val="24"/>
    </w:rPr>
  </w:style>
  <w:style w:type="paragraph" w:styleId="47">
    <w:name w:val="Body Text First Indent"/>
    <w:basedOn w:val="20"/>
    <w:link w:val="106"/>
    <w:qFormat/>
    <w:uiPriority w:val="0"/>
    <w:pPr>
      <w:tabs>
        <w:tab w:val="left" w:pos="482"/>
        <w:tab w:val="left" w:pos="2183"/>
        <w:tab w:val="left" w:pos="3884"/>
        <w:tab w:val="left" w:pos="5585"/>
      </w:tabs>
      <w:adjustRightInd w:val="0"/>
      <w:spacing w:after="0"/>
      <w:ind w:firstLine="482"/>
      <w:textAlignment w:val="baseline"/>
    </w:pPr>
    <w:rPr>
      <w:sz w:val="24"/>
    </w:rPr>
  </w:style>
  <w:style w:type="table" w:styleId="49">
    <w:name w:val="Table Grid"/>
    <w:basedOn w:val="48"/>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1">
    <w:name w:val="Strong"/>
    <w:qFormat/>
    <w:uiPriority w:val="0"/>
    <w:rPr>
      <w:b/>
      <w:bCs/>
    </w:rPr>
  </w:style>
  <w:style w:type="character" w:styleId="52">
    <w:name w:val="page number"/>
    <w:qFormat/>
    <w:uiPriority w:val="0"/>
  </w:style>
  <w:style w:type="character" w:styleId="53">
    <w:name w:val="FollowedHyperlink"/>
    <w:qFormat/>
    <w:uiPriority w:val="99"/>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character" w:styleId="57">
    <w:name w:val="footnote reference"/>
    <w:qFormat/>
    <w:uiPriority w:val="0"/>
    <w:rPr>
      <w:vertAlign w:val="superscript"/>
    </w:rPr>
  </w:style>
  <w:style w:type="character" w:customStyle="1" w:styleId="58">
    <w:name w:val="标题 1 字符"/>
    <w:link w:val="2"/>
    <w:qFormat/>
    <w:uiPriority w:val="0"/>
    <w:rPr>
      <w:b/>
      <w:bCs/>
      <w:kern w:val="44"/>
      <w:sz w:val="44"/>
      <w:szCs w:val="44"/>
    </w:rPr>
  </w:style>
  <w:style w:type="character" w:customStyle="1" w:styleId="59">
    <w:name w:val="标题 2 字符"/>
    <w:link w:val="3"/>
    <w:qFormat/>
    <w:uiPriority w:val="0"/>
    <w:rPr>
      <w:rFonts w:ascii="Arial" w:hAnsi="Arial" w:eastAsia="黑体"/>
      <w:b/>
      <w:bCs/>
      <w:kern w:val="2"/>
      <w:sz w:val="32"/>
      <w:szCs w:val="32"/>
    </w:rPr>
  </w:style>
  <w:style w:type="character" w:customStyle="1" w:styleId="60">
    <w:name w:val="标题 3 字符"/>
    <w:link w:val="4"/>
    <w:unhideWhenUsed/>
    <w:qFormat/>
    <w:uiPriority w:val="99"/>
    <w:rPr>
      <w:rFonts w:hint="default" w:hAnsi="黑体" w:eastAsia="黑体"/>
      <w:kern w:val="2"/>
      <w:sz w:val="24"/>
    </w:rPr>
  </w:style>
  <w:style w:type="character" w:customStyle="1" w:styleId="61">
    <w:name w:val="标题 4 字符"/>
    <w:link w:val="5"/>
    <w:unhideWhenUsed/>
    <w:qFormat/>
    <w:uiPriority w:val="99"/>
    <w:rPr>
      <w:rFonts w:hint="eastAsia" w:ascii="Cambria" w:hAnsi="Cambria" w:eastAsia="宋体"/>
      <w:b/>
      <w:kern w:val="2"/>
      <w:sz w:val="28"/>
    </w:rPr>
  </w:style>
  <w:style w:type="character" w:customStyle="1" w:styleId="62">
    <w:name w:val="标题 5 字符"/>
    <w:link w:val="6"/>
    <w:semiHidden/>
    <w:qFormat/>
    <w:uiPriority w:val="9"/>
    <w:rPr>
      <w:b/>
      <w:bCs/>
      <w:kern w:val="2"/>
      <w:sz w:val="28"/>
      <w:szCs w:val="28"/>
    </w:rPr>
  </w:style>
  <w:style w:type="character" w:customStyle="1" w:styleId="63">
    <w:name w:val="标题 6 字符"/>
    <w:link w:val="7"/>
    <w:qFormat/>
    <w:uiPriority w:val="0"/>
    <w:rPr>
      <w:rFonts w:ascii="Arial" w:hAnsi="Arial" w:eastAsia="黑体"/>
      <w:b/>
      <w:bCs/>
      <w:sz w:val="24"/>
      <w:szCs w:val="24"/>
    </w:rPr>
  </w:style>
  <w:style w:type="character" w:customStyle="1" w:styleId="64">
    <w:name w:val="标题 7 字符"/>
    <w:link w:val="8"/>
    <w:qFormat/>
    <w:uiPriority w:val="0"/>
    <w:rPr>
      <w:b/>
      <w:bCs/>
      <w:sz w:val="24"/>
      <w:szCs w:val="24"/>
    </w:rPr>
  </w:style>
  <w:style w:type="character" w:customStyle="1" w:styleId="65">
    <w:name w:val="标题 8 字符"/>
    <w:link w:val="9"/>
    <w:qFormat/>
    <w:uiPriority w:val="0"/>
    <w:rPr>
      <w:rFonts w:ascii="Arial" w:hAnsi="Arial" w:eastAsia="黑体"/>
      <w:sz w:val="24"/>
      <w:szCs w:val="24"/>
    </w:rPr>
  </w:style>
  <w:style w:type="character" w:customStyle="1" w:styleId="66">
    <w:name w:val="标题 9 字符"/>
    <w:link w:val="10"/>
    <w:qFormat/>
    <w:uiPriority w:val="0"/>
    <w:rPr>
      <w:rFonts w:ascii="Arial" w:hAnsi="Arial" w:eastAsia="黑体"/>
      <w:sz w:val="21"/>
      <w:szCs w:val="21"/>
    </w:rPr>
  </w:style>
  <w:style w:type="character" w:customStyle="1" w:styleId="67">
    <w:name w:val="标题 字符"/>
    <w:link w:val="45"/>
    <w:qFormat/>
    <w:uiPriority w:val="0"/>
    <w:rPr>
      <w:rFonts w:ascii="Arial" w:hAnsi="Arial"/>
      <w:b/>
      <w:sz w:val="32"/>
    </w:rPr>
  </w:style>
  <w:style w:type="character" w:customStyle="1" w:styleId="68">
    <w:name w:val="Char Char"/>
    <w:qFormat/>
    <w:uiPriority w:val="0"/>
    <w:rPr>
      <w:rFonts w:ascii="Arial" w:hAnsi="Arial" w:eastAsia="黑体"/>
      <w:b/>
      <w:bCs/>
      <w:kern w:val="2"/>
      <w:sz w:val="32"/>
      <w:szCs w:val="32"/>
      <w:lang w:val="en-US" w:eastAsia="zh-CN" w:bidi="ar-SA"/>
    </w:rPr>
  </w:style>
  <w:style w:type="character" w:customStyle="1" w:styleId="69">
    <w:name w:val="unnamed51"/>
    <w:qFormat/>
    <w:uiPriority w:val="0"/>
    <w:rPr>
      <w:sz w:val="22"/>
      <w:szCs w:val="22"/>
    </w:rPr>
  </w:style>
  <w:style w:type="character" w:customStyle="1" w:styleId="70">
    <w:name w:val="页眉 Char"/>
    <w:qFormat/>
    <w:uiPriority w:val="99"/>
    <w:rPr>
      <w:kern w:val="2"/>
      <w:sz w:val="18"/>
    </w:rPr>
  </w:style>
  <w:style w:type="character" w:customStyle="1" w:styleId="71">
    <w:name w:val="页脚 Char"/>
    <w:qFormat/>
    <w:uiPriority w:val="99"/>
    <w:rPr>
      <w:kern w:val="2"/>
      <w:sz w:val="18"/>
    </w:rPr>
  </w:style>
  <w:style w:type="character" w:customStyle="1" w:styleId="72">
    <w:name w:val="批注框文本 字符"/>
    <w:link w:val="30"/>
    <w:qFormat/>
    <w:uiPriority w:val="99"/>
    <w:rPr>
      <w:kern w:val="2"/>
      <w:sz w:val="18"/>
      <w:szCs w:val="18"/>
    </w:rPr>
  </w:style>
  <w:style w:type="character" w:customStyle="1" w:styleId="73">
    <w:name w:val="正文缩进 字符"/>
    <w:link w:val="14"/>
    <w:qFormat/>
    <w:uiPriority w:val="0"/>
    <w:rPr>
      <w:b/>
      <w:kern w:val="2"/>
      <w:sz w:val="24"/>
    </w:rPr>
  </w:style>
  <w:style w:type="character" w:customStyle="1" w:styleId="74">
    <w:name w:val="Char Char12"/>
    <w:qFormat/>
    <w:uiPriority w:val="0"/>
    <w:rPr>
      <w:rFonts w:eastAsia="宋体"/>
      <w:b/>
      <w:bCs/>
      <w:kern w:val="2"/>
      <w:sz w:val="24"/>
      <w:szCs w:val="24"/>
      <w:lang w:val="en-US" w:eastAsia="zh-CN" w:bidi="ar-SA"/>
    </w:rPr>
  </w:style>
  <w:style w:type="character" w:customStyle="1" w:styleId="75">
    <w:name w:val="纯文本 字符"/>
    <w:link w:val="26"/>
    <w:qFormat/>
    <w:uiPriority w:val="99"/>
    <w:rPr>
      <w:rFonts w:ascii="宋体" w:hAnsi="Courier New"/>
      <w:kern w:val="2"/>
      <w:sz w:val="28"/>
    </w:rPr>
  </w:style>
  <w:style w:type="character" w:customStyle="1" w:styleId="76">
    <w:name w:val="样式 Char"/>
    <w:link w:val="77"/>
    <w:qFormat/>
    <w:uiPriority w:val="0"/>
    <w:rPr>
      <w:rFonts w:ascii="宋体" w:hAnsi="宋体" w:cs="宋体"/>
      <w:sz w:val="24"/>
      <w:szCs w:val="24"/>
      <w:lang w:val="en-US" w:eastAsia="zh-CN" w:bidi="ar-SA"/>
    </w:rPr>
  </w:style>
  <w:style w:type="paragraph" w:customStyle="1" w:styleId="77">
    <w:name w:val="样式"/>
    <w:link w:val="76"/>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78">
    <w:name w:val="标题 4 Char"/>
    <w:qFormat/>
    <w:uiPriority w:val="0"/>
    <w:rPr>
      <w:rFonts w:ascii="Arial" w:hAnsi="Arial" w:eastAsia="黑体"/>
      <w:b/>
      <w:bCs/>
      <w:kern w:val="2"/>
      <w:sz w:val="28"/>
      <w:szCs w:val="28"/>
    </w:rPr>
  </w:style>
  <w:style w:type="character" w:customStyle="1" w:styleId="79">
    <w:name w:val="正文文本 2 字符"/>
    <w:link w:val="42"/>
    <w:qFormat/>
    <w:uiPriority w:val="0"/>
    <w:rPr>
      <w:rFonts w:ascii="宋体" w:eastAsia="仿宋_GB2312"/>
      <w:sz w:val="21"/>
    </w:rPr>
  </w:style>
  <w:style w:type="character" w:customStyle="1" w:styleId="80">
    <w:name w:val="引用 字符"/>
    <w:link w:val="81"/>
    <w:qFormat/>
    <w:uiPriority w:val="0"/>
    <w:rPr>
      <w:i/>
      <w:iCs/>
      <w:color w:val="000000"/>
      <w:kern w:val="2"/>
      <w:sz w:val="21"/>
      <w:szCs w:val="24"/>
    </w:rPr>
  </w:style>
  <w:style w:type="paragraph" w:customStyle="1" w:styleId="81">
    <w:name w:val="Quote"/>
    <w:basedOn w:val="1"/>
    <w:next w:val="1"/>
    <w:link w:val="80"/>
    <w:qFormat/>
    <w:uiPriority w:val="0"/>
    <w:rPr>
      <w:i/>
      <w:iCs/>
      <w:color w:val="000000"/>
    </w:rPr>
  </w:style>
  <w:style w:type="character" w:customStyle="1" w:styleId="82">
    <w:name w:val="批注主题 字符"/>
    <w:link w:val="46"/>
    <w:qFormat/>
    <w:uiPriority w:val="0"/>
    <w:rPr>
      <w:b/>
      <w:bCs/>
      <w:kern w:val="2"/>
      <w:sz w:val="21"/>
      <w:szCs w:val="24"/>
    </w:rPr>
  </w:style>
  <w:style w:type="character" w:customStyle="1" w:styleId="83">
    <w:name w:val="批注文字 字符"/>
    <w:link w:val="18"/>
    <w:semiHidden/>
    <w:qFormat/>
    <w:uiPriority w:val="99"/>
    <w:rPr>
      <w:kern w:val="2"/>
      <w:sz w:val="21"/>
    </w:rPr>
  </w:style>
  <w:style w:type="character" w:customStyle="1" w:styleId="84">
    <w:name w:val="明显强调1"/>
    <w:qFormat/>
    <w:uiPriority w:val="21"/>
    <w:rPr>
      <w:b/>
      <w:bCs/>
      <w:i/>
      <w:iCs/>
      <w:color w:val="4F81BD"/>
    </w:rPr>
  </w:style>
  <w:style w:type="character" w:customStyle="1" w:styleId="85">
    <w:name w:val="Char Char2"/>
    <w:qFormat/>
    <w:uiPriority w:val="0"/>
    <w:rPr>
      <w:rFonts w:eastAsia="宋体"/>
      <w:kern w:val="2"/>
      <w:sz w:val="21"/>
      <w:szCs w:val="24"/>
      <w:lang w:val="en-US" w:eastAsia="zh-CN" w:bidi="ar-SA"/>
    </w:rPr>
  </w:style>
  <w:style w:type="character" w:customStyle="1" w:styleId="86">
    <w:name w:val="正文文本 3 字符"/>
    <w:link w:val="19"/>
    <w:qFormat/>
    <w:uiPriority w:val="0"/>
    <w:rPr>
      <w:rFonts w:ascii="宋体"/>
      <w:kern w:val="2"/>
      <w:sz w:val="24"/>
    </w:rPr>
  </w:style>
  <w:style w:type="character" w:customStyle="1" w:styleId="87">
    <w:name w:val="正文文本缩进 3 字符"/>
    <w:link w:val="38"/>
    <w:qFormat/>
    <w:uiPriority w:val="0"/>
    <w:rPr>
      <w:kern w:val="2"/>
      <w:sz w:val="16"/>
      <w:szCs w:val="16"/>
    </w:rPr>
  </w:style>
  <w:style w:type="character" w:customStyle="1" w:styleId="88">
    <w:name w:val="正文空两格 Char"/>
    <w:link w:val="89"/>
    <w:qFormat/>
    <w:uiPriority w:val="0"/>
    <w:rPr>
      <w:rFonts w:ascii="宋体" w:hAnsi="宋体"/>
      <w:kern w:val="2"/>
      <w:sz w:val="21"/>
      <w:szCs w:val="21"/>
    </w:rPr>
  </w:style>
  <w:style w:type="paragraph" w:customStyle="1" w:styleId="89">
    <w:name w:val="正文空两格"/>
    <w:basedOn w:val="1"/>
    <w:link w:val="88"/>
    <w:qFormat/>
    <w:uiPriority w:val="0"/>
    <w:pPr>
      <w:spacing w:line="360" w:lineRule="auto"/>
      <w:ind w:firstLine="420" w:firstLineChars="200"/>
    </w:pPr>
    <w:rPr>
      <w:rFonts w:ascii="宋体" w:hAnsi="宋体"/>
      <w:szCs w:val="21"/>
    </w:rPr>
  </w:style>
  <w:style w:type="character" w:customStyle="1" w:styleId="90">
    <w:name w:val="页脚 字符"/>
    <w:link w:val="31"/>
    <w:unhideWhenUsed/>
    <w:qFormat/>
    <w:uiPriority w:val="99"/>
    <w:rPr>
      <w:rFonts w:hint="default" w:eastAsia="宋体"/>
      <w:kern w:val="2"/>
      <w:sz w:val="18"/>
    </w:rPr>
  </w:style>
  <w:style w:type="character" w:customStyle="1" w:styleId="91">
    <w:name w:val="不明显参考1"/>
    <w:qFormat/>
    <w:uiPriority w:val="31"/>
    <w:rPr>
      <w:smallCaps/>
      <w:color w:val="C0504D"/>
      <w:u w:val="single"/>
    </w:rPr>
  </w:style>
  <w:style w:type="character" w:customStyle="1" w:styleId="92">
    <w:name w:val="font161"/>
    <w:qFormat/>
    <w:uiPriority w:val="0"/>
    <w:rPr>
      <w:b/>
      <w:bCs/>
      <w:sz w:val="32"/>
      <w:szCs w:val="32"/>
    </w:rPr>
  </w:style>
  <w:style w:type="character" w:customStyle="1" w:styleId="93">
    <w:name w:val="apple-style-span"/>
    <w:qFormat/>
    <w:uiPriority w:val="0"/>
  </w:style>
  <w:style w:type="character" w:customStyle="1" w:styleId="94">
    <w:name w:val="列表段落 字符"/>
    <w:link w:val="95"/>
    <w:qFormat/>
    <w:locked/>
    <w:uiPriority w:val="0"/>
    <w:rPr>
      <w:kern w:val="2"/>
      <w:sz w:val="21"/>
      <w:szCs w:val="24"/>
    </w:rPr>
  </w:style>
  <w:style w:type="paragraph" w:customStyle="1" w:styleId="95">
    <w:name w:val="List Paragraph"/>
    <w:basedOn w:val="1"/>
    <w:link w:val="94"/>
    <w:qFormat/>
    <w:uiPriority w:val="34"/>
    <w:pPr>
      <w:ind w:firstLine="420" w:firstLineChars="200"/>
    </w:pPr>
  </w:style>
  <w:style w:type="character" w:customStyle="1" w:styleId="96">
    <w:name w:val="页眉 字符"/>
    <w:link w:val="32"/>
    <w:unhideWhenUsed/>
    <w:qFormat/>
    <w:uiPriority w:val="99"/>
    <w:rPr>
      <w:rFonts w:hint="default" w:eastAsia="宋体"/>
      <w:kern w:val="2"/>
      <w:sz w:val="18"/>
      <w:lang w:val="en-US" w:eastAsia="zh-CN"/>
    </w:rPr>
  </w:style>
  <w:style w:type="character" w:customStyle="1" w:styleId="97">
    <w:name w:val="+1. Char Char"/>
    <w:link w:val="98"/>
    <w:qFormat/>
    <w:uiPriority w:val="0"/>
    <w:rPr>
      <w:kern w:val="2"/>
      <w:sz w:val="24"/>
      <w:szCs w:val="28"/>
    </w:rPr>
  </w:style>
  <w:style w:type="paragraph" w:customStyle="1" w:styleId="98">
    <w:name w:val="+1."/>
    <w:basedOn w:val="99"/>
    <w:link w:val="97"/>
    <w:qFormat/>
    <w:uiPriority w:val="0"/>
    <w:pPr>
      <w:tabs>
        <w:tab w:val="left" w:pos="840"/>
        <w:tab w:val="left" w:pos="1271"/>
      </w:tabs>
      <w:ind w:left="1271" w:hanging="420" w:firstLineChars="0"/>
    </w:pPr>
  </w:style>
  <w:style w:type="paragraph" w:customStyle="1" w:styleId="99">
    <w:name w:val="+正文"/>
    <w:basedOn w:val="1"/>
    <w:qFormat/>
    <w:uiPriority w:val="0"/>
    <w:pPr>
      <w:spacing w:line="360" w:lineRule="auto"/>
      <w:ind w:firstLine="200" w:firstLineChars="200"/>
    </w:pPr>
    <w:rPr>
      <w:sz w:val="24"/>
      <w:szCs w:val="28"/>
    </w:rPr>
  </w:style>
  <w:style w:type="character" w:customStyle="1" w:styleId="100">
    <w:name w:val="副标题 字符"/>
    <w:link w:val="35"/>
    <w:qFormat/>
    <w:uiPriority w:val="11"/>
    <w:rPr>
      <w:rFonts w:ascii="Cambria" w:hAnsi="Cambria" w:cs="Times New Roman"/>
      <w:b/>
      <w:bCs/>
      <w:kern w:val="28"/>
      <w:sz w:val="32"/>
      <w:szCs w:val="32"/>
    </w:rPr>
  </w:style>
  <w:style w:type="character" w:customStyle="1" w:styleId="101">
    <w:name w:val="h3 Char"/>
    <w:qFormat/>
    <w:uiPriority w:val="0"/>
    <w:rPr>
      <w:rFonts w:eastAsia="宋体"/>
      <w:b/>
      <w:bCs/>
      <w:kern w:val="2"/>
      <w:sz w:val="32"/>
      <w:szCs w:val="32"/>
      <w:lang w:val="en-US" w:eastAsia="zh-CN" w:bidi="ar-SA"/>
    </w:rPr>
  </w:style>
  <w:style w:type="character" w:customStyle="1" w:styleId="102">
    <w:name w:val="正文（首行缩进两字） Char"/>
    <w:qFormat/>
    <w:uiPriority w:val="0"/>
    <w:rPr>
      <w:rFonts w:eastAsia="宋体"/>
      <w:kern w:val="28"/>
      <w:sz w:val="28"/>
      <w:lang w:val="en-US" w:eastAsia="zh-CN" w:bidi="ar-SA"/>
    </w:rPr>
  </w:style>
  <w:style w:type="character" w:customStyle="1" w:styleId="103">
    <w:name w:val="标书正文格式 Char"/>
    <w:link w:val="104"/>
    <w:qFormat/>
    <w:uiPriority w:val="0"/>
    <w:rPr>
      <w:rFonts w:ascii="楷体_GB2312" w:eastAsia="楷体_GB2312"/>
      <w:kern w:val="2"/>
      <w:sz w:val="24"/>
      <w:szCs w:val="24"/>
      <w:lang w:val="en-US" w:eastAsia="zh-CN" w:bidi="ar-SA"/>
    </w:rPr>
  </w:style>
  <w:style w:type="paragraph" w:customStyle="1" w:styleId="104">
    <w:name w:val="标书正文格式"/>
    <w:link w:val="103"/>
    <w:qFormat/>
    <w:uiPriority w:val="0"/>
    <w:pPr>
      <w:spacing w:line="360" w:lineRule="auto"/>
      <w:ind w:firstLine="200" w:firstLineChars="200"/>
    </w:pPr>
    <w:rPr>
      <w:rFonts w:ascii="楷体_GB2312" w:hAnsi="Times New Roman" w:eastAsia="楷体_GB2312" w:cs="Times New Roman"/>
      <w:kern w:val="2"/>
      <w:sz w:val="24"/>
      <w:szCs w:val="24"/>
      <w:lang w:val="en-US" w:eastAsia="zh-CN" w:bidi="ar-SA"/>
    </w:rPr>
  </w:style>
  <w:style w:type="character" w:customStyle="1" w:styleId="105">
    <w:name w:val="书籍标题1"/>
    <w:qFormat/>
    <w:uiPriority w:val="33"/>
    <w:rPr>
      <w:b/>
      <w:bCs/>
      <w:smallCaps/>
      <w:spacing w:val="5"/>
    </w:rPr>
  </w:style>
  <w:style w:type="character" w:customStyle="1" w:styleId="106">
    <w:name w:val="正文文本首行缩进 字符"/>
    <w:link w:val="47"/>
    <w:qFormat/>
    <w:uiPriority w:val="0"/>
    <w:rPr>
      <w:kern w:val="2"/>
      <w:sz w:val="24"/>
      <w:szCs w:val="24"/>
    </w:rPr>
  </w:style>
  <w:style w:type="character" w:customStyle="1" w:styleId="107">
    <w:name w:val="正文文本 字符"/>
    <w:link w:val="20"/>
    <w:qFormat/>
    <w:uiPriority w:val="0"/>
    <w:rPr>
      <w:kern w:val="2"/>
      <w:sz w:val="21"/>
      <w:szCs w:val="24"/>
    </w:rPr>
  </w:style>
  <w:style w:type="character" w:customStyle="1" w:styleId="108">
    <w:name w:val="正文文本缩进 2 字符"/>
    <w:link w:val="29"/>
    <w:qFormat/>
    <w:uiPriority w:val="0"/>
    <w:rPr>
      <w:rFonts w:ascii="宋体"/>
      <w:kern w:val="2"/>
      <w:sz w:val="21"/>
    </w:rPr>
  </w:style>
  <w:style w:type="character" w:customStyle="1" w:styleId="109">
    <w:name w:val="批注文字 Char"/>
    <w:qFormat/>
    <w:uiPriority w:val="0"/>
    <w:rPr>
      <w:rFonts w:eastAsia="宋体"/>
      <w:kern w:val="2"/>
      <w:sz w:val="21"/>
      <w:szCs w:val="24"/>
      <w:lang w:val="en-US" w:eastAsia="zh-CN" w:bidi="ar-SA"/>
    </w:rPr>
  </w:style>
  <w:style w:type="character" w:customStyle="1" w:styleId="110">
    <w:name w:val="明显引用 字符"/>
    <w:link w:val="111"/>
    <w:qFormat/>
    <w:uiPriority w:val="0"/>
    <w:rPr>
      <w:b/>
      <w:bCs/>
      <w:i/>
      <w:iCs/>
      <w:color w:val="4F81BD"/>
      <w:kern w:val="2"/>
      <w:sz w:val="21"/>
      <w:szCs w:val="24"/>
    </w:rPr>
  </w:style>
  <w:style w:type="paragraph" w:customStyle="1" w:styleId="111">
    <w:name w:val="Intense Quote"/>
    <w:basedOn w:val="1"/>
    <w:next w:val="1"/>
    <w:link w:val="110"/>
    <w:qFormat/>
    <w:uiPriority w:val="0"/>
    <w:pPr>
      <w:pBdr>
        <w:bottom w:val="single" w:color="4F81BD" w:sz="4" w:space="4"/>
      </w:pBdr>
      <w:spacing w:before="200" w:after="280"/>
      <w:ind w:left="936" w:right="936"/>
    </w:pPr>
    <w:rPr>
      <w:b/>
      <w:bCs/>
      <w:i/>
      <w:iCs/>
      <w:color w:val="4F81BD"/>
    </w:rPr>
  </w:style>
  <w:style w:type="character" w:customStyle="1" w:styleId="112">
    <w:name w:val="无间隔 字符"/>
    <w:link w:val="113"/>
    <w:qFormat/>
    <w:uiPriority w:val="1"/>
    <w:rPr>
      <w:kern w:val="2"/>
      <w:sz w:val="21"/>
      <w:szCs w:val="24"/>
      <w:lang w:val="en-US" w:eastAsia="zh-CN" w:bidi="ar-SA"/>
    </w:rPr>
  </w:style>
  <w:style w:type="paragraph" w:customStyle="1" w:styleId="113">
    <w:name w:val="No Spacing"/>
    <w:link w:val="11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4">
    <w:name w:val="+标题2 Char Char"/>
    <w:link w:val="115"/>
    <w:qFormat/>
    <w:uiPriority w:val="0"/>
    <w:rPr>
      <w:b/>
      <w:bCs/>
      <w:kern w:val="2"/>
      <w:sz w:val="24"/>
      <w:szCs w:val="28"/>
    </w:rPr>
  </w:style>
  <w:style w:type="paragraph" w:customStyle="1" w:styleId="115">
    <w:name w:val="+标题2"/>
    <w:basedOn w:val="3"/>
    <w:link w:val="114"/>
    <w:qFormat/>
    <w:uiPriority w:val="0"/>
    <w:pPr>
      <w:tabs>
        <w:tab w:val="left" w:pos="1276"/>
        <w:tab w:val="left" w:pos="2520"/>
      </w:tabs>
      <w:spacing w:before="120" w:after="120" w:line="360" w:lineRule="auto"/>
      <w:ind w:left="851" w:hanging="420"/>
    </w:pPr>
    <w:rPr>
      <w:rFonts w:ascii="Times New Roman" w:hAnsi="Times New Roman" w:eastAsia="宋体"/>
      <w:sz w:val="24"/>
      <w:szCs w:val="28"/>
    </w:rPr>
  </w:style>
  <w:style w:type="character" w:customStyle="1" w:styleId="116">
    <w:name w:val="正文文本缩进 字符"/>
    <w:link w:val="21"/>
    <w:qFormat/>
    <w:uiPriority w:val="0"/>
    <w:rPr>
      <w:rFonts w:ascii="宋体"/>
      <w:kern w:val="2"/>
      <w:sz w:val="24"/>
    </w:rPr>
  </w:style>
  <w:style w:type="character" w:customStyle="1" w:styleId="117">
    <w:name w:val="Char Char18"/>
    <w:qFormat/>
    <w:uiPriority w:val="0"/>
    <w:rPr>
      <w:rFonts w:hint="eastAsia" w:ascii="黑体" w:hAnsi="宋体" w:eastAsia="黑体"/>
      <w:bCs/>
      <w:kern w:val="2"/>
      <w:sz w:val="28"/>
      <w:szCs w:val="28"/>
      <w:lang w:val="en-US" w:eastAsia="zh-CN" w:bidi="ar-SA"/>
    </w:rPr>
  </w:style>
  <w:style w:type="character" w:customStyle="1" w:styleId="118">
    <w:name w:val="纯文本 Char1"/>
    <w:qFormat/>
    <w:uiPriority w:val="0"/>
    <w:rPr>
      <w:rFonts w:ascii="宋体" w:hAnsi="Courier New" w:eastAsia="宋体"/>
      <w:kern w:val="2"/>
      <w:sz w:val="21"/>
      <w:lang w:val="en-US" w:eastAsia="zh-CN" w:bidi="ar-SA"/>
    </w:rPr>
  </w:style>
  <w:style w:type="character" w:customStyle="1" w:styleId="119">
    <w:name w:val="明显参考1"/>
    <w:qFormat/>
    <w:uiPriority w:val="32"/>
    <w:rPr>
      <w:b/>
      <w:bCs/>
      <w:smallCaps/>
      <w:color w:val="C0504D"/>
      <w:spacing w:val="5"/>
      <w:u w:val="single"/>
    </w:rPr>
  </w:style>
  <w:style w:type="character" w:customStyle="1" w:styleId="120">
    <w:name w:val="Char Char181"/>
    <w:qFormat/>
    <w:uiPriority w:val="0"/>
    <w:rPr>
      <w:rFonts w:ascii="黑体" w:hAnsi="宋体" w:eastAsia="黑体"/>
      <w:bCs/>
      <w:kern w:val="2"/>
      <w:sz w:val="28"/>
      <w:szCs w:val="28"/>
      <w:lang w:val="en-US" w:eastAsia="zh-CN" w:bidi="ar-SA"/>
    </w:rPr>
  </w:style>
  <w:style w:type="character" w:customStyle="1" w:styleId="121">
    <w:name w:val="脚注文本 字符"/>
    <w:link w:val="36"/>
    <w:qFormat/>
    <w:uiPriority w:val="0"/>
    <w:rPr>
      <w:kern w:val="2"/>
    </w:rPr>
  </w:style>
  <w:style w:type="character" w:customStyle="1" w:styleId="122">
    <w:name w:val="标题 3 Char"/>
    <w:qFormat/>
    <w:uiPriority w:val="0"/>
    <w:rPr>
      <w:rFonts w:ascii="黑体" w:hAnsi="宋体" w:eastAsia="黑体"/>
      <w:bCs/>
      <w:kern w:val="2"/>
      <w:sz w:val="28"/>
      <w:szCs w:val="28"/>
    </w:rPr>
  </w:style>
  <w:style w:type="character" w:customStyle="1" w:styleId="123">
    <w:name w:val="+正文 Char Char"/>
    <w:link w:val="124"/>
    <w:qFormat/>
    <w:uiPriority w:val="0"/>
    <w:rPr>
      <w:kern w:val="2"/>
      <w:sz w:val="24"/>
      <w:szCs w:val="28"/>
    </w:rPr>
  </w:style>
  <w:style w:type="paragraph" w:customStyle="1" w:styleId="124">
    <w:name w:val="+正文 Char"/>
    <w:basedOn w:val="1"/>
    <w:link w:val="123"/>
    <w:qFormat/>
    <w:uiPriority w:val="0"/>
    <w:pPr>
      <w:spacing w:line="360" w:lineRule="auto"/>
      <w:ind w:firstLine="200" w:firstLineChars="200"/>
    </w:pPr>
    <w:rPr>
      <w:sz w:val="24"/>
      <w:szCs w:val="28"/>
    </w:rPr>
  </w:style>
  <w:style w:type="character" w:customStyle="1" w:styleId="125">
    <w:name w:val="不明显强调1"/>
    <w:qFormat/>
    <w:uiPriority w:val="19"/>
    <w:rPr>
      <w:i/>
      <w:iCs/>
      <w:color w:val="808080"/>
    </w:rPr>
  </w:style>
  <w:style w:type="character" w:customStyle="1" w:styleId="126">
    <w:name w:val="标题 5 Char1"/>
    <w:qFormat/>
    <w:uiPriority w:val="0"/>
    <w:rPr>
      <w:rFonts w:ascii="Calibri" w:hAnsi="Calibri" w:eastAsia="宋体"/>
      <w:b/>
      <w:bCs/>
      <w:kern w:val="2"/>
      <w:sz w:val="28"/>
      <w:szCs w:val="28"/>
      <w:lang w:val="en-US" w:eastAsia="zh-CN" w:bidi="ar-SA"/>
    </w:rPr>
  </w:style>
  <w:style w:type="character" w:customStyle="1" w:styleId="127">
    <w:name w:val="Char Char7"/>
    <w:qFormat/>
    <w:uiPriority w:val="0"/>
    <w:rPr>
      <w:rFonts w:ascii="Arial" w:hAnsi="Arial" w:eastAsia="黑体"/>
      <w:b/>
      <w:bCs/>
      <w:kern w:val="2"/>
      <w:sz w:val="32"/>
      <w:szCs w:val="32"/>
      <w:lang w:val="en-US" w:eastAsia="zh-CN" w:bidi="ar-SA"/>
    </w:rPr>
  </w:style>
  <w:style w:type="character" w:customStyle="1" w:styleId="128">
    <w:name w:val="+标题3 Char"/>
    <w:qFormat/>
    <w:uiPriority w:val="0"/>
    <w:rPr>
      <w:rFonts w:eastAsia="宋体"/>
      <w:b/>
      <w:bCs/>
      <w:kern w:val="2"/>
      <w:sz w:val="24"/>
      <w:szCs w:val="28"/>
      <w:lang w:val="en-US" w:eastAsia="zh-CN" w:bidi="ar-SA"/>
    </w:rPr>
  </w:style>
  <w:style w:type="character" w:customStyle="1" w:styleId="129">
    <w:name w:val="+标题3 Char Char"/>
    <w:link w:val="130"/>
    <w:qFormat/>
    <w:uiPriority w:val="0"/>
    <w:rPr>
      <w:b/>
      <w:bCs/>
      <w:kern w:val="2"/>
      <w:sz w:val="24"/>
      <w:szCs w:val="28"/>
    </w:rPr>
  </w:style>
  <w:style w:type="paragraph" w:customStyle="1" w:styleId="130">
    <w:name w:val="+标题3"/>
    <w:basedOn w:val="4"/>
    <w:link w:val="129"/>
    <w:qFormat/>
    <w:uiPriority w:val="0"/>
    <w:pPr>
      <w:tabs>
        <w:tab w:val="left" w:pos="1260"/>
        <w:tab w:val="left" w:pos="2126"/>
      </w:tabs>
      <w:spacing w:before="120" w:after="120" w:line="360" w:lineRule="auto"/>
      <w:ind w:left="1701" w:firstLine="0" w:firstLineChars="0"/>
    </w:pPr>
    <w:rPr>
      <w:rFonts w:hAnsi="Times New Roman" w:eastAsia="宋体"/>
      <w:b/>
      <w:bCs/>
      <w:szCs w:val="28"/>
    </w:rPr>
  </w:style>
  <w:style w:type="character" w:customStyle="1" w:styleId="131">
    <w:name w:val="文档结构图 字符"/>
    <w:link w:val="16"/>
    <w:qFormat/>
    <w:uiPriority w:val="99"/>
    <w:rPr>
      <w:kern w:val="2"/>
      <w:sz w:val="21"/>
      <w:szCs w:val="24"/>
      <w:shd w:val="clear" w:color="auto" w:fill="000080"/>
    </w:rPr>
  </w:style>
  <w:style w:type="character" w:customStyle="1" w:styleId="132">
    <w:name w:val="HTML Markup"/>
    <w:qFormat/>
    <w:uiPriority w:val="0"/>
    <w:rPr>
      <w:vanish/>
      <w:color w:val="FF0000"/>
    </w:rPr>
  </w:style>
  <w:style w:type="character" w:customStyle="1" w:styleId="133">
    <w:name w:val="Char Char1"/>
    <w:qFormat/>
    <w:locked/>
    <w:uiPriority w:val="0"/>
    <w:rPr>
      <w:rFonts w:ascii="Arial" w:hAnsi="Arial" w:eastAsia="黑体"/>
      <w:b/>
      <w:bCs/>
      <w:kern w:val="2"/>
      <w:sz w:val="32"/>
      <w:szCs w:val="32"/>
      <w:lang w:val="en-US" w:eastAsia="zh-CN" w:bidi="ar-SA"/>
    </w:rPr>
  </w:style>
  <w:style w:type="character" w:customStyle="1" w:styleId="134">
    <w:name w:val="标题5 Char Char"/>
    <w:link w:val="135"/>
    <w:qFormat/>
    <w:uiPriority w:val="0"/>
    <w:rPr>
      <w:rFonts w:ascii="Arial" w:hAnsi="Arial"/>
      <w:b/>
      <w:bCs/>
      <w:sz w:val="24"/>
      <w:szCs w:val="32"/>
    </w:rPr>
  </w:style>
  <w:style w:type="paragraph" w:customStyle="1" w:styleId="135">
    <w:name w:val="标题5"/>
    <w:basedOn w:val="4"/>
    <w:link w:val="134"/>
    <w:qFormat/>
    <w:uiPriority w:val="0"/>
    <w:pPr>
      <w:spacing w:before="260" w:after="260" w:line="413" w:lineRule="auto"/>
      <w:ind w:firstLine="0" w:firstLineChars="0"/>
    </w:pPr>
    <w:rPr>
      <w:rFonts w:ascii="Arial" w:hAnsi="Arial" w:eastAsia="宋体"/>
      <w:b/>
      <w:bCs/>
      <w:kern w:val="0"/>
      <w:szCs w:val="32"/>
    </w:rPr>
  </w:style>
  <w:style w:type="character" w:customStyle="1" w:styleId="136">
    <w:name w:val="Char Char8"/>
    <w:qFormat/>
    <w:uiPriority w:val="0"/>
    <w:rPr>
      <w:rFonts w:ascii="Arial" w:hAnsi="Arial" w:eastAsia="黑体"/>
      <w:b/>
      <w:bCs/>
      <w:kern w:val="2"/>
      <w:sz w:val="32"/>
      <w:szCs w:val="32"/>
      <w:lang w:val="en-US" w:eastAsia="zh-CN" w:bidi="ar-SA"/>
    </w:rPr>
  </w:style>
  <w:style w:type="character" w:customStyle="1" w:styleId="137">
    <w:name w:val="Table Text Char1 Char"/>
    <w:link w:val="138"/>
    <w:qFormat/>
    <w:uiPriority w:val="0"/>
    <w:rPr>
      <w:rFonts w:ascii="Arial" w:hAnsi="Arial" w:cs="Arial"/>
      <w:kern w:val="2"/>
      <w:sz w:val="18"/>
      <w:szCs w:val="18"/>
      <w:lang w:val="en-US" w:eastAsia="zh-CN" w:bidi="ar-SA"/>
    </w:rPr>
  </w:style>
  <w:style w:type="paragraph" w:customStyle="1" w:styleId="138">
    <w:name w:val="Table Text Char1"/>
    <w:link w:val="137"/>
    <w:qFormat/>
    <w:uiPriority w:val="0"/>
    <w:pPr>
      <w:snapToGrid w:val="0"/>
      <w:spacing w:before="80" w:after="80"/>
    </w:pPr>
    <w:rPr>
      <w:rFonts w:ascii="Arial" w:hAnsi="Arial" w:eastAsia="宋体" w:cs="Arial"/>
      <w:kern w:val="2"/>
      <w:sz w:val="18"/>
      <w:szCs w:val="18"/>
      <w:lang w:val="en-US" w:eastAsia="zh-CN" w:bidi="ar-SA"/>
    </w:rPr>
  </w:style>
  <w:style w:type="paragraph" w:customStyle="1" w:styleId="139">
    <w:name w:val="xl3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40">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41">
    <w:name w:val="正文－恩普"/>
    <w:basedOn w:val="14"/>
    <w:qFormat/>
    <w:uiPriority w:val="0"/>
    <w:pPr>
      <w:spacing w:line="360" w:lineRule="auto"/>
      <w:ind w:firstLine="200" w:firstLineChars="200"/>
    </w:pPr>
    <w:rPr>
      <w:b w:val="0"/>
    </w:rPr>
  </w:style>
  <w:style w:type="paragraph" w:customStyle="1" w:styleId="142">
    <w:name w:val="样式2"/>
    <w:basedOn w:val="4"/>
    <w:qFormat/>
    <w:uiPriority w:val="0"/>
  </w:style>
  <w:style w:type="paragraph" w:customStyle="1" w:styleId="143">
    <w:name w:val="样式3"/>
    <w:basedOn w:val="4"/>
    <w:qFormat/>
    <w:uiPriority w:val="0"/>
    <w:rPr>
      <w:rFonts w:eastAsia="Arial"/>
    </w:rPr>
  </w:style>
  <w:style w:type="paragraph" w:customStyle="1" w:styleId="144">
    <w:name w:val="xl3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45">
    <w:name w:val="p0"/>
    <w:basedOn w:val="1"/>
    <w:qFormat/>
    <w:uiPriority w:val="0"/>
    <w:pPr>
      <w:widowControl/>
    </w:pPr>
    <w:rPr>
      <w:kern w:val="0"/>
      <w:szCs w:val="21"/>
    </w:rPr>
  </w:style>
  <w:style w:type="paragraph" w:customStyle="1" w:styleId="146">
    <w:name w:val="xl38"/>
    <w:basedOn w:val="1"/>
    <w:qFormat/>
    <w:uiPriority w:val="0"/>
    <w:pPr>
      <w:widowControl/>
      <w:pBdr>
        <w:left w:val="single" w:color="auto" w:sz="8" w:space="0"/>
        <w:right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47">
    <w:name w:val="样式1"/>
    <w:basedOn w:val="4"/>
    <w:qFormat/>
    <w:uiPriority w:val="0"/>
    <w:rPr>
      <w:rFonts w:eastAsia="Arial"/>
    </w:rPr>
  </w:style>
  <w:style w:type="paragraph" w:customStyle="1" w:styleId="148">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149">
    <w:name w:val="样式 列表编号 + 段后: 0.5 行"/>
    <w:basedOn w:val="13"/>
    <w:qFormat/>
    <w:uiPriority w:val="0"/>
    <w:pPr>
      <w:widowControl/>
      <w:spacing w:afterLines="50"/>
      <w:ind w:left="1680"/>
      <w:jc w:val="left"/>
    </w:pPr>
    <w:rPr>
      <w:kern w:val="0"/>
      <w:sz w:val="24"/>
    </w:rPr>
  </w:style>
  <w:style w:type="paragraph" w:customStyle="1" w:styleId="150">
    <w:name w:val="表格"/>
    <w:basedOn w:val="1"/>
    <w:qFormat/>
    <w:uiPriority w:val="0"/>
    <w:pPr>
      <w:jc w:val="center"/>
      <w:textAlignment w:val="center"/>
    </w:pPr>
    <w:rPr>
      <w:rFonts w:ascii="华文细黑" w:hAnsi="华文细黑"/>
      <w:kern w:val="0"/>
    </w:rPr>
  </w:style>
  <w:style w:type="paragraph" w:customStyle="1" w:styleId="15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52">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53">
    <w:name w:val="xl28"/>
    <w:basedOn w:val="1"/>
    <w:qFormat/>
    <w:uiPriority w:val="0"/>
    <w:pPr>
      <w:widowControl/>
      <w:pBdr>
        <w:bottom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54">
    <w:name w:val="样式4"/>
    <w:basedOn w:val="4"/>
    <w:qFormat/>
    <w:uiPriority w:val="0"/>
    <w:rPr>
      <w:rFonts w:eastAsia="Arial"/>
    </w:rPr>
  </w:style>
  <w:style w:type="paragraph" w:customStyle="1" w:styleId="155">
    <w:name w:val="样式 标题 3 + (中文) 黑体 小四 非加粗 段前: 7.8 磅 段后: 0 磅 行距: 固定值 20 磅"/>
    <w:basedOn w:val="4"/>
    <w:qFormat/>
    <w:uiPriority w:val="0"/>
    <w:pPr>
      <w:spacing w:before="0" w:after="0" w:line="400" w:lineRule="exact"/>
    </w:pPr>
    <w:rPr>
      <w:rFonts w:cs="宋体"/>
      <w:b/>
      <w:bCs/>
    </w:rPr>
  </w:style>
  <w:style w:type="paragraph" w:customStyle="1" w:styleId="156">
    <w:name w:val="xl30"/>
    <w:basedOn w:val="1"/>
    <w:qFormat/>
    <w:uiPriority w:val="0"/>
    <w:pPr>
      <w:widowControl/>
      <w:pBdr>
        <w:bottom w:val="single" w:color="auto" w:sz="8" w:space="0"/>
        <w:right w:val="single" w:color="auto" w:sz="8" w:space="0"/>
      </w:pBdr>
      <w:spacing w:before="100" w:beforeAutospacing="1" w:after="100" w:afterAutospacing="1"/>
      <w:jc w:val="center"/>
    </w:pPr>
    <w:rPr>
      <w:rFonts w:hint="eastAsia" w:ascii="仿宋_GB2312" w:hAnsi="宋体" w:eastAsia="仿宋_GB2312"/>
      <w:color w:val="0000FF"/>
      <w:kern w:val="0"/>
      <w:szCs w:val="21"/>
    </w:rPr>
  </w:style>
  <w:style w:type="paragraph" w:customStyle="1" w:styleId="157">
    <w:name w:val="xl25"/>
    <w:basedOn w:val="1"/>
    <w:qFormat/>
    <w:uiPriority w:val="0"/>
    <w:pPr>
      <w:widowControl/>
      <w:pBdr>
        <w:bottom w:val="single" w:color="auto" w:sz="8" w:space="0"/>
        <w:right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58">
    <w:name w:val="四级目录 Char Char Char Char Char"/>
    <w:next w:val="1"/>
    <w:qFormat/>
    <w:uiPriority w:val="0"/>
    <w:pPr>
      <w:spacing w:line="360" w:lineRule="auto"/>
      <w:ind w:left="200" w:leftChars="200"/>
    </w:pPr>
    <w:rPr>
      <w:rFonts w:ascii="Calibri" w:hAnsi="Calibri" w:eastAsia="宋体" w:cs="Times New Roman"/>
      <w:lang w:val="en-US" w:eastAsia="zh-CN" w:bidi="ar-SA"/>
    </w:rPr>
  </w:style>
  <w:style w:type="paragraph" w:customStyle="1" w:styleId="159">
    <w:name w:val="样式 标题 2 + 黑色 行距: 1.5 倍行距"/>
    <w:basedOn w:val="3"/>
    <w:qFormat/>
    <w:uiPriority w:val="0"/>
    <w:pPr>
      <w:spacing w:line="360" w:lineRule="auto"/>
    </w:pPr>
    <w:rPr>
      <w:rFonts w:eastAsia="宋体" w:cs="宋体"/>
      <w:color w:val="000000"/>
      <w:szCs w:val="20"/>
    </w:rPr>
  </w:style>
  <w:style w:type="paragraph" w:customStyle="1" w:styleId="160">
    <w:name w:val="表内文字"/>
    <w:basedOn w:val="1"/>
    <w:qFormat/>
    <w:uiPriority w:val="0"/>
    <w:pPr>
      <w:spacing w:line="240" w:lineRule="atLeast"/>
      <w:jc w:val="center"/>
    </w:pPr>
    <w:rPr>
      <w:rFonts w:ascii="Arial" w:hAnsi="Arial" w:cs="Arial"/>
      <w:b/>
      <w:bCs/>
    </w:rPr>
  </w:style>
  <w:style w:type="paragraph" w:customStyle="1" w:styleId="161">
    <w:name w:val="正文缩进 New New"/>
    <w:basedOn w:val="1"/>
    <w:qFormat/>
    <w:uiPriority w:val="0"/>
    <w:pPr>
      <w:ind w:firstLine="420"/>
    </w:pPr>
    <w:rPr>
      <w:rFonts w:ascii="Calibri" w:hAnsi="Calibri" w:cs="黑体"/>
      <w:b/>
      <w:sz w:val="24"/>
      <w:szCs w:val="22"/>
    </w:rPr>
  </w:style>
  <w:style w:type="paragraph" w:customStyle="1" w:styleId="162">
    <w:name w:val="xl34"/>
    <w:basedOn w:val="1"/>
    <w:qFormat/>
    <w:uiPriority w:val="0"/>
    <w:pPr>
      <w:widowControl/>
      <w:pBdr>
        <w:right w:val="single" w:color="auto" w:sz="8" w:space="0"/>
      </w:pBdr>
      <w:spacing w:before="100" w:beforeAutospacing="1" w:after="100" w:afterAutospacing="1"/>
      <w:jc w:val="center"/>
    </w:pPr>
    <w:rPr>
      <w:rFonts w:hint="eastAsia" w:ascii="仿宋_GB2312" w:hAnsi="宋体" w:eastAsia="仿宋_GB2312"/>
      <w:color w:val="FF00FF"/>
      <w:kern w:val="0"/>
      <w:szCs w:val="21"/>
    </w:rPr>
  </w:style>
  <w:style w:type="paragraph" w:customStyle="1" w:styleId="163">
    <w:name w:val="xl24"/>
    <w:basedOn w:val="1"/>
    <w:qFormat/>
    <w:uiPriority w:val="0"/>
    <w:pPr>
      <w:widowControl/>
      <w:pBdr>
        <w:top w:val="single" w:color="auto" w:sz="8" w:space="0"/>
        <w:right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64">
    <w:name w:val="xl26"/>
    <w:basedOn w:val="1"/>
    <w:qFormat/>
    <w:uiPriority w:val="0"/>
    <w:pPr>
      <w:widowControl/>
      <w:pBdr>
        <w:right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65">
    <w:name w:val="Char Char Char Char"/>
    <w:basedOn w:val="1"/>
    <w:next w:val="1"/>
    <w:qFormat/>
    <w:uiPriority w:val="0"/>
    <w:rPr>
      <w:kern w:val="0"/>
      <w:sz w:val="24"/>
    </w:rPr>
  </w:style>
  <w:style w:type="paragraph" w:customStyle="1" w:styleId="166">
    <w:name w:val="xl3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hint="eastAsia" w:ascii="仿宋_GB2312" w:hAnsi="宋体" w:eastAsia="仿宋_GB2312"/>
      <w:color w:val="0000FF"/>
      <w:kern w:val="0"/>
      <w:szCs w:val="21"/>
    </w:rPr>
  </w:style>
  <w:style w:type="paragraph" w:customStyle="1" w:styleId="167">
    <w:name w:val="xl39"/>
    <w:basedOn w:val="1"/>
    <w:qFormat/>
    <w:uiPriority w:val="0"/>
    <w:pPr>
      <w:widowControl/>
      <w:pBdr>
        <w:top w:val="single" w:color="auto" w:sz="8" w:space="0"/>
        <w:left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68">
    <w:name w:val="标题 2 + 黑色 行距: 1.5 倍行距"/>
    <w:basedOn w:val="3"/>
    <w:qFormat/>
    <w:uiPriority w:val="0"/>
    <w:pPr>
      <w:spacing w:line="360" w:lineRule="auto"/>
    </w:pPr>
    <w:rPr>
      <w:rFonts w:eastAsia="宋体" w:cs="宋体"/>
      <w:color w:val="000000"/>
      <w:szCs w:val="20"/>
    </w:rPr>
  </w:style>
  <w:style w:type="paragraph" w:customStyle="1" w:styleId="16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70">
    <w:name w:val="Char Char7 Char"/>
    <w:basedOn w:val="1"/>
    <w:qFormat/>
    <w:uiPriority w:val="0"/>
    <w:pPr>
      <w:tabs>
        <w:tab w:val="left" w:pos="425"/>
      </w:tabs>
      <w:ind w:left="420" w:leftChars="200" w:firstLine="270" w:firstLineChars="150"/>
    </w:pPr>
  </w:style>
  <w:style w:type="paragraph" w:customStyle="1" w:styleId="171">
    <w:name w:val="xl2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7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73">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74">
    <w:name w:val="样式 标题 1 + 黑体 三号 非加粗 居中 段前: 6 磅 段后: 6 磅 行距: 固定值 20 磅"/>
    <w:basedOn w:val="2"/>
    <w:qFormat/>
    <w:uiPriority w:val="0"/>
    <w:pPr>
      <w:spacing w:before="120" w:after="120" w:line="400" w:lineRule="exact"/>
    </w:pPr>
    <w:rPr>
      <w:rFonts w:ascii="黑体" w:hAnsi="黑体" w:eastAsia="黑体" w:cs="宋体"/>
      <w:b w:val="0"/>
      <w:bCs w:val="0"/>
      <w:sz w:val="32"/>
      <w:szCs w:val="20"/>
    </w:rPr>
  </w:style>
  <w:style w:type="paragraph" w:customStyle="1" w:styleId="175">
    <w:name w:val="xl29"/>
    <w:basedOn w:val="1"/>
    <w:qFormat/>
    <w:uiPriority w:val="0"/>
    <w:pPr>
      <w:widowControl/>
      <w:pBdr>
        <w:bottom w:val="single" w:color="auto" w:sz="8" w:space="0"/>
        <w:right w:val="single" w:color="auto" w:sz="8" w:space="0"/>
      </w:pBdr>
      <w:spacing w:before="100" w:beforeAutospacing="1" w:after="100" w:afterAutospacing="1"/>
      <w:jc w:val="center"/>
    </w:pPr>
    <w:rPr>
      <w:rFonts w:hint="eastAsia" w:ascii="仿宋_GB2312" w:hAnsi="宋体" w:eastAsia="仿宋_GB2312"/>
      <w:color w:val="FF0000"/>
      <w:kern w:val="0"/>
      <w:szCs w:val="21"/>
    </w:rPr>
  </w:style>
  <w:style w:type="paragraph" w:customStyle="1" w:styleId="176">
    <w:name w:val="xl40"/>
    <w:basedOn w:val="1"/>
    <w:qFormat/>
    <w:uiPriority w:val="0"/>
    <w:pPr>
      <w:widowControl/>
      <w:pBdr>
        <w:left w:val="single" w:color="auto" w:sz="8" w:space="0"/>
        <w:bottom w:val="single" w:color="auto" w:sz="8" w:space="0"/>
      </w:pBdr>
      <w:spacing w:before="100" w:beforeAutospacing="1" w:after="100" w:afterAutospacing="1"/>
      <w:jc w:val="center"/>
    </w:pPr>
    <w:rPr>
      <w:rFonts w:hint="eastAsia" w:ascii="仿宋_GB2312" w:hAnsi="宋体" w:eastAsia="仿宋_GB2312"/>
      <w:kern w:val="0"/>
      <w:szCs w:val="21"/>
    </w:rPr>
  </w:style>
  <w:style w:type="paragraph" w:customStyle="1" w:styleId="177">
    <w:name w:val="Char Char Char Char1"/>
    <w:basedOn w:val="1"/>
    <w:qFormat/>
    <w:uiPriority w:val="0"/>
  </w:style>
  <w:style w:type="paragraph" w:customStyle="1" w:styleId="178">
    <w:name w:val="Char Char2 Char Char"/>
    <w:basedOn w:val="16"/>
    <w:unhideWhenUsed/>
    <w:qFormat/>
    <w:uiPriority w:val="99"/>
    <w:rPr>
      <w:rFonts w:hint="eastAsia" w:ascii="Tahoma" w:hAnsi="Tahoma"/>
      <w:sz w:val="24"/>
    </w:rPr>
  </w:style>
  <w:style w:type="paragraph" w:customStyle="1" w:styleId="179">
    <w:name w:val="Char Char Char Char2"/>
    <w:basedOn w:val="16"/>
    <w:qFormat/>
    <w:uiPriority w:val="0"/>
    <w:pPr>
      <w:adjustRightInd w:val="0"/>
      <w:snapToGrid w:val="0"/>
      <w:spacing w:line="360" w:lineRule="auto"/>
    </w:pPr>
    <w:rPr>
      <w:rFonts w:ascii="Tahoma" w:hAnsi="Tahoma"/>
      <w:sz w:val="24"/>
    </w:rPr>
  </w:style>
  <w:style w:type="paragraph" w:customStyle="1" w:styleId="180">
    <w:name w:val="xl3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hint="eastAsia" w:ascii="仿宋_GB2312" w:hAnsi="宋体" w:eastAsia="仿宋_GB2312"/>
      <w:color w:val="00CCFF"/>
      <w:kern w:val="0"/>
      <w:szCs w:val="21"/>
    </w:rPr>
  </w:style>
  <w:style w:type="paragraph" w:customStyle="1" w:styleId="181">
    <w:name w:val="TOC 标题1"/>
    <w:basedOn w:val="2"/>
    <w:next w:val="1"/>
    <w:qFormat/>
    <w:uiPriority w:val="0"/>
    <w:pPr>
      <w:spacing w:line="578" w:lineRule="auto"/>
      <w:outlineLvl w:val="9"/>
    </w:pPr>
  </w:style>
  <w:style w:type="paragraph" w:customStyle="1" w:styleId="182">
    <w:name w:val="Char Char3"/>
    <w:basedOn w:val="1"/>
    <w:qFormat/>
    <w:uiPriority w:val="0"/>
  </w:style>
  <w:style w:type="paragraph" w:customStyle="1" w:styleId="183">
    <w:name w:val="Item Step_2"/>
    <w:qFormat/>
    <w:uiPriority w:val="0"/>
    <w:pPr>
      <w:tabs>
        <w:tab w:val="left" w:pos="1418"/>
      </w:tabs>
      <w:spacing w:before="40" w:after="40"/>
      <w:ind w:left="1418" w:hanging="284"/>
    </w:pPr>
    <w:rPr>
      <w:rFonts w:ascii="Arial" w:hAnsi="Arial" w:eastAsia="宋体" w:cs="Times New Roman"/>
      <w:sz w:val="21"/>
      <w:lang w:val="en-US" w:eastAsia="en-US" w:bidi="ar-SA"/>
    </w:rPr>
  </w:style>
  <w:style w:type="paragraph" w:customStyle="1" w:styleId="184">
    <w:name w:val="Defaul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185">
    <w:name w:val="Item List_2"/>
    <w:basedOn w:val="186"/>
    <w:qFormat/>
    <w:uiPriority w:val="0"/>
    <w:pPr>
      <w:tabs>
        <w:tab w:val="left" w:pos="1134"/>
        <w:tab w:val="left" w:pos="1418"/>
      </w:tabs>
      <w:ind w:left="1418" w:hanging="284"/>
    </w:pPr>
  </w:style>
  <w:style w:type="paragraph" w:customStyle="1" w:styleId="186">
    <w:name w:val="Item List"/>
    <w:basedOn w:val="1"/>
    <w:qFormat/>
    <w:uiPriority w:val="0"/>
    <w:pPr>
      <w:widowControl/>
      <w:tabs>
        <w:tab w:val="left" w:pos="1134"/>
      </w:tabs>
      <w:spacing w:before="40" w:after="40"/>
      <w:ind w:left="1134"/>
    </w:pPr>
    <w:rPr>
      <w:rFonts w:ascii="Arial" w:hAnsi="Arial" w:eastAsia="微软雅黑" w:cs="Arial"/>
      <w:szCs w:val="20"/>
      <w:lang w:eastAsia="en-US"/>
    </w:rPr>
  </w:style>
  <w:style w:type="paragraph" w:customStyle="1" w:styleId="187">
    <w:name w:val="xl32"/>
    <w:basedOn w:val="1"/>
    <w:qFormat/>
    <w:uiPriority w:val="0"/>
    <w:pPr>
      <w:widowControl/>
      <w:pBdr>
        <w:bottom w:val="single" w:color="auto" w:sz="8" w:space="0"/>
        <w:right w:val="single" w:color="auto" w:sz="8" w:space="0"/>
      </w:pBdr>
      <w:spacing w:before="100" w:beforeAutospacing="1" w:after="100" w:afterAutospacing="1"/>
      <w:jc w:val="center"/>
    </w:pPr>
    <w:rPr>
      <w:rFonts w:hint="eastAsia" w:ascii="仿宋_GB2312" w:hAnsi="宋体" w:eastAsia="仿宋_GB2312"/>
      <w:color w:val="00CCFF"/>
      <w:kern w:val="0"/>
      <w:szCs w:val="21"/>
    </w:rPr>
  </w:style>
  <w:style w:type="paragraph" w:customStyle="1" w:styleId="188">
    <w:name w:val="TOP"/>
    <w:basedOn w:val="2"/>
    <w:qFormat/>
    <w:uiPriority w:val="0"/>
    <w:pPr>
      <w:widowControl/>
    </w:pPr>
    <w:rPr>
      <w:rFonts w:ascii="隶书" w:eastAsia="隶书"/>
      <w:kern w:val="0"/>
      <w:sz w:val="52"/>
      <w:szCs w:val="20"/>
    </w:rPr>
  </w:style>
  <w:style w:type="paragraph" w:customStyle="1" w:styleId="189">
    <w:name w:val="Notes Text List in Table"/>
    <w:qFormat/>
    <w:uiPriority w:val="0"/>
    <w:pPr>
      <w:tabs>
        <w:tab w:val="left" w:pos="284"/>
      </w:tabs>
      <w:spacing w:before="80" w:after="80"/>
      <w:ind w:left="284" w:hanging="284"/>
    </w:pPr>
    <w:rPr>
      <w:rFonts w:ascii="Arial" w:hAnsi="Arial" w:eastAsia="华文楷体" w:cs="楷体_GB2312"/>
      <w:sz w:val="18"/>
      <w:szCs w:val="18"/>
      <w:lang w:val="en-US" w:eastAsia="zh-CN" w:bidi="ar-SA"/>
    </w:rPr>
  </w:style>
  <w:style w:type="paragraph" w:customStyle="1" w:styleId="19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91">
    <w:name w:val="font12"/>
    <w:basedOn w:val="1"/>
    <w:qFormat/>
    <w:uiPriority w:val="0"/>
    <w:pPr>
      <w:widowControl/>
      <w:spacing w:before="100" w:beforeAutospacing="1" w:after="100" w:afterAutospacing="1"/>
      <w:jc w:val="left"/>
    </w:pPr>
    <w:rPr>
      <w:rFonts w:ascii="Arial" w:hAnsi="Arial" w:cs="Arial"/>
      <w:b/>
      <w:bCs/>
      <w:kern w:val="0"/>
      <w:sz w:val="24"/>
    </w:rPr>
  </w:style>
  <w:style w:type="paragraph" w:customStyle="1" w:styleId="192">
    <w:name w:val="Char"/>
    <w:basedOn w:val="1"/>
    <w:qFormat/>
    <w:uiPriority w:val="0"/>
    <w:pPr>
      <w:tabs>
        <w:tab w:val="left" w:pos="360"/>
      </w:tabs>
    </w:pPr>
    <w:rPr>
      <w:sz w:val="24"/>
    </w:rPr>
  </w:style>
  <w:style w:type="paragraph" w:customStyle="1" w:styleId="193">
    <w:name w:val="xl23"/>
    <w:basedOn w:val="1"/>
    <w:qFormat/>
    <w:uiPriority w:val="0"/>
    <w:pPr>
      <w:widowControl/>
      <w:spacing w:before="100" w:beforeAutospacing="1" w:after="100" w:afterAutospacing="1"/>
      <w:jc w:val="center"/>
      <w:textAlignment w:val="center"/>
    </w:pPr>
    <w:rPr>
      <w:rFonts w:hint="eastAsia" w:ascii="宋体" w:hAnsi="宋体" w:cs="Arial Unicode MS"/>
      <w:kern w:val="0"/>
      <w:sz w:val="24"/>
      <w:lang w:eastAsia="en-US"/>
    </w:rPr>
  </w:style>
  <w:style w:type="paragraph" w:customStyle="1" w:styleId="194">
    <w:name w:val="Char Char Char"/>
    <w:basedOn w:val="1"/>
    <w:qFormat/>
    <w:uiPriority w:val="0"/>
    <w:rPr>
      <w:rFonts w:ascii="Tahoma" w:hAnsi="Tahoma"/>
      <w:sz w:val="24"/>
      <w:szCs w:val="20"/>
    </w:rPr>
  </w:style>
  <w:style w:type="paragraph" w:customStyle="1" w:styleId="195">
    <w:name w:val="正文1"/>
    <w:qFormat/>
    <w:uiPriority w:val="0"/>
    <w:pPr>
      <w:widowControl w:val="0"/>
      <w:adjustRightInd w:val="0"/>
      <w:jc w:val="center"/>
    </w:pPr>
    <w:rPr>
      <w:rFonts w:ascii="Times New Roman" w:hAnsi="Times New Roman" w:eastAsia="仿宋_GB2312" w:cs="Times New Roman"/>
      <w:sz w:val="28"/>
      <w:lang w:val="en-US" w:eastAsia="zh-CN" w:bidi="ar-SA"/>
    </w:rPr>
  </w:style>
  <w:style w:type="paragraph" w:customStyle="1" w:styleId="196">
    <w:name w:val="1"/>
    <w:basedOn w:val="1"/>
    <w:next w:val="1"/>
    <w:qFormat/>
    <w:uiPriority w:val="0"/>
  </w:style>
  <w:style w:type="paragraph" w:customStyle="1" w:styleId="197">
    <w:name w:val="正文文本缩进1"/>
    <w:basedOn w:val="1"/>
    <w:qFormat/>
    <w:uiPriority w:val="0"/>
    <w:pPr>
      <w:spacing w:line="360" w:lineRule="auto"/>
      <w:ind w:firstLine="420"/>
    </w:pPr>
    <w:rPr>
      <w:rFonts w:ascii="宋体"/>
      <w:sz w:val="24"/>
    </w:rPr>
  </w:style>
  <w:style w:type="paragraph" w:customStyle="1" w:styleId="198">
    <w:name w:val="表格文字"/>
    <w:basedOn w:val="1"/>
    <w:qFormat/>
    <w:uiPriority w:val="0"/>
    <w:pPr>
      <w:adjustRightInd w:val="0"/>
      <w:spacing w:line="420" w:lineRule="atLeast"/>
      <w:jc w:val="left"/>
      <w:textAlignment w:val="baseline"/>
    </w:pPr>
    <w:rPr>
      <w:kern w:val="0"/>
    </w:rPr>
  </w:style>
  <w:style w:type="paragraph" w:customStyle="1" w:styleId="199">
    <w:name w:val="Personal Name"/>
    <w:basedOn w:val="45"/>
    <w:qFormat/>
    <w:uiPriority w:val="0"/>
    <w:rPr>
      <w:rFonts w:ascii="Impact" w:hAnsi="Impact"/>
      <w:b w:val="0"/>
      <w:caps/>
      <w:color w:val="000000"/>
      <w:sz w:val="28"/>
      <w:szCs w:val="28"/>
    </w:rPr>
  </w:style>
  <w:style w:type="paragraph" w:customStyle="1" w:styleId="200">
    <w:name w:val="纯文本1"/>
    <w:basedOn w:val="1"/>
    <w:qFormat/>
    <w:uiPriority w:val="0"/>
    <w:rPr>
      <w:rFonts w:ascii="宋体" w:hAnsi="Courier New"/>
      <w:sz w:val="28"/>
    </w:rPr>
  </w:style>
  <w:style w:type="paragraph" w:customStyle="1" w:styleId="201">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202">
    <w:name w:val="纯文本11"/>
    <w:basedOn w:val="1"/>
    <w:qFormat/>
    <w:uiPriority w:val="0"/>
    <w:pPr>
      <w:adjustRightInd w:val="0"/>
      <w:textAlignment w:val="baseline"/>
    </w:pPr>
    <w:rPr>
      <w:rFonts w:ascii="宋体" w:hAnsi="Courier New" w:eastAsia="楷体_GB2312"/>
      <w:sz w:val="26"/>
    </w:rPr>
  </w:style>
  <w:style w:type="paragraph" w:customStyle="1" w:styleId="203">
    <w:name w:val="列出段落1"/>
    <w:basedOn w:val="1"/>
    <w:qFormat/>
    <w:uiPriority w:val="34"/>
    <w:pPr>
      <w:ind w:firstLine="420" w:firstLineChars="200"/>
    </w:pPr>
    <w:rPr>
      <w:rFonts w:ascii="Calibri" w:hAnsi="Calibri"/>
      <w:szCs w:val="22"/>
    </w:rPr>
  </w:style>
  <w:style w:type="paragraph" w:customStyle="1" w:styleId="204">
    <w:name w:val="IN Step"/>
    <w:qFormat/>
    <w:uiPriority w:val="0"/>
    <w:pPr>
      <w:keepLines/>
      <w:tabs>
        <w:tab w:val="left" w:pos="737"/>
      </w:tabs>
      <w:spacing w:before="40" w:after="40"/>
      <w:ind w:left="737" w:hanging="737"/>
    </w:pPr>
    <w:rPr>
      <w:rFonts w:ascii="Arial" w:hAnsi="Arial" w:eastAsia="宋体" w:cs="Arial"/>
      <w:kern w:val="2"/>
      <w:sz w:val="21"/>
      <w:lang w:val="en-US" w:eastAsia="zh-CN" w:bidi="ar-SA"/>
    </w:rPr>
  </w:style>
  <w:style w:type="paragraph" w:customStyle="1" w:styleId="205">
    <w:name w:val="Table Description"/>
    <w:qFormat/>
    <w:uiPriority w:val="0"/>
    <w:pPr>
      <w:keepNext/>
      <w:keepLines/>
      <w:spacing w:before="40" w:after="40" w:line="360" w:lineRule="exact"/>
      <w:ind w:left="1134" w:hanging="510"/>
    </w:pPr>
    <w:rPr>
      <w:rFonts w:ascii="Arial" w:hAnsi="Arial" w:eastAsia="黑体" w:cs="Arial Narrow"/>
      <w:sz w:val="21"/>
      <w:lang w:val="en-US" w:eastAsia="zh-CN" w:bidi="ar-SA"/>
    </w:rPr>
  </w:style>
  <w:style w:type="paragraph" w:customStyle="1" w:styleId="206">
    <w:name w:val="Figure Description"/>
    <w:next w:val="1"/>
    <w:qFormat/>
    <w:uiPriority w:val="0"/>
    <w:pPr>
      <w:keepNext/>
      <w:keepLines/>
      <w:spacing w:before="40" w:after="40" w:line="360" w:lineRule="exact"/>
      <w:ind w:firstLine="624"/>
    </w:pPr>
    <w:rPr>
      <w:rFonts w:ascii="Arial" w:hAnsi="Arial" w:eastAsia="黑体" w:cs="Arial Narrow"/>
      <w:sz w:val="21"/>
      <w:lang w:val="en-US" w:eastAsia="zh-CN" w:bidi="ar-SA"/>
    </w:rPr>
  </w:style>
  <w:style w:type="paragraph" w:customStyle="1" w:styleId="207">
    <w:name w:val="Item Step"/>
    <w:basedOn w:val="1"/>
    <w:qFormat/>
    <w:uiPriority w:val="0"/>
    <w:pPr>
      <w:widowControl/>
      <w:tabs>
        <w:tab w:val="left" w:pos="1134"/>
      </w:tabs>
      <w:spacing w:before="40" w:after="40"/>
      <w:ind w:left="1134" w:firstLine="200" w:firstLineChars="200"/>
      <w:jc w:val="left"/>
    </w:pPr>
    <w:rPr>
      <w:rFonts w:ascii="Arial" w:hAnsi="Arial" w:eastAsia="微软雅黑"/>
      <w:kern w:val="0"/>
      <w:lang w:eastAsia="en-US"/>
    </w:rPr>
  </w:style>
  <w:style w:type="paragraph" w:customStyle="1" w:styleId="208">
    <w:name w:val="Item List in Table_2"/>
    <w:basedOn w:val="1"/>
    <w:qFormat/>
    <w:uiPriority w:val="0"/>
    <w:pPr>
      <w:widowControl/>
      <w:tabs>
        <w:tab w:val="left" w:pos="510"/>
      </w:tabs>
      <w:spacing w:before="80" w:after="80"/>
      <w:ind w:left="511" w:hanging="227" w:firstLineChars="200"/>
      <w:jc w:val="left"/>
    </w:pPr>
    <w:rPr>
      <w:rFonts w:ascii="Arial" w:hAnsi="Arial" w:eastAsia="微软雅黑" w:cs="Arial"/>
      <w:sz w:val="18"/>
      <w:szCs w:val="18"/>
      <w:lang w:eastAsia="en-US"/>
    </w:rPr>
  </w:style>
  <w:style w:type="paragraph" w:customStyle="1" w:styleId="209">
    <w:name w:val="Item List_3"/>
    <w:basedOn w:val="185"/>
    <w:semiHidden/>
    <w:qFormat/>
    <w:uiPriority w:val="0"/>
    <w:pPr>
      <w:tabs>
        <w:tab w:val="left" w:pos="1701"/>
      </w:tabs>
    </w:pPr>
  </w:style>
  <w:style w:type="paragraph" w:customStyle="1" w:styleId="210">
    <w:name w:val="Item List in Table"/>
    <w:basedOn w:val="1"/>
    <w:qFormat/>
    <w:uiPriority w:val="0"/>
    <w:pPr>
      <w:widowControl/>
      <w:tabs>
        <w:tab w:val="left" w:pos="284"/>
      </w:tabs>
      <w:spacing w:before="80" w:after="80"/>
      <w:ind w:left="284" w:firstLine="200" w:firstLineChars="200"/>
      <w:jc w:val="left"/>
    </w:pPr>
    <w:rPr>
      <w:rFonts w:ascii="Arial" w:hAnsi="Arial" w:eastAsia="微软雅黑" w:cs="Arial"/>
      <w:sz w:val="18"/>
      <w:szCs w:val="18"/>
      <w:lang w:eastAsia="en-US"/>
    </w:rPr>
  </w:style>
  <w:style w:type="paragraph" w:customStyle="1" w:styleId="211">
    <w:name w:val="标题1"/>
    <w:basedOn w:val="2"/>
    <w:qFormat/>
    <w:uiPriority w:val="0"/>
    <w:pPr>
      <w:spacing w:beforeLines="200" w:afterLines="100" w:line="360" w:lineRule="auto"/>
      <w:ind w:left="420" w:hanging="420"/>
      <w:jc w:val="left"/>
    </w:pPr>
    <w:rPr>
      <w:rFonts w:ascii="Arial" w:hAnsi="Arial"/>
      <w:sz w:val="32"/>
      <w:szCs w:val="32"/>
    </w:rPr>
  </w:style>
  <w:style w:type="paragraph" w:customStyle="1" w:styleId="212">
    <w:name w:val="纯文本2"/>
    <w:basedOn w:val="1"/>
    <w:qFormat/>
    <w:uiPriority w:val="0"/>
    <w:rPr>
      <w:rFonts w:ascii="宋体" w:hAnsi="Courier New"/>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71C9D-9DEC-44A2-AF14-53D97672FA36}">
  <ds:schemaRefs/>
</ds:datastoreItem>
</file>

<file path=docProps/app.xml><?xml version="1.0" encoding="utf-8"?>
<Properties xmlns="http://schemas.openxmlformats.org/officeDocument/2006/extended-properties" xmlns:vt="http://schemas.openxmlformats.org/officeDocument/2006/docPropsVTypes">
  <Template>Normal</Template>
  <Pages>55</Pages>
  <Words>26989</Words>
  <Characters>9097</Characters>
  <Lines>75</Lines>
  <Paragraphs>72</Paragraphs>
  <TotalTime>3</TotalTime>
  <ScaleCrop>false</ScaleCrop>
  <LinksUpToDate>false</LinksUpToDate>
  <CharactersWithSpaces>36014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2019-03-08T00:52:00Z</dcterms:created>
  <dc:creator>kikmfga</dc:creator>
  <cp:lastModifiedBy>打伞的</cp:lastModifiedBy>
  <cp:lastPrinted>2019-03-19T06:51:00Z</cp:lastPrinted>
  <dcterms:modified xsi:type="dcterms:W3CDTF">2019-06-19T03:08:56Z</dcterms:modified>
  <dc:title>江苏省房屋建筑和市政基础设施工程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