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color w:val="auto"/>
          <w:sz w:val="84"/>
          <w:szCs w:val="84"/>
        </w:rPr>
      </w:pPr>
      <w:r>
        <w:rPr>
          <w:rFonts w:hint="eastAsia" w:ascii="宋体" w:hAnsi="宋体"/>
          <w:b/>
          <w:bCs/>
          <w:color w:val="auto"/>
          <w:sz w:val="48"/>
          <w:szCs w:val="48"/>
          <w:lang w:eastAsia="zh-CN"/>
        </w:rPr>
        <w:t>商务酒店和酒店城市会客厅项目</w:t>
      </w:r>
      <w:r>
        <w:rPr>
          <w:rFonts w:hint="eastAsia" w:ascii="宋体" w:hAnsi="宋体"/>
          <w:b/>
          <w:bCs/>
          <w:color w:val="auto"/>
          <w:sz w:val="48"/>
          <w:szCs w:val="48"/>
        </w:rPr>
        <w:t>施工全过程造价控制服务</w:t>
      </w:r>
      <w:bookmarkStart w:id="0" w:name="_Toc363326675"/>
      <w:bookmarkStart w:id="1" w:name="_Toc368759509"/>
      <w:bookmarkStart w:id="2" w:name="_Toc369077541"/>
    </w:p>
    <w:p>
      <w:pPr>
        <w:pStyle w:val="2"/>
        <w:rPr>
          <w:rFonts w:ascii="宋体" w:hAnsi="宋体"/>
          <w:b/>
          <w:color w:val="auto"/>
          <w:sz w:val="84"/>
          <w:szCs w:val="84"/>
        </w:rPr>
      </w:pPr>
    </w:p>
    <w:p>
      <w:pPr>
        <w:rPr>
          <w:rFonts w:ascii="宋体" w:hAnsi="宋体"/>
          <w:b/>
          <w:color w:val="auto"/>
          <w:sz w:val="84"/>
          <w:szCs w:val="84"/>
        </w:rPr>
      </w:pPr>
    </w:p>
    <w:p>
      <w:pPr>
        <w:pStyle w:val="2"/>
        <w:rPr>
          <w:color w:val="auto"/>
        </w:rPr>
      </w:pPr>
    </w:p>
    <w:p>
      <w:pPr>
        <w:spacing w:line="360" w:lineRule="auto"/>
        <w:jc w:val="center"/>
        <w:rPr>
          <w:rFonts w:ascii="宋体" w:hAnsi="宋体"/>
          <w:b/>
          <w:color w:val="auto"/>
          <w:sz w:val="84"/>
          <w:szCs w:val="84"/>
        </w:rPr>
      </w:pPr>
      <w:r>
        <w:rPr>
          <w:rFonts w:hint="eastAsia" w:ascii="宋体" w:hAnsi="宋体"/>
          <w:b/>
          <w:color w:val="auto"/>
          <w:sz w:val="84"/>
          <w:szCs w:val="84"/>
        </w:rPr>
        <w:t>招 标 文 件</w:t>
      </w:r>
    </w:p>
    <w:p>
      <w:pPr>
        <w:spacing w:line="360" w:lineRule="auto"/>
        <w:jc w:val="center"/>
        <w:rPr>
          <w:rFonts w:ascii="宋体" w:hAnsi="宋体"/>
          <w:color w:val="auto"/>
          <w:sz w:val="36"/>
          <w:szCs w:val="36"/>
        </w:rPr>
      </w:pPr>
    </w:p>
    <w:p>
      <w:pPr>
        <w:spacing w:line="360" w:lineRule="auto"/>
        <w:jc w:val="both"/>
        <w:rPr>
          <w:rFonts w:ascii="宋体" w:hAnsi="宋体"/>
          <w:b/>
          <w:color w:val="auto"/>
          <w:sz w:val="32"/>
          <w:szCs w:val="32"/>
        </w:rPr>
      </w:pPr>
    </w:p>
    <w:p>
      <w:pPr>
        <w:pStyle w:val="2"/>
        <w:rPr>
          <w:rFonts w:ascii="宋体" w:hAnsi="宋体"/>
          <w:color w:val="auto"/>
          <w:sz w:val="28"/>
          <w:szCs w:val="28"/>
        </w:rPr>
      </w:pPr>
    </w:p>
    <w:p>
      <w:pPr>
        <w:rPr>
          <w:color w:val="auto"/>
        </w:rPr>
      </w:pPr>
    </w:p>
    <w:p>
      <w:pPr>
        <w:pStyle w:val="2"/>
        <w:rPr>
          <w:color w:val="auto"/>
        </w:rPr>
      </w:pPr>
    </w:p>
    <w:p>
      <w:pPr>
        <w:rPr>
          <w:color w:val="auto"/>
        </w:rPr>
      </w:pPr>
    </w:p>
    <w:p>
      <w:pPr>
        <w:pStyle w:val="2"/>
        <w:rPr>
          <w:color w:val="auto"/>
        </w:rPr>
      </w:pPr>
    </w:p>
    <w:p>
      <w:pPr>
        <w:rPr>
          <w:color w:val="auto"/>
        </w:rPr>
      </w:pPr>
    </w:p>
    <w:p>
      <w:pPr>
        <w:spacing w:line="1000" w:lineRule="exact"/>
        <w:ind w:firstLine="630" w:firstLineChars="196"/>
        <w:rPr>
          <w:rFonts w:hint="eastAsia" w:ascii="宋体" w:hAnsi="宋体"/>
          <w:b/>
          <w:color w:val="auto"/>
          <w:sz w:val="32"/>
          <w:szCs w:val="32"/>
        </w:rPr>
      </w:pPr>
      <w:r>
        <w:rPr>
          <w:rFonts w:hint="eastAsia" w:ascii="宋体" w:hAnsi="宋体"/>
          <w:b/>
          <w:color w:val="auto"/>
          <w:sz w:val="32"/>
          <w:szCs w:val="32"/>
        </w:rPr>
        <w:t>招 标 人：</w:t>
      </w:r>
      <w:r>
        <w:rPr>
          <w:rFonts w:hint="eastAsia" w:ascii="宋体" w:hAnsi="宋体"/>
          <w:b/>
          <w:color w:val="auto"/>
          <w:sz w:val="32"/>
          <w:szCs w:val="32"/>
          <w:u w:val="single"/>
        </w:rPr>
        <w:t>盐城市大丰区铁路投资发展有限公司</w:t>
      </w:r>
      <w:r>
        <w:rPr>
          <w:rFonts w:hint="eastAsia" w:ascii="宋体" w:hAnsi="宋体"/>
          <w:b/>
          <w:color w:val="auto"/>
          <w:sz w:val="32"/>
          <w:szCs w:val="32"/>
        </w:rPr>
        <w:t>（盖章）</w:t>
      </w:r>
    </w:p>
    <w:p>
      <w:pPr>
        <w:pStyle w:val="2"/>
        <w:rPr>
          <w:color w:val="auto"/>
        </w:rPr>
      </w:pPr>
    </w:p>
    <w:p>
      <w:pPr>
        <w:tabs>
          <w:tab w:val="left" w:pos="7560"/>
        </w:tabs>
        <w:spacing w:line="1000" w:lineRule="exact"/>
        <w:ind w:firstLine="630" w:firstLineChars="196"/>
        <w:rPr>
          <w:rFonts w:ascii="宋体" w:hAnsi="宋体"/>
          <w:b/>
          <w:color w:val="auto"/>
          <w:spacing w:val="-20"/>
          <w:sz w:val="32"/>
          <w:szCs w:val="32"/>
        </w:rPr>
      </w:pPr>
      <w:r>
        <w:rPr>
          <w:rFonts w:hint="eastAsia" w:ascii="宋体" w:hAnsi="宋体"/>
          <w:b/>
          <w:color w:val="auto"/>
          <w:sz w:val="32"/>
          <w:szCs w:val="32"/>
        </w:rPr>
        <w:t xml:space="preserve">招标代理: </w:t>
      </w:r>
      <w:r>
        <w:rPr>
          <w:rFonts w:hint="eastAsia" w:ascii="宋体" w:hAnsi="宋体"/>
          <w:b/>
          <w:color w:val="auto"/>
          <w:sz w:val="32"/>
          <w:szCs w:val="32"/>
          <w:u w:val="single"/>
        </w:rPr>
        <w:t xml:space="preserve">     </w:t>
      </w:r>
      <w:bookmarkStart w:id="760" w:name="_GoBack"/>
      <w:r>
        <w:rPr>
          <w:rFonts w:hint="eastAsia" w:ascii="宋体" w:hAnsi="宋体"/>
          <w:b/>
          <w:color w:val="auto"/>
          <w:sz w:val="32"/>
          <w:szCs w:val="32"/>
          <w:u w:val="single"/>
        </w:rPr>
        <w:t>盐城市招标代理有限公司</w:t>
      </w:r>
      <w:bookmarkEnd w:id="760"/>
      <w:r>
        <w:rPr>
          <w:rFonts w:hint="eastAsia" w:ascii="宋体" w:hAnsi="宋体"/>
          <w:b/>
          <w:color w:val="auto"/>
          <w:sz w:val="32"/>
          <w:szCs w:val="32"/>
          <w:u w:val="single"/>
        </w:rPr>
        <w:t xml:space="preserve">      </w:t>
      </w:r>
      <w:r>
        <w:rPr>
          <w:rFonts w:hint="eastAsia" w:ascii="宋体" w:hAnsi="宋体"/>
          <w:b/>
          <w:color w:val="auto"/>
          <w:spacing w:val="-20"/>
          <w:sz w:val="32"/>
          <w:szCs w:val="32"/>
        </w:rPr>
        <w:t>（盖章）</w:t>
      </w:r>
    </w:p>
    <w:p>
      <w:pPr>
        <w:spacing w:line="1000" w:lineRule="exact"/>
        <w:jc w:val="center"/>
        <w:outlineLvl w:val="0"/>
        <w:rPr>
          <w:rFonts w:hint="eastAsia" w:ascii="宋体" w:hAnsi="宋体"/>
          <w:b/>
          <w:color w:val="auto"/>
          <w:sz w:val="32"/>
          <w:szCs w:val="32"/>
        </w:rPr>
        <w:sectPr>
          <w:pgSz w:w="11906" w:h="16838"/>
          <w:pgMar w:top="1440" w:right="1440" w:bottom="1440" w:left="1803" w:header="851" w:footer="992" w:gutter="0"/>
          <w:cols w:space="720" w:num="1"/>
          <w:docGrid w:linePitch="312" w:charSpace="0"/>
        </w:sectPr>
      </w:pPr>
      <w:r>
        <w:rPr>
          <w:rFonts w:hint="eastAsia" w:ascii="宋体" w:hAnsi="宋体"/>
          <w:b/>
          <w:color w:val="auto"/>
          <w:sz w:val="32"/>
          <w:szCs w:val="32"/>
        </w:rPr>
        <w:t>二〇二三年四月</w:t>
      </w:r>
    </w:p>
    <w:p>
      <w:pPr>
        <w:spacing w:line="1000" w:lineRule="exact"/>
        <w:jc w:val="center"/>
        <w:outlineLvl w:val="0"/>
        <w:rPr>
          <w:rFonts w:ascii="宋体" w:hAnsi="宋体" w:cs="宋体"/>
          <w:b/>
          <w:color w:val="auto"/>
          <w:sz w:val="44"/>
        </w:rPr>
      </w:pPr>
      <w:r>
        <w:rPr>
          <w:rFonts w:hint="eastAsia" w:ascii="宋体" w:hAnsi="宋体" w:cs="宋体"/>
          <w:b/>
          <w:color w:val="auto"/>
          <w:sz w:val="44"/>
        </w:rPr>
        <w:t>总  目  录</w:t>
      </w:r>
    </w:p>
    <w:p>
      <w:pPr>
        <w:spacing w:line="360" w:lineRule="auto"/>
        <w:rPr>
          <w:rFonts w:ascii="宋体" w:hAnsi="宋体" w:cs="宋体"/>
          <w:b/>
          <w:color w:val="auto"/>
          <w:sz w:val="28"/>
        </w:rPr>
      </w:pPr>
    </w:p>
    <w:p>
      <w:pPr>
        <w:spacing w:line="360" w:lineRule="auto"/>
        <w:jc w:val="left"/>
        <w:outlineLvl w:val="0"/>
        <w:rPr>
          <w:rFonts w:ascii="宋体" w:hAnsi="宋体" w:cs="宋体"/>
          <w:color w:val="auto"/>
          <w:sz w:val="32"/>
          <w:szCs w:val="32"/>
        </w:rPr>
      </w:pPr>
      <w:r>
        <w:rPr>
          <w:rFonts w:hint="eastAsia" w:ascii="宋体" w:hAnsi="宋体" w:cs="宋体"/>
          <w:color w:val="auto"/>
          <w:sz w:val="32"/>
          <w:szCs w:val="32"/>
        </w:rPr>
        <w:t>第一章 招标公告………………………………………………0</w:t>
      </w:r>
      <w:r>
        <w:rPr>
          <w:rFonts w:hint="eastAsia" w:ascii="宋体" w:hAnsi="宋体" w:cs="宋体"/>
          <w:color w:val="auto"/>
          <w:sz w:val="32"/>
          <w:szCs w:val="32"/>
          <w:lang w:val="en-US" w:eastAsia="zh-CN"/>
        </w:rPr>
        <w:t>2</w:t>
      </w:r>
      <w:r>
        <w:rPr>
          <w:rFonts w:hint="eastAsia" w:ascii="宋体" w:hAnsi="宋体" w:cs="宋体"/>
          <w:color w:val="auto"/>
          <w:sz w:val="32"/>
          <w:szCs w:val="32"/>
        </w:rPr>
        <w:t xml:space="preserve"> </w:t>
      </w:r>
    </w:p>
    <w:p>
      <w:pPr>
        <w:spacing w:line="360" w:lineRule="auto"/>
        <w:jc w:val="left"/>
        <w:outlineLvl w:val="0"/>
        <w:rPr>
          <w:rFonts w:ascii="宋体" w:hAnsi="宋体" w:cs="宋体"/>
          <w:color w:val="auto"/>
          <w:sz w:val="32"/>
          <w:szCs w:val="32"/>
        </w:rPr>
      </w:pPr>
      <w:r>
        <w:rPr>
          <w:rFonts w:hint="eastAsia" w:ascii="宋体" w:hAnsi="宋体" w:cs="宋体"/>
          <w:color w:val="auto"/>
          <w:sz w:val="32"/>
          <w:szCs w:val="32"/>
        </w:rPr>
        <w:t xml:space="preserve">第二章 投标人须知……………………………………………06  </w:t>
      </w:r>
    </w:p>
    <w:p>
      <w:pPr>
        <w:spacing w:line="360" w:lineRule="auto"/>
        <w:jc w:val="left"/>
        <w:outlineLvl w:val="0"/>
        <w:rPr>
          <w:rFonts w:hint="eastAsia" w:ascii="宋体" w:hAnsi="宋体" w:eastAsia="宋体" w:cs="宋体"/>
          <w:color w:val="auto"/>
          <w:sz w:val="32"/>
          <w:szCs w:val="32"/>
          <w:lang w:eastAsia="zh-CN"/>
        </w:rPr>
      </w:pPr>
      <w:r>
        <w:rPr>
          <w:rFonts w:hint="eastAsia" w:ascii="宋体" w:hAnsi="宋体" w:cs="宋体"/>
          <w:color w:val="auto"/>
          <w:sz w:val="32"/>
          <w:szCs w:val="32"/>
        </w:rPr>
        <w:t>第三章 评标办法………………………………………………2</w:t>
      </w:r>
      <w:r>
        <w:rPr>
          <w:rFonts w:hint="eastAsia" w:ascii="宋体" w:hAnsi="宋体" w:cs="宋体"/>
          <w:color w:val="auto"/>
          <w:sz w:val="32"/>
          <w:szCs w:val="32"/>
          <w:lang w:val="en-US" w:eastAsia="zh-CN"/>
        </w:rPr>
        <w:t>4</w:t>
      </w:r>
    </w:p>
    <w:p>
      <w:pPr>
        <w:spacing w:line="360" w:lineRule="auto"/>
        <w:jc w:val="left"/>
        <w:outlineLvl w:val="0"/>
        <w:rPr>
          <w:rFonts w:ascii="宋体" w:hAnsi="宋体" w:cs="宋体"/>
          <w:color w:val="auto"/>
          <w:sz w:val="32"/>
          <w:szCs w:val="32"/>
        </w:rPr>
      </w:pPr>
      <w:r>
        <w:rPr>
          <w:rFonts w:hint="eastAsia" w:ascii="宋体" w:hAnsi="宋体" w:cs="宋体"/>
          <w:color w:val="auto"/>
          <w:sz w:val="32"/>
          <w:szCs w:val="32"/>
        </w:rPr>
        <w:t>第四章 合同条款及格式………………………………………29</w:t>
      </w:r>
    </w:p>
    <w:p>
      <w:pPr>
        <w:spacing w:line="360" w:lineRule="auto"/>
        <w:outlineLvl w:val="0"/>
        <w:rPr>
          <w:rFonts w:hint="default" w:ascii="宋体" w:hAnsi="宋体" w:eastAsia="宋体" w:cs="宋体"/>
          <w:color w:val="auto"/>
          <w:sz w:val="32"/>
          <w:szCs w:val="32"/>
          <w:lang w:val="en-US" w:eastAsia="zh-CN"/>
        </w:rPr>
      </w:pPr>
      <w:r>
        <w:rPr>
          <w:rFonts w:hint="eastAsia" w:ascii="宋体" w:hAnsi="宋体" w:cs="宋体"/>
          <w:bCs/>
          <w:color w:val="auto"/>
          <w:sz w:val="32"/>
          <w:szCs w:val="32"/>
        </w:rPr>
        <w:t>第五章 技术要求</w:t>
      </w:r>
      <w:r>
        <w:rPr>
          <w:rFonts w:hint="eastAsia" w:ascii="宋体" w:hAnsi="宋体" w:cs="宋体"/>
          <w:color w:val="auto"/>
          <w:sz w:val="32"/>
          <w:szCs w:val="32"/>
        </w:rPr>
        <w:t>………………………………………………</w:t>
      </w:r>
      <w:r>
        <w:rPr>
          <w:rFonts w:hint="eastAsia" w:ascii="宋体" w:hAnsi="宋体" w:cs="宋体"/>
          <w:color w:val="auto"/>
          <w:sz w:val="32"/>
          <w:szCs w:val="32"/>
          <w:lang w:val="en-US" w:eastAsia="zh-CN"/>
        </w:rPr>
        <w:t>45</w:t>
      </w:r>
    </w:p>
    <w:p>
      <w:pPr>
        <w:spacing w:line="360" w:lineRule="auto"/>
        <w:jc w:val="left"/>
        <w:outlineLvl w:val="0"/>
        <w:rPr>
          <w:rFonts w:hint="default" w:ascii="宋体" w:hAnsi="宋体" w:eastAsia="宋体" w:cs="宋体"/>
          <w:color w:val="auto"/>
          <w:sz w:val="32"/>
          <w:szCs w:val="32"/>
          <w:lang w:val="en-US" w:eastAsia="zh-CN"/>
        </w:rPr>
      </w:pPr>
      <w:r>
        <w:rPr>
          <w:rFonts w:hint="eastAsia" w:ascii="宋体" w:hAnsi="宋体" w:cs="宋体"/>
          <w:color w:val="auto"/>
          <w:sz w:val="32"/>
          <w:szCs w:val="32"/>
        </w:rPr>
        <w:t>第六章 投标文件格式…………………………………………</w:t>
      </w:r>
      <w:r>
        <w:rPr>
          <w:rFonts w:hint="eastAsia" w:ascii="宋体" w:hAnsi="宋体" w:cs="宋体"/>
          <w:color w:val="auto"/>
          <w:sz w:val="32"/>
          <w:szCs w:val="32"/>
          <w:lang w:val="en-US" w:eastAsia="zh-CN"/>
        </w:rPr>
        <w:t>47</w:t>
      </w:r>
    </w:p>
    <w:p>
      <w:pPr>
        <w:spacing w:line="800" w:lineRule="exact"/>
        <w:jc w:val="center"/>
        <w:rPr>
          <w:rFonts w:ascii="宋体" w:hAnsi="宋体"/>
          <w:b/>
          <w:bCs/>
          <w:color w:val="auto"/>
          <w:sz w:val="32"/>
          <w:szCs w:val="32"/>
        </w:rPr>
      </w:pPr>
    </w:p>
    <w:p>
      <w:pPr>
        <w:pStyle w:val="2"/>
        <w:rPr>
          <w:rFonts w:ascii="宋体" w:hAnsi="宋体"/>
          <w:b/>
          <w:bCs/>
          <w:color w:val="auto"/>
          <w:sz w:val="32"/>
          <w:szCs w:val="32"/>
        </w:rPr>
      </w:pPr>
    </w:p>
    <w:p>
      <w:pPr>
        <w:rPr>
          <w:rFonts w:ascii="宋体" w:hAnsi="宋体"/>
          <w:b/>
          <w:bCs/>
          <w:color w:val="auto"/>
          <w:sz w:val="32"/>
          <w:szCs w:val="32"/>
        </w:rPr>
      </w:pPr>
    </w:p>
    <w:p>
      <w:pPr>
        <w:pStyle w:val="2"/>
        <w:rPr>
          <w:rFonts w:ascii="宋体" w:hAnsi="宋体"/>
          <w:b/>
          <w:bCs/>
          <w:color w:val="auto"/>
          <w:sz w:val="32"/>
          <w:szCs w:val="32"/>
        </w:rPr>
      </w:pPr>
    </w:p>
    <w:p>
      <w:pPr>
        <w:rPr>
          <w:rFonts w:ascii="宋体" w:hAnsi="宋体"/>
          <w:b/>
          <w:bCs/>
          <w:color w:val="auto"/>
          <w:sz w:val="32"/>
          <w:szCs w:val="32"/>
        </w:rPr>
      </w:pPr>
    </w:p>
    <w:p>
      <w:pPr>
        <w:pStyle w:val="2"/>
        <w:rPr>
          <w:rFonts w:ascii="宋体" w:hAnsi="宋体"/>
          <w:b/>
          <w:bCs/>
          <w:color w:val="auto"/>
          <w:sz w:val="32"/>
          <w:szCs w:val="32"/>
        </w:rPr>
      </w:pPr>
    </w:p>
    <w:p>
      <w:pPr>
        <w:rPr>
          <w:rFonts w:ascii="宋体" w:hAnsi="宋体"/>
          <w:b/>
          <w:bCs/>
          <w:color w:val="auto"/>
          <w:sz w:val="32"/>
          <w:szCs w:val="32"/>
        </w:rPr>
      </w:pPr>
    </w:p>
    <w:p>
      <w:pPr>
        <w:pStyle w:val="2"/>
        <w:rPr>
          <w:rFonts w:ascii="宋体" w:hAnsi="宋体"/>
          <w:b/>
          <w:bCs/>
          <w:color w:val="auto"/>
          <w:sz w:val="32"/>
          <w:szCs w:val="32"/>
        </w:rPr>
      </w:pPr>
    </w:p>
    <w:p>
      <w:pPr>
        <w:rPr>
          <w:rFonts w:ascii="宋体" w:hAnsi="宋体"/>
          <w:b/>
          <w:bCs/>
          <w:color w:val="auto"/>
          <w:sz w:val="32"/>
          <w:szCs w:val="32"/>
        </w:rPr>
      </w:pPr>
    </w:p>
    <w:p>
      <w:pPr>
        <w:pStyle w:val="2"/>
        <w:rPr>
          <w:color w:val="auto"/>
        </w:rPr>
      </w:pPr>
    </w:p>
    <w:p>
      <w:pPr>
        <w:spacing w:line="800" w:lineRule="exact"/>
        <w:jc w:val="center"/>
        <w:rPr>
          <w:rFonts w:ascii="宋体" w:hAnsi="宋体"/>
          <w:b/>
          <w:bCs/>
          <w:color w:val="auto"/>
          <w:sz w:val="32"/>
          <w:szCs w:val="32"/>
        </w:rPr>
      </w:pPr>
    </w:p>
    <w:p>
      <w:pPr>
        <w:spacing w:line="800" w:lineRule="exact"/>
        <w:jc w:val="center"/>
        <w:rPr>
          <w:rFonts w:ascii="宋体" w:hAnsi="宋体"/>
          <w:b/>
          <w:bCs/>
          <w:color w:val="auto"/>
          <w:sz w:val="32"/>
          <w:szCs w:val="32"/>
        </w:rPr>
      </w:pPr>
    </w:p>
    <w:p>
      <w:pPr>
        <w:spacing w:line="800" w:lineRule="exact"/>
        <w:jc w:val="center"/>
        <w:rPr>
          <w:rFonts w:ascii="宋体" w:hAnsi="宋体"/>
          <w:b/>
          <w:bCs/>
          <w:color w:val="auto"/>
          <w:sz w:val="32"/>
          <w:szCs w:val="32"/>
        </w:rPr>
      </w:pPr>
    </w:p>
    <w:p>
      <w:pPr>
        <w:spacing w:line="480" w:lineRule="exact"/>
        <w:ind w:firstLine="482" w:firstLineChars="200"/>
        <w:rPr>
          <w:rFonts w:ascii="宋体" w:hAnsi="宋体"/>
          <w:b/>
          <w:color w:val="auto"/>
          <w:sz w:val="24"/>
        </w:rPr>
      </w:pPr>
    </w:p>
    <w:bookmarkEnd w:id="0"/>
    <w:bookmarkEnd w:id="1"/>
    <w:bookmarkEnd w:id="2"/>
    <w:p>
      <w:pPr>
        <w:pStyle w:val="3"/>
        <w:spacing w:before="0" w:after="0" w:line="360" w:lineRule="auto"/>
        <w:rPr>
          <w:rFonts w:ascii="宋体" w:hAnsi="宋体"/>
          <w:color w:val="auto"/>
        </w:rPr>
      </w:pPr>
      <w:bookmarkStart w:id="3" w:name="_Toc508216877"/>
      <w:bookmarkStart w:id="4" w:name="_Toc368759511"/>
      <w:bookmarkStart w:id="5" w:name="_Toc369077550"/>
      <w:bookmarkStart w:id="6" w:name="OLE_LINK4"/>
      <w:bookmarkStart w:id="7" w:name="OLE_LINK1"/>
      <w:bookmarkStart w:id="8" w:name="OLE_LINK3"/>
      <w:bookmarkStart w:id="9" w:name="OLE_LINK5"/>
      <w:bookmarkStart w:id="10" w:name="OLE_LINK6"/>
      <w:bookmarkStart w:id="11" w:name="OLE_LINK2"/>
      <w:r>
        <w:rPr>
          <w:rFonts w:hint="eastAsia" w:ascii="宋体" w:hAnsi="宋体"/>
          <w:color w:val="auto"/>
          <w:sz w:val="40"/>
          <w:szCs w:val="40"/>
        </w:rPr>
        <w:t>第一章  招标公告</w:t>
      </w:r>
      <w:bookmarkEnd w:id="3"/>
    </w:p>
    <w:p>
      <w:pPr>
        <w:spacing w:line="440" w:lineRule="exact"/>
        <w:ind w:firstLine="422" w:firstLineChars="200"/>
        <w:jc w:val="left"/>
        <w:rPr>
          <w:rFonts w:ascii="宋体" w:hAnsi="宋体" w:cs="宋体"/>
          <w:color w:val="auto"/>
          <w:szCs w:val="21"/>
        </w:rPr>
      </w:pPr>
      <w:r>
        <w:rPr>
          <w:rFonts w:hint="eastAsia" w:ascii="宋体" w:hAnsi="宋体" w:cs="宋体"/>
          <w:b/>
          <w:bCs/>
          <w:color w:val="auto"/>
          <w:szCs w:val="21"/>
        </w:rPr>
        <w:t>项目概况：</w:t>
      </w:r>
      <w:r>
        <w:rPr>
          <w:rFonts w:hint="eastAsia" w:ascii="宋体" w:hAnsi="宋体" w:cs="宋体"/>
          <w:color w:val="auto"/>
          <w:szCs w:val="21"/>
          <w:lang w:eastAsia="zh-CN"/>
        </w:rPr>
        <w:t>商务酒店和酒店城市会客厅项目</w:t>
      </w:r>
      <w:r>
        <w:rPr>
          <w:rFonts w:hint="eastAsia" w:ascii="宋体" w:hAnsi="宋体" w:cs="宋体"/>
          <w:color w:val="auto"/>
          <w:szCs w:val="21"/>
        </w:rPr>
        <w:t>施工全过程造价控制服务的潜在投标人应在“新点电子交易平台-大丰政府采购系统”（网址：</w:t>
      </w:r>
      <w:r>
        <w:rPr>
          <w:color w:val="auto"/>
        </w:rPr>
        <w:fldChar w:fldCharType="begin"/>
      </w:r>
      <w:r>
        <w:rPr>
          <w:color w:val="auto"/>
        </w:rPr>
        <w:instrText xml:space="preserve"> HYPERLINK "https://www.etrading.cn/BREpointSSO/login/oauth2login）获取招标文件，并于2022年" </w:instrText>
      </w:r>
      <w:r>
        <w:rPr>
          <w:color w:val="auto"/>
        </w:rPr>
        <w:fldChar w:fldCharType="separate"/>
      </w:r>
      <w:r>
        <w:rPr>
          <w:rStyle w:val="55"/>
          <w:rFonts w:hint="eastAsia" w:ascii="宋体" w:hAnsi="宋体" w:cs="宋体"/>
          <w:color w:val="auto"/>
          <w:szCs w:val="21"/>
        </w:rPr>
        <w:t>https://www.etrading.cn/BREpointSSO/login/oauth2login）获取招标文件，并于202</w:t>
      </w:r>
      <w:r>
        <w:rPr>
          <w:rStyle w:val="55"/>
          <w:rFonts w:hint="eastAsia" w:ascii="宋体" w:hAnsi="宋体" w:cs="宋体"/>
          <w:color w:val="auto"/>
          <w:szCs w:val="21"/>
          <w:lang w:val="en-US" w:eastAsia="zh-CN"/>
        </w:rPr>
        <w:t>3</w:t>
      </w:r>
      <w:r>
        <w:rPr>
          <w:rStyle w:val="55"/>
          <w:rFonts w:hint="eastAsia" w:ascii="宋体" w:hAnsi="宋体" w:cs="宋体"/>
          <w:color w:val="auto"/>
          <w:szCs w:val="21"/>
        </w:rPr>
        <w:t>年</w:t>
      </w:r>
      <w:r>
        <w:rPr>
          <w:rStyle w:val="55"/>
          <w:rFonts w:hint="eastAsia" w:ascii="宋体" w:hAnsi="宋体" w:cs="宋体"/>
          <w:color w:val="auto"/>
          <w:szCs w:val="21"/>
        </w:rPr>
        <w:fldChar w:fldCharType="end"/>
      </w:r>
      <w:r>
        <w:rPr>
          <w:rFonts w:hint="eastAsia" w:ascii="宋体" w:hAnsi="宋体" w:cs="宋体"/>
          <w:color w:val="auto"/>
          <w:szCs w:val="21"/>
          <w:u w:val="single"/>
          <w:lang w:val="en-US" w:eastAsia="zh-CN"/>
        </w:rPr>
        <w:t xml:space="preserve"> 5 </w:t>
      </w:r>
      <w:r>
        <w:rPr>
          <w:rFonts w:hint="eastAsia" w:ascii="宋体" w:hAnsi="宋体" w:cs="宋体"/>
          <w:color w:val="auto"/>
          <w:szCs w:val="21"/>
        </w:rPr>
        <w:t>月</w:t>
      </w:r>
      <w:r>
        <w:rPr>
          <w:rFonts w:hint="eastAsia" w:ascii="宋体" w:hAnsi="宋体" w:cs="宋体"/>
          <w:color w:val="auto"/>
          <w:szCs w:val="21"/>
          <w:u w:val="single"/>
          <w:lang w:val="en-US" w:eastAsia="zh-CN"/>
        </w:rPr>
        <w:t xml:space="preserve">  24</w:t>
      </w:r>
      <w:r>
        <w:rPr>
          <w:rFonts w:hint="eastAsia" w:ascii="宋体" w:hAnsi="宋体" w:cs="宋体"/>
          <w:color w:val="auto"/>
          <w:szCs w:val="21"/>
        </w:rPr>
        <w:t>日</w:t>
      </w:r>
      <w:r>
        <w:rPr>
          <w:rFonts w:hint="eastAsia" w:ascii="宋体" w:hAnsi="宋体" w:cs="宋体"/>
          <w:color w:val="auto"/>
          <w:szCs w:val="21"/>
          <w:u w:val="single"/>
          <w:lang w:val="en-US" w:eastAsia="zh-CN"/>
        </w:rPr>
        <w:t>09</w:t>
      </w:r>
      <w:r>
        <w:rPr>
          <w:rFonts w:hint="eastAsia" w:ascii="宋体" w:hAnsi="宋体" w:cs="宋体"/>
          <w:color w:val="auto"/>
          <w:szCs w:val="21"/>
        </w:rPr>
        <w:t>时</w:t>
      </w:r>
      <w:r>
        <w:rPr>
          <w:rFonts w:hint="eastAsia" w:ascii="宋体" w:hAnsi="宋体" w:cs="宋体"/>
          <w:color w:val="auto"/>
          <w:szCs w:val="21"/>
          <w:u w:val="single"/>
        </w:rPr>
        <w:t>00</w:t>
      </w:r>
      <w:r>
        <w:rPr>
          <w:rFonts w:hint="eastAsia" w:ascii="宋体" w:hAnsi="宋体" w:cs="宋体"/>
          <w:color w:val="auto"/>
          <w:szCs w:val="21"/>
        </w:rPr>
        <w:t>分</w:t>
      </w:r>
      <w:r>
        <w:rPr>
          <w:rFonts w:hint="eastAsia" w:ascii="宋体" w:hAnsi="宋体" w:cs="宋体"/>
          <w:color w:val="auto"/>
          <w:szCs w:val="21"/>
          <w:u w:val="single"/>
        </w:rPr>
        <w:t>00</w:t>
      </w:r>
      <w:r>
        <w:rPr>
          <w:rFonts w:hint="eastAsia" w:ascii="宋体" w:hAnsi="宋体" w:cs="宋体"/>
          <w:color w:val="auto"/>
          <w:szCs w:val="21"/>
        </w:rPr>
        <w:t>秒（北京时间）前递交投标文件。</w:t>
      </w:r>
    </w:p>
    <w:p>
      <w:pPr>
        <w:spacing w:line="440" w:lineRule="exact"/>
        <w:ind w:firstLine="422" w:firstLineChars="200"/>
        <w:rPr>
          <w:rFonts w:ascii="宋体" w:hAnsi="宋体" w:cs="宋体"/>
          <w:color w:val="auto"/>
          <w:szCs w:val="21"/>
        </w:rPr>
      </w:pPr>
      <w:r>
        <w:rPr>
          <w:rFonts w:hint="eastAsia" w:ascii="宋体" w:hAnsi="宋体" w:cs="宋体"/>
          <w:b/>
          <w:bCs/>
          <w:color w:val="auto"/>
          <w:szCs w:val="21"/>
        </w:rPr>
        <w:t>一、项目基本概况</w:t>
      </w:r>
    </w:p>
    <w:p>
      <w:pPr>
        <w:spacing w:line="440" w:lineRule="exact"/>
        <w:ind w:firstLine="420" w:firstLineChars="200"/>
        <w:rPr>
          <w:rFonts w:ascii="宋体" w:hAnsi="宋体" w:cs="宋体"/>
          <w:color w:val="auto"/>
          <w:szCs w:val="21"/>
        </w:rPr>
      </w:pPr>
      <w:r>
        <w:rPr>
          <w:rFonts w:hint="eastAsia" w:ascii="宋体" w:hAnsi="宋体" w:cs="宋体"/>
          <w:color w:val="auto"/>
          <w:szCs w:val="21"/>
        </w:rPr>
        <w:t>⑴项目编号：</w:t>
      </w:r>
      <w:r>
        <w:rPr>
          <w:rFonts w:ascii="宋体" w:hAnsi="宋体" w:cs="宋体"/>
          <w:color w:val="auto"/>
          <w:szCs w:val="21"/>
          <w:u w:val="single"/>
        </w:rPr>
        <w:t>DFCG202</w:t>
      </w:r>
      <w:r>
        <w:rPr>
          <w:rFonts w:hint="eastAsia" w:ascii="宋体" w:hAnsi="宋体" w:cs="宋体"/>
          <w:color w:val="auto"/>
          <w:szCs w:val="21"/>
          <w:u w:val="single"/>
        </w:rPr>
        <w:t>3</w:t>
      </w:r>
      <w:r>
        <w:rPr>
          <w:rFonts w:hint="eastAsia" w:ascii="宋体" w:hAnsi="宋体" w:cs="宋体"/>
          <w:color w:val="auto"/>
          <w:szCs w:val="21"/>
          <w:u w:val="single"/>
          <w:lang w:val="en-US" w:eastAsia="zh-CN"/>
        </w:rPr>
        <w:t>04017</w:t>
      </w:r>
    </w:p>
    <w:p>
      <w:pPr>
        <w:spacing w:line="440" w:lineRule="exact"/>
        <w:ind w:firstLine="420" w:firstLineChars="200"/>
        <w:rPr>
          <w:rFonts w:ascii="宋体" w:hAnsi="宋体" w:cs="宋体"/>
          <w:color w:val="auto"/>
          <w:szCs w:val="21"/>
          <w:u w:val="single"/>
        </w:rPr>
      </w:pPr>
      <w:r>
        <w:rPr>
          <w:rFonts w:hint="eastAsia" w:ascii="宋体" w:hAnsi="宋体" w:cs="宋体"/>
          <w:color w:val="auto"/>
          <w:szCs w:val="21"/>
        </w:rPr>
        <w:t>⑵项目名称：</w:t>
      </w:r>
      <w:r>
        <w:rPr>
          <w:rFonts w:hint="eastAsia" w:ascii="宋体" w:hAnsi="宋体" w:cs="宋体"/>
          <w:color w:val="auto"/>
          <w:szCs w:val="21"/>
          <w:u w:val="single"/>
          <w:lang w:eastAsia="zh-CN"/>
        </w:rPr>
        <w:t>商务酒店和酒店城市会客厅项目</w:t>
      </w:r>
      <w:r>
        <w:rPr>
          <w:rFonts w:hint="eastAsia" w:ascii="宋体" w:hAnsi="宋体" w:cs="宋体"/>
          <w:color w:val="auto"/>
          <w:szCs w:val="21"/>
          <w:u w:val="single"/>
        </w:rPr>
        <w:t>施工全过程造价控制服务</w:t>
      </w:r>
    </w:p>
    <w:p>
      <w:pPr>
        <w:spacing w:line="440" w:lineRule="exact"/>
        <w:ind w:firstLine="420" w:firstLineChars="200"/>
        <w:rPr>
          <w:rFonts w:ascii="宋体" w:hAnsi="宋体" w:cs="宋体"/>
          <w:color w:val="auto"/>
          <w:szCs w:val="21"/>
        </w:rPr>
      </w:pPr>
      <w:r>
        <w:rPr>
          <w:rFonts w:hint="eastAsia" w:ascii="宋体" w:hAnsi="宋体" w:cs="宋体"/>
          <w:color w:val="auto"/>
          <w:szCs w:val="21"/>
        </w:rPr>
        <w:t>⑶项目规模：</w:t>
      </w:r>
      <w:r>
        <w:rPr>
          <w:rFonts w:hint="eastAsia" w:ascii="宋体" w:hAnsi="宋体" w:cs="宋体"/>
          <w:color w:val="auto"/>
          <w:szCs w:val="21"/>
          <w:u w:val="single"/>
        </w:rPr>
        <w:t>城市会客厅项目约4500m</w:t>
      </w:r>
      <w:r>
        <w:rPr>
          <w:rFonts w:hint="eastAsia" w:ascii="宋体" w:hAnsi="宋体" w:cs="宋体"/>
          <w:color w:val="auto"/>
          <w:szCs w:val="21"/>
          <w:u w:val="single"/>
          <w:vertAlign w:val="superscript"/>
        </w:rPr>
        <w:t>2</w:t>
      </w:r>
      <w:r>
        <w:rPr>
          <w:rFonts w:hint="eastAsia" w:ascii="宋体" w:hAnsi="宋体" w:cs="宋体"/>
          <w:color w:val="auto"/>
          <w:szCs w:val="21"/>
          <w:u w:val="single"/>
          <w:lang w:eastAsia="zh-CN"/>
        </w:rPr>
        <w:t>，</w:t>
      </w:r>
      <w:r>
        <w:rPr>
          <w:rFonts w:hint="eastAsia" w:ascii="宋体" w:hAnsi="宋体" w:cs="宋体"/>
          <w:color w:val="auto"/>
          <w:szCs w:val="21"/>
          <w:u w:val="single"/>
        </w:rPr>
        <w:t>建安总投资约</w:t>
      </w:r>
      <w:r>
        <w:rPr>
          <w:rFonts w:hint="eastAsia" w:ascii="宋体" w:hAnsi="宋体" w:cs="宋体"/>
          <w:color w:val="auto"/>
          <w:szCs w:val="21"/>
          <w:u w:val="single"/>
          <w:lang w:val="en-US" w:eastAsia="zh-CN"/>
        </w:rPr>
        <w:t>3450</w:t>
      </w:r>
      <w:r>
        <w:rPr>
          <w:rFonts w:hint="eastAsia" w:ascii="宋体" w:hAnsi="宋体" w:cs="宋体"/>
          <w:color w:val="auto"/>
          <w:szCs w:val="21"/>
          <w:u w:val="single"/>
        </w:rPr>
        <w:t>万元</w:t>
      </w:r>
      <w:r>
        <w:rPr>
          <w:rFonts w:hint="eastAsia" w:ascii="宋体" w:hAnsi="宋体" w:cs="宋体"/>
          <w:color w:val="auto"/>
          <w:szCs w:val="21"/>
          <w:u w:val="single"/>
          <w:lang w:eastAsia="zh-CN"/>
        </w:rPr>
        <w:t>；</w:t>
      </w:r>
      <w:r>
        <w:rPr>
          <w:rFonts w:hint="eastAsia" w:ascii="宋体" w:hAnsi="宋体" w:cs="宋体"/>
          <w:color w:val="auto"/>
          <w:szCs w:val="21"/>
          <w:u w:val="single"/>
        </w:rPr>
        <w:t>商务酒店项目约10000m</w:t>
      </w:r>
      <w:r>
        <w:rPr>
          <w:rFonts w:hint="eastAsia" w:ascii="宋体" w:hAnsi="宋体" w:cs="宋体"/>
          <w:color w:val="auto"/>
          <w:szCs w:val="21"/>
          <w:u w:val="single"/>
          <w:vertAlign w:val="superscript"/>
        </w:rPr>
        <w:t>2</w:t>
      </w:r>
      <w:r>
        <w:rPr>
          <w:rFonts w:hint="eastAsia" w:ascii="宋体" w:hAnsi="宋体" w:cs="宋体"/>
          <w:color w:val="auto"/>
          <w:szCs w:val="21"/>
          <w:u w:val="single"/>
        </w:rPr>
        <w:t>，建安总投资约</w:t>
      </w:r>
      <w:r>
        <w:rPr>
          <w:rFonts w:hint="eastAsia" w:ascii="宋体" w:hAnsi="宋体" w:cs="宋体"/>
          <w:color w:val="auto"/>
          <w:szCs w:val="21"/>
          <w:u w:val="single"/>
          <w:lang w:val="en-US" w:eastAsia="zh-CN"/>
        </w:rPr>
        <w:t>4400</w:t>
      </w:r>
      <w:r>
        <w:rPr>
          <w:rFonts w:hint="eastAsia" w:ascii="宋体" w:hAnsi="宋体" w:cs="宋体"/>
          <w:color w:val="auto"/>
          <w:szCs w:val="21"/>
          <w:u w:val="single"/>
        </w:rPr>
        <w:t>万元</w:t>
      </w:r>
      <w:r>
        <w:rPr>
          <w:rFonts w:hint="eastAsia" w:ascii="宋体" w:hAnsi="宋体" w:cs="宋体"/>
          <w:color w:val="auto"/>
          <w:szCs w:val="21"/>
        </w:rPr>
        <w:t xml:space="preserve"> </w:t>
      </w:r>
    </w:p>
    <w:p>
      <w:pPr>
        <w:spacing w:line="440" w:lineRule="exact"/>
        <w:ind w:firstLine="420" w:firstLineChars="200"/>
        <w:rPr>
          <w:rFonts w:ascii="宋体" w:hAnsi="宋体" w:cs="宋体"/>
          <w:color w:val="auto"/>
          <w:szCs w:val="21"/>
          <w:u w:val="single"/>
        </w:rPr>
      </w:pPr>
      <w:r>
        <w:rPr>
          <w:rFonts w:hint="eastAsia" w:ascii="宋体" w:hAnsi="宋体" w:cs="宋体"/>
          <w:color w:val="auto"/>
          <w:szCs w:val="21"/>
        </w:rPr>
        <w:t>⑷最高限价：</w:t>
      </w:r>
      <w:r>
        <w:rPr>
          <w:rFonts w:hint="eastAsia" w:ascii="宋体" w:hAnsi="宋体" w:cs="宋体"/>
          <w:color w:val="auto"/>
          <w:szCs w:val="21"/>
          <w:u w:val="single"/>
          <w:lang w:eastAsia="zh-CN"/>
        </w:rPr>
        <w:t>67.406</w:t>
      </w:r>
      <w:r>
        <w:rPr>
          <w:rFonts w:hint="eastAsia" w:ascii="宋体" w:hAnsi="宋体" w:cs="宋体"/>
          <w:color w:val="auto"/>
          <w:szCs w:val="21"/>
          <w:u w:val="single"/>
        </w:rPr>
        <w:t>万元</w:t>
      </w:r>
      <w:r>
        <w:rPr>
          <w:rFonts w:hint="eastAsia" w:ascii="宋体" w:hAnsi="宋体" w:cs="宋体"/>
          <w:color w:val="auto"/>
          <w:szCs w:val="21"/>
        </w:rPr>
        <w:t xml:space="preserve"> </w:t>
      </w:r>
    </w:p>
    <w:p>
      <w:pPr>
        <w:spacing w:line="440" w:lineRule="exact"/>
        <w:ind w:firstLine="420" w:firstLineChars="200"/>
        <w:rPr>
          <w:rFonts w:ascii="宋体" w:hAnsi="宋体" w:cs="宋体"/>
          <w:color w:val="auto"/>
          <w:szCs w:val="21"/>
        </w:rPr>
      </w:pPr>
      <w:r>
        <w:rPr>
          <w:rFonts w:hint="eastAsia" w:ascii="宋体" w:hAnsi="宋体" w:cs="宋体"/>
          <w:color w:val="auto"/>
          <w:szCs w:val="21"/>
        </w:rPr>
        <w:t>⑸采购需求：具体包括（不限于）：①参加图纸会审并提出意见和建议。②对工程所需的人工、材料、设备及时提供价格信息并提出审计意见和建议。③参加与项目造价控制相关的会议并发表审计意见。④驻场服务、现场踏勘、计量复核，对材料及设备的品牌、型号、规格及价格使用前参与市场询价及调研，对工程造价进行审核，控制工程款支付。⑤对项目实施过程中所发生的设计变更费用、洽商签证费用、索赔费用、工程预付款、工程进度款的支付进行审查，审查所发生的费用依据是否充分、工程量是否准确、手续是否完备、费用计取和支付是否合理，并发表审计意见。分析由此发生的造价原因并出具造价控制动态分析报告。⑥发生索赔时，依据签订的工程合同、会议纪要、工程索赔事项确认资料、现场工作记录等文件，审计索赔事项是否存在和索赔费用的合理性，对索赔费用进行审核并出具书面意见。⑦参与工程相关项目验收。⑧收集现场跟踪的相关结算资料。⑨竣工结算审核，并出具竣工结算审核报告。</w:t>
      </w:r>
    </w:p>
    <w:p>
      <w:pPr>
        <w:spacing w:line="440" w:lineRule="exact"/>
        <w:ind w:firstLine="420" w:firstLineChars="200"/>
        <w:rPr>
          <w:rFonts w:ascii="宋体" w:hAnsi="宋体" w:cs="宋体"/>
          <w:color w:val="auto"/>
          <w:szCs w:val="21"/>
        </w:rPr>
      </w:pPr>
      <w:r>
        <w:rPr>
          <w:rFonts w:hint="eastAsia" w:ascii="宋体" w:hAnsi="宋体" w:cs="宋体"/>
          <w:color w:val="auto"/>
          <w:szCs w:val="21"/>
        </w:rPr>
        <w:t>⑹服务期：①进场时间：合同签订后5个工作日内。②施工阶段服务结束时间：自施工单位进场之日起至工程结算审计结束，在服务期间定期编制跟踪审计月度、季度、半年度情况报告，最终按招标人要求提交完整的咨询成果文件。③工程竣工结算审核（需建设单位确认）：施工单位提交竣工结算报告后三个月内。</w:t>
      </w:r>
      <w:r>
        <w:rPr>
          <w:rFonts w:hint="eastAsia" w:ascii="宋体" w:hAnsi="宋体" w:cs="宋体"/>
          <w:b/>
          <w:color w:val="auto"/>
          <w:szCs w:val="21"/>
        </w:rPr>
        <w:t>注：为了方便投标人填报服务期，投标阶段填写满足招标文件要求。</w:t>
      </w:r>
    </w:p>
    <w:p>
      <w:pPr>
        <w:spacing w:line="440" w:lineRule="exact"/>
        <w:ind w:firstLine="420" w:firstLineChars="200"/>
        <w:rPr>
          <w:rFonts w:ascii="宋体" w:hAnsi="宋体" w:cs="宋体"/>
          <w:color w:val="auto"/>
          <w:szCs w:val="21"/>
          <w:u w:val="single"/>
        </w:rPr>
      </w:pPr>
      <w:r>
        <w:rPr>
          <w:rFonts w:hint="eastAsia" w:ascii="宋体" w:hAnsi="宋体" w:cs="宋体"/>
          <w:color w:val="auto"/>
          <w:szCs w:val="21"/>
        </w:rPr>
        <w:t>⑺质量要求：符合国家、省、市及行业现行有关规定、标准、规范的要求。</w:t>
      </w:r>
    </w:p>
    <w:p>
      <w:pPr>
        <w:spacing w:line="440" w:lineRule="exact"/>
        <w:ind w:firstLine="422" w:firstLineChars="200"/>
        <w:rPr>
          <w:rFonts w:ascii="宋体" w:hAnsi="宋体" w:cs="宋体"/>
          <w:color w:val="auto"/>
          <w:szCs w:val="21"/>
        </w:rPr>
      </w:pPr>
      <w:r>
        <w:rPr>
          <w:rFonts w:hint="eastAsia" w:ascii="宋体" w:hAnsi="宋体" w:cs="宋体"/>
          <w:b/>
          <w:bCs/>
          <w:color w:val="auto"/>
          <w:szCs w:val="21"/>
        </w:rPr>
        <w:t>二、申请人的资格要求：</w:t>
      </w:r>
    </w:p>
    <w:p>
      <w:pPr>
        <w:widowControl/>
        <w:spacing w:line="440" w:lineRule="exact"/>
        <w:ind w:firstLine="420" w:firstLineChars="200"/>
        <w:jc w:val="left"/>
        <w:rPr>
          <w:rFonts w:ascii="宋体" w:hAnsi="宋体" w:cs="宋体"/>
          <w:color w:val="auto"/>
          <w:szCs w:val="21"/>
        </w:rPr>
      </w:pPr>
      <w:r>
        <w:rPr>
          <w:rFonts w:hint="eastAsia" w:ascii="宋体" w:hAnsi="宋体" w:cs="宋体"/>
          <w:color w:val="auto"/>
          <w:szCs w:val="21"/>
        </w:rPr>
        <w:t>1、投标申请人参加投标活动前三年内，在经营活动中没有重大违法记录。重大违法记录是指因违法经营受到刑事处罚或者责令停产停业、吊销许可证或者执照、200万元以上罚款等行政处罚。</w:t>
      </w:r>
    </w:p>
    <w:p>
      <w:pPr>
        <w:widowControl/>
        <w:spacing w:line="440" w:lineRule="exact"/>
        <w:ind w:firstLine="420" w:firstLineChars="200"/>
        <w:jc w:val="left"/>
        <w:rPr>
          <w:rFonts w:ascii="宋体" w:hAnsi="宋体" w:cs="宋体"/>
          <w:color w:val="auto"/>
          <w:szCs w:val="21"/>
        </w:rPr>
      </w:pPr>
      <w:r>
        <w:rPr>
          <w:rFonts w:hint="eastAsia" w:ascii="宋体" w:hAnsi="宋体" w:cs="宋体"/>
          <w:color w:val="auto"/>
          <w:szCs w:val="21"/>
        </w:rPr>
        <w:t>2、未被“信用中国”、“信用江苏”、“信用盐城”等网站列入失信被执行人。</w:t>
      </w:r>
    </w:p>
    <w:p>
      <w:pPr>
        <w:widowControl/>
        <w:spacing w:line="44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3、项目负责人资质和要求：必须为投标人本单位正式职工，具有注册一级造价工程师证书和建设工程类中级及以上职称证书。</w:t>
      </w:r>
    </w:p>
    <w:p>
      <w:pPr>
        <w:widowControl/>
        <w:spacing w:line="44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项目组成员含项目负责人不少于3人，必须为投标人本单位正式职工，其中：国家注册造价工程师不少于2人（土建专业不少于1人、安装专业不少于1人，以造价师执业资格证书上的专业类别为准）。驻场人员根据专业每天不少于2人（其中有一人必须为注册造价工程师）。</w:t>
      </w:r>
    </w:p>
    <w:p>
      <w:pPr>
        <w:widowControl/>
        <w:spacing w:line="44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5本工程招标人不接受投标申请人的企业法定代表人或企业退休人员担任项目负责人。除项目负责人外，项目组成员中最多仅有一名退休人员，且年龄不得超过65周岁。</w:t>
      </w:r>
    </w:p>
    <w:p>
      <w:pPr>
        <w:pStyle w:val="2"/>
        <w:spacing w:after="0" w:line="440" w:lineRule="exact"/>
        <w:ind w:firstLine="420" w:firstLineChars="200"/>
        <w:rPr>
          <w:rFonts w:ascii="宋体" w:hAnsi="宋体" w:cs="宋体"/>
          <w:color w:val="auto"/>
          <w:kern w:val="0"/>
          <w:szCs w:val="21"/>
        </w:rPr>
      </w:pPr>
      <w:r>
        <w:rPr>
          <w:rFonts w:hint="eastAsia" w:ascii="宋体" w:hAnsi="宋体" w:cs="宋体"/>
          <w:color w:val="auto"/>
          <w:kern w:val="0"/>
          <w:szCs w:val="21"/>
        </w:rPr>
        <w:t>6、拟派项目负责人和项目组主要组成人员均为本单位的正式职工，并确保从2023年1月开始至投标截止之日当月至少连续2个月均已在本单位缴纳养老保险，投标时无需提供缴费记录证明，中标候选人公示前、异议（投诉）提出时相关单位需提供缴费记录证明原件给招标人核验。</w:t>
      </w:r>
    </w:p>
    <w:p>
      <w:pPr>
        <w:pStyle w:val="2"/>
        <w:spacing w:after="0" w:line="440" w:lineRule="exact"/>
        <w:ind w:firstLine="420" w:firstLineChars="200"/>
        <w:rPr>
          <w:color w:val="auto"/>
        </w:rPr>
      </w:pPr>
      <w:r>
        <w:rPr>
          <w:rFonts w:hint="eastAsia" w:ascii="宋体" w:hAnsi="宋体" w:cs="宋体"/>
          <w:color w:val="auto"/>
          <w:szCs w:val="21"/>
        </w:rPr>
        <w:t>7、本项目</w:t>
      </w:r>
      <w:r>
        <w:rPr>
          <w:rFonts w:hint="eastAsia" w:ascii="宋体" w:hAnsi="宋体" w:cs="宋体"/>
          <w:color w:val="auto"/>
          <w:szCs w:val="21"/>
          <w:u w:val="single"/>
        </w:rPr>
        <w:t>不接受</w:t>
      </w:r>
      <w:r>
        <w:rPr>
          <w:rFonts w:hint="eastAsia" w:ascii="宋体" w:hAnsi="宋体" w:cs="宋体"/>
          <w:color w:val="auto"/>
          <w:szCs w:val="21"/>
        </w:rPr>
        <w:t>联合体投标。</w:t>
      </w:r>
    </w:p>
    <w:p>
      <w:pPr>
        <w:widowControl/>
        <w:spacing w:line="440" w:lineRule="exact"/>
        <w:ind w:firstLine="422" w:firstLineChars="200"/>
        <w:jc w:val="left"/>
        <w:rPr>
          <w:rFonts w:ascii="宋体" w:hAnsi="宋体" w:cs="宋体"/>
          <w:color w:val="auto"/>
          <w:szCs w:val="21"/>
        </w:rPr>
      </w:pPr>
      <w:r>
        <w:rPr>
          <w:rFonts w:hint="eastAsia" w:ascii="宋体" w:hAnsi="宋体" w:cs="宋体"/>
          <w:b/>
          <w:bCs/>
          <w:color w:val="auto"/>
          <w:szCs w:val="21"/>
        </w:rPr>
        <w:t>三、获取招标文件</w:t>
      </w:r>
    </w:p>
    <w:p>
      <w:pPr>
        <w:widowControl/>
        <w:spacing w:line="440" w:lineRule="exact"/>
        <w:ind w:firstLine="420" w:firstLineChars="200"/>
        <w:jc w:val="left"/>
        <w:rPr>
          <w:rFonts w:ascii="宋体" w:hAnsi="宋体" w:cs="宋体"/>
          <w:color w:val="auto"/>
          <w:szCs w:val="21"/>
        </w:rPr>
      </w:pPr>
      <w:r>
        <w:rPr>
          <w:rFonts w:hint="eastAsia" w:ascii="宋体" w:hAnsi="宋体" w:cs="宋体"/>
          <w:color w:val="auto"/>
          <w:szCs w:val="21"/>
        </w:rPr>
        <w:t>1、请各投标申请人于</w:t>
      </w:r>
      <w:r>
        <w:rPr>
          <w:rFonts w:hint="eastAsia" w:ascii="宋体" w:hAnsi="宋体" w:cs="宋体"/>
          <w:color w:val="auto"/>
          <w:szCs w:val="21"/>
          <w:u w:val="single"/>
        </w:rPr>
        <w:t>2023</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4</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26</w:t>
      </w:r>
      <w:r>
        <w:rPr>
          <w:rFonts w:hint="eastAsia" w:ascii="宋体" w:hAnsi="宋体" w:cs="宋体"/>
          <w:color w:val="auto"/>
          <w:szCs w:val="21"/>
          <w:u w:val="single"/>
        </w:rPr>
        <w:t xml:space="preserve">  </w:t>
      </w:r>
      <w:r>
        <w:rPr>
          <w:rFonts w:hint="eastAsia" w:ascii="宋体" w:hAnsi="宋体" w:cs="宋体"/>
          <w:color w:val="auto"/>
          <w:szCs w:val="21"/>
        </w:rPr>
        <w:t>日至</w:t>
      </w:r>
      <w:r>
        <w:rPr>
          <w:rFonts w:hint="eastAsia" w:ascii="宋体" w:hAnsi="宋体" w:cs="宋体"/>
          <w:color w:val="auto"/>
          <w:szCs w:val="21"/>
          <w:u w:val="single"/>
        </w:rPr>
        <w:t>2023</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5</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6</w:t>
      </w:r>
      <w:r>
        <w:rPr>
          <w:rFonts w:hint="eastAsia" w:ascii="宋体" w:hAnsi="宋体" w:cs="宋体"/>
          <w:color w:val="auto"/>
          <w:szCs w:val="21"/>
          <w:u w:val="single"/>
        </w:rPr>
        <w:t xml:space="preserve"> </w:t>
      </w:r>
      <w:r>
        <w:rPr>
          <w:rFonts w:hint="eastAsia" w:ascii="宋体" w:hAnsi="宋体" w:cs="宋体"/>
          <w:color w:val="auto"/>
          <w:szCs w:val="21"/>
        </w:rPr>
        <w:t>日登入“新点电子交易平台-大丰政府采购系统”（网址：https://www.etrading.cn/BREpointSSO/login/oauth2login）下载招标文件，如在规定时间内未下载招标文件，由此引起的无法投标等情形的，责任自负。</w:t>
      </w:r>
    </w:p>
    <w:p>
      <w:pPr>
        <w:widowControl/>
        <w:spacing w:line="440" w:lineRule="exact"/>
        <w:ind w:firstLine="420" w:firstLineChars="200"/>
        <w:jc w:val="left"/>
        <w:rPr>
          <w:rFonts w:ascii="宋体" w:hAnsi="宋体" w:cs="宋体"/>
          <w:color w:val="auto"/>
          <w:szCs w:val="21"/>
        </w:rPr>
      </w:pPr>
      <w:r>
        <w:rPr>
          <w:rFonts w:hint="eastAsia" w:ascii="宋体" w:hAnsi="宋体" w:cs="宋体"/>
          <w:color w:val="auto"/>
          <w:szCs w:val="21"/>
        </w:rPr>
        <w:t>2、招标文件获取方式：各潜在投标人（供应商）使用“CA数字证书（CA锁）”或“账号密码”登录“新点电子交易平台-大丰政府采购系统（网址：https://www.etrading.cn/BREpointSSO/login/oauth2login）”获取。办理CA数字证书（CA锁）以及电子签章相关事宜见（http://dfggzy.com/dfweb/infodetail/?infoid=9c34520d-979a-4630-a939-9b3fbd2253db&amp;categoryNum=029）”。</w:t>
      </w:r>
    </w:p>
    <w:p>
      <w:pPr>
        <w:widowControl/>
        <w:spacing w:line="440" w:lineRule="exact"/>
        <w:ind w:firstLine="420" w:firstLineChars="200"/>
        <w:jc w:val="left"/>
        <w:rPr>
          <w:rFonts w:ascii="宋体" w:hAnsi="宋体" w:cs="宋体"/>
          <w:color w:val="auto"/>
          <w:szCs w:val="21"/>
        </w:rPr>
      </w:pPr>
      <w:r>
        <w:rPr>
          <w:rFonts w:hint="eastAsia" w:ascii="宋体" w:hAnsi="宋体" w:cs="宋体"/>
          <w:color w:val="auto"/>
          <w:szCs w:val="21"/>
        </w:rPr>
        <w:t>3、招标文件售价：0元。</w:t>
      </w:r>
    </w:p>
    <w:p>
      <w:pPr>
        <w:spacing w:line="440" w:lineRule="exact"/>
        <w:ind w:firstLine="420" w:firstLineChars="200"/>
        <w:jc w:val="left"/>
        <w:rPr>
          <w:rFonts w:ascii="宋体" w:hAnsi="宋体" w:cs="宋体"/>
          <w:color w:val="auto"/>
          <w:szCs w:val="21"/>
          <w:u w:val="single"/>
        </w:rPr>
      </w:pPr>
      <w:r>
        <w:rPr>
          <w:rFonts w:hint="eastAsia" w:ascii="宋体" w:hAnsi="宋体" w:cs="宋体"/>
          <w:color w:val="auto"/>
          <w:szCs w:val="21"/>
        </w:rPr>
        <w:t>4、各潜在投标人（供应商）可登录大丰公共资源电子交易平台-点击查看“招投标常见问题”-点击“【投标人】怎么参与大丰政府采购全程电子化项目（http://dfggzy.com/dfweb/infodetail/?infoid=9c34520d-979a-4630-a939-9b3fbd2253db&amp;categoryNum=029）”，或者工作时间拨打4009280095-5，或者加入QQ群（问题解决群）：384422310，或者工作时间拨打招标代理电话：</w:t>
      </w:r>
      <w:r>
        <w:rPr>
          <w:rFonts w:hint="eastAsia" w:ascii="宋体" w:hAnsi="宋体" w:cs="宋体"/>
          <w:color w:val="auto"/>
          <w:szCs w:val="21"/>
          <w:u w:val="single"/>
        </w:rPr>
        <w:t>18921822799</w:t>
      </w:r>
      <w:r>
        <w:rPr>
          <w:rFonts w:hint="eastAsia" w:ascii="宋体" w:hAnsi="宋体" w:cs="宋体"/>
          <w:color w:val="auto"/>
          <w:szCs w:val="21"/>
        </w:rPr>
        <w:t>。</w:t>
      </w:r>
    </w:p>
    <w:p>
      <w:pPr>
        <w:widowControl/>
        <w:spacing w:line="440" w:lineRule="exact"/>
        <w:ind w:firstLine="422" w:firstLineChars="200"/>
        <w:jc w:val="left"/>
        <w:rPr>
          <w:rFonts w:ascii="宋体" w:hAnsi="宋体" w:cs="宋体"/>
          <w:b/>
          <w:bCs/>
          <w:color w:val="auto"/>
          <w:szCs w:val="21"/>
        </w:rPr>
      </w:pPr>
      <w:r>
        <w:rPr>
          <w:rFonts w:hint="eastAsia" w:ascii="宋体" w:hAnsi="宋体" w:cs="宋体"/>
          <w:b/>
          <w:bCs/>
          <w:color w:val="auto"/>
          <w:szCs w:val="21"/>
        </w:rPr>
        <w:t>四、提交投标文件截止时间、开标时间、地点</w:t>
      </w:r>
    </w:p>
    <w:p>
      <w:pPr>
        <w:widowControl/>
        <w:spacing w:line="440" w:lineRule="exact"/>
        <w:ind w:firstLine="420" w:firstLineChars="200"/>
        <w:jc w:val="left"/>
        <w:rPr>
          <w:rFonts w:ascii="宋体" w:hAnsi="宋体" w:cs="宋体"/>
          <w:color w:val="auto"/>
          <w:szCs w:val="21"/>
        </w:rPr>
      </w:pPr>
      <w:r>
        <w:rPr>
          <w:rFonts w:hint="eastAsia" w:ascii="宋体" w:hAnsi="宋体" w:cs="宋体"/>
          <w:color w:val="auto"/>
          <w:szCs w:val="21"/>
        </w:rPr>
        <w:t>1、提交投标文件截止时间：</w:t>
      </w:r>
      <w:r>
        <w:rPr>
          <w:rFonts w:hint="eastAsia" w:ascii="宋体" w:hAnsi="宋体" w:cs="宋体"/>
          <w:color w:val="auto"/>
          <w:szCs w:val="21"/>
          <w:u w:val="single"/>
        </w:rPr>
        <w:t>2023</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5</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24</w:t>
      </w:r>
      <w:r>
        <w:rPr>
          <w:rFonts w:hint="eastAsia" w:ascii="宋体" w:hAnsi="宋体" w:cs="宋体"/>
          <w:color w:val="auto"/>
          <w:szCs w:val="21"/>
          <w:u w:val="single"/>
        </w:rPr>
        <w:t xml:space="preserve"> </w:t>
      </w:r>
      <w:r>
        <w:rPr>
          <w:rFonts w:hint="eastAsia" w:ascii="宋体" w:hAnsi="宋体" w:cs="宋体"/>
          <w:color w:val="auto"/>
          <w:szCs w:val="21"/>
        </w:rPr>
        <w:t>日</w:t>
      </w:r>
      <w:r>
        <w:rPr>
          <w:rFonts w:hint="eastAsia" w:ascii="宋体" w:hAnsi="宋体" w:cs="宋体"/>
          <w:color w:val="auto"/>
          <w:szCs w:val="21"/>
          <w:u w:val="single"/>
          <w:lang w:val="en-US" w:eastAsia="zh-CN"/>
        </w:rPr>
        <w:t>09</w:t>
      </w:r>
      <w:r>
        <w:rPr>
          <w:rFonts w:hint="eastAsia" w:ascii="宋体" w:hAnsi="宋体" w:cs="宋体"/>
          <w:color w:val="auto"/>
          <w:szCs w:val="21"/>
        </w:rPr>
        <w:t>时</w:t>
      </w:r>
      <w:r>
        <w:rPr>
          <w:rFonts w:hint="eastAsia" w:ascii="宋体" w:hAnsi="宋体" w:cs="宋体"/>
          <w:color w:val="auto"/>
          <w:szCs w:val="21"/>
          <w:u w:val="single"/>
        </w:rPr>
        <w:t>00</w:t>
      </w:r>
      <w:r>
        <w:rPr>
          <w:rFonts w:hint="eastAsia" w:ascii="宋体" w:hAnsi="宋体" w:cs="宋体"/>
          <w:color w:val="auto"/>
          <w:szCs w:val="21"/>
        </w:rPr>
        <w:t>分</w:t>
      </w:r>
      <w:r>
        <w:rPr>
          <w:rFonts w:hint="eastAsia" w:ascii="宋体" w:hAnsi="宋体" w:cs="宋体"/>
          <w:color w:val="auto"/>
          <w:szCs w:val="21"/>
          <w:u w:val="single"/>
        </w:rPr>
        <w:t>00</w:t>
      </w:r>
      <w:r>
        <w:rPr>
          <w:rFonts w:hint="eastAsia" w:ascii="宋体" w:hAnsi="宋体" w:cs="宋体"/>
          <w:color w:val="auto"/>
          <w:szCs w:val="21"/>
        </w:rPr>
        <w:t>秒。</w:t>
      </w:r>
    </w:p>
    <w:p>
      <w:pPr>
        <w:widowControl/>
        <w:spacing w:line="440" w:lineRule="exact"/>
        <w:ind w:firstLine="420" w:firstLineChars="200"/>
        <w:jc w:val="left"/>
        <w:rPr>
          <w:rFonts w:ascii="宋体" w:hAnsi="宋体" w:cs="宋体"/>
          <w:color w:val="auto"/>
          <w:szCs w:val="21"/>
          <w:u w:val="single"/>
        </w:rPr>
      </w:pPr>
      <w:r>
        <w:rPr>
          <w:rFonts w:hint="eastAsia" w:ascii="宋体" w:hAnsi="宋体" w:cs="宋体"/>
          <w:color w:val="auto"/>
          <w:szCs w:val="21"/>
        </w:rPr>
        <w:t>2、提交投标文件的地点：“投标文件制作工具”生成的xetf格式的电子档上传至新点电子交易平台-大丰政府采购系统（网址：https://www.etrading.cn/BREpointSSO/login/oauth2login）。</w:t>
      </w:r>
    </w:p>
    <w:p>
      <w:pPr>
        <w:widowControl/>
        <w:spacing w:line="440" w:lineRule="exact"/>
        <w:ind w:firstLine="420" w:firstLineChars="200"/>
        <w:jc w:val="left"/>
        <w:rPr>
          <w:rFonts w:ascii="宋体" w:hAnsi="宋体" w:cs="宋体"/>
          <w:color w:val="auto"/>
          <w:szCs w:val="21"/>
        </w:rPr>
      </w:pPr>
      <w:r>
        <w:rPr>
          <w:rFonts w:hint="eastAsia" w:ascii="宋体" w:hAnsi="宋体" w:cs="宋体"/>
          <w:color w:val="auto"/>
          <w:szCs w:val="21"/>
        </w:rPr>
        <w:t>3、逾期提交的投标文件将被拒收并退回。</w:t>
      </w:r>
    </w:p>
    <w:p>
      <w:pPr>
        <w:widowControl/>
        <w:spacing w:line="440" w:lineRule="exact"/>
        <w:ind w:firstLine="420" w:firstLineChars="200"/>
        <w:jc w:val="left"/>
        <w:rPr>
          <w:rFonts w:ascii="宋体" w:hAnsi="宋体" w:cs="宋体"/>
          <w:color w:val="auto"/>
          <w:szCs w:val="21"/>
        </w:rPr>
      </w:pPr>
      <w:r>
        <w:rPr>
          <w:rFonts w:hint="eastAsia" w:ascii="宋体" w:hAnsi="宋体" w:cs="宋体"/>
          <w:color w:val="auto"/>
          <w:szCs w:val="21"/>
        </w:rPr>
        <w:t>4、开标时间：投标文件提交截止时间。</w:t>
      </w:r>
    </w:p>
    <w:p>
      <w:pPr>
        <w:spacing w:line="440" w:lineRule="exact"/>
        <w:ind w:firstLine="420" w:firstLineChars="200"/>
        <w:jc w:val="left"/>
        <w:rPr>
          <w:rFonts w:ascii="宋体" w:hAnsi="宋体" w:cs="宋体"/>
          <w:b/>
          <w:bCs/>
          <w:color w:val="auto"/>
          <w:szCs w:val="21"/>
        </w:rPr>
      </w:pPr>
      <w:r>
        <w:rPr>
          <w:rFonts w:hint="eastAsia" w:ascii="宋体" w:hAnsi="宋体" w:cs="宋体"/>
          <w:color w:val="auto"/>
          <w:szCs w:val="21"/>
        </w:rPr>
        <w:t>5、开标地点：本项目实行不见面开标，各投标人（供应商）的授权委托人或法人代表应在投标文件提交截止时间前提前登入“开标大厅系统”（步骤：登入-投标人-CA登录-江苏省CA），到达投标文件提交截止时间后，首先进入开标程序中的投标文件解密会议，然后按系统提示完成投标文件解密。网址为http://js.etrading.cn/EpointBidOpening/bidopeninghallaction/hall/login。投标人未按时完成投标文件解密或解密未成功的，均被视为投标人放弃本次投标（无效投标）。解密完成后投标人可自行决定是否继续参加开（唱）标会议，投标人未参加开标的，视同认可开标结果。</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五、公告期限</w:t>
      </w:r>
    </w:p>
    <w:p>
      <w:pPr>
        <w:spacing w:line="440" w:lineRule="exact"/>
        <w:ind w:firstLine="420" w:firstLineChars="200"/>
        <w:rPr>
          <w:rFonts w:ascii="宋体" w:hAnsi="宋体" w:cs="宋体"/>
          <w:b/>
          <w:bCs/>
          <w:color w:val="auto"/>
          <w:szCs w:val="21"/>
        </w:rPr>
      </w:pPr>
      <w:r>
        <w:rPr>
          <w:rFonts w:hint="eastAsia" w:ascii="宋体" w:hAnsi="宋体" w:cs="宋体"/>
          <w:color w:val="auto"/>
          <w:szCs w:val="21"/>
        </w:rPr>
        <w:t>自本公告发布之日起5个工作日。</w:t>
      </w:r>
    </w:p>
    <w:bookmarkEnd w:id="4"/>
    <w:bookmarkEnd w:id="5"/>
    <w:bookmarkEnd w:id="6"/>
    <w:bookmarkEnd w:id="7"/>
    <w:bookmarkEnd w:id="8"/>
    <w:p>
      <w:pPr>
        <w:widowControl/>
        <w:spacing w:line="440" w:lineRule="exact"/>
        <w:ind w:firstLine="422" w:firstLineChars="200"/>
        <w:jc w:val="left"/>
        <w:rPr>
          <w:rFonts w:ascii="宋体" w:hAnsi="宋体" w:cs="宋体"/>
          <w:b/>
          <w:bCs/>
          <w:color w:val="auto"/>
          <w:szCs w:val="21"/>
        </w:rPr>
      </w:pPr>
      <w:bookmarkStart w:id="12" w:name="_Toc184635069"/>
      <w:bookmarkStart w:id="13" w:name="_Toc387526373"/>
      <w:bookmarkStart w:id="14" w:name="_Toc369077558"/>
      <w:bookmarkStart w:id="15" w:name="_Toc363326679"/>
      <w:bookmarkStart w:id="16" w:name="_Toc6770"/>
      <w:bookmarkStart w:id="17" w:name="_Toc368759512"/>
      <w:bookmarkStart w:id="18" w:name="_Toc397928547"/>
      <w:bookmarkStart w:id="19" w:name="_Toc387526177"/>
      <w:bookmarkStart w:id="20" w:name="_Toc387526281"/>
      <w:r>
        <w:rPr>
          <w:rFonts w:hint="eastAsia" w:ascii="宋体" w:hAnsi="宋体" w:cs="宋体"/>
          <w:b/>
          <w:bCs/>
          <w:color w:val="auto"/>
          <w:szCs w:val="21"/>
        </w:rPr>
        <w:t>六、其他补充事宜</w:t>
      </w:r>
    </w:p>
    <w:p>
      <w:pPr>
        <w:widowControl/>
        <w:spacing w:line="440" w:lineRule="exact"/>
        <w:ind w:firstLine="420" w:firstLineChars="200"/>
        <w:jc w:val="left"/>
        <w:rPr>
          <w:rFonts w:ascii="宋体" w:hAnsi="宋体" w:cs="宋体"/>
          <w:color w:val="auto"/>
          <w:szCs w:val="21"/>
        </w:rPr>
      </w:pPr>
      <w:r>
        <w:rPr>
          <w:rFonts w:hint="eastAsia" w:ascii="宋体" w:hAnsi="宋体" w:cs="宋体"/>
          <w:color w:val="auto"/>
          <w:szCs w:val="21"/>
        </w:rPr>
        <w:t>1、本项目对投标申请人的资格审查采用资格后审方式，由评标委员会根据招标文件进行评定；报名时不进行报名资料的任何审查，由意向投标人自行判断是否符合投标资格。</w:t>
      </w:r>
    </w:p>
    <w:p>
      <w:pPr>
        <w:widowControl/>
        <w:spacing w:line="440" w:lineRule="exact"/>
        <w:ind w:firstLine="420" w:firstLineChars="200"/>
        <w:jc w:val="left"/>
        <w:rPr>
          <w:rFonts w:ascii="宋体" w:hAnsi="宋体" w:cs="宋体"/>
          <w:color w:val="auto"/>
          <w:szCs w:val="21"/>
        </w:rPr>
      </w:pPr>
      <w:r>
        <w:rPr>
          <w:rFonts w:hint="eastAsia" w:ascii="宋体" w:hAnsi="宋体" w:cs="宋体"/>
          <w:color w:val="auto"/>
          <w:szCs w:val="21"/>
        </w:rPr>
        <w:t>2、本招标项目采用的评标方法：综合评分法。</w:t>
      </w:r>
    </w:p>
    <w:p>
      <w:pPr>
        <w:widowControl/>
        <w:spacing w:line="440" w:lineRule="exact"/>
        <w:ind w:firstLine="420" w:firstLineChars="200"/>
        <w:jc w:val="left"/>
        <w:rPr>
          <w:rFonts w:ascii="宋体" w:hAnsi="宋体" w:cs="宋体"/>
          <w:color w:val="auto"/>
          <w:szCs w:val="21"/>
        </w:rPr>
      </w:pPr>
      <w:r>
        <w:rPr>
          <w:rFonts w:hint="eastAsia" w:ascii="宋体" w:hAnsi="宋体" w:cs="宋体"/>
          <w:color w:val="auto"/>
          <w:szCs w:val="21"/>
        </w:rPr>
        <w:t>3、本招标项目招标公告发布媒介：大丰公共资源电子交易平台（http://ggzy.dafeng.gov.cn/dfweb/）。</w:t>
      </w:r>
    </w:p>
    <w:p>
      <w:pPr>
        <w:spacing w:line="440" w:lineRule="exact"/>
        <w:ind w:firstLine="420" w:firstLineChars="200"/>
        <w:rPr>
          <w:rFonts w:ascii="宋体" w:hAnsi="宋体" w:cs="宋体"/>
          <w:color w:val="auto"/>
          <w:szCs w:val="21"/>
        </w:rPr>
      </w:pPr>
      <w:r>
        <w:rPr>
          <w:rFonts w:hint="eastAsia" w:ascii="宋体" w:hAnsi="宋体" w:cs="宋体"/>
          <w:color w:val="auto"/>
          <w:szCs w:val="21"/>
        </w:rPr>
        <w:t>4、投标前请关注“大丰公共资源电子交易平台”的“政府采购”—“答疑补充”栏目。及时了解到项目的“答疑补充”等情况。</w:t>
      </w:r>
    </w:p>
    <w:p>
      <w:pPr>
        <w:spacing w:line="440" w:lineRule="exact"/>
        <w:ind w:firstLine="420" w:firstLineChars="200"/>
        <w:rPr>
          <w:rFonts w:ascii="宋体" w:hAnsi="宋体" w:cs="宋体"/>
          <w:b/>
          <w:bCs/>
          <w:color w:val="auto"/>
          <w:szCs w:val="21"/>
        </w:rPr>
      </w:pPr>
      <w:r>
        <w:rPr>
          <w:rFonts w:hint="eastAsia" w:ascii="宋体" w:hAnsi="宋体" w:cs="宋体"/>
          <w:color w:val="auto"/>
          <w:szCs w:val="21"/>
        </w:rPr>
        <w:t>5、本项目采用全程电子化及不见面开标模式。本项目实行不见面开标，各投标人（供应商）的授权委托人或法人代表应在投标文件提交截止时间前提前登入“开标大厅系统”（步骤：登入-投标人-CA登录-江苏省CA），到达投标文件提交截止时间后，首先进入开标程序中的投标文件解密会议，然后按系统提示完成投标文件解密。投标人未按时完成投标文件解密或解密未成功的，均被视为投标人放弃本次投标（无效投标）。因投标人自身设备故障或自身原因导致无法完成投标的，对其形成的不利后果及责任由投标人自行承担。解密完成后，投标人可自行决定是否继续参加开（唱）标会议，投标人未参加开标的，视同认可开标结果。</w:t>
      </w:r>
    </w:p>
    <w:p>
      <w:pPr>
        <w:spacing w:line="440" w:lineRule="exact"/>
        <w:ind w:firstLine="422" w:firstLineChars="200"/>
        <w:jc w:val="left"/>
        <w:rPr>
          <w:rFonts w:ascii="宋体" w:hAnsi="宋体" w:cs="宋体"/>
          <w:b/>
          <w:bCs/>
          <w:color w:val="auto"/>
          <w:szCs w:val="21"/>
        </w:rPr>
      </w:pPr>
      <w:r>
        <w:rPr>
          <w:rFonts w:hint="eastAsia" w:ascii="宋体" w:hAnsi="宋体" w:cs="宋体"/>
          <w:b/>
          <w:bCs/>
          <w:color w:val="auto"/>
          <w:szCs w:val="21"/>
        </w:rPr>
        <w:t>6、开标大厅系统网址为：http://js.etrading.cn/EpointBidOpening/bidopeninghallaction/hall/login。</w:t>
      </w:r>
    </w:p>
    <w:p>
      <w:pPr>
        <w:spacing w:line="440" w:lineRule="exact"/>
        <w:ind w:firstLine="422" w:firstLineChars="200"/>
        <w:rPr>
          <w:rFonts w:ascii="宋体" w:hAnsi="宋体" w:cs="宋体"/>
          <w:color w:val="auto"/>
          <w:szCs w:val="21"/>
        </w:rPr>
      </w:pPr>
      <w:r>
        <w:rPr>
          <w:rFonts w:hint="eastAsia" w:ascii="宋体" w:hAnsi="宋体" w:cs="宋体"/>
          <w:b/>
          <w:bCs/>
          <w:color w:val="auto"/>
          <w:szCs w:val="21"/>
        </w:rPr>
        <w:t>七、投标保证金</w:t>
      </w:r>
    </w:p>
    <w:p>
      <w:pPr>
        <w:spacing w:line="440" w:lineRule="exact"/>
        <w:ind w:firstLine="420" w:firstLineChars="200"/>
        <w:rPr>
          <w:rFonts w:ascii="宋体" w:hAnsi="宋体" w:cs="宋体"/>
          <w:b/>
          <w:bCs/>
          <w:color w:val="auto"/>
          <w:szCs w:val="21"/>
        </w:rPr>
      </w:pPr>
      <w:r>
        <w:rPr>
          <w:rFonts w:hint="eastAsia" w:ascii="宋体" w:hAnsi="宋体" w:cs="宋体"/>
          <w:color w:val="auto"/>
          <w:szCs w:val="21"/>
        </w:rPr>
        <w:t>参照执行苏财购[2020]52号文《关于做好政府采购支持企业发展有关事项的通知》，本项目不需要缴纳投标保证金。</w:t>
      </w:r>
    </w:p>
    <w:p>
      <w:pPr>
        <w:spacing w:line="440" w:lineRule="exact"/>
        <w:ind w:firstLine="422" w:firstLineChars="200"/>
        <w:rPr>
          <w:rFonts w:ascii="宋体" w:hAnsi="宋体" w:cs="宋体"/>
          <w:b/>
          <w:bCs/>
          <w:color w:val="auto"/>
          <w:szCs w:val="21"/>
        </w:rPr>
      </w:pPr>
      <w:r>
        <w:rPr>
          <w:rFonts w:hint="eastAsia" w:ascii="宋体" w:hAnsi="宋体" w:cs="宋体"/>
          <w:b/>
          <w:bCs/>
          <w:color w:val="auto"/>
          <w:szCs w:val="21"/>
        </w:rPr>
        <w:t>八、投标人在诚信库中录入的所有信息均应合法真实有效，并应在投标文件提交截止时间前完成诚信库信息的及时更新、完善，招标人或评标委员会将按照投标文件提交截止时间前的现状信息予以审查或评审，如投标人未及时更新和完善的，对其形成不利的后果及责任由投标人自行承担。投标人录入诚信库提交的信息如有虚假或其他违法违规情形的，将有可能面临被列为失信行为的风险并承担相应的法律责任。</w:t>
      </w:r>
    </w:p>
    <w:p>
      <w:pPr>
        <w:widowControl/>
        <w:spacing w:line="440" w:lineRule="exact"/>
        <w:ind w:firstLine="422" w:firstLineChars="200"/>
        <w:jc w:val="left"/>
        <w:rPr>
          <w:rFonts w:ascii="宋体" w:hAnsi="宋体" w:cs="宋体"/>
          <w:color w:val="auto"/>
          <w:szCs w:val="21"/>
        </w:rPr>
      </w:pPr>
      <w:r>
        <w:rPr>
          <w:rFonts w:hint="eastAsia" w:ascii="宋体" w:hAnsi="宋体" w:cs="宋体"/>
          <w:b/>
          <w:bCs/>
          <w:color w:val="auto"/>
          <w:szCs w:val="21"/>
        </w:rPr>
        <w:t>九、对本次招标提出询问，请按以下方式联系。</w:t>
      </w:r>
    </w:p>
    <w:bookmarkEnd w:id="9"/>
    <w:bookmarkEnd w:id="10"/>
    <w:bookmarkEnd w:id="11"/>
    <w:p>
      <w:pPr>
        <w:autoSpaceDE w:val="0"/>
        <w:autoSpaceDN w:val="0"/>
        <w:spacing w:line="440" w:lineRule="exact"/>
        <w:ind w:firstLine="420" w:firstLineChars="200"/>
        <w:jc w:val="left"/>
        <w:rPr>
          <w:rFonts w:ascii="宋体" w:hAnsi="宋体" w:cs="宋体"/>
          <w:color w:val="auto"/>
          <w:kern w:val="0"/>
          <w:szCs w:val="21"/>
          <w:lang w:val="zh-CN"/>
        </w:rPr>
      </w:pPr>
      <w:bookmarkStart w:id="21" w:name="_Toc508216878"/>
      <w:r>
        <w:rPr>
          <w:rFonts w:hint="eastAsia" w:ascii="宋体" w:hAnsi="宋体" w:cs="宋体"/>
          <w:color w:val="auto"/>
          <w:kern w:val="0"/>
          <w:szCs w:val="21"/>
          <w:lang w:val="zh-CN"/>
        </w:rPr>
        <w:t>1.招标人信息</w:t>
      </w:r>
    </w:p>
    <w:p>
      <w:pPr>
        <w:autoSpaceDE w:val="0"/>
        <w:autoSpaceDN w:val="0"/>
        <w:spacing w:line="440" w:lineRule="exact"/>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名</w:t>
      </w:r>
      <w:r>
        <w:rPr>
          <w:rFonts w:hint="eastAsia" w:ascii="宋体" w:hAnsi="宋体" w:cs="宋体"/>
          <w:color w:val="auto"/>
          <w:kern w:val="0"/>
          <w:szCs w:val="21"/>
        </w:rPr>
        <w:t xml:space="preserve">    </w:t>
      </w:r>
      <w:r>
        <w:rPr>
          <w:rFonts w:hint="eastAsia" w:ascii="宋体" w:hAnsi="宋体" w:cs="宋体"/>
          <w:color w:val="auto"/>
          <w:kern w:val="0"/>
          <w:szCs w:val="21"/>
          <w:lang w:val="zh-CN"/>
        </w:rPr>
        <w:t>称：</w:t>
      </w:r>
      <w:r>
        <w:rPr>
          <w:rFonts w:hint="eastAsia" w:ascii="宋体" w:hAnsi="宋体" w:cs="宋体"/>
          <w:color w:val="auto"/>
          <w:kern w:val="0"/>
          <w:szCs w:val="21"/>
          <w:u w:val="single"/>
        </w:rPr>
        <w:t>盐城市大丰区铁路投资发展有限公司</w:t>
      </w:r>
      <w:r>
        <w:rPr>
          <w:rFonts w:hint="eastAsia" w:ascii="宋体" w:hAnsi="宋体" w:cs="宋体"/>
          <w:color w:val="auto"/>
          <w:kern w:val="0"/>
          <w:szCs w:val="21"/>
          <w:lang w:val="zh-CN"/>
        </w:rPr>
        <w:t>　</w:t>
      </w:r>
    </w:p>
    <w:p>
      <w:pPr>
        <w:autoSpaceDE w:val="0"/>
        <w:autoSpaceDN w:val="0"/>
        <w:spacing w:line="440" w:lineRule="exact"/>
        <w:ind w:firstLine="420" w:firstLineChars="200"/>
        <w:jc w:val="left"/>
        <w:rPr>
          <w:rFonts w:ascii="宋体" w:hAnsi="宋体" w:cs="宋体"/>
          <w:color w:val="auto"/>
          <w:kern w:val="0"/>
          <w:szCs w:val="21"/>
          <w:u w:val="single"/>
        </w:rPr>
      </w:pPr>
      <w:r>
        <w:rPr>
          <w:rFonts w:hint="eastAsia" w:ascii="宋体" w:hAnsi="宋体" w:cs="宋体"/>
          <w:color w:val="auto"/>
          <w:kern w:val="0"/>
          <w:szCs w:val="21"/>
          <w:lang w:val="zh-CN"/>
        </w:rPr>
        <w:t>地</w:t>
      </w:r>
      <w:r>
        <w:rPr>
          <w:rFonts w:hint="eastAsia" w:ascii="宋体" w:hAnsi="宋体" w:cs="宋体"/>
          <w:color w:val="auto"/>
          <w:kern w:val="0"/>
          <w:szCs w:val="21"/>
        </w:rPr>
        <w:t xml:space="preserve">    </w:t>
      </w:r>
      <w:r>
        <w:rPr>
          <w:rFonts w:hint="eastAsia" w:ascii="宋体" w:hAnsi="宋体" w:cs="宋体"/>
          <w:color w:val="auto"/>
          <w:kern w:val="0"/>
          <w:szCs w:val="21"/>
          <w:lang w:val="zh-CN"/>
        </w:rPr>
        <w:t>址：</w:t>
      </w:r>
      <w:r>
        <w:rPr>
          <w:rFonts w:hint="eastAsia" w:ascii="宋体" w:hAnsi="宋体" w:cs="宋体"/>
          <w:color w:val="auto"/>
          <w:kern w:val="0"/>
          <w:szCs w:val="21"/>
          <w:u w:val="single"/>
        </w:rPr>
        <w:t>大丰区南翔西路55号</w:t>
      </w:r>
    </w:p>
    <w:p>
      <w:pPr>
        <w:autoSpaceDE w:val="0"/>
        <w:autoSpaceDN w:val="0"/>
        <w:spacing w:line="44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联 系 人：</w:t>
      </w:r>
      <w:r>
        <w:rPr>
          <w:rFonts w:hint="eastAsia" w:ascii="宋体" w:hAnsi="宋体" w:cs="宋体"/>
          <w:color w:val="auto"/>
          <w:kern w:val="0"/>
          <w:szCs w:val="21"/>
          <w:u w:val="single"/>
        </w:rPr>
        <w:t>曾祥征</w:t>
      </w:r>
    </w:p>
    <w:p>
      <w:pPr>
        <w:autoSpaceDE w:val="0"/>
        <w:autoSpaceDN w:val="0"/>
        <w:spacing w:line="440" w:lineRule="exact"/>
        <w:ind w:firstLine="420" w:firstLineChars="200"/>
        <w:jc w:val="left"/>
        <w:rPr>
          <w:rFonts w:hint="eastAsia" w:ascii="宋体" w:hAnsi="宋体" w:cs="宋体"/>
          <w:color w:val="auto"/>
          <w:kern w:val="0"/>
          <w:szCs w:val="21"/>
          <w:lang w:val="zh-CN"/>
        </w:rPr>
      </w:pPr>
      <w:r>
        <w:rPr>
          <w:rFonts w:hint="eastAsia" w:ascii="宋体" w:hAnsi="宋体" w:cs="宋体"/>
          <w:color w:val="auto"/>
          <w:kern w:val="0"/>
          <w:szCs w:val="21"/>
          <w:lang w:val="zh-CN"/>
        </w:rPr>
        <w:t>联系方式：</w:t>
      </w:r>
      <w:r>
        <w:rPr>
          <w:rFonts w:hint="eastAsia" w:ascii="宋体" w:hAnsi="宋体" w:cs="宋体"/>
          <w:color w:val="auto"/>
          <w:kern w:val="0"/>
          <w:szCs w:val="21"/>
          <w:u w:val="single"/>
        </w:rPr>
        <w:t>18912529778</w:t>
      </w:r>
      <w:r>
        <w:rPr>
          <w:rFonts w:hint="eastAsia" w:ascii="宋体" w:hAnsi="宋体" w:cs="宋体"/>
          <w:color w:val="auto"/>
          <w:kern w:val="0"/>
          <w:szCs w:val="21"/>
          <w:lang w:val="zh-CN"/>
        </w:rPr>
        <w:t>　</w:t>
      </w:r>
    </w:p>
    <w:p>
      <w:pPr>
        <w:autoSpaceDE w:val="0"/>
        <w:autoSpaceDN w:val="0"/>
        <w:spacing w:line="440" w:lineRule="exact"/>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 xml:space="preserve">　　　　　　　　　　 </w:t>
      </w:r>
    </w:p>
    <w:p>
      <w:pPr>
        <w:autoSpaceDE w:val="0"/>
        <w:autoSpaceDN w:val="0"/>
        <w:spacing w:line="440" w:lineRule="exact"/>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2.招标代理机构信息</w:t>
      </w:r>
    </w:p>
    <w:p>
      <w:pPr>
        <w:autoSpaceDE w:val="0"/>
        <w:autoSpaceDN w:val="0"/>
        <w:spacing w:line="440" w:lineRule="exact"/>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名</w:t>
      </w:r>
      <w:r>
        <w:rPr>
          <w:rFonts w:hint="eastAsia" w:ascii="宋体" w:hAnsi="宋体" w:cs="宋体"/>
          <w:color w:val="auto"/>
          <w:kern w:val="0"/>
          <w:szCs w:val="21"/>
        </w:rPr>
        <w:t xml:space="preserve">    </w:t>
      </w:r>
      <w:r>
        <w:rPr>
          <w:rFonts w:hint="eastAsia" w:ascii="宋体" w:hAnsi="宋体" w:cs="宋体"/>
          <w:color w:val="auto"/>
          <w:kern w:val="0"/>
          <w:szCs w:val="21"/>
          <w:lang w:val="zh-CN"/>
        </w:rPr>
        <w:t>称：</w:t>
      </w:r>
      <w:r>
        <w:rPr>
          <w:rFonts w:hint="eastAsia" w:ascii="宋体" w:hAnsi="宋体" w:cs="宋体"/>
          <w:color w:val="auto"/>
          <w:kern w:val="0"/>
          <w:szCs w:val="21"/>
          <w:u w:val="single"/>
        </w:rPr>
        <w:t>盐城市招标代理有限公司</w:t>
      </w:r>
      <w:r>
        <w:rPr>
          <w:rFonts w:hint="eastAsia" w:ascii="宋体" w:hAnsi="宋体" w:cs="宋体"/>
          <w:color w:val="auto"/>
          <w:kern w:val="0"/>
          <w:szCs w:val="21"/>
          <w:lang w:val="zh-CN"/>
        </w:rPr>
        <w:t>　　　　　　　　　　　　</w:t>
      </w:r>
    </w:p>
    <w:p>
      <w:pPr>
        <w:autoSpaceDE w:val="0"/>
        <w:autoSpaceDN w:val="0"/>
        <w:spacing w:line="440" w:lineRule="exact"/>
        <w:ind w:firstLine="420" w:firstLineChars="200"/>
        <w:jc w:val="left"/>
        <w:rPr>
          <w:rFonts w:ascii="宋体" w:hAnsi="宋体" w:cs="宋体"/>
          <w:color w:val="auto"/>
          <w:kern w:val="0"/>
          <w:szCs w:val="21"/>
          <w:lang w:val="zh-CN"/>
        </w:rPr>
      </w:pPr>
      <w:r>
        <w:rPr>
          <w:rFonts w:hint="eastAsia" w:ascii="宋体" w:hAnsi="宋体" w:cs="宋体"/>
          <w:color w:val="auto"/>
          <w:kern w:val="0"/>
          <w:szCs w:val="21"/>
          <w:lang w:val="zh-CN"/>
        </w:rPr>
        <w:t>地</w:t>
      </w:r>
      <w:r>
        <w:rPr>
          <w:rFonts w:hint="eastAsia" w:ascii="宋体" w:hAnsi="宋体" w:cs="宋体"/>
          <w:color w:val="auto"/>
          <w:kern w:val="0"/>
          <w:szCs w:val="21"/>
        </w:rPr>
        <w:t xml:space="preserve">    </w:t>
      </w:r>
      <w:r>
        <w:rPr>
          <w:rFonts w:hint="eastAsia" w:ascii="宋体" w:hAnsi="宋体" w:cs="宋体"/>
          <w:color w:val="auto"/>
          <w:kern w:val="0"/>
          <w:szCs w:val="21"/>
          <w:lang w:val="zh-CN"/>
        </w:rPr>
        <w:t>址：</w:t>
      </w:r>
      <w:r>
        <w:rPr>
          <w:rFonts w:hint="eastAsia" w:ascii="宋体" w:hAnsi="宋体" w:cs="宋体"/>
          <w:color w:val="auto"/>
          <w:kern w:val="0"/>
          <w:szCs w:val="21"/>
          <w:u w:val="single"/>
        </w:rPr>
        <w:t>盐城市大丰区通港大道77号大丰区电商产业园六楼616室</w:t>
      </w:r>
      <w:r>
        <w:rPr>
          <w:rFonts w:hint="eastAsia" w:ascii="宋体" w:hAnsi="宋体" w:cs="宋体"/>
          <w:color w:val="auto"/>
          <w:kern w:val="0"/>
          <w:szCs w:val="21"/>
          <w:lang w:val="zh-CN"/>
        </w:rPr>
        <w:t>　　　　　　　　　　　　</w:t>
      </w:r>
    </w:p>
    <w:p>
      <w:pPr>
        <w:autoSpaceDE w:val="0"/>
        <w:autoSpaceDN w:val="0"/>
        <w:spacing w:line="44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联 系 人：</w:t>
      </w:r>
      <w:r>
        <w:rPr>
          <w:rFonts w:hint="eastAsia" w:ascii="宋体" w:hAnsi="宋体" w:cs="宋体"/>
          <w:color w:val="auto"/>
          <w:kern w:val="0"/>
          <w:szCs w:val="21"/>
          <w:u w:val="single"/>
        </w:rPr>
        <w:t>石茹</w:t>
      </w:r>
    </w:p>
    <w:p>
      <w:pPr>
        <w:autoSpaceDE w:val="0"/>
        <w:autoSpaceDN w:val="0"/>
        <w:spacing w:line="440" w:lineRule="exact"/>
        <w:ind w:firstLine="420" w:firstLineChars="200"/>
        <w:jc w:val="left"/>
        <w:rPr>
          <w:rFonts w:ascii="宋体" w:hAnsi="宋体" w:cs="宋体"/>
          <w:color w:val="auto"/>
          <w:szCs w:val="21"/>
        </w:rPr>
      </w:pPr>
      <w:r>
        <w:rPr>
          <w:rFonts w:hint="eastAsia" w:ascii="宋体" w:hAnsi="宋体" w:cs="宋体"/>
          <w:color w:val="auto"/>
          <w:kern w:val="0"/>
          <w:szCs w:val="21"/>
          <w:lang w:val="zh-CN"/>
        </w:rPr>
        <w:t>联系方式：</w:t>
      </w:r>
      <w:r>
        <w:rPr>
          <w:rFonts w:hint="eastAsia" w:ascii="宋体" w:hAnsi="宋体" w:cs="宋体"/>
          <w:color w:val="auto"/>
          <w:kern w:val="0"/>
          <w:szCs w:val="21"/>
          <w:u w:val="single"/>
        </w:rPr>
        <w:t>18921822799</w:t>
      </w:r>
      <w:r>
        <w:rPr>
          <w:rFonts w:hint="eastAsia" w:ascii="宋体" w:hAnsi="宋体" w:cs="宋体"/>
          <w:color w:val="auto"/>
          <w:kern w:val="0"/>
          <w:szCs w:val="21"/>
          <w:lang w:val="zh-CN"/>
        </w:rPr>
        <w:t>　　　　　　　　　　</w:t>
      </w:r>
    </w:p>
    <w:p>
      <w:pPr>
        <w:rPr>
          <w:color w:val="auto"/>
        </w:rPr>
      </w:pPr>
    </w:p>
    <w:p>
      <w:pPr>
        <w:pStyle w:val="3"/>
        <w:spacing w:before="0" w:after="0" w:line="360" w:lineRule="auto"/>
        <w:rPr>
          <w:rFonts w:ascii="宋体" w:hAnsi="宋体"/>
          <w:color w:val="auto"/>
        </w:rPr>
      </w:pPr>
      <w:r>
        <w:rPr>
          <w:rFonts w:ascii="宋体" w:hAnsi="宋体"/>
          <w:color w:val="auto"/>
        </w:rPr>
        <w:br w:type="page"/>
      </w:r>
      <w:r>
        <w:rPr>
          <w:rFonts w:ascii="宋体" w:hAnsi="宋体"/>
          <w:color w:val="auto"/>
        </w:rPr>
        <w:t>第二章  投标人须知</w:t>
      </w:r>
      <w:bookmarkEnd w:id="12"/>
      <w:bookmarkEnd w:id="13"/>
      <w:bookmarkEnd w:id="14"/>
      <w:bookmarkEnd w:id="15"/>
      <w:bookmarkEnd w:id="16"/>
      <w:bookmarkEnd w:id="17"/>
      <w:bookmarkEnd w:id="18"/>
      <w:bookmarkEnd w:id="19"/>
      <w:bookmarkEnd w:id="20"/>
      <w:bookmarkEnd w:id="21"/>
    </w:p>
    <w:p>
      <w:pPr>
        <w:pStyle w:val="153"/>
        <w:spacing w:before="0" w:after="0"/>
        <w:jc w:val="center"/>
        <w:rPr>
          <w:rFonts w:ascii="宋体" w:hAnsi="宋体"/>
          <w:color w:val="auto"/>
        </w:rPr>
      </w:pPr>
      <w:bookmarkStart w:id="22" w:name="_Toc16205"/>
      <w:bookmarkStart w:id="23" w:name="_Toc369077559"/>
      <w:bookmarkStart w:id="24" w:name="_Toc387526374"/>
      <w:bookmarkStart w:id="25" w:name="_Toc387526282"/>
      <w:bookmarkStart w:id="26" w:name="_Toc508216879"/>
      <w:bookmarkStart w:id="27" w:name="_Toc387526178"/>
      <w:bookmarkStart w:id="28" w:name="_Toc397928548"/>
      <w:r>
        <w:rPr>
          <w:rFonts w:ascii="宋体" w:hAnsi="宋体"/>
          <w:color w:val="auto"/>
        </w:rPr>
        <w:t>投标人须知前附表</w:t>
      </w:r>
      <w:bookmarkEnd w:id="22"/>
      <w:bookmarkEnd w:id="23"/>
      <w:bookmarkEnd w:id="24"/>
      <w:bookmarkEnd w:id="25"/>
      <w:bookmarkEnd w:id="26"/>
      <w:bookmarkEnd w:id="27"/>
      <w:bookmarkEnd w:id="28"/>
    </w:p>
    <w:tbl>
      <w:tblPr>
        <w:tblStyle w:val="48"/>
        <w:tblW w:w="49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2223"/>
        <w:gridCol w:w="5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Align w:val="center"/>
          </w:tcPr>
          <w:p>
            <w:pPr>
              <w:spacing w:line="480" w:lineRule="exact"/>
              <w:jc w:val="center"/>
              <w:rPr>
                <w:rFonts w:ascii="宋体" w:hAnsi="宋体" w:cs="宋体"/>
                <w:b/>
                <w:color w:val="auto"/>
                <w:szCs w:val="21"/>
              </w:rPr>
            </w:pPr>
            <w:r>
              <w:rPr>
                <w:rFonts w:hint="eastAsia" w:ascii="宋体" w:hAnsi="宋体" w:cs="宋体"/>
                <w:b/>
                <w:color w:val="auto"/>
                <w:szCs w:val="21"/>
              </w:rPr>
              <w:t>条款号</w:t>
            </w:r>
          </w:p>
        </w:tc>
        <w:tc>
          <w:tcPr>
            <w:tcW w:w="1263" w:type="pct"/>
            <w:vAlign w:val="center"/>
          </w:tcPr>
          <w:p>
            <w:pPr>
              <w:spacing w:line="480" w:lineRule="exact"/>
              <w:jc w:val="center"/>
              <w:rPr>
                <w:rFonts w:ascii="宋体" w:hAnsi="宋体" w:cs="宋体"/>
                <w:b/>
                <w:color w:val="auto"/>
                <w:szCs w:val="21"/>
              </w:rPr>
            </w:pPr>
            <w:r>
              <w:rPr>
                <w:rFonts w:hint="eastAsia" w:ascii="宋体" w:hAnsi="宋体" w:cs="宋体"/>
                <w:b/>
                <w:color w:val="auto"/>
                <w:szCs w:val="21"/>
              </w:rPr>
              <w:t>条 款 名 称</w:t>
            </w:r>
          </w:p>
        </w:tc>
        <w:tc>
          <w:tcPr>
            <w:tcW w:w="3108" w:type="pct"/>
            <w:vAlign w:val="center"/>
          </w:tcPr>
          <w:p>
            <w:pPr>
              <w:spacing w:line="480" w:lineRule="exact"/>
              <w:jc w:val="center"/>
              <w:rPr>
                <w:rFonts w:ascii="宋体" w:hAnsi="宋体" w:cs="宋体"/>
                <w:b/>
                <w:color w:val="auto"/>
                <w:szCs w:val="21"/>
              </w:rPr>
            </w:pPr>
            <w:r>
              <w:rPr>
                <w:rFonts w:hint="eastAsia" w:ascii="宋体" w:hAnsi="宋体" w:cs="宋体"/>
                <w:b/>
                <w:color w:val="auto"/>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Align w:val="center"/>
          </w:tcPr>
          <w:p>
            <w:pPr>
              <w:spacing w:line="480" w:lineRule="exact"/>
              <w:jc w:val="center"/>
              <w:rPr>
                <w:rFonts w:ascii="宋体" w:hAnsi="宋体" w:cs="宋体"/>
                <w:color w:val="auto"/>
                <w:szCs w:val="21"/>
              </w:rPr>
            </w:pPr>
            <w:r>
              <w:rPr>
                <w:rFonts w:hint="eastAsia" w:ascii="宋体" w:hAnsi="宋体" w:cs="宋体"/>
                <w:color w:val="auto"/>
                <w:szCs w:val="21"/>
              </w:rPr>
              <w:t>1.1.2</w:t>
            </w:r>
          </w:p>
        </w:tc>
        <w:tc>
          <w:tcPr>
            <w:tcW w:w="1263" w:type="pct"/>
            <w:vAlign w:val="center"/>
          </w:tcPr>
          <w:p>
            <w:pPr>
              <w:spacing w:line="480" w:lineRule="exact"/>
              <w:jc w:val="center"/>
              <w:rPr>
                <w:rFonts w:ascii="宋体" w:hAnsi="宋体" w:cs="宋体"/>
                <w:color w:val="auto"/>
                <w:szCs w:val="21"/>
              </w:rPr>
            </w:pPr>
            <w:r>
              <w:rPr>
                <w:rFonts w:hint="eastAsia" w:ascii="宋体" w:hAnsi="宋体" w:cs="宋体"/>
                <w:color w:val="auto"/>
                <w:szCs w:val="21"/>
              </w:rPr>
              <w:t>招标人</w:t>
            </w:r>
          </w:p>
        </w:tc>
        <w:tc>
          <w:tcPr>
            <w:tcW w:w="3108" w:type="pct"/>
            <w:vAlign w:val="center"/>
          </w:tcPr>
          <w:p>
            <w:pPr>
              <w:spacing w:line="480" w:lineRule="exact"/>
              <w:rPr>
                <w:rFonts w:ascii="宋体" w:hAnsi="宋体" w:cs="宋体"/>
                <w:color w:val="auto"/>
                <w:szCs w:val="21"/>
              </w:rPr>
            </w:pPr>
            <w:r>
              <w:rPr>
                <w:rFonts w:hint="eastAsia" w:ascii="宋体" w:hAnsi="宋体" w:cs="宋体"/>
                <w:color w:val="auto"/>
                <w:szCs w:val="21"/>
              </w:rPr>
              <w:t>盐城市大丰区铁路投资发展有限公司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Align w:val="center"/>
          </w:tcPr>
          <w:p>
            <w:pPr>
              <w:spacing w:line="480" w:lineRule="exact"/>
              <w:jc w:val="center"/>
              <w:rPr>
                <w:rFonts w:ascii="宋体" w:hAnsi="宋体" w:cs="宋体"/>
                <w:color w:val="auto"/>
                <w:szCs w:val="21"/>
              </w:rPr>
            </w:pPr>
            <w:r>
              <w:rPr>
                <w:rFonts w:hint="eastAsia" w:ascii="宋体" w:hAnsi="宋体" w:cs="宋体"/>
                <w:color w:val="auto"/>
                <w:szCs w:val="21"/>
              </w:rPr>
              <w:t>1.1.3</w:t>
            </w:r>
          </w:p>
        </w:tc>
        <w:tc>
          <w:tcPr>
            <w:tcW w:w="1263" w:type="pct"/>
            <w:vAlign w:val="center"/>
          </w:tcPr>
          <w:p>
            <w:pPr>
              <w:spacing w:line="480" w:lineRule="exact"/>
              <w:jc w:val="center"/>
              <w:rPr>
                <w:rFonts w:ascii="宋体" w:hAnsi="宋体" w:cs="宋体"/>
                <w:color w:val="auto"/>
                <w:szCs w:val="21"/>
              </w:rPr>
            </w:pPr>
            <w:r>
              <w:rPr>
                <w:rFonts w:hint="eastAsia" w:ascii="宋体" w:hAnsi="宋体" w:cs="宋体"/>
                <w:color w:val="auto"/>
                <w:szCs w:val="21"/>
              </w:rPr>
              <w:t>招标代理机构</w:t>
            </w:r>
          </w:p>
        </w:tc>
        <w:tc>
          <w:tcPr>
            <w:tcW w:w="3108" w:type="pct"/>
            <w:vAlign w:val="center"/>
          </w:tcPr>
          <w:p>
            <w:pPr>
              <w:spacing w:line="480" w:lineRule="exact"/>
              <w:rPr>
                <w:rFonts w:ascii="宋体" w:hAnsi="宋体" w:cs="宋体"/>
                <w:color w:val="auto"/>
                <w:szCs w:val="21"/>
              </w:rPr>
            </w:pPr>
            <w:r>
              <w:rPr>
                <w:rFonts w:hint="eastAsia" w:ascii="宋体" w:hAnsi="宋体" w:cs="宋体"/>
                <w:color w:val="auto"/>
                <w:szCs w:val="21"/>
              </w:rPr>
              <w:t>盐城市招标代理有限公司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Align w:val="center"/>
          </w:tcPr>
          <w:p>
            <w:pPr>
              <w:spacing w:line="480" w:lineRule="exact"/>
              <w:jc w:val="center"/>
              <w:rPr>
                <w:rFonts w:ascii="宋体" w:hAnsi="宋体" w:cs="宋体"/>
                <w:color w:val="auto"/>
                <w:szCs w:val="21"/>
              </w:rPr>
            </w:pPr>
            <w:r>
              <w:rPr>
                <w:rFonts w:hint="eastAsia" w:ascii="宋体" w:hAnsi="宋体" w:cs="宋体"/>
                <w:color w:val="auto"/>
                <w:szCs w:val="21"/>
              </w:rPr>
              <w:t>1.1.4</w:t>
            </w:r>
          </w:p>
        </w:tc>
        <w:tc>
          <w:tcPr>
            <w:tcW w:w="1263" w:type="pct"/>
            <w:vAlign w:val="center"/>
          </w:tcPr>
          <w:p>
            <w:pPr>
              <w:spacing w:line="480" w:lineRule="exact"/>
              <w:jc w:val="center"/>
              <w:rPr>
                <w:rFonts w:ascii="宋体" w:hAnsi="宋体" w:cs="宋体"/>
                <w:color w:val="auto"/>
                <w:szCs w:val="21"/>
              </w:rPr>
            </w:pPr>
            <w:r>
              <w:rPr>
                <w:rFonts w:hint="eastAsia" w:ascii="宋体" w:hAnsi="宋体" w:cs="宋体"/>
                <w:color w:val="auto"/>
                <w:szCs w:val="21"/>
              </w:rPr>
              <w:t>项目名称</w:t>
            </w:r>
          </w:p>
        </w:tc>
        <w:tc>
          <w:tcPr>
            <w:tcW w:w="3108" w:type="pct"/>
            <w:vAlign w:val="center"/>
          </w:tcPr>
          <w:p>
            <w:pPr>
              <w:spacing w:line="480" w:lineRule="exact"/>
              <w:rPr>
                <w:rFonts w:ascii="宋体" w:hAnsi="宋体" w:cs="宋体"/>
                <w:color w:val="auto"/>
                <w:szCs w:val="21"/>
              </w:rPr>
            </w:pPr>
            <w:r>
              <w:rPr>
                <w:rFonts w:hint="eastAsia" w:ascii="宋体" w:hAnsi="宋体" w:cs="宋体"/>
                <w:color w:val="auto"/>
                <w:szCs w:val="21"/>
                <w:lang w:eastAsia="zh-CN"/>
              </w:rPr>
              <w:t>商务酒店和酒店城市会客厅项目</w:t>
            </w:r>
            <w:r>
              <w:rPr>
                <w:rFonts w:hint="eastAsia" w:ascii="宋体" w:hAnsi="宋体" w:cs="宋体"/>
                <w:color w:val="auto"/>
                <w:szCs w:val="21"/>
              </w:rPr>
              <w:t>施工全过程造价控制服务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Align w:val="center"/>
          </w:tcPr>
          <w:p>
            <w:pPr>
              <w:spacing w:line="480" w:lineRule="exact"/>
              <w:jc w:val="center"/>
              <w:rPr>
                <w:rFonts w:ascii="宋体" w:hAnsi="宋体" w:cs="宋体"/>
                <w:color w:val="auto"/>
                <w:szCs w:val="21"/>
              </w:rPr>
            </w:pPr>
            <w:r>
              <w:rPr>
                <w:rFonts w:hint="eastAsia" w:ascii="宋体" w:hAnsi="宋体" w:cs="宋体"/>
                <w:color w:val="auto"/>
                <w:szCs w:val="21"/>
              </w:rPr>
              <w:t>1.2.1</w:t>
            </w:r>
          </w:p>
        </w:tc>
        <w:tc>
          <w:tcPr>
            <w:tcW w:w="1263" w:type="pct"/>
            <w:vAlign w:val="center"/>
          </w:tcPr>
          <w:p>
            <w:pPr>
              <w:spacing w:line="480" w:lineRule="exact"/>
              <w:jc w:val="center"/>
              <w:rPr>
                <w:rFonts w:ascii="宋体" w:hAnsi="宋体" w:cs="宋体"/>
                <w:color w:val="auto"/>
                <w:szCs w:val="21"/>
              </w:rPr>
            </w:pPr>
            <w:r>
              <w:rPr>
                <w:rFonts w:hint="eastAsia" w:ascii="宋体" w:hAnsi="宋体" w:cs="宋体"/>
                <w:color w:val="auto"/>
                <w:szCs w:val="21"/>
              </w:rPr>
              <w:t>资金来源</w:t>
            </w:r>
          </w:p>
        </w:tc>
        <w:tc>
          <w:tcPr>
            <w:tcW w:w="3108" w:type="pct"/>
            <w:vAlign w:val="center"/>
          </w:tcPr>
          <w:p>
            <w:pPr>
              <w:spacing w:line="480" w:lineRule="exact"/>
              <w:rPr>
                <w:rFonts w:ascii="宋体" w:hAnsi="宋体" w:cs="宋体"/>
                <w:color w:val="auto"/>
                <w:szCs w:val="21"/>
              </w:rPr>
            </w:pPr>
            <w:r>
              <w:rPr>
                <w:rFonts w:hint="eastAsia" w:ascii="宋体" w:hAnsi="宋体" w:cs="宋体"/>
                <w:color w:val="auto"/>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Align w:val="center"/>
          </w:tcPr>
          <w:p>
            <w:pPr>
              <w:spacing w:line="480" w:lineRule="exact"/>
              <w:jc w:val="center"/>
              <w:rPr>
                <w:rFonts w:ascii="宋体" w:hAnsi="宋体" w:cs="宋体"/>
                <w:color w:val="auto"/>
                <w:szCs w:val="21"/>
              </w:rPr>
            </w:pPr>
            <w:r>
              <w:rPr>
                <w:rFonts w:hint="eastAsia" w:ascii="宋体" w:hAnsi="宋体" w:cs="宋体"/>
                <w:color w:val="auto"/>
                <w:szCs w:val="21"/>
              </w:rPr>
              <w:t>1.2.2</w:t>
            </w:r>
          </w:p>
        </w:tc>
        <w:tc>
          <w:tcPr>
            <w:tcW w:w="1263" w:type="pct"/>
            <w:vAlign w:val="center"/>
          </w:tcPr>
          <w:p>
            <w:pPr>
              <w:spacing w:line="480" w:lineRule="exact"/>
              <w:jc w:val="center"/>
              <w:rPr>
                <w:rFonts w:ascii="宋体" w:hAnsi="宋体" w:cs="宋体"/>
                <w:color w:val="auto"/>
                <w:szCs w:val="21"/>
              </w:rPr>
            </w:pPr>
            <w:r>
              <w:rPr>
                <w:rFonts w:hint="eastAsia" w:ascii="宋体" w:hAnsi="宋体" w:cs="宋体"/>
                <w:color w:val="auto"/>
                <w:szCs w:val="21"/>
              </w:rPr>
              <w:t>出资比例</w:t>
            </w:r>
          </w:p>
        </w:tc>
        <w:tc>
          <w:tcPr>
            <w:tcW w:w="3108" w:type="pct"/>
            <w:vAlign w:val="center"/>
          </w:tcPr>
          <w:p>
            <w:pPr>
              <w:spacing w:line="480" w:lineRule="exact"/>
              <w:rPr>
                <w:rFonts w:ascii="宋体" w:hAnsi="宋体" w:cs="宋体"/>
                <w:color w:val="auto"/>
                <w:szCs w:val="21"/>
              </w:rPr>
            </w:pPr>
            <w:r>
              <w:rPr>
                <w:rFonts w:hint="eastAsia" w:ascii="宋体" w:hAnsi="宋体" w:cs="宋体"/>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Align w:val="center"/>
          </w:tcPr>
          <w:p>
            <w:pPr>
              <w:spacing w:line="480" w:lineRule="exact"/>
              <w:jc w:val="center"/>
              <w:rPr>
                <w:rFonts w:ascii="宋体" w:hAnsi="宋体" w:cs="宋体"/>
                <w:color w:val="auto"/>
                <w:szCs w:val="21"/>
              </w:rPr>
            </w:pPr>
            <w:r>
              <w:rPr>
                <w:rFonts w:hint="eastAsia" w:ascii="宋体" w:hAnsi="宋体" w:cs="宋体"/>
                <w:color w:val="auto"/>
                <w:szCs w:val="21"/>
              </w:rPr>
              <w:t>1.2.3</w:t>
            </w:r>
          </w:p>
        </w:tc>
        <w:tc>
          <w:tcPr>
            <w:tcW w:w="1263" w:type="pct"/>
            <w:vAlign w:val="center"/>
          </w:tcPr>
          <w:p>
            <w:pPr>
              <w:spacing w:line="480" w:lineRule="exact"/>
              <w:jc w:val="center"/>
              <w:rPr>
                <w:rFonts w:ascii="宋体" w:hAnsi="宋体" w:cs="宋体"/>
                <w:color w:val="auto"/>
                <w:szCs w:val="21"/>
              </w:rPr>
            </w:pPr>
            <w:r>
              <w:rPr>
                <w:rFonts w:hint="eastAsia" w:ascii="宋体" w:hAnsi="宋体" w:cs="宋体"/>
                <w:color w:val="auto"/>
                <w:szCs w:val="21"/>
              </w:rPr>
              <w:t>资金落实情况</w:t>
            </w:r>
          </w:p>
        </w:tc>
        <w:tc>
          <w:tcPr>
            <w:tcW w:w="3108" w:type="pct"/>
            <w:vAlign w:val="center"/>
          </w:tcPr>
          <w:p>
            <w:pPr>
              <w:spacing w:line="480" w:lineRule="exact"/>
              <w:rPr>
                <w:rFonts w:ascii="宋体" w:hAnsi="宋体" w:cs="宋体"/>
                <w:color w:val="auto"/>
                <w:szCs w:val="21"/>
              </w:rPr>
            </w:pPr>
            <w:r>
              <w:rPr>
                <w:rFonts w:hint="eastAsia" w:ascii="宋体" w:hAnsi="宋体" w:cs="宋体"/>
                <w:color w:val="auto"/>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Align w:val="center"/>
          </w:tcPr>
          <w:p>
            <w:pPr>
              <w:spacing w:line="480" w:lineRule="exact"/>
              <w:jc w:val="center"/>
              <w:rPr>
                <w:rFonts w:ascii="宋体" w:hAnsi="宋体" w:cs="宋体"/>
                <w:color w:val="auto"/>
                <w:szCs w:val="21"/>
              </w:rPr>
            </w:pPr>
            <w:r>
              <w:rPr>
                <w:rFonts w:hint="eastAsia" w:ascii="宋体" w:hAnsi="宋体" w:cs="宋体"/>
                <w:color w:val="auto"/>
                <w:szCs w:val="21"/>
              </w:rPr>
              <w:t>1.3.1</w:t>
            </w:r>
          </w:p>
        </w:tc>
        <w:tc>
          <w:tcPr>
            <w:tcW w:w="1263" w:type="pct"/>
            <w:vAlign w:val="center"/>
          </w:tcPr>
          <w:p>
            <w:pPr>
              <w:spacing w:line="480" w:lineRule="exact"/>
              <w:jc w:val="center"/>
              <w:rPr>
                <w:rFonts w:ascii="宋体" w:hAnsi="宋体" w:cs="宋体"/>
                <w:color w:val="auto"/>
                <w:szCs w:val="21"/>
              </w:rPr>
            </w:pPr>
            <w:r>
              <w:rPr>
                <w:rFonts w:hint="eastAsia" w:ascii="宋体" w:hAnsi="宋体" w:cs="宋体"/>
                <w:color w:val="auto"/>
                <w:szCs w:val="21"/>
              </w:rPr>
              <w:t>采购需求</w:t>
            </w:r>
          </w:p>
        </w:tc>
        <w:tc>
          <w:tcPr>
            <w:tcW w:w="3108" w:type="pct"/>
            <w:vAlign w:val="center"/>
          </w:tcPr>
          <w:p>
            <w:pPr>
              <w:spacing w:line="480" w:lineRule="exact"/>
              <w:rPr>
                <w:rFonts w:ascii="宋体" w:hAnsi="宋体" w:cs="宋体"/>
                <w:color w:val="auto"/>
                <w:szCs w:val="21"/>
              </w:rPr>
            </w:pPr>
            <w:r>
              <w:rPr>
                <w:rFonts w:hint="eastAsia" w:ascii="宋体" w:hAnsi="宋体" w:cs="宋体"/>
                <w:color w:val="auto"/>
                <w:szCs w:val="21"/>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Align w:val="center"/>
          </w:tcPr>
          <w:p>
            <w:pPr>
              <w:spacing w:line="480" w:lineRule="exact"/>
              <w:jc w:val="center"/>
              <w:rPr>
                <w:rFonts w:ascii="宋体" w:hAnsi="宋体" w:cs="宋体"/>
                <w:color w:val="auto"/>
                <w:szCs w:val="21"/>
              </w:rPr>
            </w:pPr>
            <w:r>
              <w:rPr>
                <w:rFonts w:hint="eastAsia" w:ascii="宋体" w:hAnsi="宋体" w:cs="宋体"/>
                <w:color w:val="auto"/>
                <w:szCs w:val="21"/>
              </w:rPr>
              <w:t>1.3.2</w:t>
            </w:r>
          </w:p>
        </w:tc>
        <w:tc>
          <w:tcPr>
            <w:tcW w:w="1263" w:type="pct"/>
            <w:vAlign w:val="center"/>
          </w:tcPr>
          <w:p>
            <w:pPr>
              <w:spacing w:line="480" w:lineRule="exact"/>
              <w:jc w:val="center"/>
              <w:rPr>
                <w:rFonts w:ascii="宋体" w:hAnsi="宋体" w:cs="宋体"/>
                <w:color w:val="auto"/>
                <w:szCs w:val="21"/>
              </w:rPr>
            </w:pPr>
            <w:r>
              <w:rPr>
                <w:rFonts w:hint="eastAsia" w:ascii="宋体" w:hAnsi="宋体" w:cs="宋体"/>
                <w:color w:val="auto"/>
                <w:szCs w:val="21"/>
              </w:rPr>
              <w:t>服务期要求</w:t>
            </w:r>
          </w:p>
        </w:tc>
        <w:tc>
          <w:tcPr>
            <w:tcW w:w="3108" w:type="pct"/>
            <w:vAlign w:val="center"/>
          </w:tcPr>
          <w:p>
            <w:pPr>
              <w:spacing w:line="480" w:lineRule="exact"/>
              <w:rPr>
                <w:rFonts w:ascii="宋体" w:hAnsi="宋体" w:cs="宋体"/>
                <w:color w:val="auto"/>
                <w:szCs w:val="21"/>
              </w:rPr>
            </w:pPr>
            <w:r>
              <w:rPr>
                <w:rFonts w:hint="eastAsia" w:ascii="宋体" w:hAnsi="宋体" w:cs="宋体"/>
                <w:color w:val="auto"/>
                <w:szCs w:val="21"/>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Align w:val="center"/>
          </w:tcPr>
          <w:p>
            <w:pPr>
              <w:spacing w:line="480" w:lineRule="exact"/>
              <w:jc w:val="center"/>
              <w:rPr>
                <w:rFonts w:ascii="宋体" w:hAnsi="宋体" w:cs="宋体"/>
                <w:color w:val="auto"/>
                <w:szCs w:val="21"/>
              </w:rPr>
            </w:pPr>
            <w:r>
              <w:rPr>
                <w:rFonts w:hint="eastAsia" w:ascii="宋体" w:hAnsi="宋体" w:cs="宋体"/>
                <w:color w:val="auto"/>
                <w:szCs w:val="21"/>
              </w:rPr>
              <w:t>1.3.3</w:t>
            </w:r>
          </w:p>
        </w:tc>
        <w:tc>
          <w:tcPr>
            <w:tcW w:w="1263" w:type="pct"/>
            <w:vAlign w:val="center"/>
          </w:tcPr>
          <w:p>
            <w:pPr>
              <w:spacing w:line="480" w:lineRule="exact"/>
              <w:jc w:val="center"/>
              <w:rPr>
                <w:rFonts w:ascii="宋体" w:hAnsi="宋体" w:cs="宋体"/>
                <w:bCs/>
                <w:color w:val="auto"/>
                <w:szCs w:val="21"/>
              </w:rPr>
            </w:pPr>
            <w:r>
              <w:rPr>
                <w:rFonts w:hint="eastAsia" w:ascii="宋体" w:hAnsi="宋体" w:cs="宋体"/>
                <w:bCs/>
                <w:color w:val="auto"/>
                <w:szCs w:val="21"/>
              </w:rPr>
              <w:t>服务地点</w:t>
            </w:r>
          </w:p>
        </w:tc>
        <w:tc>
          <w:tcPr>
            <w:tcW w:w="3108" w:type="pct"/>
            <w:vAlign w:val="center"/>
          </w:tcPr>
          <w:p>
            <w:pPr>
              <w:spacing w:line="480" w:lineRule="exact"/>
              <w:rPr>
                <w:rFonts w:ascii="宋体" w:hAnsi="宋体" w:cs="宋体"/>
                <w:color w:val="auto"/>
                <w:szCs w:val="21"/>
              </w:rPr>
            </w:pPr>
            <w:r>
              <w:rPr>
                <w:rFonts w:hint="eastAsia" w:ascii="宋体" w:hAnsi="宋体" w:cs="宋体"/>
                <w:color w:val="auto"/>
                <w:szCs w:val="21"/>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jc w:val="center"/>
        </w:trPr>
        <w:tc>
          <w:tcPr>
            <w:tcW w:w="629" w:type="pct"/>
            <w:vAlign w:val="center"/>
          </w:tcPr>
          <w:p>
            <w:pPr>
              <w:spacing w:line="480" w:lineRule="exact"/>
              <w:jc w:val="center"/>
              <w:rPr>
                <w:rFonts w:ascii="宋体" w:hAnsi="宋体" w:cs="宋体"/>
                <w:color w:val="auto"/>
                <w:szCs w:val="21"/>
              </w:rPr>
            </w:pPr>
            <w:r>
              <w:rPr>
                <w:rFonts w:hint="eastAsia" w:ascii="宋体" w:hAnsi="宋体" w:cs="宋体"/>
                <w:color w:val="auto"/>
                <w:szCs w:val="21"/>
              </w:rPr>
              <w:t>1.3.4</w:t>
            </w:r>
          </w:p>
        </w:tc>
        <w:tc>
          <w:tcPr>
            <w:tcW w:w="1263" w:type="pct"/>
            <w:vAlign w:val="center"/>
          </w:tcPr>
          <w:p>
            <w:pPr>
              <w:spacing w:line="480" w:lineRule="exact"/>
              <w:jc w:val="center"/>
              <w:rPr>
                <w:rFonts w:ascii="宋体" w:hAnsi="宋体" w:cs="宋体"/>
                <w:color w:val="auto"/>
                <w:szCs w:val="21"/>
              </w:rPr>
            </w:pPr>
            <w:r>
              <w:rPr>
                <w:rFonts w:hint="eastAsia" w:ascii="宋体" w:hAnsi="宋体" w:cs="宋体"/>
                <w:color w:val="auto"/>
                <w:szCs w:val="21"/>
              </w:rPr>
              <w:t>质量要求及验收标准</w:t>
            </w:r>
          </w:p>
        </w:tc>
        <w:tc>
          <w:tcPr>
            <w:tcW w:w="3108" w:type="pct"/>
            <w:vAlign w:val="center"/>
          </w:tcPr>
          <w:p>
            <w:pPr>
              <w:spacing w:line="480" w:lineRule="exact"/>
              <w:rPr>
                <w:rFonts w:ascii="宋体" w:hAnsi="宋体" w:cs="宋体"/>
                <w:color w:val="auto"/>
                <w:szCs w:val="21"/>
              </w:rPr>
            </w:pPr>
            <w:r>
              <w:rPr>
                <w:rFonts w:hint="eastAsia" w:ascii="宋体" w:hAnsi="宋体" w:cs="宋体"/>
                <w:color w:val="auto"/>
                <w:szCs w:val="21"/>
              </w:rPr>
              <w:t>相关质量验收规范合格标准，验收执行国家或行业最新标准、招标文件各项技术参数指标、投标文件投标承诺所达到的各项技术参数指标（招标文件、投标文件、国家或行业标准不一致处以最高标准执行）。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Align w:val="center"/>
          </w:tcPr>
          <w:p>
            <w:pPr>
              <w:spacing w:line="480" w:lineRule="exact"/>
              <w:jc w:val="center"/>
              <w:rPr>
                <w:rFonts w:ascii="宋体" w:hAnsi="宋体" w:cs="宋体"/>
                <w:color w:val="auto"/>
                <w:szCs w:val="21"/>
              </w:rPr>
            </w:pPr>
            <w:r>
              <w:rPr>
                <w:rFonts w:hint="eastAsia" w:ascii="宋体" w:hAnsi="宋体" w:cs="宋体"/>
                <w:color w:val="auto"/>
                <w:szCs w:val="21"/>
              </w:rPr>
              <w:t>1.4.1</w:t>
            </w:r>
          </w:p>
        </w:tc>
        <w:tc>
          <w:tcPr>
            <w:tcW w:w="1263" w:type="pct"/>
            <w:vAlign w:val="center"/>
          </w:tcPr>
          <w:p>
            <w:pPr>
              <w:spacing w:line="480" w:lineRule="exact"/>
              <w:jc w:val="center"/>
              <w:rPr>
                <w:rFonts w:ascii="宋体" w:hAnsi="宋体" w:cs="宋体"/>
                <w:color w:val="auto"/>
                <w:szCs w:val="21"/>
              </w:rPr>
            </w:pPr>
            <w:r>
              <w:rPr>
                <w:rFonts w:hint="eastAsia" w:ascii="宋体" w:hAnsi="宋体" w:cs="宋体"/>
                <w:color w:val="auto"/>
                <w:szCs w:val="21"/>
              </w:rPr>
              <w:t>投标人资格要求</w:t>
            </w:r>
          </w:p>
        </w:tc>
        <w:tc>
          <w:tcPr>
            <w:tcW w:w="3108" w:type="pct"/>
            <w:vAlign w:val="center"/>
          </w:tcPr>
          <w:p>
            <w:pPr>
              <w:spacing w:line="480" w:lineRule="exact"/>
              <w:rPr>
                <w:rFonts w:ascii="宋体" w:hAnsi="宋体" w:cs="宋体"/>
                <w:color w:val="auto"/>
                <w:szCs w:val="21"/>
              </w:rPr>
            </w:pPr>
            <w:r>
              <w:rPr>
                <w:rFonts w:hint="eastAsia" w:ascii="宋体" w:hAnsi="宋体" w:cs="宋体"/>
                <w:color w:val="auto"/>
                <w:szCs w:val="21"/>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Align w:val="center"/>
          </w:tcPr>
          <w:p>
            <w:pPr>
              <w:spacing w:line="480" w:lineRule="exact"/>
              <w:jc w:val="center"/>
              <w:rPr>
                <w:rFonts w:ascii="宋体" w:hAnsi="宋体" w:cs="宋体"/>
                <w:color w:val="auto"/>
                <w:szCs w:val="21"/>
              </w:rPr>
            </w:pPr>
            <w:r>
              <w:rPr>
                <w:rFonts w:hint="eastAsia" w:ascii="宋体" w:hAnsi="宋体" w:cs="宋体"/>
                <w:color w:val="auto"/>
                <w:szCs w:val="21"/>
              </w:rPr>
              <w:t>1.4.2</w:t>
            </w:r>
          </w:p>
        </w:tc>
        <w:tc>
          <w:tcPr>
            <w:tcW w:w="1263" w:type="pct"/>
            <w:vAlign w:val="center"/>
          </w:tcPr>
          <w:p>
            <w:pPr>
              <w:spacing w:line="480" w:lineRule="exact"/>
              <w:jc w:val="center"/>
              <w:rPr>
                <w:rFonts w:ascii="宋体" w:hAnsi="宋体" w:cs="宋体"/>
                <w:color w:val="auto"/>
                <w:szCs w:val="21"/>
              </w:rPr>
            </w:pPr>
            <w:r>
              <w:rPr>
                <w:rFonts w:hint="eastAsia" w:ascii="宋体" w:hAnsi="宋体" w:cs="宋体"/>
                <w:color w:val="auto"/>
                <w:szCs w:val="21"/>
              </w:rPr>
              <w:t>是否接受联合体投标</w:t>
            </w:r>
          </w:p>
        </w:tc>
        <w:tc>
          <w:tcPr>
            <w:tcW w:w="3108" w:type="pct"/>
            <w:vAlign w:val="center"/>
          </w:tcPr>
          <w:p>
            <w:pPr>
              <w:spacing w:line="480" w:lineRule="exact"/>
              <w:rPr>
                <w:rFonts w:ascii="宋体" w:hAnsi="宋体" w:cs="宋体"/>
                <w:color w:val="auto"/>
                <w:kern w:val="0"/>
                <w:szCs w:val="21"/>
              </w:rPr>
            </w:pPr>
            <w:r>
              <w:rPr>
                <w:rFonts w:hint="eastAsia" w:ascii="宋体" w:hAnsi="宋体" w:cs="宋体"/>
                <w:color w:val="auto"/>
                <w:szCs w:val="21"/>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Align w:val="center"/>
          </w:tcPr>
          <w:p>
            <w:pPr>
              <w:spacing w:line="480" w:lineRule="exact"/>
              <w:jc w:val="center"/>
              <w:rPr>
                <w:rFonts w:ascii="宋体" w:hAnsi="宋体" w:cs="宋体"/>
                <w:b/>
                <w:color w:val="auto"/>
                <w:szCs w:val="21"/>
              </w:rPr>
            </w:pPr>
            <w:r>
              <w:rPr>
                <w:rFonts w:hint="eastAsia" w:ascii="宋体" w:hAnsi="宋体" w:cs="宋体"/>
                <w:color w:val="auto"/>
                <w:szCs w:val="21"/>
              </w:rPr>
              <w:t>1.9.1</w:t>
            </w:r>
          </w:p>
        </w:tc>
        <w:tc>
          <w:tcPr>
            <w:tcW w:w="1263" w:type="pct"/>
            <w:vAlign w:val="center"/>
          </w:tcPr>
          <w:p>
            <w:pPr>
              <w:spacing w:line="480" w:lineRule="exact"/>
              <w:jc w:val="center"/>
              <w:rPr>
                <w:rFonts w:ascii="宋体" w:hAnsi="宋体" w:cs="宋体"/>
                <w:b/>
                <w:color w:val="auto"/>
                <w:szCs w:val="21"/>
              </w:rPr>
            </w:pPr>
            <w:r>
              <w:rPr>
                <w:rFonts w:hint="eastAsia" w:ascii="宋体" w:hAnsi="宋体" w:cs="宋体"/>
                <w:color w:val="auto"/>
                <w:kern w:val="0"/>
                <w:szCs w:val="21"/>
              </w:rPr>
              <w:t>踏勘现场</w:t>
            </w:r>
          </w:p>
        </w:tc>
        <w:tc>
          <w:tcPr>
            <w:tcW w:w="3108" w:type="pct"/>
            <w:vAlign w:val="center"/>
          </w:tcPr>
          <w:p>
            <w:pPr>
              <w:spacing w:line="480" w:lineRule="exact"/>
              <w:rPr>
                <w:rFonts w:ascii="宋体" w:hAnsi="宋体" w:cs="宋体"/>
                <w:b/>
                <w:color w:val="auto"/>
                <w:szCs w:val="21"/>
                <w:u w:val="single"/>
              </w:rPr>
            </w:pPr>
            <w:r>
              <w:rPr>
                <w:rFonts w:hint="eastAsia" w:ascii="宋体" w:hAnsi="宋体" w:cs="宋体"/>
                <w:color w:val="auto"/>
                <w:szCs w:val="21"/>
              </w:rPr>
              <w:t>投标人自行踏勘现场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Align w:val="center"/>
          </w:tcPr>
          <w:p>
            <w:pPr>
              <w:spacing w:line="480" w:lineRule="exact"/>
              <w:jc w:val="center"/>
              <w:rPr>
                <w:rFonts w:ascii="宋体" w:hAnsi="宋体" w:cs="宋体"/>
                <w:color w:val="auto"/>
                <w:szCs w:val="21"/>
              </w:rPr>
            </w:pPr>
            <w:r>
              <w:rPr>
                <w:rFonts w:hint="eastAsia" w:ascii="宋体" w:hAnsi="宋体" w:cs="宋体"/>
                <w:color w:val="auto"/>
                <w:szCs w:val="21"/>
              </w:rPr>
              <w:t>1.10</w:t>
            </w:r>
          </w:p>
        </w:tc>
        <w:tc>
          <w:tcPr>
            <w:tcW w:w="1263" w:type="pct"/>
            <w:vAlign w:val="center"/>
          </w:tcPr>
          <w:p>
            <w:pPr>
              <w:spacing w:line="480" w:lineRule="exact"/>
              <w:jc w:val="center"/>
              <w:rPr>
                <w:rFonts w:ascii="宋体" w:hAnsi="宋体" w:cs="宋体"/>
                <w:color w:val="auto"/>
                <w:szCs w:val="21"/>
              </w:rPr>
            </w:pPr>
            <w:r>
              <w:rPr>
                <w:rFonts w:hint="eastAsia" w:ascii="宋体" w:hAnsi="宋体" w:cs="宋体"/>
                <w:color w:val="auto"/>
                <w:szCs w:val="21"/>
              </w:rPr>
              <w:t>投标预备会</w:t>
            </w:r>
          </w:p>
        </w:tc>
        <w:tc>
          <w:tcPr>
            <w:tcW w:w="3108" w:type="pct"/>
            <w:vAlign w:val="center"/>
          </w:tcPr>
          <w:p>
            <w:pPr>
              <w:spacing w:line="480" w:lineRule="exact"/>
              <w:rPr>
                <w:rFonts w:ascii="宋体" w:hAnsi="宋体" w:cs="宋体"/>
                <w:color w:val="auto"/>
                <w:szCs w:val="21"/>
              </w:rPr>
            </w:pPr>
            <w:r>
              <w:rPr>
                <w:rFonts w:hint="eastAsia" w:ascii="宋体" w:hAnsi="宋体" w:cs="宋体"/>
                <w:color w:val="auto"/>
                <w:szCs w:val="21"/>
              </w:rPr>
              <w:sym w:font="Wingdings 2" w:char="0052"/>
            </w:r>
            <w:r>
              <w:rPr>
                <w:rFonts w:hint="eastAsia" w:ascii="宋体" w:hAnsi="宋体" w:cs="宋体"/>
                <w:color w:val="auto"/>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629" w:type="pct"/>
            <w:vAlign w:val="center"/>
          </w:tcPr>
          <w:p>
            <w:pPr>
              <w:spacing w:line="480" w:lineRule="exact"/>
              <w:jc w:val="center"/>
              <w:rPr>
                <w:rFonts w:ascii="宋体" w:hAnsi="宋体" w:cs="宋体"/>
                <w:color w:val="auto"/>
                <w:szCs w:val="21"/>
              </w:rPr>
            </w:pPr>
            <w:r>
              <w:rPr>
                <w:rFonts w:hint="eastAsia" w:ascii="宋体" w:hAnsi="宋体" w:cs="宋体"/>
                <w:color w:val="auto"/>
                <w:szCs w:val="21"/>
              </w:rPr>
              <w:t>2.1.1</w:t>
            </w:r>
          </w:p>
        </w:tc>
        <w:tc>
          <w:tcPr>
            <w:tcW w:w="1263" w:type="pct"/>
            <w:vAlign w:val="center"/>
          </w:tcPr>
          <w:p>
            <w:pPr>
              <w:spacing w:line="480" w:lineRule="exact"/>
              <w:jc w:val="center"/>
              <w:rPr>
                <w:rFonts w:ascii="宋体" w:hAnsi="宋体" w:cs="宋体"/>
                <w:color w:val="auto"/>
                <w:kern w:val="0"/>
                <w:szCs w:val="21"/>
              </w:rPr>
            </w:pPr>
            <w:r>
              <w:rPr>
                <w:rFonts w:hint="eastAsia" w:ascii="宋体" w:hAnsi="宋体" w:cs="宋体"/>
                <w:color w:val="auto"/>
                <w:kern w:val="0"/>
                <w:szCs w:val="21"/>
              </w:rPr>
              <w:t>构成招标文件的</w:t>
            </w:r>
          </w:p>
          <w:p>
            <w:pPr>
              <w:spacing w:line="480" w:lineRule="exact"/>
              <w:jc w:val="center"/>
              <w:rPr>
                <w:rFonts w:ascii="宋体" w:hAnsi="宋体" w:cs="宋体"/>
                <w:color w:val="auto"/>
                <w:kern w:val="0"/>
                <w:szCs w:val="21"/>
              </w:rPr>
            </w:pPr>
            <w:r>
              <w:rPr>
                <w:rFonts w:hint="eastAsia" w:ascii="宋体" w:hAnsi="宋体" w:cs="宋体"/>
                <w:color w:val="auto"/>
                <w:kern w:val="0"/>
                <w:szCs w:val="21"/>
              </w:rPr>
              <w:t>其它材料</w:t>
            </w:r>
          </w:p>
        </w:tc>
        <w:tc>
          <w:tcPr>
            <w:tcW w:w="3108" w:type="pct"/>
            <w:vAlign w:val="center"/>
          </w:tcPr>
          <w:p>
            <w:pPr>
              <w:spacing w:line="480" w:lineRule="exact"/>
              <w:rPr>
                <w:rFonts w:ascii="宋体" w:hAnsi="宋体" w:cs="宋体"/>
                <w:color w:val="auto"/>
                <w:kern w:val="0"/>
                <w:szCs w:val="21"/>
              </w:rPr>
            </w:pPr>
            <w:r>
              <w:rPr>
                <w:rFonts w:hint="eastAsia" w:ascii="宋体" w:hAnsi="宋体" w:cs="宋体"/>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Align w:val="center"/>
          </w:tcPr>
          <w:p>
            <w:pPr>
              <w:spacing w:line="480" w:lineRule="exact"/>
              <w:jc w:val="center"/>
              <w:rPr>
                <w:rFonts w:ascii="宋体" w:hAnsi="宋体" w:cs="宋体"/>
                <w:color w:val="auto"/>
                <w:szCs w:val="21"/>
              </w:rPr>
            </w:pPr>
            <w:r>
              <w:rPr>
                <w:rFonts w:hint="eastAsia" w:ascii="宋体" w:hAnsi="宋体" w:cs="宋体"/>
                <w:color w:val="auto"/>
                <w:szCs w:val="21"/>
              </w:rPr>
              <w:t>2.2.1</w:t>
            </w:r>
          </w:p>
        </w:tc>
        <w:tc>
          <w:tcPr>
            <w:tcW w:w="1263" w:type="pct"/>
            <w:vAlign w:val="center"/>
          </w:tcPr>
          <w:p>
            <w:pPr>
              <w:spacing w:line="480" w:lineRule="exact"/>
              <w:jc w:val="center"/>
              <w:rPr>
                <w:rFonts w:ascii="宋体" w:hAnsi="宋体" w:cs="宋体"/>
                <w:color w:val="auto"/>
                <w:szCs w:val="21"/>
              </w:rPr>
            </w:pPr>
            <w:r>
              <w:rPr>
                <w:rFonts w:hint="eastAsia" w:ascii="宋体" w:hAnsi="宋体" w:cs="宋体"/>
                <w:color w:val="auto"/>
                <w:szCs w:val="21"/>
              </w:rPr>
              <w:t>要求招标人澄清招标文件截止时间</w:t>
            </w:r>
          </w:p>
        </w:tc>
        <w:tc>
          <w:tcPr>
            <w:tcW w:w="3108" w:type="pct"/>
            <w:vAlign w:val="center"/>
          </w:tcPr>
          <w:p>
            <w:pPr>
              <w:spacing w:line="480" w:lineRule="exact"/>
              <w:rPr>
                <w:rFonts w:ascii="宋体" w:hAnsi="宋体" w:cs="宋体"/>
                <w:color w:val="auto"/>
                <w:szCs w:val="21"/>
              </w:rPr>
            </w:pPr>
            <w:r>
              <w:rPr>
                <w:rFonts w:hint="eastAsia" w:ascii="宋体" w:hAnsi="宋体" w:cs="宋体"/>
                <w:color w:val="auto"/>
                <w:szCs w:val="21"/>
                <w:u w:val="single"/>
              </w:rPr>
              <w:t>2023</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5</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8</w:t>
            </w:r>
            <w:r>
              <w:rPr>
                <w:rFonts w:hint="eastAsia" w:ascii="宋体" w:hAnsi="宋体" w:cs="宋体"/>
                <w:color w:val="auto"/>
                <w:szCs w:val="21"/>
                <w:u w:val="single"/>
              </w:rPr>
              <w:t xml:space="preserve"> </w:t>
            </w:r>
            <w:r>
              <w:rPr>
                <w:rFonts w:hint="eastAsia" w:ascii="宋体" w:hAnsi="宋体" w:cs="宋体"/>
                <w:color w:val="auto"/>
                <w:szCs w:val="21"/>
              </w:rPr>
              <w:t>日</w:t>
            </w:r>
            <w:r>
              <w:rPr>
                <w:rFonts w:hint="eastAsia" w:ascii="宋体" w:hAnsi="宋体" w:cs="宋体"/>
                <w:color w:val="auto"/>
                <w:szCs w:val="21"/>
                <w:u w:val="single"/>
              </w:rPr>
              <w:t>18：00</w:t>
            </w:r>
            <w:r>
              <w:rPr>
                <w:rFonts w:hint="eastAsia" w:ascii="宋体" w:hAnsi="宋体" w:cs="宋体"/>
                <w:color w:val="auto"/>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Align w:val="center"/>
          </w:tcPr>
          <w:p>
            <w:pPr>
              <w:spacing w:line="480" w:lineRule="exact"/>
              <w:jc w:val="center"/>
              <w:rPr>
                <w:rFonts w:ascii="宋体" w:hAnsi="宋体" w:cs="宋体"/>
                <w:color w:val="auto"/>
                <w:szCs w:val="21"/>
              </w:rPr>
            </w:pPr>
            <w:r>
              <w:rPr>
                <w:rFonts w:hint="eastAsia" w:ascii="宋体" w:hAnsi="宋体" w:cs="宋体"/>
                <w:color w:val="auto"/>
                <w:szCs w:val="21"/>
              </w:rPr>
              <w:t>2.2.3</w:t>
            </w:r>
          </w:p>
        </w:tc>
        <w:tc>
          <w:tcPr>
            <w:tcW w:w="1263" w:type="pct"/>
            <w:vAlign w:val="center"/>
          </w:tcPr>
          <w:p>
            <w:pPr>
              <w:spacing w:line="480" w:lineRule="exact"/>
              <w:jc w:val="center"/>
              <w:rPr>
                <w:rFonts w:ascii="宋体" w:hAnsi="宋体" w:cs="宋体"/>
                <w:color w:val="auto"/>
                <w:szCs w:val="21"/>
              </w:rPr>
            </w:pPr>
            <w:r>
              <w:rPr>
                <w:rFonts w:hint="eastAsia" w:ascii="宋体" w:hAnsi="宋体" w:cs="宋体"/>
                <w:color w:val="auto"/>
                <w:szCs w:val="21"/>
              </w:rPr>
              <w:t>投标人确认收到招标</w:t>
            </w:r>
          </w:p>
          <w:p>
            <w:pPr>
              <w:spacing w:line="480" w:lineRule="exact"/>
              <w:jc w:val="center"/>
              <w:rPr>
                <w:rFonts w:ascii="宋体" w:hAnsi="宋体" w:cs="宋体"/>
                <w:color w:val="auto"/>
                <w:szCs w:val="21"/>
              </w:rPr>
            </w:pPr>
            <w:r>
              <w:rPr>
                <w:rFonts w:hint="eastAsia" w:ascii="宋体" w:hAnsi="宋体" w:cs="宋体"/>
                <w:color w:val="auto"/>
                <w:szCs w:val="21"/>
              </w:rPr>
              <w:t>文件澄清时间</w:t>
            </w:r>
          </w:p>
        </w:tc>
        <w:tc>
          <w:tcPr>
            <w:tcW w:w="3108" w:type="pct"/>
            <w:vAlign w:val="center"/>
          </w:tcPr>
          <w:p>
            <w:pPr>
              <w:spacing w:line="480" w:lineRule="exact"/>
              <w:rPr>
                <w:rFonts w:ascii="宋体" w:hAnsi="宋体" w:cs="宋体"/>
                <w:color w:val="auto"/>
                <w:szCs w:val="21"/>
                <w:u w:val="single"/>
              </w:rPr>
            </w:pPr>
            <w:r>
              <w:rPr>
                <w:rFonts w:hint="eastAsia" w:ascii="宋体" w:hAnsi="宋体" w:cs="宋体"/>
                <w:color w:val="auto"/>
                <w:szCs w:val="21"/>
              </w:rPr>
              <w:t>投标人自行网上查寻</w:t>
            </w:r>
          </w:p>
        </w:tc>
      </w:tr>
    </w:tbl>
    <w:p>
      <w:pPr>
        <w:rPr>
          <w:color w:val="auto"/>
        </w:rPr>
      </w:pPr>
    </w:p>
    <w:tbl>
      <w:tblPr>
        <w:tblStyle w:val="48"/>
        <w:tblW w:w="49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2223"/>
        <w:gridCol w:w="5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Align w:val="center"/>
          </w:tcPr>
          <w:p>
            <w:pPr>
              <w:spacing w:line="480" w:lineRule="exact"/>
              <w:jc w:val="center"/>
              <w:rPr>
                <w:rFonts w:ascii="宋体" w:hAnsi="宋体" w:cs="宋体"/>
                <w:color w:val="auto"/>
                <w:szCs w:val="21"/>
              </w:rPr>
            </w:pPr>
            <w:r>
              <w:rPr>
                <w:rFonts w:hint="eastAsia" w:ascii="宋体" w:hAnsi="宋体" w:cs="宋体"/>
                <w:color w:val="auto"/>
                <w:szCs w:val="21"/>
              </w:rPr>
              <w:t>2.3.1</w:t>
            </w:r>
          </w:p>
        </w:tc>
        <w:tc>
          <w:tcPr>
            <w:tcW w:w="1263" w:type="pct"/>
            <w:vAlign w:val="center"/>
          </w:tcPr>
          <w:p>
            <w:pPr>
              <w:spacing w:line="480" w:lineRule="exact"/>
              <w:jc w:val="center"/>
              <w:rPr>
                <w:rFonts w:ascii="宋体" w:hAnsi="宋体" w:cs="宋体"/>
                <w:color w:val="auto"/>
                <w:szCs w:val="21"/>
              </w:rPr>
            </w:pPr>
            <w:r>
              <w:rPr>
                <w:rFonts w:hint="eastAsia" w:ascii="宋体" w:hAnsi="宋体" w:cs="宋体"/>
                <w:color w:val="auto"/>
                <w:szCs w:val="21"/>
              </w:rPr>
              <w:t>投标人确认收到招标</w:t>
            </w:r>
          </w:p>
          <w:p>
            <w:pPr>
              <w:spacing w:line="480" w:lineRule="exact"/>
              <w:jc w:val="center"/>
              <w:rPr>
                <w:rFonts w:ascii="宋体" w:hAnsi="宋体" w:cs="宋体"/>
                <w:color w:val="auto"/>
                <w:szCs w:val="21"/>
              </w:rPr>
            </w:pPr>
            <w:r>
              <w:rPr>
                <w:rFonts w:hint="eastAsia" w:ascii="宋体" w:hAnsi="宋体" w:cs="宋体"/>
                <w:color w:val="auto"/>
                <w:szCs w:val="21"/>
              </w:rPr>
              <w:t>文件修改时间</w:t>
            </w:r>
          </w:p>
        </w:tc>
        <w:tc>
          <w:tcPr>
            <w:tcW w:w="3108" w:type="pct"/>
            <w:vAlign w:val="center"/>
          </w:tcPr>
          <w:p>
            <w:pPr>
              <w:spacing w:line="480" w:lineRule="exact"/>
              <w:rPr>
                <w:rFonts w:ascii="宋体" w:hAnsi="宋体" w:cs="宋体"/>
                <w:color w:val="auto"/>
                <w:szCs w:val="21"/>
              </w:rPr>
            </w:pPr>
            <w:r>
              <w:rPr>
                <w:rFonts w:hint="eastAsia" w:ascii="宋体" w:hAnsi="宋体" w:cs="宋体"/>
                <w:color w:val="auto"/>
                <w:szCs w:val="21"/>
              </w:rPr>
              <w:t>投标人自行网上查寻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5" w:hRule="atLeast"/>
          <w:jc w:val="center"/>
        </w:trPr>
        <w:tc>
          <w:tcPr>
            <w:tcW w:w="629" w:type="pct"/>
            <w:vAlign w:val="center"/>
          </w:tcPr>
          <w:p>
            <w:pPr>
              <w:spacing w:line="480" w:lineRule="exact"/>
              <w:jc w:val="center"/>
              <w:rPr>
                <w:rFonts w:ascii="宋体" w:hAnsi="宋体" w:cs="宋体"/>
                <w:color w:val="auto"/>
                <w:szCs w:val="21"/>
              </w:rPr>
            </w:pPr>
            <w:r>
              <w:rPr>
                <w:rFonts w:hint="eastAsia" w:ascii="宋体" w:hAnsi="宋体" w:cs="宋体"/>
                <w:color w:val="auto"/>
                <w:szCs w:val="21"/>
              </w:rPr>
              <w:t>3.1.1</w:t>
            </w:r>
          </w:p>
        </w:tc>
        <w:tc>
          <w:tcPr>
            <w:tcW w:w="1263" w:type="pct"/>
            <w:vAlign w:val="center"/>
          </w:tcPr>
          <w:p>
            <w:pPr>
              <w:spacing w:line="480" w:lineRule="exact"/>
              <w:jc w:val="center"/>
              <w:rPr>
                <w:rFonts w:ascii="宋体" w:hAnsi="宋体" w:cs="宋体"/>
                <w:color w:val="auto"/>
                <w:szCs w:val="21"/>
              </w:rPr>
            </w:pPr>
            <w:r>
              <w:rPr>
                <w:rFonts w:hint="eastAsia" w:ascii="宋体" w:hAnsi="宋体" w:cs="宋体"/>
                <w:color w:val="auto"/>
                <w:szCs w:val="21"/>
              </w:rPr>
              <w:t>投标文件的组成</w:t>
            </w:r>
          </w:p>
        </w:tc>
        <w:tc>
          <w:tcPr>
            <w:tcW w:w="3108" w:type="pct"/>
            <w:vAlign w:val="center"/>
          </w:tcPr>
          <w:p>
            <w:pPr>
              <w:spacing w:line="480" w:lineRule="exact"/>
              <w:rPr>
                <w:color w:val="auto"/>
              </w:rPr>
            </w:pPr>
            <w:r>
              <w:rPr>
                <w:rFonts w:hint="eastAsia"/>
                <w:color w:val="auto"/>
              </w:rPr>
              <w:t>1、本项目投标文件包括资信文件、商务文件、技术文件、开标一览表。</w:t>
            </w:r>
          </w:p>
          <w:p>
            <w:pPr>
              <w:spacing w:line="480" w:lineRule="exact"/>
              <w:rPr>
                <w:color w:val="auto"/>
              </w:rPr>
            </w:pPr>
            <w:r>
              <w:rPr>
                <w:rFonts w:hint="eastAsia"/>
                <w:color w:val="auto"/>
              </w:rPr>
              <w:t>⑴资信文件应包括如下内容：</w:t>
            </w:r>
          </w:p>
          <w:p>
            <w:pPr>
              <w:spacing w:line="480" w:lineRule="exact"/>
              <w:rPr>
                <w:color w:val="auto"/>
              </w:rPr>
            </w:pPr>
            <w:r>
              <w:rPr>
                <w:rFonts w:hint="eastAsia"/>
                <w:color w:val="auto"/>
              </w:rPr>
              <w:sym w:font="Wingdings 2" w:char="0052"/>
            </w:r>
            <w:r>
              <w:rPr>
                <w:rFonts w:hint="eastAsia"/>
                <w:color w:val="auto"/>
              </w:rPr>
              <w:t>投标企业营业执照。</w:t>
            </w:r>
          </w:p>
          <w:p>
            <w:pPr>
              <w:spacing w:line="480" w:lineRule="exact"/>
              <w:rPr>
                <w:color w:val="auto"/>
              </w:rPr>
            </w:pPr>
            <w:r>
              <w:rPr>
                <w:rFonts w:hint="eastAsia"/>
                <w:color w:val="auto"/>
              </w:rPr>
              <w:sym w:font="Wingdings 2" w:char="0052"/>
            </w:r>
            <w:r>
              <w:rPr>
                <w:rFonts w:hint="eastAsia"/>
                <w:color w:val="auto"/>
              </w:rPr>
              <w:t>符合招标公告要求的项目负责人注册造价工程师证书、职称证书；项目组成人员的注册证书、专业证明等。（旧版注册造价工程师未体现专业的，还需提供造价师合格证书原件彩色扫描件，无法认定专业的不予认可）。</w:t>
            </w:r>
          </w:p>
          <w:p>
            <w:pPr>
              <w:pStyle w:val="2"/>
              <w:spacing w:line="480" w:lineRule="exact"/>
              <w:rPr>
                <w:color w:val="auto"/>
              </w:rPr>
            </w:pPr>
            <w:r>
              <w:rPr>
                <w:rFonts w:hint="eastAsia"/>
                <w:color w:val="auto"/>
              </w:rPr>
              <w:t>⑵商务文件应包括如下内容：</w:t>
            </w:r>
          </w:p>
          <w:p>
            <w:pPr>
              <w:spacing w:line="480" w:lineRule="exact"/>
              <w:rPr>
                <w:color w:val="auto"/>
              </w:rPr>
            </w:pPr>
            <w:r>
              <w:rPr>
                <w:rFonts w:hint="eastAsia"/>
                <w:color w:val="auto"/>
              </w:rPr>
              <w:sym w:font="Wingdings 2" w:char="0052"/>
            </w:r>
            <w:r>
              <w:rPr>
                <w:rFonts w:hint="eastAsia"/>
                <w:color w:val="auto"/>
              </w:rPr>
              <w:t>投标函；</w:t>
            </w:r>
          </w:p>
          <w:p>
            <w:pPr>
              <w:spacing w:line="480" w:lineRule="exact"/>
              <w:rPr>
                <w:color w:val="auto"/>
              </w:rPr>
            </w:pPr>
            <w:r>
              <w:rPr>
                <w:rFonts w:hint="eastAsia"/>
                <w:color w:val="auto"/>
              </w:rPr>
              <w:sym w:font="Wingdings 2" w:char="0052"/>
            </w:r>
            <w:r>
              <w:rPr>
                <w:rFonts w:hint="eastAsia"/>
                <w:color w:val="auto"/>
              </w:rPr>
              <w:t>法定代表人身份证明书；</w:t>
            </w:r>
          </w:p>
          <w:p>
            <w:pPr>
              <w:spacing w:line="480" w:lineRule="exact"/>
              <w:rPr>
                <w:color w:val="auto"/>
              </w:rPr>
            </w:pPr>
            <w:r>
              <w:rPr>
                <w:rFonts w:hint="eastAsia"/>
                <w:color w:val="auto"/>
              </w:rPr>
              <w:sym w:font="Wingdings 2" w:char="0052"/>
            </w:r>
            <w:r>
              <w:rPr>
                <w:rFonts w:hint="eastAsia"/>
                <w:color w:val="auto"/>
              </w:rPr>
              <w:t>法定代表人授权委托书及授权委托人身份证复印件（如有）；</w:t>
            </w:r>
          </w:p>
          <w:p>
            <w:pPr>
              <w:spacing w:line="480" w:lineRule="exact"/>
              <w:rPr>
                <w:color w:val="auto"/>
              </w:rPr>
            </w:pPr>
            <w:r>
              <w:rPr>
                <w:rFonts w:hint="eastAsia"/>
                <w:color w:val="auto"/>
              </w:rPr>
              <w:sym w:font="Wingdings 2" w:char="0052"/>
            </w:r>
            <w:r>
              <w:rPr>
                <w:rFonts w:hint="eastAsia"/>
                <w:color w:val="auto"/>
              </w:rPr>
              <w:t>评标办法评分需要提供的其他材料。</w:t>
            </w:r>
          </w:p>
          <w:p>
            <w:pPr>
              <w:spacing w:line="480" w:lineRule="exact"/>
              <w:rPr>
                <w:color w:val="auto"/>
              </w:rPr>
            </w:pPr>
            <w:r>
              <w:rPr>
                <w:rFonts w:hint="eastAsia"/>
                <w:color w:val="auto"/>
              </w:rPr>
              <w:t>⑶技术文件应包括如下内容：</w:t>
            </w:r>
          </w:p>
          <w:p>
            <w:pPr>
              <w:spacing w:line="480" w:lineRule="exact"/>
              <w:rPr>
                <w:color w:val="auto"/>
              </w:rPr>
            </w:pPr>
            <w:r>
              <w:rPr>
                <w:rFonts w:hint="eastAsia"/>
                <w:color w:val="auto"/>
              </w:rPr>
              <w:sym w:font="Wingdings 2" w:char="0052"/>
            </w:r>
            <w:r>
              <w:rPr>
                <w:rFonts w:hint="eastAsia"/>
                <w:color w:val="auto"/>
              </w:rPr>
              <w:t>按招标文件要求以及评标办法评分需要提供。</w:t>
            </w:r>
          </w:p>
          <w:p>
            <w:pPr>
              <w:spacing w:line="480" w:lineRule="exact"/>
              <w:rPr>
                <w:color w:val="auto"/>
              </w:rPr>
            </w:pPr>
            <w:r>
              <w:rPr>
                <w:rFonts w:hint="eastAsia"/>
                <w:color w:val="auto"/>
              </w:rPr>
              <w:t>⑷开标一览表</w:t>
            </w:r>
          </w:p>
          <w:p>
            <w:pPr>
              <w:spacing w:line="480" w:lineRule="exact"/>
              <w:rPr>
                <w:rFonts w:ascii="宋体" w:hAnsi="宋体" w:cs="宋体"/>
                <w:b/>
                <w:bCs/>
                <w:color w:val="auto"/>
                <w:szCs w:val="21"/>
              </w:rPr>
            </w:pPr>
            <w:r>
              <w:rPr>
                <w:rFonts w:hint="eastAsia" w:ascii="宋体" w:hAnsi="宋体" w:cs="宋体"/>
                <w:b/>
                <w:bCs/>
                <w:color w:val="auto"/>
                <w:szCs w:val="21"/>
              </w:rPr>
              <w:t>2、必须从诚信库中获取的材料：</w:t>
            </w:r>
          </w:p>
          <w:p>
            <w:pPr>
              <w:pStyle w:val="2"/>
              <w:spacing w:after="0" w:line="480" w:lineRule="exact"/>
              <w:rPr>
                <w:rFonts w:ascii="宋体" w:hAnsi="宋体" w:cs="宋体"/>
                <w:color w:val="auto"/>
                <w:szCs w:val="21"/>
              </w:rPr>
            </w:pPr>
            <w:r>
              <w:rPr>
                <w:rFonts w:hint="eastAsia" w:ascii="宋体" w:hAnsi="宋体" w:cs="宋体"/>
                <w:color w:val="auto"/>
                <w:szCs w:val="21"/>
              </w:rPr>
              <w:sym w:font="Wingdings 2" w:char="0052"/>
            </w:r>
            <w:r>
              <w:rPr>
                <w:rFonts w:hint="eastAsia" w:ascii="宋体" w:hAnsi="宋体" w:cs="宋体"/>
                <w:color w:val="auto"/>
                <w:szCs w:val="21"/>
              </w:rPr>
              <w:t>企业营业执照。</w:t>
            </w:r>
          </w:p>
          <w:p>
            <w:pPr>
              <w:spacing w:line="480" w:lineRule="exact"/>
              <w:rPr>
                <w:rFonts w:ascii="宋体" w:hAnsi="宋体" w:cs="宋体"/>
                <w:color w:val="auto"/>
                <w:szCs w:val="21"/>
              </w:rPr>
            </w:pPr>
            <w:r>
              <w:rPr>
                <w:rFonts w:hint="eastAsia" w:ascii="宋体" w:hAnsi="宋体" w:cs="宋体"/>
                <w:b/>
                <w:bCs/>
                <w:color w:val="auto"/>
                <w:szCs w:val="21"/>
              </w:rPr>
              <w:t>3、无需从诚信库勾选，可直接提供扫描件的材料：</w:t>
            </w:r>
          </w:p>
          <w:p>
            <w:pPr>
              <w:pStyle w:val="22"/>
              <w:spacing w:line="480" w:lineRule="exact"/>
              <w:ind w:left="0" w:leftChars="0" w:right="-25" w:firstLine="0" w:firstLineChars="0"/>
              <w:rPr>
                <w:color w:val="auto"/>
              </w:rPr>
            </w:pPr>
            <w:r>
              <w:rPr>
                <w:rFonts w:hint="eastAsia"/>
                <w:color w:val="auto"/>
                <w:szCs w:val="21"/>
              </w:rPr>
              <w:sym w:font="Wingdings 2" w:char="0052"/>
            </w:r>
            <w:r>
              <w:rPr>
                <w:rFonts w:hint="eastAsia"/>
                <w:color w:val="auto"/>
                <w:szCs w:val="21"/>
              </w:rPr>
              <w:t>除企业营业执照之外所有材料。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Align w:val="center"/>
          </w:tcPr>
          <w:p>
            <w:pPr>
              <w:spacing w:line="480" w:lineRule="exact"/>
              <w:jc w:val="center"/>
              <w:rPr>
                <w:rFonts w:ascii="宋体" w:hAnsi="宋体" w:cs="宋体"/>
                <w:color w:val="auto"/>
                <w:szCs w:val="21"/>
              </w:rPr>
            </w:pPr>
            <w:r>
              <w:rPr>
                <w:rFonts w:hint="eastAsia" w:ascii="宋体" w:hAnsi="宋体" w:cs="宋体"/>
                <w:color w:val="auto"/>
                <w:szCs w:val="21"/>
              </w:rPr>
              <w:t>3.2.2</w:t>
            </w:r>
          </w:p>
        </w:tc>
        <w:tc>
          <w:tcPr>
            <w:tcW w:w="1263" w:type="pct"/>
            <w:vAlign w:val="center"/>
          </w:tcPr>
          <w:p>
            <w:pPr>
              <w:spacing w:line="480" w:lineRule="exact"/>
              <w:jc w:val="center"/>
              <w:rPr>
                <w:rFonts w:ascii="宋体" w:hAnsi="宋体" w:cs="宋体"/>
                <w:color w:val="auto"/>
                <w:szCs w:val="21"/>
              </w:rPr>
            </w:pPr>
            <w:r>
              <w:rPr>
                <w:rFonts w:hint="eastAsia" w:ascii="宋体" w:hAnsi="宋体" w:cs="宋体"/>
                <w:color w:val="auto"/>
                <w:szCs w:val="21"/>
              </w:rPr>
              <w:t>投标报价要求</w:t>
            </w:r>
          </w:p>
        </w:tc>
        <w:tc>
          <w:tcPr>
            <w:tcW w:w="3108" w:type="pct"/>
            <w:vAlign w:val="center"/>
          </w:tcPr>
          <w:p>
            <w:pPr>
              <w:spacing w:line="360" w:lineRule="exact"/>
              <w:rPr>
                <w:rFonts w:ascii="宋体" w:hAnsi="宋体" w:cs="宋体"/>
                <w:color w:val="auto"/>
                <w:szCs w:val="21"/>
              </w:rPr>
            </w:pPr>
            <w:r>
              <w:rPr>
                <w:rFonts w:hint="eastAsia" w:ascii="宋体" w:hAnsi="宋体" w:cs="宋体"/>
                <w:color w:val="auto"/>
                <w:szCs w:val="21"/>
              </w:rPr>
              <w:t>详见投标须知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29" w:type="pct"/>
            <w:vAlign w:val="center"/>
          </w:tcPr>
          <w:p>
            <w:pPr>
              <w:spacing w:line="480" w:lineRule="exact"/>
              <w:jc w:val="center"/>
              <w:rPr>
                <w:rFonts w:ascii="宋体" w:hAnsi="宋体" w:cs="宋体"/>
                <w:color w:val="auto"/>
                <w:szCs w:val="21"/>
              </w:rPr>
            </w:pPr>
            <w:r>
              <w:rPr>
                <w:rFonts w:hint="eastAsia" w:ascii="宋体" w:hAnsi="宋体" w:cs="宋体"/>
                <w:color w:val="auto"/>
                <w:szCs w:val="21"/>
              </w:rPr>
              <w:t>3.2.3</w:t>
            </w:r>
          </w:p>
        </w:tc>
        <w:tc>
          <w:tcPr>
            <w:tcW w:w="1263" w:type="pct"/>
            <w:vAlign w:val="center"/>
          </w:tcPr>
          <w:p>
            <w:pPr>
              <w:spacing w:line="480" w:lineRule="exact"/>
              <w:jc w:val="center"/>
              <w:rPr>
                <w:rFonts w:ascii="宋体" w:hAnsi="宋体" w:cs="宋体"/>
                <w:color w:val="auto"/>
                <w:szCs w:val="21"/>
              </w:rPr>
            </w:pPr>
            <w:r>
              <w:rPr>
                <w:rFonts w:hint="eastAsia" w:ascii="宋体" w:hAnsi="宋体" w:cs="宋体"/>
                <w:color w:val="auto"/>
                <w:szCs w:val="21"/>
              </w:rPr>
              <w:t>最高投标限价</w:t>
            </w:r>
          </w:p>
        </w:tc>
        <w:tc>
          <w:tcPr>
            <w:tcW w:w="3108" w:type="pct"/>
            <w:vAlign w:val="center"/>
          </w:tcPr>
          <w:p>
            <w:pPr>
              <w:spacing w:line="480" w:lineRule="exact"/>
              <w:rPr>
                <w:rFonts w:ascii="宋体" w:hAnsi="宋体" w:cs="宋体"/>
                <w:color w:val="auto"/>
                <w:szCs w:val="21"/>
              </w:rPr>
            </w:pPr>
            <w:r>
              <w:rPr>
                <w:rFonts w:hint="eastAsia" w:ascii="宋体" w:hAnsi="宋体" w:eastAsia="宋体" w:cs="宋体"/>
                <w:color w:val="auto"/>
                <w:spacing w:val="2"/>
                <w:sz w:val="21"/>
                <w:szCs w:val="21"/>
                <w:highlight w:val="none"/>
              </w:rPr>
              <w:t>本项目</w:t>
            </w:r>
            <w:r>
              <w:rPr>
                <w:rFonts w:hint="eastAsia" w:ascii="宋体" w:hAnsi="宋体" w:cs="宋体"/>
                <w:color w:val="auto"/>
                <w:szCs w:val="21"/>
              </w:rPr>
              <w:t>施工全过程造价控制</w:t>
            </w:r>
            <w:r>
              <w:rPr>
                <w:rFonts w:hint="eastAsia" w:ascii="宋体" w:hAnsi="宋体" w:eastAsia="宋体" w:cs="宋体"/>
                <w:color w:val="auto"/>
                <w:sz w:val="21"/>
                <w:szCs w:val="21"/>
              </w:rPr>
              <w:t>服务收费基价为</w:t>
            </w:r>
            <w:r>
              <w:rPr>
                <w:rFonts w:hint="eastAsia" w:ascii="宋体" w:hAnsi="宋体" w:eastAsia="宋体" w:cs="宋体"/>
                <w:b w:val="0"/>
                <w:bCs w:val="0"/>
                <w:color w:val="auto"/>
                <w:spacing w:val="2"/>
                <w:sz w:val="21"/>
                <w:szCs w:val="21"/>
                <w:highlight w:val="none"/>
                <w:u w:val="single"/>
                <w:lang w:val="en-US" w:eastAsia="zh-CN"/>
              </w:rPr>
              <w:t>170.45</w:t>
            </w:r>
            <w:r>
              <w:rPr>
                <w:rFonts w:hint="eastAsia" w:ascii="宋体" w:hAnsi="宋体" w:eastAsia="宋体" w:cs="宋体"/>
                <w:color w:val="auto"/>
                <w:sz w:val="21"/>
                <w:szCs w:val="21"/>
              </w:rPr>
              <w:t>万元（</w:t>
            </w:r>
            <w:r>
              <w:rPr>
                <w:rFonts w:hint="eastAsia" w:ascii="宋体" w:hAnsi="宋体" w:eastAsia="宋体" w:cs="宋体"/>
                <w:color w:val="auto"/>
                <w:sz w:val="21"/>
                <w:szCs w:val="21"/>
                <w:lang w:val="en-US" w:eastAsia="zh-CN"/>
              </w:rPr>
              <w:t>按</w:t>
            </w:r>
            <w:r>
              <w:rPr>
                <w:rFonts w:hint="eastAsia" w:ascii="宋体" w:hAnsi="宋体" w:eastAsia="宋体" w:cs="宋体"/>
                <w:color w:val="auto"/>
                <w:szCs w:val="21"/>
                <w:lang w:val="en-US" w:eastAsia="zh-CN"/>
              </w:rPr>
              <w:t>苏建价协（2022）7号</w:t>
            </w:r>
            <w:r>
              <w:rPr>
                <w:rFonts w:hint="eastAsia" w:ascii="宋体" w:hAnsi="宋体" w:eastAsia="宋体" w:cs="宋体"/>
                <w:color w:val="auto"/>
                <w:sz w:val="21"/>
                <w:szCs w:val="21"/>
              </w:rPr>
              <w:t>计取）</w:t>
            </w:r>
            <w:r>
              <w:rPr>
                <w:rFonts w:hint="eastAsia" w:ascii="宋体" w:hAnsi="宋体" w:eastAsia="宋体" w:cs="宋体"/>
                <w:color w:val="auto"/>
                <w:sz w:val="21"/>
                <w:szCs w:val="21"/>
                <w:lang w:eastAsia="zh-CN"/>
              </w:rPr>
              <w:t>，</w:t>
            </w:r>
            <w:r>
              <w:rPr>
                <w:rFonts w:hint="eastAsia" w:ascii="宋体" w:hAnsi="宋体" w:eastAsia="宋体" w:cs="宋体"/>
                <w:b/>
                <w:bCs/>
                <w:color w:val="auto"/>
                <w:spacing w:val="2"/>
                <w:sz w:val="21"/>
                <w:szCs w:val="21"/>
                <w:highlight w:val="none"/>
              </w:rPr>
              <w:t>招标人设定的最高投标限价为</w:t>
            </w:r>
            <w:r>
              <w:rPr>
                <w:rFonts w:hint="eastAsia" w:ascii="宋体" w:hAnsi="宋体" w:eastAsia="宋体" w:cs="宋体"/>
                <w:b/>
                <w:bCs/>
                <w:color w:val="auto"/>
                <w:spacing w:val="2"/>
                <w:sz w:val="21"/>
                <w:szCs w:val="21"/>
                <w:highlight w:val="none"/>
                <w:u w:val="single"/>
                <w:lang w:eastAsia="zh-CN"/>
              </w:rPr>
              <w:t>67.406</w:t>
            </w:r>
            <w:r>
              <w:rPr>
                <w:rFonts w:hint="eastAsia" w:ascii="宋体" w:hAnsi="宋体" w:eastAsia="宋体" w:cs="宋体"/>
                <w:b/>
                <w:bCs/>
                <w:color w:val="auto"/>
                <w:spacing w:val="2"/>
                <w:sz w:val="21"/>
                <w:szCs w:val="21"/>
                <w:highlight w:val="none"/>
                <w:u w:val="none"/>
                <w:lang w:eastAsia="zh-CN"/>
              </w:rPr>
              <w:t>万元</w:t>
            </w:r>
            <w:r>
              <w:rPr>
                <w:rFonts w:hint="eastAsia" w:ascii="宋体" w:hAnsi="宋体" w:eastAsia="宋体" w:cs="宋体"/>
                <w:color w:val="auto"/>
                <w:spacing w:val="2"/>
                <w:sz w:val="21"/>
                <w:szCs w:val="21"/>
                <w:highlight w:val="none"/>
                <w:u w:val="none"/>
                <w:lang w:eastAsia="zh-CN"/>
              </w:rPr>
              <w:t>，</w:t>
            </w:r>
            <w:r>
              <w:rPr>
                <w:rFonts w:hint="eastAsia" w:ascii="宋体" w:hAnsi="宋体" w:eastAsia="宋体" w:cs="宋体"/>
                <w:color w:val="auto"/>
                <w:spacing w:val="2"/>
                <w:sz w:val="21"/>
                <w:szCs w:val="21"/>
                <w:highlight w:val="none"/>
                <w:u w:val="none"/>
                <w:lang w:val="en-US" w:eastAsia="zh-CN"/>
              </w:rPr>
              <w:t>其中</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lang w:eastAsia="zh-CN"/>
              </w:rPr>
              <w:t>城市会客厅项目（</w:t>
            </w:r>
            <w:r>
              <w:rPr>
                <w:rFonts w:hint="eastAsia" w:ascii="宋体" w:hAnsi="宋体" w:eastAsia="宋体" w:cs="宋体"/>
                <w:color w:val="auto"/>
                <w:sz w:val="21"/>
                <w:szCs w:val="21"/>
                <w:lang w:val="en-US" w:eastAsia="zh-CN"/>
              </w:rPr>
              <w:t>施工额约3450万元，对应</w:t>
            </w:r>
            <w:r>
              <w:rPr>
                <w:rFonts w:hint="eastAsia" w:ascii="宋体" w:hAnsi="宋体" w:cs="宋体"/>
                <w:color w:val="auto"/>
                <w:sz w:val="21"/>
                <w:szCs w:val="21"/>
                <w:lang w:val="en-US" w:eastAsia="zh-CN"/>
              </w:rPr>
              <w:t>全过程造价控制</w:t>
            </w:r>
            <w:r>
              <w:rPr>
                <w:rFonts w:hint="eastAsia" w:ascii="宋体" w:hAnsi="宋体" w:eastAsia="宋体" w:cs="宋体"/>
                <w:color w:val="auto"/>
                <w:sz w:val="21"/>
                <w:szCs w:val="21"/>
                <w:lang w:val="en-US" w:eastAsia="zh-CN"/>
              </w:rPr>
              <w:t>服务费限价</w:t>
            </w:r>
            <w:r>
              <w:rPr>
                <w:rFonts w:hint="eastAsia" w:ascii="宋体" w:hAnsi="宋体" w:eastAsia="宋体" w:cs="宋体"/>
                <w:b/>
                <w:bCs/>
                <w:color w:val="auto"/>
                <w:sz w:val="21"/>
                <w:szCs w:val="21"/>
                <w:u w:val="single"/>
                <w:lang w:val="en-US" w:eastAsia="zh-CN"/>
              </w:rPr>
              <w:t>29.922</w:t>
            </w:r>
            <w:r>
              <w:rPr>
                <w:rFonts w:hint="eastAsia" w:ascii="宋体" w:hAnsi="宋体" w:eastAsia="宋体" w:cs="宋体"/>
                <w:color w:val="auto"/>
                <w:sz w:val="21"/>
                <w:szCs w:val="21"/>
                <w:lang w:val="en-US" w:eastAsia="zh-CN"/>
              </w:rPr>
              <w:t>万元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商务酒店项目（施工额约4</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00万元，对应</w:t>
            </w:r>
            <w:r>
              <w:rPr>
                <w:rFonts w:hint="eastAsia" w:ascii="宋体" w:hAnsi="宋体" w:cs="宋体"/>
                <w:color w:val="auto"/>
                <w:sz w:val="21"/>
                <w:szCs w:val="21"/>
                <w:lang w:val="en-US" w:eastAsia="zh-CN"/>
              </w:rPr>
              <w:t>全过程造价控制</w:t>
            </w:r>
            <w:r>
              <w:rPr>
                <w:rFonts w:hint="eastAsia" w:ascii="宋体" w:hAnsi="宋体" w:eastAsia="宋体" w:cs="宋体"/>
                <w:color w:val="auto"/>
                <w:sz w:val="21"/>
                <w:szCs w:val="21"/>
                <w:lang w:val="en-US" w:eastAsia="zh-CN"/>
              </w:rPr>
              <w:t>服务费限价</w:t>
            </w:r>
            <w:r>
              <w:rPr>
                <w:rFonts w:hint="eastAsia" w:ascii="宋体" w:hAnsi="宋体" w:eastAsia="宋体" w:cs="宋体"/>
                <w:b/>
                <w:bCs/>
                <w:color w:val="auto"/>
                <w:sz w:val="21"/>
                <w:szCs w:val="21"/>
                <w:u w:val="single"/>
                <w:lang w:val="en-US" w:eastAsia="zh-CN"/>
              </w:rPr>
              <w:t>37.484</w:t>
            </w:r>
            <w:r>
              <w:rPr>
                <w:rFonts w:hint="eastAsia" w:ascii="宋体" w:hAnsi="宋体" w:eastAsia="宋体" w:cs="宋体"/>
                <w:color w:val="auto"/>
                <w:sz w:val="21"/>
                <w:szCs w:val="21"/>
                <w:u w:val="none"/>
                <w:lang w:val="en-US" w:eastAsia="zh-CN"/>
              </w:rPr>
              <w:t>万元</w:t>
            </w:r>
            <w:r>
              <w:rPr>
                <w:rFonts w:hint="eastAsia" w:ascii="宋体" w:hAnsi="宋体" w:eastAsia="宋体" w:cs="宋体"/>
                <w:color w:val="auto"/>
                <w:sz w:val="21"/>
                <w:szCs w:val="21"/>
                <w:lang w:val="en-US" w:eastAsia="zh-CN"/>
              </w:rPr>
              <w:t>）</w:t>
            </w:r>
            <w:r>
              <w:rPr>
                <w:rFonts w:hint="eastAsia" w:ascii="宋体" w:hAnsi="宋体" w:eastAsia="宋体" w:cs="宋体"/>
                <w:color w:val="auto"/>
                <w:spacing w:val="8"/>
                <w:sz w:val="21"/>
                <w:szCs w:val="21"/>
                <w:highlight w:val="none"/>
              </w:rPr>
              <w:t>。</w:t>
            </w:r>
            <w:r>
              <w:rPr>
                <w:rFonts w:hint="eastAsia" w:ascii="宋体" w:hAnsi="宋体" w:eastAsia="宋体" w:cs="宋体"/>
                <w:b/>
                <w:bCs/>
                <w:color w:val="auto"/>
                <w:spacing w:val="8"/>
                <w:sz w:val="21"/>
                <w:szCs w:val="21"/>
                <w:highlight w:val="none"/>
                <w:lang w:val="en-US" w:eastAsia="zh-CN"/>
              </w:rPr>
              <w:t>投标时，请各投标人按照第六章格式，填报各分项报价明细。</w:t>
            </w:r>
            <w:r>
              <w:rPr>
                <w:rFonts w:hint="eastAsia" w:ascii="宋体" w:hAnsi="宋体" w:eastAsia="宋体" w:cs="宋体"/>
                <w:b/>
                <w:bCs/>
                <w:color w:val="auto"/>
                <w:spacing w:val="21"/>
                <w:sz w:val="21"/>
                <w:szCs w:val="21"/>
                <w:highlight w:val="none"/>
              </w:rPr>
              <w:t>各投标人报价不得高于招标人设定的</w:t>
            </w:r>
            <w:r>
              <w:rPr>
                <w:rFonts w:hint="eastAsia" w:ascii="宋体" w:hAnsi="宋体" w:eastAsia="宋体" w:cs="宋体"/>
                <w:b/>
                <w:bCs/>
                <w:color w:val="auto"/>
                <w:spacing w:val="8"/>
                <w:sz w:val="21"/>
                <w:szCs w:val="21"/>
                <w:highlight w:val="none"/>
                <w:lang w:val="en-US" w:eastAsia="zh-CN"/>
              </w:rPr>
              <w:t>各分项限价及总价</w:t>
            </w:r>
            <w:r>
              <w:rPr>
                <w:rFonts w:hint="eastAsia" w:ascii="宋体" w:hAnsi="宋体" w:eastAsia="宋体" w:cs="宋体"/>
                <w:b/>
                <w:bCs/>
                <w:color w:val="auto"/>
                <w:spacing w:val="21"/>
                <w:sz w:val="21"/>
                <w:szCs w:val="21"/>
                <w:highlight w:val="none"/>
              </w:rPr>
              <w:t>最高投标</w:t>
            </w:r>
            <w:r>
              <w:rPr>
                <w:rFonts w:hint="eastAsia" w:ascii="宋体" w:hAnsi="宋体" w:eastAsia="宋体" w:cs="宋体"/>
                <w:b/>
                <w:bCs/>
                <w:color w:val="auto"/>
                <w:spacing w:val="18"/>
                <w:sz w:val="21"/>
                <w:szCs w:val="21"/>
                <w:highlight w:val="none"/>
              </w:rPr>
              <w:t>限</w:t>
            </w:r>
            <w:r>
              <w:rPr>
                <w:rFonts w:hint="eastAsia" w:ascii="宋体" w:hAnsi="宋体" w:eastAsia="宋体" w:cs="宋体"/>
                <w:b/>
                <w:bCs/>
                <w:color w:val="auto"/>
                <w:spacing w:val="15"/>
                <w:sz w:val="21"/>
                <w:szCs w:val="21"/>
                <w:highlight w:val="none"/>
              </w:rPr>
              <w:t>价</w:t>
            </w:r>
            <w:r>
              <w:rPr>
                <w:rFonts w:hint="eastAsia" w:ascii="宋体" w:hAnsi="宋体" w:eastAsia="宋体" w:cs="宋体"/>
                <w:b/>
                <w:bCs/>
                <w:color w:val="auto"/>
                <w:spacing w:val="8"/>
                <w:sz w:val="21"/>
                <w:szCs w:val="21"/>
                <w:highlight w:val="none"/>
              </w:rPr>
              <w:t>，否则按无效投标文件处理。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Align w:val="center"/>
          </w:tcPr>
          <w:p>
            <w:pPr>
              <w:spacing w:line="480" w:lineRule="exact"/>
              <w:jc w:val="center"/>
              <w:rPr>
                <w:rFonts w:ascii="宋体" w:hAnsi="宋体" w:cs="宋体"/>
                <w:color w:val="auto"/>
                <w:szCs w:val="21"/>
              </w:rPr>
            </w:pPr>
            <w:r>
              <w:rPr>
                <w:rFonts w:hint="eastAsia" w:ascii="宋体" w:hAnsi="宋体" w:cs="宋体"/>
                <w:color w:val="auto"/>
                <w:szCs w:val="21"/>
              </w:rPr>
              <w:t>3.3.1</w:t>
            </w:r>
          </w:p>
        </w:tc>
        <w:tc>
          <w:tcPr>
            <w:tcW w:w="1263" w:type="pct"/>
            <w:vAlign w:val="center"/>
          </w:tcPr>
          <w:p>
            <w:pPr>
              <w:spacing w:line="480" w:lineRule="exact"/>
              <w:jc w:val="center"/>
              <w:rPr>
                <w:rFonts w:ascii="宋体" w:hAnsi="宋体" w:cs="宋体"/>
                <w:color w:val="auto"/>
                <w:szCs w:val="21"/>
              </w:rPr>
            </w:pPr>
            <w:r>
              <w:rPr>
                <w:rFonts w:hint="eastAsia" w:ascii="宋体" w:hAnsi="宋体" w:cs="宋体"/>
                <w:color w:val="auto"/>
                <w:szCs w:val="21"/>
              </w:rPr>
              <w:t>投标有效期</w:t>
            </w:r>
          </w:p>
        </w:tc>
        <w:tc>
          <w:tcPr>
            <w:tcW w:w="3108" w:type="pct"/>
            <w:vAlign w:val="center"/>
          </w:tcPr>
          <w:p>
            <w:pPr>
              <w:spacing w:line="480" w:lineRule="exact"/>
              <w:rPr>
                <w:rFonts w:ascii="宋体" w:hAnsi="宋体" w:cs="宋体"/>
                <w:color w:val="auto"/>
                <w:szCs w:val="21"/>
              </w:rPr>
            </w:pPr>
            <w:r>
              <w:rPr>
                <w:rFonts w:hint="eastAsia" w:ascii="宋体" w:hAnsi="宋体" w:cs="宋体"/>
                <w:color w:val="auto"/>
                <w:szCs w:val="21"/>
                <w:u w:val="single"/>
                <w:lang w:val="zh-CN"/>
              </w:rPr>
              <w:t>60</w:t>
            </w:r>
            <w:r>
              <w:rPr>
                <w:rFonts w:hint="eastAsia" w:ascii="宋体" w:hAnsi="宋体" w:cs="宋体"/>
                <w:color w:val="auto"/>
                <w:szCs w:val="21"/>
                <w:lang w:val="zh-CN"/>
              </w:rPr>
              <w:t>日（从投标截止之日算起）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Align w:val="center"/>
          </w:tcPr>
          <w:p>
            <w:pPr>
              <w:spacing w:line="480" w:lineRule="exact"/>
              <w:jc w:val="center"/>
              <w:rPr>
                <w:rFonts w:ascii="宋体" w:hAnsi="宋体" w:cs="宋体"/>
                <w:color w:val="auto"/>
                <w:szCs w:val="21"/>
              </w:rPr>
            </w:pPr>
            <w:r>
              <w:rPr>
                <w:rFonts w:hint="eastAsia" w:ascii="宋体" w:hAnsi="宋体" w:cs="宋体"/>
                <w:color w:val="auto"/>
                <w:szCs w:val="21"/>
              </w:rPr>
              <w:t>3.4</w:t>
            </w:r>
          </w:p>
        </w:tc>
        <w:tc>
          <w:tcPr>
            <w:tcW w:w="1263" w:type="pct"/>
            <w:vAlign w:val="center"/>
          </w:tcPr>
          <w:p>
            <w:pPr>
              <w:spacing w:line="480" w:lineRule="exact"/>
              <w:jc w:val="center"/>
              <w:rPr>
                <w:rFonts w:ascii="宋体" w:hAnsi="宋体" w:cs="宋体"/>
                <w:color w:val="auto"/>
                <w:szCs w:val="21"/>
              </w:rPr>
            </w:pPr>
            <w:r>
              <w:rPr>
                <w:rFonts w:hint="eastAsia" w:ascii="宋体" w:hAnsi="宋体" w:cs="宋体"/>
                <w:color w:val="auto"/>
                <w:szCs w:val="21"/>
              </w:rPr>
              <w:t>投标保证金</w:t>
            </w:r>
          </w:p>
        </w:tc>
        <w:tc>
          <w:tcPr>
            <w:tcW w:w="3108" w:type="pct"/>
            <w:vAlign w:val="center"/>
          </w:tcPr>
          <w:p>
            <w:pPr>
              <w:spacing w:line="480" w:lineRule="exact"/>
              <w:rPr>
                <w:rFonts w:ascii="宋体" w:hAnsi="宋体" w:cs="宋体"/>
                <w:color w:val="auto"/>
                <w:szCs w:val="21"/>
                <w:u w:val="single"/>
              </w:rPr>
            </w:pPr>
            <w:r>
              <w:rPr>
                <w:rFonts w:hint="eastAsia" w:ascii="宋体" w:hAnsi="宋体" w:cs="宋体"/>
                <w:color w:val="auto"/>
                <w:szCs w:val="21"/>
              </w:rPr>
              <w:t>参照执行苏财购[2020]52号文《关于做好政府采购支持企业发展有关事项的通知》，本项目不需要缴纳投标保证金。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Align w:val="center"/>
          </w:tcPr>
          <w:p>
            <w:pPr>
              <w:spacing w:line="480" w:lineRule="exact"/>
              <w:jc w:val="center"/>
              <w:rPr>
                <w:rFonts w:ascii="宋体" w:hAnsi="宋体" w:cs="宋体"/>
                <w:color w:val="auto"/>
                <w:szCs w:val="21"/>
              </w:rPr>
            </w:pPr>
            <w:r>
              <w:rPr>
                <w:rFonts w:hint="eastAsia" w:ascii="宋体" w:hAnsi="宋体" w:cs="宋体"/>
                <w:color w:val="auto"/>
                <w:szCs w:val="21"/>
              </w:rPr>
              <w:t>3.6</w:t>
            </w:r>
          </w:p>
        </w:tc>
        <w:tc>
          <w:tcPr>
            <w:tcW w:w="1263" w:type="pct"/>
            <w:vAlign w:val="center"/>
          </w:tcPr>
          <w:p>
            <w:pPr>
              <w:spacing w:line="480" w:lineRule="exact"/>
              <w:jc w:val="center"/>
              <w:rPr>
                <w:rFonts w:ascii="宋体" w:hAnsi="宋体" w:cs="宋体"/>
                <w:color w:val="auto"/>
                <w:szCs w:val="21"/>
              </w:rPr>
            </w:pPr>
            <w:r>
              <w:rPr>
                <w:rFonts w:hint="eastAsia" w:ascii="宋体" w:hAnsi="宋体" w:cs="宋体"/>
                <w:color w:val="auto"/>
                <w:szCs w:val="21"/>
              </w:rPr>
              <w:t>是否允许递交备选</w:t>
            </w:r>
          </w:p>
          <w:p>
            <w:pPr>
              <w:spacing w:line="480" w:lineRule="exact"/>
              <w:jc w:val="center"/>
              <w:rPr>
                <w:rFonts w:ascii="宋体" w:hAnsi="宋体" w:cs="宋体"/>
                <w:color w:val="auto"/>
                <w:szCs w:val="21"/>
              </w:rPr>
            </w:pPr>
            <w:r>
              <w:rPr>
                <w:rFonts w:hint="eastAsia" w:ascii="宋体" w:hAnsi="宋体" w:cs="宋体"/>
                <w:color w:val="auto"/>
                <w:szCs w:val="21"/>
              </w:rPr>
              <w:t>投标方案</w:t>
            </w:r>
          </w:p>
        </w:tc>
        <w:tc>
          <w:tcPr>
            <w:tcW w:w="3108" w:type="pct"/>
            <w:vAlign w:val="center"/>
          </w:tcPr>
          <w:p>
            <w:pPr>
              <w:spacing w:line="480" w:lineRule="exact"/>
              <w:rPr>
                <w:rFonts w:ascii="宋体" w:hAnsi="宋体" w:cs="宋体"/>
                <w:color w:val="auto"/>
                <w:szCs w:val="21"/>
              </w:rPr>
            </w:pPr>
            <w:r>
              <w:rPr>
                <w:rFonts w:hint="eastAsia" w:ascii="宋体" w:hAnsi="宋体" w:cs="宋体"/>
                <w:color w:val="auto"/>
                <w:kern w:val="0"/>
                <w:szCs w:val="21"/>
              </w:rPr>
              <w:sym w:font="Wingdings 2" w:char="0052"/>
            </w:r>
            <w:r>
              <w:rPr>
                <w:rFonts w:hint="eastAsia" w:ascii="宋体" w:hAnsi="宋体" w:cs="宋体"/>
                <w:color w:val="auto"/>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Align w:val="center"/>
          </w:tcPr>
          <w:p>
            <w:pPr>
              <w:spacing w:line="480" w:lineRule="exact"/>
              <w:jc w:val="center"/>
              <w:rPr>
                <w:rFonts w:ascii="宋体" w:hAnsi="宋体" w:cs="宋体"/>
                <w:color w:val="auto"/>
                <w:szCs w:val="21"/>
              </w:rPr>
            </w:pPr>
            <w:r>
              <w:rPr>
                <w:rFonts w:hint="eastAsia" w:ascii="宋体" w:hAnsi="宋体" w:cs="宋体"/>
                <w:color w:val="auto"/>
                <w:szCs w:val="21"/>
              </w:rPr>
              <w:t>4.2.1</w:t>
            </w:r>
          </w:p>
        </w:tc>
        <w:tc>
          <w:tcPr>
            <w:tcW w:w="1263" w:type="pct"/>
            <w:vAlign w:val="center"/>
          </w:tcPr>
          <w:p>
            <w:pPr>
              <w:spacing w:line="480" w:lineRule="exact"/>
              <w:jc w:val="center"/>
              <w:rPr>
                <w:rFonts w:ascii="宋体" w:hAnsi="宋体" w:cs="宋体"/>
                <w:color w:val="auto"/>
                <w:szCs w:val="21"/>
              </w:rPr>
            </w:pPr>
            <w:r>
              <w:rPr>
                <w:rFonts w:hint="eastAsia" w:ascii="宋体" w:hAnsi="宋体" w:cs="宋体"/>
                <w:color w:val="auto"/>
                <w:szCs w:val="21"/>
              </w:rPr>
              <w:t>投标文件递交截止</w:t>
            </w:r>
          </w:p>
          <w:p>
            <w:pPr>
              <w:spacing w:line="480" w:lineRule="exact"/>
              <w:jc w:val="center"/>
              <w:rPr>
                <w:rFonts w:ascii="宋体" w:hAnsi="宋体" w:cs="宋体"/>
                <w:color w:val="auto"/>
                <w:szCs w:val="21"/>
              </w:rPr>
            </w:pPr>
            <w:r>
              <w:rPr>
                <w:rFonts w:hint="eastAsia" w:ascii="宋体" w:hAnsi="宋体" w:cs="宋体"/>
                <w:color w:val="auto"/>
                <w:szCs w:val="21"/>
              </w:rPr>
              <w:t>时间和地点</w:t>
            </w:r>
          </w:p>
        </w:tc>
        <w:tc>
          <w:tcPr>
            <w:tcW w:w="3108" w:type="pct"/>
            <w:vAlign w:val="center"/>
          </w:tcPr>
          <w:p>
            <w:pPr>
              <w:spacing w:line="480" w:lineRule="exact"/>
              <w:jc w:val="left"/>
              <w:rPr>
                <w:rFonts w:ascii="宋体" w:hAnsi="宋体" w:cs="宋体"/>
                <w:b/>
                <w:bCs/>
                <w:color w:val="auto"/>
                <w:kern w:val="0"/>
                <w:szCs w:val="21"/>
              </w:rPr>
            </w:pPr>
            <w:r>
              <w:rPr>
                <w:rFonts w:hint="eastAsia" w:ascii="宋体" w:hAnsi="宋体" w:cs="宋体"/>
                <w:b/>
                <w:bCs/>
                <w:color w:val="auto"/>
                <w:kern w:val="0"/>
                <w:szCs w:val="21"/>
              </w:rPr>
              <w:t>1、投标文件提交截止时间：</w:t>
            </w:r>
          </w:p>
          <w:p>
            <w:pPr>
              <w:spacing w:line="480" w:lineRule="exact"/>
              <w:jc w:val="left"/>
              <w:rPr>
                <w:rFonts w:ascii="宋体" w:hAnsi="宋体" w:cs="宋体"/>
                <w:color w:val="auto"/>
                <w:szCs w:val="21"/>
                <w:u w:val="single"/>
              </w:rPr>
            </w:pPr>
            <w:r>
              <w:rPr>
                <w:rFonts w:hint="eastAsia" w:ascii="宋体" w:hAnsi="宋体" w:cs="宋体"/>
                <w:color w:val="auto"/>
                <w:szCs w:val="21"/>
                <w:u w:val="single"/>
              </w:rPr>
              <w:t>2023</w:t>
            </w:r>
            <w:r>
              <w:rPr>
                <w:rFonts w:hint="eastAsia" w:ascii="宋体" w:hAnsi="宋体" w:cs="宋体"/>
                <w:color w:val="auto"/>
                <w:szCs w:val="21"/>
              </w:rPr>
              <w:t>年</w:t>
            </w:r>
            <w:r>
              <w:rPr>
                <w:rFonts w:hint="eastAsia" w:ascii="宋体" w:hAnsi="宋体" w:cs="宋体"/>
                <w:color w:val="auto"/>
                <w:szCs w:val="21"/>
                <w:u w:val="single"/>
              </w:rPr>
              <w:t>5</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24</w:t>
            </w:r>
            <w:r>
              <w:rPr>
                <w:rFonts w:hint="eastAsia" w:ascii="宋体" w:hAnsi="宋体" w:cs="宋体"/>
                <w:color w:val="auto"/>
                <w:szCs w:val="21"/>
                <w:u w:val="single"/>
              </w:rPr>
              <w:t xml:space="preserve"> </w:t>
            </w:r>
            <w:r>
              <w:rPr>
                <w:rFonts w:hint="eastAsia" w:ascii="宋体" w:hAnsi="宋体" w:cs="宋体"/>
                <w:color w:val="auto"/>
                <w:szCs w:val="21"/>
              </w:rPr>
              <w:t>日</w:t>
            </w:r>
            <w:r>
              <w:rPr>
                <w:rFonts w:hint="eastAsia" w:ascii="宋体" w:hAnsi="宋体" w:cs="宋体"/>
                <w:color w:val="auto"/>
                <w:szCs w:val="21"/>
                <w:u w:val="single"/>
                <w:lang w:val="en-US" w:eastAsia="zh-CN"/>
              </w:rPr>
              <w:t>09</w:t>
            </w:r>
            <w:r>
              <w:rPr>
                <w:rFonts w:hint="eastAsia" w:ascii="宋体" w:hAnsi="宋体" w:cs="宋体"/>
                <w:color w:val="auto"/>
                <w:szCs w:val="21"/>
              </w:rPr>
              <w:t>时</w:t>
            </w:r>
            <w:r>
              <w:rPr>
                <w:rFonts w:hint="eastAsia" w:ascii="宋体" w:hAnsi="宋体" w:cs="宋体"/>
                <w:color w:val="auto"/>
                <w:szCs w:val="21"/>
                <w:u w:val="single"/>
              </w:rPr>
              <w:t>00</w:t>
            </w:r>
            <w:r>
              <w:rPr>
                <w:rFonts w:hint="eastAsia" w:ascii="宋体" w:hAnsi="宋体" w:cs="宋体"/>
                <w:color w:val="auto"/>
                <w:szCs w:val="21"/>
              </w:rPr>
              <w:t>分</w:t>
            </w:r>
            <w:r>
              <w:rPr>
                <w:rFonts w:hint="eastAsia" w:ascii="宋体" w:hAnsi="宋体" w:cs="宋体"/>
                <w:color w:val="auto"/>
                <w:szCs w:val="21"/>
                <w:u w:val="single"/>
              </w:rPr>
              <w:t>00</w:t>
            </w:r>
            <w:r>
              <w:rPr>
                <w:rFonts w:hint="eastAsia" w:ascii="宋体" w:hAnsi="宋体" w:cs="宋体"/>
                <w:color w:val="auto"/>
                <w:szCs w:val="21"/>
              </w:rPr>
              <w:t>秒；</w:t>
            </w:r>
          </w:p>
          <w:p>
            <w:pPr>
              <w:spacing w:line="480" w:lineRule="exact"/>
              <w:jc w:val="left"/>
              <w:rPr>
                <w:rFonts w:ascii="宋体" w:hAnsi="宋体" w:cs="宋体"/>
                <w:b/>
                <w:bCs/>
                <w:color w:val="auto"/>
                <w:szCs w:val="21"/>
              </w:rPr>
            </w:pPr>
            <w:r>
              <w:rPr>
                <w:rFonts w:hint="eastAsia" w:ascii="宋体" w:hAnsi="宋体" w:cs="宋体"/>
                <w:b/>
                <w:bCs/>
                <w:color w:val="auto"/>
                <w:szCs w:val="21"/>
              </w:rPr>
              <w:t>2、投标文件提交地点：</w:t>
            </w:r>
          </w:p>
          <w:p>
            <w:pPr>
              <w:spacing w:line="480" w:lineRule="exact"/>
              <w:jc w:val="left"/>
              <w:rPr>
                <w:rFonts w:ascii="宋体" w:hAnsi="宋体" w:cs="宋体"/>
                <w:color w:val="auto"/>
                <w:kern w:val="0"/>
                <w:szCs w:val="21"/>
              </w:rPr>
            </w:pPr>
            <w:r>
              <w:rPr>
                <w:rFonts w:hint="eastAsia" w:ascii="宋体" w:hAnsi="宋体" w:cs="宋体"/>
                <w:color w:val="auto"/>
                <w:kern w:val="0"/>
                <w:szCs w:val="21"/>
              </w:rPr>
              <w:t xml:space="preserve">（1）电子档上传地址：“投标文件制作工具”生成的xetf格式的电子档上传至新点电子交易平台-大丰政府采购系统（网址：https://www.etrading.cn/BREpointSSO/login/oauth2login）。   </w:t>
            </w:r>
          </w:p>
          <w:p>
            <w:pPr>
              <w:spacing w:line="480" w:lineRule="exact"/>
              <w:jc w:val="left"/>
              <w:rPr>
                <w:rFonts w:ascii="宋体" w:hAnsi="宋体" w:cs="宋体"/>
                <w:color w:val="auto"/>
                <w:kern w:val="0"/>
                <w:szCs w:val="21"/>
              </w:rPr>
            </w:pPr>
            <w:r>
              <w:rPr>
                <w:rFonts w:hint="eastAsia" w:ascii="宋体" w:hAnsi="宋体" w:cs="宋体"/>
                <w:color w:val="auto"/>
                <w:kern w:val="0"/>
                <w:szCs w:val="21"/>
              </w:rPr>
              <w:t xml:space="preserve">（2）投标人未在投标文件递交截止时间前将加密的投标文件上传至新点电子交易平台-大丰政府采购系统，视为放弃其投标。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Align w:val="center"/>
          </w:tcPr>
          <w:p>
            <w:pPr>
              <w:spacing w:line="480" w:lineRule="exact"/>
              <w:jc w:val="center"/>
              <w:rPr>
                <w:rFonts w:ascii="宋体" w:hAnsi="宋体" w:cs="宋体"/>
                <w:color w:val="auto"/>
                <w:szCs w:val="21"/>
              </w:rPr>
            </w:pPr>
            <w:r>
              <w:rPr>
                <w:rFonts w:hint="eastAsia" w:ascii="宋体" w:hAnsi="宋体" w:cs="宋体"/>
                <w:color w:val="auto"/>
                <w:szCs w:val="21"/>
              </w:rPr>
              <w:t>4.2.3</w:t>
            </w:r>
          </w:p>
        </w:tc>
        <w:tc>
          <w:tcPr>
            <w:tcW w:w="1263" w:type="pct"/>
            <w:vAlign w:val="center"/>
          </w:tcPr>
          <w:p>
            <w:pPr>
              <w:spacing w:line="480" w:lineRule="exact"/>
              <w:jc w:val="center"/>
              <w:rPr>
                <w:rFonts w:ascii="宋体" w:hAnsi="宋体" w:cs="宋体"/>
                <w:color w:val="auto"/>
                <w:szCs w:val="21"/>
              </w:rPr>
            </w:pPr>
            <w:r>
              <w:rPr>
                <w:rFonts w:hint="eastAsia" w:ascii="宋体" w:hAnsi="宋体" w:cs="宋体"/>
                <w:color w:val="auto"/>
                <w:szCs w:val="21"/>
              </w:rPr>
              <w:t>是否退还投标文件</w:t>
            </w:r>
          </w:p>
        </w:tc>
        <w:tc>
          <w:tcPr>
            <w:tcW w:w="3108" w:type="pct"/>
            <w:vAlign w:val="center"/>
          </w:tcPr>
          <w:p>
            <w:pPr>
              <w:spacing w:line="480" w:lineRule="exact"/>
              <w:rPr>
                <w:rFonts w:ascii="宋体" w:hAnsi="宋体" w:cs="宋体"/>
                <w:color w:val="auto"/>
                <w:szCs w:val="21"/>
              </w:rPr>
            </w:pPr>
            <w:r>
              <w:rPr>
                <w:rFonts w:hint="eastAsia" w:ascii="宋体" w:hAnsi="宋体" w:cs="宋体"/>
                <w:color w:val="auto"/>
                <w:kern w:val="0"/>
                <w:szCs w:val="21"/>
              </w:rPr>
              <w:sym w:font="Wingdings 2" w:char="0052"/>
            </w:r>
            <w:r>
              <w:rPr>
                <w:rFonts w:hint="eastAsia" w:ascii="宋体" w:hAnsi="宋体" w:cs="宋体"/>
                <w:color w:val="auto"/>
                <w:szCs w:val="21"/>
              </w:rPr>
              <w:t>否</w:t>
            </w:r>
          </w:p>
          <w:p>
            <w:pPr>
              <w:spacing w:line="480" w:lineRule="exact"/>
              <w:rPr>
                <w:rFonts w:ascii="宋体" w:hAnsi="宋体" w:cs="宋体"/>
                <w:color w:val="auto"/>
                <w:szCs w:val="21"/>
              </w:rPr>
            </w:pPr>
            <w:r>
              <w:rPr>
                <w:rFonts w:hint="eastAsia" w:ascii="宋体" w:hAnsi="宋体" w:cs="宋体"/>
                <w:color w:val="auto"/>
                <w:kern w:val="0"/>
                <w:szCs w:val="21"/>
              </w:rPr>
              <w:t>□</w:t>
            </w:r>
            <w:r>
              <w:rPr>
                <w:rFonts w:hint="eastAsia" w:ascii="宋体" w:hAnsi="宋体" w:cs="宋体"/>
                <w:color w:val="auto"/>
                <w:szCs w:val="21"/>
              </w:rPr>
              <w:t>是，退还安排：</w:t>
            </w:r>
            <w:r>
              <w:rPr>
                <w:rFonts w:hint="eastAsia" w:ascii="宋体" w:hAnsi="宋体" w:cs="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Align w:val="center"/>
          </w:tcPr>
          <w:p>
            <w:pPr>
              <w:spacing w:line="480" w:lineRule="exact"/>
              <w:jc w:val="center"/>
              <w:rPr>
                <w:rFonts w:ascii="宋体" w:hAnsi="宋体" w:cs="宋体"/>
                <w:color w:val="auto"/>
                <w:szCs w:val="21"/>
              </w:rPr>
            </w:pPr>
            <w:r>
              <w:rPr>
                <w:rFonts w:hint="eastAsia" w:ascii="宋体" w:hAnsi="宋体" w:cs="宋体"/>
                <w:color w:val="auto"/>
                <w:szCs w:val="21"/>
              </w:rPr>
              <w:t>5.1</w:t>
            </w:r>
          </w:p>
        </w:tc>
        <w:tc>
          <w:tcPr>
            <w:tcW w:w="1263" w:type="pct"/>
            <w:vAlign w:val="center"/>
          </w:tcPr>
          <w:p>
            <w:pPr>
              <w:spacing w:line="480" w:lineRule="exact"/>
              <w:jc w:val="center"/>
              <w:rPr>
                <w:rFonts w:ascii="宋体" w:hAnsi="宋体" w:cs="宋体"/>
                <w:color w:val="auto"/>
                <w:szCs w:val="21"/>
              </w:rPr>
            </w:pPr>
            <w:r>
              <w:rPr>
                <w:rFonts w:hint="eastAsia" w:ascii="宋体" w:hAnsi="宋体" w:cs="宋体"/>
                <w:color w:val="auto"/>
                <w:szCs w:val="21"/>
              </w:rPr>
              <w:t>开标时间和地点</w:t>
            </w:r>
          </w:p>
        </w:tc>
        <w:tc>
          <w:tcPr>
            <w:tcW w:w="3108" w:type="pct"/>
            <w:vAlign w:val="center"/>
          </w:tcPr>
          <w:p>
            <w:pPr>
              <w:spacing w:line="480" w:lineRule="exact"/>
              <w:rPr>
                <w:rFonts w:ascii="宋体" w:hAnsi="宋体" w:cs="宋体"/>
                <w:color w:val="auto"/>
                <w:szCs w:val="21"/>
              </w:rPr>
            </w:pPr>
            <w:r>
              <w:rPr>
                <w:rFonts w:hint="eastAsia" w:ascii="宋体" w:hAnsi="宋体" w:cs="宋体"/>
                <w:color w:val="auto"/>
                <w:szCs w:val="21"/>
              </w:rPr>
              <w:t>开标时间：</w:t>
            </w:r>
            <w:r>
              <w:rPr>
                <w:rFonts w:hint="eastAsia" w:ascii="宋体" w:hAnsi="宋体" w:cs="宋体"/>
                <w:color w:val="auto"/>
                <w:szCs w:val="21"/>
                <w:u w:val="single"/>
              </w:rPr>
              <w:t>2023</w:t>
            </w:r>
            <w:r>
              <w:rPr>
                <w:rFonts w:hint="eastAsia" w:ascii="宋体" w:hAnsi="宋体" w:cs="宋体"/>
                <w:color w:val="auto"/>
                <w:szCs w:val="21"/>
              </w:rPr>
              <w:t>年</w:t>
            </w:r>
            <w:r>
              <w:rPr>
                <w:rFonts w:hint="eastAsia" w:ascii="宋体" w:hAnsi="宋体" w:cs="宋体"/>
                <w:color w:val="auto"/>
                <w:szCs w:val="21"/>
                <w:u w:val="single"/>
              </w:rPr>
              <w:t>5</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24</w:t>
            </w:r>
            <w:r>
              <w:rPr>
                <w:rFonts w:hint="eastAsia" w:ascii="宋体" w:hAnsi="宋体" w:cs="宋体"/>
                <w:color w:val="auto"/>
                <w:szCs w:val="21"/>
                <w:u w:val="single"/>
              </w:rPr>
              <w:t xml:space="preserve"> </w:t>
            </w:r>
            <w:r>
              <w:rPr>
                <w:rFonts w:hint="eastAsia" w:ascii="宋体" w:hAnsi="宋体" w:cs="宋体"/>
                <w:color w:val="auto"/>
                <w:szCs w:val="21"/>
              </w:rPr>
              <w:t>日</w:t>
            </w:r>
            <w:r>
              <w:rPr>
                <w:rFonts w:hint="eastAsia" w:ascii="宋体" w:hAnsi="宋体" w:cs="宋体"/>
                <w:color w:val="auto"/>
                <w:szCs w:val="21"/>
                <w:u w:val="single"/>
                <w:lang w:val="en-US" w:eastAsia="zh-CN"/>
              </w:rPr>
              <w:t>09</w:t>
            </w:r>
            <w:r>
              <w:rPr>
                <w:rFonts w:hint="eastAsia" w:ascii="宋体" w:hAnsi="宋体" w:cs="宋体"/>
                <w:color w:val="auto"/>
                <w:szCs w:val="21"/>
              </w:rPr>
              <w:t>时</w:t>
            </w:r>
            <w:r>
              <w:rPr>
                <w:rFonts w:hint="eastAsia" w:ascii="宋体" w:hAnsi="宋体" w:cs="宋体"/>
                <w:color w:val="auto"/>
                <w:szCs w:val="21"/>
                <w:u w:val="single"/>
              </w:rPr>
              <w:t>00</w:t>
            </w:r>
            <w:r>
              <w:rPr>
                <w:rFonts w:hint="eastAsia" w:ascii="宋体" w:hAnsi="宋体" w:cs="宋体"/>
                <w:color w:val="auto"/>
                <w:szCs w:val="21"/>
              </w:rPr>
              <w:t>分；</w:t>
            </w:r>
          </w:p>
          <w:p>
            <w:pPr>
              <w:spacing w:line="480" w:lineRule="exact"/>
              <w:jc w:val="left"/>
              <w:rPr>
                <w:rFonts w:ascii="宋体" w:hAnsi="宋体" w:cs="宋体"/>
                <w:color w:val="auto"/>
                <w:szCs w:val="21"/>
                <w:u w:val="single"/>
              </w:rPr>
            </w:pPr>
            <w:r>
              <w:rPr>
                <w:rFonts w:hint="eastAsia" w:ascii="宋体" w:hAnsi="宋体" w:cs="宋体"/>
                <w:color w:val="auto"/>
                <w:szCs w:val="21"/>
              </w:rPr>
              <w:t>开标地点：开标大厅系统http://js.etrading.cn/EpointBidOpening/bidopeninghallaction/hall/login。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Align w:val="center"/>
          </w:tcPr>
          <w:p>
            <w:pPr>
              <w:adjustRightInd w:val="0"/>
              <w:snapToGrid w:val="0"/>
              <w:spacing w:line="480" w:lineRule="exact"/>
              <w:jc w:val="center"/>
              <w:rPr>
                <w:rFonts w:ascii="宋体" w:hAnsi="宋体" w:cs="宋体"/>
                <w:color w:val="auto"/>
                <w:szCs w:val="21"/>
              </w:rPr>
            </w:pPr>
            <w:r>
              <w:rPr>
                <w:rFonts w:hint="eastAsia" w:ascii="宋体" w:hAnsi="宋体" w:cs="宋体"/>
                <w:color w:val="auto"/>
                <w:szCs w:val="21"/>
              </w:rPr>
              <w:t>5.1.1</w:t>
            </w:r>
          </w:p>
        </w:tc>
        <w:tc>
          <w:tcPr>
            <w:tcW w:w="1263" w:type="pct"/>
            <w:vAlign w:val="center"/>
          </w:tcPr>
          <w:p>
            <w:pPr>
              <w:adjustRightInd w:val="0"/>
              <w:snapToGrid w:val="0"/>
              <w:spacing w:line="480" w:lineRule="exact"/>
              <w:jc w:val="center"/>
              <w:rPr>
                <w:rFonts w:ascii="宋体" w:hAnsi="宋体" w:cs="宋体"/>
                <w:color w:val="auto"/>
                <w:szCs w:val="21"/>
              </w:rPr>
            </w:pPr>
            <w:r>
              <w:rPr>
                <w:rFonts w:hint="eastAsia" w:ascii="宋体" w:hAnsi="宋体" w:cs="宋体"/>
                <w:color w:val="auto"/>
                <w:szCs w:val="21"/>
              </w:rPr>
              <w:t>参加开标会的</w:t>
            </w:r>
          </w:p>
          <w:p>
            <w:pPr>
              <w:adjustRightInd w:val="0"/>
              <w:snapToGrid w:val="0"/>
              <w:spacing w:line="480" w:lineRule="exact"/>
              <w:jc w:val="center"/>
              <w:rPr>
                <w:rFonts w:ascii="宋体" w:hAnsi="宋体" w:cs="宋体"/>
                <w:color w:val="auto"/>
                <w:szCs w:val="21"/>
              </w:rPr>
            </w:pPr>
            <w:r>
              <w:rPr>
                <w:rFonts w:hint="eastAsia" w:ascii="宋体" w:hAnsi="宋体" w:cs="宋体"/>
                <w:color w:val="auto"/>
                <w:szCs w:val="21"/>
              </w:rPr>
              <w:t>投标人代表</w:t>
            </w:r>
          </w:p>
        </w:tc>
        <w:tc>
          <w:tcPr>
            <w:tcW w:w="3108" w:type="pct"/>
            <w:vAlign w:val="center"/>
          </w:tcPr>
          <w:p>
            <w:pPr>
              <w:spacing w:line="480" w:lineRule="exact"/>
              <w:jc w:val="left"/>
              <w:rPr>
                <w:rFonts w:ascii="宋体" w:hAnsi="宋体" w:cs="宋体"/>
                <w:color w:val="auto"/>
                <w:szCs w:val="21"/>
              </w:rPr>
            </w:pPr>
            <w:r>
              <w:rPr>
                <w:rFonts w:hint="eastAsia" w:ascii="宋体" w:hAnsi="宋体" w:cs="宋体"/>
                <w:color w:val="auto"/>
                <w:szCs w:val="21"/>
              </w:rPr>
              <w:t>本项目实行不见面开标，各投标人（供应商）的授权委托人或法人代表应在投标文件提交截止时间前提前登入“开标大厅系统”（步骤：登入-投标人-CA登录-江苏省CA），到达投标文件提交截止时间后，首先进入开标程序中的投标文件解密会议，然后按系统提示完成投标文件解密。（解密完成后投标人可自行决定是否继续参加开（唱）标会议，投标人未参加开标的，视同认可开标结果）。投标人代表进入相应标段的开标会议区收听观看实时音视频交互效果并及时在讨论组中反馈，未按时加入开标会议区并完成扫码登录操作的或未能在开标会议区内全程参与交互的，视为放弃交互和放弃对开标全过程提疑的权利，投标人将无法看到解密指令、无效投标及澄清、开（唱）标等实时情况，并承担由此导致的一切不利后果。</w:t>
            </w:r>
          </w:p>
          <w:p>
            <w:pPr>
              <w:spacing w:line="480" w:lineRule="exact"/>
              <w:jc w:val="left"/>
              <w:rPr>
                <w:rFonts w:ascii="宋体" w:hAnsi="宋体" w:cs="宋体"/>
                <w:color w:val="auto"/>
                <w:szCs w:val="21"/>
              </w:rPr>
            </w:pPr>
            <w:r>
              <w:rPr>
                <w:rFonts w:hint="eastAsia" w:ascii="宋体" w:hAnsi="宋体" w:cs="宋体"/>
                <w:color w:val="auto"/>
                <w:szCs w:val="21"/>
              </w:rPr>
              <w:t>开评标全过程中，各投标人参与远程交互的授权委托人或法人代表应始终为同一个人，中途不得更换，在废标、澄清、提疑、传送文件等特殊情况下需要交互时，投标人一端参与交互的人员将均被视为是投标人的授权委托人或法人代表，投标人不得以不承认交互人员的资格或身份等为借口，投标人自行承担随意更换人员所导致的一切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Align w:val="center"/>
          </w:tcPr>
          <w:p>
            <w:pPr>
              <w:adjustRightInd w:val="0"/>
              <w:snapToGrid w:val="0"/>
              <w:spacing w:line="480" w:lineRule="exact"/>
              <w:jc w:val="center"/>
              <w:rPr>
                <w:rFonts w:ascii="宋体" w:hAnsi="宋体" w:cs="宋体"/>
                <w:color w:val="auto"/>
                <w:szCs w:val="21"/>
              </w:rPr>
            </w:pPr>
            <w:r>
              <w:rPr>
                <w:rFonts w:hint="eastAsia" w:ascii="宋体" w:hAnsi="宋体" w:cs="宋体"/>
                <w:color w:val="auto"/>
                <w:szCs w:val="21"/>
              </w:rPr>
              <w:t>5.2</w:t>
            </w:r>
          </w:p>
        </w:tc>
        <w:tc>
          <w:tcPr>
            <w:tcW w:w="1263" w:type="pct"/>
            <w:vAlign w:val="center"/>
          </w:tcPr>
          <w:p>
            <w:pPr>
              <w:adjustRightInd w:val="0"/>
              <w:snapToGrid w:val="0"/>
              <w:spacing w:line="480" w:lineRule="exact"/>
              <w:jc w:val="center"/>
              <w:rPr>
                <w:rFonts w:ascii="宋体" w:hAnsi="宋体" w:cs="宋体"/>
                <w:color w:val="auto"/>
                <w:szCs w:val="21"/>
              </w:rPr>
            </w:pPr>
            <w:r>
              <w:rPr>
                <w:rFonts w:hint="eastAsia" w:ascii="宋体" w:hAnsi="宋体" w:cs="宋体"/>
                <w:color w:val="auto"/>
                <w:szCs w:val="21"/>
              </w:rPr>
              <w:t>开标程序</w:t>
            </w:r>
          </w:p>
        </w:tc>
        <w:tc>
          <w:tcPr>
            <w:tcW w:w="3108" w:type="pct"/>
            <w:vAlign w:val="center"/>
          </w:tcPr>
          <w:p>
            <w:pPr>
              <w:spacing w:line="480" w:lineRule="exact"/>
              <w:jc w:val="left"/>
              <w:rPr>
                <w:rFonts w:ascii="宋体" w:hAnsi="宋体" w:cs="宋体"/>
                <w:color w:val="auto"/>
                <w:szCs w:val="21"/>
              </w:rPr>
            </w:pPr>
            <w:r>
              <w:rPr>
                <w:rFonts w:hint="eastAsia" w:ascii="宋体" w:hAnsi="宋体" w:cs="宋体"/>
                <w:color w:val="auto"/>
                <w:szCs w:val="21"/>
              </w:rPr>
              <w:t xml:space="preserve">详见投标须知5.2条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Align w:val="center"/>
          </w:tcPr>
          <w:p>
            <w:pPr>
              <w:adjustRightInd w:val="0"/>
              <w:snapToGrid w:val="0"/>
              <w:spacing w:line="480" w:lineRule="exact"/>
              <w:jc w:val="center"/>
              <w:rPr>
                <w:rFonts w:ascii="宋体" w:hAnsi="宋体" w:cs="宋体"/>
                <w:color w:val="auto"/>
                <w:szCs w:val="21"/>
              </w:rPr>
            </w:pPr>
            <w:r>
              <w:rPr>
                <w:rFonts w:hint="eastAsia" w:ascii="宋体" w:hAnsi="宋体" w:cs="宋体"/>
                <w:color w:val="auto"/>
                <w:szCs w:val="21"/>
              </w:rPr>
              <w:t>5.2.2</w:t>
            </w:r>
          </w:p>
        </w:tc>
        <w:tc>
          <w:tcPr>
            <w:tcW w:w="1263" w:type="pct"/>
            <w:vAlign w:val="center"/>
          </w:tcPr>
          <w:p>
            <w:pPr>
              <w:adjustRightInd w:val="0"/>
              <w:snapToGrid w:val="0"/>
              <w:spacing w:line="480" w:lineRule="exact"/>
              <w:jc w:val="center"/>
              <w:rPr>
                <w:rFonts w:ascii="宋体" w:hAnsi="宋体" w:cs="宋体"/>
                <w:color w:val="auto"/>
                <w:szCs w:val="21"/>
              </w:rPr>
            </w:pPr>
            <w:r>
              <w:rPr>
                <w:rFonts w:hint="eastAsia" w:ascii="宋体" w:hAnsi="宋体" w:cs="宋体"/>
                <w:color w:val="auto"/>
                <w:szCs w:val="21"/>
              </w:rPr>
              <w:t>投标文件解密时间</w:t>
            </w:r>
          </w:p>
        </w:tc>
        <w:tc>
          <w:tcPr>
            <w:tcW w:w="3108" w:type="pct"/>
            <w:vAlign w:val="center"/>
          </w:tcPr>
          <w:p>
            <w:pPr>
              <w:spacing w:line="480" w:lineRule="exact"/>
              <w:jc w:val="left"/>
              <w:rPr>
                <w:rFonts w:ascii="宋体" w:hAnsi="宋体" w:cs="宋体"/>
                <w:color w:val="auto"/>
                <w:szCs w:val="21"/>
              </w:rPr>
            </w:pPr>
            <w:r>
              <w:rPr>
                <w:rFonts w:hint="eastAsia" w:ascii="宋体" w:hAnsi="宋体" w:cs="宋体"/>
                <w:color w:val="auto"/>
                <w:szCs w:val="21"/>
              </w:rPr>
              <w:t>投标人解密时间限定在开标大厅系统发出投标文件解密指令后15分钟内完成，因投标人原因未能解密、解密失败或解密超时，视为投标人放弃本次投标（无效投标），系统内投标文件将被退回；因招标人原因或网上招投标平台发生故障，导致无法按时完成投标文件解密或开、评标工作无法进行的，可根据实际情况相应延迟解密时间或调整开、评标时间。</w:t>
            </w:r>
            <w:r>
              <w:rPr>
                <w:rFonts w:hint="eastAsia" w:ascii="宋体" w:hAnsi="宋体" w:cs="宋体"/>
                <w:b/>
                <w:bCs/>
                <w:color w:val="auto"/>
                <w:szCs w:val="21"/>
              </w:rPr>
              <w:t>（友情提示：进行解密的时候，先刷新界面，后解密，解密应使用生成投标文件的CA锁进行操作，否则无法完成解密。）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Align w:val="center"/>
          </w:tcPr>
          <w:p>
            <w:pPr>
              <w:spacing w:line="480" w:lineRule="exact"/>
              <w:jc w:val="center"/>
              <w:rPr>
                <w:rFonts w:ascii="宋体" w:hAnsi="宋体" w:cs="宋体"/>
                <w:color w:val="auto"/>
                <w:szCs w:val="21"/>
              </w:rPr>
            </w:pPr>
            <w:r>
              <w:rPr>
                <w:rFonts w:hint="eastAsia" w:ascii="宋体" w:hAnsi="宋体" w:cs="宋体"/>
                <w:color w:val="auto"/>
                <w:szCs w:val="21"/>
              </w:rPr>
              <w:t>6.1</w:t>
            </w:r>
          </w:p>
        </w:tc>
        <w:tc>
          <w:tcPr>
            <w:tcW w:w="1263" w:type="pct"/>
            <w:vAlign w:val="center"/>
          </w:tcPr>
          <w:p>
            <w:pPr>
              <w:spacing w:line="480" w:lineRule="exact"/>
              <w:jc w:val="center"/>
              <w:rPr>
                <w:rFonts w:ascii="宋体" w:hAnsi="宋体" w:cs="宋体"/>
                <w:color w:val="auto"/>
                <w:szCs w:val="21"/>
              </w:rPr>
            </w:pPr>
            <w:r>
              <w:rPr>
                <w:rFonts w:hint="eastAsia" w:ascii="宋体" w:hAnsi="宋体" w:cs="宋体"/>
                <w:color w:val="auto"/>
                <w:szCs w:val="21"/>
              </w:rPr>
              <w:t>评标委员会的组建</w:t>
            </w:r>
          </w:p>
        </w:tc>
        <w:tc>
          <w:tcPr>
            <w:tcW w:w="3108" w:type="pct"/>
            <w:vAlign w:val="center"/>
          </w:tcPr>
          <w:p>
            <w:pPr>
              <w:spacing w:line="480" w:lineRule="exact"/>
              <w:rPr>
                <w:rFonts w:ascii="宋体" w:hAnsi="宋体" w:cs="宋体"/>
                <w:color w:val="auto"/>
                <w:szCs w:val="21"/>
              </w:rPr>
            </w:pPr>
            <w:r>
              <w:rPr>
                <w:rFonts w:hint="eastAsia" w:ascii="宋体" w:hAnsi="宋体" w:cs="宋体"/>
                <w:color w:val="auto"/>
                <w:szCs w:val="21"/>
              </w:rPr>
              <w:t>评标委员会构成：</w:t>
            </w:r>
            <w:r>
              <w:rPr>
                <w:rFonts w:hint="eastAsia" w:ascii="宋体" w:hAnsi="宋体" w:cs="宋体"/>
                <w:b/>
                <w:bCs/>
                <w:color w:val="auto"/>
                <w:szCs w:val="21"/>
                <w:u w:val="single"/>
              </w:rPr>
              <w:t>5人或5人以上单数</w:t>
            </w:r>
            <w:r>
              <w:rPr>
                <w:rFonts w:hint="eastAsia" w:ascii="宋体" w:hAnsi="宋体" w:cs="宋体"/>
                <w:color w:val="auto"/>
                <w:szCs w:val="21"/>
              </w:rPr>
              <w:t>；</w:t>
            </w:r>
          </w:p>
          <w:p>
            <w:pPr>
              <w:spacing w:line="480" w:lineRule="exact"/>
              <w:rPr>
                <w:rFonts w:ascii="宋体" w:hAnsi="宋体" w:cs="宋体"/>
                <w:color w:val="auto"/>
                <w:szCs w:val="21"/>
              </w:rPr>
            </w:pPr>
            <w:r>
              <w:rPr>
                <w:rFonts w:hint="eastAsia" w:ascii="宋体" w:hAnsi="宋体" w:cs="宋体"/>
                <w:color w:val="auto"/>
                <w:szCs w:val="21"/>
              </w:rPr>
              <w:t>评标专家确定方式：电脑随机抽取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Align w:val="center"/>
          </w:tcPr>
          <w:p>
            <w:pPr>
              <w:spacing w:line="480" w:lineRule="exact"/>
              <w:jc w:val="center"/>
              <w:rPr>
                <w:rFonts w:ascii="宋体" w:hAnsi="宋体" w:cs="宋体"/>
                <w:color w:val="auto"/>
                <w:szCs w:val="21"/>
              </w:rPr>
            </w:pPr>
            <w:r>
              <w:rPr>
                <w:rFonts w:hint="eastAsia" w:ascii="宋体" w:hAnsi="宋体" w:cs="宋体"/>
                <w:color w:val="auto"/>
                <w:szCs w:val="21"/>
              </w:rPr>
              <w:t>6.3</w:t>
            </w:r>
          </w:p>
        </w:tc>
        <w:tc>
          <w:tcPr>
            <w:tcW w:w="1263" w:type="pct"/>
            <w:vAlign w:val="center"/>
          </w:tcPr>
          <w:p>
            <w:pPr>
              <w:spacing w:line="480" w:lineRule="exact"/>
              <w:jc w:val="center"/>
              <w:rPr>
                <w:rFonts w:ascii="宋体" w:hAnsi="宋体" w:cs="宋体"/>
                <w:color w:val="auto"/>
                <w:szCs w:val="21"/>
              </w:rPr>
            </w:pPr>
            <w:r>
              <w:rPr>
                <w:rFonts w:hint="eastAsia" w:ascii="宋体" w:hAnsi="宋体" w:cs="宋体"/>
                <w:color w:val="auto"/>
                <w:szCs w:val="21"/>
              </w:rPr>
              <w:t>评标办法</w:t>
            </w:r>
          </w:p>
        </w:tc>
        <w:tc>
          <w:tcPr>
            <w:tcW w:w="3108" w:type="pct"/>
            <w:vAlign w:val="center"/>
          </w:tcPr>
          <w:p>
            <w:pPr>
              <w:spacing w:line="480" w:lineRule="exact"/>
              <w:rPr>
                <w:rFonts w:ascii="宋体" w:hAnsi="宋体" w:cs="宋体"/>
                <w:color w:val="auto"/>
                <w:szCs w:val="21"/>
              </w:rPr>
            </w:pPr>
            <w:r>
              <w:rPr>
                <w:rFonts w:hint="eastAsia" w:ascii="宋体" w:hAnsi="宋体" w:cs="宋体"/>
                <w:color w:val="auto"/>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Align w:val="center"/>
          </w:tcPr>
          <w:p>
            <w:pPr>
              <w:spacing w:line="480" w:lineRule="exact"/>
              <w:jc w:val="center"/>
              <w:rPr>
                <w:rFonts w:ascii="宋体" w:hAnsi="宋体" w:cs="宋体"/>
                <w:color w:val="auto"/>
                <w:szCs w:val="21"/>
              </w:rPr>
            </w:pPr>
            <w:r>
              <w:rPr>
                <w:rFonts w:hint="eastAsia" w:ascii="宋体" w:hAnsi="宋体" w:cs="宋体"/>
                <w:color w:val="auto"/>
                <w:szCs w:val="21"/>
              </w:rPr>
              <w:t>8.1</w:t>
            </w:r>
          </w:p>
        </w:tc>
        <w:tc>
          <w:tcPr>
            <w:tcW w:w="1263" w:type="pct"/>
            <w:vAlign w:val="center"/>
          </w:tcPr>
          <w:p>
            <w:pPr>
              <w:spacing w:line="480" w:lineRule="exact"/>
              <w:jc w:val="center"/>
              <w:rPr>
                <w:rFonts w:ascii="宋体" w:hAnsi="宋体" w:cs="宋体"/>
                <w:color w:val="auto"/>
                <w:szCs w:val="21"/>
              </w:rPr>
            </w:pPr>
            <w:r>
              <w:rPr>
                <w:rFonts w:hint="eastAsia" w:ascii="宋体" w:hAnsi="宋体" w:cs="宋体"/>
                <w:color w:val="auto"/>
                <w:szCs w:val="21"/>
              </w:rPr>
              <w:t>是否授权评标</w:t>
            </w:r>
          </w:p>
          <w:p>
            <w:pPr>
              <w:spacing w:line="480" w:lineRule="exact"/>
              <w:jc w:val="center"/>
              <w:rPr>
                <w:rFonts w:ascii="宋体" w:hAnsi="宋体" w:cs="宋体"/>
                <w:color w:val="auto"/>
                <w:szCs w:val="21"/>
              </w:rPr>
            </w:pPr>
            <w:r>
              <w:rPr>
                <w:rFonts w:hint="eastAsia" w:ascii="宋体" w:hAnsi="宋体" w:cs="宋体"/>
                <w:color w:val="auto"/>
                <w:szCs w:val="21"/>
              </w:rPr>
              <w:t>委员会确定中标人</w:t>
            </w:r>
          </w:p>
        </w:tc>
        <w:tc>
          <w:tcPr>
            <w:tcW w:w="3108" w:type="pct"/>
            <w:vAlign w:val="center"/>
          </w:tcPr>
          <w:p>
            <w:pPr>
              <w:spacing w:line="480" w:lineRule="exact"/>
              <w:rPr>
                <w:rFonts w:ascii="宋体" w:hAnsi="宋体" w:cs="宋体"/>
                <w:color w:val="auto"/>
                <w:szCs w:val="21"/>
              </w:rPr>
            </w:pPr>
            <w:r>
              <w:rPr>
                <w:rFonts w:hint="eastAsia" w:ascii="宋体" w:hAnsi="宋体" w:cs="宋体"/>
                <w:color w:val="auto"/>
                <w:kern w:val="0"/>
                <w:szCs w:val="21"/>
              </w:rPr>
              <w:t>□</w:t>
            </w:r>
            <w:r>
              <w:rPr>
                <w:rFonts w:hint="eastAsia" w:ascii="宋体" w:hAnsi="宋体" w:cs="宋体"/>
                <w:color w:val="auto"/>
                <w:szCs w:val="21"/>
              </w:rPr>
              <w:t>是</w:t>
            </w:r>
          </w:p>
          <w:p>
            <w:pPr>
              <w:spacing w:line="480" w:lineRule="exact"/>
              <w:rPr>
                <w:rFonts w:ascii="宋体" w:hAnsi="宋体" w:cs="宋体"/>
                <w:color w:val="auto"/>
                <w:szCs w:val="21"/>
                <w:u w:val="single"/>
              </w:rPr>
            </w:pPr>
            <w:r>
              <w:rPr>
                <w:rFonts w:hint="eastAsia" w:ascii="宋体" w:hAnsi="宋体" w:cs="宋体"/>
                <w:color w:val="auto"/>
                <w:kern w:val="0"/>
                <w:szCs w:val="21"/>
              </w:rPr>
              <w:sym w:font="Wingdings 2" w:char="0052"/>
            </w:r>
            <w:r>
              <w:rPr>
                <w:rFonts w:hint="eastAsia" w:ascii="宋体" w:hAnsi="宋体" w:cs="宋体"/>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Align w:val="center"/>
          </w:tcPr>
          <w:p>
            <w:pPr>
              <w:spacing w:line="480" w:lineRule="exact"/>
              <w:jc w:val="center"/>
              <w:rPr>
                <w:rFonts w:ascii="宋体" w:hAnsi="宋体" w:cs="宋体"/>
                <w:color w:val="auto"/>
                <w:szCs w:val="21"/>
              </w:rPr>
            </w:pPr>
            <w:r>
              <w:rPr>
                <w:rFonts w:hint="eastAsia" w:ascii="宋体" w:hAnsi="宋体" w:cs="宋体"/>
                <w:color w:val="auto"/>
                <w:szCs w:val="21"/>
              </w:rPr>
              <w:t>8.3</w:t>
            </w:r>
          </w:p>
        </w:tc>
        <w:tc>
          <w:tcPr>
            <w:tcW w:w="1263" w:type="pct"/>
            <w:vAlign w:val="center"/>
          </w:tcPr>
          <w:p>
            <w:pPr>
              <w:spacing w:line="480" w:lineRule="exact"/>
              <w:jc w:val="center"/>
              <w:rPr>
                <w:rFonts w:ascii="宋体" w:hAnsi="宋体" w:cs="宋体"/>
                <w:color w:val="auto"/>
                <w:szCs w:val="21"/>
              </w:rPr>
            </w:pPr>
            <w:r>
              <w:rPr>
                <w:rFonts w:hint="eastAsia" w:ascii="宋体" w:hAnsi="宋体" w:cs="宋体"/>
                <w:color w:val="auto"/>
                <w:szCs w:val="21"/>
              </w:rPr>
              <w:t>履约保证金</w:t>
            </w:r>
          </w:p>
        </w:tc>
        <w:tc>
          <w:tcPr>
            <w:tcW w:w="3108" w:type="pct"/>
            <w:vAlign w:val="center"/>
          </w:tcPr>
          <w:p>
            <w:pPr>
              <w:spacing w:line="480" w:lineRule="exact"/>
              <w:rPr>
                <w:rFonts w:ascii="宋体" w:hAnsi="宋体" w:cs="宋体"/>
                <w:color w:val="auto"/>
                <w:kern w:val="1"/>
                <w:szCs w:val="21"/>
              </w:rPr>
            </w:pPr>
            <w:r>
              <w:rPr>
                <w:rFonts w:hint="eastAsia" w:ascii="宋体" w:hAnsi="宋体" w:cs="宋体"/>
                <w:color w:val="auto"/>
                <w:kern w:val="1"/>
                <w:szCs w:val="21"/>
              </w:rPr>
              <w:t>履约保证金的形式：转账、履约担保或者投标人基本账户开户行出具的银行保函、保险公司保险单。</w:t>
            </w:r>
          </w:p>
          <w:p>
            <w:pPr>
              <w:spacing w:line="480" w:lineRule="exact"/>
              <w:rPr>
                <w:rFonts w:ascii="宋体" w:hAnsi="宋体" w:cs="宋体"/>
                <w:color w:val="auto"/>
                <w:kern w:val="1"/>
                <w:szCs w:val="21"/>
              </w:rPr>
            </w:pPr>
            <w:r>
              <w:rPr>
                <w:rFonts w:hint="eastAsia" w:ascii="宋体" w:hAnsi="宋体" w:cs="宋体"/>
                <w:color w:val="auto"/>
                <w:kern w:val="1"/>
                <w:szCs w:val="21"/>
              </w:rPr>
              <w:t>履约保证金的金额：中标价的5%。</w:t>
            </w:r>
          </w:p>
          <w:p>
            <w:pPr>
              <w:spacing w:line="480" w:lineRule="exact"/>
              <w:rPr>
                <w:rFonts w:ascii="宋体" w:hAnsi="宋体" w:cs="宋体"/>
                <w:color w:val="auto"/>
                <w:kern w:val="1"/>
                <w:szCs w:val="21"/>
              </w:rPr>
            </w:pPr>
            <w:r>
              <w:rPr>
                <w:rFonts w:hint="eastAsia"/>
                <w:color w:val="auto"/>
              </w:rPr>
              <w:t>注：对提供＂信用中国(江苏盐城)＂备案的第三方信用报告AA评级及以上采购供应商，免收履约保证金或履约保证金缴纳比例降低，合同订立前需提供相关证明材料。</w:t>
            </w:r>
          </w:p>
          <w:p>
            <w:pPr>
              <w:spacing w:line="480" w:lineRule="exact"/>
              <w:rPr>
                <w:rFonts w:ascii="宋体" w:hAnsi="宋体" w:cs="宋体"/>
                <w:color w:val="auto"/>
                <w:kern w:val="1"/>
                <w:szCs w:val="21"/>
              </w:rPr>
            </w:pPr>
            <w:r>
              <w:rPr>
                <w:rFonts w:hint="eastAsia" w:ascii="宋体" w:hAnsi="宋体" w:cs="宋体"/>
                <w:color w:val="auto"/>
                <w:kern w:val="1"/>
                <w:szCs w:val="21"/>
              </w:rPr>
              <w:t>履约保证金退还：项目验收合格后一周内无息退还。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Align w:val="center"/>
          </w:tcPr>
          <w:p>
            <w:pPr>
              <w:spacing w:line="480" w:lineRule="exact"/>
              <w:jc w:val="center"/>
              <w:rPr>
                <w:rFonts w:ascii="宋体" w:hAnsi="宋体" w:cs="宋体"/>
                <w:color w:val="auto"/>
                <w:szCs w:val="21"/>
              </w:rPr>
            </w:pPr>
            <w:r>
              <w:rPr>
                <w:rFonts w:hint="eastAsia" w:ascii="宋体" w:hAnsi="宋体" w:cs="宋体"/>
                <w:color w:val="auto"/>
                <w:szCs w:val="21"/>
              </w:rPr>
              <w:t>10.1</w:t>
            </w:r>
          </w:p>
        </w:tc>
        <w:tc>
          <w:tcPr>
            <w:tcW w:w="1263" w:type="pct"/>
            <w:vAlign w:val="center"/>
          </w:tcPr>
          <w:p>
            <w:pPr>
              <w:spacing w:line="480" w:lineRule="exact"/>
              <w:jc w:val="center"/>
              <w:rPr>
                <w:rFonts w:ascii="宋体" w:hAnsi="宋体" w:cs="宋体"/>
                <w:color w:val="auto"/>
                <w:szCs w:val="21"/>
              </w:rPr>
            </w:pPr>
            <w:r>
              <w:rPr>
                <w:rFonts w:hint="eastAsia" w:ascii="宋体" w:hAnsi="宋体" w:cs="宋体"/>
                <w:color w:val="auto"/>
                <w:szCs w:val="21"/>
              </w:rPr>
              <w:t>付款方式</w:t>
            </w:r>
          </w:p>
        </w:tc>
        <w:tc>
          <w:tcPr>
            <w:tcW w:w="3108" w:type="pct"/>
            <w:vAlign w:val="center"/>
          </w:tcPr>
          <w:p>
            <w:pPr>
              <w:spacing w:line="480" w:lineRule="exact"/>
              <w:rPr>
                <w:rFonts w:hint="eastAsia" w:ascii="宋体" w:hAnsi="宋体" w:eastAsia="宋体" w:cs="宋体"/>
                <w:color w:val="auto"/>
                <w:kern w:val="1"/>
                <w:szCs w:val="21"/>
                <w:lang w:eastAsia="zh-CN"/>
              </w:rPr>
            </w:pPr>
            <w:r>
              <w:rPr>
                <w:rFonts w:hint="eastAsia" w:ascii="宋体" w:hAnsi="宋体" w:cs="宋体"/>
                <w:color w:val="auto"/>
                <w:kern w:val="1"/>
                <w:szCs w:val="21"/>
                <w:lang w:eastAsia="zh-CN"/>
              </w:rPr>
              <w:t>本项目按城市会客厅项目（建安投资暂按3450万元计）、商务酒店项目（建安投资暂按4400万元计）分别付款。完成对应项目全部工程量的30%付相应服务酬金的30%，工程竣工验收合格后付至相应服务酬金的70%，一审结束后按一审审定价付至相应服务酬金的90%，工程经政府审计部门审计结束后结清余款。如政府审计部门不抽审，则在一审结束满6个月后结清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Align w:val="center"/>
          </w:tcPr>
          <w:p>
            <w:pPr>
              <w:spacing w:line="480" w:lineRule="exact"/>
              <w:jc w:val="center"/>
              <w:rPr>
                <w:rFonts w:ascii="宋体" w:hAnsi="宋体" w:cs="宋体"/>
                <w:color w:val="auto"/>
                <w:szCs w:val="21"/>
              </w:rPr>
            </w:pPr>
            <w:r>
              <w:rPr>
                <w:rFonts w:hint="eastAsia" w:ascii="宋体" w:hAnsi="宋体" w:cs="宋体"/>
                <w:color w:val="auto"/>
                <w:szCs w:val="21"/>
              </w:rPr>
              <w:t>11</w:t>
            </w:r>
          </w:p>
        </w:tc>
        <w:tc>
          <w:tcPr>
            <w:tcW w:w="4371" w:type="pct"/>
            <w:gridSpan w:val="2"/>
            <w:vAlign w:val="center"/>
          </w:tcPr>
          <w:p>
            <w:pPr>
              <w:spacing w:line="480" w:lineRule="exact"/>
              <w:rPr>
                <w:rFonts w:ascii="宋体" w:hAnsi="宋体" w:cs="宋体"/>
                <w:color w:val="auto"/>
                <w:szCs w:val="21"/>
              </w:rPr>
            </w:pPr>
            <w:r>
              <w:rPr>
                <w:rFonts w:hint="eastAsia" w:ascii="宋体" w:hAnsi="宋体" w:cs="宋体"/>
                <w:color w:val="auto"/>
                <w:szCs w:val="21"/>
              </w:rPr>
              <w:t>解释权：构成本招标文件的各个组成文件应互为解释，互为说明。当发现的不明确或不一致，在招标文件中有明确规定的，评标委员会应按已明确的规定评标；当发现的不明确或不一致，在招标文件中没有明确规定时：</w:t>
            </w:r>
          </w:p>
          <w:p>
            <w:pPr>
              <w:spacing w:line="480" w:lineRule="exact"/>
              <w:ind w:right="100"/>
              <w:rPr>
                <w:rFonts w:ascii="宋体" w:hAnsi="宋体" w:cs="宋体"/>
                <w:color w:val="auto"/>
                <w:szCs w:val="21"/>
              </w:rPr>
            </w:pPr>
            <w:r>
              <w:rPr>
                <w:rFonts w:hint="eastAsia" w:ascii="宋体" w:hAnsi="宋体" w:cs="宋体"/>
                <w:color w:val="auto"/>
                <w:szCs w:val="21"/>
              </w:rPr>
              <w:t>⑴凡是构成合同文件组成内容的不明确或不一致，以合同文件约定内容为准，且以专用合同条款约定的合同文件优先顺序解释；</w:t>
            </w:r>
          </w:p>
          <w:p>
            <w:pPr>
              <w:tabs>
                <w:tab w:val="left" w:pos="920"/>
              </w:tabs>
              <w:spacing w:line="480" w:lineRule="exact"/>
              <w:ind w:right="100"/>
              <w:rPr>
                <w:rFonts w:ascii="宋体" w:hAnsi="宋体" w:cs="宋体"/>
                <w:color w:val="auto"/>
                <w:szCs w:val="21"/>
              </w:rPr>
            </w:pPr>
            <w:r>
              <w:rPr>
                <w:rFonts w:hint="eastAsia" w:ascii="宋体" w:hAnsi="宋体" w:cs="宋体"/>
                <w:color w:val="auto"/>
                <w:szCs w:val="21"/>
              </w:rPr>
              <w:t>⑵凡不是构成合同文件组成内容的不明确或不一致，除招标文件中有特别规定外，仅适用于招标投标阶段的规定，按招标公告、投标人须知、评标办法、投标文件格式的先后顺序解释。同一组成文件中就同一事项的规定或约定不一致的，影响评审的，剔除该因素进行评审；其它情形的，以现行法律法规约定为准；凡同一组成文件不同版本之间有不一致的，以形成时间在后者为准。</w:t>
            </w:r>
          </w:p>
          <w:p>
            <w:pPr>
              <w:spacing w:line="480" w:lineRule="exact"/>
              <w:rPr>
                <w:rFonts w:ascii="宋体" w:hAnsi="宋体" w:cs="宋体"/>
                <w:color w:val="auto"/>
                <w:szCs w:val="21"/>
              </w:rPr>
            </w:pPr>
            <w:r>
              <w:rPr>
                <w:rFonts w:hint="eastAsia" w:ascii="宋体" w:hAnsi="宋体" w:cs="宋体"/>
                <w:color w:val="auto"/>
                <w:szCs w:val="21"/>
              </w:rPr>
              <w:t>⑶按本款前述规定仍不能形成结论的，由招标人负责解释。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9" w:type="pct"/>
            <w:vAlign w:val="center"/>
          </w:tcPr>
          <w:p>
            <w:pPr>
              <w:spacing w:line="480" w:lineRule="exact"/>
              <w:jc w:val="center"/>
              <w:rPr>
                <w:rFonts w:ascii="宋体" w:hAnsi="宋体" w:cs="宋体"/>
                <w:color w:val="auto"/>
                <w:szCs w:val="21"/>
              </w:rPr>
            </w:pPr>
            <w:r>
              <w:rPr>
                <w:rFonts w:hint="eastAsia" w:ascii="宋体" w:hAnsi="宋体" w:cs="宋体"/>
                <w:color w:val="auto"/>
                <w:szCs w:val="21"/>
              </w:rPr>
              <w:t>12</w:t>
            </w:r>
          </w:p>
        </w:tc>
        <w:tc>
          <w:tcPr>
            <w:tcW w:w="4371" w:type="pct"/>
            <w:gridSpan w:val="2"/>
            <w:vAlign w:val="center"/>
          </w:tcPr>
          <w:p>
            <w:pPr>
              <w:spacing w:line="480" w:lineRule="exact"/>
              <w:rPr>
                <w:rFonts w:ascii="宋体" w:hAnsi="宋体" w:cs="宋体"/>
                <w:color w:val="auto"/>
                <w:szCs w:val="21"/>
              </w:rPr>
            </w:pPr>
            <w:r>
              <w:rPr>
                <w:rFonts w:hint="eastAsia" w:ascii="宋体" w:hAnsi="宋体" w:cs="宋体"/>
                <w:color w:val="auto"/>
                <w:szCs w:val="21"/>
              </w:rPr>
              <w:t>1、本招标文件时间均以中华人民共和国北京时间为准，所涉及金额的币种均为人民币。</w:t>
            </w:r>
          </w:p>
          <w:p>
            <w:pPr>
              <w:spacing w:line="480" w:lineRule="exact"/>
              <w:rPr>
                <w:rFonts w:ascii="宋体" w:hAnsi="宋体" w:cs="宋体"/>
                <w:color w:val="auto"/>
                <w:szCs w:val="21"/>
              </w:rPr>
            </w:pPr>
            <w:r>
              <w:rPr>
                <w:rFonts w:hint="eastAsia" w:ascii="宋体" w:hAnsi="宋体" w:cs="宋体"/>
                <w:color w:val="auto"/>
                <w:szCs w:val="21"/>
              </w:rPr>
              <w:t>2、凡参与本项目投标的投标人，视同已踏勘过项目现场和研究了本招标文件的所有内容，并无保留地接受招标文件的所有条款（含招标答疑、补充通知等）。</w:t>
            </w:r>
          </w:p>
          <w:p>
            <w:pPr>
              <w:spacing w:line="480" w:lineRule="exact"/>
              <w:jc w:val="left"/>
              <w:rPr>
                <w:rFonts w:ascii="宋体" w:hAnsi="宋体" w:cs="宋体"/>
                <w:color w:val="auto"/>
                <w:szCs w:val="21"/>
              </w:rPr>
            </w:pPr>
            <w:r>
              <w:rPr>
                <w:rFonts w:hint="eastAsia" w:ascii="宋体" w:hAnsi="宋体" w:cs="宋体"/>
                <w:color w:val="auto"/>
                <w:szCs w:val="21"/>
              </w:rPr>
              <w:t>3、为防止因开标前集中上传投标文件造成的网络拥堵，导致投标人无法在投标截止时间前成功上传投标文件，建议投标人在开标前尽早将投标文件上传到</w:t>
            </w:r>
            <w:r>
              <w:rPr>
                <w:rFonts w:hint="eastAsia" w:ascii="宋体" w:hAnsi="宋体" w:cs="宋体"/>
                <w:b/>
                <w:bCs/>
                <w:color w:val="auto"/>
                <w:szCs w:val="21"/>
              </w:rPr>
              <w:t>新点电子交易平台-大丰政府采购系统</w:t>
            </w:r>
            <w:r>
              <w:rPr>
                <w:rFonts w:hint="eastAsia" w:ascii="宋体" w:hAnsi="宋体" w:cs="宋体"/>
                <w:color w:val="auto"/>
                <w:szCs w:val="21"/>
              </w:rPr>
              <w:t>（网址：https://www.etrading.cn/BREpointSSO/login/oauth2login）</w:t>
            </w:r>
            <w:r>
              <w:rPr>
                <w:rFonts w:hint="eastAsia" w:ascii="宋体" w:hAnsi="宋体" w:cs="宋体"/>
                <w:b/>
                <w:bCs/>
                <w:color w:val="auto"/>
                <w:szCs w:val="21"/>
              </w:rPr>
              <w:t>。</w:t>
            </w:r>
          </w:p>
          <w:p>
            <w:pPr>
              <w:spacing w:line="480" w:lineRule="exact"/>
              <w:jc w:val="left"/>
              <w:rPr>
                <w:rFonts w:ascii="宋体" w:hAnsi="宋体" w:cs="宋体"/>
                <w:color w:val="auto"/>
                <w:szCs w:val="21"/>
              </w:rPr>
            </w:pPr>
            <w:r>
              <w:rPr>
                <w:rFonts w:hint="eastAsia" w:ascii="宋体" w:hAnsi="宋体" w:cs="宋体"/>
                <w:color w:val="auto"/>
                <w:szCs w:val="21"/>
              </w:rPr>
              <w:t>4、请统一使用最新版本的投标文件编制工具制作投标文件，相应软件请至新点电子交易平台（https://www.etrading.cn/），点击右侧“常用下载”，选择“投标工具”进行下载（网址：https://download.bqpoint.com/download/downloaddetail.html?SourceFrom=Ztb&amp;ZtbSoftXiaQuCode=0128&amp;ZtbSoftType=tballinclusive），投标文件制作视频学习地址：https://www.etrading.cn/bszn/015005/015005002/20211227/80e55434-c70a-4a10-923e-641aa639269e.html。</w:t>
            </w:r>
            <w:r>
              <w:rPr>
                <w:rFonts w:hint="eastAsia" w:ascii="宋体" w:hAnsi="宋体" w:cs="宋体"/>
                <w:b/>
                <w:bCs/>
                <w:color w:val="auto"/>
                <w:szCs w:val="21"/>
              </w:rPr>
              <w:t>目前投标人使用投标文件制作工具制作投标文件时，无需电子签章。</w:t>
            </w:r>
          </w:p>
          <w:p>
            <w:pPr>
              <w:spacing w:line="480" w:lineRule="exact"/>
              <w:rPr>
                <w:rFonts w:ascii="宋体" w:hAnsi="宋体" w:cs="宋体"/>
                <w:color w:val="auto"/>
                <w:szCs w:val="21"/>
              </w:rPr>
            </w:pPr>
            <w:r>
              <w:rPr>
                <w:rFonts w:hint="eastAsia" w:ascii="宋体" w:hAnsi="宋体" w:cs="宋体"/>
                <w:color w:val="auto"/>
                <w:szCs w:val="21"/>
              </w:rPr>
              <w:t>5、因本项目采用全程电子化及不见面开标模式，故招标人特别说明如下：</w:t>
            </w:r>
          </w:p>
          <w:p>
            <w:pPr>
              <w:spacing w:line="480" w:lineRule="exact"/>
              <w:rPr>
                <w:rFonts w:ascii="宋体" w:hAnsi="宋体" w:cs="宋体"/>
                <w:color w:val="auto"/>
                <w:szCs w:val="21"/>
              </w:rPr>
            </w:pPr>
            <w:r>
              <w:rPr>
                <w:rFonts w:hint="eastAsia" w:ascii="宋体" w:hAnsi="宋体" w:cs="宋体"/>
                <w:color w:val="auto"/>
                <w:szCs w:val="21"/>
              </w:rPr>
              <w:t>①、不见面开标项目的时间均以国家授时中心发布的时间为准。</w:t>
            </w:r>
          </w:p>
          <w:p>
            <w:pPr>
              <w:spacing w:line="480" w:lineRule="exact"/>
              <w:jc w:val="left"/>
              <w:rPr>
                <w:rFonts w:ascii="宋体" w:hAnsi="宋体" w:cs="宋体"/>
                <w:color w:val="auto"/>
                <w:szCs w:val="21"/>
                <w:u w:val="single"/>
              </w:rPr>
            </w:pPr>
            <w:r>
              <w:rPr>
                <w:rFonts w:hint="eastAsia" w:ascii="宋体" w:hAnsi="宋体" w:cs="宋体"/>
                <w:color w:val="auto"/>
                <w:szCs w:val="21"/>
              </w:rPr>
              <w:t>②、本项目招投标文件均用专用招投标工具软件编制，并通过网上招投标平台完成招投标过程。投标人投标文件的编制和提交，应依照招标文件的规定进行。如未按招标文件要求编制、提交电子投标文件，将有可能导致无效投标，其不利后果由投标人自行承担。不见面开标操作教程详见http://js.etrading.cn/EpointBidOpening/bidopeninghallaction/hall/login。投标人如对正确使用招投标专用工具软件有疑问的，请尽早和软件公司的服务人员联系，他们会根据投标人要求，提供必要的培训和技术支持。平台使用问题、投标文件制作工具使用问题请在工作时间联系新点公司，联系电话：4009280095-5或者联系</w:t>
            </w:r>
            <w:r>
              <w:rPr>
                <w:rFonts w:hint="eastAsia" w:ascii="宋体" w:hAnsi="宋体" w:cs="宋体"/>
                <w:b/>
                <w:bCs/>
                <w:color w:val="auto"/>
                <w:szCs w:val="21"/>
              </w:rPr>
              <w:t>本项目招标代理，联系电话：</w:t>
            </w:r>
            <w:r>
              <w:rPr>
                <w:rFonts w:ascii="宋体" w:hAnsi="宋体" w:cs="宋体"/>
                <w:b/>
                <w:bCs/>
                <w:color w:val="auto"/>
                <w:szCs w:val="21"/>
              </w:rPr>
              <w:t>18921822799</w:t>
            </w:r>
            <w:r>
              <w:rPr>
                <w:rFonts w:hint="eastAsia" w:ascii="宋体" w:hAnsi="宋体" w:cs="宋体"/>
                <w:b/>
                <w:bCs/>
                <w:color w:val="auto"/>
                <w:szCs w:val="21"/>
              </w:rPr>
              <w:t>。</w:t>
            </w:r>
          </w:p>
          <w:p>
            <w:pPr>
              <w:spacing w:line="480" w:lineRule="exact"/>
              <w:rPr>
                <w:rFonts w:ascii="宋体" w:hAnsi="宋体" w:cs="宋体"/>
                <w:color w:val="auto"/>
                <w:szCs w:val="21"/>
              </w:rPr>
            </w:pPr>
            <w:r>
              <w:rPr>
                <w:rFonts w:hint="eastAsia" w:ascii="宋体" w:hAnsi="宋体" w:cs="宋体"/>
                <w:color w:val="auto"/>
                <w:szCs w:val="21"/>
              </w:rPr>
              <w:t>③、为顺利实现本项目开评标的远程交互，建议投标人配置的硬件设施有：高配置电脑、高速稳定的网络、电源（不间断）、CA锁、音视频设备（话筒、耳麦、高清摄像头、音响）、扫描仪、打印机、传真机、高清视频监控等；建议投标人具备的软件设施有：IE浏览器（版本必须为11及11以上），江苏省互联互通版驱动版本。为保证交互效果，建议投标人选择封闭安静的地点参与远程交互。因投标人自身软硬件配备不齐全或发生故障等问题而导致在交互过程中出现不稳定或中断等情况的，其产生的不利后果由投标人自身承担。</w:t>
            </w:r>
          </w:p>
          <w:p>
            <w:pPr>
              <w:spacing w:line="480" w:lineRule="exact"/>
              <w:rPr>
                <w:rFonts w:ascii="宋体" w:hAnsi="宋体" w:cs="宋体"/>
                <w:color w:val="auto"/>
                <w:szCs w:val="21"/>
              </w:rPr>
            </w:pPr>
            <w:r>
              <w:rPr>
                <w:rFonts w:hint="eastAsia" w:ascii="宋体" w:hAnsi="宋体" w:cs="宋体"/>
                <w:color w:val="auto"/>
                <w:szCs w:val="21"/>
              </w:rPr>
              <w:t>6、本招标文件未尽事宜，按国家和省法律法规、规章要求处理。</w:t>
            </w:r>
          </w:p>
          <w:p>
            <w:pPr>
              <w:spacing w:line="480" w:lineRule="exact"/>
              <w:rPr>
                <w:rFonts w:ascii="宋体" w:hAnsi="宋体" w:cs="宋体"/>
                <w:color w:val="auto"/>
                <w:szCs w:val="21"/>
              </w:rPr>
            </w:pPr>
            <w:r>
              <w:rPr>
                <w:rFonts w:hint="eastAsia" w:ascii="宋体" w:hAnsi="宋体" w:cs="宋体"/>
                <w:color w:val="auto"/>
                <w:szCs w:val="21"/>
              </w:rPr>
              <w:t>7、本招标文件的解释权归招标人所有。</w:t>
            </w:r>
          </w:p>
        </w:tc>
      </w:tr>
    </w:tbl>
    <w:p>
      <w:pPr>
        <w:spacing w:line="480" w:lineRule="exact"/>
        <w:ind w:firstLine="413" w:firstLineChars="196"/>
        <w:rPr>
          <w:rFonts w:ascii="宋体" w:hAnsi="宋体" w:cs="宋体"/>
          <w:b/>
          <w:color w:val="auto"/>
          <w:szCs w:val="21"/>
        </w:rPr>
      </w:pPr>
      <w:bookmarkStart w:id="29" w:name="_Toc184635071"/>
      <w:bookmarkStart w:id="30" w:name="_Toc363329370"/>
      <w:bookmarkStart w:id="31" w:name="_Toc368760427"/>
      <w:bookmarkStart w:id="32" w:name="_Toc369077561"/>
      <w:bookmarkStart w:id="33" w:name="_Toc368759375"/>
      <w:bookmarkStart w:id="34" w:name="_Toc367894798"/>
      <w:r>
        <w:rPr>
          <w:rFonts w:hint="eastAsia" w:ascii="宋体" w:hAnsi="宋体" w:cs="宋体"/>
          <w:b/>
          <w:color w:val="auto"/>
          <w:szCs w:val="21"/>
        </w:rPr>
        <w:t>特别提醒：</w:t>
      </w:r>
      <w:bookmarkStart w:id="35" w:name="_Toc387526179"/>
      <w:bookmarkStart w:id="36" w:name="_Toc387526283"/>
      <w:bookmarkStart w:id="37" w:name="_Toc397928549"/>
      <w:bookmarkStart w:id="38" w:name="_Toc18948"/>
      <w:bookmarkStart w:id="39" w:name="_Toc387526375"/>
      <w:r>
        <w:rPr>
          <w:rFonts w:hint="eastAsia" w:ascii="宋体" w:hAnsi="宋体" w:cs="宋体"/>
          <w:b/>
          <w:color w:val="auto"/>
          <w:szCs w:val="21"/>
        </w:rPr>
        <w:t>招标人会根据招标需要，可能会不定期在大丰公共资源电子交易平台发布该项目补充答疑等澄清修改文件，请各投标人自行网上查寻，未能及时查阅响应而影响投标的，结果由投标人负责。</w:t>
      </w:r>
    </w:p>
    <w:p>
      <w:pPr>
        <w:spacing w:line="480" w:lineRule="exact"/>
        <w:ind w:firstLine="422" w:firstLineChars="200"/>
        <w:rPr>
          <w:rFonts w:ascii="宋体" w:hAnsi="宋体" w:cs="宋体"/>
          <w:b/>
          <w:bCs/>
          <w:color w:val="auto"/>
          <w:szCs w:val="21"/>
        </w:rPr>
      </w:pPr>
    </w:p>
    <w:p>
      <w:pPr>
        <w:spacing w:line="480" w:lineRule="exact"/>
        <w:ind w:firstLine="422" w:firstLineChars="200"/>
        <w:rPr>
          <w:rFonts w:ascii="宋体" w:hAnsi="宋体" w:cs="宋体"/>
          <w:b/>
          <w:bCs/>
          <w:color w:val="auto"/>
          <w:szCs w:val="21"/>
        </w:rPr>
      </w:pPr>
    </w:p>
    <w:p>
      <w:pPr>
        <w:spacing w:line="480" w:lineRule="exact"/>
        <w:ind w:firstLine="422" w:firstLineChars="200"/>
        <w:rPr>
          <w:rFonts w:ascii="宋体" w:hAnsi="宋体" w:cs="宋体"/>
          <w:b/>
          <w:bCs/>
          <w:color w:val="auto"/>
          <w:szCs w:val="21"/>
        </w:rPr>
      </w:pPr>
    </w:p>
    <w:p>
      <w:pPr>
        <w:spacing w:line="460" w:lineRule="exact"/>
        <w:ind w:firstLine="422" w:firstLineChars="200"/>
        <w:jc w:val="left"/>
        <w:rPr>
          <w:rFonts w:ascii="宋体" w:hAnsi="宋体" w:cs="宋体"/>
          <w:b/>
          <w:color w:val="auto"/>
          <w:szCs w:val="21"/>
        </w:rPr>
      </w:pPr>
      <w:r>
        <w:rPr>
          <w:rFonts w:ascii="宋体" w:hAnsi="宋体" w:cs="宋体"/>
          <w:b/>
          <w:bCs/>
          <w:color w:val="auto"/>
          <w:szCs w:val="21"/>
        </w:rPr>
        <w:br w:type="page"/>
      </w:r>
      <w:r>
        <w:rPr>
          <w:rFonts w:hint="eastAsia" w:ascii="宋体" w:hAnsi="宋体" w:cs="宋体"/>
          <w:b/>
          <w:bCs/>
          <w:color w:val="auto"/>
          <w:szCs w:val="21"/>
        </w:rPr>
        <w:t>1.总则</w:t>
      </w:r>
      <w:bookmarkEnd w:id="29"/>
      <w:bookmarkEnd w:id="30"/>
      <w:bookmarkEnd w:id="31"/>
      <w:bookmarkEnd w:id="32"/>
      <w:bookmarkEnd w:id="33"/>
      <w:bookmarkEnd w:id="34"/>
      <w:bookmarkEnd w:id="35"/>
      <w:bookmarkEnd w:id="36"/>
      <w:bookmarkEnd w:id="37"/>
      <w:bookmarkEnd w:id="38"/>
      <w:bookmarkEnd w:id="39"/>
    </w:p>
    <w:p>
      <w:pPr>
        <w:pStyle w:val="5"/>
        <w:spacing w:before="0" w:after="0" w:line="460" w:lineRule="exact"/>
        <w:ind w:firstLine="420" w:firstLineChars="200"/>
        <w:jc w:val="left"/>
        <w:rPr>
          <w:rFonts w:ascii="宋体" w:hAnsi="宋体" w:eastAsia="宋体" w:cs="宋体"/>
          <w:color w:val="auto"/>
          <w:sz w:val="21"/>
          <w:szCs w:val="21"/>
        </w:rPr>
      </w:pPr>
      <w:bookmarkStart w:id="40" w:name="_Toc387526180"/>
      <w:bookmarkStart w:id="41" w:name="_Toc508216880"/>
      <w:bookmarkStart w:id="42" w:name="_Toc5365"/>
      <w:bookmarkStart w:id="43" w:name="_Toc387526284"/>
      <w:bookmarkStart w:id="44" w:name="_Toc387526376"/>
      <w:bookmarkStart w:id="45" w:name="_Toc397928550"/>
      <w:r>
        <w:rPr>
          <w:rFonts w:hint="eastAsia" w:ascii="宋体" w:hAnsi="宋体" w:eastAsia="宋体" w:cs="宋体"/>
          <w:color w:val="auto"/>
          <w:sz w:val="21"/>
          <w:szCs w:val="21"/>
        </w:rPr>
        <w:t>1.1 项目概况</w:t>
      </w:r>
      <w:bookmarkEnd w:id="40"/>
      <w:bookmarkEnd w:id="41"/>
      <w:bookmarkEnd w:id="42"/>
      <w:bookmarkEnd w:id="43"/>
      <w:bookmarkEnd w:id="44"/>
      <w:bookmarkEnd w:id="45"/>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1.1.1根据有关法律、法规和规章的规定，本招标项目已具备招标条件，现对本项目服务进行公开招标。</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1.1.2本招标项目招标人：见投标人须知前附表。</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1.1.3本招标项目招标代理机构：见投标人须知前附表。</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1.1.4本招标项目名称：见投标人须知前附表。</w:t>
      </w:r>
    </w:p>
    <w:p>
      <w:pPr>
        <w:pStyle w:val="5"/>
        <w:spacing w:before="0" w:after="0" w:line="460" w:lineRule="exact"/>
        <w:ind w:firstLine="420" w:firstLineChars="200"/>
        <w:jc w:val="left"/>
        <w:rPr>
          <w:rFonts w:ascii="宋体" w:hAnsi="宋体" w:eastAsia="宋体" w:cs="宋体"/>
          <w:color w:val="auto"/>
          <w:sz w:val="21"/>
          <w:szCs w:val="21"/>
        </w:rPr>
      </w:pPr>
      <w:bookmarkStart w:id="46" w:name="_Toc11796"/>
      <w:bookmarkStart w:id="47" w:name="_Toc508216881"/>
      <w:bookmarkStart w:id="48" w:name="_Toc387526285"/>
      <w:bookmarkStart w:id="49" w:name="_Toc397928551"/>
      <w:bookmarkStart w:id="50" w:name="_Toc387526181"/>
      <w:bookmarkStart w:id="51" w:name="_Toc387526377"/>
      <w:r>
        <w:rPr>
          <w:rFonts w:hint="eastAsia" w:ascii="宋体" w:hAnsi="宋体" w:eastAsia="宋体" w:cs="宋体"/>
          <w:color w:val="auto"/>
          <w:sz w:val="21"/>
          <w:szCs w:val="21"/>
        </w:rPr>
        <w:t>1.2 资金来源和落实情况</w:t>
      </w:r>
      <w:bookmarkEnd w:id="46"/>
      <w:bookmarkEnd w:id="47"/>
      <w:bookmarkEnd w:id="48"/>
      <w:bookmarkEnd w:id="49"/>
      <w:bookmarkEnd w:id="50"/>
      <w:bookmarkEnd w:id="51"/>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1.2.1本招标项目的资金来源：见投标人须知前附表。</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1.2.2本招标项目的出资比例：见投标人须知前附表。</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1.2.3本招标项目的资金落实情况：见投标人须知前附表。</w:t>
      </w:r>
    </w:p>
    <w:p>
      <w:pPr>
        <w:pStyle w:val="5"/>
        <w:spacing w:before="0" w:after="0" w:line="460" w:lineRule="exact"/>
        <w:ind w:firstLine="420" w:firstLineChars="200"/>
        <w:jc w:val="left"/>
        <w:rPr>
          <w:rFonts w:ascii="宋体" w:hAnsi="宋体" w:eastAsia="宋体" w:cs="宋体"/>
          <w:color w:val="auto"/>
          <w:sz w:val="21"/>
          <w:szCs w:val="21"/>
        </w:rPr>
      </w:pPr>
      <w:bookmarkStart w:id="52" w:name="_Toc387526378"/>
      <w:bookmarkStart w:id="53" w:name="_Toc853"/>
      <w:bookmarkStart w:id="54" w:name="_Toc387526182"/>
      <w:bookmarkStart w:id="55" w:name="_Toc387526286"/>
      <w:bookmarkStart w:id="56" w:name="_Toc397928552"/>
      <w:bookmarkStart w:id="57" w:name="_Toc508216882"/>
      <w:r>
        <w:rPr>
          <w:rFonts w:hint="eastAsia" w:ascii="宋体" w:hAnsi="宋体" w:eastAsia="宋体" w:cs="宋体"/>
          <w:color w:val="auto"/>
          <w:sz w:val="21"/>
          <w:szCs w:val="21"/>
        </w:rPr>
        <w:t>1.3 招标范围、服务期、服务地点和质量要求</w:t>
      </w:r>
      <w:bookmarkEnd w:id="52"/>
      <w:bookmarkEnd w:id="53"/>
      <w:bookmarkEnd w:id="54"/>
      <w:bookmarkEnd w:id="55"/>
      <w:bookmarkEnd w:id="56"/>
      <w:bookmarkEnd w:id="57"/>
      <w:r>
        <w:rPr>
          <w:rFonts w:hint="eastAsia" w:ascii="宋体" w:hAnsi="宋体" w:eastAsia="宋体" w:cs="宋体"/>
          <w:color w:val="auto"/>
          <w:sz w:val="21"/>
          <w:szCs w:val="21"/>
        </w:rPr>
        <w:t>及验收标准</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1.3.1本次招标范围：见投标人须知前附表。</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1.3.2本招标项目的服务期：见投标人须知前附表。</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1.3.3本招标项目的服务地点：见投标人须知前附表。</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1.3.4本招标项目的质量要求及验收标准：见投标人须知前附表。</w:t>
      </w:r>
    </w:p>
    <w:p>
      <w:pPr>
        <w:pStyle w:val="5"/>
        <w:spacing w:before="0" w:after="0" w:line="460" w:lineRule="exact"/>
        <w:ind w:firstLine="420" w:firstLineChars="200"/>
        <w:jc w:val="left"/>
        <w:rPr>
          <w:rFonts w:ascii="宋体" w:hAnsi="宋体" w:eastAsia="宋体" w:cs="宋体"/>
          <w:color w:val="auto"/>
          <w:sz w:val="21"/>
          <w:szCs w:val="21"/>
        </w:rPr>
      </w:pPr>
      <w:bookmarkStart w:id="58" w:name="_Toc13930"/>
      <w:bookmarkStart w:id="59" w:name="_Toc387526287"/>
      <w:bookmarkStart w:id="60" w:name="_Toc387526379"/>
      <w:bookmarkStart w:id="61" w:name="_Toc387526183"/>
      <w:bookmarkStart w:id="62" w:name="_Toc508216883"/>
      <w:bookmarkStart w:id="63" w:name="_Toc397928553"/>
      <w:r>
        <w:rPr>
          <w:rFonts w:hint="eastAsia" w:ascii="宋体" w:hAnsi="宋体" w:eastAsia="宋体" w:cs="宋体"/>
          <w:color w:val="auto"/>
          <w:sz w:val="21"/>
          <w:szCs w:val="21"/>
        </w:rPr>
        <w:t>1.4 投标人资格要求</w:t>
      </w:r>
      <w:bookmarkEnd w:id="58"/>
      <w:bookmarkEnd w:id="59"/>
      <w:bookmarkEnd w:id="60"/>
      <w:bookmarkEnd w:id="61"/>
      <w:bookmarkEnd w:id="62"/>
      <w:bookmarkEnd w:id="63"/>
    </w:p>
    <w:p>
      <w:pPr>
        <w:autoSpaceDE w:val="0"/>
        <w:autoSpaceDN w:val="0"/>
        <w:spacing w:line="460" w:lineRule="exact"/>
        <w:ind w:firstLine="420" w:firstLineChars="200"/>
        <w:jc w:val="left"/>
        <w:rPr>
          <w:rFonts w:ascii="宋体" w:hAnsi="宋体" w:cs="宋体"/>
          <w:color w:val="auto"/>
          <w:kern w:val="0"/>
          <w:szCs w:val="21"/>
        </w:rPr>
      </w:pPr>
      <w:r>
        <w:rPr>
          <w:rFonts w:hint="eastAsia" w:ascii="宋体" w:hAnsi="宋体" w:cs="宋体"/>
          <w:color w:val="auto"/>
          <w:szCs w:val="21"/>
        </w:rPr>
        <w:t>1.4.1 投标人应具备的资格要求见投标人须知前附表。</w:t>
      </w:r>
    </w:p>
    <w:p>
      <w:pPr>
        <w:pStyle w:val="5"/>
        <w:spacing w:before="0" w:after="0" w:line="460" w:lineRule="exact"/>
        <w:ind w:firstLine="420" w:firstLineChars="200"/>
        <w:jc w:val="left"/>
        <w:rPr>
          <w:rFonts w:ascii="宋体" w:hAnsi="宋体" w:eastAsia="宋体" w:cs="宋体"/>
          <w:color w:val="auto"/>
          <w:sz w:val="21"/>
          <w:szCs w:val="21"/>
        </w:rPr>
      </w:pPr>
      <w:bookmarkStart w:id="64" w:name="_Toc387526184"/>
      <w:bookmarkStart w:id="65" w:name="_Toc508216884"/>
      <w:bookmarkStart w:id="66" w:name="_Toc1684"/>
      <w:bookmarkStart w:id="67" w:name="_Toc397928554"/>
      <w:bookmarkStart w:id="68" w:name="_Toc387526288"/>
      <w:bookmarkStart w:id="69" w:name="_Toc387526380"/>
      <w:r>
        <w:rPr>
          <w:rFonts w:hint="eastAsia" w:ascii="宋体" w:hAnsi="宋体" w:eastAsia="宋体" w:cs="宋体"/>
          <w:color w:val="auto"/>
          <w:sz w:val="21"/>
          <w:szCs w:val="21"/>
        </w:rPr>
        <w:t>1.5 费用承担</w:t>
      </w:r>
      <w:bookmarkEnd w:id="64"/>
      <w:bookmarkEnd w:id="65"/>
      <w:bookmarkEnd w:id="66"/>
      <w:bookmarkEnd w:id="67"/>
      <w:bookmarkEnd w:id="68"/>
      <w:bookmarkEnd w:id="69"/>
    </w:p>
    <w:p>
      <w:pPr>
        <w:autoSpaceDE w:val="0"/>
        <w:autoSpaceDN w:val="0"/>
        <w:spacing w:line="460" w:lineRule="exact"/>
        <w:ind w:firstLine="420" w:firstLineChars="200"/>
        <w:jc w:val="left"/>
        <w:rPr>
          <w:rFonts w:ascii="宋体" w:hAnsi="宋体" w:cs="宋体"/>
          <w:b/>
          <w:color w:val="auto"/>
          <w:szCs w:val="21"/>
        </w:rPr>
      </w:pPr>
      <w:r>
        <w:rPr>
          <w:rFonts w:hint="eastAsia" w:ascii="宋体" w:hAnsi="宋体" w:cs="宋体"/>
          <w:color w:val="auto"/>
          <w:kern w:val="0"/>
          <w:szCs w:val="21"/>
        </w:rPr>
        <w:t>投标人准备和参加投标活动发生的费用自理。</w:t>
      </w:r>
    </w:p>
    <w:p>
      <w:pPr>
        <w:pStyle w:val="5"/>
        <w:spacing w:before="0" w:after="0" w:line="460" w:lineRule="exact"/>
        <w:ind w:firstLine="420" w:firstLineChars="200"/>
        <w:jc w:val="left"/>
        <w:rPr>
          <w:rFonts w:ascii="宋体" w:hAnsi="宋体" w:eastAsia="宋体" w:cs="宋体"/>
          <w:color w:val="auto"/>
          <w:sz w:val="21"/>
          <w:szCs w:val="21"/>
        </w:rPr>
      </w:pPr>
      <w:bookmarkStart w:id="70" w:name="_Toc387526381"/>
      <w:bookmarkStart w:id="71" w:name="_Toc508216885"/>
      <w:bookmarkStart w:id="72" w:name="_Toc5130"/>
      <w:bookmarkStart w:id="73" w:name="_Toc397928555"/>
      <w:bookmarkStart w:id="74" w:name="_Toc387526185"/>
      <w:bookmarkStart w:id="75" w:name="_Toc387526289"/>
      <w:r>
        <w:rPr>
          <w:rFonts w:hint="eastAsia" w:ascii="宋体" w:hAnsi="宋体" w:eastAsia="宋体" w:cs="宋体"/>
          <w:color w:val="auto"/>
          <w:sz w:val="21"/>
          <w:szCs w:val="21"/>
        </w:rPr>
        <w:t>1.6 保密</w:t>
      </w:r>
      <w:bookmarkEnd w:id="70"/>
      <w:bookmarkEnd w:id="71"/>
      <w:bookmarkEnd w:id="72"/>
      <w:bookmarkEnd w:id="73"/>
      <w:bookmarkEnd w:id="74"/>
      <w:bookmarkEnd w:id="75"/>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参与招标投标活动的各方应对招标文件和投标文件中的商业和技术等秘密保密，违者应对由此造成的后果承担法律责任。</w:t>
      </w:r>
    </w:p>
    <w:p>
      <w:pPr>
        <w:pStyle w:val="5"/>
        <w:spacing w:before="0" w:after="0" w:line="460" w:lineRule="exact"/>
        <w:ind w:firstLine="420" w:firstLineChars="200"/>
        <w:jc w:val="left"/>
        <w:rPr>
          <w:rFonts w:ascii="宋体" w:hAnsi="宋体" w:eastAsia="宋体" w:cs="宋体"/>
          <w:color w:val="auto"/>
          <w:sz w:val="21"/>
          <w:szCs w:val="21"/>
        </w:rPr>
      </w:pPr>
      <w:bookmarkStart w:id="76" w:name="_Toc387526382"/>
      <w:bookmarkStart w:id="77" w:name="_Toc387526186"/>
      <w:bookmarkStart w:id="78" w:name="_Toc822"/>
      <w:bookmarkStart w:id="79" w:name="_Toc397928556"/>
      <w:bookmarkStart w:id="80" w:name="_Toc508216886"/>
      <w:bookmarkStart w:id="81" w:name="_Toc387526290"/>
      <w:r>
        <w:rPr>
          <w:rFonts w:hint="eastAsia" w:ascii="宋体" w:hAnsi="宋体" w:eastAsia="宋体" w:cs="宋体"/>
          <w:color w:val="auto"/>
          <w:sz w:val="21"/>
          <w:szCs w:val="21"/>
        </w:rPr>
        <w:t>1.7 语言文字</w:t>
      </w:r>
      <w:bookmarkEnd w:id="76"/>
      <w:bookmarkEnd w:id="77"/>
      <w:bookmarkEnd w:id="78"/>
      <w:bookmarkEnd w:id="79"/>
      <w:bookmarkEnd w:id="80"/>
      <w:bookmarkEnd w:id="81"/>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除专用术语外，与招标投标有关的语言均使用中文。必要时专用术语应附有中文注释。</w:t>
      </w:r>
    </w:p>
    <w:p>
      <w:pPr>
        <w:pStyle w:val="5"/>
        <w:spacing w:before="0" w:after="0" w:line="460" w:lineRule="exact"/>
        <w:ind w:firstLine="420" w:firstLineChars="200"/>
        <w:jc w:val="left"/>
        <w:rPr>
          <w:rFonts w:ascii="宋体" w:hAnsi="宋体" w:eastAsia="宋体" w:cs="宋体"/>
          <w:color w:val="auto"/>
          <w:sz w:val="21"/>
          <w:szCs w:val="21"/>
        </w:rPr>
      </w:pPr>
      <w:bookmarkStart w:id="82" w:name="_Toc31413"/>
      <w:bookmarkStart w:id="83" w:name="_Toc387526383"/>
      <w:bookmarkStart w:id="84" w:name="_Toc397928557"/>
      <w:bookmarkStart w:id="85" w:name="_Toc387526187"/>
      <w:bookmarkStart w:id="86" w:name="_Toc387526291"/>
      <w:bookmarkStart w:id="87" w:name="_Toc508216887"/>
      <w:r>
        <w:rPr>
          <w:rFonts w:hint="eastAsia" w:ascii="宋体" w:hAnsi="宋体" w:eastAsia="宋体" w:cs="宋体"/>
          <w:color w:val="auto"/>
          <w:sz w:val="21"/>
          <w:szCs w:val="21"/>
        </w:rPr>
        <w:t>1.8 计量单位</w:t>
      </w:r>
      <w:bookmarkEnd w:id="82"/>
      <w:bookmarkEnd w:id="83"/>
      <w:bookmarkEnd w:id="84"/>
      <w:bookmarkEnd w:id="85"/>
      <w:bookmarkEnd w:id="86"/>
      <w:bookmarkEnd w:id="87"/>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所有计量均采用中华人民共和国法定计量单位。</w:t>
      </w:r>
    </w:p>
    <w:p>
      <w:pPr>
        <w:pStyle w:val="5"/>
        <w:spacing w:before="0" w:after="0" w:line="460" w:lineRule="exact"/>
        <w:ind w:firstLine="420" w:firstLineChars="200"/>
        <w:jc w:val="left"/>
        <w:rPr>
          <w:rFonts w:ascii="宋体" w:hAnsi="宋体" w:eastAsia="宋体" w:cs="宋体"/>
          <w:color w:val="auto"/>
          <w:sz w:val="21"/>
          <w:szCs w:val="21"/>
        </w:rPr>
      </w:pPr>
      <w:bookmarkStart w:id="88" w:name="_Toc397928558"/>
      <w:bookmarkStart w:id="89" w:name="_Toc387526384"/>
      <w:bookmarkStart w:id="90" w:name="_Toc387526188"/>
      <w:bookmarkStart w:id="91" w:name="_Toc25122"/>
      <w:bookmarkStart w:id="92" w:name="_Toc387526292"/>
      <w:bookmarkStart w:id="93" w:name="_Toc508216888"/>
      <w:r>
        <w:rPr>
          <w:rFonts w:hint="eastAsia" w:ascii="宋体" w:hAnsi="宋体" w:eastAsia="宋体" w:cs="宋体"/>
          <w:color w:val="auto"/>
          <w:sz w:val="21"/>
          <w:szCs w:val="21"/>
        </w:rPr>
        <w:t>1.9 踏勘现场</w:t>
      </w:r>
      <w:bookmarkEnd w:id="88"/>
      <w:bookmarkEnd w:id="89"/>
      <w:bookmarkEnd w:id="90"/>
      <w:bookmarkEnd w:id="91"/>
      <w:bookmarkEnd w:id="92"/>
      <w:bookmarkEnd w:id="93"/>
    </w:p>
    <w:p>
      <w:pPr>
        <w:autoSpaceDE w:val="0"/>
        <w:autoSpaceDN w:val="0"/>
        <w:spacing w:line="4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1.9.1 招标人不组织投标人踏勘现场，投标人可以自行对工程施工现场和周围环境进行勘察，以获取编制投标文件和签署合同所需的所有资料。</w:t>
      </w:r>
    </w:p>
    <w:p>
      <w:pPr>
        <w:autoSpaceDE w:val="0"/>
        <w:autoSpaceDN w:val="0"/>
        <w:spacing w:line="4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1.9.2 投标人踏勘现场发生的费用自理。</w:t>
      </w:r>
    </w:p>
    <w:p>
      <w:pPr>
        <w:autoSpaceDE w:val="0"/>
        <w:autoSpaceDN w:val="0"/>
        <w:spacing w:line="4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1.9.3 投标人自行负责在踏勘现场中所发生的人员伤亡和财产损失。</w:t>
      </w:r>
    </w:p>
    <w:p>
      <w:pPr>
        <w:autoSpaceDE w:val="0"/>
        <w:autoSpaceDN w:val="0"/>
        <w:spacing w:line="4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1.9.4 招标人向投标人提供的有关施工现场的资料和数据是招标人现有的能使投标人利用的资料。招标人对投标人由此而做出的推论、理解和结论概不负责。</w:t>
      </w:r>
    </w:p>
    <w:p>
      <w:pPr>
        <w:pStyle w:val="5"/>
        <w:spacing w:before="0" w:after="0" w:line="460" w:lineRule="exact"/>
        <w:ind w:firstLine="420" w:firstLineChars="200"/>
        <w:jc w:val="left"/>
        <w:rPr>
          <w:rFonts w:ascii="宋体" w:hAnsi="宋体" w:eastAsia="宋体" w:cs="宋体"/>
          <w:color w:val="auto"/>
          <w:sz w:val="21"/>
          <w:szCs w:val="21"/>
        </w:rPr>
      </w:pPr>
      <w:bookmarkStart w:id="94" w:name="_Toc387526293"/>
      <w:bookmarkStart w:id="95" w:name="_Toc508216889"/>
      <w:bookmarkStart w:id="96" w:name="_Toc11088"/>
      <w:bookmarkStart w:id="97" w:name="_Toc387526385"/>
      <w:bookmarkStart w:id="98" w:name="_Toc387526189"/>
      <w:bookmarkStart w:id="99" w:name="_Toc397928559"/>
      <w:r>
        <w:rPr>
          <w:rFonts w:hint="eastAsia" w:ascii="宋体" w:hAnsi="宋体" w:eastAsia="宋体" w:cs="宋体"/>
          <w:color w:val="auto"/>
          <w:sz w:val="21"/>
          <w:szCs w:val="21"/>
        </w:rPr>
        <w:t>1.10 投标预备会</w:t>
      </w:r>
      <w:bookmarkEnd w:id="94"/>
      <w:bookmarkEnd w:id="95"/>
      <w:bookmarkEnd w:id="96"/>
      <w:bookmarkEnd w:id="97"/>
      <w:bookmarkEnd w:id="98"/>
      <w:bookmarkEnd w:id="99"/>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本项目不召开投标预备会。</w:t>
      </w:r>
    </w:p>
    <w:p>
      <w:pPr>
        <w:pStyle w:val="5"/>
        <w:spacing w:before="0" w:after="0" w:line="460" w:lineRule="exact"/>
        <w:ind w:firstLine="420" w:firstLineChars="200"/>
        <w:jc w:val="left"/>
        <w:rPr>
          <w:rFonts w:ascii="宋体" w:hAnsi="宋体" w:eastAsia="宋体" w:cs="宋体"/>
          <w:color w:val="auto"/>
          <w:sz w:val="21"/>
          <w:szCs w:val="21"/>
        </w:rPr>
      </w:pPr>
      <w:bookmarkStart w:id="100" w:name="_Toc387526386"/>
      <w:bookmarkStart w:id="101" w:name="_Toc366679673"/>
      <w:bookmarkStart w:id="102" w:name="_Toc508216890"/>
      <w:bookmarkStart w:id="103" w:name="_Toc397928560"/>
      <w:bookmarkStart w:id="104" w:name="_Toc387526190"/>
      <w:bookmarkStart w:id="105" w:name="_Toc387526294"/>
      <w:bookmarkStart w:id="106" w:name="_Toc21970"/>
      <w:bookmarkStart w:id="107" w:name="_Toc367894799"/>
      <w:bookmarkStart w:id="108" w:name="_Toc363329371"/>
      <w:r>
        <w:rPr>
          <w:rFonts w:hint="eastAsia" w:ascii="宋体" w:hAnsi="宋体" w:eastAsia="宋体" w:cs="宋体"/>
          <w:color w:val="auto"/>
          <w:sz w:val="21"/>
          <w:szCs w:val="21"/>
        </w:rPr>
        <w:t>1.11 偏离</w:t>
      </w:r>
      <w:bookmarkEnd w:id="100"/>
      <w:bookmarkEnd w:id="101"/>
      <w:bookmarkEnd w:id="102"/>
      <w:bookmarkEnd w:id="103"/>
      <w:bookmarkEnd w:id="104"/>
      <w:bookmarkEnd w:id="105"/>
      <w:bookmarkEnd w:id="106"/>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投标人须知前附表允许投标文件偏离招标文件某些要求的，偏离应当符合招标文件规定的偏离范围和幅度。</w:t>
      </w:r>
    </w:p>
    <w:p>
      <w:pPr>
        <w:pStyle w:val="153"/>
        <w:spacing w:before="0" w:after="0" w:line="460" w:lineRule="exact"/>
        <w:ind w:firstLine="422" w:firstLineChars="200"/>
        <w:jc w:val="left"/>
        <w:rPr>
          <w:rFonts w:ascii="宋体" w:hAnsi="宋体"/>
          <w:color w:val="auto"/>
          <w:sz w:val="21"/>
          <w:szCs w:val="21"/>
        </w:rPr>
      </w:pPr>
      <w:bookmarkStart w:id="109" w:name="_Toc30422"/>
      <w:bookmarkStart w:id="110" w:name="_Toc387526191"/>
      <w:bookmarkStart w:id="111" w:name="_Toc387526295"/>
      <w:bookmarkStart w:id="112" w:name="_Toc368759376"/>
      <w:bookmarkStart w:id="113" w:name="_Toc369077562"/>
      <w:bookmarkStart w:id="114" w:name="_Toc397928561"/>
      <w:bookmarkStart w:id="115" w:name="_Toc508216891"/>
      <w:bookmarkStart w:id="116" w:name="_Toc387526387"/>
      <w:bookmarkStart w:id="117" w:name="_Toc368760428"/>
      <w:r>
        <w:rPr>
          <w:rFonts w:hint="eastAsia" w:ascii="宋体" w:hAnsi="宋体"/>
          <w:color w:val="auto"/>
          <w:sz w:val="21"/>
          <w:szCs w:val="21"/>
        </w:rPr>
        <w:t>2.招标文件</w:t>
      </w:r>
      <w:bookmarkEnd w:id="107"/>
      <w:bookmarkEnd w:id="108"/>
      <w:bookmarkEnd w:id="109"/>
      <w:bookmarkEnd w:id="110"/>
      <w:bookmarkEnd w:id="111"/>
      <w:bookmarkEnd w:id="112"/>
      <w:bookmarkEnd w:id="113"/>
      <w:bookmarkEnd w:id="114"/>
      <w:bookmarkEnd w:id="115"/>
      <w:bookmarkEnd w:id="116"/>
      <w:bookmarkEnd w:id="117"/>
    </w:p>
    <w:p>
      <w:pPr>
        <w:pStyle w:val="5"/>
        <w:spacing w:before="0" w:after="0" w:line="460" w:lineRule="exact"/>
        <w:ind w:firstLine="420" w:firstLineChars="200"/>
        <w:jc w:val="left"/>
        <w:rPr>
          <w:rFonts w:ascii="宋体" w:hAnsi="宋体" w:eastAsia="宋体" w:cs="宋体"/>
          <w:color w:val="auto"/>
          <w:sz w:val="21"/>
          <w:szCs w:val="21"/>
        </w:rPr>
      </w:pPr>
      <w:bookmarkStart w:id="118" w:name="_Toc23070"/>
      <w:bookmarkStart w:id="119" w:name="_Toc387526388"/>
      <w:bookmarkStart w:id="120" w:name="_Toc397928562"/>
      <w:bookmarkStart w:id="121" w:name="_Toc387526192"/>
      <w:bookmarkStart w:id="122" w:name="_Toc508216892"/>
      <w:bookmarkStart w:id="123" w:name="_Toc387526296"/>
      <w:r>
        <w:rPr>
          <w:rFonts w:hint="eastAsia" w:ascii="宋体" w:hAnsi="宋体" w:eastAsia="宋体" w:cs="宋体"/>
          <w:color w:val="auto"/>
          <w:sz w:val="21"/>
          <w:szCs w:val="21"/>
        </w:rPr>
        <w:t>2.1 招标文件组成</w:t>
      </w:r>
      <w:bookmarkEnd w:id="118"/>
      <w:bookmarkEnd w:id="119"/>
      <w:bookmarkEnd w:id="120"/>
      <w:bookmarkEnd w:id="121"/>
      <w:bookmarkEnd w:id="122"/>
      <w:bookmarkEnd w:id="123"/>
    </w:p>
    <w:p>
      <w:pPr>
        <w:shd w:val="clear" w:color="auto" w:fill="FFFFFF"/>
        <w:autoSpaceDE w:val="0"/>
        <w:autoSpaceDN w:val="0"/>
        <w:spacing w:line="460" w:lineRule="exact"/>
        <w:ind w:firstLine="420" w:firstLineChars="200"/>
        <w:jc w:val="left"/>
        <w:rPr>
          <w:rFonts w:ascii="宋体" w:hAnsi="宋体" w:cs="宋体"/>
          <w:color w:val="auto"/>
          <w:szCs w:val="21"/>
        </w:rPr>
      </w:pPr>
      <w:r>
        <w:rPr>
          <w:rFonts w:hint="eastAsia" w:ascii="宋体" w:hAnsi="宋体" w:cs="宋体"/>
          <w:color w:val="auto"/>
          <w:szCs w:val="21"/>
        </w:rPr>
        <w:t>2.1.1 本招标文件包括：</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（1）招标公告；</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（2）投标人须知；</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（3）评标办法；</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（4）合同条款及格式；</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（5）技术要求；</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（6）投标文件格式；</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（7）投标人须知前附表规定的其他材料。</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2.1.2 根据本章第1.10款、第2.2款和第2.3款对招标文件所作的澄清、修改，构成招标文件的组成部分。当招标文件相互之间发生矛盾时，以后发出的文件为准。</w:t>
      </w:r>
    </w:p>
    <w:p>
      <w:pPr>
        <w:pStyle w:val="5"/>
        <w:spacing w:before="0" w:after="0" w:line="460" w:lineRule="exact"/>
        <w:ind w:firstLine="420" w:firstLineChars="200"/>
        <w:jc w:val="left"/>
        <w:rPr>
          <w:rFonts w:ascii="宋体" w:hAnsi="宋体" w:eastAsia="宋体" w:cs="宋体"/>
          <w:color w:val="auto"/>
          <w:sz w:val="21"/>
          <w:szCs w:val="21"/>
        </w:rPr>
      </w:pPr>
      <w:bookmarkStart w:id="124" w:name="_Toc508216893"/>
      <w:bookmarkStart w:id="125" w:name="_Toc179632562"/>
      <w:bookmarkStart w:id="126" w:name="_Toc246996932"/>
      <w:bookmarkStart w:id="127" w:name="_Toc397928563"/>
      <w:bookmarkStart w:id="128" w:name="_Toc152042320"/>
      <w:bookmarkStart w:id="129" w:name="_Toc366679676"/>
      <w:bookmarkStart w:id="130" w:name="_Toc152045544"/>
      <w:bookmarkStart w:id="131" w:name="_Toc9593"/>
      <w:bookmarkStart w:id="132" w:name="_Toc387526297"/>
      <w:bookmarkStart w:id="133" w:name="_Toc387526193"/>
      <w:bookmarkStart w:id="134" w:name="_Toc246996189"/>
      <w:bookmarkStart w:id="135" w:name="_Toc247085703"/>
      <w:bookmarkStart w:id="136" w:name="_Toc144974512"/>
      <w:bookmarkStart w:id="137" w:name="_Toc387526389"/>
      <w:r>
        <w:rPr>
          <w:rFonts w:hint="eastAsia" w:ascii="宋体" w:hAnsi="宋体" w:eastAsia="宋体" w:cs="宋体"/>
          <w:color w:val="auto"/>
          <w:sz w:val="21"/>
          <w:szCs w:val="21"/>
        </w:rPr>
        <w:t>2.2 招标文件的澄清</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Pr>
          <w:rFonts w:hint="eastAsia" w:ascii="宋体" w:hAnsi="宋体" w:eastAsia="宋体" w:cs="宋体"/>
          <w:color w:val="auto"/>
          <w:sz w:val="21"/>
          <w:szCs w:val="21"/>
        </w:rPr>
        <w:t xml:space="preserve"> </w:t>
      </w:r>
    </w:p>
    <w:p>
      <w:pPr>
        <w:spacing w:line="460" w:lineRule="exact"/>
        <w:ind w:firstLine="420" w:firstLineChars="200"/>
        <w:jc w:val="left"/>
        <w:rPr>
          <w:rFonts w:ascii="宋体" w:hAnsi="宋体" w:cs="宋体"/>
          <w:color w:val="auto"/>
          <w:szCs w:val="21"/>
        </w:rPr>
      </w:pPr>
      <w:bookmarkStart w:id="138" w:name="_Toc246996933"/>
      <w:bookmarkStart w:id="139" w:name="_Toc247085704"/>
      <w:bookmarkStart w:id="140" w:name="_Toc179632563"/>
      <w:bookmarkStart w:id="141" w:name="_Toc387526194"/>
      <w:bookmarkStart w:id="142" w:name="_Toc19263"/>
      <w:bookmarkStart w:id="143" w:name="_Toc387526390"/>
      <w:bookmarkStart w:id="144" w:name="_Toc387526298"/>
      <w:bookmarkStart w:id="145" w:name="_Toc366679677"/>
      <w:bookmarkStart w:id="146" w:name="_Toc246996190"/>
      <w:bookmarkStart w:id="147" w:name="_Toc397928564"/>
      <w:r>
        <w:rPr>
          <w:rFonts w:hint="eastAsia" w:ascii="宋体" w:hAnsi="宋体" w:cs="宋体"/>
          <w:color w:val="auto"/>
          <w:szCs w:val="21"/>
        </w:rPr>
        <w:t>2.2.1 投标人应仔细阅读和检查招标文件的全部内容。如发现缺页或附件不全，应及时向招标人提出，以便补齐。如有疑问，应在投标人须知前附表规定的时间前以书面形式要求招标人对招标文件予以澄清，招标人应当在3日内对投标人依法提出的询问作出答复。</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2.2.2 招标文件的澄清将在投标人须知前附表规定的投标截止时间前以“补充答疑”的形式在大丰公共资源电子交易平台上公开发布，但不指明澄清问题的来源。如果澄清发出的时间距投标截止时间不足15天，且澄清内容影响投标文件编制的，相应延长投标截止时间。</w:t>
      </w:r>
    </w:p>
    <w:p>
      <w:pPr>
        <w:pStyle w:val="5"/>
        <w:spacing w:before="0" w:after="0" w:line="460" w:lineRule="exact"/>
        <w:ind w:firstLine="420" w:firstLineChars="200"/>
        <w:jc w:val="left"/>
        <w:rPr>
          <w:rFonts w:ascii="宋体" w:hAnsi="宋体" w:eastAsia="宋体" w:cs="宋体"/>
          <w:color w:val="auto"/>
          <w:sz w:val="21"/>
          <w:szCs w:val="21"/>
        </w:rPr>
      </w:pPr>
      <w:bookmarkStart w:id="148" w:name="_Toc508216894"/>
      <w:r>
        <w:rPr>
          <w:rFonts w:hint="eastAsia" w:ascii="宋体" w:hAnsi="宋体" w:eastAsia="宋体" w:cs="宋体"/>
          <w:color w:val="auto"/>
          <w:sz w:val="21"/>
          <w:szCs w:val="21"/>
        </w:rPr>
        <w:t>2.3 招标文件的修改</w:t>
      </w:r>
      <w:bookmarkEnd w:id="138"/>
      <w:bookmarkEnd w:id="139"/>
      <w:bookmarkEnd w:id="140"/>
      <w:bookmarkEnd w:id="141"/>
      <w:bookmarkEnd w:id="142"/>
      <w:bookmarkEnd w:id="143"/>
      <w:bookmarkEnd w:id="144"/>
      <w:bookmarkEnd w:id="145"/>
      <w:bookmarkEnd w:id="146"/>
      <w:bookmarkEnd w:id="147"/>
      <w:bookmarkEnd w:id="148"/>
    </w:p>
    <w:p>
      <w:pPr>
        <w:spacing w:line="460" w:lineRule="exact"/>
        <w:ind w:firstLine="420" w:firstLineChars="200"/>
        <w:jc w:val="left"/>
        <w:rPr>
          <w:rFonts w:ascii="宋体" w:hAnsi="宋体" w:cs="宋体"/>
          <w:color w:val="auto"/>
          <w:szCs w:val="21"/>
        </w:rPr>
      </w:pPr>
      <w:bookmarkStart w:id="149" w:name="_Toc368759377"/>
      <w:bookmarkStart w:id="150" w:name="_Toc19481"/>
      <w:bookmarkStart w:id="151" w:name="_Toc368760429"/>
      <w:bookmarkStart w:id="152" w:name="_Toc397928565"/>
      <w:bookmarkStart w:id="153" w:name="_Toc387526299"/>
      <w:bookmarkStart w:id="154" w:name="_Toc387526391"/>
      <w:bookmarkStart w:id="155" w:name="_Toc367894800"/>
      <w:bookmarkStart w:id="156" w:name="_Toc369077563"/>
      <w:bookmarkStart w:id="157" w:name="_Toc363329372"/>
      <w:bookmarkStart w:id="158" w:name="_Toc387526195"/>
      <w:bookmarkStart w:id="159" w:name="_Toc119718089"/>
      <w:r>
        <w:rPr>
          <w:rFonts w:hint="eastAsia" w:ascii="宋体" w:hAnsi="宋体" w:cs="宋体"/>
          <w:color w:val="auto"/>
          <w:szCs w:val="21"/>
        </w:rPr>
        <w:t>2.3.1 在投标截止时间前，招标人可以以“补充答疑”的形式在大丰公共资源电子交易平台上修改招标文件。如果修改招标文件的时间距投标截止时间不足15天，且修改内容影响投标文件编制的，相应延长投标截止时间。</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2.4 投标人提出异议截止时间</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2.4.1 潜在投标人对招标文件有异议的，可以在投标须知前附表规定的截止时间前以书面形式向招标人提出异议，未在规定时间内提出的异议，招标人不予受理。</w:t>
      </w:r>
    </w:p>
    <w:p>
      <w:pPr>
        <w:pStyle w:val="153"/>
        <w:spacing w:before="0" w:after="0" w:line="460" w:lineRule="exact"/>
        <w:ind w:firstLine="422" w:firstLineChars="200"/>
        <w:jc w:val="left"/>
        <w:rPr>
          <w:rFonts w:ascii="宋体" w:hAnsi="宋体"/>
          <w:color w:val="auto"/>
          <w:sz w:val="21"/>
          <w:szCs w:val="21"/>
        </w:rPr>
      </w:pPr>
      <w:bookmarkStart w:id="160" w:name="_Toc508216895"/>
      <w:r>
        <w:rPr>
          <w:rFonts w:hint="eastAsia" w:ascii="宋体" w:hAnsi="宋体"/>
          <w:color w:val="auto"/>
          <w:sz w:val="21"/>
          <w:szCs w:val="21"/>
        </w:rPr>
        <w:t>3.投标文件</w:t>
      </w:r>
      <w:bookmarkEnd w:id="149"/>
      <w:bookmarkEnd w:id="150"/>
      <w:bookmarkEnd w:id="151"/>
      <w:bookmarkEnd w:id="152"/>
      <w:bookmarkEnd w:id="153"/>
      <w:bookmarkEnd w:id="154"/>
      <w:bookmarkEnd w:id="155"/>
      <w:bookmarkEnd w:id="156"/>
      <w:bookmarkEnd w:id="157"/>
      <w:bookmarkEnd w:id="158"/>
      <w:bookmarkEnd w:id="160"/>
    </w:p>
    <w:p>
      <w:pPr>
        <w:pStyle w:val="5"/>
        <w:spacing w:before="0" w:after="0" w:line="460" w:lineRule="exact"/>
        <w:ind w:firstLine="420" w:firstLineChars="200"/>
        <w:jc w:val="left"/>
        <w:rPr>
          <w:rFonts w:ascii="宋体" w:hAnsi="宋体" w:eastAsia="宋体" w:cs="宋体"/>
          <w:color w:val="auto"/>
          <w:sz w:val="21"/>
          <w:szCs w:val="21"/>
        </w:rPr>
      </w:pPr>
      <w:bookmarkStart w:id="161" w:name="_Toc387526300"/>
      <w:bookmarkStart w:id="162" w:name="_Toc387526196"/>
      <w:bookmarkStart w:id="163" w:name="_Toc387526392"/>
      <w:bookmarkStart w:id="164" w:name="_Toc5625"/>
      <w:bookmarkStart w:id="165" w:name="_Toc508216896"/>
      <w:bookmarkStart w:id="166" w:name="_Toc397928566"/>
      <w:r>
        <w:rPr>
          <w:rFonts w:hint="eastAsia" w:ascii="宋体" w:hAnsi="宋体" w:eastAsia="宋体" w:cs="宋体"/>
          <w:color w:val="auto"/>
          <w:sz w:val="21"/>
          <w:szCs w:val="21"/>
        </w:rPr>
        <w:t>3.1 投标文件</w:t>
      </w:r>
      <w:bookmarkEnd w:id="159"/>
      <w:r>
        <w:rPr>
          <w:rFonts w:hint="eastAsia" w:ascii="宋体" w:hAnsi="宋体" w:eastAsia="宋体" w:cs="宋体"/>
          <w:color w:val="auto"/>
          <w:sz w:val="21"/>
          <w:szCs w:val="21"/>
        </w:rPr>
        <w:t>的组成</w:t>
      </w:r>
      <w:bookmarkEnd w:id="161"/>
      <w:bookmarkEnd w:id="162"/>
      <w:bookmarkEnd w:id="163"/>
      <w:bookmarkEnd w:id="164"/>
      <w:bookmarkEnd w:id="165"/>
      <w:bookmarkEnd w:id="166"/>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3.1.1 投标文件组成见“投标人须知前附表”；</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3.1.2 招标文件“第六章 投标文件格式”有规定格式要求的，投标人应按规定的格式填写并按要求提交相关的证明材料。</w:t>
      </w:r>
    </w:p>
    <w:p>
      <w:pPr>
        <w:pStyle w:val="5"/>
        <w:spacing w:before="0" w:after="0" w:line="460" w:lineRule="exact"/>
        <w:ind w:firstLine="420" w:firstLineChars="200"/>
        <w:jc w:val="left"/>
        <w:rPr>
          <w:rFonts w:ascii="宋体" w:hAnsi="宋体" w:eastAsia="宋体" w:cs="宋体"/>
          <w:color w:val="auto"/>
          <w:sz w:val="21"/>
          <w:szCs w:val="21"/>
        </w:rPr>
      </w:pPr>
      <w:bookmarkStart w:id="167" w:name="_Toc397928567"/>
      <w:bookmarkStart w:id="168" w:name="_Toc387526393"/>
      <w:bookmarkStart w:id="169" w:name="_Toc387526197"/>
      <w:bookmarkStart w:id="170" w:name="_Toc508216897"/>
      <w:bookmarkStart w:id="171" w:name="_Toc10820"/>
      <w:bookmarkStart w:id="172" w:name="_Toc387526301"/>
      <w:r>
        <w:rPr>
          <w:rFonts w:hint="eastAsia" w:ascii="宋体" w:hAnsi="宋体" w:eastAsia="宋体" w:cs="宋体"/>
          <w:color w:val="auto"/>
          <w:sz w:val="21"/>
          <w:szCs w:val="21"/>
        </w:rPr>
        <w:t>3.2 投标报价</w:t>
      </w:r>
      <w:bookmarkEnd w:id="167"/>
      <w:bookmarkEnd w:id="168"/>
      <w:bookmarkEnd w:id="169"/>
      <w:bookmarkEnd w:id="170"/>
      <w:bookmarkEnd w:id="171"/>
      <w:bookmarkEnd w:id="172"/>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3.2.1投标报价应包含本招标文件中的全部内容所需的所有费用。</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3.2.2投标人按投标人须知前附表的具体规定进行报价。</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3.2.3招标人设有最高投标限价的，投标人的投标报价（含各分项报价）不得超过最高投标限价，最高投标限价计算明细如下：</w:t>
      </w:r>
    </w:p>
    <w:p>
      <w:pPr>
        <w:spacing w:line="560" w:lineRule="exact"/>
        <w:ind w:firstLine="480" w:firstLineChars="200"/>
        <w:rPr>
          <w:rFonts w:hint="eastAsia" w:ascii="宋体" w:hAnsi="宋体" w:cs="宋体"/>
          <w:color w:val="auto"/>
          <w:kern w:val="1"/>
          <w:sz w:val="24"/>
          <w:szCs w:val="24"/>
        </w:rPr>
      </w:pPr>
      <w:r>
        <w:rPr>
          <w:rFonts w:hint="eastAsia" w:ascii="宋体" w:hAnsi="宋体" w:cs="宋体"/>
          <w:color w:val="auto"/>
          <w:sz w:val="24"/>
          <w:szCs w:val="24"/>
        </w:rPr>
        <w:t>①城市会客厅项目：</w:t>
      </w:r>
    </w:p>
    <w:tbl>
      <w:tblPr>
        <w:tblStyle w:val="48"/>
        <w:tblW w:w="91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60"/>
        <w:gridCol w:w="962"/>
        <w:gridCol w:w="963"/>
        <w:gridCol w:w="1061"/>
        <w:gridCol w:w="1416"/>
        <w:gridCol w:w="2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860" w:type="dxa"/>
            <w:vMerge w:val="restart"/>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委托内容</w:t>
            </w:r>
          </w:p>
        </w:tc>
        <w:tc>
          <w:tcPr>
            <w:tcW w:w="1925" w:type="dxa"/>
            <w:gridSpan w:val="2"/>
            <w:vMerge w:val="restart"/>
            <w:vAlign w:val="center"/>
          </w:tcPr>
          <w:p>
            <w:pPr>
              <w:jc w:val="center"/>
              <w:textAlignment w:val="center"/>
              <w:rPr>
                <w:rFonts w:ascii="宋体" w:hAnsi="宋体" w:cs="宋体"/>
                <w:b/>
                <w:color w:val="auto"/>
                <w:kern w:val="0"/>
                <w:szCs w:val="21"/>
              </w:rPr>
            </w:pPr>
            <w:r>
              <w:rPr>
                <w:rFonts w:hint="eastAsia" w:ascii="宋体" w:hAnsi="宋体" w:cs="宋体"/>
                <w:b/>
                <w:color w:val="auto"/>
                <w:szCs w:val="21"/>
              </w:rPr>
              <w:t>收费基准价（万元）</w:t>
            </w:r>
          </w:p>
        </w:tc>
        <w:tc>
          <w:tcPr>
            <w:tcW w:w="2477" w:type="dxa"/>
            <w:gridSpan w:val="2"/>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招标控制价</w:t>
            </w:r>
          </w:p>
        </w:tc>
        <w:tc>
          <w:tcPr>
            <w:tcW w:w="2856" w:type="dxa"/>
            <w:vMerge w:val="restart"/>
            <w:vAlign w:val="center"/>
          </w:tcPr>
          <w:p>
            <w:pPr>
              <w:widowControl/>
              <w:jc w:val="center"/>
              <w:textAlignment w:val="center"/>
              <w:rPr>
                <w:rFonts w:ascii="宋体" w:hAnsi="宋体" w:cs="宋体"/>
                <w:b/>
                <w:color w:val="auto"/>
                <w:kern w:val="0"/>
                <w:szCs w:val="21"/>
              </w:rPr>
            </w:pPr>
            <w:r>
              <w:rPr>
                <w:rFonts w:hint="eastAsia" w:ascii="宋体" w:hAnsi="宋体" w:cs="宋体"/>
                <w:b/>
                <w:color w:val="auto"/>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860" w:type="dxa"/>
            <w:vMerge w:val="continue"/>
            <w:vAlign w:val="center"/>
          </w:tcPr>
          <w:p>
            <w:pPr>
              <w:widowControl/>
              <w:jc w:val="center"/>
              <w:rPr>
                <w:rFonts w:ascii="宋体" w:hAnsi="宋体" w:cs="宋体"/>
                <w:b/>
                <w:color w:val="auto"/>
                <w:szCs w:val="21"/>
              </w:rPr>
            </w:pPr>
          </w:p>
        </w:tc>
        <w:tc>
          <w:tcPr>
            <w:tcW w:w="1925" w:type="dxa"/>
            <w:gridSpan w:val="2"/>
            <w:vMerge w:val="continue"/>
            <w:vAlign w:val="center"/>
          </w:tcPr>
          <w:p>
            <w:pPr>
              <w:widowControl/>
              <w:jc w:val="center"/>
              <w:textAlignment w:val="center"/>
              <w:rPr>
                <w:rFonts w:ascii="宋体" w:hAnsi="宋体" w:cs="宋体"/>
                <w:b/>
                <w:color w:val="auto"/>
                <w:kern w:val="0"/>
                <w:szCs w:val="21"/>
              </w:rPr>
            </w:pPr>
          </w:p>
        </w:tc>
        <w:tc>
          <w:tcPr>
            <w:tcW w:w="1061" w:type="dxa"/>
            <w:vAlign w:val="center"/>
          </w:tcPr>
          <w:p>
            <w:pPr>
              <w:widowControl/>
              <w:jc w:val="center"/>
              <w:textAlignment w:val="center"/>
              <w:rPr>
                <w:rFonts w:ascii="宋体" w:hAnsi="宋体" w:cs="宋体"/>
                <w:b/>
                <w:color w:val="auto"/>
                <w:kern w:val="0"/>
                <w:szCs w:val="21"/>
              </w:rPr>
            </w:pPr>
            <w:r>
              <w:rPr>
                <w:rFonts w:hint="eastAsia" w:ascii="宋体" w:hAnsi="宋体" w:cs="宋体"/>
                <w:b/>
                <w:color w:val="auto"/>
                <w:kern w:val="0"/>
                <w:szCs w:val="21"/>
              </w:rPr>
              <w:t>费率</w:t>
            </w:r>
          </w:p>
        </w:tc>
        <w:tc>
          <w:tcPr>
            <w:tcW w:w="1416" w:type="dxa"/>
            <w:vAlign w:val="center"/>
          </w:tcPr>
          <w:p>
            <w:pPr>
              <w:widowControl/>
              <w:jc w:val="center"/>
              <w:textAlignment w:val="center"/>
              <w:rPr>
                <w:rFonts w:ascii="宋体" w:hAnsi="宋体" w:cs="宋体"/>
                <w:b/>
                <w:color w:val="auto"/>
                <w:kern w:val="0"/>
                <w:szCs w:val="21"/>
              </w:rPr>
            </w:pPr>
            <w:r>
              <w:rPr>
                <w:rFonts w:hint="eastAsia" w:ascii="宋体" w:hAnsi="宋体" w:cs="宋体"/>
                <w:b/>
                <w:color w:val="auto"/>
                <w:kern w:val="0"/>
                <w:szCs w:val="21"/>
              </w:rPr>
              <w:t>价格（万元）</w:t>
            </w:r>
          </w:p>
        </w:tc>
        <w:tc>
          <w:tcPr>
            <w:tcW w:w="2856" w:type="dxa"/>
            <w:vMerge w:val="continue"/>
            <w:vAlign w:val="center"/>
          </w:tcPr>
          <w:p>
            <w:pPr>
              <w:widowControl/>
              <w:jc w:val="center"/>
              <w:textAlignment w:val="center"/>
              <w:rPr>
                <w:rFonts w:ascii="宋体" w:hAnsi="宋体" w:cs="宋体"/>
                <w:b/>
                <w:color w:val="auto"/>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1860" w:type="dxa"/>
            <w:vMerge w:val="restart"/>
            <w:vAlign w:val="center"/>
          </w:tcPr>
          <w:p>
            <w:pPr>
              <w:jc w:val="center"/>
              <w:textAlignment w:val="center"/>
              <w:rPr>
                <w:rFonts w:ascii="宋体" w:hAnsi="宋体" w:cs="宋体"/>
                <w:color w:val="auto"/>
                <w:szCs w:val="21"/>
              </w:rPr>
            </w:pPr>
            <w:r>
              <w:rPr>
                <w:rFonts w:hint="eastAsia" w:ascii="宋体" w:hAnsi="宋体" w:cs="宋体"/>
                <w:color w:val="auto"/>
                <w:szCs w:val="21"/>
              </w:rPr>
              <w:t>施工全过程造价控制</w:t>
            </w:r>
          </w:p>
        </w:tc>
        <w:tc>
          <w:tcPr>
            <w:tcW w:w="962"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基本收费</w:t>
            </w:r>
          </w:p>
        </w:tc>
        <w:tc>
          <w:tcPr>
            <w:tcW w:w="963"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38.5</w:t>
            </w:r>
          </w:p>
        </w:tc>
        <w:tc>
          <w:tcPr>
            <w:tcW w:w="1061" w:type="dxa"/>
            <w:vAlign w:val="center"/>
          </w:tcPr>
          <w:p>
            <w:pPr>
              <w:widowControl/>
              <w:jc w:val="center"/>
              <w:rPr>
                <w:rFonts w:ascii="宋体" w:hAnsi="宋体" w:cs="宋体"/>
                <w:color w:val="auto"/>
                <w:szCs w:val="21"/>
              </w:rPr>
            </w:pPr>
            <w:r>
              <w:rPr>
                <w:rFonts w:hint="eastAsia" w:ascii="宋体" w:hAnsi="宋体" w:cs="宋体"/>
                <w:color w:val="auto"/>
                <w:szCs w:val="21"/>
              </w:rPr>
              <w:t>40%</w:t>
            </w:r>
          </w:p>
        </w:tc>
        <w:tc>
          <w:tcPr>
            <w:tcW w:w="1416" w:type="dxa"/>
            <w:vAlign w:val="center"/>
          </w:tcPr>
          <w:p>
            <w:pPr>
              <w:jc w:val="center"/>
              <w:rPr>
                <w:rFonts w:ascii="宋体" w:hAnsi="宋体" w:cs="宋体"/>
                <w:color w:val="auto"/>
                <w:szCs w:val="21"/>
              </w:rPr>
            </w:pPr>
            <w:r>
              <w:rPr>
                <w:rFonts w:ascii="宋体" w:hAnsi="宋体" w:cs="宋体"/>
                <w:color w:val="auto"/>
                <w:szCs w:val="21"/>
              </w:rPr>
              <w:t>15.4</w:t>
            </w:r>
          </w:p>
        </w:tc>
        <w:tc>
          <w:tcPr>
            <w:tcW w:w="2856" w:type="dxa"/>
            <w:vMerge w:val="restart"/>
            <w:vAlign w:val="center"/>
          </w:tcPr>
          <w:p>
            <w:pPr>
              <w:widowControl/>
              <w:jc w:val="left"/>
              <w:textAlignment w:val="center"/>
              <w:rPr>
                <w:rFonts w:ascii="宋体" w:hAnsi="宋体" w:cs="宋体"/>
                <w:color w:val="auto"/>
                <w:szCs w:val="21"/>
              </w:rPr>
            </w:pPr>
            <w:r>
              <w:rPr>
                <w:rFonts w:hint="eastAsia" w:ascii="宋体" w:hAnsi="宋体" w:cs="宋体"/>
                <w:color w:val="auto"/>
                <w:szCs w:val="21"/>
              </w:rPr>
              <w:t>依据苏价服苏建价协（2022）7号，合同价暂按建安费3450万元计算的标准收费作为该项收费基准价，效益收费不予计取。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1860" w:type="dxa"/>
            <w:vMerge w:val="continue"/>
            <w:vAlign w:val="center"/>
          </w:tcPr>
          <w:p>
            <w:pPr>
              <w:jc w:val="center"/>
              <w:textAlignment w:val="center"/>
              <w:rPr>
                <w:rFonts w:ascii="宋体" w:hAnsi="宋体" w:cs="宋体"/>
                <w:color w:val="auto"/>
                <w:szCs w:val="21"/>
              </w:rPr>
            </w:pPr>
          </w:p>
        </w:tc>
        <w:tc>
          <w:tcPr>
            <w:tcW w:w="962"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驻场收费</w:t>
            </w:r>
          </w:p>
        </w:tc>
        <w:tc>
          <w:tcPr>
            <w:tcW w:w="963"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16.8250</w:t>
            </w:r>
          </w:p>
        </w:tc>
        <w:tc>
          <w:tcPr>
            <w:tcW w:w="1061" w:type="dxa"/>
            <w:vAlign w:val="center"/>
          </w:tcPr>
          <w:p>
            <w:pPr>
              <w:widowControl/>
              <w:jc w:val="center"/>
              <w:rPr>
                <w:rFonts w:ascii="宋体" w:hAnsi="宋体" w:cs="宋体"/>
                <w:color w:val="auto"/>
                <w:szCs w:val="21"/>
              </w:rPr>
            </w:pPr>
            <w:r>
              <w:rPr>
                <w:rFonts w:hint="eastAsia" w:ascii="宋体" w:hAnsi="宋体" w:cs="宋体"/>
                <w:color w:val="auto"/>
                <w:szCs w:val="21"/>
              </w:rPr>
              <w:t>40%</w:t>
            </w:r>
          </w:p>
        </w:tc>
        <w:tc>
          <w:tcPr>
            <w:tcW w:w="1416" w:type="dxa"/>
            <w:vAlign w:val="center"/>
          </w:tcPr>
          <w:p>
            <w:pPr>
              <w:jc w:val="center"/>
              <w:rPr>
                <w:rFonts w:ascii="宋体" w:hAnsi="宋体" w:cs="宋体"/>
                <w:color w:val="auto"/>
                <w:szCs w:val="21"/>
              </w:rPr>
            </w:pPr>
            <w:r>
              <w:rPr>
                <w:rFonts w:ascii="宋体" w:hAnsi="宋体" w:cs="宋体"/>
                <w:color w:val="auto"/>
                <w:szCs w:val="21"/>
              </w:rPr>
              <w:t>6.73</w:t>
            </w:r>
          </w:p>
        </w:tc>
        <w:tc>
          <w:tcPr>
            <w:tcW w:w="2856" w:type="dxa"/>
            <w:vMerge w:val="continue"/>
            <w:vAlign w:val="center"/>
          </w:tcPr>
          <w:p>
            <w:pPr>
              <w:widowControl/>
              <w:jc w:val="left"/>
              <w:textAlignment w:val="center"/>
              <w:rPr>
                <w:rFonts w:ascii="宋体" w:hAnsi="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1860" w:type="dxa"/>
            <w:vMerge w:val="restart"/>
            <w:vAlign w:val="center"/>
          </w:tcPr>
          <w:p>
            <w:pPr>
              <w:jc w:val="center"/>
              <w:textAlignment w:val="center"/>
              <w:rPr>
                <w:rFonts w:ascii="宋体" w:hAnsi="宋体" w:cs="宋体"/>
                <w:color w:val="auto"/>
                <w:szCs w:val="21"/>
              </w:rPr>
            </w:pPr>
            <w:r>
              <w:rPr>
                <w:rFonts w:hint="eastAsia" w:ascii="宋体" w:hAnsi="宋体" w:cs="宋体"/>
                <w:color w:val="auto"/>
                <w:szCs w:val="21"/>
              </w:rPr>
              <w:t>工程结算审核</w:t>
            </w:r>
          </w:p>
        </w:tc>
        <w:tc>
          <w:tcPr>
            <w:tcW w:w="962"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基本收费</w:t>
            </w:r>
          </w:p>
        </w:tc>
        <w:tc>
          <w:tcPr>
            <w:tcW w:w="963"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7.06</w:t>
            </w:r>
          </w:p>
        </w:tc>
        <w:tc>
          <w:tcPr>
            <w:tcW w:w="1061" w:type="dxa"/>
            <w:vAlign w:val="center"/>
          </w:tcPr>
          <w:p>
            <w:pPr>
              <w:widowControl/>
              <w:jc w:val="center"/>
              <w:rPr>
                <w:rFonts w:ascii="宋体" w:hAnsi="宋体" w:cs="宋体"/>
                <w:color w:val="auto"/>
                <w:szCs w:val="21"/>
              </w:rPr>
            </w:pPr>
            <w:r>
              <w:rPr>
                <w:rFonts w:hint="eastAsia" w:ascii="宋体" w:hAnsi="宋体" w:cs="宋体"/>
                <w:color w:val="auto"/>
                <w:szCs w:val="21"/>
              </w:rPr>
              <w:t>40%</w:t>
            </w:r>
          </w:p>
        </w:tc>
        <w:tc>
          <w:tcPr>
            <w:tcW w:w="1416" w:type="dxa"/>
            <w:vAlign w:val="center"/>
          </w:tcPr>
          <w:p>
            <w:pPr>
              <w:jc w:val="center"/>
              <w:rPr>
                <w:rFonts w:ascii="宋体" w:hAnsi="宋体" w:cs="宋体"/>
                <w:color w:val="auto"/>
                <w:szCs w:val="21"/>
              </w:rPr>
            </w:pPr>
            <w:r>
              <w:rPr>
                <w:rFonts w:ascii="宋体" w:hAnsi="宋体" w:cs="宋体"/>
                <w:color w:val="auto"/>
                <w:szCs w:val="21"/>
              </w:rPr>
              <w:t>2.824</w:t>
            </w:r>
          </w:p>
        </w:tc>
        <w:tc>
          <w:tcPr>
            <w:tcW w:w="2856" w:type="dxa"/>
            <w:vAlign w:val="center"/>
          </w:tcPr>
          <w:p>
            <w:pPr>
              <w:widowControl/>
              <w:jc w:val="left"/>
              <w:textAlignment w:val="center"/>
              <w:rPr>
                <w:rFonts w:ascii="宋体" w:hAnsi="宋体" w:cs="宋体"/>
                <w:color w:val="auto"/>
                <w:szCs w:val="21"/>
              </w:rPr>
            </w:pPr>
            <w:r>
              <w:rPr>
                <w:rFonts w:hint="eastAsia" w:ascii="宋体" w:hAnsi="宋体" w:cs="宋体"/>
                <w:color w:val="auto"/>
                <w:szCs w:val="21"/>
              </w:rPr>
              <w:t>依据苏价服苏建价协（2022）7号，合同价暂按建安费3450万元计算的标准收费作为该项收费基准价。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1860" w:type="dxa"/>
            <w:vMerge w:val="continue"/>
            <w:vAlign w:val="center"/>
          </w:tcPr>
          <w:p>
            <w:pPr>
              <w:widowControl/>
              <w:jc w:val="center"/>
              <w:textAlignment w:val="center"/>
              <w:rPr>
                <w:rFonts w:ascii="宋体" w:hAnsi="宋体" w:cs="宋体"/>
                <w:color w:val="auto"/>
                <w:szCs w:val="21"/>
              </w:rPr>
            </w:pPr>
          </w:p>
        </w:tc>
        <w:tc>
          <w:tcPr>
            <w:tcW w:w="962"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效益收费</w:t>
            </w:r>
          </w:p>
        </w:tc>
        <w:tc>
          <w:tcPr>
            <w:tcW w:w="963"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12.42</w:t>
            </w:r>
          </w:p>
        </w:tc>
        <w:tc>
          <w:tcPr>
            <w:tcW w:w="1061" w:type="dxa"/>
            <w:vAlign w:val="center"/>
          </w:tcPr>
          <w:p>
            <w:pPr>
              <w:widowControl/>
              <w:jc w:val="center"/>
              <w:rPr>
                <w:rFonts w:ascii="宋体" w:hAnsi="宋体" w:cs="宋体"/>
                <w:color w:val="auto"/>
                <w:szCs w:val="21"/>
              </w:rPr>
            </w:pPr>
            <w:r>
              <w:rPr>
                <w:rFonts w:hint="eastAsia" w:ascii="宋体" w:hAnsi="宋体" w:cs="宋体"/>
                <w:color w:val="auto"/>
                <w:szCs w:val="21"/>
              </w:rPr>
              <w:t>40%</w:t>
            </w:r>
          </w:p>
        </w:tc>
        <w:tc>
          <w:tcPr>
            <w:tcW w:w="1416" w:type="dxa"/>
            <w:vAlign w:val="center"/>
          </w:tcPr>
          <w:p>
            <w:pPr>
              <w:jc w:val="center"/>
              <w:rPr>
                <w:rFonts w:ascii="宋体" w:hAnsi="宋体" w:cs="宋体"/>
                <w:color w:val="auto"/>
                <w:szCs w:val="21"/>
              </w:rPr>
            </w:pPr>
            <w:r>
              <w:rPr>
                <w:rFonts w:ascii="宋体" w:hAnsi="宋体" w:cs="宋体"/>
                <w:color w:val="auto"/>
                <w:szCs w:val="21"/>
              </w:rPr>
              <w:t>4.968</w:t>
            </w:r>
          </w:p>
        </w:tc>
        <w:tc>
          <w:tcPr>
            <w:tcW w:w="2856" w:type="dxa"/>
            <w:vAlign w:val="center"/>
          </w:tcPr>
          <w:p>
            <w:pPr>
              <w:widowControl/>
              <w:jc w:val="left"/>
              <w:textAlignment w:val="center"/>
              <w:rPr>
                <w:rFonts w:ascii="宋体" w:hAnsi="宋体" w:cs="宋体"/>
                <w:color w:val="auto"/>
                <w:szCs w:val="21"/>
              </w:rPr>
            </w:pPr>
            <w:r>
              <w:rPr>
                <w:rFonts w:hint="eastAsia" w:ascii="宋体" w:hAnsi="宋体" w:cs="宋体"/>
                <w:color w:val="auto"/>
                <w:szCs w:val="21"/>
              </w:rPr>
              <w:t>依据苏价服苏建价协（2022）7号，核减额暂按暂估建安费的6%（207万元）计算，按此方法计算的标准收费作为该项收费基准价。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1860"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合计</w:t>
            </w:r>
          </w:p>
        </w:tc>
        <w:tc>
          <w:tcPr>
            <w:tcW w:w="962" w:type="dxa"/>
            <w:vAlign w:val="center"/>
          </w:tcPr>
          <w:p>
            <w:pPr>
              <w:widowControl/>
              <w:jc w:val="center"/>
              <w:textAlignment w:val="center"/>
              <w:rPr>
                <w:rFonts w:ascii="宋体" w:hAnsi="宋体" w:cs="宋体"/>
                <w:color w:val="auto"/>
                <w:szCs w:val="21"/>
              </w:rPr>
            </w:pPr>
          </w:p>
        </w:tc>
        <w:tc>
          <w:tcPr>
            <w:tcW w:w="963"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w:t>
            </w:r>
          </w:p>
        </w:tc>
        <w:tc>
          <w:tcPr>
            <w:tcW w:w="1061"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w:t>
            </w:r>
          </w:p>
        </w:tc>
        <w:tc>
          <w:tcPr>
            <w:tcW w:w="1416" w:type="dxa"/>
            <w:vAlign w:val="center"/>
          </w:tcPr>
          <w:p>
            <w:pPr>
              <w:jc w:val="center"/>
              <w:rPr>
                <w:rFonts w:ascii="宋体" w:hAnsi="宋体" w:cs="宋体"/>
                <w:color w:val="auto"/>
                <w:szCs w:val="21"/>
              </w:rPr>
            </w:pPr>
            <w:r>
              <w:rPr>
                <w:rFonts w:ascii="宋体" w:hAnsi="宋体" w:cs="宋体"/>
                <w:color w:val="auto"/>
                <w:szCs w:val="21"/>
              </w:rPr>
              <w:t>29.922</w:t>
            </w:r>
          </w:p>
        </w:tc>
        <w:tc>
          <w:tcPr>
            <w:tcW w:w="2856" w:type="dxa"/>
            <w:vAlign w:val="center"/>
          </w:tcPr>
          <w:p>
            <w:pPr>
              <w:widowControl/>
              <w:jc w:val="center"/>
              <w:textAlignment w:val="center"/>
              <w:rPr>
                <w:rFonts w:ascii="宋体" w:hAnsi="宋体" w:cs="宋体"/>
                <w:color w:val="auto"/>
                <w:szCs w:val="21"/>
              </w:rPr>
            </w:pPr>
          </w:p>
        </w:tc>
      </w:tr>
    </w:tbl>
    <w:p>
      <w:pPr>
        <w:ind w:firstLine="420" w:firstLineChars="200"/>
        <w:rPr>
          <w:rFonts w:hint="eastAsia" w:ascii="宋体" w:hAnsi="宋体" w:cs="宋体"/>
          <w:color w:val="auto"/>
          <w:szCs w:val="21"/>
        </w:rPr>
      </w:pPr>
    </w:p>
    <w:p>
      <w:pPr>
        <w:ind w:firstLine="480" w:firstLineChars="200"/>
        <w:rPr>
          <w:rFonts w:hint="eastAsia" w:ascii="宋体" w:hAnsi="宋体" w:cs="宋体"/>
          <w:color w:val="auto"/>
          <w:sz w:val="24"/>
          <w:szCs w:val="24"/>
        </w:rPr>
      </w:pPr>
      <w:r>
        <w:rPr>
          <w:rFonts w:hint="eastAsia"/>
          <w:color w:val="auto"/>
          <w:sz w:val="24"/>
          <w:szCs w:val="24"/>
        </w:rPr>
        <w:t>②</w:t>
      </w:r>
      <w:r>
        <w:rPr>
          <w:rFonts w:hint="eastAsia" w:ascii="宋体" w:hAnsi="宋体" w:cs="宋体"/>
          <w:color w:val="auto"/>
          <w:sz w:val="24"/>
          <w:szCs w:val="24"/>
        </w:rPr>
        <w:t>商务酒店项目：</w:t>
      </w:r>
    </w:p>
    <w:p>
      <w:pPr>
        <w:pStyle w:val="2"/>
        <w:rPr>
          <w:color w:val="auto"/>
        </w:rPr>
      </w:pPr>
    </w:p>
    <w:tbl>
      <w:tblPr>
        <w:tblStyle w:val="48"/>
        <w:tblW w:w="90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53"/>
        <w:gridCol w:w="930"/>
        <w:gridCol w:w="975"/>
        <w:gridCol w:w="1080"/>
        <w:gridCol w:w="1380"/>
        <w:gridCol w:w="28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853" w:type="dxa"/>
            <w:vMerge w:val="restart"/>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委托内容</w:t>
            </w:r>
          </w:p>
        </w:tc>
        <w:tc>
          <w:tcPr>
            <w:tcW w:w="1905" w:type="dxa"/>
            <w:gridSpan w:val="2"/>
            <w:vMerge w:val="restart"/>
            <w:vAlign w:val="center"/>
          </w:tcPr>
          <w:p>
            <w:pPr>
              <w:jc w:val="center"/>
              <w:textAlignment w:val="center"/>
              <w:rPr>
                <w:rFonts w:ascii="宋体" w:hAnsi="宋体" w:cs="宋体"/>
                <w:b/>
                <w:color w:val="auto"/>
                <w:kern w:val="0"/>
                <w:szCs w:val="21"/>
              </w:rPr>
            </w:pPr>
            <w:r>
              <w:rPr>
                <w:rFonts w:hint="eastAsia" w:ascii="宋体" w:hAnsi="宋体" w:cs="宋体"/>
                <w:b/>
                <w:color w:val="auto"/>
                <w:szCs w:val="21"/>
              </w:rPr>
              <w:t>收费基准价（万元）</w:t>
            </w:r>
          </w:p>
        </w:tc>
        <w:tc>
          <w:tcPr>
            <w:tcW w:w="2460" w:type="dxa"/>
            <w:gridSpan w:val="2"/>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招标控制价</w:t>
            </w:r>
          </w:p>
        </w:tc>
        <w:tc>
          <w:tcPr>
            <w:tcW w:w="2874" w:type="dxa"/>
            <w:vMerge w:val="restart"/>
            <w:vAlign w:val="center"/>
          </w:tcPr>
          <w:p>
            <w:pPr>
              <w:widowControl/>
              <w:jc w:val="center"/>
              <w:textAlignment w:val="center"/>
              <w:rPr>
                <w:rFonts w:ascii="宋体" w:hAnsi="宋体" w:cs="宋体"/>
                <w:b/>
                <w:color w:val="auto"/>
                <w:kern w:val="0"/>
                <w:szCs w:val="21"/>
              </w:rPr>
            </w:pPr>
            <w:r>
              <w:rPr>
                <w:rFonts w:hint="eastAsia" w:ascii="宋体" w:hAnsi="宋体" w:cs="宋体"/>
                <w:b/>
                <w:color w:val="auto"/>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853" w:type="dxa"/>
            <w:vMerge w:val="continue"/>
            <w:vAlign w:val="center"/>
          </w:tcPr>
          <w:p>
            <w:pPr>
              <w:widowControl/>
              <w:jc w:val="center"/>
              <w:rPr>
                <w:rFonts w:ascii="宋体" w:hAnsi="宋体" w:cs="宋体"/>
                <w:b/>
                <w:color w:val="auto"/>
                <w:szCs w:val="21"/>
              </w:rPr>
            </w:pPr>
          </w:p>
        </w:tc>
        <w:tc>
          <w:tcPr>
            <w:tcW w:w="1905" w:type="dxa"/>
            <w:gridSpan w:val="2"/>
            <w:vMerge w:val="continue"/>
            <w:vAlign w:val="center"/>
          </w:tcPr>
          <w:p>
            <w:pPr>
              <w:widowControl/>
              <w:jc w:val="center"/>
              <w:textAlignment w:val="center"/>
              <w:rPr>
                <w:rFonts w:ascii="宋体" w:hAnsi="宋体" w:cs="宋体"/>
                <w:b/>
                <w:color w:val="auto"/>
                <w:kern w:val="0"/>
                <w:szCs w:val="21"/>
              </w:rPr>
            </w:pPr>
          </w:p>
        </w:tc>
        <w:tc>
          <w:tcPr>
            <w:tcW w:w="1080" w:type="dxa"/>
            <w:vAlign w:val="center"/>
          </w:tcPr>
          <w:p>
            <w:pPr>
              <w:widowControl/>
              <w:jc w:val="center"/>
              <w:textAlignment w:val="center"/>
              <w:rPr>
                <w:rFonts w:ascii="宋体" w:hAnsi="宋体" w:cs="宋体"/>
                <w:b/>
                <w:color w:val="auto"/>
                <w:kern w:val="0"/>
                <w:szCs w:val="21"/>
              </w:rPr>
            </w:pPr>
            <w:r>
              <w:rPr>
                <w:rFonts w:hint="eastAsia" w:ascii="宋体" w:hAnsi="宋体" w:cs="宋体"/>
                <w:b/>
                <w:color w:val="auto"/>
                <w:kern w:val="0"/>
                <w:szCs w:val="21"/>
              </w:rPr>
              <w:t>费率</w:t>
            </w:r>
          </w:p>
        </w:tc>
        <w:tc>
          <w:tcPr>
            <w:tcW w:w="1380" w:type="dxa"/>
            <w:vAlign w:val="center"/>
          </w:tcPr>
          <w:p>
            <w:pPr>
              <w:widowControl/>
              <w:jc w:val="center"/>
              <w:textAlignment w:val="center"/>
              <w:rPr>
                <w:rFonts w:ascii="宋体" w:hAnsi="宋体" w:cs="宋体"/>
                <w:b/>
                <w:color w:val="auto"/>
                <w:kern w:val="0"/>
                <w:szCs w:val="21"/>
              </w:rPr>
            </w:pPr>
            <w:r>
              <w:rPr>
                <w:rFonts w:hint="eastAsia" w:ascii="宋体" w:hAnsi="宋体" w:cs="宋体"/>
                <w:b/>
                <w:color w:val="auto"/>
                <w:kern w:val="0"/>
                <w:szCs w:val="21"/>
              </w:rPr>
              <w:t>价格（万元）</w:t>
            </w:r>
          </w:p>
        </w:tc>
        <w:tc>
          <w:tcPr>
            <w:tcW w:w="2874" w:type="dxa"/>
            <w:vMerge w:val="continue"/>
            <w:vAlign w:val="center"/>
          </w:tcPr>
          <w:p>
            <w:pPr>
              <w:widowControl/>
              <w:jc w:val="center"/>
              <w:textAlignment w:val="center"/>
              <w:rPr>
                <w:rFonts w:ascii="宋体" w:hAnsi="宋体" w:cs="宋体"/>
                <w:b/>
                <w:color w:val="auto"/>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1853" w:type="dxa"/>
            <w:vMerge w:val="restart"/>
            <w:vAlign w:val="center"/>
          </w:tcPr>
          <w:p>
            <w:pPr>
              <w:jc w:val="center"/>
              <w:textAlignment w:val="center"/>
              <w:rPr>
                <w:rFonts w:ascii="宋体" w:hAnsi="宋体" w:cs="宋体"/>
                <w:color w:val="auto"/>
                <w:szCs w:val="21"/>
              </w:rPr>
            </w:pPr>
            <w:r>
              <w:rPr>
                <w:rFonts w:hint="eastAsia" w:ascii="宋体" w:hAnsi="宋体" w:cs="宋体"/>
                <w:color w:val="auto"/>
                <w:szCs w:val="21"/>
              </w:rPr>
              <w:t>施工全过程造价控制</w:t>
            </w:r>
          </w:p>
        </w:tc>
        <w:tc>
          <w:tcPr>
            <w:tcW w:w="930"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基本收费</w:t>
            </w:r>
          </w:p>
        </w:tc>
        <w:tc>
          <w:tcPr>
            <w:tcW w:w="975"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48</w:t>
            </w:r>
          </w:p>
        </w:tc>
        <w:tc>
          <w:tcPr>
            <w:tcW w:w="1080" w:type="dxa"/>
            <w:vAlign w:val="center"/>
          </w:tcPr>
          <w:p>
            <w:pPr>
              <w:widowControl/>
              <w:jc w:val="center"/>
              <w:rPr>
                <w:rFonts w:ascii="宋体" w:hAnsi="宋体" w:cs="宋体"/>
                <w:color w:val="auto"/>
                <w:szCs w:val="21"/>
              </w:rPr>
            </w:pPr>
            <w:r>
              <w:rPr>
                <w:rFonts w:hint="eastAsia" w:ascii="宋体" w:hAnsi="宋体" w:cs="宋体"/>
                <w:color w:val="auto"/>
                <w:kern w:val="0"/>
                <w:szCs w:val="21"/>
              </w:rPr>
              <w:t>40%</w:t>
            </w:r>
          </w:p>
        </w:tc>
        <w:tc>
          <w:tcPr>
            <w:tcW w:w="1380" w:type="dxa"/>
            <w:vAlign w:val="center"/>
          </w:tcPr>
          <w:p>
            <w:pPr>
              <w:widowControl/>
              <w:jc w:val="center"/>
              <w:textAlignment w:val="center"/>
              <w:rPr>
                <w:rFonts w:ascii="宋体" w:hAnsi="宋体" w:cs="宋体"/>
                <w:color w:val="auto"/>
                <w:szCs w:val="21"/>
              </w:rPr>
            </w:pPr>
            <w:r>
              <w:rPr>
                <w:rFonts w:ascii="宋体" w:hAnsi="宋体" w:cs="宋体"/>
                <w:color w:val="auto"/>
                <w:szCs w:val="21"/>
              </w:rPr>
              <w:t>19.2</w:t>
            </w:r>
          </w:p>
        </w:tc>
        <w:tc>
          <w:tcPr>
            <w:tcW w:w="2874" w:type="dxa"/>
            <w:vMerge w:val="restart"/>
            <w:vAlign w:val="center"/>
          </w:tcPr>
          <w:p>
            <w:pPr>
              <w:widowControl/>
              <w:jc w:val="left"/>
              <w:textAlignment w:val="center"/>
              <w:rPr>
                <w:rFonts w:ascii="宋体" w:hAnsi="宋体" w:cs="宋体"/>
                <w:color w:val="auto"/>
                <w:szCs w:val="21"/>
              </w:rPr>
            </w:pPr>
            <w:r>
              <w:rPr>
                <w:rFonts w:hint="eastAsia" w:ascii="宋体" w:hAnsi="宋体" w:cs="宋体"/>
                <w:color w:val="auto"/>
                <w:szCs w:val="21"/>
              </w:rPr>
              <w:t>依据苏价服苏建价协（2022）7号，合同价暂按建安费4400万元计算的标准收费作为该项收费基准价，效益收费不予计取。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1853" w:type="dxa"/>
            <w:vMerge w:val="continue"/>
            <w:vAlign w:val="center"/>
          </w:tcPr>
          <w:p>
            <w:pPr>
              <w:jc w:val="center"/>
              <w:textAlignment w:val="center"/>
              <w:rPr>
                <w:rFonts w:ascii="宋体" w:hAnsi="宋体" w:cs="宋体"/>
                <w:color w:val="auto"/>
                <w:szCs w:val="21"/>
              </w:rPr>
            </w:pPr>
          </w:p>
        </w:tc>
        <w:tc>
          <w:tcPr>
            <w:tcW w:w="930"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驻场收费</w:t>
            </w:r>
          </w:p>
        </w:tc>
        <w:tc>
          <w:tcPr>
            <w:tcW w:w="975"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21.1</w:t>
            </w:r>
          </w:p>
        </w:tc>
        <w:tc>
          <w:tcPr>
            <w:tcW w:w="1080" w:type="dxa"/>
            <w:vAlign w:val="center"/>
          </w:tcPr>
          <w:p>
            <w:pPr>
              <w:widowControl/>
              <w:jc w:val="center"/>
              <w:rPr>
                <w:rFonts w:ascii="宋体" w:hAnsi="宋体" w:cs="宋体"/>
                <w:color w:val="auto"/>
                <w:szCs w:val="21"/>
              </w:rPr>
            </w:pPr>
            <w:r>
              <w:rPr>
                <w:rFonts w:hint="eastAsia" w:ascii="宋体" w:hAnsi="宋体" w:cs="宋体"/>
                <w:color w:val="auto"/>
                <w:kern w:val="0"/>
                <w:szCs w:val="21"/>
              </w:rPr>
              <w:t>40%</w:t>
            </w:r>
          </w:p>
        </w:tc>
        <w:tc>
          <w:tcPr>
            <w:tcW w:w="1380" w:type="dxa"/>
            <w:vAlign w:val="center"/>
          </w:tcPr>
          <w:p>
            <w:pPr>
              <w:widowControl/>
              <w:jc w:val="center"/>
              <w:textAlignment w:val="center"/>
              <w:rPr>
                <w:rFonts w:ascii="宋体" w:hAnsi="宋体" w:cs="宋体"/>
                <w:color w:val="auto"/>
                <w:szCs w:val="21"/>
              </w:rPr>
            </w:pPr>
            <w:r>
              <w:rPr>
                <w:rFonts w:ascii="宋体" w:hAnsi="宋体" w:cs="宋体"/>
                <w:color w:val="auto"/>
                <w:szCs w:val="21"/>
              </w:rPr>
              <w:t>8.44</w:t>
            </w:r>
          </w:p>
        </w:tc>
        <w:tc>
          <w:tcPr>
            <w:tcW w:w="2874" w:type="dxa"/>
            <w:vMerge w:val="continue"/>
            <w:vAlign w:val="center"/>
          </w:tcPr>
          <w:p>
            <w:pPr>
              <w:widowControl/>
              <w:jc w:val="left"/>
              <w:textAlignment w:val="center"/>
              <w:rPr>
                <w:rFonts w:ascii="宋体" w:hAnsi="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1853" w:type="dxa"/>
            <w:vMerge w:val="restart"/>
            <w:vAlign w:val="center"/>
          </w:tcPr>
          <w:p>
            <w:pPr>
              <w:jc w:val="center"/>
              <w:textAlignment w:val="center"/>
              <w:rPr>
                <w:rFonts w:ascii="宋体" w:hAnsi="宋体" w:cs="宋体"/>
                <w:color w:val="auto"/>
                <w:szCs w:val="21"/>
              </w:rPr>
            </w:pPr>
            <w:r>
              <w:rPr>
                <w:rFonts w:hint="eastAsia" w:ascii="宋体" w:hAnsi="宋体" w:cs="宋体"/>
                <w:color w:val="auto"/>
                <w:szCs w:val="21"/>
              </w:rPr>
              <w:t>工程结算审核</w:t>
            </w:r>
          </w:p>
        </w:tc>
        <w:tc>
          <w:tcPr>
            <w:tcW w:w="930"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基本收费</w:t>
            </w:r>
          </w:p>
        </w:tc>
        <w:tc>
          <w:tcPr>
            <w:tcW w:w="975"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8.77</w:t>
            </w:r>
          </w:p>
        </w:tc>
        <w:tc>
          <w:tcPr>
            <w:tcW w:w="1080" w:type="dxa"/>
            <w:vAlign w:val="center"/>
          </w:tcPr>
          <w:p>
            <w:pPr>
              <w:widowControl/>
              <w:jc w:val="center"/>
              <w:rPr>
                <w:rFonts w:ascii="宋体" w:hAnsi="宋体" w:cs="宋体"/>
                <w:color w:val="auto"/>
                <w:szCs w:val="21"/>
              </w:rPr>
            </w:pPr>
            <w:r>
              <w:rPr>
                <w:rFonts w:hint="eastAsia" w:ascii="宋体" w:hAnsi="宋体" w:cs="宋体"/>
                <w:color w:val="auto"/>
                <w:kern w:val="0"/>
                <w:szCs w:val="21"/>
              </w:rPr>
              <w:t>40%</w:t>
            </w:r>
          </w:p>
        </w:tc>
        <w:tc>
          <w:tcPr>
            <w:tcW w:w="1380" w:type="dxa"/>
            <w:vAlign w:val="center"/>
          </w:tcPr>
          <w:p>
            <w:pPr>
              <w:widowControl/>
              <w:jc w:val="center"/>
              <w:textAlignment w:val="center"/>
              <w:rPr>
                <w:rFonts w:ascii="宋体" w:hAnsi="宋体" w:cs="宋体"/>
                <w:color w:val="auto"/>
                <w:szCs w:val="21"/>
              </w:rPr>
            </w:pPr>
            <w:r>
              <w:rPr>
                <w:rFonts w:ascii="宋体" w:hAnsi="宋体" w:cs="宋体"/>
                <w:color w:val="auto"/>
                <w:szCs w:val="21"/>
              </w:rPr>
              <w:t>3.508</w:t>
            </w:r>
          </w:p>
        </w:tc>
        <w:tc>
          <w:tcPr>
            <w:tcW w:w="2874" w:type="dxa"/>
            <w:vAlign w:val="center"/>
          </w:tcPr>
          <w:p>
            <w:pPr>
              <w:widowControl/>
              <w:jc w:val="left"/>
              <w:textAlignment w:val="center"/>
              <w:rPr>
                <w:rFonts w:ascii="宋体" w:hAnsi="宋体" w:cs="宋体"/>
                <w:color w:val="auto"/>
                <w:szCs w:val="21"/>
              </w:rPr>
            </w:pPr>
            <w:r>
              <w:rPr>
                <w:rFonts w:hint="eastAsia" w:ascii="宋体" w:hAnsi="宋体" w:cs="宋体"/>
                <w:color w:val="auto"/>
                <w:szCs w:val="21"/>
              </w:rPr>
              <w:t>依据苏价服苏建价协（2022）7号，合同价暂按建安费4400万元计算的标准收费作为该项收费基准价。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1853" w:type="dxa"/>
            <w:vMerge w:val="continue"/>
            <w:vAlign w:val="center"/>
          </w:tcPr>
          <w:p>
            <w:pPr>
              <w:widowControl/>
              <w:jc w:val="center"/>
              <w:textAlignment w:val="center"/>
              <w:rPr>
                <w:rFonts w:ascii="宋体" w:hAnsi="宋体" w:cs="宋体"/>
                <w:color w:val="auto"/>
                <w:szCs w:val="21"/>
              </w:rPr>
            </w:pPr>
          </w:p>
        </w:tc>
        <w:tc>
          <w:tcPr>
            <w:tcW w:w="930"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效益收费</w:t>
            </w:r>
          </w:p>
        </w:tc>
        <w:tc>
          <w:tcPr>
            <w:tcW w:w="975"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15.84</w:t>
            </w:r>
          </w:p>
        </w:tc>
        <w:tc>
          <w:tcPr>
            <w:tcW w:w="1080" w:type="dxa"/>
            <w:vAlign w:val="center"/>
          </w:tcPr>
          <w:p>
            <w:pPr>
              <w:widowControl/>
              <w:jc w:val="center"/>
              <w:rPr>
                <w:rFonts w:ascii="宋体" w:hAnsi="宋体" w:cs="宋体"/>
                <w:color w:val="auto"/>
                <w:szCs w:val="21"/>
              </w:rPr>
            </w:pPr>
            <w:r>
              <w:rPr>
                <w:rFonts w:hint="eastAsia" w:ascii="宋体" w:hAnsi="宋体" w:cs="宋体"/>
                <w:color w:val="auto"/>
                <w:kern w:val="0"/>
                <w:szCs w:val="21"/>
              </w:rPr>
              <w:t>40%</w:t>
            </w:r>
          </w:p>
        </w:tc>
        <w:tc>
          <w:tcPr>
            <w:tcW w:w="1380" w:type="dxa"/>
            <w:vAlign w:val="center"/>
          </w:tcPr>
          <w:p>
            <w:pPr>
              <w:widowControl/>
              <w:jc w:val="center"/>
              <w:textAlignment w:val="center"/>
              <w:rPr>
                <w:rFonts w:ascii="宋体" w:hAnsi="宋体" w:cs="宋体"/>
                <w:color w:val="auto"/>
                <w:szCs w:val="21"/>
              </w:rPr>
            </w:pPr>
            <w:r>
              <w:rPr>
                <w:rFonts w:ascii="宋体" w:hAnsi="宋体" w:cs="宋体"/>
                <w:color w:val="auto"/>
                <w:szCs w:val="21"/>
              </w:rPr>
              <w:t>6.336</w:t>
            </w:r>
          </w:p>
        </w:tc>
        <w:tc>
          <w:tcPr>
            <w:tcW w:w="2874" w:type="dxa"/>
            <w:vAlign w:val="center"/>
          </w:tcPr>
          <w:p>
            <w:pPr>
              <w:widowControl/>
              <w:jc w:val="left"/>
              <w:textAlignment w:val="center"/>
              <w:rPr>
                <w:rFonts w:ascii="宋体" w:hAnsi="宋体" w:cs="宋体"/>
                <w:color w:val="auto"/>
                <w:szCs w:val="21"/>
              </w:rPr>
            </w:pPr>
            <w:r>
              <w:rPr>
                <w:rFonts w:hint="eastAsia" w:ascii="宋体" w:hAnsi="宋体" w:cs="宋体"/>
                <w:color w:val="auto"/>
                <w:szCs w:val="21"/>
              </w:rPr>
              <w:t>依据苏价服苏建价协（2022）7号，核减额暂按暂估建安费的6%（264万元）计算，按此方法计算的标准收费作为该项收费基准价。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1853"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合计</w:t>
            </w:r>
          </w:p>
        </w:tc>
        <w:tc>
          <w:tcPr>
            <w:tcW w:w="930" w:type="dxa"/>
            <w:vAlign w:val="center"/>
          </w:tcPr>
          <w:p>
            <w:pPr>
              <w:widowControl/>
              <w:jc w:val="center"/>
              <w:textAlignment w:val="center"/>
              <w:rPr>
                <w:rFonts w:ascii="宋体" w:hAnsi="宋体" w:cs="宋体"/>
                <w:color w:val="auto"/>
                <w:szCs w:val="21"/>
              </w:rPr>
            </w:pPr>
          </w:p>
        </w:tc>
        <w:tc>
          <w:tcPr>
            <w:tcW w:w="975"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w:t>
            </w:r>
          </w:p>
        </w:tc>
        <w:tc>
          <w:tcPr>
            <w:tcW w:w="1080"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w:t>
            </w:r>
          </w:p>
        </w:tc>
        <w:tc>
          <w:tcPr>
            <w:tcW w:w="1380" w:type="dxa"/>
            <w:vAlign w:val="center"/>
          </w:tcPr>
          <w:p>
            <w:pPr>
              <w:jc w:val="center"/>
              <w:rPr>
                <w:rFonts w:ascii="宋体" w:hAnsi="宋体" w:cs="宋体"/>
                <w:color w:val="auto"/>
                <w:szCs w:val="21"/>
              </w:rPr>
            </w:pPr>
            <w:r>
              <w:rPr>
                <w:rFonts w:ascii="宋体" w:hAnsi="宋体" w:cs="宋体"/>
                <w:color w:val="auto"/>
                <w:szCs w:val="21"/>
              </w:rPr>
              <w:t>37.484</w:t>
            </w:r>
          </w:p>
        </w:tc>
        <w:tc>
          <w:tcPr>
            <w:tcW w:w="2874" w:type="dxa"/>
            <w:vAlign w:val="center"/>
          </w:tcPr>
          <w:p>
            <w:pPr>
              <w:widowControl/>
              <w:jc w:val="center"/>
              <w:textAlignment w:val="center"/>
              <w:rPr>
                <w:rFonts w:ascii="宋体" w:hAnsi="宋体" w:cs="宋体"/>
                <w:color w:val="auto"/>
                <w:szCs w:val="21"/>
              </w:rPr>
            </w:pPr>
          </w:p>
        </w:tc>
      </w:tr>
    </w:tbl>
    <w:p>
      <w:pPr>
        <w:pStyle w:val="2"/>
        <w:rPr>
          <w:color w:val="auto"/>
        </w:rPr>
      </w:pPr>
    </w:p>
    <w:p>
      <w:pPr>
        <w:pStyle w:val="5"/>
        <w:spacing w:before="0" w:after="0" w:line="460" w:lineRule="exact"/>
        <w:ind w:firstLine="420" w:firstLineChars="200"/>
        <w:jc w:val="left"/>
        <w:rPr>
          <w:rFonts w:ascii="宋体" w:hAnsi="宋体" w:eastAsia="宋体" w:cs="宋体"/>
          <w:color w:val="auto"/>
          <w:sz w:val="21"/>
          <w:szCs w:val="21"/>
        </w:rPr>
      </w:pPr>
      <w:bookmarkStart w:id="173" w:name="_Toc387526302"/>
      <w:bookmarkStart w:id="174" w:name="_Toc508216898"/>
      <w:bookmarkStart w:id="175" w:name="_Toc397928568"/>
      <w:bookmarkStart w:id="176" w:name="_Toc387526198"/>
      <w:bookmarkStart w:id="177" w:name="_Toc387526394"/>
      <w:bookmarkStart w:id="178" w:name="_Toc21008"/>
      <w:r>
        <w:rPr>
          <w:rFonts w:hint="eastAsia" w:ascii="宋体" w:hAnsi="宋体" w:eastAsia="宋体" w:cs="宋体"/>
          <w:color w:val="auto"/>
          <w:sz w:val="21"/>
          <w:szCs w:val="21"/>
        </w:rPr>
        <w:t>3.3 投标有效期</w:t>
      </w:r>
      <w:bookmarkEnd w:id="173"/>
      <w:bookmarkEnd w:id="174"/>
      <w:bookmarkEnd w:id="175"/>
      <w:bookmarkEnd w:id="176"/>
      <w:bookmarkEnd w:id="177"/>
      <w:bookmarkEnd w:id="178"/>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3.3.1 在投标人须知前附表第3.3.1条规定的投标有效期内，投标人不得要求撤销或修改其投标文件。</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 xml:space="preserve">3.3.2 出现特殊情况需要延长投标有效期的，招标人应通知所有投标人延长投标有效期，但不得要求或被允许修改或撤销其投标文件；投标人拒绝延长的，其投标失效。 </w:t>
      </w:r>
    </w:p>
    <w:p>
      <w:pPr>
        <w:pStyle w:val="5"/>
        <w:spacing w:before="0" w:after="0" w:line="460" w:lineRule="exact"/>
        <w:ind w:firstLine="420" w:firstLineChars="200"/>
        <w:jc w:val="left"/>
        <w:rPr>
          <w:rFonts w:ascii="宋体" w:hAnsi="宋体" w:eastAsia="宋体" w:cs="宋体"/>
          <w:color w:val="auto"/>
          <w:sz w:val="21"/>
          <w:szCs w:val="21"/>
        </w:rPr>
      </w:pPr>
      <w:bookmarkStart w:id="179" w:name="_Toc387526303"/>
      <w:bookmarkStart w:id="180" w:name="_Toc387526395"/>
      <w:bookmarkStart w:id="181" w:name="_Toc387526199"/>
      <w:bookmarkStart w:id="182" w:name="_Toc508216899"/>
      <w:bookmarkStart w:id="183" w:name="_Toc15701"/>
      <w:bookmarkStart w:id="184" w:name="_Toc397928569"/>
      <w:r>
        <w:rPr>
          <w:rFonts w:hint="eastAsia" w:ascii="宋体" w:hAnsi="宋体" w:eastAsia="宋体" w:cs="宋体"/>
          <w:color w:val="auto"/>
          <w:sz w:val="21"/>
          <w:szCs w:val="21"/>
        </w:rPr>
        <w:t>3.4 投标保证金</w:t>
      </w:r>
      <w:bookmarkEnd w:id="179"/>
      <w:bookmarkEnd w:id="180"/>
      <w:bookmarkEnd w:id="181"/>
      <w:bookmarkEnd w:id="182"/>
      <w:bookmarkEnd w:id="183"/>
      <w:bookmarkEnd w:id="184"/>
    </w:p>
    <w:p>
      <w:pPr>
        <w:spacing w:line="460" w:lineRule="exact"/>
        <w:ind w:firstLine="420" w:firstLineChars="200"/>
        <w:jc w:val="left"/>
        <w:rPr>
          <w:rFonts w:ascii="宋体" w:hAnsi="宋体" w:cs="宋体"/>
          <w:color w:val="auto"/>
          <w:szCs w:val="21"/>
        </w:rPr>
      </w:pPr>
      <w:bookmarkStart w:id="185" w:name="_Toc339359765"/>
      <w:bookmarkStart w:id="186" w:name="_Toc269310939"/>
      <w:bookmarkStart w:id="187" w:name="_Toc324255909"/>
      <w:r>
        <w:rPr>
          <w:rFonts w:hint="eastAsia" w:ascii="宋体" w:hAnsi="宋体" w:cs="宋体"/>
          <w:color w:val="auto"/>
          <w:szCs w:val="21"/>
        </w:rPr>
        <w:t>参照执行苏财购[2020]52号文《关于做好政府采购支持企业发展有关事项的通知》，本项目不需要缴纳投标保证金。</w:t>
      </w:r>
    </w:p>
    <w:p>
      <w:pPr>
        <w:pStyle w:val="5"/>
        <w:spacing w:before="0" w:after="0" w:line="460" w:lineRule="exact"/>
        <w:ind w:firstLine="420" w:firstLineChars="200"/>
        <w:jc w:val="left"/>
        <w:rPr>
          <w:rFonts w:ascii="宋体" w:hAnsi="宋体" w:eastAsia="宋体" w:cs="宋体"/>
          <w:bCs/>
          <w:color w:val="auto"/>
          <w:sz w:val="21"/>
          <w:szCs w:val="21"/>
        </w:rPr>
      </w:pPr>
      <w:bookmarkStart w:id="188" w:name="_Toc508216900"/>
      <w:bookmarkStart w:id="189" w:name="_Toc24952"/>
      <w:bookmarkStart w:id="190" w:name="_Toc397928570"/>
      <w:r>
        <w:rPr>
          <w:rFonts w:hint="eastAsia" w:ascii="宋体" w:hAnsi="宋体" w:eastAsia="宋体" w:cs="宋体"/>
          <w:bCs/>
          <w:color w:val="auto"/>
          <w:sz w:val="21"/>
          <w:szCs w:val="21"/>
        </w:rPr>
        <w:t>3.5 资格审查资料</w:t>
      </w:r>
      <w:bookmarkEnd w:id="188"/>
      <w:bookmarkEnd w:id="189"/>
      <w:bookmarkEnd w:id="190"/>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3.5.1 投标人投标文件中提供的以下资格审查资料必须为原件彩色扫描件（或电子证照），关键信息齐全、清晰可辨(钢印除外)。</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（1）投标人有效的营业执照。</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2）符合招标公告要求的项目负责人注册造价工程师证书、职称证书；项目组成人员的注册证书、专业证明等。（旧版注册造价工程师未体现专业的，还需提供造价师合格证书原件彩色扫描件，无法认定专业的不予认可）。</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特别提醒:</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1、因上述扫描件不清晰无法辨认、或提供的关键信息不全、更新不及时导致被招标人或评标委员会评委认定为无效投标的，其不利的后果由投标人自行承担。</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2、因疫情防控、资质换证就位或其他非主观原因显示上述证书过期的，主管部门对证书有效期延长有特殊规定的，投标时需提供相关说明，资格审查方予通过。</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3、若中标候选人上述有关证书有效性被质疑的，被质疑人出具发证机关证明或通过二维码或证书查询系统能够证明有效即可。</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4、招标人或评标委员会的审查或评审仅针对投标文件提交截止时间前投标人提交的投标文件（包含以链接形式提供的附件资料）进行审查或评审，投标人后续撤回、修改、补充、更新、作废诚信库信息，不影响按照投标文件提交截止时间前投标人提交的投标文件形成的审查或评审结果。投标人若需要更正投标资料信息，应在投标文件提交截止时间前撤回投标文件，重新勾选投标资料后上传。投标文件提交后，投标人不得对投标资料信息进行改动。</w:t>
      </w:r>
      <w:bookmarkStart w:id="191" w:name="_Toc397928571"/>
      <w:bookmarkStart w:id="192" w:name="_Toc387526396"/>
      <w:bookmarkStart w:id="193" w:name="_Toc387526304"/>
      <w:bookmarkStart w:id="194" w:name="_Toc387526200"/>
      <w:bookmarkStart w:id="195" w:name="_Toc508216901"/>
      <w:bookmarkStart w:id="196" w:name="_Toc22895"/>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3.6 投标文件的编制</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3.6.1 投标文件应按第六章“投标文件格式”进行编写，如有必要可自行增加，作为投标文件的组成部分。</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3.6.2 电子投标文件应使用“新点电子交易平台-大丰政府采购系统”可接受的投标文件制作工具进行编制和加密，并在投标文件提交截止时间前上传至“新点电子交易平台-大丰政府采购系统”中。</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3.6.3 投标文件中涉及从企业诚信库中获取的材料见本章第3.1.1项，投标人应在相应章节中建立相应链接（点击后可自动进入企业诚信库查看相应原件彩色扫描件，并作为投标文件组成部分）。对已在投标文件中链接的企业诚信库材料进行更新的，投标文件须重新链接获取相应信息。</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投标人有义务核查投标文件中相应链接，以及从企业诚信库中获取扫描件的有效性和真实性，如存在扫描件无效、不清晰、不完整或链接无效等情形的，投标人应及时更新企业诚信库相关材料，并重新链接获取相应信息。</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必须从诚信库获取的材料，须通过互联网可以查询，未按本项要求从企业诚信库中获取的，视为未提供，在评标时该材料不予认可。</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投标人须知前附表3.1.1条无需从诚信库勾选的材料，编制投标文件时直接提供扫描件上传至投标文件制作工具其他材料栏。</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3.6.4投标文件应当对招标文件有关工期、投标有效期、质量要求、技术标准和要求、招标范围等实质性内容作出响应。</w:t>
      </w:r>
    </w:p>
    <w:p>
      <w:pPr>
        <w:pStyle w:val="5"/>
        <w:spacing w:before="0" w:after="0" w:line="460" w:lineRule="exact"/>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3.6.5补充内容：投标文件编制的其它要求详见投标人须知前附表。</w:t>
      </w:r>
    </w:p>
    <w:p>
      <w:pPr>
        <w:pStyle w:val="5"/>
        <w:spacing w:before="0" w:after="0" w:line="460" w:lineRule="exact"/>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3.7 备选投标方案</w:t>
      </w:r>
      <w:bookmarkEnd w:id="185"/>
      <w:bookmarkEnd w:id="186"/>
      <w:bookmarkEnd w:id="187"/>
      <w:bookmarkEnd w:id="191"/>
      <w:bookmarkEnd w:id="192"/>
      <w:bookmarkEnd w:id="193"/>
      <w:bookmarkEnd w:id="194"/>
      <w:bookmarkEnd w:id="195"/>
      <w:bookmarkEnd w:id="196"/>
    </w:p>
    <w:p>
      <w:pPr>
        <w:spacing w:line="460" w:lineRule="exact"/>
        <w:ind w:firstLine="420" w:firstLineChars="200"/>
        <w:jc w:val="left"/>
        <w:rPr>
          <w:rFonts w:ascii="宋体" w:hAnsi="宋体" w:cs="宋体"/>
          <w:color w:val="auto"/>
          <w:szCs w:val="21"/>
        </w:rPr>
      </w:pPr>
      <w:bookmarkStart w:id="197" w:name="_Toc387526202"/>
      <w:bookmarkStart w:id="198" w:name="_Toc24421"/>
      <w:bookmarkStart w:id="199" w:name="_Toc397928573"/>
      <w:bookmarkStart w:id="200" w:name="_Toc184635074"/>
      <w:bookmarkStart w:id="201" w:name="_Toc368759378"/>
      <w:bookmarkStart w:id="202" w:name="_Toc387526306"/>
      <w:bookmarkStart w:id="203" w:name="_Toc508216903"/>
      <w:bookmarkStart w:id="204" w:name="_Toc363329373"/>
      <w:bookmarkStart w:id="205" w:name="_Toc369077564"/>
      <w:bookmarkStart w:id="206" w:name="_Toc367894801"/>
      <w:bookmarkStart w:id="207" w:name="_Toc368760430"/>
      <w:bookmarkStart w:id="208" w:name="_Toc387526398"/>
      <w:bookmarkStart w:id="209" w:name="_Toc368759379"/>
      <w:bookmarkStart w:id="210" w:name="_Toc184635075"/>
      <w:bookmarkStart w:id="211" w:name="_Toc363329374"/>
      <w:bookmarkStart w:id="212" w:name="_Toc367894802"/>
      <w:r>
        <w:rPr>
          <w:rFonts w:hint="eastAsia" w:ascii="宋体" w:hAnsi="宋体" w:cs="宋体"/>
          <w:color w:val="auto"/>
          <w:szCs w:val="21"/>
        </w:rPr>
        <w:t>本项目不接受投标人递交备选投标方案。</w:t>
      </w:r>
    </w:p>
    <w:p>
      <w:pPr>
        <w:spacing w:line="460" w:lineRule="exact"/>
        <w:ind w:firstLine="422" w:firstLineChars="200"/>
        <w:jc w:val="left"/>
        <w:rPr>
          <w:rFonts w:ascii="宋体" w:hAnsi="宋体" w:cs="宋体"/>
          <w:color w:val="auto"/>
          <w:szCs w:val="21"/>
        </w:rPr>
      </w:pPr>
      <w:r>
        <w:rPr>
          <w:rFonts w:hint="eastAsia" w:ascii="宋体" w:hAnsi="宋体" w:cs="宋体"/>
          <w:b/>
          <w:bCs/>
          <w:color w:val="auto"/>
          <w:szCs w:val="21"/>
        </w:rPr>
        <w:t>4.投标</w:t>
      </w:r>
      <w:bookmarkEnd w:id="197"/>
      <w:bookmarkEnd w:id="198"/>
      <w:bookmarkEnd w:id="199"/>
      <w:bookmarkEnd w:id="200"/>
      <w:bookmarkEnd w:id="201"/>
      <w:bookmarkEnd w:id="202"/>
      <w:bookmarkEnd w:id="203"/>
      <w:bookmarkEnd w:id="204"/>
      <w:bookmarkEnd w:id="205"/>
      <w:bookmarkEnd w:id="206"/>
      <w:bookmarkEnd w:id="207"/>
      <w:bookmarkEnd w:id="208"/>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4.1 投标文件的加密和数字证书认证</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4.1.1 投标文件应使用数字证书认证并加密。</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4.1.2 未按本章第4.1.1项要求加密和数字证书认证的投标文件，招标人拒收。</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4.2 投标文件的提交</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4.2.1 投标人应在招标文件规定的投标文件提交截止时间前完成投标文件的提交。电子档投标文件的提交是指使用新点电子交易平台-大丰政府采购系统在投标文件提交截止时间前完成投标文件的上传。</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4.2.2 投标人提交投标文件的地点：见投标人须知前附表。</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4.2.3 除招标文件另有规定外，投标人所提交的投标文件不予退还。</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4.2.4中标单位在中标结果公告后、领取中标通知书前必须提供与投标文件电子标书一致的纸质投标文件加盖投标人单位鲜红公章并装订成册（共五套：正本一套、副本四套）以供招标人、招标代理机构及公共资源交易中心存档。纸质投标文件应使用CA系统打印，且必须保证与评标时的电子标书完全一致。</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4.2.5有下列情形之一的投标文件拒收并退回：</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1）投标文件逾期提交的或者未在指定时间内完成投标文件解密的。</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2）投标人CA锁无法解密投标文件的。</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4.3 投标文件的修改与撤回</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4.3.1 在投标人须知前附表规定的投标文件提交截止时间前，投标人可以多次修改或撤回已提交的投标文件，最终投标文件以投标文件提交截止时间前完成上传至新点电子交易平台-大丰政府采购系统最后一份投标文件为准。</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4.3.2 修改的投标文件应按照本章第3.6条、第4.2条规定进行编制和提交。</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4.3.3投标文件提交截止时间之后，在投标有效期内，投标人不得修改或撤回投标文件。</w:t>
      </w:r>
    </w:p>
    <w:p>
      <w:pPr>
        <w:pStyle w:val="153"/>
        <w:spacing w:before="0" w:after="0" w:line="460" w:lineRule="exact"/>
        <w:ind w:firstLine="422" w:firstLineChars="200"/>
        <w:jc w:val="left"/>
        <w:rPr>
          <w:rFonts w:ascii="宋体" w:hAnsi="宋体"/>
          <w:color w:val="auto"/>
          <w:sz w:val="21"/>
          <w:szCs w:val="21"/>
        </w:rPr>
      </w:pPr>
      <w:bookmarkStart w:id="213" w:name="_Toc368760431"/>
      <w:bookmarkStart w:id="214" w:name="_Toc369077565"/>
      <w:bookmarkStart w:id="215" w:name="_Toc397928578"/>
      <w:bookmarkStart w:id="216" w:name="_Toc387526402"/>
      <w:bookmarkStart w:id="217" w:name="_Toc22329"/>
      <w:bookmarkStart w:id="218" w:name="_Toc387526206"/>
      <w:bookmarkStart w:id="219" w:name="_Toc387526310"/>
      <w:bookmarkStart w:id="220" w:name="_Toc508216908"/>
      <w:bookmarkStart w:id="221" w:name="_Toc246996210"/>
      <w:bookmarkStart w:id="222" w:name="_Toc368759381"/>
      <w:bookmarkStart w:id="223" w:name="_Toc247085724"/>
      <w:bookmarkStart w:id="224" w:name="_Toc366679697"/>
      <w:bookmarkStart w:id="225" w:name="_Toc152042342"/>
      <w:bookmarkStart w:id="226" w:name="_Toc144974534"/>
      <w:bookmarkStart w:id="227" w:name="_Toc246996953"/>
      <w:bookmarkStart w:id="228" w:name="_Toc179632584"/>
      <w:bookmarkStart w:id="229" w:name="_Toc152045566"/>
      <w:r>
        <w:rPr>
          <w:rFonts w:hint="eastAsia" w:ascii="宋体" w:hAnsi="宋体"/>
          <w:color w:val="auto"/>
          <w:sz w:val="21"/>
          <w:szCs w:val="21"/>
        </w:rPr>
        <w:t>5.开标</w:t>
      </w:r>
      <w:bookmarkEnd w:id="213"/>
      <w:bookmarkEnd w:id="214"/>
      <w:bookmarkEnd w:id="215"/>
      <w:bookmarkEnd w:id="216"/>
      <w:bookmarkEnd w:id="217"/>
      <w:bookmarkEnd w:id="218"/>
      <w:bookmarkEnd w:id="219"/>
      <w:bookmarkEnd w:id="220"/>
    </w:p>
    <w:p>
      <w:pPr>
        <w:spacing w:line="460" w:lineRule="exact"/>
        <w:ind w:firstLine="420" w:firstLineChars="200"/>
        <w:jc w:val="left"/>
        <w:rPr>
          <w:rFonts w:ascii="宋体" w:hAnsi="宋体" w:cs="宋体"/>
          <w:color w:val="auto"/>
          <w:szCs w:val="21"/>
        </w:rPr>
      </w:pPr>
      <w:bookmarkStart w:id="230" w:name="_Toc368759380"/>
      <w:bookmarkStart w:id="231" w:name="_Toc184635076"/>
      <w:bookmarkStart w:id="232" w:name="_Toc397928581"/>
      <w:bookmarkStart w:id="233" w:name="_Toc368760432"/>
      <w:bookmarkStart w:id="234" w:name="_Toc363329375"/>
      <w:bookmarkStart w:id="235" w:name="_Toc22517"/>
      <w:bookmarkStart w:id="236" w:name="_Toc369077566"/>
      <w:bookmarkStart w:id="237" w:name="_Toc387526405"/>
      <w:bookmarkStart w:id="238" w:name="_Toc387526209"/>
      <w:bookmarkStart w:id="239" w:name="_Toc367894803"/>
      <w:bookmarkStart w:id="240" w:name="_Toc387526313"/>
      <w:r>
        <w:rPr>
          <w:rFonts w:hint="eastAsia" w:ascii="宋体" w:hAnsi="宋体" w:cs="宋体"/>
          <w:color w:val="auto"/>
          <w:szCs w:val="21"/>
        </w:rPr>
        <w:t>5.1 开标时间、地点和投标人参会代表</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5.1.1详见投标人须知前附表规定的时间、地点和投标人参会代表；</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5.2 开标程序</w:t>
      </w:r>
    </w:p>
    <w:p>
      <w:pPr>
        <w:spacing w:line="460" w:lineRule="exact"/>
        <w:ind w:firstLine="422" w:firstLineChars="200"/>
        <w:jc w:val="left"/>
        <w:rPr>
          <w:rFonts w:ascii="宋体" w:hAnsi="宋体" w:cs="宋体"/>
          <w:color w:val="auto"/>
          <w:szCs w:val="21"/>
        </w:rPr>
      </w:pPr>
      <w:r>
        <w:rPr>
          <w:rFonts w:hint="eastAsia" w:ascii="宋体" w:hAnsi="宋体" w:cs="宋体"/>
          <w:b/>
          <w:bCs/>
          <w:color w:val="auto"/>
          <w:szCs w:val="21"/>
        </w:rPr>
        <w:t>A、投标文件解密</w:t>
      </w:r>
    </w:p>
    <w:p>
      <w:pPr>
        <w:spacing w:line="460" w:lineRule="exact"/>
        <w:ind w:firstLine="420" w:firstLineChars="200"/>
        <w:jc w:val="left"/>
        <w:rPr>
          <w:rFonts w:ascii="宋体" w:hAnsi="宋体" w:cs="宋体"/>
          <w:b/>
          <w:bCs/>
          <w:color w:val="auto"/>
          <w:szCs w:val="21"/>
        </w:rPr>
      </w:pPr>
      <w:r>
        <w:rPr>
          <w:rFonts w:hint="eastAsia" w:ascii="宋体" w:hAnsi="宋体" w:cs="宋体"/>
          <w:color w:val="auto"/>
          <w:szCs w:val="21"/>
        </w:rPr>
        <w:t>投标文件提交截止时间后，招标人通过开标大厅系统发出投标文件解密的指令，投标人解密时间限定在开标大厅系统发出投标文件解密指令后15分钟内完成。投标人未按时完成投标文件解密或解密未成功的，均被视为投标人放弃本次投标（无效投标）。</w:t>
      </w:r>
      <w:r>
        <w:rPr>
          <w:rFonts w:hint="eastAsia" w:ascii="宋体" w:hAnsi="宋体" w:cs="宋体"/>
          <w:bCs/>
          <w:color w:val="auto"/>
          <w:szCs w:val="21"/>
        </w:rPr>
        <w:t>因投标人自身设备故障或自身原因导致无法完成投标的，对其形成的不利后果及责任由投标人自行承担。</w:t>
      </w:r>
      <w:r>
        <w:rPr>
          <w:rFonts w:hint="eastAsia" w:ascii="宋体" w:hAnsi="宋体" w:cs="宋体"/>
          <w:color w:val="auto"/>
          <w:szCs w:val="21"/>
        </w:rPr>
        <w:t>解密完成后，投标人可自行决定是否继续参加开（唱）标会议，投标人未参加开标的，视同认可开标结果。</w:t>
      </w:r>
    </w:p>
    <w:p>
      <w:pPr>
        <w:spacing w:line="460" w:lineRule="exact"/>
        <w:ind w:firstLine="422" w:firstLineChars="200"/>
        <w:jc w:val="left"/>
        <w:rPr>
          <w:rFonts w:ascii="宋体" w:hAnsi="宋体" w:cs="宋体"/>
          <w:color w:val="auto"/>
          <w:szCs w:val="21"/>
        </w:rPr>
      </w:pPr>
      <w:r>
        <w:rPr>
          <w:rFonts w:hint="eastAsia" w:ascii="宋体" w:hAnsi="宋体" w:cs="宋体"/>
          <w:b/>
          <w:bCs/>
          <w:color w:val="auto"/>
          <w:szCs w:val="21"/>
        </w:rPr>
        <w:t>B、开（唱）标</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1、宣布开标纪律；</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2、宣布招标人、招标代理机构、招投标监管部门、交易中心出席开标会的有关人员姓名；</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3、招标人（招标代理机构）导入投标文件；</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4、当众唱标，宣读投标人名称、标段名称、质量标准、服务期、报价、项目负责人及其他内容；</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5、投标人对开标有异议的，应当在开标现场提出，由招标人答复并制作记录，未提出异议的视为认同；</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6、开标会议结束。</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5.3 特殊情况处理</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5.3.1因“网上开评标系统”故障，开标活动无法正常进行时，招标人可根据实际情况相应延迟解密时间或调整开标时间。“网上开评标系统”故障是指非投标人原因造成所有投标人电子投标文件均无法解密的情形。部分投标文件无法解密的，不适用该条款。</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5.3.2 因投标人原因造成投标文件在规定的时间内未完成解密的，该投标将被拒绝。</w:t>
      </w:r>
    </w:p>
    <w:p>
      <w:pPr>
        <w:spacing w:line="460" w:lineRule="exact"/>
        <w:ind w:firstLine="420" w:firstLineChars="200"/>
        <w:jc w:val="left"/>
        <w:rPr>
          <w:rFonts w:ascii="宋体" w:hAnsi="宋体" w:cs="宋体"/>
          <w:b/>
          <w:bCs/>
          <w:color w:val="auto"/>
          <w:szCs w:val="21"/>
        </w:rPr>
      </w:pPr>
      <w:r>
        <w:rPr>
          <w:rFonts w:hint="eastAsia" w:ascii="宋体" w:hAnsi="宋体" w:cs="宋体"/>
          <w:color w:val="auto"/>
          <w:szCs w:val="21"/>
        </w:rPr>
        <w:t>5.3.3 投标人对开标有异议的，应当在开标系统中当场提出，招标人当场予以答复，并制作记录。</w:t>
      </w:r>
    </w:p>
    <w:p>
      <w:pPr>
        <w:pStyle w:val="153"/>
        <w:spacing w:before="0" w:after="0" w:line="460" w:lineRule="exact"/>
        <w:ind w:firstLine="422" w:firstLineChars="200"/>
        <w:jc w:val="left"/>
        <w:rPr>
          <w:rFonts w:ascii="宋体" w:hAnsi="宋体"/>
          <w:color w:val="auto"/>
          <w:sz w:val="21"/>
          <w:szCs w:val="21"/>
        </w:rPr>
      </w:pPr>
      <w:r>
        <w:rPr>
          <w:rFonts w:hint="eastAsia" w:ascii="宋体" w:hAnsi="宋体"/>
          <w:color w:val="auto"/>
          <w:sz w:val="21"/>
          <w:szCs w:val="21"/>
        </w:rPr>
        <w:t>6.评标</w:t>
      </w:r>
      <w:bookmarkEnd w:id="230"/>
      <w:bookmarkEnd w:id="231"/>
      <w:bookmarkEnd w:id="232"/>
      <w:bookmarkEnd w:id="233"/>
      <w:bookmarkEnd w:id="234"/>
      <w:bookmarkEnd w:id="235"/>
      <w:bookmarkEnd w:id="236"/>
      <w:bookmarkEnd w:id="237"/>
      <w:bookmarkEnd w:id="238"/>
      <w:bookmarkEnd w:id="239"/>
      <w:bookmarkEnd w:id="240"/>
      <w:bookmarkStart w:id="241" w:name="_Toc397928582"/>
      <w:bookmarkStart w:id="242" w:name="_Toc387526210"/>
      <w:bookmarkStart w:id="243" w:name="_Toc387526406"/>
      <w:bookmarkStart w:id="244" w:name="_Toc387526314"/>
      <w:bookmarkStart w:id="245" w:name="_Toc9909"/>
    </w:p>
    <w:p>
      <w:pPr>
        <w:pStyle w:val="5"/>
        <w:spacing w:before="0" w:after="0" w:line="460" w:lineRule="exact"/>
        <w:ind w:firstLine="420" w:firstLineChars="200"/>
        <w:jc w:val="left"/>
        <w:rPr>
          <w:rFonts w:ascii="宋体" w:hAnsi="宋体" w:eastAsia="宋体" w:cs="宋体"/>
          <w:color w:val="auto"/>
          <w:sz w:val="21"/>
          <w:szCs w:val="21"/>
        </w:rPr>
      </w:pPr>
      <w:bookmarkStart w:id="246" w:name="_Toc508216911"/>
      <w:r>
        <w:rPr>
          <w:rFonts w:hint="eastAsia" w:ascii="宋体" w:hAnsi="宋体" w:eastAsia="宋体" w:cs="宋体"/>
          <w:color w:val="auto"/>
          <w:sz w:val="21"/>
          <w:szCs w:val="21"/>
        </w:rPr>
        <w:t>6.1 评标委员会</w:t>
      </w:r>
      <w:bookmarkEnd w:id="241"/>
      <w:bookmarkEnd w:id="242"/>
      <w:bookmarkEnd w:id="243"/>
      <w:bookmarkEnd w:id="244"/>
      <w:bookmarkEnd w:id="245"/>
      <w:bookmarkEnd w:id="246"/>
    </w:p>
    <w:p>
      <w:pPr>
        <w:spacing w:line="460" w:lineRule="exact"/>
        <w:ind w:firstLine="420" w:firstLineChars="200"/>
        <w:jc w:val="left"/>
        <w:rPr>
          <w:rFonts w:ascii="宋体" w:hAnsi="宋体" w:cs="宋体"/>
          <w:color w:val="auto"/>
          <w:szCs w:val="21"/>
        </w:rPr>
      </w:pPr>
      <w:bookmarkStart w:id="247" w:name="_Toc324255922"/>
      <w:bookmarkStart w:id="248" w:name="_Toc339359778"/>
      <w:bookmarkStart w:id="249" w:name="_Toc269310951"/>
      <w:r>
        <w:rPr>
          <w:rFonts w:hint="eastAsia" w:ascii="宋体" w:hAnsi="宋体" w:cs="宋体"/>
          <w:color w:val="auto"/>
          <w:szCs w:val="21"/>
        </w:rPr>
        <w:t>6.1.1 评标由招标人依法组建的评标委员会负责。评标委员会由招标人代表以及有关技术、经济等方面的专家组成。评标委员会成员人数以及技术、经济等方面专家的确定方式见投标人须知前附表。</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6.1.2 评标委员会成员有下列情形之一的，应当回避：</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（1）投标人或投标人主要负责人的近亲属；</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（2）项目主管部门或者行政监督部门的人员；</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（3）与投标人有经济利益关系；</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（4）曾因在招标、评标以及其他与招标投标有关活动中从事违法行为而受过行政处罚或刑事处罚的，且在处罚期内。</w:t>
      </w:r>
    </w:p>
    <w:p>
      <w:pPr>
        <w:pStyle w:val="5"/>
        <w:spacing w:before="0" w:after="0" w:line="460" w:lineRule="exact"/>
        <w:ind w:firstLine="420" w:firstLineChars="200"/>
        <w:jc w:val="left"/>
        <w:rPr>
          <w:rFonts w:ascii="宋体" w:hAnsi="宋体" w:eastAsia="宋体" w:cs="宋体"/>
          <w:color w:val="auto"/>
          <w:sz w:val="21"/>
          <w:szCs w:val="21"/>
        </w:rPr>
      </w:pPr>
      <w:bookmarkStart w:id="250" w:name="_Toc12316"/>
      <w:bookmarkStart w:id="251" w:name="_Toc397928583"/>
      <w:bookmarkStart w:id="252" w:name="_Toc508216912"/>
      <w:bookmarkStart w:id="253" w:name="_Toc387526407"/>
      <w:bookmarkStart w:id="254" w:name="_Toc387526315"/>
      <w:bookmarkStart w:id="255" w:name="_Toc387526211"/>
      <w:r>
        <w:rPr>
          <w:rFonts w:hint="eastAsia" w:ascii="宋体" w:hAnsi="宋体" w:eastAsia="宋体" w:cs="宋体"/>
          <w:color w:val="auto"/>
          <w:sz w:val="21"/>
          <w:szCs w:val="21"/>
        </w:rPr>
        <w:t>6.2</w:t>
      </w:r>
      <w:bookmarkEnd w:id="247"/>
      <w:bookmarkEnd w:id="248"/>
      <w:bookmarkEnd w:id="249"/>
      <w:r>
        <w:rPr>
          <w:rFonts w:hint="eastAsia" w:ascii="宋体" w:hAnsi="宋体" w:eastAsia="宋体" w:cs="宋体"/>
          <w:color w:val="auto"/>
          <w:sz w:val="21"/>
          <w:szCs w:val="21"/>
        </w:rPr>
        <w:t xml:space="preserve"> 评标原则</w:t>
      </w:r>
      <w:bookmarkEnd w:id="250"/>
      <w:bookmarkEnd w:id="251"/>
      <w:bookmarkEnd w:id="252"/>
      <w:bookmarkEnd w:id="253"/>
      <w:bookmarkEnd w:id="254"/>
      <w:bookmarkEnd w:id="255"/>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评标活动遵循公平、公正、科学和择优的原则。</w:t>
      </w:r>
    </w:p>
    <w:p>
      <w:pPr>
        <w:pStyle w:val="5"/>
        <w:spacing w:before="0" w:after="0" w:line="460" w:lineRule="exact"/>
        <w:ind w:firstLine="420" w:firstLineChars="200"/>
        <w:jc w:val="left"/>
        <w:rPr>
          <w:rFonts w:ascii="宋体" w:hAnsi="宋体" w:eastAsia="宋体" w:cs="宋体"/>
          <w:color w:val="auto"/>
          <w:sz w:val="21"/>
          <w:szCs w:val="21"/>
        </w:rPr>
      </w:pPr>
      <w:bookmarkStart w:id="256" w:name="_Toc397928584"/>
      <w:bookmarkStart w:id="257" w:name="_Toc366679696"/>
      <w:bookmarkStart w:id="258" w:name="_Toc387526408"/>
      <w:bookmarkStart w:id="259" w:name="_Toc152042341"/>
      <w:bookmarkStart w:id="260" w:name="_Toc152045565"/>
      <w:bookmarkStart w:id="261" w:name="_Toc247085723"/>
      <w:bookmarkStart w:id="262" w:name="_Toc508216913"/>
      <w:bookmarkStart w:id="263" w:name="_Toc144974533"/>
      <w:bookmarkStart w:id="264" w:name="_Toc246996209"/>
      <w:bookmarkStart w:id="265" w:name="_Toc6500"/>
      <w:bookmarkStart w:id="266" w:name="_Toc179632583"/>
      <w:bookmarkStart w:id="267" w:name="_Toc387526212"/>
      <w:bookmarkStart w:id="268" w:name="_Toc387526316"/>
      <w:bookmarkStart w:id="269" w:name="_Toc246996952"/>
      <w:r>
        <w:rPr>
          <w:rFonts w:hint="eastAsia" w:ascii="宋体" w:hAnsi="宋体" w:eastAsia="宋体" w:cs="宋体"/>
          <w:color w:val="auto"/>
          <w:sz w:val="21"/>
          <w:szCs w:val="21"/>
        </w:rPr>
        <w:t>6.3 评标</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评标委员会按照第三章“评标办法”规定的方法、评审因素、标准和程序对投标文件进行评审。第三章“评标办法”没有规定的方法、评审因素和标准，不作为评标依据。</w:t>
      </w:r>
    </w:p>
    <w:p>
      <w:pPr>
        <w:pStyle w:val="5"/>
        <w:spacing w:before="0" w:after="0" w:line="460" w:lineRule="exact"/>
        <w:ind w:firstLine="420" w:firstLineChars="200"/>
        <w:jc w:val="left"/>
        <w:rPr>
          <w:rFonts w:ascii="宋体" w:hAnsi="宋体" w:eastAsia="宋体" w:cs="宋体"/>
          <w:color w:val="auto"/>
          <w:sz w:val="21"/>
          <w:szCs w:val="21"/>
        </w:rPr>
      </w:pPr>
      <w:bookmarkStart w:id="270" w:name="_Toc508216915"/>
      <w:r>
        <w:rPr>
          <w:rFonts w:hint="eastAsia" w:ascii="宋体" w:hAnsi="宋体" w:eastAsia="宋体" w:cs="宋体"/>
          <w:color w:val="auto"/>
          <w:sz w:val="21"/>
          <w:szCs w:val="21"/>
        </w:rPr>
        <w:t>6.4无效标书条款</w:t>
      </w:r>
      <w:bookmarkEnd w:id="270"/>
    </w:p>
    <w:p>
      <w:pPr>
        <w:shd w:val="clear" w:color="auto" w:fill="FFFFFF"/>
        <w:spacing w:line="460" w:lineRule="exact"/>
        <w:ind w:firstLine="420" w:firstLineChars="200"/>
        <w:jc w:val="left"/>
        <w:rPr>
          <w:rFonts w:ascii="宋体" w:hAnsi="宋体" w:cs="宋体"/>
          <w:color w:val="auto"/>
          <w:szCs w:val="21"/>
        </w:rPr>
      </w:pPr>
      <w:r>
        <w:rPr>
          <w:rFonts w:hint="eastAsia" w:ascii="宋体" w:hAnsi="宋体" w:cs="宋体"/>
          <w:color w:val="auto"/>
          <w:szCs w:val="21"/>
        </w:rPr>
        <w:t>投标文件有下列情况之一的，属于重大偏差，视为未能对招标文件作出实质性响应，应当作为无效投标予以否决：</w:t>
      </w:r>
    </w:p>
    <w:p>
      <w:pPr>
        <w:shd w:val="clear" w:color="auto" w:fill="FFFFFF"/>
        <w:spacing w:line="460" w:lineRule="exact"/>
        <w:ind w:firstLine="420" w:firstLineChars="200"/>
        <w:jc w:val="left"/>
        <w:rPr>
          <w:rFonts w:ascii="宋体" w:hAnsi="宋体" w:cs="宋体"/>
          <w:color w:val="auto"/>
          <w:szCs w:val="21"/>
        </w:rPr>
      </w:pPr>
      <w:r>
        <w:rPr>
          <w:rFonts w:hint="eastAsia" w:ascii="宋体" w:hAnsi="宋体" w:cs="宋体"/>
          <w:color w:val="auto"/>
          <w:szCs w:val="21"/>
        </w:rPr>
        <w:t>（1）投标文件中的投标函未加盖投标人的公章；</w:t>
      </w:r>
    </w:p>
    <w:p>
      <w:pPr>
        <w:shd w:val="clear" w:color="auto" w:fill="FFFFFF"/>
        <w:spacing w:line="460" w:lineRule="exact"/>
        <w:ind w:firstLine="420" w:firstLineChars="200"/>
        <w:jc w:val="left"/>
        <w:rPr>
          <w:rFonts w:ascii="宋体" w:hAnsi="宋体" w:cs="宋体"/>
          <w:color w:val="auto"/>
          <w:szCs w:val="21"/>
        </w:rPr>
      </w:pPr>
      <w:r>
        <w:rPr>
          <w:rFonts w:hint="eastAsia" w:ascii="宋体" w:hAnsi="宋体" w:cs="宋体"/>
          <w:color w:val="auto"/>
          <w:szCs w:val="21"/>
        </w:rPr>
        <w:t>（2）投标文件中的投标函无企业法定代表人（或企业法定代表人委托代理人）印章（或签字）的；</w:t>
      </w:r>
    </w:p>
    <w:p>
      <w:pPr>
        <w:shd w:val="clear" w:color="auto" w:fill="FFFFFF"/>
        <w:spacing w:line="460" w:lineRule="exact"/>
        <w:ind w:firstLine="420" w:firstLineChars="200"/>
        <w:jc w:val="left"/>
        <w:rPr>
          <w:rFonts w:ascii="宋体" w:hAnsi="宋体" w:cs="宋体"/>
          <w:color w:val="auto"/>
          <w:szCs w:val="21"/>
        </w:rPr>
      </w:pPr>
      <w:r>
        <w:rPr>
          <w:rFonts w:hint="eastAsia" w:ascii="宋体" w:hAnsi="宋体" w:cs="宋体"/>
          <w:color w:val="auto"/>
          <w:szCs w:val="21"/>
        </w:rPr>
        <w:t>（3）如投标函由企业法定代表人委托代理人加盖印章（或签字）的，企业法定代表人委托代理人没有合法、有效的委托书（原件）的；</w:t>
      </w:r>
    </w:p>
    <w:p>
      <w:pPr>
        <w:shd w:val="clear" w:color="auto" w:fill="FFFFFF"/>
        <w:spacing w:line="460" w:lineRule="exact"/>
        <w:ind w:firstLine="420" w:firstLineChars="200"/>
        <w:jc w:val="left"/>
        <w:rPr>
          <w:rFonts w:ascii="宋体" w:hAnsi="宋体" w:cs="宋体"/>
          <w:color w:val="auto"/>
          <w:szCs w:val="21"/>
        </w:rPr>
      </w:pPr>
      <w:r>
        <w:rPr>
          <w:rFonts w:hint="eastAsia" w:ascii="宋体" w:hAnsi="宋体" w:cs="宋体"/>
          <w:color w:val="auto"/>
          <w:szCs w:val="21"/>
        </w:rPr>
        <w:t xml:space="preserve">（4）投标人资格条件不符合国家有关规定或招标文件要求的； </w:t>
      </w:r>
    </w:p>
    <w:p>
      <w:pPr>
        <w:shd w:val="clear" w:color="auto" w:fill="FFFFFF"/>
        <w:spacing w:line="460" w:lineRule="exact"/>
        <w:ind w:firstLine="420" w:firstLineChars="200"/>
        <w:jc w:val="left"/>
        <w:rPr>
          <w:rFonts w:ascii="宋体" w:hAnsi="宋体" w:cs="宋体"/>
          <w:color w:val="auto"/>
          <w:szCs w:val="21"/>
        </w:rPr>
      </w:pPr>
      <w:r>
        <w:rPr>
          <w:rFonts w:hint="eastAsia" w:ascii="宋体" w:hAnsi="宋体" w:cs="宋体"/>
          <w:color w:val="auto"/>
          <w:szCs w:val="21"/>
        </w:rPr>
        <w:t>（5）投标文件技术规格中一般参数超出招标文件允许偏离的最大范围或最高项数的；</w:t>
      </w:r>
    </w:p>
    <w:p>
      <w:pPr>
        <w:shd w:val="clear" w:color="auto" w:fill="FFFFFF"/>
        <w:spacing w:line="460" w:lineRule="exact"/>
        <w:ind w:firstLine="420" w:firstLineChars="200"/>
        <w:jc w:val="left"/>
        <w:rPr>
          <w:rFonts w:ascii="宋体" w:hAnsi="宋体" w:cs="宋体"/>
          <w:color w:val="auto"/>
          <w:szCs w:val="21"/>
        </w:rPr>
      </w:pPr>
      <w:r>
        <w:rPr>
          <w:rFonts w:hint="eastAsia" w:ascii="宋体" w:hAnsi="宋体" w:cs="宋体"/>
          <w:color w:val="auto"/>
          <w:szCs w:val="21"/>
        </w:rPr>
        <w:t xml:space="preserve">（6）投标报价高于招标文件设定的最高投标限价的； </w:t>
      </w:r>
    </w:p>
    <w:p>
      <w:pPr>
        <w:shd w:val="clear" w:color="auto" w:fill="FFFFFF"/>
        <w:spacing w:line="460" w:lineRule="exact"/>
        <w:ind w:firstLine="420" w:firstLineChars="200"/>
        <w:jc w:val="left"/>
        <w:rPr>
          <w:rFonts w:ascii="宋体" w:hAnsi="宋体" w:cs="宋体"/>
          <w:color w:val="auto"/>
          <w:szCs w:val="21"/>
        </w:rPr>
      </w:pPr>
      <w:r>
        <w:rPr>
          <w:rFonts w:hint="eastAsia" w:ascii="宋体" w:hAnsi="宋体" w:cs="宋体"/>
          <w:color w:val="auto"/>
          <w:szCs w:val="21"/>
        </w:rPr>
        <w:t>（7）投标文件的组成不符合招标文件要求的；</w:t>
      </w:r>
    </w:p>
    <w:p>
      <w:pPr>
        <w:shd w:val="clear" w:color="auto" w:fill="FFFFFF"/>
        <w:spacing w:line="460" w:lineRule="exact"/>
        <w:ind w:firstLine="420" w:firstLineChars="200"/>
        <w:jc w:val="left"/>
        <w:rPr>
          <w:rFonts w:ascii="宋体" w:hAnsi="宋体" w:cs="宋体"/>
          <w:color w:val="auto"/>
          <w:szCs w:val="21"/>
        </w:rPr>
      </w:pPr>
      <w:r>
        <w:rPr>
          <w:rFonts w:hint="eastAsia" w:ascii="宋体" w:hAnsi="宋体" w:cs="宋体"/>
          <w:color w:val="auto"/>
          <w:szCs w:val="21"/>
        </w:rPr>
        <w:t>（8）投标人递交两份或多份内容不同的投标文件，或在一份投标文件中对同一招标货物报有两个或多个报价，且未声明哪一个为最终报价的，按招标文件规定提交备选投标方案的除外；</w:t>
      </w:r>
    </w:p>
    <w:p>
      <w:pPr>
        <w:shd w:val="clear" w:color="auto" w:fill="FFFFFF"/>
        <w:spacing w:line="460" w:lineRule="exact"/>
        <w:ind w:firstLine="420" w:firstLineChars="200"/>
        <w:jc w:val="left"/>
        <w:rPr>
          <w:rFonts w:ascii="宋体" w:hAnsi="宋体" w:cs="宋体"/>
          <w:color w:val="auto"/>
          <w:szCs w:val="21"/>
        </w:rPr>
      </w:pPr>
      <w:r>
        <w:rPr>
          <w:rFonts w:hint="eastAsia" w:ascii="宋体" w:hAnsi="宋体" w:cs="宋体"/>
          <w:color w:val="auto"/>
          <w:szCs w:val="21"/>
        </w:rPr>
        <w:t xml:space="preserve">（9）与招标文件提供的货物（设备）清单中的清单数量或规格不相同的；  </w:t>
      </w:r>
    </w:p>
    <w:p>
      <w:pPr>
        <w:shd w:val="clear" w:color="auto" w:fill="FFFFFF"/>
        <w:spacing w:line="460" w:lineRule="exact"/>
        <w:ind w:firstLine="420" w:firstLineChars="200"/>
        <w:jc w:val="left"/>
        <w:rPr>
          <w:rFonts w:ascii="宋体" w:hAnsi="宋体" w:cs="宋体"/>
          <w:color w:val="auto"/>
          <w:szCs w:val="21"/>
        </w:rPr>
      </w:pPr>
      <w:r>
        <w:rPr>
          <w:rFonts w:hint="eastAsia" w:ascii="宋体" w:hAnsi="宋体" w:cs="宋体"/>
          <w:color w:val="auto"/>
          <w:szCs w:val="21"/>
        </w:rPr>
        <w:t xml:space="preserve">（10）投标文件载明的招标项目完成期限超过招标文件规定的期限的，或服务期达不到招标文件规定期限的要求； </w:t>
      </w:r>
    </w:p>
    <w:p>
      <w:pPr>
        <w:shd w:val="clear" w:color="auto" w:fill="FFFFFF"/>
        <w:spacing w:line="460" w:lineRule="exact"/>
        <w:ind w:firstLine="420" w:firstLineChars="200"/>
        <w:jc w:val="left"/>
        <w:rPr>
          <w:rFonts w:ascii="宋体" w:hAnsi="宋体" w:cs="宋体"/>
          <w:color w:val="auto"/>
          <w:szCs w:val="21"/>
        </w:rPr>
      </w:pPr>
      <w:r>
        <w:rPr>
          <w:rFonts w:hint="eastAsia" w:ascii="宋体" w:hAnsi="宋体" w:cs="宋体"/>
          <w:color w:val="auto"/>
          <w:szCs w:val="21"/>
        </w:rPr>
        <w:t xml:space="preserve">（11）明显不符合技术规范、技术标准的要求的； </w:t>
      </w:r>
    </w:p>
    <w:p>
      <w:pPr>
        <w:shd w:val="clear" w:color="auto" w:fill="FFFFFF"/>
        <w:spacing w:line="460" w:lineRule="exact"/>
        <w:ind w:firstLine="420" w:firstLineChars="200"/>
        <w:jc w:val="left"/>
        <w:rPr>
          <w:rFonts w:ascii="宋体" w:hAnsi="宋体" w:cs="宋体"/>
          <w:color w:val="auto"/>
          <w:szCs w:val="21"/>
        </w:rPr>
      </w:pPr>
      <w:r>
        <w:rPr>
          <w:rFonts w:hint="eastAsia" w:ascii="宋体" w:hAnsi="宋体" w:cs="宋体"/>
          <w:color w:val="auto"/>
          <w:szCs w:val="21"/>
        </w:rPr>
        <w:t xml:space="preserve">（12）投标文件载明的货物包装方式、检验标准和方法等不符合招标文件的要求的； </w:t>
      </w:r>
    </w:p>
    <w:p>
      <w:pPr>
        <w:shd w:val="clear" w:color="auto" w:fill="FFFFFF"/>
        <w:spacing w:line="460" w:lineRule="exact"/>
        <w:ind w:firstLine="420" w:firstLineChars="200"/>
        <w:jc w:val="left"/>
        <w:rPr>
          <w:rFonts w:ascii="宋体" w:hAnsi="宋体" w:cs="宋体"/>
          <w:color w:val="auto"/>
          <w:szCs w:val="21"/>
        </w:rPr>
      </w:pPr>
      <w:r>
        <w:rPr>
          <w:rFonts w:hint="eastAsia" w:ascii="宋体" w:hAnsi="宋体" w:cs="宋体"/>
          <w:color w:val="auto"/>
          <w:szCs w:val="21"/>
        </w:rPr>
        <w:t>（13）投标文件提出的工程验收、计量、价款结算和付款方式不能满足招标文件要求或招标人不能接受；</w:t>
      </w:r>
    </w:p>
    <w:p>
      <w:pPr>
        <w:shd w:val="clear" w:color="auto" w:fill="FFFFFF"/>
        <w:spacing w:line="460" w:lineRule="exact"/>
        <w:ind w:firstLine="420" w:firstLineChars="200"/>
        <w:jc w:val="left"/>
        <w:rPr>
          <w:rFonts w:ascii="宋体" w:hAnsi="宋体" w:cs="宋体"/>
          <w:color w:val="auto"/>
          <w:szCs w:val="21"/>
        </w:rPr>
      </w:pPr>
      <w:r>
        <w:rPr>
          <w:rFonts w:hint="eastAsia" w:ascii="宋体" w:hAnsi="宋体" w:cs="宋体"/>
          <w:color w:val="auto"/>
          <w:szCs w:val="21"/>
        </w:rPr>
        <w:t xml:space="preserve">（14）不同投标人的投标文件出现了评标委员会认为不应当雷同的情况的； </w:t>
      </w:r>
    </w:p>
    <w:p>
      <w:pPr>
        <w:shd w:val="clear" w:color="auto" w:fill="FFFFFF"/>
        <w:spacing w:line="460" w:lineRule="exact"/>
        <w:ind w:firstLine="420" w:firstLineChars="200"/>
        <w:jc w:val="left"/>
        <w:rPr>
          <w:rFonts w:ascii="宋体" w:hAnsi="宋体" w:cs="宋体"/>
          <w:color w:val="auto"/>
          <w:szCs w:val="21"/>
        </w:rPr>
      </w:pPr>
      <w:r>
        <w:rPr>
          <w:rFonts w:hint="eastAsia" w:ascii="宋体" w:hAnsi="宋体" w:cs="宋体"/>
          <w:color w:val="auto"/>
          <w:szCs w:val="21"/>
        </w:rPr>
        <w:t>（15）以他人的名义投标、串通投标、以行贿手段谋取中标或者以其他弄虚作假方式投标的；</w:t>
      </w:r>
    </w:p>
    <w:p>
      <w:pPr>
        <w:spacing w:line="460" w:lineRule="exact"/>
        <w:ind w:firstLine="422" w:firstLineChars="200"/>
        <w:jc w:val="left"/>
        <w:rPr>
          <w:rFonts w:ascii="宋体" w:hAnsi="宋体" w:cs="宋体"/>
          <w:b/>
          <w:bCs/>
          <w:color w:val="auto"/>
          <w:szCs w:val="21"/>
        </w:rPr>
      </w:pPr>
      <w:r>
        <w:rPr>
          <w:rFonts w:hint="eastAsia" w:ascii="宋体" w:hAnsi="宋体" w:cs="宋体"/>
          <w:b/>
          <w:bCs/>
          <w:color w:val="auto"/>
          <w:szCs w:val="21"/>
        </w:rPr>
        <w:t>（16）投标人投标文件中提供的资格审查资料非有效原件彩色扫描件（或电子证照），关键信息不齐全、不清晰可辨(钢印除外)；</w:t>
      </w:r>
    </w:p>
    <w:p>
      <w:pPr>
        <w:spacing w:line="460" w:lineRule="exact"/>
        <w:ind w:firstLine="422" w:firstLineChars="200"/>
        <w:jc w:val="left"/>
        <w:rPr>
          <w:rFonts w:ascii="宋体" w:hAnsi="宋体" w:cs="宋体"/>
          <w:b/>
          <w:bCs/>
          <w:color w:val="auto"/>
          <w:szCs w:val="21"/>
        </w:rPr>
      </w:pPr>
      <w:r>
        <w:rPr>
          <w:rFonts w:hint="eastAsia" w:ascii="宋体" w:hAnsi="宋体" w:cs="宋体"/>
          <w:b/>
          <w:bCs/>
          <w:color w:val="auto"/>
          <w:szCs w:val="21"/>
        </w:rPr>
        <w:t>（17）未按招标文件要求提供电子投标文件，或者电子投标文件未能解密或超时解密的。因招投标系统故障因素导致所有投标电子投标文件均不能解密的除外。</w:t>
      </w:r>
    </w:p>
    <w:p>
      <w:pPr>
        <w:spacing w:line="460" w:lineRule="exact"/>
        <w:ind w:firstLine="422" w:firstLineChars="200"/>
        <w:jc w:val="left"/>
        <w:rPr>
          <w:rFonts w:ascii="宋体" w:hAnsi="宋体" w:cs="宋体"/>
          <w:color w:val="auto"/>
          <w:szCs w:val="21"/>
        </w:rPr>
      </w:pPr>
      <w:r>
        <w:rPr>
          <w:rFonts w:hint="eastAsia" w:ascii="宋体" w:hAnsi="宋体" w:cs="宋体"/>
          <w:b/>
          <w:bCs/>
          <w:color w:val="auto"/>
          <w:szCs w:val="21"/>
        </w:rPr>
        <w:t>凡招标文件未明确的无效标条件，评标委员会不得作为判定无效标的依据，评标委员会也不得以不符合招标文件中规定的其他实质性要求作为判定无效标的依据。</w:t>
      </w:r>
    </w:p>
    <w:p>
      <w:pPr>
        <w:pStyle w:val="5"/>
        <w:spacing w:before="0" w:after="0" w:line="460" w:lineRule="exact"/>
        <w:ind w:firstLine="420" w:firstLineChars="200"/>
        <w:jc w:val="left"/>
        <w:rPr>
          <w:rFonts w:ascii="宋体" w:hAnsi="宋体" w:eastAsia="宋体" w:cs="宋体"/>
          <w:color w:val="auto"/>
          <w:sz w:val="21"/>
          <w:szCs w:val="21"/>
        </w:rPr>
      </w:pPr>
      <w:bookmarkStart w:id="271" w:name="_Toc508216916"/>
      <w:r>
        <w:rPr>
          <w:rFonts w:hint="eastAsia" w:ascii="宋体" w:hAnsi="宋体" w:eastAsia="宋体" w:cs="宋体"/>
          <w:color w:val="auto"/>
          <w:sz w:val="21"/>
          <w:szCs w:val="21"/>
        </w:rPr>
        <w:t>6.5重新招标</w:t>
      </w:r>
      <w:bookmarkEnd w:id="271"/>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依法必须进行招标的项目，提交投标文件的投标人少于三个的，招标人在分析招标失败的原因并采取相应措施后，应当依法重新招标。重新招标后投标人仍少于三个的，按国家有关规定需要履行审批、核准手续的依法必须进行招标的项目，报项目审批、核准部门审批、核准后可以不再进行招标。</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依法必须招标的项目评标委员会否决所有投标的，或者评标委员会否决一部分投标后其他有效投标不足三个使得投标明显缺乏竞争，决定否决全部投标的，招标人在分析招标失败的原因并采取相应措施后，应当依法重新招标。</w:t>
      </w:r>
    </w:p>
    <w:p>
      <w:pPr>
        <w:pStyle w:val="153"/>
        <w:spacing w:before="0" w:after="0" w:line="460" w:lineRule="exact"/>
        <w:ind w:firstLine="422" w:firstLineChars="200"/>
        <w:jc w:val="left"/>
        <w:rPr>
          <w:rFonts w:ascii="宋体" w:hAnsi="宋体"/>
          <w:color w:val="auto"/>
          <w:sz w:val="21"/>
          <w:szCs w:val="21"/>
        </w:rPr>
      </w:pPr>
      <w:bookmarkStart w:id="272" w:name="_Toc387526213"/>
      <w:bookmarkStart w:id="273" w:name="_Toc387526317"/>
      <w:bookmarkStart w:id="274" w:name="_Toc397928586"/>
      <w:bookmarkStart w:id="275" w:name="_Toc22985"/>
      <w:bookmarkStart w:id="276" w:name="_Toc508216917"/>
      <w:bookmarkStart w:id="277" w:name="_Toc387526409"/>
      <w:bookmarkStart w:id="278" w:name="_Toc368760433"/>
      <w:bookmarkStart w:id="279" w:name="_Toc369077567"/>
      <w:r>
        <w:rPr>
          <w:rFonts w:hint="eastAsia" w:ascii="宋体" w:hAnsi="宋体"/>
          <w:color w:val="auto"/>
          <w:sz w:val="21"/>
          <w:szCs w:val="21"/>
        </w:rPr>
        <w:t>7.评标结果公示</w:t>
      </w:r>
      <w:bookmarkEnd w:id="272"/>
      <w:bookmarkEnd w:id="273"/>
      <w:bookmarkEnd w:id="274"/>
      <w:bookmarkEnd w:id="275"/>
      <w:bookmarkEnd w:id="276"/>
      <w:bookmarkEnd w:id="277"/>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7.1 招标人在收到评标报告之日起3日内，在与招标公告相同的发布媒介上对评标结果进行公示，公示期不少于3日。</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7.2 投标人或者其他利害关系人对评标结果有异议的，应当在评标结果公示期间向招标人提出异议。招标人自收到异议之日起3日内作出答复，并在作出答复前暂停招标投标活动。</w:t>
      </w:r>
    </w:p>
    <w:p>
      <w:pPr>
        <w:pStyle w:val="153"/>
        <w:spacing w:before="0" w:after="0" w:line="460" w:lineRule="exact"/>
        <w:ind w:firstLine="422" w:firstLineChars="200"/>
        <w:jc w:val="left"/>
        <w:rPr>
          <w:rFonts w:ascii="宋体" w:hAnsi="宋体"/>
          <w:color w:val="auto"/>
          <w:sz w:val="21"/>
          <w:szCs w:val="21"/>
        </w:rPr>
      </w:pPr>
      <w:bookmarkStart w:id="280" w:name="_Toc397928587"/>
      <w:bookmarkStart w:id="281" w:name="_Toc387526214"/>
      <w:bookmarkStart w:id="282" w:name="_Toc387526410"/>
      <w:bookmarkStart w:id="283" w:name="_Toc15824"/>
      <w:bookmarkStart w:id="284" w:name="_Toc508216918"/>
      <w:bookmarkStart w:id="285" w:name="_Toc387526318"/>
      <w:r>
        <w:rPr>
          <w:rFonts w:hint="eastAsia" w:ascii="宋体" w:hAnsi="宋体"/>
          <w:color w:val="auto"/>
          <w:sz w:val="21"/>
          <w:szCs w:val="21"/>
        </w:rPr>
        <w:t>8.合同授予</w:t>
      </w:r>
      <w:bookmarkEnd w:id="221"/>
      <w:bookmarkEnd w:id="222"/>
      <w:bookmarkEnd w:id="223"/>
      <w:bookmarkEnd w:id="224"/>
      <w:bookmarkEnd w:id="225"/>
      <w:bookmarkEnd w:id="226"/>
      <w:bookmarkEnd w:id="227"/>
      <w:bookmarkEnd w:id="228"/>
      <w:bookmarkEnd w:id="229"/>
      <w:bookmarkEnd w:id="278"/>
      <w:bookmarkEnd w:id="279"/>
      <w:bookmarkEnd w:id="280"/>
      <w:bookmarkEnd w:id="281"/>
      <w:bookmarkEnd w:id="282"/>
      <w:bookmarkEnd w:id="283"/>
      <w:bookmarkEnd w:id="284"/>
      <w:bookmarkEnd w:id="285"/>
    </w:p>
    <w:p>
      <w:pPr>
        <w:pStyle w:val="5"/>
        <w:spacing w:before="0" w:after="0" w:line="460" w:lineRule="exact"/>
        <w:ind w:firstLine="420" w:firstLineChars="200"/>
        <w:jc w:val="left"/>
        <w:rPr>
          <w:rFonts w:ascii="宋体" w:hAnsi="宋体" w:eastAsia="宋体" w:cs="宋体"/>
          <w:color w:val="auto"/>
          <w:sz w:val="21"/>
          <w:szCs w:val="21"/>
        </w:rPr>
      </w:pPr>
      <w:bookmarkStart w:id="286" w:name="_Toc246996211"/>
      <w:bookmarkStart w:id="287" w:name="_Toc508216919"/>
      <w:bookmarkStart w:id="288" w:name="_Toc179632585"/>
      <w:bookmarkStart w:id="289" w:name="_Toc246996954"/>
      <w:bookmarkStart w:id="290" w:name="_Toc247085725"/>
      <w:bookmarkStart w:id="291" w:name="_Toc387526215"/>
      <w:bookmarkStart w:id="292" w:name="_Toc152045567"/>
      <w:bookmarkStart w:id="293" w:name="_Toc366679698"/>
      <w:bookmarkStart w:id="294" w:name="_Toc387526319"/>
      <w:bookmarkStart w:id="295" w:name="_Toc397928588"/>
      <w:bookmarkStart w:id="296" w:name="_Toc5192"/>
      <w:bookmarkStart w:id="297" w:name="_Toc387526411"/>
      <w:bookmarkStart w:id="298" w:name="_Toc152042343"/>
      <w:bookmarkStart w:id="299" w:name="_Toc144974535"/>
      <w:r>
        <w:rPr>
          <w:rFonts w:hint="eastAsia" w:ascii="宋体" w:hAnsi="宋体" w:eastAsia="宋体" w:cs="宋体"/>
          <w:color w:val="auto"/>
          <w:sz w:val="21"/>
          <w:szCs w:val="21"/>
        </w:rPr>
        <w:t>8.1 定标方式</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pPr>
        <w:spacing w:line="460" w:lineRule="exact"/>
        <w:ind w:firstLine="420" w:firstLineChars="200"/>
        <w:jc w:val="left"/>
        <w:rPr>
          <w:rFonts w:ascii="宋体" w:hAnsi="宋体" w:cs="宋体"/>
          <w:color w:val="auto"/>
          <w:szCs w:val="21"/>
        </w:rPr>
      </w:pPr>
      <w:bookmarkStart w:id="300" w:name="_Toc29357"/>
      <w:bookmarkStart w:id="301" w:name="_Toc387526216"/>
      <w:bookmarkStart w:id="302" w:name="_Toc387526412"/>
      <w:bookmarkStart w:id="303" w:name="_Toc387526320"/>
      <w:r>
        <w:rPr>
          <w:rFonts w:hint="eastAsia" w:ascii="宋体" w:hAnsi="宋体" w:cs="宋体"/>
          <w:color w:val="auto"/>
          <w:szCs w:val="21"/>
        </w:rPr>
        <w:t>除投标人须知前附表规定评标委员会直接确定中标人外，招标人依据评标委员会推荐的中标候选人确定中标人。</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5"/>
        <w:spacing w:before="0" w:after="0" w:line="460" w:lineRule="exact"/>
        <w:ind w:firstLine="420" w:firstLineChars="200"/>
        <w:jc w:val="left"/>
        <w:rPr>
          <w:rFonts w:ascii="宋体" w:hAnsi="宋体" w:eastAsia="宋体" w:cs="宋体"/>
          <w:color w:val="auto"/>
          <w:sz w:val="21"/>
          <w:szCs w:val="21"/>
        </w:rPr>
      </w:pPr>
      <w:bookmarkStart w:id="304" w:name="_Toc397928589"/>
      <w:bookmarkStart w:id="305" w:name="_Toc508216920"/>
      <w:r>
        <w:rPr>
          <w:rFonts w:hint="eastAsia" w:ascii="宋体" w:hAnsi="宋体" w:eastAsia="宋体" w:cs="宋体"/>
          <w:color w:val="auto"/>
          <w:sz w:val="21"/>
          <w:szCs w:val="21"/>
        </w:rPr>
        <w:t>8.2</w:t>
      </w:r>
      <w:bookmarkEnd w:id="300"/>
      <w:bookmarkEnd w:id="301"/>
      <w:bookmarkEnd w:id="302"/>
      <w:bookmarkEnd w:id="303"/>
      <w:bookmarkStart w:id="306" w:name="_Toc246996212"/>
      <w:bookmarkStart w:id="307" w:name="_Toc366679700"/>
      <w:bookmarkStart w:id="308" w:name="_Toc246996955"/>
      <w:bookmarkStart w:id="309" w:name="_Toc13765"/>
      <w:bookmarkStart w:id="310" w:name="_Toc179632586"/>
      <w:bookmarkStart w:id="311" w:name="_Toc387526413"/>
      <w:bookmarkStart w:id="312" w:name="_Toc387526217"/>
      <w:bookmarkStart w:id="313" w:name="_Toc247085726"/>
      <w:bookmarkStart w:id="314" w:name="_Toc387526321"/>
      <w:r>
        <w:rPr>
          <w:rFonts w:hint="eastAsia" w:ascii="宋体" w:hAnsi="宋体" w:eastAsia="宋体" w:cs="宋体"/>
          <w:color w:val="auto"/>
          <w:sz w:val="21"/>
          <w:szCs w:val="21"/>
        </w:rPr>
        <w:t>中标通知</w:t>
      </w:r>
      <w:bookmarkEnd w:id="304"/>
      <w:bookmarkEnd w:id="305"/>
      <w:bookmarkEnd w:id="306"/>
      <w:bookmarkEnd w:id="307"/>
      <w:bookmarkEnd w:id="308"/>
      <w:bookmarkEnd w:id="309"/>
      <w:bookmarkEnd w:id="310"/>
      <w:bookmarkEnd w:id="311"/>
      <w:bookmarkEnd w:id="312"/>
      <w:bookmarkEnd w:id="313"/>
      <w:bookmarkEnd w:id="314"/>
    </w:p>
    <w:p>
      <w:pPr>
        <w:spacing w:line="460" w:lineRule="exact"/>
        <w:ind w:firstLine="420" w:firstLineChars="200"/>
        <w:jc w:val="left"/>
        <w:rPr>
          <w:rFonts w:ascii="宋体" w:hAnsi="宋体" w:cs="宋体"/>
          <w:color w:val="auto"/>
          <w:szCs w:val="21"/>
        </w:rPr>
      </w:pPr>
      <w:bookmarkStart w:id="315" w:name="_Toc366679701"/>
      <w:bookmarkStart w:id="316" w:name="_Toc246996213"/>
      <w:bookmarkStart w:id="317" w:name="_Toc246996956"/>
      <w:bookmarkStart w:id="318" w:name="_Toc247085727"/>
      <w:bookmarkStart w:id="319" w:name="_Toc179632587"/>
      <w:r>
        <w:rPr>
          <w:rFonts w:hint="eastAsia" w:ascii="宋体" w:hAnsi="宋体" w:cs="宋体"/>
          <w:color w:val="auto"/>
          <w:szCs w:val="21"/>
        </w:rPr>
        <w:t>招标人在评标结果公示期结束后3日内向中标人发出中标通知书。</w:t>
      </w:r>
    </w:p>
    <w:p>
      <w:pPr>
        <w:pStyle w:val="5"/>
        <w:spacing w:before="0" w:after="0" w:line="460" w:lineRule="exact"/>
        <w:ind w:firstLine="420" w:firstLineChars="200"/>
        <w:jc w:val="left"/>
        <w:rPr>
          <w:rFonts w:ascii="宋体" w:hAnsi="宋体" w:eastAsia="宋体" w:cs="宋体"/>
          <w:color w:val="auto"/>
          <w:sz w:val="21"/>
          <w:szCs w:val="21"/>
        </w:rPr>
      </w:pPr>
      <w:bookmarkStart w:id="320" w:name="_Toc387526414"/>
      <w:bookmarkStart w:id="321" w:name="_Toc387526218"/>
      <w:bookmarkStart w:id="322" w:name="_Toc508216921"/>
      <w:bookmarkStart w:id="323" w:name="_Toc397928590"/>
      <w:bookmarkStart w:id="324" w:name="_Toc26386"/>
      <w:bookmarkStart w:id="325" w:name="_Toc387526322"/>
      <w:r>
        <w:rPr>
          <w:rFonts w:hint="eastAsia" w:ascii="宋体" w:hAnsi="宋体" w:eastAsia="宋体" w:cs="宋体"/>
          <w:color w:val="auto"/>
          <w:sz w:val="21"/>
          <w:szCs w:val="21"/>
        </w:rPr>
        <w:t>8.3 履约保证金</w:t>
      </w:r>
      <w:bookmarkEnd w:id="315"/>
      <w:bookmarkEnd w:id="316"/>
      <w:bookmarkEnd w:id="317"/>
      <w:bookmarkEnd w:id="318"/>
      <w:bookmarkEnd w:id="319"/>
      <w:bookmarkEnd w:id="320"/>
      <w:bookmarkEnd w:id="321"/>
      <w:bookmarkEnd w:id="322"/>
      <w:bookmarkEnd w:id="323"/>
      <w:bookmarkEnd w:id="324"/>
      <w:bookmarkEnd w:id="325"/>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8.3.1在签订合同前，中标人应按投标人须知前附表规定的形式和招标文件“合同条款及格式”规定的或者事先经过招标人书面认可的履约保证金格式向招标人提交履约保证金。</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8.3.2中标人不能按本章第8.3.1项要求提交履约保证金的，视为放弃中标，给招标人造成的损失的，中标人还应当对损失予以赔偿。</w:t>
      </w:r>
    </w:p>
    <w:p>
      <w:pPr>
        <w:pStyle w:val="5"/>
        <w:spacing w:before="0" w:after="0" w:line="460" w:lineRule="exact"/>
        <w:ind w:firstLine="420" w:firstLineChars="200"/>
        <w:jc w:val="left"/>
        <w:rPr>
          <w:rFonts w:ascii="宋体" w:hAnsi="宋体" w:eastAsia="宋体" w:cs="宋体"/>
          <w:color w:val="auto"/>
          <w:sz w:val="21"/>
          <w:szCs w:val="21"/>
        </w:rPr>
      </w:pPr>
      <w:bookmarkStart w:id="326" w:name="_Toc247085728"/>
      <w:bookmarkStart w:id="327" w:name="_Toc508216922"/>
      <w:bookmarkStart w:id="328" w:name="_Toc397928591"/>
      <w:bookmarkStart w:id="329" w:name="_Toc179632588"/>
      <w:bookmarkStart w:id="330" w:name="_Toc246996957"/>
      <w:bookmarkStart w:id="331" w:name="_Toc366679702"/>
      <w:bookmarkStart w:id="332" w:name="_Toc10565"/>
      <w:bookmarkStart w:id="333" w:name="_Toc387526415"/>
      <w:bookmarkStart w:id="334" w:name="_Toc387526219"/>
      <w:bookmarkStart w:id="335" w:name="_Toc246996214"/>
      <w:bookmarkStart w:id="336" w:name="_Toc387526323"/>
      <w:r>
        <w:rPr>
          <w:rFonts w:hint="eastAsia" w:ascii="宋体" w:hAnsi="宋体" w:eastAsia="宋体" w:cs="宋体"/>
          <w:color w:val="auto"/>
          <w:sz w:val="21"/>
          <w:szCs w:val="21"/>
        </w:rPr>
        <w:t>8.4 签订合同</w:t>
      </w:r>
      <w:bookmarkEnd w:id="326"/>
      <w:bookmarkEnd w:id="327"/>
      <w:bookmarkEnd w:id="328"/>
      <w:bookmarkEnd w:id="329"/>
      <w:bookmarkEnd w:id="330"/>
      <w:bookmarkEnd w:id="331"/>
      <w:bookmarkEnd w:id="332"/>
      <w:bookmarkEnd w:id="333"/>
      <w:bookmarkEnd w:id="334"/>
      <w:bookmarkEnd w:id="335"/>
      <w:bookmarkEnd w:id="336"/>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8.4.1招标人和中标人应当自中标通知书发出之日起30日内，根据招标文件和中标人的投标文件订立书面合同。中标人无正当理由拒签合同的，招标人取消其中标资格；给招标人造成的损失的，中标人还应当对损失予以赔偿。</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8.4.2 发出中标通知书后，招标人无正当理由拒签合同的，给中标人造成损失的，还应当赔偿损失。</w:t>
      </w:r>
    </w:p>
    <w:bookmarkEnd w:id="209"/>
    <w:bookmarkEnd w:id="210"/>
    <w:bookmarkEnd w:id="211"/>
    <w:bookmarkEnd w:id="212"/>
    <w:p>
      <w:pPr>
        <w:pStyle w:val="153"/>
        <w:spacing w:before="0" w:after="0" w:line="460" w:lineRule="exact"/>
        <w:ind w:firstLine="422" w:firstLineChars="200"/>
        <w:jc w:val="left"/>
        <w:rPr>
          <w:rFonts w:ascii="宋体" w:hAnsi="宋体"/>
          <w:color w:val="auto"/>
          <w:sz w:val="21"/>
          <w:szCs w:val="21"/>
        </w:rPr>
      </w:pPr>
      <w:bookmarkStart w:id="337" w:name="_Toc397928592"/>
      <w:bookmarkStart w:id="338" w:name="_Toc387526416"/>
      <w:bookmarkStart w:id="339" w:name="_Toc387526220"/>
      <w:bookmarkStart w:id="340" w:name="_Toc30717"/>
      <w:bookmarkStart w:id="341" w:name="_Toc322503149"/>
      <w:bookmarkStart w:id="342" w:name="_Toc368759383"/>
      <w:bookmarkStart w:id="343" w:name="_Toc368760435"/>
      <w:bookmarkStart w:id="344" w:name="_Toc369077569"/>
      <w:bookmarkStart w:id="345" w:name="_Toc363329380"/>
      <w:bookmarkStart w:id="346" w:name="_Toc387526324"/>
      <w:bookmarkStart w:id="347" w:name="_Toc367894807"/>
      <w:bookmarkStart w:id="348" w:name="_Toc508216923"/>
      <w:r>
        <w:rPr>
          <w:rFonts w:hint="eastAsia" w:ascii="宋体" w:hAnsi="宋体"/>
          <w:color w:val="auto"/>
          <w:sz w:val="21"/>
          <w:szCs w:val="21"/>
        </w:rPr>
        <w:t>9.纪律和监督</w:t>
      </w:r>
      <w:bookmarkEnd w:id="337"/>
      <w:bookmarkEnd w:id="338"/>
      <w:bookmarkEnd w:id="339"/>
      <w:bookmarkEnd w:id="340"/>
      <w:bookmarkEnd w:id="341"/>
      <w:bookmarkEnd w:id="342"/>
      <w:bookmarkEnd w:id="343"/>
      <w:bookmarkEnd w:id="344"/>
      <w:bookmarkEnd w:id="345"/>
      <w:bookmarkEnd w:id="346"/>
      <w:bookmarkEnd w:id="347"/>
      <w:bookmarkEnd w:id="348"/>
    </w:p>
    <w:p>
      <w:pPr>
        <w:pStyle w:val="5"/>
        <w:spacing w:before="0" w:after="0" w:line="460" w:lineRule="exact"/>
        <w:ind w:firstLine="420" w:firstLineChars="200"/>
        <w:jc w:val="left"/>
        <w:rPr>
          <w:rFonts w:ascii="宋体" w:hAnsi="宋体" w:eastAsia="宋体" w:cs="宋体"/>
          <w:color w:val="auto"/>
          <w:sz w:val="21"/>
          <w:szCs w:val="21"/>
        </w:rPr>
      </w:pPr>
      <w:bookmarkStart w:id="349" w:name="_Toc269310963"/>
      <w:bookmarkStart w:id="350" w:name="_Toc29855"/>
      <w:bookmarkStart w:id="351" w:name="_Toc387526221"/>
      <w:bookmarkStart w:id="352" w:name="_Toc144974543"/>
      <w:bookmarkStart w:id="353" w:name="_Toc387526325"/>
      <w:bookmarkStart w:id="354" w:name="_Toc152045575"/>
      <w:bookmarkStart w:id="355" w:name="_Toc152042351"/>
      <w:bookmarkStart w:id="356" w:name="_Toc508216924"/>
      <w:bookmarkStart w:id="357" w:name="_Toc322503150"/>
      <w:bookmarkStart w:id="358" w:name="_Toc387526417"/>
      <w:bookmarkStart w:id="359" w:name="_Toc397928593"/>
      <w:r>
        <w:rPr>
          <w:rFonts w:hint="eastAsia" w:ascii="宋体" w:hAnsi="宋体" w:eastAsia="宋体" w:cs="宋体"/>
          <w:color w:val="auto"/>
          <w:sz w:val="21"/>
          <w:szCs w:val="21"/>
        </w:rPr>
        <w:t>9.1 对招标人的纪律要求</w:t>
      </w:r>
      <w:bookmarkEnd w:id="349"/>
      <w:bookmarkEnd w:id="350"/>
      <w:bookmarkEnd w:id="351"/>
      <w:bookmarkEnd w:id="352"/>
      <w:bookmarkEnd w:id="353"/>
      <w:bookmarkEnd w:id="354"/>
      <w:bookmarkEnd w:id="355"/>
      <w:bookmarkEnd w:id="356"/>
      <w:bookmarkEnd w:id="357"/>
      <w:bookmarkEnd w:id="358"/>
      <w:bookmarkEnd w:id="359"/>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招标人不得泄露招标投标活动中应当保密的情况和资料，不得与投标人串通损害国家利益、社会公众利益或者他人合法权益。</w:t>
      </w:r>
    </w:p>
    <w:p>
      <w:pPr>
        <w:pStyle w:val="5"/>
        <w:spacing w:before="0" w:after="0" w:line="460" w:lineRule="exact"/>
        <w:ind w:firstLine="420" w:firstLineChars="200"/>
        <w:jc w:val="left"/>
        <w:rPr>
          <w:rFonts w:ascii="宋体" w:hAnsi="宋体" w:eastAsia="宋体" w:cs="宋体"/>
          <w:color w:val="auto"/>
          <w:sz w:val="21"/>
          <w:szCs w:val="21"/>
        </w:rPr>
      </w:pPr>
      <w:bookmarkStart w:id="360" w:name="_Toc508216925"/>
      <w:bookmarkStart w:id="361" w:name="_Toc152045576"/>
      <w:bookmarkStart w:id="362" w:name="_Toc152042352"/>
      <w:bookmarkStart w:id="363" w:name="_Toc387526326"/>
      <w:bookmarkStart w:id="364" w:name="_Toc269310964"/>
      <w:bookmarkStart w:id="365" w:name="_Toc144974544"/>
      <w:bookmarkStart w:id="366" w:name="_Toc397928594"/>
      <w:bookmarkStart w:id="367" w:name="_Toc1420"/>
      <w:bookmarkStart w:id="368" w:name="_Toc387526418"/>
      <w:bookmarkStart w:id="369" w:name="_Toc387526222"/>
      <w:bookmarkStart w:id="370" w:name="_Toc322503151"/>
      <w:r>
        <w:rPr>
          <w:rFonts w:hint="eastAsia" w:ascii="宋体" w:hAnsi="宋体" w:eastAsia="宋体" w:cs="宋体"/>
          <w:color w:val="auto"/>
          <w:sz w:val="21"/>
          <w:szCs w:val="21"/>
        </w:rPr>
        <w:t>9.2 对投标人的纪律要求</w:t>
      </w:r>
      <w:bookmarkEnd w:id="360"/>
      <w:bookmarkEnd w:id="361"/>
      <w:bookmarkEnd w:id="362"/>
      <w:bookmarkEnd w:id="363"/>
      <w:bookmarkEnd w:id="364"/>
      <w:bookmarkEnd w:id="365"/>
      <w:bookmarkEnd w:id="366"/>
      <w:bookmarkEnd w:id="367"/>
      <w:bookmarkEnd w:id="368"/>
      <w:bookmarkEnd w:id="369"/>
      <w:bookmarkEnd w:id="370"/>
    </w:p>
    <w:p>
      <w:pPr>
        <w:spacing w:line="460" w:lineRule="exact"/>
        <w:ind w:firstLine="420" w:firstLineChars="200"/>
        <w:jc w:val="left"/>
        <w:rPr>
          <w:rFonts w:ascii="宋体" w:hAnsi="宋体" w:cs="宋体"/>
          <w:color w:val="auto"/>
          <w:szCs w:val="21"/>
        </w:rPr>
      </w:pPr>
      <w:bookmarkStart w:id="371" w:name="_Toc152045577"/>
      <w:bookmarkStart w:id="372" w:name="_Toc322503152"/>
      <w:bookmarkStart w:id="373" w:name="_Toc152042353"/>
      <w:bookmarkStart w:id="374" w:name="_Toc269310965"/>
      <w:bookmarkStart w:id="375" w:name="_Toc144974545"/>
      <w:r>
        <w:rPr>
          <w:rFonts w:hint="eastAsia" w:ascii="宋体" w:hAnsi="宋体" w:cs="宋体"/>
          <w:color w:val="auto"/>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spacing w:before="0" w:after="0" w:line="460" w:lineRule="exact"/>
        <w:ind w:firstLine="420" w:firstLineChars="200"/>
        <w:jc w:val="left"/>
        <w:rPr>
          <w:rFonts w:ascii="宋体" w:hAnsi="宋体" w:eastAsia="宋体" w:cs="宋体"/>
          <w:color w:val="auto"/>
          <w:sz w:val="21"/>
          <w:szCs w:val="21"/>
        </w:rPr>
      </w:pPr>
      <w:bookmarkStart w:id="376" w:name="_Toc387526419"/>
      <w:bookmarkStart w:id="377" w:name="_Toc387526223"/>
      <w:bookmarkStart w:id="378" w:name="_Toc397928595"/>
      <w:bookmarkStart w:id="379" w:name="_Toc508216926"/>
      <w:bookmarkStart w:id="380" w:name="_Toc16374"/>
      <w:bookmarkStart w:id="381" w:name="_Toc387526327"/>
      <w:r>
        <w:rPr>
          <w:rFonts w:hint="eastAsia" w:ascii="宋体" w:hAnsi="宋体" w:eastAsia="宋体" w:cs="宋体"/>
          <w:color w:val="auto"/>
          <w:sz w:val="21"/>
          <w:szCs w:val="21"/>
        </w:rPr>
        <w:t>9.3 对评标委员会成员的纪律要求</w:t>
      </w:r>
      <w:bookmarkEnd w:id="371"/>
      <w:bookmarkEnd w:id="372"/>
      <w:bookmarkEnd w:id="373"/>
      <w:bookmarkEnd w:id="374"/>
      <w:bookmarkEnd w:id="375"/>
      <w:bookmarkEnd w:id="376"/>
      <w:bookmarkEnd w:id="377"/>
      <w:bookmarkEnd w:id="378"/>
      <w:bookmarkEnd w:id="379"/>
      <w:bookmarkEnd w:id="380"/>
      <w:bookmarkEnd w:id="381"/>
    </w:p>
    <w:p>
      <w:pPr>
        <w:spacing w:line="460" w:lineRule="exact"/>
        <w:ind w:firstLine="420" w:firstLineChars="200"/>
        <w:jc w:val="left"/>
        <w:rPr>
          <w:rFonts w:ascii="宋体" w:hAnsi="宋体" w:cs="宋体"/>
          <w:color w:val="auto"/>
          <w:szCs w:val="21"/>
        </w:rPr>
      </w:pPr>
      <w:bookmarkStart w:id="382" w:name="_Toc246996965"/>
      <w:bookmarkStart w:id="383" w:name="_Toc152042354"/>
      <w:bookmarkStart w:id="384" w:name="_Toc366679707"/>
      <w:bookmarkStart w:id="385" w:name="_Toc152045578"/>
      <w:bookmarkStart w:id="386" w:name="_Toc179632596"/>
      <w:bookmarkStart w:id="387" w:name="_Toc247085736"/>
      <w:bookmarkStart w:id="388" w:name="_Toc246996222"/>
      <w:bookmarkStart w:id="389" w:name="_Toc144974546"/>
      <w:r>
        <w:rPr>
          <w:rFonts w:hint="eastAsia" w:ascii="宋体" w:hAnsi="宋体" w:cs="宋体"/>
          <w:color w:val="auto"/>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没有规定的评审因素和标准进行评标。</w:t>
      </w:r>
    </w:p>
    <w:p>
      <w:pPr>
        <w:pStyle w:val="5"/>
        <w:spacing w:before="0" w:after="0" w:line="460" w:lineRule="exact"/>
        <w:ind w:firstLine="420" w:firstLineChars="200"/>
        <w:jc w:val="left"/>
        <w:rPr>
          <w:rFonts w:ascii="宋体" w:hAnsi="宋体" w:eastAsia="宋体" w:cs="宋体"/>
          <w:color w:val="auto"/>
          <w:sz w:val="21"/>
          <w:szCs w:val="21"/>
        </w:rPr>
      </w:pPr>
      <w:bookmarkStart w:id="390" w:name="_Toc387526328"/>
      <w:bookmarkStart w:id="391" w:name="_Toc1042"/>
      <w:bookmarkStart w:id="392" w:name="_Toc508216927"/>
      <w:bookmarkStart w:id="393" w:name="_Toc387526224"/>
      <w:bookmarkStart w:id="394" w:name="_Toc387526420"/>
      <w:bookmarkStart w:id="395" w:name="_Toc397928596"/>
      <w:r>
        <w:rPr>
          <w:rFonts w:hint="eastAsia" w:ascii="宋体" w:hAnsi="宋体" w:eastAsia="宋体" w:cs="宋体"/>
          <w:color w:val="auto"/>
          <w:sz w:val="21"/>
          <w:szCs w:val="21"/>
        </w:rPr>
        <w:t>9.4 对与评标活动有关的工作人员的纪律要求</w:t>
      </w:r>
      <w:bookmarkEnd w:id="382"/>
      <w:bookmarkEnd w:id="383"/>
      <w:bookmarkEnd w:id="384"/>
      <w:bookmarkEnd w:id="385"/>
      <w:bookmarkEnd w:id="386"/>
      <w:bookmarkEnd w:id="387"/>
      <w:bookmarkEnd w:id="388"/>
      <w:bookmarkEnd w:id="390"/>
      <w:bookmarkEnd w:id="391"/>
      <w:bookmarkEnd w:id="392"/>
      <w:bookmarkEnd w:id="393"/>
      <w:bookmarkEnd w:id="394"/>
      <w:bookmarkEnd w:id="395"/>
    </w:p>
    <w:p>
      <w:pPr>
        <w:spacing w:line="460" w:lineRule="exact"/>
        <w:ind w:firstLine="420" w:firstLineChars="200"/>
        <w:jc w:val="left"/>
        <w:rPr>
          <w:rFonts w:ascii="宋体" w:hAnsi="宋体" w:cs="宋体"/>
          <w:color w:val="auto"/>
          <w:szCs w:val="21"/>
        </w:rPr>
      </w:pPr>
      <w:bookmarkStart w:id="396" w:name="_Toc152042355"/>
      <w:bookmarkStart w:id="397" w:name="_Toc246996966"/>
      <w:bookmarkStart w:id="398" w:name="_Toc247085737"/>
      <w:bookmarkStart w:id="399" w:name="_Toc179632597"/>
      <w:bookmarkStart w:id="400" w:name="_Toc246996223"/>
      <w:bookmarkStart w:id="401" w:name="_Toc366679708"/>
      <w:bookmarkStart w:id="402" w:name="_Toc152042356"/>
      <w:bookmarkStart w:id="403" w:name="_Toc152045579"/>
      <w:r>
        <w:rPr>
          <w:rFonts w:hint="eastAsia" w:ascii="宋体" w:hAnsi="宋体" w:cs="宋体"/>
          <w:color w:val="auto"/>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96"/>
    </w:p>
    <w:bookmarkEnd w:id="389"/>
    <w:bookmarkEnd w:id="397"/>
    <w:bookmarkEnd w:id="398"/>
    <w:bookmarkEnd w:id="399"/>
    <w:bookmarkEnd w:id="400"/>
    <w:bookmarkEnd w:id="401"/>
    <w:bookmarkEnd w:id="402"/>
    <w:bookmarkEnd w:id="403"/>
    <w:p>
      <w:pPr>
        <w:spacing w:line="460" w:lineRule="exact"/>
        <w:ind w:firstLine="420" w:firstLineChars="200"/>
        <w:jc w:val="left"/>
        <w:rPr>
          <w:rFonts w:ascii="宋体" w:hAnsi="宋体" w:cs="宋体"/>
          <w:color w:val="auto"/>
          <w:szCs w:val="21"/>
        </w:rPr>
      </w:pPr>
      <w:bookmarkStart w:id="404" w:name="_Toc508216929"/>
      <w:bookmarkStart w:id="405" w:name="_Toc387526330"/>
      <w:bookmarkStart w:id="406" w:name="_Toc387526422"/>
      <w:bookmarkStart w:id="407" w:name="_Toc9600"/>
      <w:bookmarkStart w:id="408" w:name="_Toc387526226"/>
      <w:r>
        <w:rPr>
          <w:rFonts w:hint="eastAsia" w:ascii="宋体" w:hAnsi="宋体" w:cs="宋体"/>
          <w:color w:val="auto"/>
          <w:szCs w:val="21"/>
        </w:rPr>
        <w:t>9.5 投诉</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投标人或者其他利害关系人认为招标投标活动不符合法律、行政法规规定的，可以自知道或者应当知道之日起10日内向盐城市大丰区交通控股集团有限公司投诉，投诉应当有明确的请求和必要的证明材料。投标人或者其他利害关系人在法定期限内应一次性提出针对同一招标程序的异议，投标人或者其他利害关系人在对招标文件、开标、评标结果有异议的，应当先向招标人提出异议，异议答复期间不计算在前款规定的期限内。</w:t>
      </w:r>
    </w:p>
    <w:bookmarkEnd w:id="404"/>
    <w:p>
      <w:pPr>
        <w:pStyle w:val="153"/>
        <w:spacing w:before="0" w:after="0" w:line="460" w:lineRule="exact"/>
        <w:ind w:firstLine="422" w:firstLineChars="200"/>
        <w:jc w:val="left"/>
        <w:rPr>
          <w:rFonts w:ascii="宋体" w:hAnsi="宋体"/>
          <w:color w:val="auto"/>
          <w:sz w:val="21"/>
          <w:szCs w:val="21"/>
        </w:rPr>
      </w:pPr>
      <w:bookmarkStart w:id="409" w:name="_Toc508216930"/>
      <w:bookmarkStart w:id="410" w:name="_Toc397928598"/>
      <w:r>
        <w:rPr>
          <w:rFonts w:hint="eastAsia" w:ascii="宋体" w:hAnsi="宋体"/>
          <w:color w:val="auto"/>
          <w:sz w:val="21"/>
          <w:szCs w:val="21"/>
        </w:rPr>
        <w:t>10.招标人需要补充的其他内容</w:t>
      </w:r>
      <w:bookmarkEnd w:id="405"/>
      <w:bookmarkEnd w:id="406"/>
      <w:bookmarkEnd w:id="407"/>
      <w:bookmarkEnd w:id="408"/>
      <w:bookmarkEnd w:id="409"/>
      <w:bookmarkEnd w:id="410"/>
    </w:p>
    <w:p>
      <w:pPr>
        <w:spacing w:line="460" w:lineRule="exact"/>
        <w:ind w:firstLine="422" w:firstLineChars="200"/>
        <w:jc w:val="left"/>
        <w:rPr>
          <w:rFonts w:ascii="宋体" w:hAnsi="宋体" w:cs="宋体"/>
          <w:b/>
          <w:bCs/>
          <w:color w:val="auto"/>
          <w:szCs w:val="21"/>
        </w:rPr>
      </w:pPr>
      <w:r>
        <w:rPr>
          <w:rFonts w:hint="eastAsia" w:ascii="宋体" w:hAnsi="宋体" w:cs="宋体"/>
          <w:b/>
          <w:bCs/>
          <w:color w:val="auto"/>
          <w:szCs w:val="21"/>
        </w:rPr>
        <w:t>10.1 招标代理费：本项目招标代理费由</w:t>
      </w:r>
      <w:r>
        <w:rPr>
          <w:rFonts w:hint="eastAsia" w:ascii="宋体" w:hAnsi="宋体" w:cs="宋体"/>
          <w:b/>
          <w:bCs/>
          <w:color w:val="auto"/>
          <w:szCs w:val="21"/>
          <w:lang w:eastAsia="zh-CN"/>
        </w:rPr>
        <w:t>中标</w:t>
      </w:r>
      <w:r>
        <w:rPr>
          <w:rFonts w:hint="eastAsia" w:ascii="宋体" w:hAnsi="宋体" w:cs="宋体"/>
          <w:b/>
          <w:bCs/>
          <w:color w:val="auto"/>
          <w:szCs w:val="21"/>
        </w:rPr>
        <w:t>人支付，</w:t>
      </w:r>
      <w:r>
        <w:rPr>
          <w:rFonts w:hint="eastAsia" w:ascii="Times New Roman" w:hAnsi="Times New Roman" w:eastAsia="宋体" w:cs="Times New Roman"/>
          <w:b/>
          <w:bCs/>
          <w:color w:val="auto"/>
          <w:highlight w:val="none"/>
          <w:lang w:val="en-US" w:eastAsia="zh-CN"/>
        </w:rPr>
        <w:t>代理费标准参照国家发改委【2011】534号文的40%收取。请投标人考虑在投标报价中，但不单列，分摊至投标报价内。项目结算时采购人不另行支付任何费用。</w:t>
      </w:r>
    </w:p>
    <w:p>
      <w:pPr>
        <w:spacing w:line="460" w:lineRule="exact"/>
        <w:ind w:firstLine="422" w:firstLineChars="200"/>
        <w:jc w:val="left"/>
        <w:rPr>
          <w:rFonts w:ascii="宋体" w:hAnsi="宋体" w:cs="宋体"/>
          <w:color w:val="auto"/>
          <w:szCs w:val="21"/>
        </w:rPr>
      </w:pPr>
      <w:r>
        <w:rPr>
          <w:rFonts w:hint="eastAsia" w:ascii="宋体" w:hAnsi="宋体" w:cs="宋体"/>
          <w:b/>
          <w:bCs/>
          <w:color w:val="auto"/>
          <w:szCs w:val="21"/>
        </w:rPr>
        <w:t>11.解释权</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构成本招标文件的各个组成文件应互为解释，互为说明。当发现的不明确或不一致，在招标文件中有明确规定的，评标委员会应按已明确的规定评标；当发现的不明确或不一致，在招标文件中没有明确规定时：</w:t>
      </w:r>
    </w:p>
    <w:p>
      <w:pPr>
        <w:spacing w:line="460" w:lineRule="exact"/>
        <w:ind w:firstLine="420" w:firstLineChars="200"/>
        <w:jc w:val="left"/>
        <w:rPr>
          <w:rFonts w:ascii="宋体" w:hAnsi="宋体" w:cs="宋体"/>
          <w:color w:val="auto"/>
          <w:szCs w:val="21"/>
        </w:rPr>
      </w:pPr>
      <w:r>
        <w:rPr>
          <w:rFonts w:hint="eastAsia" w:ascii="宋体" w:hAnsi="宋体" w:cs="宋体"/>
          <w:color w:val="auto"/>
          <w:szCs w:val="21"/>
        </w:rPr>
        <w:t>⑴凡是构成合同文件组成内容的不明确或不一致，以合同文件约定内容为准，且以专用合同条款约定的合同文件优先顺序解释；</w:t>
      </w:r>
    </w:p>
    <w:p>
      <w:pPr>
        <w:tabs>
          <w:tab w:val="left" w:pos="920"/>
        </w:tabs>
        <w:spacing w:line="460" w:lineRule="exact"/>
        <w:ind w:firstLine="420" w:firstLineChars="200"/>
        <w:jc w:val="left"/>
        <w:rPr>
          <w:rFonts w:ascii="宋体" w:hAnsi="宋体" w:cs="宋体"/>
          <w:color w:val="auto"/>
          <w:szCs w:val="21"/>
        </w:rPr>
      </w:pPr>
      <w:r>
        <w:rPr>
          <w:rFonts w:hint="eastAsia" w:ascii="宋体" w:hAnsi="宋体" w:cs="宋体"/>
          <w:color w:val="auto"/>
          <w:szCs w:val="21"/>
        </w:rPr>
        <w:t>⑵凡不是构成合同文件组成内容的不明确或不一致，除招标文件中有特别规定外，仅适用于招标投标阶段的规定，按招标公告、投标人须知、评标办法、投标文件格式的先后顺序解释。同一组成文件中就同一事项的规定或约定不一致的，影响评审的，剔除该因素进行评审；其它情形的，以现行法律法规约定为准；凡同一组成文件不同版本之间有不一致的，以形成时间在后者为准。</w:t>
      </w:r>
    </w:p>
    <w:p>
      <w:pPr>
        <w:tabs>
          <w:tab w:val="left" w:pos="920"/>
        </w:tabs>
        <w:spacing w:line="460" w:lineRule="exact"/>
        <w:ind w:firstLine="420" w:firstLineChars="200"/>
        <w:jc w:val="left"/>
        <w:rPr>
          <w:rFonts w:ascii="宋体" w:hAnsi="宋体" w:cs="宋体"/>
          <w:color w:val="auto"/>
          <w:szCs w:val="21"/>
        </w:rPr>
      </w:pPr>
      <w:r>
        <w:rPr>
          <w:rFonts w:hint="eastAsia" w:ascii="宋体" w:hAnsi="宋体" w:cs="宋体"/>
          <w:color w:val="auto"/>
          <w:szCs w:val="21"/>
        </w:rPr>
        <w:t>⑶按本款前述规定仍不能形成结论的，由招标人负责解释。</w:t>
      </w:r>
    </w:p>
    <w:p>
      <w:pPr>
        <w:tabs>
          <w:tab w:val="left" w:pos="920"/>
        </w:tabs>
        <w:spacing w:line="460" w:lineRule="exact"/>
        <w:ind w:firstLine="422" w:firstLineChars="200"/>
        <w:jc w:val="left"/>
        <w:rPr>
          <w:rFonts w:ascii="宋体" w:hAnsi="宋体" w:cs="宋体"/>
          <w:b/>
          <w:bCs/>
          <w:color w:val="auto"/>
          <w:szCs w:val="21"/>
        </w:rPr>
      </w:pPr>
      <w:r>
        <w:rPr>
          <w:rFonts w:hint="eastAsia" w:ascii="宋体" w:hAnsi="宋体" w:cs="宋体"/>
          <w:b/>
          <w:bCs/>
          <w:color w:val="auto"/>
          <w:szCs w:val="21"/>
        </w:rPr>
        <w:t>12.其他</w:t>
      </w:r>
    </w:p>
    <w:p>
      <w:pPr>
        <w:tabs>
          <w:tab w:val="left" w:pos="920"/>
        </w:tabs>
        <w:spacing w:line="460" w:lineRule="exact"/>
        <w:ind w:firstLine="420" w:firstLineChars="200"/>
        <w:jc w:val="left"/>
        <w:rPr>
          <w:rFonts w:ascii="宋体" w:hAnsi="宋体" w:cs="宋体"/>
          <w:color w:val="auto"/>
          <w:szCs w:val="21"/>
        </w:rPr>
      </w:pPr>
      <w:r>
        <w:rPr>
          <w:rFonts w:hint="eastAsia" w:ascii="宋体" w:hAnsi="宋体" w:cs="宋体"/>
          <w:color w:val="auto"/>
          <w:szCs w:val="21"/>
        </w:rPr>
        <w:t>1、本招标文件时间均以中华人民共和国北京时间为准，所涉及金额的币种均为人民币。</w:t>
      </w:r>
    </w:p>
    <w:p>
      <w:pPr>
        <w:tabs>
          <w:tab w:val="left" w:pos="920"/>
        </w:tabs>
        <w:spacing w:line="460" w:lineRule="exact"/>
        <w:ind w:firstLine="420" w:firstLineChars="200"/>
        <w:jc w:val="left"/>
        <w:rPr>
          <w:rFonts w:ascii="宋体" w:hAnsi="宋体" w:cs="宋体"/>
          <w:color w:val="auto"/>
          <w:szCs w:val="21"/>
        </w:rPr>
      </w:pPr>
      <w:r>
        <w:rPr>
          <w:rFonts w:hint="eastAsia" w:ascii="宋体" w:hAnsi="宋体" w:cs="宋体"/>
          <w:color w:val="auto"/>
          <w:szCs w:val="21"/>
        </w:rPr>
        <w:t>2、凡参与本项目投标的投标人，视同已踏勘过项目现场和研究了本招标文件的所有内容，并无保留地接受招标文件的所有条款（含招标答疑、补充通知等）。</w:t>
      </w:r>
    </w:p>
    <w:p>
      <w:pPr>
        <w:tabs>
          <w:tab w:val="left" w:pos="920"/>
        </w:tabs>
        <w:spacing w:line="460" w:lineRule="exact"/>
        <w:ind w:firstLine="420" w:firstLineChars="200"/>
        <w:jc w:val="left"/>
        <w:rPr>
          <w:rFonts w:ascii="宋体" w:hAnsi="宋体" w:cs="宋体"/>
          <w:color w:val="auto"/>
          <w:szCs w:val="21"/>
        </w:rPr>
      </w:pPr>
      <w:r>
        <w:rPr>
          <w:rFonts w:hint="eastAsia" w:ascii="宋体" w:hAnsi="宋体" w:cs="宋体"/>
          <w:color w:val="auto"/>
          <w:szCs w:val="21"/>
        </w:rPr>
        <w:t>3、本招标文件未尽事宜，按国家和省法律法规、规章要求处理。</w:t>
      </w:r>
    </w:p>
    <w:p>
      <w:pPr>
        <w:tabs>
          <w:tab w:val="left" w:pos="920"/>
        </w:tabs>
        <w:spacing w:line="460" w:lineRule="exact"/>
        <w:ind w:firstLine="420" w:firstLineChars="200"/>
        <w:jc w:val="left"/>
        <w:rPr>
          <w:rFonts w:ascii="宋体" w:hAnsi="宋体" w:cs="宋体"/>
          <w:color w:val="auto"/>
          <w:szCs w:val="21"/>
        </w:rPr>
      </w:pPr>
      <w:r>
        <w:rPr>
          <w:rFonts w:hint="eastAsia" w:ascii="宋体" w:hAnsi="宋体" w:cs="宋体"/>
          <w:color w:val="auto"/>
          <w:szCs w:val="21"/>
        </w:rPr>
        <w:t>4、本招标文件的解释权归招标人所有。</w:t>
      </w:r>
      <w:bookmarkStart w:id="411" w:name="_Toc397928599"/>
      <w:bookmarkStart w:id="412" w:name="_Toc508216932"/>
      <w:bookmarkStart w:id="413" w:name="_Toc508216933"/>
      <w:bookmarkStart w:id="414" w:name="_Toc12629"/>
      <w:bookmarkStart w:id="415" w:name="_Toc184635093"/>
      <w:bookmarkStart w:id="416" w:name="_Toc397928601"/>
    </w:p>
    <w:p>
      <w:pPr>
        <w:pStyle w:val="3"/>
        <w:spacing w:before="0" w:after="0" w:line="360" w:lineRule="auto"/>
        <w:rPr>
          <w:rFonts w:ascii="宋体" w:hAnsi="宋体"/>
          <w:color w:val="auto"/>
        </w:rPr>
      </w:pPr>
      <w:r>
        <w:rPr>
          <w:rFonts w:hint="eastAsia" w:ascii="宋体" w:hAnsi="宋体"/>
          <w:color w:val="auto"/>
        </w:rPr>
        <w:t>第三章 评标办法</w:t>
      </w:r>
      <w:bookmarkEnd w:id="411"/>
      <w:bookmarkEnd w:id="412"/>
    </w:p>
    <w:p>
      <w:pPr>
        <w:pStyle w:val="4"/>
        <w:spacing w:before="0" w:after="0" w:line="460" w:lineRule="exact"/>
        <w:ind w:firstLine="422" w:firstLineChars="200"/>
        <w:jc w:val="left"/>
        <w:rPr>
          <w:rFonts w:ascii="宋体" w:hAnsi="宋体" w:eastAsia="宋体" w:cs="宋体"/>
          <w:color w:val="auto"/>
          <w:sz w:val="21"/>
          <w:szCs w:val="21"/>
        </w:rPr>
      </w:pPr>
      <w:r>
        <w:rPr>
          <w:rFonts w:hint="eastAsia" w:ascii="宋体" w:hAnsi="宋体" w:eastAsia="宋体" w:cs="宋体"/>
          <w:color w:val="auto"/>
          <w:sz w:val="21"/>
          <w:szCs w:val="21"/>
        </w:rPr>
        <w:t>开标时特别说明：</w:t>
      </w:r>
    </w:p>
    <w:p>
      <w:pPr>
        <w:pStyle w:val="4"/>
        <w:spacing w:before="0" w:after="0" w:line="460" w:lineRule="exact"/>
        <w:ind w:firstLine="422" w:firstLineChars="200"/>
        <w:jc w:val="left"/>
        <w:rPr>
          <w:rFonts w:ascii="宋体" w:hAnsi="宋体" w:eastAsia="宋体" w:cs="宋体"/>
          <w:color w:val="auto"/>
          <w:sz w:val="21"/>
          <w:szCs w:val="21"/>
        </w:rPr>
      </w:pPr>
      <w:r>
        <w:rPr>
          <w:rFonts w:hint="eastAsia" w:ascii="宋体" w:hAnsi="宋体" w:eastAsia="宋体" w:cs="宋体"/>
          <w:color w:val="auto"/>
          <w:sz w:val="21"/>
          <w:szCs w:val="21"/>
        </w:rPr>
        <w:t>本项目采用全程电子化及不见面开评标的模式，开标当日，投标人无需到达开标现场，仅需在任意地点通过开标大厅系统http://js.etrading.cn/EpointBidOpening/bidopeninghallaction/hall/login及相应的配套软硬件设备，完成远程解密、文件传输、提疑澄清、开标唱标、结果公布等交互环节，具体内容和规定详见招标文件。</w:t>
      </w:r>
    </w:p>
    <w:p>
      <w:pPr>
        <w:pStyle w:val="4"/>
        <w:spacing w:before="0" w:after="0" w:line="460" w:lineRule="exact"/>
        <w:ind w:firstLine="422" w:firstLineChars="200"/>
        <w:rPr>
          <w:rFonts w:ascii="宋体" w:hAnsi="宋体" w:eastAsia="宋体" w:cs="宋体"/>
          <w:color w:val="auto"/>
          <w:sz w:val="21"/>
          <w:szCs w:val="21"/>
        </w:rPr>
      </w:pPr>
      <w:r>
        <w:rPr>
          <w:rFonts w:hint="eastAsia" w:ascii="宋体" w:hAnsi="宋体" w:eastAsia="宋体" w:cs="宋体"/>
          <w:color w:val="auto"/>
          <w:sz w:val="21"/>
          <w:szCs w:val="21"/>
        </w:rPr>
        <w:t>1.评标方法</w:t>
      </w:r>
    </w:p>
    <w:p>
      <w:pPr>
        <w:autoSpaceDE w:val="0"/>
        <w:autoSpaceDN w:val="0"/>
        <w:spacing w:line="46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本次评标采用综合评分法。评标委员会对满足招标文件实质性要求的投标文件，按照本招标文件规定的评分标准进行打分，并按得分由高到低顺序推荐中标候选人，或根据招标人授权直接确定中标人。综合评分相等时，以投标报价低的优先；投标报价也相等的，由招标人抽签确定。最低报价及任何单项因素的最优均不是中标的必要条件。</w:t>
      </w:r>
    </w:p>
    <w:p>
      <w:pPr>
        <w:pStyle w:val="4"/>
        <w:spacing w:before="0" w:after="0" w:line="460" w:lineRule="exact"/>
        <w:ind w:firstLine="422" w:firstLineChars="200"/>
        <w:rPr>
          <w:rFonts w:ascii="宋体" w:hAnsi="宋体" w:eastAsia="宋体" w:cs="宋体"/>
          <w:color w:val="auto"/>
          <w:sz w:val="21"/>
          <w:szCs w:val="21"/>
        </w:rPr>
      </w:pPr>
      <w:r>
        <w:rPr>
          <w:rFonts w:hint="eastAsia" w:ascii="宋体" w:hAnsi="宋体" w:eastAsia="宋体" w:cs="宋体"/>
          <w:color w:val="auto"/>
          <w:sz w:val="21"/>
          <w:szCs w:val="21"/>
        </w:rPr>
        <w:t>2.评审标准</w:t>
      </w:r>
    </w:p>
    <w:p>
      <w:pPr>
        <w:spacing w:line="460" w:lineRule="exact"/>
        <w:ind w:firstLine="422" w:firstLineChars="200"/>
        <w:rPr>
          <w:rFonts w:ascii="宋体" w:hAnsi="宋体" w:cs="宋体"/>
          <w:color w:val="auto"/>
          <w:szCs w:val="21"/>
        </w:rPr>
      </w:pPr>
      <w:r>
        <w:rPr>
          <w:rFonts w:hint="eastAsia" w:ascii="宋体" w:hAnsi="宋体" w:cs="宋体"/>
          <w:b/>
          <w:bCs/>
          <w:color w:val="auto"/>
          <w:szCs w:val="21"/>
        </w:rPr>
        <w:t>2.1 初步评审</w:t>
      </w:r>
    </w:p>
    <w:p>
      <w:pPr>
        <w:spacing w:line="480" w:lineRule="exact"/>
        <w:ind w:firstLine="422" w:firstLineChars="200"/>
        <w:rPr>
          <w:rFonts w:ascii="宋体" w:hAnsi="宋体" w:cs="宋体"/>
          <w:b/>
          <w:color w:val="auto"/>
          <w:szCs w:val="21"/>
        </w:rPr>
      </w:pPr>
      <w:r>
        <w:rPr>
          <w:rFonts w:hint="eastAsia" w:ascii="宋体" w:hAnsi="宋体" w:cs="宋体"/>
          <w:b/>
          <w:color w:val="auto"/>
          <w:szCs w:val="21"/>
        </w:rPr>
        <w:t>2.1.1形式评审标准</w:t>
      </w:r>
    </w:p>
    <w:p>
      <w:pPr>
        <w:spacing w:line="480" w:lineRule="exact"/>
        <w:ind w:firstLine="420" w:firstLineChars="200"/>
        <w:rPr>
          <w:rFonts w:ascii="宋体" w:hAnsi="宋体" w:cs="宋体"/>
          <w:color w:val="auto"/>
          <w:szCs w:val="21"/>
        </w:rPr>
      </w:pPr>
      <w:r>
        <w:rPr>
          <w:rFonts w:hint="eastAsia" w:ascii="宋体" w:hAnsi="宋体" w:cs="宋体"/>
          <w:color w:val="auto"/>
          <w:szCs w:val="21"/>
        </w:rPr>
        <w:t>对投标文件的有效性、完整性进行评审。</w:t>
      </w:r>
    </w:p>
    <w:tbl>
      <w:tblPr>
        <w:tblStyle w:val="48"/>
        <w:tblW w:w="4994"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29"/>
        <w:gridCol w:w="66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57" w:type="pct"/>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
                <w:color w:val="auto"/>
                <w:szCs w:val="21"/>
              </w:rPr>
            </w:pPr>
            <w:r>
              <w:rPr>
                <w:rFonts w:hint="eastAsia" w:ascii="宋体" w:hAnsi="宋体" w:cs="宋体"/>
                <w:b/>
                <w:color w:val="auto"/>
                <w:szCs w:val="21"/>
              </w:rPr>
              <w:t>评审因素</w:t>
            </w:r>
          </w:p>
        </w:tc>
        <w:tc>
          <w:tcPr>
            <w:tcW w:w="3743" w:type="pct"/>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
                <w:color w:val="auto"/>
                <w:szCs w:val="21"/>
              </w:rPr>
            </w:pPr>
            <w:r>
              <w:rPr>
                <w:rFonts w:hint="eastAsia" w:ascii="宋体" w:hAnsi="宋体" w:cs="宋体"/>
                <w:b/>
                <w:color w:val="auto"/>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57" w:type="pct"/>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
                <w:color w:val="auto"/>
                <w:szCs w:val="21"/>
              </w:rPr>
            </w:pPr>
            <w:r>
              <w:rPr>
                <w:rFonts w:hint="eastAsia" w:ascii="宋体" w:hAnsi="宋体" w:cs="宋体"/>
                <w:color w:val="auto"/>
                <w:szCs w:val="21"/>
              </w:rPr>
              <w:t>投标人名称</w:t>
            </w:r>
          </w:p>
        </w:tc>
        <w:tc>
          <w:tcPr>
            <w:tcW w:w="3743" w:type="pct"/>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s="宋体"/>
                <w:b/>
                <w:color w:val="auto"/>
                <w:szCs w:val="21"/>
              </w:rPr>
            </w:pPr>
            <w:r>
              <w:rPr>
                <w:rFonts w:hint="eastAsia" w:ascii="宋体" w:hAnsi="宋体" w:cs="宋体"/>
                <w:color w:val="auto"/>
                <w:szCs w:val="21"/>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257"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color w:val="auto"/>
                <w:szCs w:val="21"/>
              </w:rPr>
            </w:pPr>
            <w:r>
              <w:rPr>
                <w:rFonts w:hint="eastAsia" w:ascii="宋体" w:hAnsi="宋体" w:cs="宋体"/>
                <w:color w:val="auto"/>
                <w:szCs w:val="21"/>
              </w:rPr>
              <w:t>投标承诺函</w:t>
            </w:r>
          </w:p>
        </w:tc>
        <w:tc>
          <w:tcPr>
            <w:tcW w:w="3743" w:type="pct"/>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s="宋体"/>
                <w:color w:val="auto"/>
                <w:szCs w:val="21"/>
              </w:rPr>
            </w:pPr>
            <w:r>
              <w:rPr>
                <w:rFonts w:hint="eastAsia" w:ascii="宋体" w:hAnsi="宋体" w:cs="宋体"/>
                <w:color w:val="auto"/>
                <w:szCs w:val="21"/>
              </w:rPr>
              <w:t>有法定代表人或其委托代理人签字(或盖章)并加盖投标单位公章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257" w:type="pct"/>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color w:val="auto"/>
                <w:szCs w:val="21"/>
              </w:rPr>
            </w:pPr>
            <w:r>
              <w:rPr>
                <w:rFonts w:hint="eastAsia" w:ascii="宋体" w:hAnsi="宋体" w:cs="宋体"/>
                <w:color w:val="auto"/>
                <w:szCs w:val="21"/>
              </w:rPr>
              <w:t>授权委托书</w:t>
            </w:r>
          </w:p>
        </w:tc>
        <w:tc>
          <w:tcPr>
            <w:tcW w:w="3743" w:type="pct"/>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s="宋体"/>
                <w:color w:val="auto"/>
                <w:szCs w:val="21"/>
              </w:rPr>
            </w:pPr>
            <w:r>
              <w:rPr>
                <w:rFonts w:hint="eastAsia" w:ascii="宋体" w:hAnsi="宋体" w:cs="宋体"/>
                <w:color w:val="auto"/>
                <w:szCs w:val="21"/>
              </w:rPr>
              <w:t>有法定代表人签字和委托代理人签字并加盖投标单位公章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1257" w:type="pc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s="宋体"/>
                <w:color w:val="auto"/>
                <w:szCs w:val="21"/>
              </w:rPr>
            </w:pPr>
            <w:r>
              <w:rPr>
                <w:rFonts w:hint="eastAsia" w:ascii="宋体" w:hAnsi="宋体" w:cs="宋体"/>
                <w:color w:val="auto"/>
                <w:szCs w:val="21"/>
              </w:rPr>
              <w:t>报价唯一</w:t>
            </w:r>
          </w:p>
        </w:tc>
        <w:tc>
          <w:tcPr>
            <w:tcW w:w="3743" w:type="pct"/>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s="宋体"/>
                <w:color w:val="auto"/>
                <w:szCs w:val="21"/>
              </w:rPr>
            </w:pPr>
            <w:r>
              <w:rPr>
                <w:rFonts w:hint="eastAsia" w:ascii="宋体" w:hAnsi="宋体" w:cs="宋体"/>
                <w:color w:val="auto"/>
                <w:szCs w:val="21"/>
              </w:rPr>
              <w:t>只能有一个有效报价</w:t>
            </w:r>
          </w:p>
        </w:tc>
      </w:tr>
    </w:tbl>
    <w:p>
      <w:pPr>
        <w:spacing w:line="480" w:lineRule="exact"/>
        <w:ind w:firstLine="422" w:firstLineChars="200"/>
        <w:rPr>
          <w:rFonts w:ascii="宋体" w:hAnsi="宋体" w:cs="宋体"/>
          <w:b/>
          <w:color w:val="auto"/>
          <w:szCs w:val="21"/>
        </w:rPr>
      </w:pPr>
      <w:r>
        <w:rPr>
          <w:rFonts w:hint="eastAsia" w:ascii="宋体" w:hAnsi="宋体" w:cs="宋体"/>
          <w:b/>
          <w:color w:val="auto"/>
          <w:szCs w:val="21"/>
        </w:rPr>
        <w:t>2.1.2资格审查（资格后审）</w:t>
      </w:r>
    </w:p>
    <w:p>
      <w:pPr>
        <w:spacing w:line="480" w:lineRule="exact"/>
        <w:ind w:firstLine="420" w:firstLineChars="200"/>
        <w:rPr>
          <w:rFonts w:ascii="宋体" w:hAnsi="宋体" w:cs="宋体"/>
          <w:color w:val="auto"/>
          <w:szCs w:val="21"/>
        </w:rPr>
      </w:pPr>
      <w:r>
        <w:rPr>
          <w:rFonts w:hint="eastAsia" w:ascii="宋体" w:hAnsi="宋体" w:cs="宋体"/>
          <w:color w:val="auto"/>
          <w:szCs w:val="21"/>
        </w:rPr>
        <w:t>评标委员会对通过上一阶段评审的投标人资格对照招标文件投标须知第3.5项的规定要求进行审查，只有通过资格审查的投标人方可进行下一阶段的评审。</w:t>
      </w:r>
    </w:p>
    <w:tbl>
      <w:tblPr>
        <w:tblStyle w:val="48"/>
        <w:tblW w:w="4994"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3081"/>
        <w:gridCol w:w="57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37" w:type="pct"/>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color w:val="auto"/>
                <w:szCs w:val="21"/>
              </w:rPr>
            </w:pPr>
            <w:r>
              <w:rPr>
                <w:rFonts w:hint="eastAsia" w:ascii="宋体" w:hAnsi="宋体" w:cs="宋体"/>
                <w:color w:val="auto"/>
                <w:szCs w:val="21"/>
              </w:rPr>
              <w:t>评审因素</w:t>
            </w:r>
          </w:p>
        </w:tc>
        <w:tc>
          <w:tcPr>
            <w:tcW w:w="3263" w:type="pct"/>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color w:val="auto"/>
                <w:szCs w:val="21"/>
              </w:rPr>
            </w:pPr>
            <w:r>
              <w:rPr>
                <w:rFonts w:hint="eastAsia" w:ascii="宋体" w:hAnsi="宋体" w:cs="宋体"/>
                <w:color w:val="auto"/>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37" w:type="pct"/>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color w:val="auto"/>
                <w:szCs w:val="21"/>
              </w:rPr>
            </w:pPr>
            <w:r>
              <w:rPr>
                <w:rFonts w:hint="eastAsia" w:ascii="宋体" w:hAnsi="宋体" w:cs="宋体"/>
                <w:color w:val="auto"/>
                <w:szCs w:val="21"/>
              </w:rPr>
              <w:t>营业执照</w:t>
            </w:r>
          </w:p>
        </w:tc>
        <w:tc>
          <w:tcPr>
            <w:tcW w:w="3263" w:type="pct"/>
            <w:tcBorders>
              <w:top w:val="single" w:color="auto" w:sz="4" w:space="0"/>
              <w:left w:val="single" w:color="auto" w:sz="4" w:space="0"/>
              <w:bottom w:val="single" w:color="auto" w:sz="4" w:space="0"/>
              <w:right w:val="single" w:color="auto" w:sz="4" w:space="0"/>
            </w:tcBorders>
          </w:tcPr>
          <w:p>
            <w:pPr>
              <w:spacing w:line="480" w:lineRule="exact"/>
              <w:jc w:val="left"/>
              <w:rPr>
                <w:rFonts w:ascii="宋体" w:hAnsi="宋体" w:cs="宋体"/>
                <w:color w:val="auto"/>
                <w:szCs w:val="21"/>
              </w:rPr>
            </w:pPr>
            <w:r>
              <w:rPr>
                <w:rFonts w:hint="eastAsia" w:ascii="宋体" w:hAnsi="宋体" w:cs="宋体"/>
                <w:color w:val="auto"/>
                <w:szCs w:val="21"/>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37" w:type="pct"/>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color w:val="auto"/>
                <w:szCs w:val="21"/>
              </w:rPr>
            </w:pPr>
            <w:r>
              <w:rPr>
                <w:rFonts w:hint="eastAsia" w:ascii="宋体" w:hAnsi="宋体" w:cs="宋体"/>
                <w:color w:val="auto"/>
                <w:szCs w:val="21"/>
              </w:rPr>
              <w:t>投标人项目组成员</w:t>
            </w:r>
          </w:p>
        </w:tc>
        <w:tc>
          <w:tcPr>
            <w:tcW w:w="3263" w:type="pct"/>
            <w:tcBorders>
              <w:top w:val="single" w:color="auto" w:sz="4" w:space="0"/>
              <w:left w:val="single" w:color="auto" w:sz="4" w:space="0"/>
              <w:bottom w:val="single" w:color="auto" w:sz="4" w:space="0"/>
              <w:right w:val="single" w:color="auto" w:sz="4" w:space="0"/>
            </w:tcBorders>
          </w:tcPr>
          <w:p>
            <w:pPr>
              <w:spacing w:line="480" w:lineRule="exact"/>
              <w:jc w:val="left"/>
              <w:rPr>
                <w:rFonts w:ascii="宋体" w:hAnsi="宋体" w:cs="宋体"/>
                <w:color w:val="auto"/>
                <w:szCs w:val="21"/>
              </w:rPr>
            </w:pPr>
            <w:r>
              <w:rPr>
                <w:rFonts w:hint="eastAsia" w:ascii="宋体" w:hAnsi="宋体" w:cs="宋体"/>
                <w:color w:val="auto"/>
                <w:szCs w:val="21"/>
              </w:rPr>
              <w:t>符合招标文件相关约定</w:t>
            </w:r>
          </w:p>
        </w:tc>
      </w:tr>
    </w:tbl>
    <w:p>
      <w:pPr>
        <w:spacing w:line="480" w:lineRule="exact"/>
        <w:ind w:firstLine="422" w:firstLineChars="200"/>
        <w:rPr>
          <w:rFonts w:ascii="宋体" w:hAnsi="宋体" w:cs="宋体"/>
          <w:b/>
          <w:color w:val="auto"/>
          <w:szCs w:val="21"/>
        </w:rPr>
      </w:pPr>
      <w:r>
        <w:rPr>
          <w:rFonts w:hint="eastAsia" w:ascii="宋体" w:hAnsi="宋体" w:cs="宋体"/>
          <w:b/>
          <w:color w:val="auto"/>
          <w:szCs w:val="21"/>
        </w:rPr>
        <w:t>2.1.3 响应性审查</w:t>
      </w:r>
    </w:p>
    <w:p>
      <w:pPr>
        <w:spacing w:line="480" w:lineRule="exact"/>
        <w:ind w:firstLine="420" w:firstLineChars="200"/>
        <w:rPr>
          <w:rFonts w:ascii="宋体" w:hAnsi="宋体" w:cs="宋体"/>
          <w:color w:val="auto"/>
          <w:szCs w:val="21"/>
        </w:rPr>
      </w:pPr>
      <w:r>
        <w:rPr>
          <w:rFonts w:hint="eastAsia" w:ascii="宋体" w:hAnsi="宋体" w:cs="宋体"/>
          <w:color w:val="auto"/>
          <w:szCs w:val="21"/>
        </w:rPr>
        <w:t>对招标文件要求的服务期、质量标准、投标有效期、投标报价等实质性要求的响应性进行评审。</w:t>
      </w:r>
    </w:p>
    <w:tbl>
      <w:tblPr>
        <w:tblStyle w:val="48"/>
        <w:tblW w:w="4994"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3161"/>
        <w:gridCol w:w="57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2" w:type="pct"/>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
                <w:color w:val="auto"/>
                <w:szCs w:val="21"/>
              </w:rPr>
            </w:pPr>
            <w:r>
              <w:rPr>
                <w:rFonts w:hint="eastAsia" w:ascii="宋体" w:hAnsi="宋体" w:cs="宋体"/>
                <w:b/>
                <w:color w:val="auto"/>
                <w:szCs w:val="21"/>
              </w:rPr>
              <w:t>评审因素</w:t>
            </w:r>
          </w:p>
        </w:tc>
        <w:tc>
          <w:tcPr>
            <w:tcW w:w="3218" w:type="pct"/>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
                <w:color w:val="auto"/>
                <w:szCs w:val="21"/>
              </w:rPr>
            </w:pPr>
            <w:r>
              <w:rPr>
                <w:rFonts w:hint="eastAsia" w:ascii="宋体" w:hAnsi="宋体" w:cs="宋体"/>
                <w:b/>
                <w:color w:val="auto"/>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2" w:type="pct"/>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
                <w:color w:val="auto"/>
                <w:szCs w:val="21"/>
              </w:rPr>
            </w:pPr>
            <w:r>
              <w:rPr>
                <w:rFonts w:hint="eastAsia" w:ascii="宋体" w:hAnsi="宋体" w:cs="宋体"/>
                <w:color w:val="auto"/>
                <w:szCs w:val="21"/>
              </w:rPr>
              <w:t>服务期</w:t>
            </w:r>
          </w:p>
        </w:tc>
        <w:tc>
          <w:tcPr>
            <w:tcW w:w="3218" w:type="pct"/>
            <w:tcBorders>
              <w:top w:val="single" w:color="auto" w:sz="4" w:space="0"/>
              <w:left w:val="single" w:color="auto" w:sz="4" w:space="0"/>
              <w:bottom w:val="single" w:color="auto" w:sz="4" w:space="0"/>
              <w:right w:val="single" w:color="auto" w:sz="4" w:space="0"/>
            </w:tcBorders>
          </w:tcPr>
          <w:p>
            <w:pPr>
              <w:spacing w:line="480" w:lineRule="exact"/>
              <w:jc w:val="left"/>
              <w:rPr>
                <w:rFonts w:ascii="宋体" w:hAnsi="宋体" w:cs="宋体"/>
                <w:b/>
                <w:color w:val="auto"/>
                <w:szCs w:val="21"/>
              </w:rPr>
            </w:pPr>
            <w:r>
              <w:rPr>
                <w:rFonts w:hint="eastAsia" w:ascii="宋体" w:hAnsi="宋体" w:cs="宋体"/>
                <w:color w:val="auto"/>
                <w:szCs w:val="21"/>
              </w:rPr>
              <w:t>符合招标文件相关约定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2" w:type="pct"/>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
                <w:color w:val="auto"/>
                <w:szCs w:val="21"/>
              </w:rPr>
            </w:pPr>
            <w:r>
              <w:rPr>
                <w:rFonts w:hint="eastAsia" w:ascii="宋体" w:hAnsi="宋体" w:cs="宋体"/>
                <w:color w:val="auto"/>
                <w:szCs w:val="21"/>
              </w:rPr>
              <w:t>质量</w:t>
            </w:r>
          </w:p>
        </w:tc>
        <w:tc>
          <w:tcPr>
            <w:tcW w:w="3218" w:type="pct"/>
            <w:tcBorders>
              <w:top w:val="single" w:color="auto" w:sz="4" w:space="0"/>
              <w:left w:val="single" w:color="auto" w:sz="4" w:space="0"/>
              <w:bottom w:val="single" w:color="auto" w:sz="4" w:space="0"/>
              <w:right w:val="single" w:color="auto" w:sz="4" w:space="0"/>
            </w:tcBorders>
          </w:tcPr>
          <w:p>
            <w:pPr>
              <w:spacing w:line="480" w:lineRule="exact"/>
              <w:jc w:val="left"/>
              <w:rPr>
                <w:rFonts w:ascii="宋体" w:hAnsi="宋体" w:cs="宋体"/>
                <w:b/>
                <w:color w:val="auto"/>
                <w:szCs w:val="21"/>
              </w:rPr>
            </w:pPr>
            <w:r>
              <w:rPr>
                <w:rFonts w:hint="eastAsia" w:ascii="宋体" w:hAnsi="宋体" w:cs="宋体"/>
                <w:color w:val="auto"/>
                <w:szCs w:val="21"/>
              </w:rPr>
              <w:t>符合招标文件相关约定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2" w:type="pct"/>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
                <w:color w:val="auto"/>
                <w:szCs w:val="21"/>
              </w:rPr>
            </w:pPr>
            <w:r>
              <w:rPr>
                <w:rFonts w:hint="eastAsia" w:ascii="宋体" w:hAnsi="宋体" w:cs="宋体"/>
                <w:color w:val="auto"/>
                <w:szCs w:val="21"/>
              </w:rPr>
              <w:t>投标有效期</w:t>
            </w:r>
          </w:p>
        </w:tc>
        <w:tc>
          <w:tcPr>
            <w:tcW w:w="3218" w:type="pct"/>
            <w:tcBorders>
              <w:top w:val="single" w:color="auto" w:sz="4" w:space="0"/>
              <w:left w:val="single" w:color="auto" w:sz="4" w:space="0"/>
              <w:bottom w:val="single" w:color="auto" w:sz="4" w:space="0"/>
              <w:right w:val="single" w:color="auto" w:sz="4" w:space="0"/>
            </w:tcBorders>
          </w:tcPr>
          <w:p>
            <w:pPr>
              <w:spacing w:line="480" w:lineRule="exact"/>
              <w:jc w:val="left"/>
              <w:rPr>
                <w:rFonts w:ascii="宋体" w:hAnsi="宋体" w:cs="宋体"/>
                <w:b/>
                <w:color w:val="auto"/>
                <w:szCs w:val="21"/>
              </w:rPr>
            </w:pPr>
            <w:r>
              <w:rPr>
                <w:rFonts w:hint="eastAsia" w:ascii="宋体" w:hAnsi="宋体" w:cs="宋体"/>
                <w:color w:val="auto"/>
                <w:szCs w:val="21"/>
              </w:rPr>
              <w:t>符合招标文件相关约定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2" w:type="pct"/>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
                <w:color w:val="auto"/>
                <w:szCs w:val="21"/>
              </w:rPr>
            </w:pPr>
            <w:r>
              <w:rPr>
                <w:rFonts w:hint="eastAsia" w:ascii="宋体" w:hAnsi="宋体" w:cs="宋体"/>
                <w:color w:val="auto"/>
                <w:szCs w:val="21"/>
              </w:rPr>
              <w:t>技术标准和要求</w:t>
            </w:r>
          </w:p>
        </w:tc>
        <w:tc>
          <w:tcPr>
            <w:tcW w:w="3218" w:type="pct"/>
            <w:tcBorders>
              <w:top w:val="single" w:color="auto" w:sz="4" w:space="0"/>
              <w:left w:val="single" w:color="auto" w:sz="4" w:space="0"/>
              <w:bottom w:val="single" w:color="auto" w:sz="4" w:space="0"/>
              <w:right w:val="single" w:color="auto" w:sz="4" w:space="0"/>
            </w:tcBorders>
          </w:tcPr>
          <w:p>
            <w:pPr>
              <w:spacing w:line="480" w:lineRule="exact"/>
              <w:jc w:val="left"/>
              <w:rPr>
                <w:rFonts w:ascii="宋体" w:hAnsi="宋体" w:cs="宋体"/>
                <w:color w:val="auto"/>
                <w:szCs w:val="21"/>
              </w:rPr>
            </w:pPr>
            <w:r>
              <w:rPr>
                <w:rFonts w:hint="eastAsia" w:ascii="宋体" w:hAnsi="宋体" w:cs="宋体"/>
                <w:color w:val="auto"/>
                <w:szCs w:val="21"/>
              </w:rPr>
              <w:t>符合招标文件相关约定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2" w:type="pct"/>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s="宋体"/>
                <w:b/>
                <w:color w:val="auto"/>
                <w:szCs w:val="21"/>
              </w:rPr>
            </w:pPr>
            <w:r>
              <w:rPr>
                <w:rFonts w:hint="eastAsia" w:ascii="宋体" w:hAnsi="宋体" w:cs="宋体"/>
                <w:color w:val="auto"/>
                <w:szCs w:val="21"/>
              </w:rPr>
              <w:t>投标价格</w:t>
            </w:r>
          </w:p>
        </w:tc>
        <w:tc>
          <w:tcPr>
            <w:tcW w:w="3218" w:type="pct"/>
            <w:tcBorders>
              <w:top w:val="single" w:color="auto" w:sz="4" w:space="0"/>
              <w:left w:val="single" w:color="auto" w:sz="4" w:space="0"/>
              <w:bottom w:val="single" w:color="auto" w:sz="4" w:space="0"/>
              <w:right w:val="single" w:color="auto" w:sz="4" w:space="0"/>
            </w:tcBorders>
          </w:tcPr>
          <w:p>
            <w:pPr>
              <w:spacing w:line="480" w:lineRule="exact"/>
              <w:jc w:val="left"/>
              <w:rPr>
                <w:rFonts w:ascii="宋体" w:hAnsi="宋体" w:cs="宋体"/>
                <w:color w:val="auto"/>
                <w:szCs w:val="21"/>
              </w:rPr>
            </w:pPr>
            <w:r>
              <w:rPr>
                <w:rFonts w:hint="eastAsia" w:ascii="宋体" w:hAnsi="宋体" w:cs="宋体"/>
                <w:color w:val="auto"/>
                <w:szCs w:val="21"/>
              </w:rPr>
              <w:t>符合招标文件相关约定</w:t>
            </w:r>
          </w:p>
        </w:tc>
      </w:tr>
    </w:tbl>
    <w:p>
      <w:pPr>
        <w:pStyle w:val="5"/>
        <w:spacing w:before="0" w:after="0" w:line="460" w:lineRule="exact"/>
        <w:ind w:firstLine="422" w:firstLineChars="200"/>
        <w:rPr>
          <w:rFonts w:ascii="宋体" w:hAnsi="宋体" w:eastAsia="宋体" w:cs="宋体"/>
          <w:b/>
          <w:bCs/>
          <w:color w:val="auto"/>
          <w:sz w:val="21"/>
          <w:szCs w:val="21"/>
        </w:rPr>
      </w:pPr>
      <w:r>
        <w:rPr>
          <w:rFonts w:hint="eastAsia" w:ascii="宋体" w:hAnsi="宋体" w:eastAsia="宋体" w:cs="宋体"/>
          <w:b/>
          <w:bCs/>
          <w:color w:val="auto"/>
          <w:sz w:val="21"/>
          <w:szCs w:val="21"/>
        </w:rPr>
        <w:t>2.2 详细评审（100分）</w:t>
      </w:r>
    </w:p>
    <w:tbl>
      <w:tblPr>
        <w:tblStyle w:val="48"/>
        <w:tblW w:w="9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271"/>
        <w:gridCol w:w="851"/>
        <w:gridCol w:w="7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680" w:type="dxa"/>
            <w:vAlign w:val="center"/>
          </w:tcPr>
          <w:p>
            <w:pPr>
              <w:spacing w:line="480" w:lineRule="exact"/>
              <w:jc w:val="center"/>
              <w:rPr>
                <w:rFonts w:eastAsia="仿宋_GB2312"/>
                <w:b/>
                <w:bCs/>
                <w:color w:val="auto"/>
                <w:szCs w:val="21"/>
                <w:lang w:val="zh-CN"/>
              </w:rPr>
            </w:pPr>
            <w:r>
              <w:rPr>
                <w:rFonts w:eastAsia="仿宋_GB2312"/>
                <w:b/>
                <w:bCs/>
                <w:color w:val="auto"/>
                <w:szCs w:val="21"/>
                <w:lang w:val="zh-CN"/>
              </w:rPr>
              <w:t>序号</w:t>
            </w:r>
          </w:p>
        </w:tc>
        <w:tc>
          <w:tcPr>
            <w:tcW w:w="1271" w:type="dxa"/>
            <w:vAlign w:val="center"/>
          </w:tcPr>
          <w:p>
            <w:pPr>
              <w:spacing w:line="480" w:lineRule="exact"/>
              <w:jc w:val="center"/>
              <w:rPr>
                <w:rFonts w:eastAsia="仿宋_GB2312"/>
                <w:b/>
                <w:bCs/>
                <w:color w:val="auto"/>
                <w:szCs w:val="21"/>
                <w:lang w:val="zh-CN"/>
              </w:rPr>
            </w:pPr>
            <w:r>
              <w:rPr>
                <w:rFonts w:eastAsia="仿宋_GB2312"/>
                <w:b/>
                <w:bCs/>
                <w:color w:val="auto"/>
                <w:szCs w:val="21"/>
                <w:lang w:val="zh-CN"/>
              </w:rPr>
              <w:t>评分因素</w:t>
            </w:r>
          </w:p>
        </w:tc>
        <w:tc>
          <w:tcPr>
            <w:tcW w:w="851" w:type="dxa"/>
            <w:vAlign w:val="center"/>
          </w:tcPr>
          <w:p>
            <w:pPr>
              <w:spacing w:line="480" w:lineRule="exact"/>
              <w:jc w:val="center"/>
              <w:rPr>
                <w:rFonts w:eastAsia="仿宋_GB2312"/>
                <w:b/>
                <w:bCs/>
                <w:color w:val="auto"/>
                <w:szCs w:val="21"/>
                <w:lang w:val="zh-CN"/>
              </w:rPr>
            </w:pPr>
            <w:r>
              <w:rPr>
                <w:rFonts w:eastAsia="仿宋_GB2312"/>
                <w:b/>
                <w:bCs/>
                <w:color w:val="auto"/>
                <w:szCs w:val="21"/>
                <w:lang w:val="zh-CN"/>
              </w:rPr>
              <w:t>分值</w:t>
            </w:r>
          </w:p>
        </w:tc>
        <w:tc>
          <w:tcPr>
            <w:tcW w:w="7144" w:type="dxa"/>
            <w:vAlign w:val="center"/>
          </w:tcPr>
          <w:p>
            <w:pPr>
              <w:spacing w:line="480" w:lineRule="exact"/>
              <w:jc w:val="center"/>
              <w:rPr>
                <w:rFonts w:eastAsia="仿宋_GB2312"/>
                <w:b/>
                <w:bCs/>
                <w:color w:val="auto"/>
                <w:szCs w:val="21"/>
                <w:lang w:val="zh-CN"/>
              </w:rPr>
            </w:pPr>
            <w:r>
              <w:rPr>
                <w:rFonts w:eastAsia="仿宋_GB2312"/>
                <w:b/>
                <w:bCs/>
                <w:color w:val="auto"/>
                <w:szCs w:val="21"/>
                <w:lang w:val="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680" w:type="dxa"/>
            <w:vAlign w:val="center"/>
          </w:tcPr>
          <w:p>
            <w:pPr>
              <w:spacing w:line="480" w:lineRule="exact"/>
              <w:jc w:val="center"/>
              <w:rPr>
                <w:color w:val="auto"/>
                <w:szCs w:val="21"/>
                <w:lang w:val="zh-CN"/>
              </w:rPr>
            </w:pPr>
            <w:r>
              <w:rPr>
                <w:color w:val="auto"/>
                <w:szCs w:val="21"/>
                <w:lang w:val="zh-CN"/>
              </w:rPr>
              <w:t>1</w:t>
            </w:r>
          </w:p>
        </w:tc>
        <w:tc>
          <w:tcPr>
            <w:tcW w:w="1271" w:type="dxa"/>
            <w:vAlign w:val="center"/>
          </w:tcPr>
          <w:p>
            <w:pPr>
              <w:spacing w:line="480" w:lineRule="exact"/>
              <w:jc w:val="center"/>
              <w:rPr>
                <w:color w:val="auto"/>
                <w:szCs w:val="21"/>
                <w:lang w:val="zh-CN"/>
              </w:rPr>
            </w:pPr>
            <w:r>
              <w:rPr>
                <w:color w:val="auto"/>
                <w:szCs w:val="21"/>
              </w:rPr>
              <w:t>投标报价</w:t>
            </w:r>
          </w:p>
        </w:tc>
        <w:tc>
          <w:tcPr>
            <w:tcW w:w="851" w:type="dxa"/>
            <w:vAlign w:val="center"/>
          </w:tcPr>
          <w:p>
            <w:pPr>
              <w:spacing w:line="480" w:lineRule="exact"/>
              <w:jc w:val="center"/>
              <w:rPr>
                <w:color w:val="auto"/>
                <w:szCs w:val="21"/>
                <w:lang w:val="zh-CN"/>
              </w:rPr>
            </w:pPr>
            <w:r>
              <w:rPr>
                <w:rFonts w:hint="eastAsia"/>
                <w:color w:val="auto"/>
                <w:szCs w:val="21"/>
              </w:rPr>
              <w:t>58</w:t>
            </w:r>
            <w:r>
              <w:rPr>
                <w:color w:val="auto"/>
                <w:szCs w:val="21"/>
              </w:rPr>
              <w:t>分</w:t>
            </w:r>
          </w:p>
        </w:tc>
        <w:tc>
          <w:tcPr>
            <w:tcW w:w="7144" w:type="dxa"/>
            <w:vAlign w:val="center"/>
          </w:tcPr>
          <w:p>
            <w:pPr>
              <w:spacing w:line="360" w:lineRule="auto"/>
              <w:rPr>
                <w:rFonts w:ascii="宋体" w:hAnsi="宋体"/>
                <w:color w:val="auto"/>
              </w:rPr>
            </w:pPr>
            <w:r>
              <w:rPr>
                <w:rFonts w:hint="eastAsia" w:ascii="宋体" w:hAnsi="宋体"/>
                <w:color w:val="auto"/>
              </w:rPr>
              <w:t>以有效投标文件的投标报价算术平均值为 A,最高投标限价为 B,则: 评标基准价=A×Q1+B×Q2；</w:t>
            </w:r>
          </w:p>
          <w:p>
            <w:pPr>
              <w:spacing w:line="360" w:lineRule="auto"/>
              <w:rPr>
                <w:rFonts w:ascii="宋体" w:hAnsi="宋体"/>
                <w:color w:val="auto"/>
              </w:rPr>
            </w:pPr>
            <w:r>
              <w:rPr>
                <w:rFonts w:hint="eastAsia" w:ascii="宋体" w:hAnsi="宋体"/>
                <w:color w:val="auto"/>
              </w:rPr>
              <w:t>Q2=1-Q1,Q1的取值范围为10%,15%,20%,25%；Q1 值在投标文件开启前由招标人代表随机抽取确定。评标价等于评标基准价的得满分；偏离评标基准价的相应扣减得分。</w:t>
            </w:r>
          </w:p>
          <w:p>
            <w:pPr>
              <w:spacing w:line="360" w:lineRule="auto"/>
              <w:rPr>
                <w:rFonts w:ascii="宋体" w:hAnsi="宋体"/>
                <w:color w:val="auto"/>
              </w:rPr>
            </w:pPr>
            <w:r>
              <w:rPr>
                <w:rFonts w:hint="eastAsia" w:ascii="宋体" w:hAnsi="宋体"/>
                <w:color w:val="auto"/>
              </w:rPr>
              <w:t>计算算术平均值 A 时，若 7≤有效投标文件＜10家时，应去掉其中的一个最高价和一个最低价；若有效投标文件≥10家，应去掉其中的两个最高价和两个最低价。</w:t>
            </w:r>
          </w:p>
          <w:p>
            <w:pPr>
              <w:spacing w:line="360" w:lineRule="auto"/>
              <w:rPr>
                <w:rFonts w:ascii="宋体" w:hAnsi="宋体"/>
                <w:color w:val="auto"/>
              </w:rPr>
            </w:pPr>
            <w:r>
              <w:rPr>
                <w:rFonts w:hint="eastAsia" w:ascii="宋体" w:hAnsi="宋体"/>
                <w:color w:val="auto"/>
              </w:rPr>
              <w:t>投标报价等于评标基准价的得满分；偏离评标基准价的，投标报价每高于评标基准价1%扣减0.15分，投标报价每低于评标基准价1%扣减0.1分，偏离不足1%的，用插入法计算。</w:t>
            </w:r>
          </w:p>
          <w:p>
            <w:pPr>
              <w:spacing w:line="360" w:lineRule="auto"/>
              <w:rPr>
                <w:color w:val="auto"/>
              </w:rPr>
            </w:pPr>
            <w:r>
              <w:rPr>
                <w:rFonts w:hint="eastAsia" w:ascii="宋体" w:hAnsi="宋体"/>
                <w:color w:val="auto"/>
              </w:rPr>
              <w:t>注：（1）评标价高于招标文件设定的最高投标限价的，为无效投标文件；（2）评标委员会在评标报告上签字后，上述方法中的评标基准价不因招投标当事人质疑、投诉、复议以及其它任何情形而改变，但评委评审和计算错误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680" w:type="dxa"/>
            <w:vAlign w:val="center"/>
          </w:tcPr>
          <w:p>
            <w:pPr>
              <w:spacing w:line="480" w:lineRule="exact"/>
              <w:jc w:val="center"/>
              <w:rPr>
                <w:color w:val="auto"/>
                <w:szCs w:val="21"/>
                <w:lang w:val="zh-CN"/>
              </w:rPr>
            </w:pPr>
            <w:r>
              <w:rPr>
                <w:color w:val="auto"/>
                <w:szCs w:val="21"/>
                <w:lang w:val="zh-CN"/>
              </w:rPr>
              <w:t>2</w:t>
            </w:r>
          </w:p>
        </w:tc>
        <w:tc>
          <w:tcPr>
            <w:tcW w:w="1271" w:type="dxa"/>
            <w:vAlign w:val="center"/>
          </w:tcPr>
          <w:p>
            <w:pPr>
              <w:spacing w:line="480" w:lineRule="exact"/>
              <w:jc w:val="center"/>
              <w:rPr>
                <w:rFonts w:ascii="宋体" w:hAnsi="宋体"/>
                <w:bCs/>
                <w:color w:val="auto"/>
              </w:rPr>
            </w:pPr>
            <w:r>
              <w:rPr>
                <w:rFonts w:hint="eastAsia" w:ascii="宋体" w:hAnsi="宋体"/>
                <w:bCs/>
                <w:color w:val="auto"/>
              </w:rPr>
              <w:t>项目管理</w:t>
            </w:r>
          </w:p>
          <w:p>
            <w:pPr>
              <w:spacing w:line="480" w:lineRule="exact"/>
              <w:jc w:val="center"/>
              <w:rPr>
                <w:color w:val="auto"/>
                <w:szCs w:val="21"/>
                <w:lang w:val="zh-CN"/>
              </w:rPr>
            </w:pPr>
            <w:r>
              <w:rPr>
                <w:rFonts w:hint="eastAsia" w:ascii="宋体" w:hAnsi="宋体"/>
                <w:bCs/>
                <w:color w:val="auto"/>
              </w:rPr>
              <w:t>机构</w:t>
            </w:r>
          </w:p>
        </w:tc>
        <w:tc>
          <w:tcPr>
            <w:tcW w:w="851" w:type="dxa"/>
            <w:vAlign w:val="center"/>
          </w:tcPr>
          <w:p>
            <w:pPr>
              <w:spacing w:line="480" w:lineRule="exact"/>
              <w:jc w:val="center"/>
              <w:rPr>
                <w:color w:val="auto"/>
                <w:szCs w:val="21"/>
                <w:lang w:val="zh-CN"/>
              </w:rPr>
            </w:pPr>
            <w:r>
              <w:rPr>
                <w:rFonts w:hint="eastAsia"/>
                <w:color w:val="auto"/>
                <w:szCs w:val="21"/>
              </w:rPr>
              <w:t>10</w:t>
            </w:r>
            <w:r>
              <w:rPr>
                <w:color w:val="auto"/>
                <w:szCs w:val="21"/>
              </w:rPr>
              <w:t>分</w:t>
            </w:r>
          </w:p>
        </w:tc>
        <w:tc>
          <w:tcPr>
            <w:tcW w:w="7144" w:type="dxa"/>
            <w:vAlign w:val="center"/>
          </w:tcPr>
          <w:p>
            <w:pPr>
              <w:spacing w:line="360" w:lineRule="auto"/>
              <w:rPr>
                <w:rFonts w:ascii="宋体" w:hAnsi="宋体"/>
                <w:color w:val="auto"/>
              </w:rPr>
            </w:pPr>
            <w:r>
              <w:rPr>
                <w:rFonts w:hint="eastAsia" w:ascii="宋体" w:hAnsi="宋体"/>
                <w:color w:val="auto"/>
              </w:rPr>
              <w:t>1、</w:t>
            </w:r>
            <w:r>
              <w:rPr>
                <w:rFonts w:ascii="宋体" w:hAnsi="宋体"/>
                <w:color w:val="auto"/>
              </w:rPr>
              <w:t>拟派的项目负责人</w:t>
            </w:r>
            <w:r>
              <w:rPr>
                <w:rFonts w:hint="eastAsia" w:ascii="宋体" w:hAnsi="宋体"/>
                <w:color w:val="auto"/>
              </w:rPr>
              <w:t>（4分）：</w:t>
            </w:r>
          </w:p>
          <w:p>
            <w:pPr>
              <w:spacing w:line="360" w:lineRule="auto"/>
              <w:rPr>
                <w:rFonts w:ascii="宋体" w:hAnsi="宋体"/>
                <w:color w:val="auto"/>
              </w:rPr>
            </w:pPr>
            <w:r>
              <w:rPr>
                <w:rFonts w:hint="eastAsia" w:ascii="宋体" w:hAnsi="宋体"/>
                <w:color w:val="auto"/>
              </w:rPr>
              <w:t>①项目负责人具有高级工程师及以上职称的加2分。投标人需提供项目负责人职称证书原件彩色扫描件（或带二维码的电子件），否则不予计分。</w:t>
            </w:r>
          </w:p>
          <w:p>
            <w:pPr>
              <w:spacing w:line="360" w:lineRule="auto"/>
              <w:rPr>
                <w:rFonts w:ascii="宋体" w:hAnsi="宋体"/>
                <w:color w:val="auto"/>
              </w:rPr>
            </w:pPr>
            <w:r>
              <w:rPr>
                <w:rFonts w:hint="eastAsia" w:ascii="宋体" w:hAnsi="宋体"/>
                <w:color w:val="auto"/>
              </w:rPr>
              <w:t>②项目负责人2020年1月1日以来（以获奖证书时间或表彰文件发文时间为准，两者不一致以发文时间为准）获得地市级及以上工程造价管理机构先进或优秀表彰的得2分，最高得2分；投标时须提供获奖证书或表彰文件，否则不予计分。</w:t>
            </w:r>
          </w:p>
          <w:p>
            <w:pPr>
              <w:spacing w:line="360" w:lineRule="auto"/>
              <w:rPr>
                <w:rFonts w:ascii="宋体" w:hAnsi="宋体"/>
                <w:color w:val="auto"/>
              </w:rPr>
            </w:pPr>
            <w:r>
              <w:rPr>
                <w:rFonts w:hint="eastAsia" w:ascii="宋体" w:hAnsi="宋体"/>
                <w:color w:val="auto"/>
              </w:rPr>
              <w:t>2、项目组成员（6分）</w:t>
            </w:r>
          </w:p>
          <w:p>
            <w:pPr>
              <w:spacing w:line="360" w:lineRule="auto"/>
              <w:rPr>
                <w:rFonts w:ascii="宋体" w:hAnsi="宋体"/>
                <w:color w:val="auto"/>
              </w:rPr>
            </w:pPr>
            <w:r>
              <w:rPr>
                <w:rFonts w:hint="eastAsia" w:ascii="宋体" w:hAnsi="宋体"/>
                <w:color w:val="auto"/>
              </w:rPr>
              <w:t>①</w:t>
            </w:r>
            <w:r>
              <w:rPr>
                <w:rFonts w:ascii="宋体" w:hAnsi="宋体"/>
                <w:color w:val="auto"/>
              </w:rPr>
              <w:t>除项目负责人外，</w:t>
            </w:r>
            <w:r>
              <w:rPr>
                <w:rFonts w:hint="eastAsia" w:ascii="宋体" w:hAnsi="宋体"/>
                <w:color w:val="auto"/>
              </w:rPr>
              <w:t>符合招标公告要求的以外，每增加1个土建（或土木建筑）或具有安装一级注册造价工程师（旧版为注册造价工程师）的加2分，投标人需提供一级注册造价工程师注册证书原件彩色扫描件（或带二维码的电子件），否则不予计分。旧版注册造价工程师未体现专业的，还需提供造价师合格证书原件彩色扫描件，无法认定专业的不予认可，最高得6分。</w:t>
            </w:r>
          </w:p>
          <w:p>
            <w:pPr>
              <w:spacing w:line="360" w:lineRule="auto"/>
              <w:rPr>
                <w:rFonts w:ascii="宋体" w:hAnsi="宋体"/>
                <w:color w:val="auto"/>
              </w:rPr>
            </w:pPr>
            <w:r>
              <w:rPr>
                <w:rFonts w:hint="eastAsia" w:ascii="宋体" w:hAnsi="宋体"/>
                <w:color w:val="auto"/>
              </w:rPr>
              <w:t>注：</w:t>
            </w:r>
          </w:p>
          <w:p>
            <w:pPr>
              <w:spacing w:line="360" w:lineRule="auto"/>
              <w:rPr>
                <w:rFonts w:ascii="宋体" w:hAnsi="宋体"/>
                <w:color w:val="auto"/>
              </w:rPr>
            </w:pPr>
            <w:r>
              <w:rPr>
                <w:rFonts w:hint="eastAsia" w:ascii="宋体" w:hAnsi="宋体"/>
                <w:color w:val="auto"/>
              </w:rPr>
              <w:t>（1）提供拟派人员一览表并加盖投标人公章的彩色扫描件，未提供不得分；</w:t>
            </w:r>
          </w:p>
          <w:p>
            <w:pPr>
              <w:spacing w:line="360" w:lineRule="auto"/>
              <w:rPr>
                <w:color w:val="auto"/>
                <w:lang w:val="zh-CN"/>
              </w:rPr>
            </w:pPr>
            <w:r>
              <w:rPr>
                <w:rFonts w:hint="eastAsia" w:ascii="宋体" w:hAnsi="宋体"/>
                <w:color w:val="auto"/>
              </w:rPr>
              <w:t>（2）</w:t>
            </w:r>
            <w:r>
              <w:rPr>
                <w:rFonts w:ascii="宋体" w:hAnsi="宋体"/>
                <w:color w:val="auto"/>
              </w:rPr>
              <w:t>提供</w:t>
            </w:r>
            <w:r>
              <w:rPr>
                <w:rFonts w:hint="eastAsia" w:ascii="宋体" w:hAnsi="宋体"/>
                <w:color w:val="auto"/>
              </w:rPr>
              <w:t>拟派人员职称证书和</w:t>
            </w:r>
            <w:r>
              <w:rPr>
                <w:rFonts w:ascii="宋体" w:hAnsi="宋体"/>
                <w:color w:val="auto"/>
              </w:rPr>
              <w:t>资质证明</w:t>
            </w:r>
            <w:r>
              <w:rPr>
                <w:rFonts w:hint="eastAsia" w:ascii="宋体" w:hAnsi="宋体"/>
                <w:color w:val="auto"/>
              </w:rPr>
              <w:t>彩色扫描件，未提供不得分。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680" w:type="dxa"/>
            <w:vAlign w:val="center"/>
          </w:tcPr>
          <w:p>
            <w:pPr>
              <w:spacing w:line="480" w:lineRule="exact"/>
              <w:jc w:val="center"/>
              <w:rPr>
                <w:color w:val="auto"/>
                <w:szCs w:val="21"/>
                <w:lang w:val="zh-CN"/>
              </w:rPr>
            </w:pPr>
            <w:r>
              <w:rPr>
                <w:color w:val="auto"/>
                <w:szCs w:val="21"/>
                <w:lang w:val="zh-CN"/>
              </w:rPr>
              <w:t>3</w:t>
            </w:r>
          </w:p>
        </w:tc>
        <w:tc>
          <w:tcPr>
            <w:tcW w:w="1271" w:type="dxa"/>
            <w:vAlign w:val="center"/>
          </w:tcPr>
          <w:p>
            <w:pPr>
              <w:spacing w:line="480" w:lineRule="exact"/>
              <w:jc w:val="center"/>
              <w:rPr>
                <w:color w:val="auto"/>
                <w:szCs w:val="21"/>
                <w:lang w:val="zh-CN"/>
              </w:rPr>
            </w:pPr>
            <w:r>
              <w:rPr>
                <w:color w:val="auto"/>
                <w:szCs w:val="21"/>
              </w:rPr>
              <w:t>综合实力</w:t>
            </w:r>
          </w:p>
        </w:tc>
        <w:tc>
          <w:tcPr>
            <w:tcW w:w="851" w:type="dxa"/>
            <w:vAlign w:val="center"/>
          </w:tcPr>
          <w:p>
            <w:pPr>
              <w:spacing w:line="480" w:lineRule="exact"/>
              <w:jc w:val="center"/>
              <w:rPr>
                <w:color w:val="auto"/>
                <w:szCs w:val="21"/>
                <w:lang w:val="zh-CN"/>
              </w:rPr>
            </w:pPr>
            <w:r>
              <w:rPr>
                <w:rFonts w:hint="eastAsia"/>
                <w:color w:val="auto"/>
                <w:szCs w:val="21"/>
              </w:rPr>
              <w:t>6</w:t>
            </w:r>
            <w:r>
              <w:rPr>
                <w:color w:val="auto"/>
                <w:szCs w:val="21"/>
              </w:rPr>
              <w:t>分</w:t>
            </w:r>
          </w:p>
        </w:tc>
        <w:tc>
          <w:tcPr>
            <w:tcW w:w="7144" w:type="dxa"/>
            <w:vAlign w:val="center"/>
          </w:tcPr>
          <w:p>
            <w:pPr>
              <w:spacing w:line="360" w:lineRule="auto"/>
              <w:rPr>
                <w:rFonts w:ascii="宋体" w:hAnsi="宋体"/>
                <w:color w:val="auto"/>
              </w:rPr>
            </w:pPr>
            <w:r>
              <w:rPr>
                <w:rFonts w:hint="eastAsia" w:ascii="宋体" w:hAnsi="宋体"/>
                <w:color w:val="auto"/>
              </w:rPr>
              <w:t>1、</w:t>
            </w:r>
            <w:r>
              <w:rPr>
                <w:rFonts w:hint="eastAsia" w:ascii="宋体" w:hAnsi="宋体" w:cs="宋体"/>
                <w:color w:val="auto"/>
                <w:szCs w:val="21"/>
              </w:rPr>
              <w:t>投标人2020年1月1日以来（以合同签订时间为准）承担过单项施工合同金额达4800万元及以上的房屋建筑工程造价咨询业务（需同时包含</w:t>
            </w:r>
            <w:r>
              <w:rPr>
                <w:rFonts w:hint="eastAsia" w:ascii="宋体" w:hAnsi="宋体"/>
                <w:color w:val="auto"/>
              </w:rPr>
              <w:t>施工阶段跟踪审计及竣工结算</w:t>
            </w:r>
            <w:r>
              <w:rPr>
                <w:rFonts w:hint="eastAsia" w:ascii="宋体" w:hAnsi="宋体" w:cs="宋体"/>
                <w:color w:val="auto"/>
                <w:szCs w:val="21"/>
              </w:rPr>
              <w:t>）</w:t>
            </w:r>
            <w:r>
              <w:rPr>
                <w:rFonts w:hint="eastAsia" w:ascii="宋体" w:hAnsi="宋体"/>
                <w:color w:val="auto"/>
              </w:rPr>
              <w:t>，得3分</w:t>
            </w:r>
            <w:r>
              <w:rPr>
                <w:rFonts w:hint="eastAsia" w:ascii="宋体" w:hAnsi="宋体" w:cs="宋体"/>
                <w:color w:val="auto"/>
                <w:szCs w:val="21"/>
              </w:rPr>
              <w:t>。</w:t>
            </w:r>
          </w:p>
          <w:p>
            <w:pPr>
              <w:spacing w:line="360" w:lineRule="auto"/>
              <w:rPr>
                <w:rFonts w:ascii="宋体" w:hAnsi="宋体"/>
                <w:color w:val="auto"/>
              </w:rPr>
            </w:pPr>
            <w:r>
              <w:rPr>
                <w:rFonts w:hint="eastAsia" w:ascii="宋体" w:hAnsi="宋体"/>
                <w:color w:val="auto"/>
              </w:rPr>
              <w:t>投标时至少须提供造价咨询合同（协议书）、中标通知书以及在公共资源交易平台查询的中标结果公示截图。如提供的造价咨询合同（协议书）未能体现上述要求的相关指标、工作内容的，还须提供能反映相关指标、工作内容的其他证明材料原件彩色扫描件，如因内容不全面影响评分的后果自负，招标人不接受投标申请人主动提出的澄清、说明或补正。</w:t>
            </w:r>
          </w:p>
          <w:p>
            <w:pPr>
              <w:spacing w:line="360" w:lineRule="auto"/>
              <w:rPr>
                <w:color w:val="auto"/>
                <w:lang w:val="zh-CN"/>
              </w:rPr>
            </w:pPr>
            <w:r>
              <w:rPr>
                <w:rFonts w:hint="eastAsia" w:ascii="宋体" w:hAnsi="宋体"/>
                <w:color w:val="auto"/>
              </w:rPr>
              <w:t>2、投标人2020年1月1日以来获得地市级及以上工程造价管理机构最新信用等级评价最高等级（或先进表彰）的得3分，次高等级的得1分。提供相关文件。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680" w:type="dxa"/>
            <w:vAlign w:val="center"/>
          </w:tcPr>
          <w:p>
            <w:pPr>
              <w:spacing w:line="480" w:lineRule="exact"/>
              <w:jc w:val="center"/>
              <w:rPr>
                <w:color w:val="auto"/>
                <w:szCs w:val="21"/>
                <w:lang w:val="zh-CN"/>
              </w:rPr>
            </w:pPr>
            <w:r>
              <w:rPr>
                <w:color w:val="auto"/>
                <w:szCs w:val="21"/>
                <w:lang w:val="zh-CN"/>
              </w:rPr>
              <w:t>4</w:t>
            </w:r>
          </w:p>
        </w:tc>
        <w:tc>
          <w:tcPr>
            <w:tcW w:w="1271" w:type="dxa"/>
            <w:vAlign w:val="center"/>
          </w:tcPr>
          <w:p>
            <w:pPr>
              <w:spacing w:line="480" w:lineRule="exact"/>
              <w:jc w:val="center"/>
              <w:rPr>
                <w:color w:val="auto"/>
                <w:spacing w:val="6"/>
                <w:szCs w:val="21"/>
              </w:rPr>
            </w:pPr>
            <w:r>
              <w:rPr>
                <w:color w:val="auto"/>
                <w:szCs w:val="21"/>
              </w:rPr>
              <w:t>技术方案</w:t>
            </w:r>
          </w:p>
        </w:tc>
        <w:tc>
          <w:tcPr>
            <w:tcW w:w="851" w:type="dxa"/>
            <w:vAlign w:val="center"/>
          </w:tcPr>
          <w:p>
            <w:pPr>
              <w:spacing w:line="480" w:lineRule="exact"/>
              <w:jc w:val="center"/>
              <w:rPr>
                <w:color w:val="auto"/>
                <w:szCs w:val="21"/>
              </w:rPr>
            </w:pPr>
            <w:r>
              <w:rPr>
                <w:rFonts w:hint="eastAsia"/>
                <w:color w:val="auto"/>
                <w:szCs w:val="21"/>
              </w:rPr>
              <w:t>25分</w:t>
            </w:r>
          </w:p>
        </w:tc>
        <w:tc>
          <w:tcPr>
            <w:tcW w:w="7144" w:type="dxa"/>
            <w:vAlign w:val="center"/>
          </w:tcPr>
          <w:p>
            <w:pPr>
              <w:pStyle w:val="2"/>
              <w:spacing w:line="400" w:lineRule="exact"/>
              <w:rPr>
                <w:color w:val="auto"/>
              </w:rPr>
            </w:pPr>
            <w:r>
              <w:rPr>
                <w:rFonts w:hint="eastAsia"/>
                <w:color w:val="auto"/>
              </w:rPr>
              <w:t>1、服务范围、服务内容：评标委员会根据方案中的服务内容和服务范围是否全面细致、结合实际、满足招标文件要求等方面酌情打分，优秀的得5-4分，良好的得4-3分，一般的得3-1分，以</w:t>
            </w:r>
            <w:r>
              <w:rPr>
                <w:color w:val="auto"/>
              </w:rPr>
              <w:t>0.</w:t>
            </w:r>
            <w:r>
              <w:rPr>
                <w:rFonts w:hint="eastAsia"/>
                <w:color w:val="auto"/>
              </w:rPr>
              <w:t>1分为一个计分单位，未提供本项内容或内容不全的本项不得分。</w:t>
            </w:r>
          </w:p>
          <w:p>
            <w:pPr>
              <w:pStyle w:val="2"/>
              <w:spacing w:line="400" w:lineRule="exact"/>
              <w:rPr>
                <w:color w:val="auto"/>
              </w:rPr>
            </w:pPr>
            <w:r>
              <w:rPr>
                <w:rFonts w:hint="eastAsia"/>
                <w:color w:val="auto"/>
              </w:rPr>
              <w:t>2、工作程序和方法：评标委员会根据方案中的文字阐述、评价投标人跟踪审计工作指导思想正确、目标符合实际并符合招标文件要求、程序是否严谨、方法切实可行等方面酌情打分，优秀的得5-4分，良好的得4-3分，一般的得3-1分，以</w:t>
            </w:r>
            <w:r>
              <w:rPr>
                <w:color w:val="auto"/>
              </w:rPr>
              <w:t>0.</w:t>
            </w:r>
            <w:r>
              <w:rPr>
                <w:rFonts w:hint="eastAsia"/>
                <w:color w:val="auto"/>
              </w:rPr>
              <w:t>1分为一个计分单位，未提供本项内容或内容不全的本项不得分。</w:t>
            </w:r>
          </w:p>
          <w:p>
            <w:pPr>
              <w:pStyle w:val="2"/>
              <w:spacing w:line="400" w:lineRule="exact"/>
              <w:rPr>
                <w:color w:val="auto"/>
              </w:rPr>
            </w:pPr>
            <w:r>
              <w:rPr>
                <w:rFonts w:hint="eastAsia"/>
                <w:color w:val="auto"/>
              </w:rPr>
              <w:t>3、工程变更的核价：评标委员会根据方案中的变更价格的把控措施合理、实用、可操作等方面酌情打分，优秀的得5-4分，良好的得4-3分，一般的得3-1分，以</w:t>
            </w:r>
            <w:r>
              <w:rPr>
                <w:color w:val="auto"/>
              </w:rPr>
              <w:t>0.</w:t>
            </w:r>
            <w:r>
              <w:rPr>
                <w:rFonts w:hint="eastAsia"/>
                <w:color w:val="auto"/>
              </w:rPr>
              <w:t>1分为一个计分单位，未提供本项内容或内容不全的本项不得分。</w:t>
            </w:r>
          </w:p>
          <w:p>
            <w:pPr>
              <w:pStyle w:val="2"/>
              <w:spacing w:line="400" w:lineRule="exact"/>
              <w:rPr>
                <w:color w:val="auto"/>
              </w:rPr>
            </w:pPr>
            <w:r>
              <w:rPr>
                <w:rFonts w:hint="eastAsia"/>
                <w:color w:val="auto"/>
              </w:rPr>
              <w:t>4、重点难点分析：评标委员会根据方案中的文字阐述对跟踪审计工作重点难点的分析是否正确、采取的相应措施有效等方面酌情打分，优秀的得5-4分，良好的得4-3分，一般的得3-1分，以</w:t>
            </w:r>
            <w:r>
              <w:rPr>
                <w:color w:val="auto"/>
              </w:rPr>
              <w:t>0.</w:t>
            </w:r>
            <w:r>
              <w:rPr>
                <w:rFonts w:hint="eastAsia"/>
                <w:color w:val="auto"/>
              </w:rPr>
              <w:t>1分为一个计分单位，未提供本项内容或内容不全的本项不得分。</w:t>
            </w:r>
          </w:p>
          <w:p>
            <w:pPr>
              <w:pStyle w:val="2"/>
              <w:spacing w:line="400" w:lineRule="exact"/>
              <w:rPr>
                <w:color w:val="auto"/>
              </w:rPr>
            </w:pPr>
            <w:r>
              <w:rPr>
                <w:rFonts w:hint="eastAsia"/>
                <w:color w:val="auto"/>
              </w:rPr>
              <w:t>5、隐蔽工程的审核：评标委员会根据方案中的对隐蔽工程的审计方案是否合理、有条理等方面酌情打分，优秀的得5-4分，良好的得4-3分，一般的得3-1分，以</w:t>
            </w:r>
            <w:r>
              <w:rPr>
                <w:color w:val="auto"/>
              </w:rPr>
              <w:t>0.</w:t>
            </w:r>
            <w:r>
              <w:rPr>
                <w:rFonts w:hint="eastAsia"/>
                <w:color w:val="auto"/>
              </w:rPr>
              <w:t>1分为一个计分单位，未提供本项内容或内容不全的本项不得分。</w:t>
            </w:r>
          </w:p>
          <w:p>
            <w:pPr>
              <w:pStyle w:val="2"/>
              <w:spacing w:line="400" w:lineRule="exact"/>
              <w:rPr>
                <w:color w:val="auto"/>
              </w:rPr>
            </w:pPr>
            <w:r>
              <w:rPr>
                <w:rFonts w:hint="eastAsia"/>
                <w:color w:val="auto"/>
              </w:rPr>
              <w:t>技术方案不得超过80页，每超过1页扣0.1分。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680" w:type="dxa"/>
            <w:vAlign w:val="center"/>
          </w:tcPr>
          <w:p>
            <w:pPr>
              <w:spacing w:line="480" w:lineRule="exact"/>
              <w:jc w:val="center"/>
              <w:rPr>
                <w:color w:val="auto"/>
                <w:szCs w:val="21"/>
                <w:lang w:val="zh-CN"/>
              </w:rPr>
            </w:pPr>
            <w:r>
              <w:rPr>
                <w:rFonts w:hint="eastAsia"/>
                <w:color w:val="auto"/>
                <w:szCs w:val="21"/>
                <w:lang w:val="zh-CN"/>
              </w:rPr>
              <w:t>5</w:t>
            </w:r>
          </w:p>
        </w:tc>
        <w:tc>
          <w:tcPr>
            <w:tcW w:w="1271" w:type="dxa"/>
            <w:vAlign w:val="center"/>
          </w:tcPr>
          <w:p>
            <w:pPr>
              <w:spacing w:line="480" w:lineRule="exact"/>
              <w:jc w:val="center"/>
              <w:rPr>
                <w:color w:val="auto"/>
                <w:szCs w:val="21"/>
              </w:rPr>
            </w:pPr>
            <w:r>
              <w:rPr>
                <w:color w:val="auto"/>
                <w:szCs w:val="21"/>
              </w:rPr>
              <w:t>诚信投标</w:t>
            </w:r>
          </w:p>
        </w:tc>
        <w:tc>
          <w:tcPr>
            <w:tcW w:w="851" w:type="dxa"/>
            <w:vAlign w:val="center"/>
          </w:tcPr>
          <w:p>
            <w:pPr>
              <w:spacing w:line="480" w:lineRule="exact"/>
              <w:jc w:val="center"/>
              <w:rPr>
                <w:color w:val="auto"/>
                <w:szCs w:val="21"/>
              </w:rPr>
            </w:pPr>
            <w:r>
              <w:rPr>
                <w:color w:val="auto"/>
                <w:szCs w:val="21"/>
              </w:rPr>
              <w:t>1</w:t>
            </w:r>
            <w:r>
              <w:rPr>
                <w:rFonts w:hint="eastAsia"/>
                <w:color w:val="auto"/>
                <w:szCs w:val="21"/>
              </w:rPr>
              <w:t>分</w:t>
            </w:r>
          </w:p>
        </w:tc>
        <w:tc>
          <w:tcPr>
            <w:tcW w:w="7144" w:type="dxa"/>
            <w:vAlign w:val="center"/>
          </w:tcPr>
          <w:p>
            <w:pPr>
              <w:pStyle w:val="2"/>
              <w:spacing w:line="400" w:lineRule="exact"/>
              <w:rPr>
                <w:color w:val="auto"/>
              </w:rPr>
            </w:pPr>
            <w:r>
              <w:rPr>
                <w:color w:val="auto"/>
              </w:rPr>
              <w:t>投标人</w:t>
            </w:r>
            <w:r>
              <w:rPr>
                <w:rFonts w:hint="eastAsia"/>
                <w:color w:val="auto"/>
              </w:rPr>
              <w:t>提供盐城市大丰区政府招标采购供应商承诺书的，得1分</w:t>
            </w:r>
            <w:r>
              <w:rPr>
                <w:color w:val="auto"/>
              </w:rPr>
              <w:t>；没有提供的不得分。</w:t>
            </w:r>
          </w:p>
        </w:tc>
      </w:tr>
    </w:tbl>
    <w:p>
      <w:pPr>
        <w:rPr>
          <w:color w:val="auto"/>
        </w:rPr>
      </w:pPr>
    </w:p>
    <w:p>
      <w:pPr>
        <w:autoSpaceDE w:val="0"/>
        <w:autoSpaceDN w:val="0"/>
        <w:spacing w:line="400" w:lineRule="exact"/>
        <w:jc w:val="left"/>
        <w:rPr>
          <w:rFonts w:ascii="宋体" w:hAnsi="宋体" w:cs="宋体"/>
          <w:b/>
          <w:bCs/>
          <w:color w:val="auto"/>
          <w:kern w:val="0"/>
          <w:szCs w:val="21"/>
        </w:rPr>
      </w:pPr>
      <w:r>
        <w:rPr>
          <w:rFonts w:hint="eastAsia" w:ascii="宋体" w:hAnsi="宋体" w:cs="宋体"/>
          <w:b/>
          <w:color w:val="auto"/>
        </w:rPr>
        <w:t>注：</w:t>
      </w:r>
      <w:r>
        <w:rPr>
          <w:rFonts w:hint="eastAsia" w:ascii="宋体" w:hAnsi="宋体" w:cs="宋体"/>
          <w:b/>
          <w:bCs/>
          <w:color w:val="auto"/>
          <w:kern w:val="0"/>
          <w:szCs w:val="21"/>
        </w:rPr>
        <w:t xml:space="preserve"> 招标人有权在中标公示期间、签约前后等任何环节对相关资料的真实性进行核验，如发现提供虚假资料招标人将依法取消其中标资格。 </w:t>
      </w:r>
    </w:p>
    <w:p>
      <w:pPr>
        <w:spacing w:line="460" w:lineRule="exact"/>
        <w:ind w:firstLine="422" w:firstLineChars="200"/>
        <w:rPr>
          <w:rFonts w:ascii="宋体" w:hAnsi="宋体" w:cs="宋体"/>
          <w:color w:val="auto"/>
          <w:szCs w:val="21"/>
        </w:rPr>
      </w:pPr>
      <w:r>
        <w:rPr>
          <w:rFonts w:hint="eastAsia" w:ascii="宋体" w:hAnsi="宋体" w:cs="宋体"/>
          <w:b/>
          <w:bCs/>
          <w:color w:val="auto"/>
          <w:szCs w:val="21"/>
        </w:rPr>
        <w:t>3.评标程序</w:t>
      </w:r>
    </w:p>
    <w:p>
      <w:pPr>
        <w:spacing w:line="460" w:lineRule="exact"/>
        <w:ind w:firstLine="420" w:firstLineChars="200"/>
        <w:rPr>
          <w:rFonts w:ascii="宋体" w:hAnsi="宋体" w:cs="宋体"/>
          <w:color w:val="auto"/>
          <w:szCs w:val="21"/>
        </w:rPr>
      </w:pPr>
      <w:r>
        <w:rPr>
          <w:rFonts w:hint="eastAsia" w:ascii="宋体" w:hAnsi="宋体" w:cs="宋体"/>
          <w:color w:val="auto"/>
          <w:szCs w:val="21"/>
        </w:rPr>
        <w:t>3.1 评标准备</w:t>
      </w:r>
    </w:p>
    <w:p>
      <w:pPr>
        <w:spacing w:line="460" w:lineRule="exact"/>
        <w:ind w:firstLine="420" w:firstLineChars="200"/>
        <w:rPr>
          <w:rFonts w:ascii="宋体" w:hAnsi="宋体" w:cs="宋体"/>
          <w:color w:val="auto"/>
          <w:szCs w:val="21"/>
        </w:rPr>
      </w:pPr>
      <w:r>
        <w:rPr>
          <w:rFonts w:hint="eastAsia" w:ascii="宋体" w:hAnsi="宋体" w:cs="宋体"/>
          <w:color w:val="auto"/>
          <w:szCs w:val="21"/>
        </w:rPr>
        <w:t>3.1.1 评标委员会成员到达评标现场时应在签到表上签到（或通过门禁系统签到）以证明其出席。</w:t>
      </w:r>
    </w:p>
    <w:p>
      <w:pPr>
        <w:spacing w:line="460" w:lineRule="exact"/>
        <w:ind w:firstLine="420" w:firstLineChars="200"/>
        <w:rPr>
          <w:rFonts w:ascii="宋体" w:hAnsi="宋体" w:cs="宋体"/>
          <w:color w:val="auto"/>
          <w:szCs w:val="21"/>
        </w:rPr>
      </w:pPr>
      <w:r>
        <w:rPr>
          <w:rFonts w:hint="eastAsia" w:ascii="宋体" w:hAnsi="宋体" w:cs="宋体"/>
          <w:color w:val="auto"/>
          <w:szCs w:val="21"/>
        </w:rPr>
        <w:t>3.1.2 评标委员会成员首先推选一名评标委员会负责人，负责评标活动的组织领导工作。</w:t>
      </w:r>
    </w:p>
    <w:p>
      <w:pPr>
        <w:spacing w:line="460" w:lineRule="exact"/>
        <w:ind w:firstLine="420" w:firstLineChars="200"/>
        <w:rPr>
          <w:rFonts w:ascii="宋体" w:hAnsi="宋体" w:cs="宋体"/>
          <w:color w:val="auto"/>
          <w:szCs w:val="21"/>
        </w:rPr>
      </w:pPr>
      <w:r>
        <w:rPr>
          <w:rFonts w:hint="eastAsia" w:ascii="宋体" w:hAnsi="宋体" w:cs="宋体"/>
          <w:color w:val="auto"/>
          <w:szCs w:val="21"/>
        </w:rPr>
        <w:t>3.1.3 招标人或招标代理机构应向评标委员会提供评标所需的信息和数据。评标委员会负责人应组织评标委员会成员认真研究招标文件，未在招标文件中规定的标准和方法不得作为评标的依据。</w:t>
      </w:r>
    </w:p>
    <w:p>
      <w:pPr>
        <w:spacing w:line="460" w:lineRule="exact"/>
        <w:ind w:firstLine="420" w:firstLineChars="200"/>
        <w:rPr>
          <w:rFonts w:ascii="宋体" w:hAnsi="宋体" w:cs="宋体"/>
          <w:color w:val="auto"/>
          <w:szCs w:val="21"/>
        </w:rPr>
      </w:pPr>
      <w:r>
        <w:rPr>
          <w:rFonts w:hint="eastAsia" w:ascii="宋体" w:hAnsi="宋体" w:cs="宋体"/>
          <w:color w:val="auto"/>
          <w:szCs w:val="21"/>
        </w:rPr>
        <w:t>3.2 初步评审</w:t>
      </w:r>
    </w:p>
    <w:p>
      <w:pPr>
        <w:spacing w:line="460" w:lineRule="exact"/>
        <w:ind w:firstLine="420" w:firstLineChars="200"/>
        <w:rPr>
          <w:rFonts w:ascii="宋体" w:hAnsi="宋体" w:cs="宋体"/>
          <w:color w:val="auto"/>
          <w:szCs w:val="21"/>
        </w:rPr>
      </w:pPr>
      <w:r>
        <w:rPr>
          <w:rFonts w:hint="eastAsia" w:ascii="宋体" w:hAnsi="宋体" w:cs="宋体"/>
          <w:color w:val="auto"/>
          <w:szCs w:val="21"/>
        </w:rPr>
        <w:t>3.2.1评标委员会依据本章第2.1 款规定的标准对投标文件进行初步评审。</w:t>
      </w:r>
    </w:p>
    <w:p>
      <w:pPr>
        <w:spacing w:line="460" w:lineRule="exact"/>
        <w:ind w:firstLine="420" w:firstLineChars="200"/>
        <w:rPr>
          <w:rFonts w:ascii="宋体" w:hAnsi="宋体" w:cs="宋体"/>
          <w:color w:val="auto"/>
          <w:szCs w:val="21"/>
        </w:rPr>
      </w:pPr>
      <w:r>
        <w:rPr>
          <w:rFonts w:hint="eastAsia" w:ascii="宋体" w:hAnsi="宋体" w:cs="宋体"/>
          <w:color w:val="auto"/>
          <w:szCs w:val="21"/>
        </w:rPr>
        <w:t>3.2.2投标文件不符合本章第2.1款评审标准的，属于重大偏差，视为未能对招标文件作出实质性响应，应当作为无效投标予以否决。</w:t>
      </w:r>
    </w:p>
    <w:p>
      <w:pPr>
        <w:spacing w:line="460" w:lineRule="exact"/>
        <w:ind w:firstLine="420" w:firstLineChars="200"/>
        <w:rPr>
          <w:rFonts w:ascii="宋体" w:hAnsi="宋体" w:cs="宋体"/>
          <w:color w:val="auto"/>
          <w:szCs w:val="21"/>
        </w:rPr>
      </w:pPr>
      <w:r>
        <w:rPr>
          <w:rFonts w:hint="eastAsia" w:ascii="宋体" w:hAnsi="宋体" w:cs="宋体"/>
          <w:color w:val="auto"/>
          <w:szCs w:val="21"/>
        </w:rPr>
        <w:t>3.2.3对照投标人须知6.4款，投标文件有上述情况之一，视为未能对招标文件作出实质性响应，凡招标文件未明确标明无效标条款的，评标委员会不得作为判定无效投标的依据。</w:t>
      </w:r>
    </w:p>
    <w:p>
      <w:pPr>
        <w:spacing w:line="460" w:lineRule="exact"/>
        <w:ind w:firstLine="420" w:firstLineChars="200"/>
        <w:rPr>
          <w:rFonts w:ascii="宋体" w:hAnsi="宋体" w:cs="宋体"/>
          <w:color w:val="auto"/>
          <w:szCs w:val="21"/>
        </w:rPr>
      </w:pPr>
      <w:r>
        <w:rPr>
          <w:rFonts w:hint="eastAsia" w:ascii="宋体" w:hAnsi="宋体" w:cs="宋体"/>
          <w:color w:val="auto"/>
          <w:szCs w:val="21"/>
        </w:rPr>
        <w:t>3.2.4 投标报价有算术错误的，评标委员会按以下原则对投标报价进行修正，修正的价格经投标人书面确认后具有约束力。</w:t>
      </w:r>
    </w:p>
    <w:p>
      <w:pPr>
        <w:spacing w:line="460" w:lineRule="exact"/>
        <w:ind w:firstLine="420" w:firstLineChars="200"/>
        <w:rPr>
          <w:rFonts w:ascii="宋体" w:hAnsi="宋体" w:cs="宋体"/>
          <w:color w:val="auto"/>
          <w:szCs w:val="21"/>
        </w:rPr>
      </w:pPr>
      <w:r>
        <w:rPr>
          <w:rFonts w:hint="eastAsia" w:ascii="宋体" w:hAnsi="宋体" w:cs="宋体"/>
          <w:color w:val="auto"/>
          <w:szCs w:val="21"/>
        </w:rPr>
        <w:t>(1）投标文件中的大写金额与小写金额不一致的，以大写金额为准；</w:t>
      </w:r>
    </w:p>
    <w:p>
      <w:pPr>
        <w:spacing w:line="460" w:lineRule="exact"/>
        <w:ind w:firstLine="420" w:firstLineChars="200"/>
        <w:rPr>
          <w:rFonts w:ascii="宋体" w:hAnsi="宋体" w:cs="宋体"/>
          <w:color w:val="auto"/>
          <w:szCs w:val="21"/>
        </w:rPr>
      </w:pPr>
      <w:r>
        <w:rPr>
          <w:rFonts w:hint="eastAsia" w:ascii="宋体" w:hAnsi="宋体" w:cs="宋体"/>
          <w:color w:val="auto"/>
          <w:szCs w:val="21"/>
        </w:rPr>
        <w:t>(2）总价金额与依据单价计算出的结果不一致的，以单价金额为准修正总价，但单价金额小数点有明显错误的除外。</w:t>
      </w:r>
    </w:p>
    <w:p>
      <w:pPr>
        <w:spacing w:line="460" w:lineRule="exact"/>
        <w:ind w:firstLine="420" w:firstLineChars="200"/>
        <w:rPr>
          <w:rFonts w:ascii="宋体" w:hAnsi="宋体" w:cs="宋体"/>
          <w:color w:val="auto"/>
          <w:szCs w:val="21"/>
        </w:rPr>
      </w:pPr>
      <w:r>
        <w:rPr>
          <w:rFonts w:hint="eastAsia" w:ascii="宋体" w:hAnsi="宋体" w:cs="宋体"/>
          <w:color w:val="auto"/>
          <w:szCs w:val="21"/>
        </w:rPr>
        <w:t>3.2.5只有通过初步评审的投标文件才能进入详细评审。</w:t>
      </w:r>
    </w:p>
    <w:p>
      <w:pPr>
        <w:spacing w:line="460" w:lineRule="exact"/>
        <w:ind w:firstLine="420" w:firstLineChars="200"/>
        <w:rPr>
          <w:rFonts w:ascii="宋体" w:hAnsi="宋体" w:cs="宋体"/>
          <w:color w:val="auto"/>
          <w:szCs w:val="21"/>
        </w:rPr>
      </w:pPr>
      <w:r>
        <w:rPr>
          <w:rFonts w:hint="eastAsia" w:ascii="宋体" w:hAnsi="宋体" w:cs="宋体"/>
          <w:color w:val="auto"/>
          <w:szCs w:val="21"/>
        </w:rPr>
        <w:t>3.3 详细评审</w:t>
      </w:r>
    </w:p>
    <w:p>
      <w:pPr>
        <w:spacing w:line="460" w:lineRule="exact"/>
        <w:ind w:firstLine="420" w:firstLineChars="200"/>
        <w:rPr>
          <w:rFonts w:ascii="宋体" w:hAnsi="宋体" w:cs="宋体"/>
          <w:color w:val="auto"/>
          <w:szCs w:val="21"/>
        </w:rPr>
      </w:pPr>
      <w:r>
        <w:rPr>
          <w:rFonts w:hint="eastAsia" w:ascii="宋体" w:hAnsi="宋体" w:cs="宋体"/>
          <w:color w:val="auto"/>
          <w:szCs w:val="21"/>
        </w:rPr>
        <w:t>3.3.1 在详细评审发现符合“无效标书条款”的，应当作为无效投标予以否决，其投标报价亦不作为评标基准价的依据。</w:t>
      </w:r>
    </w:p>
    <w:p>
      <w:pPr>
        <w:spacing w:line="460" w:lineRule="exact"/>
        <w:ind w:firstLine="420" w:firstLineChars="200"/>
        <w:rPr>
          <w:rFonts w:ascii="宋体" w:hAnsi="宋体" w:cs="宋体"/>
          <w:color w:val="auto"/>
          <w:szCs w:val="21"/>
        </w:rPr>
      </w:pPr>
      <w:r>
        <w:rPr>
          <w:rFonts w:hint="eastAsia" w:ascii="宋体" w:hAnsi="宋体" w:cs="宋体"/>
          <w:color w:val="auto"/>
          <w:szCs w:val="21"/>
        </w:rPr>
        <w:t>3.3.2 评标委员会按本章第2.2款规定的量化因素和分值进行打分，并计算出综合评估得分。</w:t>
      </w:r>
    </w:p>
    <w:p>
      <w:pPr>
        <w:spacing w:line="460" w:lineRule="exact"/>
        <w:ind w:firstLine="420" w:firstLineChars="200"/>
        <w:rPr>
          <w:rFonts w:ascii="宋体" w:hAnsi="宋体" w:cs="宋体"/>
          <w:color w:val="auto"/>
          <w:szCs w:val="21"/>
        </w:rPr>
      </w:pPr>
      <w:r>
        <w:rPr>
          <w:rFonts w:hint="eastAsia" w:ascii="宋体" w:hAnsi="宋体" w:cs="宋体"/>
          <w:color w:val="auto"/>
          <w:szCs w:val="21"/>
        </w:rPr>
        <w:t>3.3.3 评分分值计算保留小数点后两位，小数点后第三位“四舍五入”。</w:t>
      </w:r>
    </w:p>
    <w:p>
      <w:pPr>
        <w:spacing w:line="460" w:lineRule="exact"/>
        <w:ind w:firstLine="420" w:firstLineChars="200"/>
        <w:rPr>
          <w:rFonts w:ascii="宋体" w:hAnsi="宋体" w:cs="宋体"/>
          <w:color w:val="auto"/>
          <w:szCs w:val="21"/>
        </w:rPr>
      </w:pPr>
      <w:r>
        <w:rPr>
          <w:rFonts w:hint="eastAsia" w:ascii="宋体" w:hAnsi="宋体" w:cs="宋体"/>
          <w:color w:val="auto"/>
          <w:szCs w:val="21"/>
        </w:rPr>
        <w:t>3.4 投标文件的澄清和补正</w:t>
      </w:r>
    </w:p>
    <w:p>
      <w:pPr>
        <w:spacing w:line="460" w:lineRule="exact"/>
        <w:ind w:firstLine="420" w:firstLineChars="200"/>
        <w:rPr>
          <w:rFonts w:ascii="宋体" w:hAnsi="宋体" w:cs="宋体"/>
          <w:color w:val="auto"/>
          <w:szCs w:val="21"/>
        </w:rPr>
      </w:pPr>
      <w:r>
        <w:rPr>
          <w:rFonts w:hint="eastAsia" w:ascii="宋体" w:hAnsi="宋体" w:cs="宋体"/>
          <w:color w:val="auto"/>
          <w:szCs w:val="21"/>
        </w:rPr>
        <w:t>3.4.1 在评标过程中，评标委员会可以书面形式要求投标人对所提交投标文件中不明确的内容进行书面澄清或说明，或者对细微偏差进行补正。评标委员会不接受投标人主动提出的澄清、说明或补正。</w:t>
      </w:r>
    </w:p>
    <w:p>
      <w:pPr>
        <w:spacing w:line="460" w:lineRule="exact"/>
        <w:ind w:firstLine="420" w:firstLineChars="200"/>
        <w:rPr>
          <w:rFonts w:ascii="宋体" w:hAnsi="宋体" w:cs="宋体"/>
          <w:color w:val="auto"/>
          <w:szCs w:val="21"/>
        </w:rPr>
      </w:pPr>
      <w:r>
        <w:rPr>
          <w:rFonts w:hint="eastAsia" w:ascii="宋体" w:hAnsi="宋体" w:cs="宋体"/>
          <w:color w:val="auto"/>
          <w:szCs w:val="21"/>
        </w:rPr>
        <w:t>3.4.2 澄清、说明和补正不得改变投标文件的实质性内容（算术性错误修正的除外）。投标人的书面澄清、说明和补正属于投标文件的组成部分。</w:t>
      </w:r>
    </w:p>
    <w:p>
      <w:pPr>
        <w:spacing w:line="460" w:lineRule="exact"/>
        <w:ind w:firstLine="420" w:firstLineChars="200"/>
        <w:rPr>
          <w:rFonts w:ascii="宋体" w:hAnsi="宋体" w:cs="宋体"/>
          <w:color w:val="auto"/>
          <w:szCs w:val="21"/>
        </w:rPr>
      </w:pPr>
      <w:r>
        <w:rPr>
          <w:rFonts w:hint="eastAsia" w:ascii="宋体" w:hAnsi="宋体" w:cs="宋体"/>
          <w:color w:val="auto"/>
          <w:szCs w:val="21"/>
        </w:rPr>
        <w:t>3.4.3 评标委员会对投标人提交的澄清、说明或补正有疑问的，可以要求投标人进一步澄清、说明或补正。</w:t>
      </w:r>
    </w:p>
    <w:p>
      <w:pPr>
        <w:spacing w:line="460" w:lineRule="exact"/>
        <w:ind w:firstLine="420" w:firstLineChars="200"/>
        <w:rPr>
          <w:rFonts w:ascii="宋体" w:hAnsi="宋体" w:cs="宋体"/>
          <w:color w:val="auto"/>
          <w:szCs w:val="21"/>
        </w:rPr>
      </w:pPr>
      <w:r>
        <w:rPr>
          <w:rFonts w:hint="eastAsia" w:ascii="宋体" w:hAnsi="宋体" w:cs="宋体"/>
          <w:color w:val="auto"/>
          <w:szCs w:val="21"/>
        </w:rPr>
        <w:t>3.5 推荐中标候选人或直接确定中标人</w:t>
      </w:r>
    </w:p>
    <w:p>
      <w:pPr>
        <w:spacing w:line="460" w:lineRule="exact"/>
        <w:ind w:firstLine="420" w:firstLineChars="200"/>
        <w:rPr>
          <w:rFonts w:ascii="宋体" w:hAnsi="宋体" w:cs="宋体"/>
          <w:color w:val="auto"/>
          <w:szCs w:val="21"/>
        </w:rPr>
      </w:pPr>
      <w:r>
        <w:rPr>
          <w:rFonts w:hint="eastAsia" w:ascii="宋体" w:hAnsi="宋体" w:cs="宋体"/>
          <w:color w:val="auto"/>
          <w:szCs w:val="21"/>
        </w:rPr>
        <w:t>3.5.1 除投标人须知前附表授权直接确定中标人外，评标委员会在推荐中标候选人时，应遵照以下原则:</w:t>
      </w:r>
    </w:p>
    <w:p>
      <w:pPr>
        <w:spacing w:line="460" w:lineRule="exact"/>
        <w:ind w:firstLine="420" w:firstLineChars="200"/>
        <w:rPr>
          <w:rFonts w:ascii="宋体" w:hAnsi="宋体" w:cs="宋体"/>
          <w:color w:val="auto"/>
          <w:szCs w:val="21"/>
        </w:rPr>
      </w:pPr>
      <w:r>
        <w:rPr>
          <w:rFonts w:hint="eastAsia" w:ascii="宋体" w:hAnsi="宋体" w:cs="宋体"/>
          <w:color w:val="auto"/>
          <w:szCs w:val="21"/>
        </w:rPr>
        <w:t>评标委员会按照最终得分由高至低的次序排列，并根据投标人须知前附表规定的中标候选人数量，将排序在前的投标人推荐为中标候选人。</w:t>
      </w:r>
    </w:p>
    <w:p>
      <w:pPr>
        <w:spacing w:line="460" w:lineRule="exact"/>
        <w:ind w:firstLine="420" w:firstLineChars="200"/>
        <w:rPr>
          <w:rFonts w:ascii="宋体" w:hAnsi="宋体" w:cs="宋体"/>
          <w:color w:val="auto"/>
          <w:szCs w:val="21"/>
        </w:rPr>
      </w:pPr>
      <w:r>
        <w:rPr>
          <w:rFonts w:hint="eastAsia" w:ascii="宋体" w:hAnsi="宋体" w:cs="宋体"/>
          <w:color w:val="auto"/>
          <w:szCs w:val="21"/>
        </w:rPr>
        <w:t xml:space="preserve">3.6 提交评标报告 </w:t>
      </w:r>
    </w:p>
    <w:p>
      <w:pPr>
        <w:spacing w:line="460" w:lineRule="exact"/>
        <w:ind w:firstLine="420" w:firstLineChars="200"/>
        <w:rPr>
          <w:rFonts w:ascii="宋体" w:hAnsi="宋体" w:cs="宋体"/>
          <w:color w:val="auto"/>
          <w:sz w:val="24"/>
        </w:rPr>
      </w:pPr>
      <w:r>
        <w:rPr>
          <w:rFonts w:hint="eastAsia" w:ascii="宋体" w:hAnsi="宋体" w:cs="宋体"/>
          <w:color w:val="auto"/>
          <w:szCs w:val="21"/>
        </w:rPr>
        <w:t>评标委员会完成评标后，应当向招标人提交书面评标报告。评标报告应当由全体评标委员会成员签字，并于评标结束时抄送有关行政监督部门。</w:t>
      </w:r>
    </w:p>
    <w:bookmarkEnd w:id="413"/>
    <w:bookmarkEnd w:id="414"/>
    <w:bookmarkEnd w:id="415"/>
    <w:bookmarkEnd w:id="416"/>
    <w:p>
      <w:pPr>
        <w:pStyle w:val="3"/>
        <w:spacing w:before="0" w:after="0" w:line="360" w:lineRule="auto"/>
        <w:rPr>
          <w:rFonts w:ascii="宋体" w:hAnsi="宋体"/>
          <w:color w:val="auto"/>
        </w:rPr>
      </w:pPr>
      <w:bookmarkStart w:id="417" w:name="_Toc508216951"/>
      <w:r>
        <w:rPr>
          <w:rFonts w:ascii="宋体" w:hAnsi="宋体"/>
          <w:b w:val="0"/>
          <w:bCs w:val="0"/>
          <w:color w:val="auto"/>
          <w:kern w:val="0"/>
          <w:sz w:val="24"/>
          <w:szCs w:val="24"/>
        </w:rPr>
        <w:br w:type="page"/>
      </w:r>
      <w:r>
        <w:rPr>
          <w:rFonts w:hint="eastAsia" w:ascii="宋体" w:hAnsi="宋体"/>
          <w:color w:val="auto"/>
        </w:rPr>
        <w:t>第四章  合同条款及格式</w:t>
      </w:r>
      <w:bookmarkEnd w:id="417"/>
      <w:bookmarkStart w:id="418" w:name="_Toc508216954"/>
      <w:bookmarkStart w:id="419" w:name="_Toc7525"/>
      <w:bookmarkStart w:id="420" w:name="_Toc397928630"/>
    </w:p>
    <w:p>
      <w:pPr>
        <w:pStyle w:val="3"/>
        <w:spacing w:line="430" w:lineRule="exact"/>
        <w:rPr>
          <w:color w:val="auto"/>
          <w:sz w:val="30"/>
          <w:szCs w:val="30"/>
        </w:rPr>
      </w:pPr>
      <w:bookmarkStart w:id="421" w:name="_Toc31665"/>
      <w:bookmarkStart w:id="422" w:name="_Toc468905456"/>
      <w:bookmarkStart w:id="423" w:name="_Toc464396166"/>
      <w:bookmarkStart w:id="424" w:name="_Toc2852"/>
      <w:bookmarkStart w:id="425" w:name="_Toc464395389"/>
      <w:r>
        <w:rPr>
          <w:rFonts w:hint="eastAsia"/>
          <w:color w:val="auto"/>
          <w:sz w:val="30"/>
          <w:szCs w:val="30"/>
        </w:rPr>
        <w:t>第一部分　协议书</w:t>
      </w:r>
      <w:bookmarkEnd w:id="421"/>
      <w:bookmarkEnd w:id="422"/>
      <w:bookmarkEnd w:id="423"/>
      <w:bookmarkEnd w:id="424"/>
      <w:bookmarkEnd w:id="425"/>
    </w:p>
    <w:p>
      <w:pPr>
        <w:pStyle w:val="146"/>
        <w:adjustRightInd/>
        <w:spacing w:line="360" w:lineRule="auto"/>
        <w:ind w:firstLine="420" w:firstLineChars="200"/>
        <w:rPr>
          <w:rFonts w:ascii="宋体" w:hAnsi="宋体" w:cs="宋体"/>
          <w:color w:val="auto"/>
        </w:rPr>
      </w:pPr>
      <w:bookmarkStart w:id="426" w:name="7"/>
      <w:r>
        <w:rPr>
          <w:rFonts w:hint="eastAsia" w:ascii="宋体" w:hAnsi="宋体" w:cs="宋体"/>
          <w:color w:val="auto"/>
        </w:rPr>
        <w:t>委托人（全称）：</w:t>
      </w:r>
    </w:p>
    <w:p>
      <w:pPr>
        <w:pStyle w:val="146"/>
        <w:adjustRightInd/>
        <w:spacing w:line="360" w:lineRule="auto"/>
        <w:ind w:firstLine="420" w:firstLineChars="200"/>
        <w:rPr>
          <w:rFonts w:ascii="宋体" w:hAnsi="宋体" w:cs="宋体"/>
          <w:color w:val="auto"/>
        </w:rPr>
      </w:pPr>
      <w:r>
        <w:rPr>
          <w:rFonts w:hint="eastAsia" w:ascii="宋体" w:hAnsi="宋体" w:cs="宋体"/>
          <w:color w:val="auto"/>
        </w:rPr>
        <w:t>咨询人（全称）：</w:t>
      </w:r>
    </w:p>
    <w:p>
      <w:pPr>
        <w:pStyle w:val="146"/>
        <w:adjustRightInd/>
        <w:spacing w:line="360" w:lineRule="auto"/>
        <w:ind w:firstLine="420" w:firstLineChars="200"/>
        <w:rPr>
          <w:rFonts w:ascii="宋体" w:hAnsi="宋体" w:cs="宋体"/>
          <w:color w:val="auto"/>
        </w:rPr>
      </w:pPr>
      <w:r>
        <w:rPr>
          <w:rFonts w:hint="eastAsia" w:ascii="宋体" w:hAnsi="宋体" w:cs="宋体"/>
          <w:color w:val="auto"/>
        </w:rPr>
        <w:t>根据《</w:t>
      </w:r>
      <w:r>
        <w:rPr>
          <w:color w:val="auto"/>
        </w:rPr>
        <w:fldChar w:fldCharType="begin"/>
      </w:r>
      <w:r>
        <w:rPr>
          <w:color w:val="auto"/>
        </w:rPr>
        <w:instrText xml:space="preserve"> HYPERLINK "javascript:SLC(21651,0)" </w:instrText>
      </w:r>
      <w:r>
        <w:rPr>
          <w:color w:val="auto"/>
        </w:rPr>
        <w:fldChar w:fldCharType="separate"/>
      </w:r>
      <w:r>
        <w:rPr>
          <w:rStyle w:val="176"/>
          <w:rFonts w:hint="eastAsia" w:ascii="宋体" w:hAnsi="宋体" w:cs="宋体"/>
          <w:color w:val="auto"/>
        </w:rPr>
        <w:t>中华人民共和国民法典</w:t>
      </w:r>
      <w:r>
        <w:rPr>
          <w:rStyle w:val="176"/>
          <w:rFonts w:hint="eastAsia" w:ascii="宋体" w:hAnsi="宋体" w:cs="宋体"/>
          <w:color w:val="auto"/>
        </w:rPr>
        <w:fldChar w:fldCharType="end"/>
      </w:r>
      <w:r>
        <w:rPr>
          <w:rFonts w:hint="eastAsia" w:ascii="宋体" w:hAnsi="宋体" w:cs="宋体"/>
          <w:color w:val="auto"/>
        </w:rPr>
        <w:t>》及其他有关法律、法规，遵循平等、自愿、公平和诚实信用的原则，双方就下述建设工程委托工程造价咨询与其他服务事项协商一致，订立本合同。</w:t>
      </w:r>
    </w:p>
    <w:p>
      <w:pPr>
        <w:spacing w:line="360" w:lineRule="auto"/>
        <w:ind w:firstLine="420" w:firstLineChars="200"/>
        <w:rPr>
          <w:rFonts w:ascii="宋体" w:hAnsi="宋体" w:eastAsia="Times New Roman" w:cs="宋体"/>
          <w:color w:val="auto"/>
          <w:kern w:val="0"/>
          <w:szCs w:val="21"/>
        </w:rPr>
      </w:pPr>
      <w:bookmarkStart w:id="427" w:name="_Toc464395390"/>
      <w:bookmarkStart w:id="428" w:name="_Toc464396167"/>
      <w:bookmarkStart w:id="429" w:name="_Toc468905457"/>
      <w:bookmarkStart w:id="430" w:name="_Toc419045056"/>
      <w:r>
        <w:rPr>
          <w:rFonts w:hint="eastAsia" w:eastAsia="Times New Roman"/>
          <w:b/>
          <w:color w:val="auto"/>
          <w:kern w:val="0"/>
          <w:szCs w:val="21"/>
        </w:rPr>
        <w:t>一、工程概况</w:t>
      </w:r>
      <w:bookmarkEnd w:id="427"/>
      <w:bookmarkEnd w:id="428"/>
      <w:bookmarkEnd w:id="429"/>
    </w:p>
    <w:p>
      <w:pPr>
        <w:spacing w:line="360" w:lineRule="auto"/>
        <w:ind w:firstLine="420" w:firstLineChars="200"/>
        <w:rPr>
          <w:rFonts w:ascii="宋体" w:hAnsi="宋体" w:cs="宋体"/>
          <w:color w:val="auto"/>
          <w:szCs w:val="21"/>
        </w:rPr>
      </w:pPr>
      <w:r>
        <w:rPr>
          <w:rFonts w:hint="eastAsia" w:ascii="宋体" w:hAnsi="宋体" w:cs="宋体"/>
          <w:color w:val="auto"/>
          <w:szCs w:val="21"/>
        </w:rPr>
        <w:t>1.工程名称：。</w:t>
      </w:r>
    </w:p>
    <w:p>
      <w:pPr>
        <w:spacing w:line="360" w:lineRule="auto"/>
        <w:ind w:firstLine="420" w:firstLineChars="200"/>
        <w:rPr>
          <w:rFonts w:ascii="宋体" w:hAnsi="宋体" w:cs="宋体"/>
          <w:color w:val="auto"/>
          <w:szCs w:val="21"/>
        </w:rPr>
      </w:pPr>
      <w:r>
        <w:rPr>
          <w:rFonts w:hint="eastAsia" w:ascii="宋体" w:hAnsi="宋体" w:cs="宋体"/>
          <w:color w:val="auto"/>
          <w:szCs w:val="21"/>
        </w:rPr>
        <w:t>2.工程地点：</w:t>
      </w:r>
      <w:bookmarkEnd w:id="430"/>
      <w:r>
        <w:rPr>
          <w:rFonts w:hint="eastAsia" w:ascii="宋体" w:hAnsi="宋体" w:cs="宋体"/>
          <w:color w:val="auto"/>
          <w:szCs w:val="21"/>
        </w:rPr>
        <w:t>。</w:t>
      </w:r>
    </w:p>
    <w:p>
      <w:pPr>
        <w:pStyle w:val="146"/>
        <w:adjustRightInd/>
        <w:spacing w:line="360" w:lineRule="auto"/>
        <w:ind w:firstLine="420" w:firstLineChars="200"/>
        <w:rPr>
          <w:rFonts w:ascii="宋体" w:hAnsi="宋体" w:cs="宋体"/>
          <w:color w:val="auto"/>
          <w:kern w:val="2"/>
        </w:rPr>
      </w:pPr>
      <w:r>
        <w:rPr>
          <w:rFonts w:hint="eastAsia" w:ascii="宋体" w:hAnsi="宋体" w:cs="宋体"/>
          <w:color w:val="auto"/>
          <w:kern w:val="2"/>
        </w:rPr>
        <w:t>3.工程规模：</w:t>
      </w:r>
    </w:p>
    <w:p>
      <w:pPr>
        <w:pStyle w:val="146"/>
        <w:adjustRightInd/>
        <w:spacing w:line="360" w:lineRule="auto"/>
        <w:ind w:firstLine="420" w:firstLineChars="200"/>
        <w:rPr>
          <w:rFonts w:ascii="宋体" w:hAnsi="宋体" w:cs="宋体"/>
          <w:color w:val="auto"/>
          <w:kern w:val="2"/>
        </w:rPr>
      </w:pPr>
      <w:r>
        <w:rPr>
          <w:rFonts w:hint="eastAsia" w:ascii="宋体" w:hAnsi="宋体" w:cs="宋体"/>
          <w:color w:val="auto"/>
          <w:kern w:val="2"/>
        </w:rPr>
        <w:t>4.投资金额：。</w:t>
      </w:r>
    </w:p>
    <w:p>
      <w:pPr>
        <w:pStyle w:val="146"/>
        <w:adjustRightInd/>
        <w:spacing w:line="360" w:lineRule="auto"/>
        <w:ind w:firstLine="420" w:firstLineChars="200"/>
        <w:rPr>
          <w:rFonts w:ascii="宋体" w:hAnsi="宋体" w:cs="宋体"/>
          <w:color w:val="auto"/>
          <w:kern w:val="2"/>
        </w:rPr>
      </w:pPr>
      <w:r>
        <w:rPr>
          <w:rFonts w:hint="eastAsia" w:ascii="宋体" w:hAnsi="宋体" w:cs="宋体"/>
          <w:color w:val="auto"/>
          <w:kern w:val="2"/>
        </w:rPr>
        <w:t>5.资金来源：</w:t>
      </w:r>
      <w:r>
        <w:rPr>
          <w:rFonts w:hint="eastAsia" w:ascii="宋体" w:hAnsi="宋体" w:cs="宋体"/>
          <w:color w:val="auto"/>
          <w:kern w:val="2"/>
          <w:u w:val="single"/>
        </w:rPr>
        <w:t xml:space="preserve">     自筹      </w:t>
      </w:r>
      <w:r>
        <w:rPr>
          <w:rFonts w:hint="eastAsia" w:ascii="宋体" w:hAnsi="宋体" w:cs="宋体"/>
          <w:color w:val="auto"/>
          <w:kern w:val="2"/>
        </w:rPr>
        <w:t>。</w:t>
      </w:r>
    </w:p>
    <w:p>
      <w:pPr>
        <w:pStyle w:val="146"/>
        <w:adjustRightInd/>
        <w:spacing w:line="360" w:lineRule="auto"/>
        <w:ind w:firstLine="420" w:firstLineChars="200"/>
        <w:rPr>
          <w:rFonts w:ascii="宋体" w:hAnsi="宋体" w:cs="宋体"/>
          <w:color w:val="auto"/>
          <w:kern w:val="2"/>
        </w:rPr>
      </w:pPr>
      <w:r>
        <w:rPr>
          <w:rFonts w:hint="eastAsia" w:ascii="宋体" w:hAnsi="宋体" w:cs="宋体"/>
          <w:color w:val="auto"/>
          <w:kern w:val="2"/>
        </w:rPr>
        <w:t>6.建设工期或周期：</w:t>
      </w:r>
      <w:r>
        <w:rPr>
          <w:rFonts w:hint="eastAsia" w:ascii="宋体" w:hAnsi="宋体" w:cs="宋体"/>
          <w:color w:val="auto"/>
          <w:kern w:val="2"/>
          <w:u w:val="single"/>
        </w:rPr>
        <w:t>A施工阶段全过程造价控制：从工程开工之日起至工程竣工验收合格之日止；B工程竣工结算审核</w:t>
      </w:r>
      <w:r>
        <w:rPr>
          <w:rFonts w:hint="eastAsia" w:ascii="宋体" w:hAnsi="宋体" w:cs="宋体"/>
          <w:color w:val="auto"/>
          <w:kern w:val="2"/>
        </w:rPr>
        <w:t>。</w:t>
      </w:r>
    </w:p>
    <w:p>
      <w:pPr>
        <w:pStyle w:val="146"/>
        <w:adjustRightInd/>
        <w:spacing w:line="360" w:lineRule="auto"/>
        <w:ind w:firstLine="420" w:firstLineChars="200"/>
        <w:rPr>
          <w:rFonts w:ascii="宋体" w:hAnsi="宋体" w:cs="宋体"/>
          <w:color w:val="auto"/>
          <w:kern w:val="2"/>
        </w:rPr>
      </w:pPr>
      <w:r>
        <w:rPr>
          <w:rFonts w:hint="eastAsia" w:ascii="宋体" w:hAnsi="宋体" w:cs="宋体"/>
          <w:color w:val="auto"/>
          <w:kern w:val="2"/>
        </w:rPr>
        <w:t>7.其他：</w:t>
      </w:r>
      <w:r>
        <w:rPr>
          <w:rFonts w:hint="eastAsia" w:ascii="宋体" w:hAnsi="宋体" w:cs="宋体"/>
          <w:color w:val="auto"/>
          <w:kern w:val="2"/>
          <w:u w:val="single"/>
        </w:rPr>
        <w:t xml:space="preserve">     /     </w:t>
      </w:r>
      <w:r>
        <w:rPr>
          <w:rFonts w:hint="eastAsia" w:ascii="宋体" w:hAnsi="宋体" w:cs="宋体"/>
          <w:color w:val="auto"/>
          <w:kern w:val="2"/>
          <w:u w:val="single"/>
        </w:rPr>
        <w:tab/>
      </w:r>
      <w:r>
        <w:rPr>
          <w:rFonts w:hint="eastAsia" w:ascii="宋体" w:hAnsi="宋体" w:cs="宋体"/>
          <w:color w:val="auto"/>
          <w:kern w:val="2"/>
        </w:rPr>
        <w:t>。</w:t>
      </w:r>
      <w:bookmarkEnd w:id="426"/>
    </w:p>
    <w:p>
      <w:pPr>
        <w:spacing w:line="360" w:lineRule="auto"/>
        <w:ind w:firstLine="422" w:firstLineChars="200"/>
        <w:rPr>
          <w:rStyle w:val="88"/>
          <w:rFonts w:ascii="宋体" w:hAnsi="宋体" w:cs="宋体"/>
          <w:color w:val="auto"/>
          <w:sz w:val="21"/>
          <w:szCs w:val="21"/>
        </w:rPr>
      </w:pPr>
      <w:bookmarkStart w:id="431" w:name="_Toc468905458"/>
      <w:bookmarkStart w:id="432" w:name="_Toc464395391"/>
      <w:bookmarkStart w:id="433" w:name="_Toc464396168"/>
      <w:bookmarkStart w:id="434" w:name="_Toc419045059"/>
      <w:r>
        <w:rPr>
          <w:rStyle w:val="88"/>
          <w:rFonts w:hint="eastAsia" w:ascii="宋体" w:hAnsi="宋体" w:cs="宋体"/>
          <w:color w:val="auto"/>
          <w:sz w:val="21"/>
          <w:szCs w:val="21"/>
        </w:rPr>
        <w:t>二、服务范围及工作内容</w:t>
      </w:r>
      <w:bookmarkEnd w:id="431"/>
      <w:bookmarkEnd w:id="432"/>
      <w:bookmarkEnd w:id="433"/>
      <w:bookmarkEnd w:id="434"/>
    </w:p>
    <w:p>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双方约定的服务范围及工作内容。</w:t>
      </w:r>
    </w:p>
    <w:p>
      <w:pPr>
        <w:spacing w:line="360" w:lineRule="auto"/>
        <w:ind w:firstLine="422" w:firstLineChars="200"/>
        <w:rPr>
          <w:rStyle w:val="88"/>
          <w:rFonts w:ascii="宋体" w:hAnsi="宋体" w:cs="宋体"/>
          <w:color w:val="auto"/>
          <w:sz w:val="21"/>
          <w:szCs w:val="21"/>
        </w:rPr>
      </w:pPr>
      <w:bookmarkStart w:id="435" w:name="_Toc419045060"/>
      <w:bookmarkStart w:id="436" w:name="_Toc464395392"/>
      <w:bookmarkStart w:id="437" w:name="_Toc468905459"/>
      <w:bookmarkStart w:id="438" w:name="_Toc464396169"/>
      <w:bookmarkStart w:id="439" w:name="9"/>
      <w:r>
        <w:rPr>
          <w:rStyle w:val="88"/>
          <w:rFonts w:hint="eastAsia" w:ascii="宋体" w:hAnsi="宋体" w:cs="宋体"/>
          <w:color w:val="auto"/>
          <w:sz w:val="21"/>
          <w:szCs w:val="21"/>
        </w:rPr>
        <w:t>三、服务期限</w:t>
      </w:r>
      <w:bookmarkEnd w:id="435"/>
      <w:bookmarkEnd w:id="436"/>
      <w:bookmarkEnd w:id="437"/>
      <w:bookmarkEnd w:id="438"/>
    </w:p>
    <w:bookmarkEnd w:id="439"/>
    <w:p>
      <w:pPr>
        <w:spacing w:line="360" w:lineRule="auto"/>
        <w:ind w:firstLine="420" w:firstLineChars="200"/>
        <w:rPr>
          <w:rFonts w:ascii="宋体" w:hAnsi="宋体" w:cs="宋体"/>
          <w:color w:val="auto"/>
          <w:szCs w:val="21"/>
        </w:rPr>
      </w:pPr>
      <w:bookmarkStart w:id="440" w:name="_Toc468905460"/>
      <w:bookmarkStart w:id="441" w:name="_Toc419045061"/>
      <w:bookmarkStart w:id="442" w:name="_Toc464395393"/>
      <w:bookmarkStart w:id="443" w:name="_Toc464396170"/>
      <w:r>
        <w:rPr>
          <w:rFonts w:hint="eastAsia" w:ascii="宋体" w:hAnsi="宋体" w:eastAsia="Times New Roman" w:cs="宋体"/>
          <w:color w:val="auto"/>
          <w:szCs w:val="21"/>
        </w:rPr>
        <w:t>①进场时间：合同签订后5个工作日内。②施工阶段服务结束时间：自施工单位进场之日起至工程结算审计结束，在服务期间定期编制跟踪审计月度、季度、半年度情况报告，最终按招标人要求提交完整的咨询成果文件。③工程竣工结算审核（需建设单位确认）：施工单位提交竣工结算报告后</w:t>
      </w:r>
      <w:r>
        <w:rPr>
          <w:rFonts w:hint="eastAsia" w:ascii="宋体" w:hAnsi="宋体" w:cs="宋体" w:eastAsiaTheme="minorEastAsia"/>
          <w:color w:val="auto"/>
          <w:szCs w:val="21"/>
        </w:rPr>
        <w:t>三</w:t>
      </w:r>
      <w:r>
        <w:rPr>
          <w:rFonts w:hint="eastAsia" w:ascii="宋体" w:hAnsi="宋体" w:eastAsia="Times New Roman" w:cs="宋体"/>
          <w:color w:val="auto"/>
          <w:szCs w:val="21"/>
        </w:rPr>
        <w:t>个月内。</w:t>
      </w:r>
      <w:r>
        <w:rPr>
          <w:rFonts w:hint="eastAsia" w:ascii="宋体" w:hAnsi="宋体" w:cs="宋体"/>
          <w:color w:val="auto"/>
          <w:szCs w:val="21"/>
        </w:rPr>
        <w:t xml:space="preserve">    </w:t>
      </w:r>
    </w:p>
    <w:p>
      <w:pPr>
        <w:spacing w:line="360" w:lineRule="auto"/>
        <w:ind w:firstLine="422" w:firstLineChars="200"/>
        <w:rPr>
          <w:rStyle w:val="88"/>
          <w:rFonts w:ascii="宋体" w:hAnsi="宋体" w:cs="宋体"/>
          <w:color w:val="auto"/>
          <w:sz w:val="21"/>
          <w:szCs w:val="21"/>
        </w:rPr>
      </w:pPr>
      <w:r>
        <w:rPr>
          <w:rStyle w:val="88"/>
          <w:rFonts w:hint="eastAsia" w:ascii="宋体" w:hAnsi="宋体" w:cs="宋体"/>
          <w:color w:val="auto"/>
          <w:sz w:val="21"/>
          <w:szCs w:val="21"/>
        </w:rPr>
        <w:t>四、质量标准</w:t>
      </w:r>
      <w:bookmarkEnd w:id="440"/>
      <w:bookmarkEnd w:id="441"/>
      <w:bookmarkEnd w:id="442"/>
      <w:bookmarkEnd w:id="443"/>
    </w:p>
    <w:p>
      <w:pPr>
        <w:spacing w:line="360" w:lineRule="auto"/>
        <w:ind w:firstLine="420" w:firstLineChars="200"/>
        <w:rPr>
          <w:rFonts w:ascii="宋体" w:hAnsi="宋体" w:cs="宋体"/>
          <w:color w:val="auto"/>
          <w:szCs w:val="21"/>
        </w:rPr>
      </w:pPr>
      <w:r>
        <w:rPr>
          <w:rFonts w:hint="eastAsia" w:ascii="宋体" w:hAnsi="宋体" w:cs="宋体"/>
          <w:color w:val="auto"/>
          <w:szCs w:val="21"/>
        </w:rPr>
        <w:t>工程造价咨询成果文件应符合：</w:t>
      </w:r>
    </w:p>
    <w:p>
      <w:pPr>
        <w:spacing w:line="360" w:lineRule="auto"/>
        <w:ind w:firstLine="420" w:firstLineChars="200"/>
        <w:rPr>
          <w:rFonts w:ascii="宋体" w:hAnsi="宋体" w:cs="宋体"/>
          <w:color w:val="auto"/>
          <w:szCs w:val="21"/>
        </w:rPr>
      </w:pPr>
      <w:r>
        <w:rPr>
          <w:rFonts w:hint="eastAsia" w:ascii="宋体" w:hAnsi="宋体" w:cs="宋体"/>
          <w:color w:val="auto"/>
          <w:szCs w:val="21"/>
          <w:u w:val="single"/>
        </w:rPr>
        <w:t>现行国家或行业有关规定、标准、规范的要求</w:t>
      </w:r>
      <w:r>
        <w:rPr>
          <w:rFonts w:hint="eastAsia" w:ascii="宋体" w:hAnsi="宋体" w:cs="宋体"/>
          <w:color w:val="auto"/>
          <w:szCs w:val="21"/>
        </w:rPr>
        <w:t>_。</w:t>
      </w:r>
    </w:p>
    <w:p>
      <w:pPr>
        <w:spacing w:line="360" w:lineRule="auto"/>
        <w:ind w:firstLine="422" w:firstLineChars="200"/>
        <w:rPr>
          <w:rStyle w:val="88"/>
          <w:rFonts w:ascii="宋体" w:hAnsi="宋体" w:cs="宋体"/>
          <w:color w:val="auto"/>
          <w:sz w:val="21"/>
          <w:szCs w:val="21"/>
        </w:rPr>
      </w:pPr>
      <w:bookmarkStart w:id="444" w:name="_Toc464396171"/>
      <w:bookmarkStart w:id="445" w:name="_Toc419045062"/>
      <w:bookmarkStart w:id="446" w:name="_Toc464395394"/>
      <w:bookmarkStart w:id="447" w:name="_Toc468905461"/>
      <w:bookmarkStart w:id="448" w:name="12"/>
      <w:r>
        <w:rPr>
          <w:rStyle w:val="88"/>
          <w:rFonts w:hint="eastAsia" w:ascii="宋体" w:hAnsi="宋体" w:cs="宋体"/>
          <w:color w:val="auto"/>
          <w:sz w:val="21"/>
          <w:szCs w:val="21"/>
        </w:rPr>
        <w:t>五、酬金或计取方式</w:t>
      </w:r>
      <w:bookmarkEnd w:id="444"/>
      <w:bookmarkEnd w:id="445"/>
      <w:bookmarkEnd w:id="446"/>
      <w:bookmarkEnd w:id="447"/>
    </w:p>
    <w:p>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1.酬金：</w:t>
      </w:r>
      <w:r>
        <w:rPr>
          <w:rFonts w:hint="eastAsia" w:ascii="宋体" w:hAnsi="宋体" w:cs="宋体"/>
          <w:color w:val="auto"/>
          <w:szCs w:val="21"/>
          <w:u w:val="single"/>
        </w:rPr>
        <w:t>按以下约定的计取方式计酬。</w:t>
      </w:r>
    </w:p>
    <w:p>
      <w:pPr>
        <w:spacing w:line="360" w:lineRule="auto"/>
        <w:ind w:firstLine="420" w:firstLineChars="200"/>
        <w:rPr>
          <w:rFonts w:ascii="宋体" w:hAnsi="宋体"/>
          <w:color w:val="auto"/>
          <w:szCs w:val="21"/>
        </w:rPr>
      </w:pPr>
      <w:r>
        <w:rPr>
          <w:rFonts w:hint="eastAsia" w:ascii="宋体" w:hAnsi="宋体" w:cs="宋体"/>
          <w:color w:val="auto"/>
          <w:szCs w:val="21"/>
        </w:rPr>
        <w:t>2.计取方式：</w:t>
      </w:r>
      <w:r>
        <w:rPr>
          <w:rFonts w:hint="eastAsia" w:ascii="宋体" w:hAnsi="宋体"/>
          <w:color w:val="auto"/>
          <w:szCs w:val="21"/>
          <w:u w:val="single"/>
        </w:rPr>
        <w:t>苏价服苏建价协（2022）7号计费标准</w:t>
      </w:r>
      <w:r>
        <w:rPr>
          <w:rFonts w:hint="eastAsia" w:ascii="宋体" w:hAnsi="宋体"/>
          <w:color w:val="auto"/>
          <w:szCs w:val="21"/>
        </w:rPr>
        <w:t xml:space="preserve">× </w:t>
      </w:r>
      <w:r>
        <w:rPr>
          <w:rFonts w:hint="eastAsia" w:ascii="宋体" w:hAnsi="宋体"/>
          <w:color w:val="auto"/>
          <w:szCs w:val="21"/>
          <w:u w:val="single"/>
        </w:rPr>
        <w:t xml:space="preserve">中标费率 </w:t>
      </w:r>
      <w:r>
        <w:rPr>
          <w:rFonts w:hint="eastAsia" w:ascii="宋体" w:hAnsi="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3.费用支付：</w:t>
      </w:r>
    </w:p>
    <w:p>
      <w:pPr>
        <w:spacing w:line="360" w:lineRule="auto"/>
        <w:ind w:firstLine="420" w:firstLineChars="200"/>
        <w:rPr>
          <w:rFonts w:ascii="宋体" w:hAnsi="宋体" w:cs="宋体"/>
          <w:color w:val="auto"/>
          <w:szCs w:val="21"/>
        </w:rPr>
      </w:pPr>
      <w:r>
        <w:rPr>
          <w:rFonts w:hint="eastAsia" w:ascii="宋体" w:hAnsi="宋体" w:cs="宋体"/>
          <w:color w:val="auto"/>
          <w:szCs w:val="21"/>
          <w:u w:val="single"/>
        </w:rPr>
        <w:t xml:space="preserve">详见招标文件投标须知 </w:t>
      </w:r>
    </w:p>
    <w:p>
      <w:pPr>
        <w:spacing w:line="360" w:lineRule="auto"/>
        <w:ind w:firstLine="420" w:firstLineChars="200"/>
        <w:rPr>
          <w:rFonts w:ascii="宋体" w:hAnsi="宋体" w:cs="宋体"/>
          <w:bCs/>
          <w:smallCaps/>
          <w:color w:val="auto"/>
          <w:szCs w:val="21"/>
        </w:rPr>
      </w:pPr>
      <w:r>
        <w:rPr>
          <w:rFonts w:hint="eastAsia" w:ascii="宋体" w:hAnsi="宋体" w:cs="宋体"/>
          <w:bCs/>
          <w:smallCaps/>
          <w:color w:val="auto"/>
          <w:szCs w:val="21"/>
        </w:rPr>
        <w:t>酬金或计取方式详见附录A。</w:t>
      </w:r>
    </w:p>
    <w:p>
      <w:pPr>
        <w:spacing w:line="360" w:lineRule="auto"/>
        <w:ind w:firstLine="422" w:firstLineChars="200"/>
        <w:rPr>
          <w:rStyle w:val="88"/>
          <w:rFonts w:ascii="宋体" w:hAnsi="宋体" w:cs="宋体"/>
          <w:color w:val="auto"/>
          <w:sz w:val="21"/>
          <w:szCs w:val="21"/>
        </w:rPr>
      </w:pPr>
      <w:bookmarkStart w:id="449" w:name="_Toc468905462"/>
      <w:bookmarkStart w:id="450" w:name="_Toc464396172"/>
      <w:bookmarkStart w:id="451" w:name="_Toc419045058"/>
      <w:bookmarkStart w:id="452" w:name="_Toc464395395"/>
      <w:r>
        <w:rPr>
          <w:rStyle w:val="88"/>
          <w:rFonts w:hint="eastAsia" w:ascii="宋体" w:hAnsi="宋体" w:cs="宋体"/>
          <w:color w:val="auto"/>
          <w:sz w:val="21"/>
          <w:szCs w:val="21"/>
        </w:rPr>
        <w:t>六、合同文件的构成</w:t>
      </w:r>
      <w:bookmarkEnd w:id="449"/>
      <w:bookmarkEnd w:id="450"/>
      <w:bookmarkEnd w:id="451"/>
      <w:bookmarkEnd w:id="452"/>
    </w:p>
    <w:p>
      <w:pPr>
        <w:pStyle w:val="146"/>
        <w:adjustRightInd/>
        <w:spacing w:line="360" w:lineRule="auto"/>
        <w:ind w:firstLine="420" w:firstLineChars="200"/>
        <w:rPr>
          <w:rFonts w:ascii="宋体" w:hAnsi="宋体" w:cs="宋体"/>
          <w:color w:val="auto"/>
        </w:rPr>
      </w:pPr>
      <w:r>
        <w:rPr>
          <w:rFonts w:hint="eastAsia" w:ascii="宋体" w:hAnsi="宋体" w:cs="宋体"/>
          <w:color w:val="auto"/>
        </w:rPr>
        <w:t>本协议书与下列文件一起构成合同文件:</w:t>
      </w:r>
    </w:p>
    <w:p>
      <w:pPr>
        <w:pStyle w:val="146"/>
        <w:adjustRightInd/>
        <w:spacing w:line="360" w:lineRule="auto"/>
        <w:ind w:firstLine="420" w:firstLineChars="200"/>
        <w:rPr>
          <w:rFonts w:ascii="宋体" w:hAnsi="宋体" w:cs="宋体"/>
          <w:color w:val="auto"/>
        </w:rPr>
      </w:pPr>
      <w:r>
        <w:rPr>
          <w:rFonts w:hint="eastAsia" w:ascii="宋体" w:hAnsi="宋体" w:cs="宋体"/>
          <w:color w:val="auto"/>
        </w:rPr>
        <w:t>1.中标通知书或委托书（如果有）；</w:t>
      </w:r>
    </w:p>
    <w:p>
      <w:pPr>
        <w:pStyle w:val="146"/>
        <w:adjustRightInd/>
        <w:spacing w:line="360" w:lineRule="auto"/>
        <w:ind w:firstLine="420" w:firstLineChars="200"/>
        <w:rPr>
          <w:rFonts w:ascii="宋体" w:hAnsi="宋体" w:cs="宋体"/>
          <w:color w:val="auto"/>
        </w:rPr>
      </w:pPr>
      <w:r>
        <w:rPr>
          <w:rFonts w:hint="eastAsia" w:ascii="宋体" w:hAnsi="宋体" w:cs="宋体"/>
          <w:color w:val="auto"/>
        </w:rPr>
        <w:t>2.投标函及投标函附录或造价咨询服务建议书（如果有）；</w:t>
      </w:r>
    </w:p>
    <w:p>
      <w:pPr>
        <w:pStyle w:val="146"/>
        <w:adjustRightInd/>
        <w:spacing w:line="360" w:lineRule="auto"/>
        <w:ind w:firstLine="420" w:firstLineChars="200"/>
        <w:rPr>
          <w:rFonts w:ascii="宋体" w:hAnsi="宋体" w:cs="宋体"/>
          <w:color w:val="auto"/>
        </w:rPr>
      </w:pPr>
      <w:r>
        <w:rPr>
          <w:rFonts w:hint="eastAsia" w:ascii="宋体" w:hAnsi="宋体" w:cs="宋体"/>
          <w:color w:val="auto"/>
        </w:rPr>
        <w:t>3.专用条件及附录；</w:t>
      </w:r>
    </w:p>
    <w:p>
      <w:pPr>
        <w:pStyle w:val="146"/>
        <w:adjustRightInd/>
        <w:spacing w:line="360" w:lineRule="auto"/>
        <w:ind w:firstLine="420" w:firstLineChars="200"/>
        <w:rPr>
          <w:rFonts w:ascii="宋体" w:hAnsi="宋体" w:cs="宋体"/>
          <w:color w:val="auto"/>
        </w:rPr>
      </w:pPr>
      <w:r>
        <w:rPr>
          <w:rFonts w:hint="eastAsia" w:ascii="宋体" w:hAnsi="宋体" w:cs="宋体"/>
          <w:color w:val="auto"/>
        </w:rPr>
        <w:t>4.通用条件；</w:t>
      </w:r>
    </w:p>
    <w:p>
      <w:pPr>
        <w:pStyle w:val="146"/>
        <w:adjustRightInd/>
        <w:spacing w:line="360" w:lineRule="auto"/>
        <w:ind w:firstLine="420" w:firstLineChars="200"/>
        <w:rPr>
          <w:rFonts w:ascii="宋体" w:hAnsi="宋体" w:cs="宋体"/>
          <w:color w:val="auto"/>
        </w:rPr>
      </w:pPr>
      <w:r>
        <w:rPr>
          <w:rFonts w:hint="eastAsia" w:ascii="宋体" w:hAnsi="宋体" w:cs="宋体"/>
          <w:color w:val="auto"/>
        </w:rPr>
        <w:t>5.其他合同文件。</w:t>
      </w:r>
    </w:p>
    <w:p>
      <w:pPr>
        <w:pStyle w:val="146"/>
        <w:adjustRightInd/>
        <w:spacing w:line="360" w:lineRule="auto"/>
        <w:ind w:firstLine="420" w:firstLineChars="200"/>
        <w:jc w:val="left"/>
        <w:rPr>
          <w:rFonts w:ascii="宋体" w:hAnsi="宋体" w:cs="宋体"/>
          <w:color w:val="auto"/>
        </w:rPr>
      </w:pPr>
      <w:r>
        <w:rPr>
          <w:rFonts w:hint="eastAsia" w:ascii="宋体" w:hAnsi="宋体" w:cs="宋体"/>
          <w:color w:val="auto"/>
        </w:rPr>
        <w:t>上述各项合同文件包括合同当事人就该项合同文件所作出的补充和修改，属于同一类内容的文件，应以最新签署的为准。</w:t>
      </w:r>
    </w:p>
    <w:p>
      <w:pPr>
        <w:pStyle w:val="146"/>
        <w:adjustRightInd/>
        <w:spacing w:line="360" w:lineRule="auto"/>
        <w:ind w:firstLine="420" w:firstLineChars="200"/>
        <w:jc w:val="left"/>
        <w:rPr>
          <w:rFonts w:ascii="宋体" w:hAnsi="宋体" w:cs="宋体"/>
          <w:color w:val="auto"/>
        </w:rPr>
      </w:pPr>
      <w:r>
        <w:rPr>
          <w:rFonts w:hint="eastAsia" w:ascii="宋体" w:hAnsi="宋体" w:cs="宋体"/>
          <w:color w:val="auto"/>
        </w:rPr>
        <w:t>在合同订立及履行过程中形成的与合同有关的文件（包括补充协议）均构成合同文件的组成部分。</w:t>
      </w:r>
    </w:p>
    <w:p>
      <w:pPr>
        <w:pStyle w:val="45"/>
        <w:adjustRightInd/>
        <w:spacing w:before="0" w:after="0" w:line="360" w:lineRule="auto"/>
        <w:ind w:firstLine="420" w:firstLineChars="200"/>
        <w:jc w:val="left"/>
        <w:rPr>
          <w:rStyle w:val="88"/>
          <w:rFonts w:ascii="宋体" w:hAnsi="宋体" w:cs="宋体"/>
          <w:b w:val="0"/>
          <w:color w:val="auto"/>
          <w:sz w:val="21"/>
          <w:szCs w:val="21"/>
        </w:rPr>
      </w:pPr>
      <w:bookmarkStart w:id="453" w:name="_Toc419045057"/>
      <w:bookmarkStart w:id="454" w:name="_Toc468905463"/>
      <w:bookmarkStart w:id="455" w:name="_Toc464395396"/>
      <w:bookmarkStart w:id="456" w:name="_Toc464396173"/>
      <w:r>
        <w:rPr>
          <w:rStyle w:val="88"/>
          <w:rFonts w:hint="eastAsia" w:ascii="宋体" w:hAnsi="宋体" w:cs="宋体"/>
          <w:b w:val="0"/>
          <w:color w:val="auto"/>
          <w:kern w:val="2"/>
          <w:sz w:val="21"/>
          <w:szCs w:val="21"/>
        </w:rPr>
        <w:t>七、</w:t>
      </w:r>
      <w:bookmarkStart w:id="457" w:name="8"/>
      <w:r>
        <w:rPr>
          <w:rStyle w:val="88"/>
          <w:rFonts w:hint="eastAsia" w:ascii="宋体" w:hAnsi="宋体" w:cs="宋体"/>
          <w:b w:val="0"/>
          <w:color w:val="auto"/>
          <w:kern w:val="2"/>
          <w:sz w:val="21"/>
          <w:szCs w:val="21"/>
        </w:rPr>
        <w:t>词语</w:t>
      </w:r>
      <w:bookmarkEnd w:id="453"/>
      <w:r>
        <w:rPr>
          <w:rStyle w:val="88"/>
          <w:rFonts w:hint="eastAsia" w:ascii="宋体" w:hAnsi="宋体" w:cs="宋体"/>
          <w:b w:val="0"/>
          <w:color w:val="auto"/>
          <w:kern w:val="2"/>
          <w:sz w:val="21"/>
          <w:szCs w:val="21"/>
        </w:rPr>
        <w:t>定义</w:t>
      </w:r>
      <w:bookmarkEnd w:id="454"/>
      <w:bookmarkEnd w:id="455"/>
      <w:bookmarkEnd w:id="456"/>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协议书中相关词语的含义与通用条件中的定义与解释相同。</w:t>
      </w:r>
      <w:bookmarkEnd w:id="457"/>
    </w:p>
    <w:p>
      <w:pPr>
        <w:pStyle w:val="45"/>
        <w:adjustRightInd/>
        <w:spacing w:before="0" w:after="0" w:line="360" w:lineRule="auto"/>
        <w:ind w:firstLine="420" w:firstLineChars="200"/>
        <w:jc w:val="left"/>
        <w:rPr>
          <w:rStyle w:val="88"/>
          <w:rFonts w:ascii="宋体" w:hAnsi="宋体" w:cs="宋体"/>
          <w:b w:val="0"/>
          <w:color w:val="auto"/>
          <w:kern w:val="2"/>
          <w:sz w:val="21"/>
          <w:szCs w:val="21"/>
        </w:rPr>
      </w:pPr>
      <w:bookmarkStart w:id="458" w:name="_Toc419045063"/>
      <w:bookmarkStart w:id="459" w:name="_Toc464395397"/>
      <w:bookmarkStart w:id="460" w:name="_Toc464396174"/>
      <w:bookmarkStart w:id="461" w:name="_Toc468905464"/>
      <w:r>
        <w:rPr>
          <w:rStyle w:val="88"/>
          <w:rFonts w:hint="eastAsia" w:ascii="宋体" w:hAnsi="宋体" w:cs="宋体"/>
          <w:b w:val="0"/>
          <w:color w:val="auto"/>
          <w:kern w:val="2"/>
          <w:sz w:val="21"/>
          <w:szCs w:val="21"/>
        </w:rPr>
        <w:t>八、合同订立</w:t>
      </w:r>
      <w:bookmarkEnd w:id="458"/>
      <w:bookmarkEnd w:id="459"/>
      <w:bookmarkEnd w:id="460"/>
      <w:bookmarkEnd w:id="461"/>
    </w:p>
    <w:p>
      <w:pPr>
        <w:pStyle w:val="146"/>
        <w:adjustRightInd/>
        <w:spacing w:line="360" w:lineRule="auto"/>
        <w:ind w:firstLine="420" w:firstLineChars="200"/>
        <w:jc w:val="left"/>
        <w:rPr>
          <w:rFonts w:ascii="宋体" w:hAnsi="宋体" w:cs="宋体"/>
          <w:color w:val="auto"/>
        </w:rPr>
      </w:pPr>
      <w:r>
        <w:rPr>
          <w:rFonts w:hint="eastAsia" w:ascii="宋体" w:hAnsi="宋体" w:cs="宋体"/>
          <w:color w:val="auto"/>
        </w:rPr>
        <w:t>1.订立时间：年月日。</w:t>
      </w:r>
    </w:p>
    <w:p>
      <w:pPr>
        <w:pStyle w:val="146"/>
        <w:adjustRightInd/>
        <w:spacing w:line="360" w:lineRule="auto"/>
        <w:ind w:firstLine="420" w:firstLineChars="200"/>
        <w:jc w:val="left"/>
        <w:rPr>
          <w:rFonts w:ascii="宋体" w:hAnsi="宋体" w:cs="宋体"/>
          <w:color w:val="auto"/>
        </w:rPr>
      </w:pPr>
      <w:r>
        <w:rPr>
          <w:rFonts w:hint="eastAsia" w:ascii="宋体" w:hAnsi="宋体" w:cs="宋体"/>
          <w:color w:val="auto"/>
        </w:rPr>
        <w:t>2.订立地点：。</w:t>
      </w:r>
    </w:p>
    <w:p>
      <w:pPr>
        <w:pStyle w:val="146"/>
        <w:adjustRightInd/>
        <w:spacing w:line="360" w:lineRule="auto"/>
        <w:ind w:firstLine="420" w:firstLineChars="200"/>
        <w:jc w:val="left"/>
        <w:rPr>
          <w:color w:val="auto"/>
        </w:rPr>
      </w:pPr>
      <w:bookmarkStart w:id="462" w:name="_Toc464396175"/>
      <w:bookmarkStart w:id="463" w:name="_Toc468905465"/>
      <w:bookmarkStart w:id="464" w:name="_Toc419045064"/>
      <w:bookmarkStart w:id="465" w:name="_Toc464395398"/>
      <w:r>
        <w:rPr>
          <w:rFonts w:hint="eastAsia"/>
          <w:color w:val="auto"/>
        </w:rPr>
        <w:t>九、合同生效</w:t>
      </w:r>
      <w:bookmarkEnd w:id="462"/>
      <w:bookmarkEnd w:id="463"/>
      <w:bookmarkEnd w:id="464"/>
      <w:bookmarkEnd w:id="465"/>
    </w:p>
    <w:p>
      <w:pPr>
        <w:pStyle w:val="146"/>
        <w:adjustRightInd/>
        <w:spacing w:line="360" w:lineRule="auto"/>
        <w:ind w:firstLine="420" w:firstLineChars="200"/>
        <w:jc w:val="left"/>
        <w:rPr>
          <w:rFonts w:ascii="宋体" w:hAnsi="宋体" w:cs="宋体"/>
          <w:color w:val="auto"/>
        </w:rPr>
      </w:pPr>
      <w:r>
        <w:rPr>
          <w:rFonts w:hint="eastAsia" w:ascii="宋体" w:hAnsi="宋体" w:cs="宋体"/>
          <w:color w:val="auto"/>
        </w:rPr>
        <w:t>本合同自</w:t>
      </w:r>
      <w:r>
        <w:rPr>
          <w:rFonts w:hint="eastAsia" w:ascii="宋体" w:hAnsi="宋体" w:cs="宋体"/>
          <w:color w:val="auto"/>
          <w:u w:val="single"/>
        </w:rPr>
        <w:t xml:space="preserve">      合同订立之日起     </w:t>
      </w:r>
      <w:r>
        <w:rPr>
          <w:rFonts w:hint="eastAsia" w:ascii="宋体" w:hAnsi="宋体" w:cs="宋体"/>
          <w:color w:val="auto"/>
        </w:rPr>
        <w:t>生效。</w:t>
      </w:r>
    </w:p>
    <w:p>
      <w:pPr>
        <w:pStyle w:val="45"/>
        <w:adjustRightInd/>
        <w:spacing w:before="0" w:after="0" w:line="360" w:lineRule="auto"/>
        <w:ind w:firstLine="420" w:firstLineChars="200"/>
        <w:jc w:val="left"/>
        <w:rPr>
          <w:rStyle w:val="88"/>
          <w:rFonts w:ascii="宋体" w:hAnsi="宋体" w:cs="宋体"/>
          <w:b w:val="0"/>
          <w:color w:val="auto"/>
          <w:kern w:val="2"/>
          <w:sz w:val="21"/>
          <w:szCs w:val="21"/>
        </w:rPr>
      </w:pPr>
      <w:bookmarkStart w:id="466" w:name="_Toc464395399"/>
      <w:bookmarkStart w:id="467" w:name="_Toc464396176"/>
      <w:bookmarkStart w:id="468" w:name="_Toc419045065"/>
      <w:bookmarkStart w:id="469" w:name="_Toc468905466"/>
      <w:r>
        <w:rPr>
          <w:rStyle w:val="88"/>
          <w:rFonts w:hint="eastAsia" w:ascii="宋体" w:hAnsi="宋体" w:cs="宋体"/>
          <w:b w:val="0"/>
          <w:color w:val="auto"/>
          <w:kern w:val="2"/>
          <w:sz w:val="21"/>
          <w:szCs w:val="21"/>
        </w:rPr>
        <w:t>十、合同份数</w:t>
      </w:r>
      <w:bookmarkEnd w:id="466"/>
      <w:bookmarkEnd w:id="467"/>
      <w:bookmarkEnd w:id="468"/>
      <w:bookmarkEnd w:id="469"/>
    </w:p>
    <w:p>
      <w:pPr>
        <w:pStyle w:val="146"/>
        <w:adjustRightInd/>
        <w:spacing w:line="360" w:lineRule="auto"/>
        <w:ind w:firstLine="420" w:firstLineChars="200"/>
        <w:jc w:val="left"/>
        <w:rPr>
          <w:rFonts w:ascii="宋体" w:hAnsi="宋体" w:cs="宋体"/>
          <w:color w:val="auto"/>
        </w:rPr>
      </w:pPr>
      <w:r>
        <w:rPr>
          <w:rFonts w:hint="eastAsia" w:ascii="宋体" w:hAnsi="宋体" w:cs="宋体"/>
          <w:color w:val="auto"/>
        </w:rPr>
        <w:t>本合同一式</w:t>
      </w:r>
      <w:r>
        <w:rPr>
          <w:rFonts w:hint="eastAsia" w:ascii="宋体" w:hAnsi="宋体" w:cs="宋体"/>
          <w:color w:val="auto"/>
          <w:u w:val="single"/>
        </w:rPr>
        <w:t xml:space="preserve">  肆  </w:t>
      </w:r>
      <w:r>
        <w:rPr>
          <w:rFonts w:hint="eastAsia" w:ascii="宋体" w:hAnsi="宋体" w:cs="宋体"/>
          <w:color w:val="auto"/>
        </w:rPr>
        <w:t>份，具有同等法律效力，其中委托人执</w:t>
      </w:r>
      <w:r>
        <w:rPr>
          <w:rFonts w:hint="eastAsia" w:ascii="宋体" w:hAnsi="宋体" w:cs="宋体"/>
          <w:color w:val="auto"/>
          <w:u w:val="single"/>
        </w:rPr>
        <w:t xml:space="preserve">  壹  </w:t>
      </w:r>
      <w:r>
        <w:rPr>
          <w:rFonts w:hint="eastAsia" w:ascii="宋体" w:hAnsi="宋体" w:cs="宋体"/>
          <w:color w:val="auto"/>
        </w:rPr>
        <w:t>份，咨询人执</w:t>
      </w:r>
      <w:r>
        <w:rPr>
          <w:rFonts w:hint="eastAsia" w:ascii="宋体" w:hAnsi="宋体" w:cs="宋体"/>
          <w:color w:val="auto"/>
          <w:u w:val="single"/>
        </w:rPr>
        <w:t xml:space="preserve">  叁  </w:t>
      </w:r>
      <w:r>
        <w:rPr>
          <w:rFonts w:hint="eastAsia" w:ascii="宋体" w:hAnsi="宋体" w:cs="宋体"/>
          <w:color w:val="auto"/>
        </w:rPr>
        <w:t>份。</w:t>
      </w:r>
    </w:p>
    <w:p>
      <w:pPr>
        <w:pStyle w:val="146"/>
        <w:spacing w:line="400" w:lineRule="exact"/>
        <w:ind w:firstLine="480" w:firstLineChars="200"/>
        <w:jc w:val="left"/>
        <w:rPr>
          <w:rFonts w:ascii="宋体" w:hAnsi="宋体"/>
          <w:color w:val="auto"/>
          <w:sz w:val="24"/>
          <w:szCs w:val="24"/>
        </w:rPr>
      </w:pPr>
    </w:p>
    <w:p>
      <w:pPr>
        <w:spacing w:line="440" w:lineRule="exact"/>
        <w:ind w:left="630" w:leftChars="300" w:right="630" w:rightChars="300"/>
        <w:jc w:val="left"/>
        <w:rPr>
          <w:color w:val="auto"/>
        </w:rPr>
      </w:pPr>
      <w:r>
        <w:rPr>
          <w:rFonts w:hint="eastAsia"/>
          <w:color w:val="auto"/>
        </w:rPr>
        <w:t xml:space="preserve">委 托 人：___________（盖章）       咨 询 人：___________（盖章） </w:t>
      </w:r>
    </w:p>
    <w:p>
      <w:pPr>
        <w:spacing w:line="440" w:lineRule="exact"/>
        <w:ind w:left="630" w:leftChars="300" w:right="630" w:rightChars="300"/>
        <w:jc w:val="left"/>
        <w:rPr>
          <w:color w:val="auto"/>
        </w:rPr>
      </w:pPr>
      <w:r>
        <w:rPr>
          <w:rFonts w:hint="eastAsia"/>
          <w:color w:val="auto"/>
        </w:rPr>
        <w:t>法定代表人或其授权的                法定代表人或其授权的</w:t>
      </w:r>
    </w:p>
    <w:p>
      <w:pPr>
        <w:spacing w:line="440" w:lineRule="exact"/>
        <w:ind w:left="630" w:leftChars="300" w:right="630" w:rightChars="300"/>
        <w:jc w:val="left"/>
        <w:rPr>
          <w:color w:val="auto"/>
        </w:rPr>
      </w:pPr>
      <w:r>
        <w:rPr>
          <w:rFonts w:hint="eastAsia"/>
          <w:color w:val="auto"/>
        </w:rPr>
        <w:t xml:space="preserve">代理人：_________（签字）           代理人：_________（签字） </w:t>
      </w:r>
    </w:p>
    <w:p>
      <w:pPr>
        <w:spacing w:line="440" w:lineRule="exact"/>
        <w:ind w:left="630" w:leftChars="300" w:right="630" w:rightChars="300"/>
        <w:jc w:val="left"/>
        <w:rPr>
          <w:color w:val="auto"/>
        </w:rPr>
      </w:pPr>
      <w:r>
        <w:rPr>
          <w:rFonts w:hint="eastAsia"/>
          <w:color w:val="auto"/>
        </w:rPr>
        <w:t xml:space="preserve">组织机构代码：                      组织机构代码： </w:t>
      </w:r>
    </w:p>
    <w:p>
      <w:pPr>
        <w:spacing w:line="440" w:lineRule="exact"/>
        <w:ind w:left="5775" w:leftChars="300" w:right="630" w:rightChars="300" w:hanging="5145" w:hangingChars="2450"/>
        <w:jc w:val="left"/>
        <w:rPr>
          <w:color w:val="auto"/>
        </w:rPr>
      </w:pPr>
      <w:r>
        <w:rPr>
          <w:rFonts w:hint="eastAsia"/>
          <w:color w:val="auto"/>
        </w:rPr>
        <w:t xml:space="preserve">住    所：                          住    所： </w:t>
      </w:r>
    </w:p>
    <w:p>
      <w:pPr>
        <w:spacing w:line="440" w:lineRule="exact"/>
        <w:ind w:left="630" w:leftChars="300" w:right="630" w:rightChars="300"/>
        <w:jc w:val="left"/>
        <w:rPr>
          <w:color w:val="auto"/>
        </w:rPr>
      </w:pPr>
      <w:r>
        <w:rPr>
          <w:rFonts w:hint="eastAsia"/>
          <w:color w:val="auto"/>
        </w:rPr>
        <w:t xml:space="preserve">账    号：                          账    号： </w:t>
      </w:r>
    </w:p>
    <w:p>
      <w:pPr>
        <w:spacing w:line="440" w:lineRule="exact"/>
        <w:ind w:left="630" w:leftChars="300" w:right="630" w:rightChars="300"/>
        <w:jc w:val="left"/>
        <w:rPr>
          <w:color w:val="auto"/>
        </w:rPr>
      </w:pPr>
      <w:r>
        <w:rPr>
          <w:rFonts w:hint="eastAsia"/>
          <w:color w:val="auto"/>
        </w:rPr>
        <w:t>开户银行：                          开户银行：</w:t>
      </w:r>
    </w:p>
    <w:p>
      <w:pPr>
        <w:spacing w:line="440" w:lineRule="exact"/>
        <w:ind w:left="630" w:leftChars="300" w:right="630" w:rightChars="300"/>
        <w:jc w:val="left"/>
        <w:rPr>
          <w:color w:val="auto"/>
        </w:rPr>
      </w:pPr>
      <w:r>
        <w:rPr>
          <w:rFonts w:hint="eastAsia"/>
          <w:color w:val="auto"/>
        </w:rPr>
        <w:t xml:space="preserve">电    话：                          电    话： </w:t>
      </w:r>
    </w:p>
    <w:p>
      <w:pPr>
        <w:spacing w:line="440" w:lineRule="exact"/>
        <w:ind w:left="630" w:leftChars="300" w:right="630" w:rightChars="300"/>
        <w:jc w:val="left"/>
        <w:rPr>
          <w:color w:val="auto"/>
        </w:rPr>
      </w:pPr>
      <w:r>
        <w:rPr>
          <w:rFonts w:hint="eastAsia"/>
          <w:color w:val="auto"/>
        </w:rPr>
        <w:t xml:space="preserve">传    真：                          传    真： </w:t>
      </w:r>
    </w:p>
    <w:p>
      <w:pPr>
        <w:spacing w:line="440" w:lineRule="exact"/>
        <w:ind w:left="630" w:leftChars="300" w:right="630" w:rightChars="300"/>
        <w:jc w:val="left"/>
        <w:rPr>
          <w:color w:val="auto"/>
        </w:rPr>
      </w:pPr>
      <w:r>
        <w:rPr>
          <w:rFonts w:hint="eastAsia"/>
          <w:color w:val="auto"/>
        </w:rPr>
        <w:t xml:space="preserve">电子信箱：                          电子信箱： </w:t>
      </w:r>
    </w:p>
    <w:bookmarkEnd w:id="448"/>
    <w:p>
      <w:pPr>
        <w:pStyle w:val="3"/>
        <w:spacing w:line="430" w:lineRule="exact"/>
        <w:rPr>
          <w:color w:val="auto"/>
          <w:sz w:val="24"/>
          <w:szCs w:val="24"/>
        </w:rPr>
      </w:pPr>
      <w:bookmarkStart w:id="470" w:name="_Toc419045066"/>
      <w:r>
        <w:rPr>
          <w:color w:val="auto"/>
          <w:sz w:val="30"/>
          <w:szCs w:val="30"/>
        </w:rPr>
        <w:br w:type="page"/>
      </w:r>
      <w:bookmarkStart w:id="471" w:name="_Toc464395400"/>
      <w:bookmarkStart w:id="472" w:name="_Toc468905467"/>
      <w:bookmarkStart w:id="473" w:name="_Toc23762"/>
      <w:bookmarkStart w:id="474" w:name="_Toc464396177"/>
      <w:bookmarkStart w:id="475" w:name="_Toc27287"/>
      <w:r>
        <w:rPr>
          <w:rFonts w:hint="eastAsia"/>
          <w:color w:val="auto"/>
          <w:sz w:val="30"/>
          <w:szCs w:val="30"/>
        </w:rPr>
        <w:t>第二部分　通用条件</w:t>
      </w:r>
      <w:bookmarkEnd w:id="470"/>
      <w:bookmarkEnd w:id="471"/>
      <w:bookmarkEnd w:id="472"/>
      <w:bookmarkEnd w:id="473"/>
      <w:bookmarkEnd w:id="474"/>
      <w:bookmarkEnd w:id="475"/>
    </w:p>
    <w:p>
      <w:pPr>
        <w:pStyle w:val="45"/>
        <w:adjustRightInd/>
        <w:spacing w:line="360" w:lineRule="auto"/>
        <w:ind w:firstLine="422" w:firstLineChars="200"/>
        <w:outlineLvl w:val="9"/>
        <w:rPr>
          <w:rFonts w:ascii="宋体" w:hAnsi="宋体" w:cs="宋体"/>
          <w:color w:val="auto"/>
          <w:sz w:val="21"/>
          <w:szCs w:val="21"/>
        </w:rPr>
      </w:pPr>
      <w:bookmarkStart w:id="476" w:name="_Toc464396178"/>
      <w:bookmarkStart w:id="477" w:name="_Toc464395401"/>
      <w:bookmarkStart w:id="478" w:name="_Toc468905468"/>
      <w:bookmarkStart w:id="479" w:name="_Toc419045067"/>
    </w:p>
    <w:p>
      <w:pPr>
        <w:pStyle w:val="45"/>
        <w:topLinePunct/>
        <w:adjustRightInd/>
        <w:spacing w:line="360" w:lineRule="auto"/>
        <w:ind w:firstLine="422" w:firstLineChars="200"/>
        <w:rPr>
          <w:rFonts w:ascii="宋体" w:hAnsi="宋体" w:cs="宋体"/>
          <w:color w:val="auto"/>
          <w:sz w:val="21"/>
          <w:szCs w:val="21"/>
        </w:rPr>
      </w:pPr>
      <w:r>
        <w:rPr>
          <w:rFonts w:hint="eastAsia" w:ascii="宋体" w:hAnsi="宋体" w:cs="宋体"/>
          <w:color w:val="auto"/>
          <w:sz w:val="21"/>
          <w:szCs w:val="21"/>
        </w:rPr>
        <w:t>1.词语定义、语言、解释顺序与适用法律</w:t>
      </w:r>
      <w:bookmarkEnd w:id="476"/>
      <w:bookmarkEnd w:id="477"/>
      <w:bookmarkEnd w:id="478"/>
      <w:bookmarkEnd w:id="479"/>
      <w:bookmarkStart w:id="480" w:name="_Toc419045068"/>
    </w:p>
    <w:p>
      <w:pPr>
        <w:pStyle w:val="34"/>
        <w:topLinePunct/>
        <w:spacing w:before="0" w:after="0" w:line="360" w:lineRule="auto"/>
        <w:ind w:firstLine="420" w:firstLineChars="200"/>
        <w:jc w:val="both"/>
        <w:rPr>
          <w:rFonts w:ascii="宋体" w:hAnsi="宋体" w:cs="宋体"/>
          <w:b w:val="0"/>
          <w:bCs w:val="0"/>
          <w:color w:val="auto"/>
          <w:sz w:val="21"/>
          <w:szCs w:val="21"/>
        </w:rPr>
      </w:pPr>
      <w:bookmarkStart w:id="481" w:name="_Toc464396179"/>
      <w:bookmarkStart w:id="482" w:name="_Toc464395402"/>
      <w:bookmarkStart w:id="483" w:name="_Toc468905469"/>
      <w:r>
        <w:rPr>
          <w:rFonts w:hint="eastAsia" w:ascii="宋体" w:hAnsi="宋体" w:cs="宋体"/>
          <w:b w:val="0"/>
          <w:bCs w:val="0"/>
          <w:color w:val="auto"/>
          <w:sz w:val="21"/>
          <w:szCs w:val="21"/>
        </w:rPr>
        <w:t>1.1词语定义</w:t>
      </w:r>
      <w:bookmarkEnd w:id="480"/>
      <w:bookmarkEnd w:id="481"/>
      <w:bookmarkEnd w:id="482"/>
      <w:bookmarkEnd w:id="483"/>
    </w:p>
    <w:p>
      <w:pPr>
        <w:topLinePunct/>
        <w:spacing w:line="360" w:lineRule="auto"/>
        <w:ind w:firstLine="420" w:firstLineChars="200"/>
        <w:rPr>
          <w:rFonts w:ascii="宋体" w:hAnsi="宋体" w:cs="宋体"/>
          <w:color w:val="auto"/>
        </w:rPr>
      </w:pPr>
      <w:r>
        <w:rPr>
          <w:rFonts w:hint="eastAsia" w:ascii="宋体" w:hAnsi="宋体" w:cs="宋体"/>
          <w:color w:val="auto"/>
        </w:rPr>
        <w:t>组成本合同的全部文件中的下列名词和用语应具有本款所赋予的含义：</w:t>
      </w:r>
    </w:p>
    <w:p>
      <w:pPr>
        <w:pStyle w:val="146"/>
        <w:topLinePunct/>
        <w:adjustRightInd/>
        <w:spacing w:line="360" w:lineRule="auto"/>
        <w:ind w:firstLine="420" w:firstLineChars="200"/>
        <w:rPr>
          <w:rFonts w:ascii="宋体" w:hAnsi="宋体" w:cs="宋体"/>
          <w:color w:val="auto"/>
        </w:rPr>
      </w:pPr>
      <w:r>
        <w:rPr>
          <w:rFonts w:hint="eastAsia" w:ascii="宋体" w:hAnsi="宋体" w:cs="宋体"/>
          <w:color w:val="auto"/>
        </w:rPr>
        <w:t>1.1.1“工程”是指按照本合同约定实施造价咨询与其他服务的建设工程。</w:t>
      </w:r>
    </w:p>
    <w:p>
      <w:pPr>
        <w:pStyle w:val="146"/>
        <w:topLinePunct/>
        <w:adjustRightInd/>
        <w:spacing w:line="360" w:lineRule="auto"/>
        <w:ind w:firstLine="420" w:firstLineChars="200"/>
        <w:rPr>
          <w:rFonts w:ascii="宋体" w:hAnsi="宋体" w:cs="宋体"/>
          <w:color w:val="auto"/>
        </w:rPr>
      </w:pPr>
      <w:r>
        <w:rPr>
          <w:rFonts w:hint="eastAsia" w:ascii="宋体" w:hAnsi="宋体" w:cs="宋体"/>
          <w:color w:val="auto"/>
        </w:rPr>
        <w:t>1.1.2“工程造价”是指工程项目建设过程中预计或实际支出的全部费用。</w:t>
      </w:r>
    </w:p>
    <w:p>
      <w:pPr>
        <w:pStyle w:val="146"/>
        <w:topLinePunct/>
        <w:adjustRightInd/>
        <w:spacing w:line="360" w:lineRule="auto"/>
        <w:ind w:firstLine="420" w:firstLineChars="200"/>
        <w:rPr>
          <w:rFonts w:ascii="宋体" w:hAnsi="宋体" w:cs="宋体"/>
          <w:color w:val="auto"/>
        </w:rPr>
      </w:pPr>
      <w:r>
        <w:rPr>
          <w:rFonts w:hint="eastAsia" w:ascii="宋体" w:hAnsi="宋体" w:cs="宋体"/>
          <w:color w:val="auto"/>
        </w:rPr>
        <w:t>1.1.3“委托人”是指本合同中委托造价咨询与其他服务的一方，及其合法的继承人或受让人。</w:t>
      </w:r>
    </w:p>
    <w:p>
      <w:pPr>
        <w:pStyle w:val="146"/>
        <w:topLinePunct/>
        <w:adjustRightInd/>
        <w:spacing w:line="360" w:lineRule="auto"/>
        <w:ind w:firstLine="420" w:firstLineChars="200"/>
        <w:rPr>
          <w:rFonts w:ascii="宋体" w:hAnsi="宋体" w:cs="宋体"/>
          <w:color w:val="auto"/>
        </w:rPr>
      </w:pPr>
      <w:r>
        <w:rPr>
          <w:rFonts w:hint="eastAsia" w:ascii="宋体" w:hAnsi="宋体" w:cs="宋体"/>
          <w:color w:val="auto"/>
        </w:rPr>
        <w:t>1.1.4“咨询人”是指本合同中提供造价咨询与其他服务的一方</w:t>
      </w:r>
      <w:r>
        <w:rPr>
          <w:rFonts w:hint="eastAsia" w:ascii="宋体" w:hAnsi="宋体" w:cs="宋体"/>
          <w:b/>
          <w:bCs/>
          <w:color w:val="auto"/>
        </w:rPr>
        <w:t>，</w:t>
      </w:r>
      <w:r>
        <w:rPr>
          <w:rFonts w:hint="eastAsia" w:ascii="宋体" w:hAnsi="宋体" w:cs="宋体"/>
          <w:color w:val="auto"/>
        </w:rPr>
        <w:t>及其合法的继承人。</w:t>
      </w:r>
    </w:p>
    <w:p>
      <w:pPr>
        <w:pStyle w:val="146"/>
        <w:topLinePunct/>
        <w:adjustRightInd/>
        <w:spacing w:line="360" w:lineRule="auto"/>
        <w:ind w:firstLine="420" w:firstLineChars="200"/>
        <w:rPr>
          <w:rFonts w:ascii="宋体" w:hAnsi="宋体" w:cs="宋体"/>
          <w:color w:val="auto"/>
        </w:rPr>
      </w:pPr>
      <w:r>
        <w:rPr>
          <w:rFonts w:hint="eastAsia" w:ascii="宋体" w:hAnsi="宋体" w:cs="宋体"/>
          <w:color w:val="auto"/>
        </w:rPr>
        <w:t>1.1.5“第三人”是指除委托人、咨询人以外与本咨询业务有关的当事人。</w:t>
      </w:r>
    </w:p>
    <w:p>
      <w:pPr>
        <w:pStyle w:val="146"/>
        <w:topLinePunct/>
        <w:adjustRightInd/>
        <w:spacing w:line="360" w:lineRule="auto"/>
        <w:ind w:firstLine="420" w:firstLineChars="200"/>
        <w:rPr>
          <w:rFonts w:ascii="宋体" w:hAnsi="宋体" w:cs="宋体"/>
          <w:color w:val="auto"/>
        </w:rPr>
      </w:pPr>
      <w:r>
        <w:rPr>
          <w:rFonts w:hint="eastAsia" w:ascii="宋体" w:hAnsi="宋体" w:cs="宋体"/>
          <w:color w:val="auto"/>
        </w:rPr>
        <w:t>1.1.6“正常工作”是指本合同订立时通用条件和专用条件中约定的咨询人的工作。</w:t>
      </w:r>
    </w:p>
    <w:p>
      <w:pPr>
        <w:pStyle w:val="146"/>
        <w:topLinePunct/>
        <w:adjustRightInd/>
        <w:spacing w:line="360" w:lineRule="auto"/>
        <w:ind w:firstLine="420" w:firstLineChars="200"/>
        <w:rPr>
          <w:rFonts w:ascii="宋体" w:hAnsi="宋体" w:cs="宋体"/>
          <w:color w:val="auto"/>
        </w:rPr>
      </w:pPr>
      <w:r>
        <w:rPr>
          <w:rFonts w:hint="eastAsia" w:ascii="宋体" w:hAnsi="宋体" w:cs="宋体"/>
          <w:color w:val="auto"/>
        </w:rPr>
        <w:t>1.1.7“附加工作”是指咨询人根据合同条件完成的正常工作以外的工作。</w:t>
      </w:r>
    </w:p>
    <w:p>
      <w:pPr>
        <w:pStyle w:val="146"/>
        <w:topLinePunct/>
        <w:adjustRightInd/>
        <w:spacing w:line="360" w:lineRule="auto"/>
        <w:ind w:firstLine="420" w:firstLineChars="200"/>
        <w:rPr>
          <w:rFonts w:ascii="宋体" w:hAnsi="宋体" w:cs="宋体"/>
          <w:color w:val="auto"/>
        </w:rPr>
      </w:pPr>
      <w:r>
        <w:rPr>
          <w:rFonts w:hint="eastAsia" w:ascii="宋体" w:hAnsi="宋体" w:cs="宋体"/>
          <w:color w:val="auto"/>
        </w:rPr>
        <w:t>1.1.8“项目咨询团队”是指咨询人指派负责履行本合同的团队，其团队成员为本合同的项目咨询人员。</w:t>
      </w:r>
    </w:p>
    <w:p>
      <w:pPr>
        <w:pStyle w:val="146"/>
        <w:topLinePunct/>
        <w:adjustRightInd/>
        <w:spacing w:line="360" w:lineRule="auto"/>
        <w:ind w:firstLine="420" w:firstLineChars="200"/>
        <w:rPr>
          <w:rFonts w:ascii="宋体" w:hAnsi="宋体" w:cs="宋体"/>
          <w:color w:val="auto"/>
        </w:rPr>
      </w:pPr>
      <w:r>
        <w:rPr>
          <w:rFonts w:hint="eastAsia" w:ascii="宋体" w:hAnsi="宋体" w:cs="宋体"/>
          <w:color w:val="auto"/>
        </w:rPr>
        <w:t>1.1.9“项目负责人”是指由咨询人的法定代表人书面授权，在授权范围内负责履行本合同、主持项目咨询团队工作的负责人。</w:t>
      </w:r>
    </w:p>
    <w:p>
      <w:pPr>
        <w:topLinePunct/>
        <w:spacing w:line="360" w:lineRule="auto"/>
        <w:ind w:firstLine="420" w:firstLineChars="200"/>
        <w:rPr>
          <w:rFonts w:ascii="宋体" w:hAnsi="宋体" w:cs="宋体"/>
          <w:color w:val="auto"/>
        </w:rPr>
      </w:pPr>
      <w:r>
        <w:rPr>
          <w:rFonts w:hint="eastAsia" w:ascii="宋体" w:hAnsi="宋体" w:cs="宋体"/>
          <w:color w:val="auto"/>
        </w:rPr>
        <w:t>1.1.10“委托人代表”是指由委托人的法定代表人书面授权，在授权范围内行使委托人权利的人。</w:t>
      </w:r>
    </w:p>
    <w:p>
      <w:pPr>
        <w:pStyle w:val="146"/>
        <w:topLinePunct/>
        <w:adjustRightInd/>
        <w:spacing w:line="360" w:lineRule="auto"/>
        <w:ind w:firstLine="420" w:firstLineChars="200"/>
        <w:rPr>
          <w:rFonts w:ascii="宋体" w:hAnsi="宋体" w:cs="宋体"/>
          <w:color w:val="auto"/>
        </w:rPr>
      </w:pPr>
      <w:r>
        <w:rPr>
          <w:rFonts w:hint="eastAsia" w:ascii="宋体" w:hAnsi="宋体" w:cs="宋体"/>
          <w:color w:val="auto"/>
        </w:rPr>
        <w:t>1.1.11“酬金”是指咨询人履行本合同义务，委托人按照本合同约定给付咨询人的金额。</w:t>
      </w:r>
    </w:p>
    <w:p>
      <w:pPr>
        <w:pStyle w:val="146"/>
        <w:topLinePunct/>
        <w:adjustRightInd/>
        <w:spacing w:line="360" w:lineRule="auto"/>
        <w:ind w:firstLine="420" w:firstLineChars="200"/>
        <w:rPr>
          <w:rFonts w:ascii="宋体" w:hAnsi="宋体" w:cs="宋体"/>
          <w:color w:val="auto"/>
        </w:rPr>
      </w:pPr>
      <w:r>
        <w:rPr>
          <w:rFonts w:hint="eastAsia" w:ascii="宋体" w:hAnsi="宋体" w:cs="宋体"/>
          <w:color w:val="auto"/>
        </w:rPr>
        <w:t>1.1.12“正常工作酬金”是指在协议书中载明的，咨询人完成正常工作，委托人应给付咨询人的酬金。</w:t>
      </w:r>
    </w:p>
    <w:p>
      <w:pPr>
        <w:pStyle w:val="146"/>
        <w:topLinePunct/>
        <w:adjustRightInd/>
        <w:spacing w:line="360" w:lineRule="auto"/>
        <w:ind w:firstLine="420" w:firstLineChars="200"/>
        <w:rPr>
          <w:rFonts w:ascii="宋体" w:hAnsi="宋体" w:cs="宋体"/>
          <w:color w:val="auto"/>
        </w:rPr>
      </w:pPr>
      <w:r>
        <w:rPr>
          <w:rFonts w:hint="eastAsia" w:ascii="宋体" w:hAnsi="宋体" w:cs="宋体"/>
          <w:color w:val="auto"/>
        </w:rPr>
        <w:t>1.1.13“附加工作酬金”是指咨询人完成附加工作，委托人应给付咨询人的酬金。</w:t>
      </w:r>
    </w:p>
    <w:p>
      <w:pPr>
        <w:topLinePunct/>
        <w:spacing w:line="360" w:lineRule="auto"/>
        <w:ind w:firstLine="420" w:firstLineChars="200"/>
        <w:rPr>
          <w:rFonts w:ascii="宋体" w:hAnsi="宋体" w:cs="宋体"/>
          <w:color w:val="auto"/>
        </w:rPr>
      </w:pPr>
      <w:r>
        <w:rPr>
          <w:rFonts w:hint="eastAsia" w:ascii="宋体" w:hAnsi="宋体" w:cs="宋体"/>
          <w:color w:val="auto"/>
        </w:rPr>
        <w:t>1.1.14 “书面形式”是指合同书、信件和数据电文（包括电报、电传、传真、电子数据交换和电子邮件）等可以有形地表现所载内容的形式。</w:t>
      </w:r>
    </w:p>
    <w:p>
      <w:pPr>
        <w:topLinePunct/>
        <w:spacing w:line="360" w:lineRule="auto"/>
        <w:ind w:firstLine="420" w:firstLineChars="200"/>
        <w:rPr>
          <w:rFonts w:ascii="宋体" w:hAnsi="宋体" w:cs="宋体"/>
          <w:color w:val="auto"/>
        </w:rPr>
      </w:pPr>
      <w:r>
        <w:rPr>
          <w:rFonts w:hint="eastAsia" w:ascii="宋体" w:hAnsi="宋体" w:cs="宋体"/>
          <w:color w:val="auto"/>
        </w:rPr>
        <w:t>1.1.15 “不可抗力”是指委托人和咨询人在订立本合同时不可预见，在合同履行过程中不可避免并不能克服的自然灾害和社会性突发事件，如地震、海啸、瘟疫、水灾、骚乱、暴动、战争等情形。</w:t>
      </w:r>
    </w:p>
    <w:p>
      <w:pPr>
        <w:pStyle w:val="34"/>
        <w:topLinePunct/>
        <w:spacing w:before="0" w:after="0" w:line="360" w:lineRule="auto"/>
        <w:ind w:firstLine="420" w:firstLineChars="200"/>
        <w:jc w:val="both"/>
        <w:rPr>
          <w:rFonts w:ascii="宋体" w:hAnsi="宋体" w:cs="宋体"/>
          <w:b w:val="0"/>
          <w:color w:val="auto"/>
          <w:sz w:val="21"/>
          <w:szCs w:val="21"/>
        </w:rPr>
      </w:pPr>
      <w:bookmarkStart w:id="484" w:name="_Toc419045069"/>
      <w:bookmarkStart w:id="485" w:name="_Toc468905470"/>
      <w:bookmarkStart w:id="486" w:name="_Toc464395403"/>
      <w:bookmarkStart w:id="487" w:name="_Toc464396180"/>
      <w:r>
        <w:rPr>
          <w:rFonts w:hint="eastAsia" w:ascii="宋体" w:hAnsi="宋体" w:cs="宋体"/>
          <w:b w:val="0"/>
          <w:color w:val="auto"/>
          <w:sz w:val="21"/>
          <w:szCs w:val="21"/>
        </w:rPr>
        <w:t>1.2语言</w:t>
      </w:r>
      <w:bookmarkEnd w:id="484"/>
      <w:bookmarkEnd w:id="485"/>
      <w:bookmarkEnd w:id="486"/>
      <w:bookmarkEnd w:id="487"/>
    </w:p>
    <w:p>
      <w:pPr>
        <w:pStyle w:val="146"/>
        <w:topLinePunct/>
        <w:adjustRightInd/>
        <w:spacing w:line="360" w:lineRule="auto"/>
        <w:ind w:firstLine="420" w:firstLineChars="200"/>
        <w:rPr>
          <w:rFonts w:ascii="宋体" w:hAnsi="宋体" w:cs="宋体"/>
          <w:color w:val="auto"/>
        </w:rPr>
      </w:pPr>
      <w:r>
        <w:rPr>
          <w:rFonts w:hint="eastAsia" w:ascii="宋体" w:hAnsi="宋体" w:cs="宋体"/>
          <w:color w:val="auto"/>
        </w:rPr>
        <w:t>本合同使用中文书写、解释和说明。如专用条件约定使用两种及以上语言文字时，应以中文为准。</w:t>
      </w:r>
    </w:p>
    <w:p>
      <w:pPr>
        <w:pStyle w:val="34"/>
        <w:topLinePunct/>
        <w:spacing w:before="0" w:after="0" w:line="360" w:lineRule="auto"/>
        <w:ind w:firstLine="420" w:firstLineChars="200"/>
        <w:jc w:val="both"/>
        <w:rPr>
          <w:rFonts w:ascii="宋体" w:hAnsi="宋体" w:cs="宋体"/>
          <w:b w:val="0"/>
          <w:color w:val="auto"/>
          <w:sz w:val="21"/>
          <w:szCs w:val="21"/>
        </w:rPr>
      </w:pPr>
      <w:bookmarkStart w:id="488" w:name="_Toc419045070"/>
      <w:bookmarkStart w:id="489" w:name="_Toc464395404"/>
      <w:bookmarkStart w:id="490" w:name="_Toc468905471"/>
      <w:bookmarkStart w:id="491" w:name="_Toc464396181"/>
      <w:r>
        <w:rPr>
          <w:rFonts w:hint="eastAsia" w:ascii="宋体" w:hAnsi="宋体" w:cs="宋体"/>
          <w:b w:val="0"/>
          <w:color w:val="auto"/>
          <w:sz w:val="21"/>
          <w:szCs w:val="21"/>
        </w:rPr>
        <w:t>1.3合同文件的优先顺序</w:t>
      </w:r>
      <w:bookmarkEnd w:id="488"/>
      <w:bookmarkEnd w:id="489"/>
      <w:bookmarkEnd w:id="490"/>
      <w:bookmarkEnd w:id="491"/>
    </w:p>
    <w:p>
      <w:pPr>
        <w:pStyle w:val="146"/>
        <w:topLinePunct/>
        <w:adjustRightInd/>
        <w:spacing w:line="360" w:lineRule="auto"/>
        <w:ind w:firstLine="420" w:firstLineChars="200"/>
        <w:rPr>
          <w:rFonts w:ascii="宋体" w:hAnsi="宋体" w:cs="宋体"/>
          <w:bCs/>
          <w:color w:val="auto"/>
        </w:rPr>
      </w:pPr>
      <w:r>
        <w:rPr>
          <w:rFonts w:hint="eastAsia" w:ascii="宋体" w:hAnsi="宋体" w:cs="宋体"/>
          <w:bCs/>
          <w:color w:val="auto"/>
        </w:rPr>
        <w:t>组成本合同的下列文件彼此应能相互解释、互为说明。除专用条件另有约定外，本合同文件的解释顺序如下：</w:t>
      </w:r>
    </w:p>
    <w:p>
      <w:pPr>
        <w:pStyle w:val="146"/>
        <w:topLinePunct/>
        <w:adjustRightInd/>
        <w:spacing w:line="360" w:lineRule="auto"/>
        <w:ind w:firstLine="420" w:firstLineChars="200"/>
        <w:rPr>
          <w:rFonts w:ascii="宋体" w:hAnsi="宋体" w:cs="宋体"/>
          <w:bCs/>
          <w:color w:val="auto"/>
        </w:rPr>
      </w:pPr>
      <w:r>
        <w:rPr>
          <w:rFonts w:hint="eastAsia" w:ascii="宋体" w:hAnsi="宋体" w:cs="宋体"/>
          <w:bCs/>
          <w:color w:val="auto"/>
        </w:rPr>
        <w:t>1.协议书</w:t>
      </w:r>
    </w:p>
    <w:p>
      <w:pPr>
        <w:pStyle w:val="146"/>
        <w:topLinePunct/>
        <w:adjustRightInd/>
        <w:spacing w:line="360" w:lineRule="auto"/>
        <w:ind w:firstLine="420" w:firstLineChars="200"/>
        <w:rPr>
          <w:rFonts w:ascii="宋体" w:hAnsi="宋体" w:cs="宋体"/>
          <w:bCs/>
          <w:color w:val="auto"/>
        </w:rPr>
      </w:pPr>
      <w:r>
        <w:rPr>
          <w:rFonts w:hint="eastAsia" w:ascii="宋体" w:hAnsi="宋体" w:cs="宋体"/>
          <w:bCs/>
          <w:color w:val="auto"/>
        </w:rPr>
        <w:t>2.中标通知书或委托书（如果有）；</w:t>
      </w:r>
    </w:p>
    <w:p>
      <w:pPr>
        <w:pStyle w:val="146"/>
        <w:topLinePunct/>
        <w:adjustRightInd/>
        <w:spacing w:line="360" w:lineRule="auto"/>
        <w:ind w:firstLine="420" w:firstLineChars="200"/>
        <w:rPr>
          <w:rFonts w:ascii="宋体" w:hAnsi="宋体" w:cs="宋体"/>
          <w:bCs/>
          <w:color w:val="auto"/>
        </w:rPr>
      </w:pPr>
      <w:r>
        <w:rPr>
          <w:rFonts w:hint="eastAsia" w:ascii="宋体" w:hAnsi="宋体" w:cs="宋体"/>
          <w:bCs/>
          <w:color w:val="auto"/>
        </w:rPr>
        <w:t>3.专用条件及附录；</w:t>
      </w:r>
    </w:p>
    <w:p>
      <w:pPr>
        <w:pStyle w:val="146"/>
        <w:topLinePunct/>
        <w:adjustRightInd/>
        <w:spacing w:line="360" w:lineRule="auto"/>
        <w:ind w:firstLine="420" w:firstLineChars="200"/>
        <w:rPr>
          <w:rFonts w:ascii="宋体" w:hAnsi="宋体" w:cs="宋体"/>
          <w:bCs/>
          <w:color w:val="auto"/>
        </w:rPr>
      </w:pPr>
      <w:r>
        <w:rPr>
          <w:rFonts w:hint="eastAsia" w:ascii="宋体" w:hAnsi="宋体" w:cs="宋体"/>
          <w:bCs/>
          <w:color w:val="auto"/>
        </w:rPr>
        <w:t>4.通用条件；</w:t>
      </w:r>
    </w:p>
    <w:p>
      <w:pPr>
        <w:pStyle w:val="146"/>
        <w:topLinePunct/>
        <w:adjustRightInd/>
        <w:spacing w:line="360" w:lineRule="auto"/>
        <w:ind w:firstLine="420" w:firstLineChars="200"/>
        <w:rPr>
          <w:rFonts w:ascii="宋体" w:hAnsi="宋体" w:cs="宋体"/>
          <w:bCs/>
          <w:color w:val="auto"/>
        </w:rPr>
      </w:pPr>
      <w:r>
        <w:rPr>
          <w:rFonts w:hint="eastAsia" w:ascii="宋体" w:hAnsi="宋体" w:cs="宋体"/>
          <w:bCs/>
          <w:color w:val="auto"/>
        </w:rPr>
        <w:t>5.投标函及投标函附录或造价咨询服务建议书（如果有）；</w:t>
      </w:r>
    </w:p>
    <w:p>
      <w:pPr>
        <w:topLinePunct/>
        <w:spacing w:line="360" w:lineRule="auto"/>
        <w:ind w:firstLine="420" w:firstLineChars="200"/>
        <w:rPr>
          <w:rFonts w:ascii="宋体" w:hAnsi="宋体" w:cs="宋体"/>
          <w:bCs/>
          <w:color w:val="auto"/>
        </w:rPr>
      </w:pPr>
      <w:r>
        <w:rPr>
          <w:rFonts w:hint="eastAsia" w:ascii="宋体" w:hAnsi="宋体" w:cs="宋体"/>
          <w:bCs/>
          <w:color w:val="auto"/>
        </w:rPr>
        <w:t>6.其他合同文件。</w:t>
      </w:r>
    </w:p>
    <w:p>
      <w:pPr>
        <w:pStyle w:val="146"/>
        <w:topLinePunct/>
        <w:adjustRightInd/>
        <w:spacing w:line="360" w:lineRule="auto"/>
        <w:ind w:firstLine="420" w:firstLineChars="200"/>
        <w:rPr>
          <w:rFonts w:ascii="宋体" w:hAnsi="宋体" w:cs="宋体"/>
          <w:bCs/>
          <w:color w:val="auto"/>
        </w:rPr>
      </w:pPr>
      <w:r>
        <w:rPr>
          <w:rFonts w:hint="eastAsia" w:ascii="宋体" w:hAnsi="宋体" w:cs="宋体"/>
          <w:bCs/>
          <w:color w:val="auto"/>
        </w:rPr>
        <w:t>上述各项合同文件包括合同当事人就该项合同文件所作出的补充和修改，属于同一类内容的文件，应以最新签署的为准。</w:t>
      </w:r>
    </w:p>
    <w:p>
      <w:pPr>
        <w:topLinePunct/>
        <w:spacing w:line="360" w:lineRule="auto"/>
        <w:ind w:firstLine="420" w:firstLineChars="200"/>
        <w:rPr>
          <w:rFonts w:ascii="宋体" w:hAnsi="宋体" w:cs="宋体"/>
          <w:bCs/>
          <w:color w:val="auto"/>
        </w:rPr>
      </w:pPr>
      <w:r>
        <w:rPr>
          <w:rFonts w:hint="eastAsia" w:ascii="宋体" w:hAnsi="宋体" w:cs="宋体"/>
          <w:bCs/>
          <w:color w:val="auto"/>
        </w:rPr>
        <w:t>在合同订立及履行过程中形成的与合同有关的文件均构成合同文件的组成部分。</w:t>
      </w:r>
    </w:p>
    <w:p>
      <w:pPr>
        <w:pStyle w:val="34"/>
        <w:topLinePunct/>
        <w:spacing w:before="0" w:after="0" w:line="360" w:lineRule="auto"/>
        <w:ind w:firstLine="420" w:firstLineChars="200"/>
        <w:jc w:val="both"/>
        <w:rPr>
          <w:rFonts w:ascii="宋体" w:hAnsi="宋体" w:cs="宋体"/>
          <w:b w:val="0"/>
          <w:color w:val="auto"/>
          <w:sz w:val="21"/>
          <w:szCs w:val="21"/>
        </w:rPr>
      </w:pPr>
      <w:bookmarkStart w:id="492" w:name="_Toc464396182"/>
      <w:bookmarkStart w:id="493" w:name="_Toc464395405"/>
      <w:bookmarkStart w:id="494" w:name="_Toc419045071"/>
      <w:bookmarkStart w:id="495" w:name="_Toc468905472"/>
      <w:r>
        <w:rPr>
          <w:rFonts w:hint="eastAsia" w:ascii="宋体" w:hAnsi="宋体" w:cs="宋体"/>
          <w:b w:val="0"/>
          <w:color w:val="auto"/>
          <w:sz w:val="21"/>
          <w:szCs w:val="21"/>
        </w:rPr>
        <w:t>1.4适用法律</w:t>
      </w:r>
      <w:bookmarkEnd w:id="492"/>
      <w:bookmarkEnd w:id="493"/>
      <w:bookmarkEnd w:id="494"/>
      <w:bookmarkEnd w:id="495"/>
    </w:p>
    <w:p>
      <w:pPr>
        <w:topLinePunct/>
        <w:spacing w:line="360" w:lineRule="auto"/>
        <w:ind w:firstLine="420" w:firstLineChars="200"/>
        <w:rPr>
          <w:rFonts w:ascii="宋体" w:hAnsi="宋体" w:cs="宋体"/>
          <w:color w:val="auto"/>
        </w:rPr>
      </w:pPr>
      <w:r>
        <w:rPr>
          <w:rFonts w:hint="eastAsia" w:ascii="宋体" w:hAnsi="宋体" w:cs="宋体"/>
          <w:color w:val="auto"/>
        </w:rPr>
        <w:t>本合同适用中华人民共和国法律、行政法规、部门规章以及工程所在地的地方性法规、自治条例、单行条例和地方政府规章等。</w:t>
      </w:r>
    </w:p>
    <w:p>
      <w:pPr>
        <w:topLinePunct/>
        <w:spacing w:line="360" w:lineRule="auto"/>
        <w:ind w:firstLine="420" w:firstLineChars="200"/>
        <w:rPr>
          <w:rStyle w:val="88"/>
          <w:rFonts w:ascii="宋体" w:hAnsi="宋体" w:cs="宋体"/>
          <w:color w:val="auto"/>
          <w:szCs w:val="21"/>
        </w:rPr>
      </w:pPr>
      <w:r>
        <w:rPr>
          <w:rFonts w:hint="eastAsia" w:ascii="宋体" w:hAnsi="宋体" w:cs="宋体"/>
          <w:color w:val="auto"/>
        </w:rPr>
        <w:t>合同当事人可以在专用条件中约定本合同适用的其他规范、规程、定额、技术标准等规范性文件。</w:t>
      </w:r>
    </w:p>
    <w:p>
      <w:pPr>
        <w:pStyle w:val="45"/>
        <w:topLinePunct/>
        <w:adjustRightInd/>
        <w:spacing w:line="360" w:lineRule="auto"/>
        <w:ind w:firstLine="422" w:firstLineChars="200"/>
        <w:rPr>
          <w:rFonts w:ascii="宋体" w:hAnsi="宋体" w:cs="宋体"/>
          <w:color w:val="auto"/>
          <w:sz w:val="21"/>
          <w:szCs w:val="21"/>
        </w:rPr>
      </w:pPr>
      <w:bookmarkStart w:id="496" w:name="_Toc468905473"/>
      <w:bookmarkStart w:id="497" w:name="_Toc464395406"/>
      <w:bookmarkStart w:id="498" w:name="_Toc464396183"/>
      <w:r>
        <w:rPr>
          <w:rFonts w:hint="eastAsia" w:ascii="宋体" w:hAnsi="宋体" w:cs="宋体"/>
          <w:color w:val="auto"/>
          <w:sz w:val="21"/>
          <w:szCs w:val="21"/>
        </w:rPr>
        <w:t>2.委托人的义务</w:t>
      </w:r>
      <w:bookmarkEnd w:id="496"/>
      <w:bookmarkEnd w:id="497"/>
      <w:bookmarkEnd w:id="498"/>
    </w:p>
    <w:p>
      <w:pPr>
        <w:pStyle w:val="34"/>
        <w:topLinePunct/>
        <w:spacing w:before="0" w:after="0" w:line="360" w:lineRule="auto"/>
        <w:ind w:firstLine="420" w:firstLineChars="200"/>
        <w:jc w:val="both"/>
        <w:rPr>
          <w:rFonts w:ascii="宋体" w:hAnsi="宋体" w:cs="宋体"/>
          <w:b w:val="0"/>
          <w:color w:val="auto"/>
          <w:sz w:val="21"/>
          <w:szCs w:val="21"/>
        </w:rPr>
      </w:pPr>
      <w:bookmarkStart w:id="499" w:name="_Toc419045072"/>
      <w:bookmarkStart w:id="500" w:name="_Toc464395407"/>
      <w:bookmarkStart w:id="501" w:name="_Toc468905474"/>
      <w:bookmarkStart w:id="502" w:name="_Toc464396184"/>
      <w:r>
        <w:rPr>
          <w:rFonts w:hint="eastAsia" w:ascii="宋体" w:hAnsi="宋体" w:cs="宋体"/>
          <w:b w:val="0"/>
          <w:color w:val="auto"/>
          <w:sz w:val="21"/>
          <w:szCs w:val="21"/>
        </w:rPr>
        <w:t>2.1提供资料</w:t>
      </w:r>
      <w:bookmarkEnd w:id="499"/>
      <w:bookmarkEnd w:id="500"/>
      <w:bookmarkEnd w:id="501"/>
      <w:bookmarkEnd w:id="502"/>
    </w:p>
    <w:p>
      <w:pPr>
        <w:topLinePunct/>
        <w:spacing w:line="360" w:lineRule="auto"/>
        <w:ind w:firstLine="420" w:firstLineChars="200"/>
        <w:rPr>
          <w:rFonts w:ascii="宋体" w:hAnsi="宋体" w:cs="宋体"/>
          <w:color w:val="auto"/>
        </w:rPr>
      </w:pPr>
      <w:r>
        <w:rPr>
          <w:rFonts w:hint="eastAsia" w:ascii="宋体" w:hAnsi="宋体" w:cs="宋体"/>
          <w:color w:val="auto"/>
        </w:rPr>
        <w:t>委托人应当在专用条件约定的时间内，按照附录C的约定无偿向咨询人提供与本合同咨询业务有关的资料。在本合同履行过程中，委托人应及时向咨询人提供最新的与本合同咨询业务有关的资料。委托人应对所提供资料的真实性、准确性、合法性与完整性负责。</w:t>
      </w:r>
    </w:p>
    <w:p>
      <w:pPr>
        <w:pStyle w:val="34"/>
        <w:topLinePunct/>
        <w:spacing w:before="0" w:after="0" w:line="360" w:lineRule="auto"/>
        <w:ind w:firstLine="420" w:firstLineChars="200"/>
        <w:jc w:val="both"/>
        <w:rPr>
          <w:rFonts w:ascii="宋体" w:hAnsi="宋体" w:cs="宋体"/>
          <w:b w:val="0"/>
          <w:color w:val="auto"/>
          <w:sz w:val="21"/>
          <w:szCs w:val="21"/>
        </w:rPr>
      </w:pPr>
      <w:bookmarkStart w:id="503" w:name="_Toc464396185"/>
      <w:bookmarkStart w:id="504" w:name="_Toc419045073"/>
      <w:bookmarkStart w:id="505" w:name="_Toc464395408"/>
      <w:bookmarkStart w:id="506" w:name="_Toc468905475"/>
      <w:r>
        <w:rPr>
          <w:rFonts w:hint="eastAsia" w:ascii="宋体" w:hAnsi="宋体" w:cs="宋体"/>
          <w:b w:val="0"/>
          <w:color w:val="auto"/>
          <w:sz w:val="21"/>
          <w:szCs w:val="21"/>
        </w:rPr>
        <w:t>2.2提供工作条件</w:t>
      </w:r>
      <w:bookmarkEnd w:id="503"/>
      <w:bookmarkEnd w:id="504"/>
      <w:bookmarkEnd w:id="505"/>
      <w:bookmarkEnd w:id="506"/>
    </w:p>
    <w:p>
      <w:pPr>
        <w:topLinePunct/>
        <w:spacing w:line="360" w:lineRule="auto"/>
        <w:ind w:firstLine="420" w:firstLineChars="200"/>
        <w:rPr>
          <w:rFonts w:ascii="宋体" w:hAnsi="宋体" w:cs="宋体"/>
          <w:color w:val="auto"/>
        </w:rPr>
      </w:pPr>
      <w:r>
        <w:rPr>
          <w:rFonts w:hint="eastAsia" w:ascii="宋体" w:hAnsi="宋体" w:cs="宋体"/>
          <w:color w:val="auto"/>
        </w:rPr>
        <w:t>委托人应为咨询人完成造价咨询提供必要的条件。</w:t>
      </w:r>
    </w:p>
    <w:p>
      <w:pPr>
        <w:topLinePunct/>
        <w:spacing w:line="360" w:lineRule="auto"/>
        <w:ind w:firstLine="420" w:firstLineChars="200"/>
        <w:rPr>
          <w:rFonts w:ascii="宋体" w:hAnsi="宋体" w:cs="宋体"/>
          <w:color w:val="auto"/>
        </w:rPr>
      </w:pPr>
      <w:r>
        <w:rPr>
          <w:rFonts w:hint="eastAsia" w:ascii="宋体" w:hAnsi="宋体" w:cs="宋体"/>
          <w:color w:val="auto"/>
        </w:rPr>
        <w:t>2.2.1委托人需要咨询人派驻项目现场咨询人员的，除专用条件另有约定外，项目咨询人员有权无偿使用附录D中由委托人提供的房屋及设备。</w:t>
      </w:r>
    </w:p>
    <w:p>
      <w:pPr>
        <w:topLinePunct/>
        <w:spacing w:line="360" w:lineRule="auto"/>
        <w:ind w:firstLine="420" w:firstLineChars="200"/>
        <w:rPr>
          <w:rFonts w:ascii="宋体" w:hAnsi="宋体" w:cs="宋体"/>
          <w:color w:val="auto"/>
        </w:rPr>
      </w:pPr>
      <w:r>
        <w:rPr>
          <w:rFonts w:hint="eastAsia" w:ascii="宋体" w:hAnsi="宋体" w:cs="宋体"/>
          <w:color w:val="auto"/>
        </w:rPr>
        <w:t>2.2.2委托人应负责与本工程造价咨询业务有关的所有外部关系的协调，为咨询人履行本合同提供必要的外部条件。</w:t>
      </w:r>
    </w:p>
    <w:p>
      <w:pPr>
        <w:pStyle w:val="34"/>
        <w:topLinePunct/>
        <w:spacing w:before="0" w:after="0" w:line="360" w:lineRule="auto"/>
        <w:ind w:firstLine="420" w:firstLineChars="200"/>
        <w:jc w:val="both"/>
        <w:rPr>
          <w:rFonts w:ascii="宋体" w:hAnsi="宋体" w:cs="宋体"/>
          <w:b w:val="0"/>
          <w:color w:val="auto"/>
          <w:sz w:val="21"/>
          <w:szCs w:val="21"/>
        </w:rPr>
      </w:pPr>
      <w:bookmarkStart w:id="507" w:name="_Toc464396186"/>
      <w:bookmarkStart w:id="508" w:name="_Toc419045074"/>
      <w:bookmarkStart w:id="509" w:name="_Toc468905476"/>
      <w:bookmarkStart w:id="510" w:name="_Toc464395409"/>
      <w:r>
        <w:rPr>
          <w:rFonts w:hint="eastAsia" w:ascii="宋体" w:hAnsi="宋体" w:cs="宋体"/>
          <w:b w:val="0"/>
          <w:color w:val="auto"/>
          <w:sz w:val="21"/>
          <w:szCs w:val="21"/>
        </w:rPr>
        <w:t>2.3合理工作时限</w:t>
      </w:r>
      <w:bookmarkEnd w:id="507"/>
      <w:bookmarkEnd w:id="508"/>
      <w:bookmarkEnd w:id="509"/>
      <w:bookmarkEnd w:id="510"/>
    </w:p>
    <w:p>
      <w:pPr>
        <w:topLinePunct/>
        <w:spacing w:line="360" w:lineRule="auto"/>
        <w:ind w:firstLine="420" w:firstLineChars="200"/>
        <w:rPr>
          <w:rFonts w:ascii="宋体" w:hAnsi="宋体" w:cs="宋体"/>
          <w:color w:val="auto"/>
        </w:rPr>
      </w:pPr>
      <w:r>
        <w:rPr>
          <w:rFonts w:hint="eastAsia" w:ascii="宋体" w:hAnsi="宋体" w:cs="宋体"/>
          <w:color w:val="auto"/>
        </w:rPr>
        <w:t>委托人应当为咨询人完成其咨询工作，设定合理的工作时限。</w:t>
      </w:r>
    </w:p>
    <w:p>
      <w:pPr>
        <w:pStyle w:val="34"/>
        <w:topLinePunct/>
        <w:spacing w:before="0" w:after="0" w:line="360" w:lineRule="auto"/>
        <w:ind w:firstLine="420" w:firstLineChars="200"/>
        <w:jc w:val="both"/>
        <w:rPr>
          <w:rFonts w:ascii="宋体" w:hAnsi="宋体" w:cs="宋体"/>
          <w:b w:val="0"/>
          <w:color w:val="auto"/>
          <w:sz w:val="21"/>
          <w:szCs w:val="21"/>
        </w:rPr>
      </w:pPr>
      <w:bookmarkStart w:id="511" w:name="_Toc464395410"/>
      <w:bookmarkStart w:id="512" w:name="_Toc464396187"/>
      <w:bookmarkStart w:id="513" w:name="_Toc419045075"/>
      <w:bookmarkStart w:id="514" w:name="_Toc468905477"/>
      <w:r>
        <w:rPr>
          <w:rFonts w:hint="eastAsia" w:ascii="宋体" w:hAnsi="宋体" w:cs="宋体"/>
          <w:b w:val="0"/>
          <w:color w:val="auto"/>
          <w:sz w:val="21"/>
          <w:szCs w:val="21"/>
        </w:rPr>
        <w:t>2.4委托人代表</w:t>
      </w:r>
      <w:bookmarkEnd w:id="511"/>
      <w:bookmarkEnd w:id="512"/>
      <w:bookmarkEnd w:id="513"/>
      <w:bookmarkEnd w:id="514"/>
    </w:p>
    <w:p>
      <w:pPr>
        <w:topLinePunct/>
        <w:spacing w:line="360" w:lineRule="auto"/>
        <w:ind w:firstLine="420" w:firstLineChars="200"/>
        <w:rPr>
          <w:rFonts w:ascii="宋体" w:hAnsi="宋体" w:cs="宋体"/>
          <w:color w:val="auto"/>
        </w:rPr>
      </w:pPr>
      <w:r>
        <w:rPr>
          <w:rFonts w:hint="eastAsia" w:ascii="宋体" w:hAnsi="宋体" w:cs="宋体"/>
          <w:color w:val="auto"/>
        </w:rPr>
        <w:t>委托人应授权一名代表负责本合同的履行。委托人应在双方签订本合同7日内，将委托人代表的姓名和权限范围书面告知咨询人。委托人更换委托人代表时，应提前7日书面通知咨询人。</w:t>
      </w:r>
    </w:p>
    <w:p>
      <w:pPr>
        <w:pStyle w:val="34"/>
        <w:topLinePunct/>
        <w:spacing w:before="0" w:after="0" w:line="360" w:lineRule="auto"/>
        <w:ind w:firstLine="420" w:firstLineChars="200"/>
        <w:jc w:val="both"/>
        <w:rPr>
          <w:rFonts w:ascii="宋体" w:hAnsi="宋体" w:cs="宋体"/>
          <w:b w:val="0"/>
          <w:color w:val="auto"/>
          <w:sz w:val="21"/>
          <w:szCs w:val="21"/>
        </w:rPr>
      </w:pPr>
      <w:bookmarkStart w:id="515" w:name="_Toc464396188"/>
      <w:bookmarkStart w:id="516" w:name="_Toc419045076"/>
      <w:bookmarkStart w:id="517" w:name="_Toc464395411"/>
      <w:bookmarkStart w:id="518" w:name="_Toc468905478"/>
      <w:r>
        <w:rPr>
          <w:rFonts w:hint="eastAsia" w:ascii="宋体" w:hAnsi="宋体" w:cs="宋体"/>
          <w:b w:val="0"/>
          <w:color w:val="auto"/>
          <w:sz w:val="21"/>
          <w:szCs w:val="21"/>
        </w:rPr>
        <w:t>2.5答复</w:t>
      </w:r>
      <w:bookmarkEnd w:id="515"/>
      <w:bookmarkEnd w:id="516"/>
      <w:bookmarkEnd w:id="517"/>
      <w:bookmarkEnd w:id="518"/>
    </w:p>
    <w:p>
      <w:pPr>
        <w:topLinePunct/>
        <w:spacing w:line="360" w:lineRule="auto"/>
        <w:ind w:firstLine="420" w:firstLineChars="200"/>
        <w:rPr>
          <w:rFonts w:ascii="宋体" w:hAnsi="宋体" w:cs="宋体"/>
          <w:color w:val="auto"/>
        </w:rPr>
      </w:pPr>
      <w:r>
        <w:rPr>
          <w:rFonts w:hint="eastAsia" w:ascii="宋体" w:hAnsi="宋体" w:cs="宋体"/>
          <w:color w:val="auto"/>
        </w:rPr>
        <w:t>委托人应当在专用条件约定的时间内就咨询人以书面形式提交并要求做出答复的事宜给予书面答复。逾期未答复的，由此造成的工作延误和损失由委托人承担。</w:t>
      </w:r>
    </w:p>
    <w:p>
      <w:pPr>
        <w:pStyle w:val="34"/>
        <w:topLinePunct/>
        <w:spacing w:before="0" w:after="0" w:line="360" w:lineRule="auto"/>
        <w:ind w:firstLine="420" w:firstLineChars="200"/>
        <w:jc w:val="both"/>
        <w:rPr>
          <w:rFonts w:ascii="宋体" w:hAnsi="宋体" w:cs="宋体"/>
          <w:b w:val="0"/>
          <w:color w:val="auto"/>
          <w:sz w:val="21"/>
          <w:szCs w:val="21"/>
        </w:rPr>
      </w:pPr>
      <w:bookmarkStart w:id="519" w:name="_Toc419045077"/>
      <w:bookmarkStart w:id="520" w:name="_Toc464396189"/>
      <w:bookmarkStart w:id="521" w:name="_Toc468905479"/>
      <w:bookmarkStart w:id="522" w:name="_Toc464395412"/>
      <w:r>
        <w:rPr>
          <w:rFonts w:hint="eastAsia" w:ascii="宋体" w:hAnsi="宋体" w:cs="宋体"/>
          <w:b w:val="0"/>
          <w:color w:val="auto"/>
          <w:sz w:val="21"/>
          <w:szCs w:val="21"/>
        </w:rPr>
        <w:t>2.6支付</w:t>
      </w:r>
      <w:bookmarkEnd w:id="519"/>
      <w:bookmarkEnd w:id="520"/>
      <w:bookmarkEnd w:id="521"/>
      <w:bookmarkEnd w:id="522"/>
    </w:p>
    <w:p>
      <w:pPr>
        <w:topLinePunct/>
        <w:spacing w:line="360" w:lineRule="auto"/>
        <w:ind w:firstLine="420" w:firstLineChars="200"/>
        <w:rPr>
          <w:rFonts w:ascii="宋体" w:hAnsi="宋体" w:cs="宋体"/>
          <w:color w:val="auto"/>
        </w:rPr>
      </w:pPr>
      <w:r>
        <w:rPr>
          <w:rFonts w:hint="eastAsia" w:ascii="宋体" w:hAnsi="宋体" w:cs="宋体"/>
          <w:color w:val="auto"/>
        </w:rPr>
        <w:t>委托人应当按照合同的约定，向咨询人支付酬金。</w:t>
      </w:r>
    </w:p>
    <w:p>
      <w:pPr>
        <w:pStyle w:val="45"/>
        <w:topLinePunct/>
        <w:adjustRightInd/>
        <w:spacing w:line="360" w:lineRule="auto"/>
        <w:ind w:firstLine="422" w:firstLineChars="200"/>
        <w:rPr>
          <w:rFonts w:ascii="宋体" w:hAnsi="宋体" w:cs="宋体"/>
          <w:color w:val="auto"/>
          <w:sz w:val="21"/>
          <w:szCs w:val="21"/>
        </w:rPr>
      </w:pPr>
      <w:bookmarkStart w:id="523" w:name="_Toc419045078"/>
      <w:bookmarkStart w:id="524" w:name="_Toc464396190"/>
      <w:bookmarkStart w:id="525" w:name="_Toc464395413"/>
      <w:bookmarkStart w:id="526" w:name="_Toc468905480"/>
      <w:r>
        <w:rPr>
          <w:rFonts w:hint="eastAsia" w:ascii="宋体" w:hAnsi="宋体" w:cs="宋体"/>
          <w:color w:val="auto"/>
          <w:sz w:val="21"/>
          <w:szCs w:val="21"/>
        </w:rPr>
        <w:t>3.咨询人的义务</w:t>
      </w:r>
      <w:bookmarkEnd w:id="523"/>
      <w:bookmarkEnd w:id="524"/>
      <w:bookmarkEnd w:id="525"/>
      <w:bookmarkEnd w:id="526"/>
    </w:p>
    <w:p>
      <w:pPr>
        <w:pStyle w:val="34"/>
        <w:topLinePunct/>
        <w:spacing w:before="0" w:after="0" w:line="360" w:lineRule="auto"/>
        <w:ind w:firstLine="420" w:firstLineChars="200"/>
        <w:jc w:val="both"/>
        <w:rPr>
          <w:rFonts w:ascii="宋体" w:hAnsi="宋体" w:cs="宋体"/>
          <w:b w:val="0"/>
          <w:color w:val="auto"/>
          <w:sz w:val="21"/>
          <w:szCs w:val="21"/>
        </w:rPr>
      </w:pPr>
      <w:bookmarkStart w:id="527" w:name="_Toc464395414"/>
      <w:bookmarkStart w:id="528" w:name="_Toc464396191"/>
      <w:bookmarkStart w:id="529" w:name="_Toc468905481"/>
      <w:bookmarkStart w:id="530" w:name="_Toc419045080"/>
      <w:bookmarkStart w:id="531" w:name="16"/>
      <w:r>
        <w:rPr>
          <w:rFonts w:hint="eastAsia" w:ascii="宋体" w:hAnsi="宋体" w:cs="宋体"/>
          <w:b w:val="0"/>
          <w:color w:val="auto"/>
          <w:sz w:val="21"/>
          <w:szCs w:val="21"/>
        </w:rPr>
        <w:t>3.1 项目咨询团队及人员</w:t>
      </w:r>
      <w:bookmarkEnd w:id="527"/>
      <w:bookmarkEnd w:id="528"/>
      <w:bookmarkEnd w:id="529"/>
      <w:bookmarkEnd w:id="530"/>
    </w:p>
    <w:p>
      <w:pPr>
        <w:pStyle w:val="146"/>
        <w:topLinePunct/>
        <w:adjustRightInd/>
        <w:spacing w:line="360" w:lineRule="auto"/>
        <w:ind w:firstLine="420" w:firstLineChars="200"/>
        <w:rPr>
          <w:rFonts w:ascii="宋体" w:hAnsi="宋体" w:cs="宋体"/>
          <w:color w:val="auto"/>
        </w:rPr>
      </w:pPr>
      <w:r>
        <w:rPr>
          <w:rFonts w:hint="eastAsia" w:ascii="宋体" w:hAnsi="宋体" w:cs="宋体"/>
          <w:color w:val="auto"/>
        </w:rPr>
        <w:t>3.1.1项目咨询团队的主要人员应具有专用条件约定的资格条件，团队人员的数量应符合专用条件的约定。</w:t>
      </w:r>
    </w:p>
    <w:p>
      <w:pPr>
        <w:pStyle w:val="146"/>
        <w:topLinePunct/>
        <w:adjustRightInd/>
        <w:spacing w:line="360" w:lineRule="auto"/>
        <w:ind w:firstLine="420" w:firstLineChars="200"/>
        <w:rPr>
          <w:rFonts w:ascii="宋体" w:hAnsi="宋体" w:cs="宋体"/>
          <w:color w:val="auto"/>
        </w:rPr>
      </w:pPr>
      <w:r>
        <w:rPr>
          <w:rFonts w:hint="eastAsia" w:ascii="宋体" w:hAnsi="宋体" w:cs="宋体"/>
          <w:color w:val="auto"/>
        </w:rPr>
        <w:t>3.1.2项目负责人</w:t>
      </w:r>
    </w:p>
    <w:p>
      <w:pPr>
        <w:pStyle w:val="146"/>
        <w:topLinePunct/>
        <w:adjustRightInd/>
        <w:spacing w:line="360" w:lineRule="auto"/>
        <w:ind w:firstLine="420" w:firstLineChars="200"/>
        <w:rPr>
          <w:rFonts w:ascii="宋体" w:hAnsi="宋体" w:cs="宋体"/>
          <w:color w:val="auto"/>
        </w:rPr>
      </w:pPr>
      <w:r>
        <w:rPr>
          <w:rFonts w:hint="eastAsia" w:ascii="宋体" w:hAnsi="宋体" w:cs="宋体"/>
          <w:color w:val="auto"/>
        </w:rPr>
        <w:t>咨询人应以书面形式授权一名项目负责人负责履行本合同、主持项目咨询团队工作。采用招标程序签署本合同的，项目负责人应当与投标文件载明的一致。</w:t>
      </w:r>
    </w:p>
    <w:p>
      <w:pPr>
        <w:pStyle w:val="146"/>
        <w:topLinePunct/>
        <w:adjustRightInd/>
        <w:spacing w:line="360" w:lineRule="auto"/>
        <w:ind w:firstLine="420" w:firstLineChars="200"/>
        <w:rPr>
          <w:rFonts w:ascii="宋体" w:hAnsi="宋体" w:cs="宋体"/>
          <w:color w:val="auto"/>
        </w:rPr>
      </w:pPr>
      <w:r>
        <w:rPr>
          <w:rFonts w:hint="eastAsia" w:ascii="宋体" w:hAnsi="宋体" w:cs="宋体"/>
          <w:color w:val="auto"/>
        </w:rPr>
        <w:t>3.1.3在本合同履行过程中，咨询人员应保持相对稳定，以保证咨询工作正常进行。</w:t>
      </w:r>
    </w:p>
    <w:p>
      <w:pPr>
        <w:pStyle w:val="146"/>
        <w:topLinePunct/>
        <w:adjustRightInd/>
        <w:spacing w:line="360" w:lineRule="auto"/>
        <w:ind w:firstLine="420" w:firstLineChars="200"/>
        <w:rPr>
          <w:rFonts w:ascii="宋体" w:hAnsi="宋体" w:cs="宋体"/>
          <w:color w:val="auto"/>
        </w:rPr>
      </w:pPr>
      <w:r>
        <w:rPr>
          <w:rFonts w:hint="eastAsia" w:ascii="宋体" w:hAnsi="宋体" w:cs="宋体"/>
          <w:color w:val="auto"/>
        </w:rPr>
        <w:t>咨询人可根据工程进展和工作需要等情形调整项目咨询团队人员。咨询人更换项目负责人时，应提前7日向委托人书面报告，经委托人同意后方可更换。除专用条件另有约定外，咨询人更换项目咨询团队其他咨询人员，应提前3日向委托人书面报告，经委托人同意后以相当资格与能力的人员替换。</w:t>
      </w:r>
    </w:p>
    <w:p>
      <w:pPr>
        <w:pStyle w:val="146"/>
        <w:topLinePunct/>
        <w:adjustRightInd/>
        <w:spacing w:line="360" w:lineRule="auto"/>
        <w:ind w:firstLine="420" w:firstLineChars="200"/>
        <w:rPr>
          <w:rFonts w:ascii="宋体" w:hAnsi="宋体" w:cs="宋体"/>
          <w:color w:val="auto"/>
        </w:rPr>
      </w:pPr>
      <w:r>
        <w:rPr>
          <w:rFonts w:hint="eastAsia" w:ascii="宋体" w:hAnsi="宋体" w:cs="宋体"/>
          <w:color w:val="auto"/>
        </w:rPr>
        <w:t>3.1.4咨询人员有下列情形之一，委托人要求咨询人更换的，咨询人应当更换：</w:t>
      </w:r>
    </w:p>
    <w:p>
      <w:pPr>
        <w:pStyle w:val="146"/>
        <w:topLinePunct/>
        <w:adjustRightInd/>
        <w:spacing w:line="360" w:lineRule="auto"/>
        <w:ind w:firstLine="420" w:firstLineChars="200"/>
        <w:rPr>
          <w:rFonts w:ascii="宋体" w:hAnsi="宋体" w:cs="宋体"/>
          <w:color w:val="auto"/>
        </w:rPr>
      </w:pPr>
      <w:r>
        <w:rPr>
          <w:rFonts w:hint="eastAsia" w:ascii="宋体" w:hAnsi="宋体" w:cs="宋体"/>
          <w:color w:val="auto"/>
        </w:rPr>
        <w:t>（1）存在严重过失行为的；</w:t>
      </w:r>
    </w:p>
    <w:p>
      <w:pPr>
        <w:pStyle w:val="146"/>
        <w:topLinePunct/>
        <w:adjustRightInd/>
        <w:spacing w:line="360" w:lineRule="auto"/>
        <w:ind w:firstLine="420" w:firstLineChars="200"/>
        <w:rPr>
          <w:rFonts w:ascii="宋体" w:hAnsi="宋体" w:cs="宋体"/>
          <w:color w:val="auto"/>
        </w:rPr>
      </w:pPr>
      <w:r>
        <w:rPr>
          <w:rFonts w:hint="eastAsia" w:ascii="宋体" w:hAnsi="宋体" w:cs="宋体"/>
          <w:color w:val="auto"/>
        </w:rPr>
        <w:t>（2）存在违法行为不能履行职责的；</w:t>
      </w:r>
    </w:p>
    <w:p>
      <w:pPr>
        <w:pStyle w:val="146"/>
        <w:topLinePunct/>
        <w:adjustRightInd/>
        <w:spacing w:line="360" w:lineRule="auto"/>
        <w:ind w:firstLine="420" w:firstLineChars="200"/>
        <w:rPr>
          <w:rFonts w:ascii="宋体" w:hAnsi="宋体" w:cs="宋体"/>
          <w:color w:val="auto"/>
        </w:rPr>
      </w:pPr>
      <w:r>
        <w:rPr>
          <w:rFonts w:hint="eastAsia" w:ascii="宋体" w:hAnsi="宋体" w:cs="宋体"/>
          <w:color w:val="auto"/>
        </w:rPr>
        <w:t>（3）涉嫌犯罪的；</w:t>
      </w:r>
    </w:p>
    <w:p>
      <w:pPr>
        <w:pStyle w:val="146"/>
        <w:topLinePunct/>
        <w:adjustRightInd/>
        <w:spacing w:line="360" w:lineRule="auto"/>
        <w:ind w:firstLine="420" w:firstLineChars="200"/>
        <w:rPr>
          <w:rFonts w:ascii="宋体" w:hAnsi="宋体" w:cs="宋体"/>
          <w:color w:val="auto"/>
        </w:rPr>
      </w:pPr>
      <w:r>
        <w:rPr>
          <w:rFonts w:hint="eastAsia" w:ascii="宋体" w:hAnsi="宋体" w:cs="宋体"/>
          <w:color w:val="auto"/>
        </w:rPr>
        <w:t>（4）不能胜任岗位职责的；</w:t>
      </w:r>
    </w:p>
    <w:p>
      <w:pPr>
        <w:pStyle w:val="146"/>
        <w:topLinePunct/>
        <w:adjustRightInd/>
        <w:spacing w:line="360" w:lineRule="auto"/>
        <w:ind w:firstLine="420" w:firstLineChars="200"/>
        <w:rPr>
          <w:rFonts w:ascii="宋体" w:hAnsi="宋体" w:cs="宋体"/>
          <w:color w:val="auto"/>
        </w:rPr>
      </w:pPr>
      <w:r>
        <w:rPr>
          <w:rFonts w:hint="eastAsia" w:ascii="宋体" w:hAnsi="宋体" w:cs="宋体"/>
          <w:color w:val="auto"/>
        </w:rPr>
        <w:t>（5）严重违反职业道德的；</w:t>
      </w:r>
    </w:p>
    <w:p>
      <w:pPr>
        <w:pStyle w:val="146"/>
        <w:topLinePunct/>
        <w:adjustRightInd/>
        <w:spacing w:line="360" w:lineRule="auto"/>
        <w:ind w:firstLine="420" w:firstLineChars="200"/>
        <w:rPr>
          <w:rStyle w:val="84"/>
          <w:rFonts w:ascii="宋体" w:hAnsi="宋体" w:cs="宋体"/>
          <w:b w:val="0"/>
          <w:color w:val="auto"/>
        </w:rPr>
      </w:pPr>
      <w:r>
        <w:rPr>
          <w:rFonts w:hint="eastAsia" w:ascii="宋体" w:hAnsi="宋体" w:cs="宋体"/>
          <w:color w:val="auto"/>
        </w:rPr>
        <w:t>（6）专用条件约定的其他情形。</w:t>
      </w:r>
    </w:p>
    <w:p>
      <w:pPr>
        <w:pStyle w:val="34"/>
        <w:topLinePunct/>
        <w:spacing w:before="0" w:after="0" w:line="360" w:lineRule="auto"/>
        <w:ind w:firstLine="420" w:firstLineChars="200"/>
        <w:jc w:val="both"/>
        <w:rPr>
          <w:rFonts w:ascii="宋体" w:hAnsi="宋体" w:cs="宋体"/>
          <w:b w:val="0"/>
          <w:color w:val="auto"/>
          <w:sz w:val="21"/>
          <w:szCs w:val="21"/>
        </w:rPr>
      </w:pPr>
      <w:bookmarkStart w:id="532" w:name="_Toc464396192"/>
      <w:bookmarkStart w:id="533" w:name="_Toc468905482"/>
      <w:bookmarkStart w:id="534" w:name="_Toc464395415"/>
      <w:r>
        <w:rPr>
          <w:rFonts w:hint="eastAsia" w:ascii="宋体" w:hAnsi="宋体" w:cs="宋体"/>
          <w:b w:val="0"/>
          <w:color w:val="auto"/>
          <w:sz w:val="21"/>
          <w:szCs w:val="21"/>
        </w:rPr>
        <w:t>3.2 咨询人的工作要求</w:t>
      </w:r>
      <w:bookmarkEnd w:id="532"/>
      <w:bookmarkEnd w:id="533"/>
      <w:bookmarkEnd w:id="534"/>
    </w:p>
    <w:p>
      <w:pPr>
        <w:pStyle w:val="146"/>
        <w:topLinePunct/>
        <w:adjustRightInd/>
        <w:spacing w:line="360" w:lineRule="auto"/>
        <w:ind w:firstLine="420" w:firstLineChars="200"/>
        <w:rPr>
          <w:rFonts w:ascii="宋体" w:hAnsi="宋体" w:cs="宋体"/>
          <w:color w:val="auto"/>
        </w:rPr>
      </w:pPr>
      <w:r>
        <w:rPr>
          <w:rFonts w:hint="eastAsia" w:ascii="宋体" w:hAnsi="宋体" w:cs="宋体"/>
          <w:color w:val="auto"/>
        </w:rPr>
        <w:t>3.2.1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pPr>
        <w:pStyle w:val="146"/>
        <w:topLinePunct/>
        <w:adjustRightInd/>
        <w:spacing w:line="360" w:lineRule="auto"/>
        <w:ind w:firstLine="420" w:firstLineChars="200"/>
        <w:rPr>
          <w:rFonts w:ascii="宋体" w:hAnsi="宋体" w:cs="宋体"/>
          <w:color w:val="auto"/>
        </w:rPr>
      </w:pPr>
      <w:r>
        <w:rPr>
          <w:rFonts w:hint="eastAsia" w:ascii="宋体" w:hAnsi="宋体" w:cs="宋体"/>
          <w:color w:val="auto"/>
        </w:rPr>
        <w:t>3.2.2咨询人应当在专用条件约定的时间内，按照专用条件约定的份数、组成向委托人提交咨询成果文件。</w:t>
      </w:r>
    </w:p>
    <w:p>
      <w:pPr>
        <w:pStyle w:val="146"/>
        <w:topLinePunct/>
        <w:adjustRightInd/>
        <w:spacing w:line="360" w:lineRule="auto"/>
        <w:ind w:firstLine="420" w:firstLineChars="200"/>
        <w:rPr>
          <w:rFonts w:ascii="宋体" w:hAnsi="宋体" w:cs="宋体"/>
          <w:color w:val="auto"/>
        </w:rPr>
      </w:pPr>
      <w:r>
        <w:rPr>
          <w:rFonts w:hint="eastAsia" w:ascii="宋体" w:hAnsi="宋体" w:cs="宋体"/>
          <w:color w:val="auto"/>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pPr>
        <w:pStyle w:val="146"/>
        <w:topLinePunct/>
        <w:adjustRightInd/>
        <w:spacing w:line="360" w:lineRule="auto"/>
        <w:ind w:firstLine="420" w:firstLineChars="200"/>
        <w:rPr>
          <w:rFonts w:ascii="宋体" w:hAnsi="宋体" w:cs="宋体"/>
          <w:color w:val="auto"/>
        </w:rPr>
      </w:pPr>
      <w:r>
        <w:rPr>
          <w:rFonts w:hint="eastAsia" w:ascii="宋体" w:hAnsi="宋体" w:cs="宋体"/>
          <w:color w:val="auto"/>
        </w:rPr>
        <w:t>3.2.3咨询人提交的工程造价咨询成果文件，除加盖咨询人单位公章、工程造价咨询企业执业印章外，还必须按要求加盖参加咨询工作人员的执业（从业）资格印章。</w:t>
      </w:r>
    </w:p>
    <w:p>
      <w:pPr>
        <w:pStyle w:val="146"/>
        <w:topLinePunct/>
        <w:adjustRightInd/>
        <w:spacing w:line="360" w:lineRule="auto"/>
        <w:ind w:firstLine="420" w:firstLineChars="200"/>
        <w:rPr>
          <w:rFonts w:ascii="宋体" w:hAnsi="宋体" w:cs="宋体"/>
          <w:color w:val="auto"/>
        </w:rPr>
      </w:pPr>
      <w:r>
        <w:rPr>
          <w:rFonts w:hint="eastAsia" w:ascii="宋体" w:hAnsi="宋体" w:cs="宋体"/>
          <w:color w:val="auto"/>
        </w:rPr>
        <w:t>3.2.4咨询人应在专用条件约定的时间内，对委托人以书面形式提出的建议或者异议给予书面答复。</w:t>
      </w:r>
    </w:p>
    <w:p>
      <w:pPr>
        <w:pStyle w:val="146"/>
        <w:topLinePunct/>
        <w:adjustRightInd/>
        <w:spacing w:line="360" w:lineRule="auto"/>
        <w:ind w:firstLine="420" w:firstLineChars="200"/>
        <w:rPr>
          <w:rFonts w:ascii="宋体" w:hAnsi="宋体" w:cs="宋体"/>
          <w:color w:val="auto"/>
        </w:rPr>
      </w:pPr>
      <w:r>
        <w:rPr>
          <w:rFonts w:hint="eastAsia" w:ascii="宋体" w:hAnsi="宋体" w:cs="宋体"/>
          <w:color w:val="auto"/>
        </w:rPr>
        <w:t>3.2.5咨询人从事工程造价咨询活动，应当遵循独立、客观、公正、诚实信用的原则，不得损害社会公共利益和他人的合法权益。</w:t>
      </w:r>
    </w:p>
    <w:p>
      <w:pPr>
        <w:pStyle w:val="146"/>
        <w:topLinePunct/>
        <w:adjustRightInd/>
        <w:spacing w:line="360" w:lineRule="auto"/>
        <w:ind w:firstLine="420" w:firstLineChars="200"/>
        <w:rPr>
          <w:rFonts w:ascii="宋体" w:hAnsi="宋体" w:cs="宋体"/>
          <w:color w:val="auto"/>
        </w:rPr>
      </w:pPr>
      <w:r>
        <w:rPr>
          <w:rFonts w:hint="eastAsia" w:ascii="宋体" w:hAnsi="宋体" w:cs="宋体"/>
          <w:color w:val="auto"/>
        </w:rPr>
        <w:t>3.2.6咨询人承诺按照法律规定及合同约定，完成合同范围内的建设工程造价咨询服务，不转包承接的造价咨询服务业务。</w:t>
      </w:r>
    </w:p>
    <w:p>
      <w:pPr>
        <w:pStyle w:val="34"/>
        <w:topLinePunct/>
        <w:spacing w:before="0" w:after="0" w:line="360" w:lineRule="auto"/>
        <w:ind w:firstLine="420" w:firstLineChars="200"/>
        <w:jc w:val="both"/>
        <w:rPr>
          <w:rFonts w:ascii="宋体" w:hAnsi="宋体" w:cs="宋体"/>
          <w:b w:val="0"/>
          <w:color w:val="auto"/>
          <w:sz w:val="21"/>
          <w:szCs w:val="21"/>
        </w:rPr>
      </w:pPr>
      <w:bookmarkStart w:id="535" w:name="_Toc464396193"/>
      <w:bookmarkStart w:id="536" w:name="_Toc464395416"/>
      <w:bookmarkStart w:id="537" w:name="_Toc419045081"/>
      <w:bookmarkStart w:id="538" w:name="_Toc468905483"/>
      <w:r>
        <w:rPr>
          <w:rFonts w:hint="eastAsia" w:ascii="宋体" w:hAnsi="宋体" w:cs="宋体"/>
          <w:b w:val="0"/>
          <w:color w:val="auto"/>
          <w:sz w:val="21"/>
          <w:szCs w:val="21"/>
        </w:rPr>
        <w:t>3.3咨询人的工作依据</w:t>
      </w:r>
      <w:bookmarkEnd w:id="535"/>
      <w:bookmarkEnd w:id="536"/>
      <w:bookmarkEnd w:id="537"/>
      <w:bookmarkEnd w:id="538"/>
    </w:p>
    <w:p>
      <w:pPr>
        <w:pStyle w:val="146"/>
        <w:topLinePunct/>
        <w:adjustRightInd/>
        <w:spacing w:line="360" w:lineRule="auto"/>
        <w:ind w:firstLine="420" w:firstLineChars="200"/>
        <w:rPr>
          <w:rFonts w:ascii="宋体" w:hAnsi="宋体" w:cs="宋体"/>
          <w:color w:val="auto"/>
        </w:rPr>
      </w:pPr>
      <w:r>
        <w:rPr>
          <w:rFonts w:hint="eastAsia" w:ascii="宋体" w:hAnsi="宋体" w:cs="宋体"/>
          <w:color w:val="auto"/>
        </w:rPr>
        <w:t>咨询人应在专用条件内与委托人协商明确履行本合同约定的咨询服务需要适用的技术标准、规范、定额等工作依据，但不得违反国家及工程所在地的强制性标准、规范。</w:t>
      </w:r>
    </w:p>
    <w:p>
      <w:pPr>
        <w:pStyle w:val="146"/>
        <w:topLinePunct/>
        <w:adjustRightInd/>
        <w:spacing w:line="360" w:lineRule="auto"/>
        <w:ind w:firstLine="420" w:firstLineChars="200"/>
        <w:rPr>
          <w:rFonts w:ascii="宋体" w:hAnsi="宋体" w:cs="宋体"/>
          <w:color w:val="auto"/>
        </w:rPr>
      </w:pPr>
      <w:r>
        <w:rPr>
          <w:rFonts w:hint="eastAsia" w:ascii="宋体" w:hAnsi="宋体" w:cs="宋体"/>
          <w:color w:val="auto"/>
        </w:rPr>
        <w:t>咨询人应自行配备本条所述的技术标准、规范、定额等相关资料。必须由委托人提供的资料，应在附录C中载明。需要委托人协助才能获得的资料，委托人应予以协助。</w:t>
      </w:r>
    </w:p>
    <w:p>
      <w:pPr>
        <w:pStyle w:val="34"/>
        <w:topLinePunct/>
        <w:spacing w:before="0" w:after="0" w:line="360" w:lineRule="auto"/>
        <w:ind w:firstLine="420" w:firstLineChars="200"/>
        <w:jc w:val="both"/>
        <w:rPr>
          <w:rFonts w:ascii="宋体" w:hAnsi="宋体" w:cs="宋体"/>
          <w:b w:val="0"/>
          <w:color w:val="auto"/>
          <w:sz w:val="21"/>
          <w:szCs w:val="21"/>
        </w:rPr>
      </w:pPr>
      <w:bookmarkStart w:id="539" w:name="_Toc419045082"/>
      <w:bookmarkStart w:id="540" w:name="_Toc464395417"/>
      <w:bookmarkStart w:id="541" w:name="_Toc464396194"/>
      <w:bookmarkStart w:id="542" w:name="_Toc468905484"/>
      <w:r>
        <w:rPr>
          <w:rFonts w:hint="eastAsia" w:ascii="宋体" w:hAnsi="宋体" w:cs="宋体"/>
          <w:b w:val="0"/>
          <w:color w:val="auto"/>
          <w:sz w:val="21"/>
          <w:szCs w:val="21"/>
        </w:rPr>
        <w:t>3.4使用委托人房屋及设备的返还</w:t>
      </w:r>
      <w:bookmarkEnd w:id="539"/>
      <w:bookmarkEnd w:id="540"/>
      <w:bookmarkEnd w:id="541"/>
      <w:bookmarkEnd w:id="542"/>
    </w:p>
    <w:p>
      <w:pPr>
        <w:pStyle w:val="146"/>
        <w:topLinePunct/>
        <w:adjustRightInd/>
        <w:spacing w:line="360" w:lineRule="auto"/>
        <w:ind w:firstLine="420" w:firstLineChars="200"/>
        <w:rPr>
          <w:rFonts w:ascii="宋体" w:hAnsi="宋体" w:cs="宋体"/>
          <w:color w:val="auto"/>
        </w:rPr>
      </w:pPr>
      <w:r>
        <w:rPr>
          <w:rFonts w:hint="eastAsia" w:ascii="宋体" w:hAnsi="宋体" w:cs="宋体"/>
          <w:color w:val="auto"/>
        </w:rPr>
        <w:t>项目咨询人员使用委托人提供的房屋及设备的，咨询人应妥善使用和保管，在本合同终止时将上述房屋及设备按专用条件约定的时间和方式返还委托人。</w:t>
      </w:r>
    </w:p>
    <w:bookmarkEnd w:id="531"/>
    <w:p>
      <w:pPr>
        <w:topLinePunct/>
        <w:spacing w:line="360" w:lineRule="auto"/>
        <w:ind w:firstLine="643" w:firstLineChars="200"/>
        <w:rPr>
          <w:rStyle w:val="88"/>
          <w:rFonts w:ascii="宋体" w:hAnsi="宋体" w:cs="宋体"/>
          <w:color w:val="auto"/>
          <w:szCs w:val="21"/>
        </w:rPr>
      </w:pPr>
      <w:bookmarkStart w:id="543" w:name="_Toc419045083"/>
      <w:bookmarkStart w:id="544" w:name="_Toc468905485"/>
      <w:bookmarkStart w:id="545" w:name="_Toc464395418"/>
      <w:bookmarkStart w:id="546" w:name="_Toc464396195"/>
      <w:bookmarkStart w:id="547" w:name="19"/>
      <w:r>
        <w:rPr>
          <w:rStyle w:val="88"/>
          <w:rFonts w:hint="eastAsia" w:ascii="宋体" w:hAnsi="宋体" w:cs="宋体"/>
          <w:color w:val="auto"/>
          <w:szCs w:val="21"/>
        </w:rPr>
        <w:t>4.违约责任</w:t>
      </w:r>
      <w:bookmarkEnd w:id="543"/>
      <w:bookmarkEnd w:id="544"/>
      <w:bookmarkEnd w:id="545"/>
      <w:bookmarkEnd w:id="546"/>
    </w:p>
    <w:p>
      <w:pPr>
        <w:pStyle w:val="34"/>
        <w:topLinePunct/>
        <w:spacing w:before="0" w:after="0" w:line="360" w:lineRule="auto"/>
        <w:ind w:firstLine="420" w:firstLineChars="200"/>
        <w:jc w:val="both"/>
        <w:rPr>
          <w:rFonts w:ascii="宋体" w:hAnsi="宋体" w:cs="宋体"/>
          <w:b w:val="0"/>
          <w:color w:val="auto"/>
          <w:sz w:val="21"/>
          <w:szCs w:val="21"/>
        </w:rPr>
      </w:pPr>
      <w:bookmarkStart w:id="548" w:name="_Toc464396196"/>
      <w:bookmarkStart w:id="549" w:name="_Toc464395419"/>
      <w:bookmarkStart w:id="550" w:name="_Toc468905486"/>
      <w:r>
        <w:rPr>
          <w:rFonts w:hint="eastAsia" w:ascii="宋体" w:hAnsi="宋体" w:cs="宋体"/>
          <w:b w:val="0"/>
          <w:color w:val="auto"/>
          <w:sz w:val="21"/>
          <w:szCs w:val="21"/>
        </w:rPr>
        <w:t>4.1委托人的违约责任</w:t>
      </w:r>
      <w:bookmarkEnd w:id="548"/>
      <w:bookmarkEnd w:id="549"/>
      <w:bookmarkEnd w:id="550"/>
    </w:p>
    <w:p>
      <w:pPr>
        <w:pStyle w:val="146"/>
        <w:topLinePunct/>
        <w:adjustRightInd/>
        <w:spacing w:line="360" w:lineRule="auto"/>
        <w:ind w:firstLine="420" w:firstLineChars="200"/>
        <w:rPr>
          <w:rFonts w:ascii="宋体" w:hAnsi="宋体" w:cs="宋体"/>
          <w:color w:val="auto"/>
        </w:rPr>
      </w:pPr>
      <w:r>
        <w:rPr>
          <w:rFonts w:hint="eastAsia" w:ascii="宋体" w:hAnsi="宋体" w:cs="宋体"/>
          <w:color w:val="auto"/>
        </w:rPr>
        <w:t>4.1.1委托人不履行本合同义务或者履行义务不符合本合同约定的，应承担违约责任。双方可在专用条件中约定违约金的计算及支付方法。</w:t>
      </w:r>
    </w:p>
    <w:p>
      <w:pPr>
        <w:pStyle w:val="146"/>
        <w:topLinePunct/>
        <w:adjustRightInd/>
        <w:spacing w:line="360" w:lineRule="auto"/>
        <w:ind w:firstLine="420" w:firstLineChars="200"/>
        <w:rPr>
          <w:rFonts w:ascii="宋体" w:hAnsi="宋体" w:cs="宋体"/>
          <w:color w:val="auto"/>
        </w:rPr>
      </w:pPr>
      <w:r>
        <w:rPr>
          <w:rFonts w:hint="eastAsia" w:ascii="宋体" w:hAnsi="宋体" w:cs="宋体"/>
          <w:color w:val="auto"/>
        </w:rPr>
        <w:t>4.1.2委托人违反本合同约定造成咨询人损失的，委托人应予以赔偿。双方可在专用条件中约定赔偿金额的确定及支付方法。</w:t>
      </w:r>
    </w:p>
    <w:p>
      <w:pPr>
        <w:pStyle w:val="34"/>
        <w:topLinePunct/>
        <w:spacing w:before="0" w:after="0" w:line="360" w:lineRule="auto"/>
        <w:ind w:firstLine="420" w:firstLineChars="200"/>
        <w:jc w:val="both"/>
        <w:rPr>
          <w:rFonts w:ascii="宋体" w:hAnsi="宋体" w:cs="宋体"/>
          <w:b w:val="0"/>
          <w:color w:val="auto"/>
          <w:sz w:val="21"/>
          <w:szCs w:val="21"/>
        </w:rPr>
      </w:pPr>
      <w:bookmarkStart w:id="551" w:name="_Toc468905487"/>
      <w:bookmarkStart w:id="552" w:name="_Toc464396197"/>
      <w:bookmarkStart w:id="553" w:name="_Toc419045084"/>
      <w:bookmarkStart w:id="554" w:name="_Toc464395420"/>
      <w:r>
        <w:rPr>
          <w:rFonts w:hint="eastAsia" w:ascii="宋体" w:hAnsi="宋体" w:cs="宋体"/>
          <w:b w:val="0"/>
          <w:color w:val="auto"/>
          <w:sz w:val="21"/>
          <w:szCs w:val="21"/>
        </w:rPr>
        <w:t>4.2咨询人的违约责任</w:t>
      </w:r>
      <w:bookmarkEnd w:id="551"/>
      <w:bookmarkEnd w:id="552"/>
      <w:bookmarkEnd w:id="553"/>
      <w:bookmarkEnd w:id="554"/>
    </w:p>
    <w:p>
      <w:pPr>
        <w:pStyle w:val="146"/>
        <w:topLinePunct/>
        <w:adjustRightInd/>
        <w:spacing w:line="360" w:lineRule="auto"/>
        <w:ind w:firstLine="420" w:firstLineChars="200"/>
        <w:rPr>
          <w:rFonts w:ascii="宋体" w:hAnsi="宋体" w:cs="宋体"/>
          <w:color w:val="auto"/>
        </w:rPr>
      </w:pPr>
      <w:r>
        <w:rPr>
          <w:rFonts w:hint="eastAsia" w:ascii="宋体" w:hAnsi="宋体" w:cs="宋体"/>
          <w:color w:val="auto"/>
        </w:rPr>
        <w:t>4.2.1咨询人不履行本合同义务或者履行义务不符合本合同约定的，应承担违约责任。双方可在专用条件中约定违约金的计算及支付方法。</w:t>
      </w:r>
    </w:p>
    <w:p>
      <w:pPr>
        <w:pStyle w:val="146"/>
        <w:topLinePunct/>
        <w:adjustRightInd/>
        <w:spacing w:line="360" w:lineRule="auto"/>
        <w:ind w:firstLine="420" w:firstLineChars="200"/>
        <w:rPr>
          <w:rFonts w:ascii="宋体" w:hAnsi="宋体" w:cs="宋体"/>
          <w:color w:val="auto"/>
        </w:rPr>
      </w:pPr>
      <w:r>
        <w:rPr>
          <w:rFonts w:hint="eastAsia" w:ascii="宋体" w:hAnsi="宋体" w:cs="宋体"/>
          <w:color w:val="auto"/>
        </w:rPr>
        <w:t>4.2.2因咨询人违反本合同约定给委托人造成损失的，咨询人应当赔偿委托人损失。双方可在专用条件中约定赔偿金额的确定及支付方法。</w:t>
      </w:r>
    </w:p>
    <w:p>
      <w:pPr>
        <w:topLinePunct/>
        <w:spacing w:line="360" w:lineRule="auto"/>
        <w:ind w:firstLine="643" w:firstLineChars="200"/>
        <w:rPr>
          <w:rStyle w:val="88"/>
          <w:rFonts w:ascii="宋体" w:hAnsi="宋体" w:cs="宋体"/>
          <w:bCs/>
          <w:color w:val="auto"/>
          <w:szCs w:val="21"/>
        </w:rPr>
      </w:pPr>
      <w:bookmarkStart w:id="555" w:name="_Toc464396198"/>
      <w:bookmarkStart w:id="556" w:name="_Toc468905488"/>
      <w:bookmarkStart w:id="557" w:name="_Toc419045086"/>
      <w:bookmarkStart w:id="558" w:name="_Toc464395421"/>
      <w:r>
        <w:rPr>
          <w:rStyle w:val="88"/>
          <w:rFonts w:hint="eastAsia" w:ascii="宋体" w:hAnsi="宋体" w:cs="宋体"/>
          <w:color w:val="auto"/>
          <w:szCs w:val="21"/>
        </w:rPr>
        <w:t>5.支付</w:t>
      </w:r>
      <w:bookmarkEnd w:id="555"/>
      <w:bookmarkEnd w:id="556"/>
      <w:bookmarkEnd w:id="557"/>
      <w:bookmarkEnd w:id="558"/>
    </w:p>
    <w:p>
      <w:pPr>
        <w:pStyle w:val="34"/>
        <w:topLinePunct/>
        <w:spacing w:before="0" w:after="0" w:line="360" w:lineRule="auto"/>
        <w:ind w:firstLine="420" w:firstLineChars="200"/>
        <w:jc w:val="both"/>
        <w:rPr>
          <w:rFonts w:ascii="宋体" w:hAnsi="宋体" w:cs="宋体"/>
          <w:color w:val="auto"/>
          <w:sz w:val="21"/>
          <w:szCs w:val="21"/>
        </w:rPr>
      </w:pPr>
      <w:bookmarkStart w:id="559" w:name="_Toc464395422"/>
      <w:bookmarkStart w:id="560" w:name="_Toc419045087"/>
      <w:bookmarkStart w:id="561" w:name="_Toc464396199"/>
      <w:bookmarkStart w:id="562" w:name="_Toc468905489"/>
      <w:r>
        <w:rPr>
          <w:rStyle w:val="84"/>
          <w:rFonts w:hint="eastAsia" w:ascii="宋体" w:hAnsi="宋体" w:cs="宋体"/>
          <w:b w:val="0"/>
          <w:bCs w:val="0"/>
          <w:color w:val="auto"/>
          <w:sz w:val="21"/>
          <w:szCs w:val="21"/>
        </w:rPr>
        <w:t>5.1支付货币</w:t>
      </w:r>
      <w:bookmarkEnd w:id="559"/>
      <w:bookmarkEnd w:id="560"/>
      <w:bookmarkEnd w:id="561"/>
      <w:bookmarkEnd w:id="562"/>
    </w:p>
    <w:p>
      <w:pPr>
        <w:topLinePunct/>
        <w:spacing w:line="360" w:lineRule="auto"/>
        <w:ind w:firstLine="420" w:firstLineChars="200"/>
        <w:rPr>
          <w:rStyle w:val="84"/>
          <w:rFonts w:ascii="宋体" w:hAnsi="宋体" w:cs="宋体"/>
          <w:b w:val="0"/>
          <w:color w:val="auto"/>
          <w:szCs w:val="21"/>
        </w:rPr>
      </w:pPr>
      <w:r>
        <w:rPr>
          <w:rFonts w:hint="eastAsia" w:ascii="宋体" w:hAnsi="宋体" w:cs="宋体"/>
          <w:color w:val="auto"/>
        </w:rPr>
        <w:t>除专用条件另有约定外，酬金均以人民币支付。涉及外币支付的，所采用的货币种类和汇率等在专用条件中约定。</w:t>
      </w:r>
    </w:p>
    <w:p>
      <w:pPr>
        <w:pStyle w:val="34"/>
        <w:topLinePunct/>
        <w:spacing w:before="0" w:after="0" w:line="360" w:lineRule="auto"/>
        <w:ind w:firstLine="420" w:firstLineChars="200"/>
        <w:jc w:val="both"/>
        <w:rPr>
          <w:rFonts w:ascii="宋体" w:hAnsi="宋体" w:cs="宋体"/>
          <w:b w:val="0"/>
          <w:color w:val="auto"/>
          <w:sz w:val="21"/>
          <w:szCs w:val="21"/>
        </w:rPr>
      </w:pPr>
      <w:bookmarkStart w:id="563" w:name="_Toc468905490"/>
      <w:bookmarkStart w:id="564" w:name="_Toc464396200"/>
      <w:bookmarkStart w:id="565" w:name="_Toc464395423"/>
      <w:r>
        <w:rPr>
          <w:rFonts w:hint="eastAsia" w:ascii="宋体" w:hAnsi="宋体" w:cs="宋体"/>
          <w:b w:val="0"/>
          <w:color w:val="auto"/>
          <w:sz w:val="21"/>
          <w:szCs w:val="21"/>
        </w:rPr>
        <w:t>5.2支付申请</w:t>
      </w:r>
      <w:bookmarkEnd w:id="563"/>
      <w:bookmarkEnd w:id="564"/>
      <w:bookmarkEnd w:id="565"/>
    </w:p>
    <w:p>
      <w:pPr>
        <w:topLinePunct/>
        <w:spacing w:line="360" w:lineRule="auto"/>
        <w:ind w:firstLine="420" w:firstLineChars="200"/>
        <w:rPr>
          <w:rStyle w:val="84"/>
          <w:rFonts w:ascii="宋体" w:hAnsi="宋体" w:cs="宋体"/>
          <w:b w:val="0"/>
          <w:color w:val="auto"/>
          <w:szCs w:val="21"/>
        </w:rPr>
      </w:pPr>
      <w:r>
        <w:rPr>
          <w:rFonts w:hint="eastAsia" w:ascii="宋体" w:hAnsi="宋体" w:cs="宋体"/>
          <w:color w:val="auto"/>
        </w:rPr>
        <w:t>咨询人应在本合同约定的每次应付款日期前，向委托人提交支付申请书，支付申请书的提交日期由双方在专用条件中约定。支付申请书应当说明当期应付款总额，并列出当期应支付的款项及其金额。</w:t>
      </w:r>
    </w:p>
    <w:p>
      <w:pPr>
        <w:pStyle w:val="34"/>
        <w:topLinePunct/>
        <w:spacing w:before="0" w:after="0" w:line="360" w:lineRule="auto"/>
        <w:ind w:firstLine="420" w:firstLineChars="200"/>
        <w:jc w:val="both"/>
        <w:rPr>
          <w:rFonts w:ascii="宋体" w:hAnsi="宋体" w:cs="宋体"/>
          <w:b w:val="0"/>
          <w:color w:val="auto"/>
          <w:sz w:val="21"/>
          <w:szCs w:val="21"/>
        </w:rPr>
      </w:pPr>
      <w:bookmarkStart w:id="566" w:name="_Toc464395424"/>
      <w:bookmarkStart w:id="567" w:name="_Toc464396201"/>
      <w:bookmarkStart w:id="568" w:name="_Toc468905491"/>
      <w:r>
        <w:rPr>
          <w:rFonts w:hint="eastAsia" w:ascii="宋体" w:hAnsi="宋体" w:cs="宋体"/>
          <w:b w:val="0"/>
          <w:color w:val="auto"/>
          <w:sz w:val="21"/>
          <w:szCs w:val="21"/>
        </w:rPr>
        <w:t>5.3 支付酬金</w:t>
      </w:r>
      <w:bookmarkEnd w:id="566"/>
      <w:bookmarkEnd w:id="567"/>
      <w:bookmarkEnd w:id="568"/>
    </w:p>
    <w:p>
      <w:pPr>
        <w:topLinePunct/>
        <w:spacing w:line="360" w:lineRule="auto"/>
        <w:ind w:firstLine="420" w:firstLineChars="200"/>
        <w:rPr>
          <w:rStyle w:val="84"/>
          <w:rFonts w:ascii="宋体" w:hAnsi="宋体" w:cs="宋体"/>
          <w:b w:val="0"/>
          <w:bCs w:val="0"/>
          <w:color w:val="auto"/>
          <w:kern w:val="0"/>
          <w:szCs w:val="21"/>
        </w:rPr>
      </w:pPr>
      <w:r>
        <w:rPr>
          <w:rFonts w:hint="eastAsia" w:ascii="宋体" w:hAnsi="宋体" w:cs="宋体"/>
          <w:color w:val="auto"/>
        </w:rPr>
        <w:t>支付酬金包括正常工作酬金、附加工作酬金、合理化建议奖励金额及费用。</w:t>
      </w:r>
    </w:p>
    <w:p>
      <w:pPr>
        <w:pStyle w:val="34"/>
        <w:topLinePunct/>
        <w:spacing w:before="0" w:after="0" w:line="360" w:lineRule="auto"/>
        <w:ind w:firstLine="420" w:firstLineChars="200"/>
        <w:jc w:val="both"/>
        <w:rPr>
          <w:rFonts w:ascii="宋体" w:hAnsi="宋体" w:cs="宋体"/>
          <w:b w:val="0"/>
          <w:color w:val="auto"/>
          <w:sz w:val="21"/>
          <w:szCs w:val="21"/>
        </w:rPr>
      </w:pPr>
      <w:bookmarkStart w:id="569" w:name="_Toc464395425"/>
      <w:bookmarkStart w:id="570" w:name="_Toc464396202"/>
      <w:bookmarkStart w:id="571" w:name="_Toc468905492"/>
      <w:r>
        <w:rPr>
          <w:rFonts w:hint="eastAsia" w:ascii="宋体" w:hAnsi="宋体" w:cs="宋体"/>
          <w:b w:val="0"/>
          <w:color w:val="auto"/>
          <w:sz w:val="21"/>
          <w:szCs w:val="21"/>
        </w:rPr>
        <w:t>5.4有异议部分的支付</w:t>
      </w:r>
      <w:bookmarkEnd w:id="569"/>
      <w:bookmarkEnd w:id="570"/>
      <w:bookmarkEnd w:id="571"/>
    </w:p>
    <w:p>
      <w:pPr>
        <w:topLinePunct/>
        <w:spacing w:line="360" w:lineRule="auto"/>
        <w:ind w:firstLine="420" w:firstLineChars="200"/>
        <w:rPr>
          <w:rFonts w:ascii="宋体" w:hAnsi="宋体" w:cs="宋体"/>
          <w:color w:val="auto"/>
        </w:rPr>
      </w:pPr>
      <w:r>
        <w:rPr>
          <w:rFonts w:hint="eastAsia" w:ascii="宋体" w:hAnsi="宋体" w:cs="宋体"/>
          <w:color w:val="auto"/>
        </w:rPr>
        <w:t>委托人对咨询人提交的支付申请书有异议时，应当在收到咨询人提交的支付申请书后7日内，以书面形式向咨询人发出异议通知。无异议部分的款项应按期支付，有异议部分的款项按第7条约定办理。</w:t>
      </w:r>
    </w:p>
    <w:p>
      <w:pPr>
        <w:topLinePunct/>
        <w:spacing w:line="360" w:lineRule="auto"/>
        <w:ind w:firstLine="643" w:firstLineChars="200"/>
        <w:rPr>
          <w:rStyle w:val="88"/>
          <w:rFonts w:ascii="宋体" w:hAnsi="宋体" w:cs="宋体"/>
          <w:color w:val="auto"/>
          <w:szCs w:val="21"/>
        </w:rPr>
      </w:pPr>
      <w:bookmarkStart w:id="572" w:name="_Toc419045088"/>
      <w:bookmarkStart w:id="573" w:name="_Toc468905493"/>
      <w:bookmarkStart w:id="574" w:name="_Toc464396203"/>
      <w:bookmarkStart w:id="575" w:name="_Toc464395426"/>
      <w:r>
        <w:rPr>
          <w:rStyle w:val="88"/>
          <w:rFonts w:hint="eastAsia" w:ascii="宋体" w:hAnsi="宋体" w:cs="宋体"/>
          <w:color w:val="auto"/>
          <w:szCs w:val="21"/>
        </w:rPr>
        <w:t>6.合同变更、解除与终止</w:t>
      </w:r>
      <w:bookmarkEnd w:id="572"/>
      <w:bookmarkEnd w:id="573"/>
      <w:bookmarkEnd w:id="574"/>
      <w:bookmarkEnd w:id="575"/>
    </w:p>
    <w:p>
      <w:pPr>
        <w:topLinePunct/>
        <w:spacing w:line="360" w:lineRule="auto"/>
        <w:ind w:firstLine="643" w:firstLineChars="200"/>
        <w:rPr>
          <w:rFonts w:ascii="宋体" w:hAnsi="宋体" w:cs="宋体"/>
          <w:color w:val="auto"/>
        </w:rPr>
      </w:pPr>
      <w:bookmarkStart w:id="576" w:name="_Toc464395427"/>
      <w:bookmarkStart w:id="577" w:name="_Toc464396204"/>
      <w:bookmarkStart w:id="578" w:name="_Toc468905494"/>
      <w:bookmarkStart w:id="579" w:name="_Toc419045089"/>
      <w:r>
        <w:rPr>
          <w:rStyle w:val="84"/>
          <w:rFonts w:hint="eastAsia" w:ascii="宋体" w:hAnsi="宋体" w:cs="宋体"/>
          <w:color w:val="auto"/>
          <w:szCs w:val="21"/>
        </w:rPr>
        <w:t>6.1合同变更</w:t>
      </w:r>
      <w:bookmarkEnd w:id="576"/>
      <w:bookmarkEnd w:id="577"/>
      <w:bookmarkEnd w:id="578"/>
      <w:bookmarkEnd w:id="579"/>
    </w:p>
    <w:p>
      <w:pPr>
        <w:topLinePunct/>
        <w:spacing w:line="360" w:lineRule="auto"/>
        <w:ind w:firstLine="420" w:firstLineChars="200"/>
        <w:rPr>
          <w:rFonts w:ascii="宋体" w:hAnsi="宋体" w:cs="宋体"/>
          <w:color w:val="auto"/>
        </w:rPr>
      </w:pPr>
      <w:r>
        <w:rPr>
          <w:rFonts w:hint="eastAsia" w:ascii="宋体" w:hAnsi="宋体" w:cs="宋体"/>
          <w:color w:val="auto"/>
        </w:rPr>
        <w:t>6.1.1 任何一方以书面形式提出变更请求时，双方经协商一致后可进行变更。</w:t>
      </w:r>
    </w:p>
    <w:p>
      <w:pPr>
        <w:topLinePunct/>
        <w:spacing w:line="360" w:lineRule="auto"/>
        <w:ind w:firstLine="420" w:firstLineChars="200"/>
        <w:rPr>
          <w:rFonts w:ascii="宋体" w:hAnsi="宋体" w:cs="宋体"/>
          <w:color w:val="auto"/>
        </w:rPr>
      </w:pPr>
      <w:r>
        <w:rPr>
          <w:rFonts w:hint="eastAsia" w:ascii="宋体" w:hAnsi="宋体" w:cs="宋体"/>
          <w:color w:val="auto"/>
        </w:rPr>
        <w:t>6.1.2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pPr>
        <w:topLinePunct/>
        <w:spacing w:line="360" w:lineRule="auto"/>
        <w:ind w:firstLine="420" w:firstLineChars="200"/>
        <w:rPr>
          <w:rFonts w:ascii="宋体" w:hAnsi="宋体" w:cs="宋体"/>
          <w:color w:val="auto"/>
        </w:rPr>
      </w:pPr>
      <w:r>
        <w:rPr>
          <w:rFonts w:hint="eastAsia" w:ascii="宋体" w:hAnsi="宋体" w:cs="宋体"/>
          <w:color w:val="auto"/>
        </w:rPr>
        <w:t>6.1.3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pPr>
        <w:topLinePunct/>
        <w:spacing w:line="360" w:lineRule="auto"/>
        <w:ind w:firstLine="420" w:firstLineChars="200"/>
        <w:rPr>
          <w:rFonts w:ascii="宋体" w:hAnsi="宋体" w:cs="宋体"/>
          <w:b/>
          <w:bCs/>
          <w:color w:val="auto"/>
        </w:rPr>
      </w:pPr>
      <w:r>
        <w:rPr>
          <w:rFonts w:hint="eastAsia" w:ascii="宋体" w:hAnsi="宋体" w:cs="宋体"/>
          <w:color w:val="auto"/>
        </w:rPr>
        <w:t>6.1.4 因工程规模、服务范围及工作内容的变化等导致咨询人的工作量增减时，服务酬金应作相应调整，调整方法由双方在专用条件中约定。</w:t>
      </w:r>
    </w:p>
    <w:p>
      <w:pPr>
        <w:topLinePunct/>
        <w:spacing w:line="360" w:lineRule="auto"/>
        <w:ind w:firstLine="643" w:firstLineChars="200"/>
        <w:rPr>
          <w:rStyle w:val="84"/>
          <w:rFonts w:ascii="宋体" w:hAnsi="宋体" w:cs="宋体"/>
          <w:b w:val="0"/>
          <w:color w:val="auto"/>
          <w:szCs w:val="21"/>
        </w:rPr>
      </w:pPr>
      <w:bookmarkStart w:id="580" w:name="_Toc464396205"/>
      <w:bookmarkStart w:id="581" w:name="_Toc419045090"/>
      <w:bookmarkStart w:id="582" w:name="_Toc468905495"/>
      <w:bookmarkStart w:id="583" w:name="_Toc464395428"/>
      <w:r>
        <w:rPr>
          <w:rStyle w:val="84"/>
          <w:rFonts w:hint="eastAsia" w:ascii="宋体" w:hAnsi="宋体" w:cs="宋体"/>
          <w:color w:val="auto"/>
          <w:szCs w:val="21"/>
        </w:rPr>
        <w:t>6.2合同解除</w:t>
      </w:r>
      <w:bookmarkEnd w:id="580"/>
      <w:bookmarkEnd w:id="581"/>
      <w:bookmarkEnd w:id="582"/>
      <w:bookmarkEnd w:id="583"/>
    </w:p>
    <w:p>
      <w:pPr>
        <w:topLinePunct/>
        <w:spacing w:line="360" w:lineRule="auto"/>
        <w:ind w:firstLine="420" w:firstLineChars="200"/>
        <w:rPr>
          <w:rFonts w:ascii="宋体" w:hAnsi="宋体" w:cs="宋体"/>
          <w:color w:val="auto"/>
        </w:rPr>
      </w:pPr>
      <w:r>
        <w:rPr>
          <w:rFonts w:hint="eastAsia" w:ascii="宋体" w:hAnsi="宋体" w:cs="宋体"/>
          <w:color w:val="auto"/>
        </w:rPr>
        <w:t>6.2.1 委托人与咨询人协商一致，可以解除合同。</w:t>
      </w:r>
    </w:p>
    <w:p>
      <w:pPr>
        <w:topLinePunct/>
        <w:spacing w:line="360" w:lineRule="auto"/>
        <w:ind w:firstLine="420" w:firstLineChars="200"/>
        <w:rPr>
          <w:rFonts w:ascii="宋体" w:hAnsi="宋体" w:cs="宋体"/>
          <w:color w:val="auto"/>
        </w:rPr>
      </w:pPr>
      <w:r>
        <w:rPr>
          <w:rFonts w:hint="eastAsia" w:ascii="宋体" w:hAnsi="宋体" w:cs="宋体"/>
          <w:color w:val="auto"/>
        </w:rPr>
        <w:t>6.2.2 有下列情形之一的，合同当事人一方或双方可以解除合同：</w:t>
      </w:r>
    </w:p>
    <w:p>
      <w:pPr>
        <w:topLinePunct/>
        <w:spacing w:line="360" w:lineRule="auto"/>
        <w:ind w:firstLine="420" w:firstLineChars="200"/>
        <w:rPr>
          <w:rFonts w:ascii="宋体" w:hAnsi="宋体" w:cs="宋体"/>
          <w:color w:val="auto"/>
        </w:rPr>
      </w:pPr>
      <w:r>
        <w:rPr>
          <w:rFonts w:hint="eastAsia" w:ascii="宋体" w:hAnsi="宋体" w:cs="宋体"/>
          <w:color w:val="auto"/>
        </w:rPr>
        <w:t>（1）咨询人将本合同约定的工程造价咨询服务工作全部或部分转包给他人，委托人可以解除合同；</w:t>
      </w:r>
    </w:p>
    <w:p>
      <w:pPr>
        <w:topLinePunct/>
        <w:spacing w:line="360" w:lineRule="auto"/>
        <w:ind w:firstLine="420" w:firstLineChars="200"/>
        <w:rPr>
          <w:rFonts w:ascii="宋体" w:hAnsi="宋体" w:cs="宋体"/>
          <w:color w:val="auto"/>
        </w:rPr>
      </w:pPr>
      <w:r>
        <w:rPr>
          <w:rFonts w:hint="eastAsia" w:ascii="宋体" w:hAnsi="宋体" w:cs="宋体"/>
          <w:color w:val="auto"/>
        </w:rPr>
        <w:t>（2）咨询人提供的造价咨询服务不符合合同约定的要求，经委托人催告仍不能达到合同约定要求的，委托人可以解除合同；</w:t>
      </w:r>
    </w:p>
    <w:p>
      <w:pPr>
        <w:topLinePunct/>
        <w:spacing w:line="360" w:lineRule="auto"/>
        <w:ind w:firstLine="420" w:firstLineChars="200"/>
        <w:rPr>
          <w:rFonts w:ascii="宋体" w:hAnsi="宋体" w:cs="宋体"/>
          <w:color w:val="auto"/>
        </w:rPr>
      </w:pPr>
      <w:r>
        <w:rPr>
          <w:rFonts w:hint="eastAsia" w:ascii="宋体" w:hAnsi="宋体" w:cs="宋体"/>
          <w:color w:val="auto"/>
        </w:rPr>
        <w:t>（3）委托人未按合同约定支付服务酬金，经咨询人催告后，在28天内仍未支付的，咨询人可以解除合同；</w:t>
      </w:r>
    </w:p>
    <w:p>
      <w:pPr>
        <w:topLinePunct/>
        <w:spacing w:line="360" w:lineRule="auto"/>
        <w:ind w:firstLine="420" w:firstLineChars="200"/>
        <w:rPr>
          <w:rFonts w:ascii="宋体" w:hAnsi="宋体" w:cs="宋体"/>
          <w:color w:val="auto"/>
        </w:rPr>
      </w:pPr>
      <w:r>
        <w:rPr>
          <w:rFonts w:hint="eastAsia" w:ascii="宋体" w:hAnsi="宋体" w:cs="宋体"/>
          <w:color w:val="auto"/>
        </w:rPr>
        <w:t>（4）因不可抗力致使合同无法履行；</w:t>
      </w:r>
    </w:p>
    <w:p>
      <w:pPr>
        <w:topLinePunct/>
        <w:spacing w:line="360" w:lineRule="auto"/>
        <w:ind w:firstLine="420" w:firstLineChars="200"/>
        <w:rPr>
          <w:rFonts w:ascii="宋体" w:hAnsi="宋体" w:cs="宋体"/>
          <w:color w:val="auto"/>
        </w:rPr>
      </w:pPr>
      <w:r>
        <w:rPr>
          <w:rFonts w:hint="eastAsia" w:ascii="宋体" w:hAnsi="宋体" w:cs="宋体"/>
          <w:color w:val="auto"/>
        </w:rPr>
        <w:t>（5）因一方违约致使合同无法实际履行或实际履行已无必要。</w:t>
      </w:r>
    </w:p>
    <w:p>
      <w:pPr>
        <w:topLinePunct/>
        <w:spacing w:line="360" w:lineRule="auto"/>
        <w:ind w:firstLine="420" w:firstLineChars="200"/>
        <w:rPr>
          <w:rFonts w:ascii="宋体" w:hAnsi="宋体" w:cs="宋体"/>
          <w:color w:val="auto"/>
        </w:rPr>
      </w:pPr>
      <w:r>
        <w:rPr>
          <w:rFonts w:hint="eastAsia" w:ascii="宋体" w:hAnsi="宋体" w:cs="宋体"/>
          <w:color w:val="auto"/>
        </w:rPr>
        <w:t>除上述情形外，双方可以根据委托的服务范围及工作内容，在专用条件中约定解除合同的其他条件。</w:t>
      </w:r>
    </w:p>
    <w:p>
      <w:pPr>
        <w:topLinePunct/>
        <w:spacing w:line="360" w:lineRule="auto"/>
        <w:ind w:firstLine="420" w:firstLineChars="200"/>
        <w:rPr>
          <w:rFonts w:ascii="宋体" w:hAnsi="宋体" w:cs="宋体"/>
          <w:color w:val="auto"/>
        </w:rPr>
      </w:pPr>
      <w:r>
        <w:rPr>
          <w:rFonts w:hint="eastAsia" w:ascii="宋体" w:hAnsi="宋体" w:cs="宋体"/>
          <w:color w:val="auto"/>
        </w:rPr>
        <w:t>6.2.3 任何一方提出解除合同的，应提前30天书面通知对方。</w:t>
      </w:r>
    </w:p>
    <w:p>
      <w:pPr>
        <w:topLinePunct/>
        <w:spacing w:line="360" w:lineRule="auto"/>
        <w:ind w:firstLine="420" w:firstLineChars="200"/>
        <w:rPr>
          <w:rFonts w:ascii="宋体" w:hAnsi="宋体" w:cs="宋体"/>
          <w:color w:val="auto"/>
        </w:rPr>
      </w:pPr>
      <w:r>
        <w:rPr>
          <w:rFonts w:hint="eastAsia" w:ascii="宋体" w:hAnsi="宋体" w:cs="宋体"/>
          <w:color w:val="auto"/>
        </w:rPr>
        <w:t>6.2.4合同解除后，委托人应按照合同约定向咨询人支付已完成部分的咨询服务酬金。</w:t>
      </w:r>
    </w:p>
    <w:p>
      <w:pPr>
        <w:topLinePunct/>
        <w:spacing w:line="360" w:lineRule="auto"/>
        <w:ind w:firstLine="420" w:firstLineChars="200"/>
        <w:rPr>
          <w:rFonts w:ascii="宋体" w:hAnsi="宋体" w:cs="宋体"/>
          <w:color w:val="auto"/>
        </w:rPr>
      </w:pPr>
      <w:r>
        <w:rPr>
          <w:rFonts w:hint="eastAsia" w:ascii="宋体" w:hAnsi="宋体" w:cs="宋体"/>
          <w:color w:val="auto"/>
        </w:rPr>
        <w:t>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pPr>
        <w:topLinePunct/>
        <w:spacing w:line="360" w:lineRule="auto"/>
        <w:ind w:firstLine="420" w:firstLineChars="200"/>
        <w:rPr>
          <w:rFonts w:ascii="宋体" w:hAnsi="宋体" w:cs="宋体"/>
          <w:color w:val="auto"/>
        </w:rPr>
      </w:pPr>
      <w:r>
        <w:rPr>
          <w:rFonts w:hint="eastAsia" w:ascii="宋体" w:hAnsi="宋体" w:cs="宋体"/>
          <w:color w:val="auto"/>
        </w:rPr>
        <w:t>6.2.5本合同解除后，本合同约定的有关结算、争议解决方式的条款仍然有效。</w:t>
      </w:r>
    </w:p>
    <w:p>
      <w:pPr>
        <w:topLinePunct/>
        <w:spacing w:line="360" w:lineRule="auto"/>
        <w:ind w:firstLine="643" w:firstLineChars="200"/>
        <w:rPr>
          <w:rFonts w:ascii="宋体" w:hAnsi="宋体" w:cs="宋体"/>
          <w:b/>
          <w:bCs/>
          <w:color w:val="auto"/>
        </w:rPr>
      </w:pPr>
      <w:bookmarkStart w:id="584" w:name="_Toc468905496"/>
      <w:bookmarkStart w:id="585" w:name="_Toc464396206"/>
      <w:bookmarkStart w:id="586" w:name="_Toc464395429"/>
      <w:r>
        <w:rPr>
          <w:rStyle w:val="84"/>
          <w:rFonts w:hint="eastAsia" w:ascii="宋体" w:hAnsi="宋体" w:cs="宋体"/>
          <w:color w:val="auto"/>
          <w:szCs w:val="21"/>
        </w:rPr>
        <w:t>6.3 合同终止</w:t>
      </w:r>
      <w:bookmarkEnd w:id="584"/>
      <w:bookmarkEnd w:id="585"/>
      <w:bookmarkEnd w:id="586"/>
    </w:p>
    <w:p>
      <w:pPr>
        <w:topLinePunct/>
        <w:spacing w:line="360" w:lineRule="auto"/>
        <w:ind w:firstLine="420" w:firstLineChars="200"/>
        <w:rPr>
          <w:rFonts w:ascii="宋体" w:hAnsi="宋体" w:cs="宋体"/>
          <w:color w:val="auto"/>
        </w:rPr>
      </w:pPr>
      <w:r>
        <w:rPr>
          <w:rFonts w:hint="eastAsia" w:ascii="宋体" w:hAnsi="宋体" w:cs="宋体"/>
          <w:bCs/>
          <w:color w:val="auto"/>
        </w:rPr>
        <w:t>除合同解除外，以下条</w:t>
      </w:r>
      <w:r>
        <w:rPr>
          <w:rFonts w:hint="eastAsia" w:ascii="宋体" w:hAnsi="宋体" w:cs="宋体"/>
          <w:color w:val="auto"/>
        </w:rPr>
        <w:t>件全部满足时，本合同终止：</w:t>
      </w:r>
    </w:p>
    <w:p>
      <w:pPr>
        <w:topLinePunct/>
        <w:spacing w:line="360" w:lineRule="auto"/>
        <w:ind w:firstLine="420" w:firstLineChars="200"/>
        <w:rPr>
          <w:rFonts w:ascii="宋体" w:hAnsi="宋体" w:cs="宋体"/>
          <w:color w:val="auto"/>
        </w:rPr>
      </w:pPr>
      <w:r>
        <w:rPr>
          <w:rFonts w:hint="eastAsia" w:ascii="宋体" w:hAnsi="宋体" w:cs="宋体"/>
          <w:color w:val="auto"/>
        </w:rPr>
        <w:t>（1）咨询人完成本合同约定的全部工作；</w:t>
      </w:r>
    </w:p>
    <w:p>
      <w:pPr>
        <w:topLinePunct/>
        <w:spacing w:line="360" w:lineRule="auto"/>
        <w:ind w:firstLine="420" w:firstLineChars="200"/>
        <w:rPr>
          <w:rFonts w:ascii="宋体" w:hAnsi="宋体" w:cs="宋体"/>
          <w:color w:val="auto"/>
        </w:rPr>
      </w:pPr>
      <w:r>
        <w:rPr>
          <w:rFonts w:hint="eastAsia" w:ascii="宋体" w:hAnsi="宋体" w:cs="宋体"/>
          <w:color w:val="auto"/>
        </w:rPr>
        <w:t>（2）委托人与咨询人结清并支付酬金；</w:t>
      </w:r>
    </w:p>
    <w:p>
      <w:pPr>
        <w:topLinePunct/>
        <w:spacing w:line="360" w:lineRule="auto"/>
        <w:ind w:firstLine="420" w:firstLineChars="200"/>
        <w:rPr>
          <w:rFonts w:ascii="宋体" w:hAnsi="宋体" w:cs="宋体"/>
          <w:color w:val="auto"/>
        </w:rPr>
      </w:pPr>
      <w:r>
        <w:rPr>
          <w:rFonts w:hint="eastAsia" w:ascii="宋体" w:hAnsi="宋体" w:cs="宋体"/>
          <w:color w:val="auto"/>
        </w:rPr>
        <w:t>（3）咨询人将委托人提供的资料交还。</w:t>
      </w:r>
    </w:p>
    <w:p>
      <w:pPr>
        <w:topLinePunct/>
        <w:spacing w:line="360" w:lineRule="auto"/>
        <w:ind w:firstLine="643" w:firstLineChars="200"/>
        <w:rPr>
          <w:rStyle w:val="84"/>
          <w:rFonts w:ascii="宋体" w:hAnsi="宋体" w:cs="宋体"/>
          <w:color w:val="auto"/>
          <w:szCs w:val="21"/>
        </w:rPr>
      </w:pPr>
      <w:bookmarkStart w:id="587" w:name="_Toc464396207"/>
      <w:bookmarkStart w:id="588" w:name="_Toc419045091"/>
      <w:bookmarkStart w:id="589" w:name="_Toc468905497"/>
      <w:bookmarkStart w:id="590" w:name="_Toc464395430"/>
      <w:r>
        <w:rPr>
          <w:rStyle w:val="84"/>
          <w:rFonts w:hint="eastAsia" w:ascii="宋体" w:hAnsi="宋体" w:cs="宋体"/>
          <w:color w:val="auto"/>
          <w:szCs w:val="21"/>
        </w:rPr>
        <w:t>7.争议解决</w:t>
      </w:r>
      <w:bookmarkEnd w:id="547"/>
      <w:bookmarkEnd w:id="587"/>
      <w:bookmarkEnd w:id="588"/>
      <w:bookmarkEnd w:id="589"/>
      <w:bookmarkEnd w:id="590"/>
    </w:p>
    <w:p>
      <w:pPr>
        <w:pStyle w:val="146"/>
        <w:topLinePunct/>
        <w:adjustRightInd/>
        <w:spacing w:line="360" w:lineRule="auto"/>
        <w:ind w:firstLine="643" w:firstLineChars="200"/>
        <w:rPr>
          <w:rFonts w:ascii="宋体" w:hAnsi="宋体" w:cs="宋体"/>
          <w:color w:val="auto"/>
        </w:rPr>
      </w:pPr>
      <w:bookmarkStart w:id="591" w:name="_Toc468905498"/>
      <w:bookmarkStart w:id="592" w:name="_Toc464395431"/>
      <w:bookmarkStart w:id="593" w:name="_Toc464396208"/>
      <w:bookmarkStart w:id="594" w:name="_Toc419045092"/>
      <w:r>
        <w:rPr>
          <w:rStyle w:val="84"/>
          <w:rFonts w:hint="eastAsia" w:ascii="宋体" w:hAnsi="宋体" w:cs="宋体"/>
          <w:color w:val="auto"/>
        </w:rPr>
        <w:t>7.1协商</w:t>
      </w:r>
      <w:bookmarkEnd w:id="591"/>
      <w:bookmarkEnd w:id="592"/>
      <w:bookmarkEnd w:id="593"/>
      <w:bookmarkEnd w:id="594"/>
    </w:p>
    <w:p>
      <w:pPr>
        <w:pStyle w:val="146"/>
        <w:topLinePunct/>
        <w:adjustRightInd/>
        <w:spacing w:line="360" w:lineRule="auto"/>
        <w:ind w:firstLine="420" w:firstLineChars="200"/>
        <w:rPr>
          <w:rFonts w:ascii="宋体" w:hAnsi="宋体" w:cs="宋体"/>
          <w:color w:val="auto"/>
        </w:rPr>
      </w:pPr>
      <w:r>
        <w:rPr>
          <w:rFonts w:hint="eastAsia" w:ascii="宋体" w:hAnsi="宋体" w:cs="宋体"/>
          <w:color w:val="auto"/>
        </w:rPr>
        <w:t>双方应本着诚实信用的原则协商解决本合同履行过程中发生的争议。</w:t>
      </w:r>
      <w:bookmarkStart w:id="595" w:name="37"/>
    </w:p>
    <w:p>
      <w:pPr>
        <w:pStyle w:val="146"/>
        <w:topLinePunct/>
        <w:adjustRightInd/>
        <w:spacing w:line="360" w:lineRule="auto"/>
        <w:ind w:firstLine="643" w:firstLineChars="200"/>
        <w:rPr>
          <w:rFonts w:ascii="宋体" w:hAnsi="宋体" w:cs="宋体"/>
          <w:color w:val="auto"/>
        </w:rPr>
      </w:pPr>
      <w:bookmarkStart w:id="596" w:name="_Toc464395432"/>
      <w:bookmarkStart w:id="597" w:name="_Toc464396209"/>
      <w:bookmarkStart w:id="598" w:name="_Toc419045093"/>
      <w:bookmarkStart w:id="599" w:name="_Toc468905499"/>
      <w:r>
        <w:rPr>
          <w:rStyle w:val="84"/>
          <w:rFonts w:hint="eastAsia" w:ascii="宋体" w:hAnsi="宋体" w:cs="宋体"/>
          <w:color w:val="auto"/>
        </w:rPr>
        <w:t>7.2</w:t>
      </w:r>
      <w:bookmarkEnd w:id="595"/>
      <w:r>
        <w:rPr>
          <w:rStyle w:val="84"/>
          <w:rFonts w:hint="eastAsia" w:ascii="宋体" w:hAnsi="宋体" w:cs="宋体"/>
          <w:color w:val="auto"/>
        </w:rPr>
        <w:t>调解</w:t>
      </w:r>
      <w:bookmarkEnd w:id="596"/>
      <w:bookmarkEnd w:id="597"/>
      <w:bookmarkEnd w:id="598"/>
      <w:bookmarkEnd w:id="599"/>
    </w:p>
    <w:p>
      <w:pPr>
        <w:pStyle w:val="146"/>
        <w:topLinePunct/>
        <w:adjustRightInd/>
        <w:spacing w:line="360" w:lineRule="auto"/>
        <w:ind w:firstLine="420" w:firstLineChars="200"/>
        <w:rPr>
          <w:rFonts w:ascii="宋体" w:hAnsi="宋体" w:cs="宋体"/>
          <w:b/>
          <w:bCs/>
          <w:color w:val="auto"/>
        </w:rPr>
      </w:pPr>
      <w:r>
        <w:rPr>
          <w:rFonts w:hint="eastAsia" w:ascii="宋体" w:hAnsi="宋体" w:cs="宋体"/>
          <w:color w:val="auto"/>
        </w:rPr>
        <w:t>如果双方不能在14日内或双方商定的其他时间内解决本合同争议，可以将其提交给专用条件约定的或事后达成协议的调解人进行调解。</w:t>
      </w:r>
    </w:p>
    <w:p>
      <w:pPr>
        <w:topLinePunct/>
        <w:spacing w:line="360" w:lineRule="auto"/>
        <w:ind w:firstLine="643" w:firstLineChars="200"/>
        <w:rPr>
          <w:rFonts w:ascii="宋体" w:hAnsi="宋体" w:cs="宋体"/>
          <w:color w:val="auto"/>
        </w:rPr>
      </w:pPr>
      <w:bookmarkStart w:id="600" w:name="38"/>
      <w:bookmarkStart w:id="601" w:name="_Toc464396210"/>
      <w:bookmarkStart w:id="602" w:name="_Toc419045094"/>
      <w:bookmarkStart w:id="603" w:name="_Toc468905500"/>
      <w:bookmarkStart w:id="604" w:name="_Toc464395433"/>
      <w:r>
        <w:rPr>
          <w:rStyle w:val="84"/>
          <w:rFonts w:hint="eastAsia" w:ascii="宋体" w:hAnsi="宋体" w:cs="宋体"/>
          <w:color w:val="auto"/>
          <w:szCs w:val="21"/>
        </w:rPr>
        <w:t>7.</w:t>
      </w:r>
      <w:bookmarkEnd w:id="600"/>
      <w:r>
        <w:rPr>
          <w:rStyle w:val="84"/>
          <w:rFonts w:hint="eastAsia" w:ascii="宋体" w:hAnsi="宋体" w:cs="宋体"/>
          <w:color w:val="auto"/>
          <w:szCs w:val="21"/>
        </w:rPr>
        <w:t>3仲裁或诉讼</w:t>
      </w:r>
      <w:bookmarkEnd w:id="601"/>
      <w:bookmarkEnd w:id="602"/>
      <w:bookmarkEnd w:id="603"/>
      <w:bookmarkEnd w:id="604"/>
    </w:p>
    <w:p>
      <w:pPr>
        <w:topLinePunct/>
        <w:spacing w:line="360" w:lineRule="auto"/>
        <w:ind w:firstLine="420" w:firstLineChars="200"/>
        <w:rPr>
          <w:rFonts w:ascii="宋体" w:hAnsi="宋体" w:cs="宋体"/>
          <w:color w:val="auto"/>
        </w:rPr>
      </w:pPr>
      <w:r>
        <w:rPr>
          <w:rFonts w:hint="eastAsia" w:ascii="宋体" w:hAnsi="宋体" w:cs="宋体"/>
          <w:color w:val="auto"/>
        </w:rPr>
        <w:t>双方均有权不经调解直接向专用条件约定的仲裁机构申请仲裁或向有管辖权的人民法院提起诉讼。</w:t>
      </w:r>
    </w:p>
    <w:p>
      <w:pPr>
        <w:topLinePunct/>
        <w:spacing w:line="360" w:lineRule="auto"/>
        <w:ind w:firstLine="643" w:firstLineChars="200"/>
        <w:rPr>
          <w:rStyle w:val="88"/>
          <w:rFonts w:ascii="宋体" w:hAnsi="宋体" w:cs="宋体"/>
          <w:color w:val="auto"/>
          <w:szCs w:val="21"/>
        </w:rPr>
      </w:pPr>
      <w:bookmarkStart w:id="605" w:name="_Toc419045095"/>
      <w:bookmarkStart w:id="606" w:name="_Toc468905501"/>
      <w:bookmarkStart w:id="607" w:name="_Toc464395434"/>
      <w:bookmarkStart w:id="608" w:name="_Toc464396211"/>
      <w:r>
        <w:rPr>
          <w:rStyle w:val="88"/>
          <w:rFonts w:hint="eastAsia" w:ascii="宋体" w:hAnsi="宋体" w:cs="宋体"/>
          <w:color w:val="auto"/>
          <w:szCs w:val="21"/>
        </w:rPr>
        <w:t>8.其他</w:t>
      </w:r>
      <w:bookmarkEnd w:id="605"/>
      <w:bookmarkEnd w:id="606"/>
      <w:bookmarkEnd w:id="607"/>
      <w:bookmarkEnd w:id="608"/>
    </w:p>
    <w:p>
      <w:pPr>
        <w:pStyle w:val="34"/>
        <w:topLinePunct/>
        <w:spacing w:before="0" w:after="0" w:line="360" w:lineRule="auto"/>
        <w:ind w:firstLine="420" w:firstLineChars="200"/>
        <w:jc w:val="both"/>
        <w:rPr>
          <w:rFonts w:ascii="宋体" w:hAnsi="宋体" w:cs="宋体"/>
          <w:b w:val="0"/>
          <w:color w:val="auto"/>
          <w:sz w:val="21"/>
          <w:szCs w:val="21"/>
        </w:rPr>
      </w:pPr>
      <w:bookmarkStart w:id="609" w:name="39"/>
      <w:bookmarkStart w:id="610" w:name="_Toc468905502"/>
      <w:bookmarkStart w:id="611" w:name="_Toc419045096"/>
      <w:bookmarkStart w:id="612" w:name="_Toc464395435"/>
      <w:bookmarkStart w:id="613" w:name="_Toc464396212"/>
      <w:r>
        <w:rPr>
          <w:rFonts w:hint="eastAsia" w:ascii="宋体" w:hAnsi="宋体" w:cs="宋体"/>
          <w:b w:val="0"/>
          <w:color w:val="auto"/>
          <w:sz w:val="21"/>
          <w:szCs w:val="21"/>
        </w:rPr>
        <w:t>8.1</w:t>
      </w:r>
      <w:bookmarkEnd w:id="609"/>
      <w:r>
        <w:rPr>
          <w:rFonts w:hint="eastAsia" w:ascii="宋体" w:hAnsi="宋体" w:cs="宋体"/>
          <w:b w:val="0"/>
          <w:color w:val="auto"/>
          <w:sz w:val="21"/>
          <w:szCs w:val="21"/>
        </w:rPr>
        <w:t>考察及相关费用</w:t>
      </w:r>
      <w:bookmarkEnd w:id="610"/>
      <w:bookmarkEnd w:id="611"/>
      <w:bookmarkEnd w:id="612"/>
      <w:bookmarkEnd w:id="613"/>
    </w:p>
    <w:p>
      <w:pPr>
        <w:topLinePunct/>
        <w:spacing w:line="360" w:lineRule="auto"/>
        <w:ind w:firstLine="420" w:firstLineChars="200"/>
        <w:rPr>
          <w:rStyle w:val="84"/>
          <w:rFonts w:ascii="宋体" w:hAnsi="宋体" w:cs="宋体"/>
          <w:b w:val="0"/>
          <w:color w:val="auto"/>
          <w:szCs w:val="21"/>
        </w:rPr>
      </w:pPr>
      <w:r>
        <w:rPr>
          <w:rFonts w:hint="eastAsia" w:ascii="宋体" w:hAnsi="宋体" w:cs="宋体"/>
          <w:color w:val="auto"/>
        </w:rPr>
        <w:t>除专用条件另有约定外，咨询人经委托人同意进行考察发生的费用由委托人审核后另行支付。差旅费及相关费用的承担由双方在专用条件中约定。</w:t>
      </w:r>
    </w:p>
    <w:p>
      <w:pPr>
        <w:pStyle w:val="34"/>
        <w:topLinePunct/>
        <w:spacing w:before="0" w:after="0" w:line="360" w:lineRule="auto"/>
        <w:ind w:firstLine="420" w:firstLineChars="200"/>
        <w:jc w:val="both"/>
        <w:rPr>
          <w:rFonts w:ascii="宋体" w:hAnsi="宋体" w:cs="宋体"/>
          <w:b w:val="0"/>
          <w:color w:val="auto"/>
          <w:sz w:val="21"/>
          <w:szCs w:val="21"/>
        </w:rPr>
      </w:pPr>
      <w:bookmarkStart w:id="614" w:name="_Toc464395436"/>
      <w:bookmarkStart w:id="615" w:name="_Toc464396213"/>
      <w:bookmarkStart w:id="616" w:name="_Toc468905503"/>
      <w:r>
        <w:rPr>
          <w:rFonts w:hint="eastAsia" w:ascii="宋体" w:hAnsi="宋体" w:cs="宋体"/>
          <w:b w:val="0"/>
          <w:color w:val="auto"/>
          <w:sz w:val="21"/>
          <w:szCs w:val="21"/>
        </w:rPr>
        <w:t>8.2奖励</w:t>
      </w:r>
      <w:bookmarkEnd w:id="614"/>
      <w:bookmarkEnd w:id="615"/>
      <w:bookmarkEnd w:id="616"/>
    </w:p>
    <w:p>
      <w:pPr>
        <w:topLinePunct/>
        <w:spacing w:line="360" w:lineRule="auto"/>
        <w:ind w:firstLine="420" w:firstLineChars="200"/>
        <w:rPr>
          <w:rStyle w:val="84"/>
          <w:rFonts w:ascii="宋体" w:hAnsi="宋体" w:cs="宋体"/>
          <w:b w:val="0"/>
          <w:color w:val="auto"/>
          <w:szCs w:val="21"/>
        </w:rPr>
      </w:pPr>
      <w:r>
        <w:rPr>
          <w:rFonts w:hint="eastAsia" w:ascii="宋体" w:hAnsi="宋体" w:cs="宋体"/>
          <w:color w:val="auto"/>
        </w:rPr>
        <w:t>对于咨询人在服务过程中提出合理化建议，使委托人获得效益的，双方在专用条件中约定奖励金额的确定方法。奖励金额在合理化建议被采纳后，与最近一期的正常工作酬金同期支付。</w:t>
      </w:r>
    </w:p>
    <w:p>
      <w:pPr>
        <w:pStyle w:val="34"/>
        <w:topLinePunct/>
        <w:spacing w:before="0" w:after="0" w:line="360" w:lineRule="auto"/>
        <w:ind w:firstLine="420" w:firstLineChars="200"/>
        <w:jc w:val="both"/>
        <w:rPr>
          <w:rFonts w:ascii="宋体" w:hAnsi="宋体" w:cs="宋体"/>
          <w:b w:val="0"/>
          <w:color w:val="auto"/>
          <w:sz w:val="21"/>
          <w:szCs w:val="21"/>
        </w:rPr>
      </w:pPr>
      <w:bookmarkStart w:id="617" w:name="_Toc468905504"/>
      <w:bookmarkStart w:id="618" w:name="_Toc464396214"/>
      <w:bookmarkStart w:id="619" w:name="_Toc464395437"/>
      <w:r>
        <w:rPr>
          <w:rFonts w:hint="eastAsia" w:ascii="宋体" w:hAnsi="宋体" w:cs="宋体"/>
          <w:b w:val="0"/>
          <w:color w:val="auto"/>
          <w:sz w:val="21"/>
          <w:szCs w:val="21"/>
        </w:rPr>
        <w:t>8.3保密</w:t>
      </w:r>
      <w:bookmarkEnd w:id="617"/>
      <w:bookmarkEnd w:id="618"/>
      <w:bookmarkEnd w:id="619"/>
    </w:p>
    <w:p>
      <w:pPr>
        <w:topLinePunct/>
        <w:spacing w:line="360" w:lineRule="auto"/>
        <w:ind w:firstLine="420" w:firstLineChars="200"/>
        <w:rPr>
          <w:rFonts w:ascii="宋体" w:hAnsi="宋体" w:cs="宋体"/>
          <w:color w:val="auto"/>
        </w:rPr>
      </w:pPr>
      <w:r>
        <w:rPr>
          <w:rFonts w:hint="eastAsia" w:ascii="宋体" w:hAnsi="宋体" w:cs="宋体"/>
          <w:color w:val="auto"/>
        </w:rPr>
        <w:t>在本合同履行期间或专用条件约定的期限内，双方不得泄露对方申明的保密资料，亦不得泄露与实施工程有关的第三人所提供的保密资料。保密事项在专用条件中约定。</w:t>
      </w:r>
    </w:p>
    <w:p>
      <w:pPr>
        <w:topLinePunct/>
        <w:spacing w:line="360" w:lineRule="auto"/>
        <w:ind w:firstLine="643" w:firstLineChars="200"/>
        <w:rPr>
          <w:rFonts w:ascii="宋体" w:hAnsi="宋体" w:cs="宋体"/>
          <w:color w:val="auto"/>
        </w:rPr>
      </w:pPr>
      <w:bookmarkStart w:id="620" w:name="_Toc419045097"/>
      <w:bookmarkStart w:id="621" w:name="_Toc464395438"/>
      <w:bookmarkStart w:id="622" w:name="_Toc464396215"/>
      <w:bookmarkStart w:id="623" w:name="_Toc468905505"/>
      <w:r>
        <w:rPr>
          <w:rStyle w:val="84"/>
          <w:rFonts w:hint="eastAsia" w:ascii="宋体" w:hAnsi="宋体" w:cs="宋体"/>
          <w:color w:val="auto"/>
          <w:szCs w:val="21"/>
        </w:rPr>
        <w:t>8.4</w:t>
      </w:r>
      <w:bookmarkEnd w:id="620"/>
      <w:r>
        <w:rPr>
          <w:rStyle w:val="84"/>
          <w:rFonts w:hint="eastAsia" w:ascii="宋体" w:hAnsi="宋体" w:cs="宋体"/>
          <w:color w:val="auto"/>
          <w:szCs w:val="21"/>
        </w:rPr>
        <w:t>联络</w:t>
      </w:r>
      <w:bookmarkEnd w:id="621"/>
      <w:bookmarkEnd w:id="622"/>
      <w:bookmarkEnd w:id="623"/>
    </w:p>
    <w:p>
      <w:pPr>
        <w:topLinePunct/>
        <w:spacing w:line="360" w:lineRule="auto"/>
        <w:ind w:firstLine="420" w:firstLineChars="200"/>
        <w:rPr>
          <w:rFonts w:ascii="宋体" w:hAnsi="宋体" w:cs="宋体"/>
          <w:color w:val="auto"/>
        </w:rPr>
      </w:pPr>
      <w:r>
        <w:rPr>
          <w:rFonts w:hint="eastAsia" w:ascii="宋体" w:hAnsi="宋体" w:cs="宋体"/>
          <w:color w:val="auto"/>
        </w:rPr>
        <w:t>8.4.1与合同有关的通知、指示、要求、决定等，均应采用书面形式，并应在专用条件约定的期限内送达接收人和送达地点。</w:t>
      </w:r>
    </w:p>
    <w:p>
      <w:pPr>
        <w:topLinePunct/>
        <w:spacing w:line="360" w:lineRule="auto"/>
        <w:ind w:firstLine="420" w:firstLineChars="200"/>
        <w:rPr>
          <w:rFonts w:ascii="宋体" w:hAnsi="宋体" w:cs="宋体"/>
          <w:color w:val="auto"/>
        </w:rPr>
      </w:pPr>
      <w:r>
        <w:rPr>
          <w:rFonts w:hint="eastAsia" w:ascii="宋体" w:hAnsi="宋体" w:cs="宋体"/>
          <w:color w:val="auto"/>
        </w:rPr>
        <w:t>8.4.2委托人和咨询人应在专用条件中约定各自的送达接收人、送达地点、电子邮箱。任何一方指定的接收人或送达地点或电子邮箱发生变动的，应提前3天以书面形式通知对方，否则视为未发生变动。</w:t>
      </w:r>
    </w:p>
    <w:p>
      <w:pPr>
        <w:tabs>
          <w:tab w:val="left" w:pos="5085"/>
        </w:tabs>
        <w:topLinePunct/>
        <w:spacing w:line="360" w:lineRule="auto"/>
        <w:ind w:firstLine="420" w:firstLineChars="200"/>
        <w:rPr>
          <w:rStyle w:val="84"/>
          <w:rFonts w:ascii="宋体" w:hAnsi="宋体" w:cs="宋体"/>
          <w:b w:val="0"/>
          <w:bCs w:val="0"/>
          <w:color w:val="auto"/>
          <w:kern w:val="0"/>
          <w:szCs w:val="21"/>
        </w:rPr>
      </w:pPr>
      <w:r>
        <w:rPr>
          <w:rFonts w:hint="eastAsia" w:ascii="宋体" w:hAnsi="宋体" w:cs="宋体"/>
          <w:color w:val="auto"/>
        </w:rPr>
        <w:t>8.4.3委托人和咨询人应当及时签收另一方送达至送达地点和指定接收人的往来函件，如确有充分证据证明一方无正当理由拒不签收的，视为认可往来函件的内容。</w:t>
      </w:r>
    </w:p>
    <w:p>
      <w:pPr>
        <w:pStyle w:val="34"/>
        <w:topLinePunct/>
        <w:spacing w:before="0" w:after="0" w:line="360" w:lineRule="auto"/>
        <w:ind w:firstLine="420" w:firstLineChars="200"/>
        <w:jc w:val="both"/>
        <w:rPr>
          <w:rFonts w:ascii="宋体" w:hAnsi="宋体" w:cs="宋体"/>
          <w:b w:val="0"/>
          <w:color w:val="auto"/>
          <w:sz w:val="21"/>
          <w:szCs w:val="21"/>
        </w:rPr>
      </w:pPr>
      <w:bookmarkStart w:id="624" w:name="_Toc464396216"/>
      <w:bookmarkStart w:id="625" w:name="_Toc464395439"/>
      <w:bookmarkStart w:id="626" w:name="_Toc468905506"/>
      <w:r>
        <w:rPr>
          <w:rFonts w:hint="eastAsia" w:ascii="宋体" w:hAnsi="宋体" w:cs="宋体"/>
          <w:b w:val="0"/>
          <w:color w:val="auto"/>
          <w:sz w:val="21"/>
          <w:szCs w:val="21"/>
        </w:rPr>
        <w:t>8.5知识产权</w:t>
      </w:r>
      <w:bookmarkEnd w:id="624"/>
      <w:bookmarkEnd w:id="625"/>
      <w:bookmarkEnd w:id="626"/>
    </w:p>
    <w:p>
      <w:pPr>
        <w:topLinePunct/>
        <w:spacing w:line="360" w:lineRule="auto"/>
        <w:ind w:firstLine="420" w:firstLineChars="200"/>
        <w:rPr>
          <w:rFonts w:ascii="宋体" w:hAnsi="宋体" w:cs="宋体"/>
          <w:color w:val="auto"/>
        </w:rPr>
      </w:pPr>
      <w:r>
        <w:rPr>
          <w:rFonts w:hint="eastAsia" w:ascii="宋体" w:hAnsi="宋体" w:cs="宋体"/>
          <w:color w:val="auto"/>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pPr>
        <w:topLinePunct/>
        <w:spacing w:line="360" w:lineRule="auto"/>
        <w:ind w:firstLine="420" w:firstLineChars="200"/>
        <w:rPr>
          <w:rFonts w:ascii="宋体" w:hAnsi="宋体" w:cs="宋体"/>
          <w:color w:val="auto"/>
        </w:rPr>
      </w:pPr>
      <w:r>
        <w:rPr>
          <w:rFonts w:hint="eastAsia" w:ascii="宋体" w:hAnsi="宋体" w:cs="宋体"/>
          <w:color w:val="auto"/>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pPr>
        <w:topLinePunct/>
        <w:spacing w:line="360" w:lineRule="auto"/>
        <w:ind w:firstLine="420" w:firstLineChars="200"/>
        <w:rPr>
          <w:rFonts w:ascii="宋体" w:hAnsi="宋体" w:cs="宋体"/>
          <w:color w:val="auto"/>
        </w:rPr>
      </w:pPr>
      <w:r>
        <w:rPr>
          <w:rFonts w:hint="eastAsia" w:ascii="宋体" w:hAnsi="宋体" w:cs="宋体"/>
          <w:color w:val="auto"/>
        </w:rPr>
        <w:t>双方保证在履行本合同过程中不侵犯对方及第三方的知识产权。因咨询人侵犯他人知识产权所引起的责任，由咨询人承担；因委托人提供的基础资料导致侵权的，由委托人承担责任。</w:t>
      </w:r>
    </w:p>
    <w:p>
      <w:pPr>
        <w:topLinePunct/>
        <w:spacing w:line="360" w:lineRule="auto"/>
        <w:ind w:firstLine="420" w:firstLineChars="200"/>
        <w:rPr>
          <w:rFonts w:ascii="宋体" w:hAnsi="宋体" w:cs="宋体"/>
          <w:color w:val="auto"/>
        </w:rPr>
      </w:pPr>
      <w:r>
        <w:rPr>
          <w:rFonts w:hint="eastAsia" w:ascii="宋体" w:hAnsi="宋体" w:cs="宋体"/>
          <w:color w:val="auto"/>
        </w:rPr>
        <w:t>除专用条件另有约定外，双方均有权在履行本合同保密义务并且不损害对方利益的情况下，将履行本合同形成的有关成果文件用于企业宣传、申报奖项以及接受上级主管部门的检查。</w:t>
      </w:r>
      <w:bookmarkStart w:id="627" w:name="_Toc464395440"/>
      <w:bookmarkStart w:id="628" w:name="_Toc419045098"/>
      <w:bookmarkStart w:id="629" w:name="_Toc464396217"/>
    </w:p>
    <w:p>
      <w:pPr>
        <w:pStyle w:val="3"/>
        <w:spacing w:line="360" w:lineRule="auto"/>
        <w:ind w:firstLine="422" w:firstLineChars="200"/>
        <w:rPr>
          <w:color w:val="auto"/>
          <w:sz w:val="30"/>
          <w:szCs w:val="30"/>
        </w:rPr>
      </w:pPr>
      <w:r>
        <w:rPr>
          <w:rFonts w:hint="eastAsia" w:ascii="宋体" w:hAnsi="宋体" w:cs="宋体"/>
          <w:color w:val="auto"/>
          <w:sz w:val="21"/>
          <w:szCs w:val="21"/>
        </w:rPr>
        <w:br w:type="page"/>
      </w:r>
      <w:bookmarkStart w:id="630" w:name="_Toc16389"/>
      <w:bookmarkStart w:id="631" w:name="_Toc17803"/>
      <w:bookmarkStart w:id="632" w:name="_Toc468905507"/>
      <w:r>
        <w:rPr>
          <w:rFonts w:hint="eastAsia"/>
          <w:color w:val="auto"/>
          <w:sz w:val="30"/>
          <w:szCs w:val="30"/>
        </w:rPr>
        <w:t>第三部分　专用条件</w:t>
      </w:r>
      <w:bookmarkEnd w:id="627"/>
      <w:bookmarkEnd w:id="628"/>
      <w:bookmarkEnd w:id="629"/>
      <w:bookmarkEnd w:id="630"/>
      <w:bookmarkEnd w:id="631"/>
      <w:bookmarkEnd w:id="632"/>
      <w:bookmarkStart w:id="633" w:name="_Toc419045099"/>
    </w:p>
    <w:bookmarkEnd w:id="633"/>
    <w:p>
      <w:pPr>
        <w:pStyle w:val="45"/>
        <w:topLinePunct/>
        <w:adjustRightInd/>
        <w:spacing w:before="0" w:after="0" w:line="360" w:lineRule="auto"/>
        <w:ind w:firstLine="422" w:firstLineChars="200"/>
        <w:jc w:val="both"/>
        <w:rPr>
          <w:rFonts w:cs="宋体" w:asciiTheme="majorEastAsia" w:hAnsiTheme="majorEastAsia" w:eastAsiaTheme="majorEastAsia"/>
          <w:color w:val="auto"/>
          <w:sz w:val="21"/>
          <w:szCs w:val="21"/>
        </w:rPr>
      </w:pPr>
      <w:bookmarkStart w:id="634" w:name="_Toc20565"/>
      <w:r>
        <w:rPr>
          <w:rFonts w:hint="eastAsia" w:cs="宋体" w:asciiTheme="majorEastAsia" w:hAnsiTheme="majorEastAsia" w:eastAsiaTheme="majorEastAsia"/>
          <w:color w:val="auto"/>
          <w:sz w:val="21"/>
          <w:szCs w:val="21"/>
        </w:rPr>
        <w:t>1.词语定义、语言、解释顺序与适用法律</w:t>
      </w:r>
    </w:p>
    <w:p>
      <w:pPr>
        <w:topLinePunct/>
        <w:spacing w:line="360" w:lineRule="auto"/>
        <w:ind w:firstLine="422" w:firstLineChars="200"/>
        <w:rPr>
          <w:rFonts w:cs="宋体" w:asciiTheme="majorEastAsia" w:hAnsiTheme="majorEastAsia" w:eastAsiaTheme="majorEastAsia"/>
          <w:color w:val="auto"/>
          <w:szCs w:val="21"/>
        </w:rPr>
      </w:pPr>
      <w:bookmarkStart w:id="635" w:name="_Toc464396218"/>
      <w:bookmarkStart w:id="636" w:name="_Toc464395441"/>
      <w:bookmarkStart w:id="637" w:name="_Toc419045101"/>
      <w:bookmarkStart w:id="638" w:name="_Toc468905509"/>
      <w:r>
        <w:rPr>
          <w:rStyle w:val="84"/>
          <w:rFonts w:hint="eastAsia" w:cs="宋体" w:asciiTheme="majorEastAsia" w:hAnsiTheme="majorEastAsia" w:eastAsiaTheme="majorEastAsia"/>
          <w:color w:val="auto"/>
          <w:sz w:val="21"/>
          <w:szCs w:val="21"/>
        </w:rPr>
        <w:t>1.1 语言</w:t>
      </w:r>
      <w:bookmarkEnd w:id="635"/>
      <w:bookmarkEnd w:id="636"/>
      <w:bookmarkEnd w:id="637"/>
      <w:bookmarkEnd w:id="638"/>
    </w:p>
    <w:p>
      <w:pPr>
        <w:topLinePunct/>
        <w:spacing w:line="360" w:lineRule="auto"/>
        <w:ind w:firstLine="420" w:firstLineChars="200"/>
        <w:rPr>
          <w:rStyle w:val="84"/>
          <w:rFonts w:cs="宋体" w:asciiTheme="majorEastAsia" w:hAnsiTheme="majorEastAsia" w:eastAsiaTheme="majorEastAsia"/>
          <w:b w:val="0"/>
          <w:color w:val="auto"/>
          <w:sz w:val="21"/>
          <w:szCs w:val="21"/>
        </w:rPr>
      </w:pPr>
      <w:r>
        <w:rPr>
          <w:rFonts w:hint="eastAsia" w:cs="宋体" w:asciiTheme="majorEastAsia" w:hAnsiTheme="majorEastAsia" w:eastAsiaTheme="majorEastAsia"/>
          <w:color w:val="auto"/>
          <w:szCs w:val="21"/>
        </w:rPr>
        <w:t>本合同文件除使用中文外，还可用</w:t>
      </w:r>
      <w:r>
        <w:rPr>
          <w:rFonts w:hint="eastAsia" w:cs="宋体" w:asciiTheme="majorEastAsia" w:hAnsiTheme="majorEastAsia" w:eastAsiaTheme="majorEastAsia"/>
          <w:color w:val="auto"/>
          <w:szCs w:val="21"/>
          <w:u w:val="single"/>
        </w:rPr>
        <w:t xml:space="preserve">     /      </w:t>
      </w:r>
      <w:r>
        <w:rPr>
          <w:rFonts w:hint="eastAsia" w:cs="宋体" w:asciiTheme="majorEastAsia" w:hAnsiTheme="majorEastAsia" w:eastAsiaTheme="majorEastAsia"/>
          <w:color w:val="auto"/>
          <w:szCs w:val="21"/>
        </w:rPr>
        <w:t>。</w:t>
      </w:r>
    </w:p>
    <w:p>
      <w:pPr>
        <w:pStyle w:val="34"/>
        <w:topLinePunct/>
        <w:spacing w:before="0" w:after="0" w:line="360" w:lineRule="auto"/>
        <w:ind w:firstLine="420" w:firstLineChars="200"/>
        <w:jc w:val="both"/>
        <w:outlineLvl w:val="9"/>
        <w:rPr>
          <w:rFonts w:cs="宋体" w:asciiTheme="majorEastAsia" w:hAnsiTheme="majorEastAsia" w:eastAsiaTheme="majorEastAsia"/>
          <w:b w:val="0"/>
          <w:color w:val="auto"/>
          <w:sz w:val="21"/>
          <w:szCs w:val="21"/>
        </w:rPr>
      </w:pPr>
      <w:bookmarkStart w:id="639" w:name="_Toc464395442"/>
      <w:bookmarkStart w:id="640" w:name="_Toc464396219"/>
      <w:bookmarkStart w:id="641" w:name="_Toc468905510"/>
      <w:r>
        <w:rPr>
          <w:rFonts w:hint="eastAsia" w:cs="宋体" w:asciiTheme="majorEastAsia" w:hAnsiTheme="majorEastAsia" w:eastAsiaTheme="majorEastAsia"/>
          <w:b w:val="0"/>
          <w:color w:val="auto"/>
          <w:sz w:val="21"/>
          <w:szCs w:val="21"/>
        </w:rPr>
        <w:t>1.2合同文件的优先顺序</w:t>
      </w:r>
      <w:bookmarkEnd w:id="639"/>
      <w:bookmarkEnd w:id="640"/>
      <w:bookmarkEnd w:id="641"/>
    </w:p>
    <w:p>
      <w:pPr>
        <w:topLinePunct/>
        <w:spacing w:line="360" w:lineRule="auto"/>
        <w:ind w:firstLine="420" w:firstLineChars="200"/>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本合同文件的解释顺序为：</w:t>
      </w:r>
      <w:r>
        <w:rPr>
          <w:rFonts w:hint="eastAsia" w:cs="宋体" w:asciiTheme="majorEastAsia" w:hAnsiTheme="majorEastAsia" w:eastAsiaTheme="majorEastAsia"/>
          <w:color w:val="auto"/>
          <w:szCs w:val="21"/>
          <w:u w:val="single"/>
        </w:rPr>
        <w:t xml:space="preserve">详见通用条款1.3 </w:t>
      </w:r>
      <w:r>
        <w:rPr>
          <w:rFonts w:hint="eastAsia" w:cs="宋体" w:asciiTheme="majorEastAsia" w:hAnsiTheme="majorEastAsia" w:eastAsiaTheme="majorEastAsia"/>
          <w:color w:val="auto"/>
          <w:szCs w:val="21"/>
        </w:rPr>
        <w:t>。</w:t>
      </w:r>
    </w:p>
    <w:p>
      <w:pPr>
        <w:topLinePunct/>
        <w:spacing w:line="360" w:lineRule="auto"/>
        <w:ind w:firstLine="422" w:firstLineChars="200"/>
        <w:rPr>
          <w:rStyle w:val="84"/>
          <w:rFonts w:cs="宋体" w:asciiTheme="majorEastAsia" w:hAnsiTheme="majorEastAsia" w:eastAsiaTheme="majorEastAsia"/>
          <w:b w:val="0"/>
          <w:color w:val="auto"/>
          <w:sz w:val="21"/>
          <w:szCs w:val="21"/>
        </w:rPr>
      </w:pPr>
      <w:bookmarkStart w:id="642" w:name="_Toc464396220"/>
      <w:bookmarkStart w:id="643" w:name="_Toc464395443"/>
      <w:bookmarkStart w:id="644" w:name="_Toc468905511"/>
      <w:bookmarkStart w:id="645" w:name="_Toc419045102"/>
      <w:r>
        <w:rPr>
          <w:rStyle w:val="84"/>
          <w:rFonts w:hint="eastAsia" w:cs="宋体" w:asciiTheme="majorEastAsia" w:hAnsiTheme="majorEastAsia" w:eastAsiaTheme="majorEastAsia"/>
          <w:color w:val="auto"/>
          <w:sz w:val="21"/>
          <w:szCs w:val="21"/>
        </w:rPr>
        <w:t>1.3适用法律</w:t>
      </w:r>
      <w:bookmarkEnd w:id="642"/>
      <w:bookmarkEnd w:id="643"/>
      <w:bookmarkEnd w:id="644"/>
      <w:bookmarkEnd w:id="645"/>
    </w:p>
    <w:p>
      <w:pPr>
        <w:topLinePunct/>
        <w:spacing w:line="360" w:lineRule="auto"/>
        <w:ind w:firstLine="420" w:firstLineChars="200"/>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 xml:space="preserve">本合同适用的其他规范性文件包括: </w:t>
      </w:r>
      <w:r>
        <w:rPr>
          <w:rFonts w:hint="eastAsia" w:cs="宋体" w:asciiTheme="majorEastAsia" w:hAnsiTheme="majorEastAsia" w:eastAsiaTheme="majorEastAsia"/>
          <w:color w:val="auto"/>
          <w:szCs w:val="21"/>
          <w:u w:val="single"/>
        </w:rPr>
        <w:t>民法典、施工承发包合同、本项目施工图纸、招标文件（含工程量清单）、《建设工程工程量清单计价规范》（GB50500-2013）及其9本工程量计算规范、2014年《江苏省建筑与装饰工程计价定额》、2014年《江苏省安装工程计价定额》、2007年《江苏省建设工程工程量清单计价项目指引》及其相应费用定额。</w:t>
      </w:r>
    </w:p>
    <w:p>
      <w:pPr>
        <w:pStyle w:val="45"/>
        <w:topLinePunct/>
        <w:adjustRightInd/>
        <w:spacing w:before="0" w:after="0" w:line="360" w:lineRule="auto"/>
        <w:ind w:firstLine="422" w:firstLineChars="200"/>
        <w:jc w:val="both"/>
        <w:rPr>
          <w:rFonts w:cs="宋体" w:asciiTheme="majorEastAsia" w:hAnsiTheme="majorEastAsia" w:eastAsiaTheme="majorEastAsia"/>
          <w:color w:val="auto"/>
          <w:sz w:val="21"/>
          <w:szCs w:val="21"/>
        </w:rPr>
      </w:pPr>
      <w:bookmarkStart w:id="646" w:name="_Toc464395444"/>
      <w:bookmarkStart w:id="647" w:name="_Toc464396221"/>
      <w:bookmarkStart w:id="648" w:name="_Toc419045103"/>
      <w:bookmarkStart w:id="649" w:name="_Toc468905512"/>
      <w:r>
        <w:rPr>
          <w:rFonts w:hint="eastAsia" w:cs="宋体" w:asciiTheme="majorEastAsia" w:hAnsiTheme="majorEastAsia" w:eastAsiaTheme="majorEastAsia"/>
          <w:color w:val="auto"/>
          <w:sz w:val="21"/>
          <w:szCs w:val="21"/>
        </w:rPr>
        <w:t>2.委托人的义务</w:t>
      </w:r>
      <w:bookmarkEnd w:id="646"/>
      <w:bookmarkEnd w:id="647"/>
      <w:bookmarkEnd w:id="648"/>
      <w:bookmarkEnd w:id="649"/>
    </w:p>
    <w:p>
      <w:pPr>
        <w:topLinePunct/>
        <w:spacing w:line="360" w:lineRule="auto"/>
        <w:ind w:firstLine="422" w:firstLineChars="200"/>
        <w:rPr>
          <w:rStyle w:val="84"/>
          <w:rFonts w:cs="宋体" w:asciiTheme="majorEastAsia" w:hAnsiTheme="majorEastAsia" w:eastAsiaTheme="majorEastAsia"/>
          <w:b w:val="0"/>
          <w:color w:val="auto"/>
          <w:sz w:val="21"/>
          <w:szCs w:val="21"/>
        </w:rPr>
      </w:pPr>
      <w:bookmarkStart w:id="650" w:name="_Toc419045104"/>
      <w:bookmarkStart w:id="651" w:name="_Toc464396222"/>
      <w:bookmarkStart w:id="652" w:name="_Toc468905513"/>
      <w:bookmarkStart w:id="653" w:name="_Toc464395445"/>
      <w:r>
        <w:rPr>
          <w:rStyle w:val="84"/>
          <w:rFonts w:hint="eastAsia" w:cs="宋体" w:asciiTheme="majorEastAsia" w:hAnsiTheme="majorEastAsia" w:eastAsiaTheme="majorEastAsia"/>
          <w:color w:val="auto"/>
          <w:sz w:val="21"/>
          <w:szCs w:val="21"/>
        </w:rPr>
        <w:t>2.1提供资料</w:t>
      </w:r>
      <w:bookmarkEnd w:id="650"/>
      <w:bookmarkEnd w:id="651"/>
      <w:bookmarkEnd w:id="652"/>
      <w:bookmarkEnd w:id="653"/>
    </w:p>
    <w:p>
      <w:pPr>
        <w:topLinePunct/>
        <w:spacing w:line="360" w:lineRule="auto"/>
        <w:ind w:firstLine="420" w:firstLineChars="200"/>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委托人按照附录B约定无偿向咨询人提供与本合同咨询业务有关资料的时间为：</w:t>
      </w:r>
      <w:r>
        <w:rPr>
          <w:rFonts w:hint="eastAsia" w:cs="宋体" w:asciiTheme="majorEastAsia" w:hAnsiTheme="majorEastAsia" w:eastAsiaTheme="majorEastAsia"/>
          <w:color w:val="auto"/>
          <w:szCs w:val="21"/>
          <w:u w:val="single"/>
        </w:rPr>
        <w:t xml:space="preserve">  详见附录B    </w:t>
      </w:r>
      <w:r>
        <w:rPr>
          <w:rFonts w:hint="eastAsia" w:cs="宋体" w:asciiTheme="majorEastAsia" w:hAnsiTheme="majorEastAsia" w:eastAsiaTheme="majorEastAsia"/>
          <w:color w:val="auto"/>
          <w:szCs w:val="21"/>
        </w:rPr>
        <w:t>。</w:t>
      </w:r>
    </w:p>
    <w:p>
      <w:pPr>
        <w:topLinePunct/>
        <w:spacing w:line="360" w:lineRule="auto"/>
        <w:ind w:firstLine="422" w:firstLineChars="200"/>
        <w:rPr>
          <w:rStyle w:val="84"/>
          <w:rFonts w:cs="宋体" w:asciiTheme="majorEastAsia" w:hAnsiTheme="majorEastAsia" w:eastAsiaTheme="majorEastAsia"/>
          <w:b w:val="0"/>
          <w:color w:val="auto"/>
          <w:sz w:val="21"/>
          <w:szCs w:val="21"/>
        </w:rPr>
      </w:pPr>
      <w:bookmarkStart w:id="654" w:name="_Toc464396223"/>
      <w:bookmarkStart w:id="655" w:name="_Toc464395446"/>
      <w:bookmarkStart w:id="656" w:name="_Toc419045105"/>
      <w:bookmarkStart w:id="657" w:name="_Toc468905514"/>
      <w:r>
        <w:rPr>
          <w:rStyle w:val="84"/>
          <w:rFonts w:hint="eastAsia" w:cs="宋体" w:asciiTheme="majorEastAsia" w:hAnsiTheme="majorEastAsia" w:eastAsiaTheme="majorEastAsia"/>
          <w:color w:val="auto"/>
          <w:sz w:val="21"/>
          <w:szCs w:val="21"/>
        </w:rPr>
        <w:t>2.2提供工作条件</w:t>
      </w:r>
      <w:bookmarkEnd w:id="654"/>
      <w:bookmarkEnd w:id="655"/>
      <w:bookmarkEnd w:id="656"/>
      <w:bookmarkEnd w:id="657"/>
    </w:p>
    <w:p>
      <w:pPr>
        <w:topLinePunct/>
        <w:spacing w:line="360" w:lineRule="auto"/>
        <w:ind w:firstLine="420" w:firstLineChars="200"/>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2.2.1项目咨询人员使用附录C中由委托人提供的房屋及设备，支付使用费的标准为：</w:t>
      </w:r>
      <w:r>
        <w:rPr>
          <w:rFonts w:hint="eastAsia" w:cs="宋体" w:asciiTheme="majorEastAsia" w:hAnsiTheme="majorEastAsia" w:eastAsiaTheme="majorEastAsia"/>
          <w:color w:val="auto"/>
          <w:szCs w:val="21"/>
          <w:u w:val="single"/>
        </w:rPr>
        <w:t xml:space="preserve">  无偿使用 </w:t>
      </w:r>
      <w:r>
        <w:rPr>
          <w:rFonts w:hint="eastAsia" w:cs="宋体" w:asciiTheme="majorEastAsia" w:hAnsiTheme="majorEastAsia" w:eastAsiaTheme="majorEastAsia"/>
          <w:color w:val="auto"/>
          <w:szCs w:val="21"/>
        </w:rPr>
        <w:t>。</w:t>
      </w:r>
    </w:p>
    <w:p>
      <w:pPr>
        <w:topLinePunct/>
        <w:spacing w:line="360" w:lineRule="auto"/>
        <w:ind w:firstLine="422" w:firstLineChars="200"/>
        <w:rPr>
          <w:rFonts w:cs="宋体" w:asciiTheme="majorEastAsia" w:hAnsiTheme="majorEastAsia" w:eastAsiaTheme="majorEastAsia"/>
          <w:color w:val="auto"/>
          <w:szCs w:val="21"/>
        </w:rPr>
      </w:pPr>
      <w:bookmarkStart w:id="658" w:name="_Toc464395447"/>
      <w:bookmarkStart w:id="659" w:name="_Toc419045106"/>
      <w:bookmarkStart w:id="660" w:name="_Toc464396224"/>
      <w:bookmarkStart w:id="661" w:name="_Toc468905515"/>
      <w:r>
        <w:rPr>
          <w:rStyle w:val="84"/>
          <w:rFonts w:hint="eastAsia" w:cs="宋体" w:asciiTheme="majorEastAsia" w:hAnsiTheme="majorEastAsia" w:eastAsiaTheme="majorEastAsia"/>
          <w:color w:val="auto"/>
          <w:sz w:val="21"/>
          <w:szCs w:val="21"/>
        </w:rPr>
        <w:t>2.3委托人代表</w:t>
      </w:r>
      <w:bookmarkEnd w:id="658"/>
      <w:bookmarkEnd w:id="659"/>
      <w:bookmarkEnd w:id="660"/>
      <w:bookmarkEnd w:id="661"/>
    </w:p>
    <w:p>
      <w:pPr>
        <w:topLinePunct/>
        <w:spacing w:line="360" w:lineRule="auto"/>
        <w:ind w:firstLine="420" w:firstLineChars="200"/>
        <w:rPr>
          <w:rStyle w:val="84"/>
          <w:rFonts w:cs="宋体" w:asciiTheme="majorEastAsia" w:hAnsiTheme="majorEastAsia" w:eastAsiaTheme="majorEastAsia"/>
          <w:b w:val="0"/>
          <w:bCs w:val="0"/>
          <w:color w:val="auto"/>
          <w:kern w:val="0"/>
          <w:sz w:val="21"/>
          <w:szCs w:val="21"/>
        </w:rPr>
      </w:pPr>
      <w:r>
        <w:rPr>
          <w:rFonts w:hint="eastAsia" w:cs="宋体" w:asciiTheme="majorEastAsia" w:hAnsiTheme="majorEastAsia" w:eastAsiaTheme="majorEastAsia"/>
          <w:color w:val="auto"/>
          <w:szCs w:val="21"/>
        </w:rPr>
        <w:t>委托人代表为：</w:t>
      </w:r>
      <w:r>
        <w:rPr>
          <w:rFonts w:hint="eastAsia" w:cs="宋体" w:asciiTheme="majorEastAsia" w:hAnsiTheme="majorEastAsia" w:eastAsiaTheme="majorEastAsia"/>
          <w:color w:val="auto"/>
          <w:szCs w:val="21"/>
          <w:u w:val="single"/>
        </w:rPr>
        <w:t xml:space="preserve">            </w:t>
      </w:r>
      <w:r>
        <w:rPr>
          <w:rFonts w:hint="eastAsia" w:cs="宋体" w:asciiTheme="majorEastAsia" w:hAnsiTheme="majorEastAsia" w:eastAsiaTheme="majorEastAsia"/>
          <w:color w:val="auto"/>
          <w:szCs w:val="21"/>
        </w:rPr>
        <w:t>，其权限范围：</w:t>
      </w:r>
      <w:r>
        <w:rPr>
          <w:rFonts w:hint="eastAsia" w:cs="宋体" w:asciiTheme="majorEastAsia" w:hAnsiTheme="majorEastAsia" w:eastAsiaTheme="majorEastAsia"/>
          <w:color w:val="auto"/>
          <w:szCs w:val="21"/>
          <w:u w:val="single"/>
        </w:rPr>
        <w:t xml:space="preserve">负责本合同的履行  </w:t>
      </w:r>
      <w:r>
        <w:rPr>
          <w:rFonts w:hint="eastAsia" w:cs="宋体" w:asciiTheme="majorEastAsia" w:hAnsiTheme="majorEastAsia" w:eastAsiaTheme="majorEastAsia"/>
          <w:color w:val="auto"/>
          <w:szCs w:val="21"/>
        </w:rPr>
        <w:t>。</w:t>
      </w:r>
    </w:p>
    <w:p>
      <w:pPr>
        <w:pStyle w:val="34"/>
        <w:topLinePunct/>
        <w:spacing w:before="0" w:after="0" w:line="360" w:lineRule="auto"/>
        <w:ind w:firstLine="420" w:firstLineChars="200"/>
        <w:jc w:val="both"/>
        <w:rPr>
          <w:rFonts w:cs="宋体" w:asciiTheme="majorEastAsia" w:hAnsiTheme="majorEastAsia" w:eastAsiaTheme="majorEastAsia"/>
          <w:b w:val="0"/>
          <w:color w:val="auto"/>
          <w:sz w:val="21"/>
          <w:szCs w:val="21"/>
        </w:rPr>
      </w:pPr>
      <w:bookmarkStart w:id="662" w:name="_Toc464396225"/>
      <w:bookmarkStart w:id="663" w:name="_Toc464395448"/>
      <w:bookmarkStart w:id="664" w:name="_Toc468905516"/>
      <w:r>
        <w:rPr>
          <w:rFonts w:hint="eastAsia" w:cs="宋体" w:asciiTheme="majorEastAsia" w:hAnsiTheme="majorEastAsia" w:eastAsiaTheme="majorEastAsia"/>
          <w:b w:val="0"/>
          <w:color w:val="auto"/>
          <w:sz w:val="21"/>
          <w:szCs w:val="21"/>
        </w:rPr>
        <w:t>2.4答复</w:t>
      </w:r>
      <w:bookmarkEnd w:id="662"/>
      <w:bookmarkEnd w:id="663"/>
      <w:bookmarkEnd w:id="664"/>
    </w:p>
    <w:p>
      <w:pPr>
        <w:topLinePunct/>
        <w:spacing w:line="360" w:lineRule="auto"/>
        <w:ind w:firstLine="420" w:firstLineChars="200"/>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委托人同意在</w:t>
      </w:r>
      <w:r>
        <w:rPr>
          <w:rFonts w:hint="eastAsia" w:cs="宋体" w:asciiTheme="majorEastAsia" w:hAnsiTheme="majorEastAsia" w:eastAsiaTheme="majorEastAsia"/>
          <w:color w:val="auto"/>
          <w:szCs w:val="21"/>
          <w:u w:val="single"/>
        </w:rPr>
        <w:t xml:space="preserve">  7  </w:t>
      </w:r>
      <w:r>
        <w:rPr>
          <w:rFonts w:hint="eastAsia" w:cs="宋体" w:asciiTheme="majorEastAsia" w:hAnsiTheme="majorEastAsia" w:eastAsiaTheme="majorEastAsia"/>
          <w:color w:val="auto"/>
          <w:szCs w:val="21"/>
        </w:rPr>
        <w:t>日内，对咨询人书面提交并要求做出决定的事宜给予书面答复。逾期未答复的，视为委托人认可。</w:t>
      </w:r>
    </w:p>
    <w:p>
      <w:pPr>
        <w:pStyle w:val="45"/>
        <w:topLinePunct/>
        <w:adjustRightInd/>
        <w:spacing w:before="0" w:after="0" w:line="360" w:lineRule="auto"/>
        <w:ind w:firstLine="422" w:firstLineChars="200"/>
        <w:jc w:val="both"/>
        <w:rPr>
          <w:rFonts w:cs="宋体" w:asciiTheme="majorEastAsia" w:hAnsiTheme="majorEastAsia" w:eastAsiaTheme="majorEastAsia"/>
          <w:color w:val="auto"/>
          <w:sz w:val="21"/>
          <w:szCs w:val="21"/>
        </w:rPr>
      </w:pPr>
      <w:bookmarkStart w:id="665" w:name="_Toc468905517"/>
      <w:bookmarkStart w:id="666" w:name="_Toc464396226"/>
      <w:bookmarkStart w:id="667" w:name="_Toc419045107"/>
      <w:bookmarkStart w:id="668" w:name="_Toc464395449"/>
      <w:r>
        <w:rPr>
          <w:rFonts w:hint="eastAsia" w:cs="宋体" w:asciiTheme="majorEastAsia" w:hAnsiTheme="majorEastAsia" w:eastAsiaTheme="majorEastAsia"/>
          <w:color w:val="auto"/>
          <w:sz w:val="21"/>
          <w:szCs w:val="21"/>
        </w:rPr>
        <w:t>3.咨询人的义务</w:t>
      </w:r>
      <w:bookmarkEnd w:id="665"/>
      <w:bookmarkEnd w:id="666"/>
      <w:bookmarkEnd w:id="667"/>
      <w:bookmarkEnd w:id="668"/>
    </w:p>
    <w:p>
      <w:pPr>
        <w:pStyle w:val="34"/>
        <w:topLinePunct/>
        <w:spacing w:before="0" w:after="0" w:line="360" w:lineRule="auto"/>
        <w:ind w:firstLine="420" w:firstLineChars="200"/>
        <w:jc w:val="both"/>
        <w:rPr>
          <w:rFonts w:cs="宋体" w:asciiTheme="majorEastAsia" w:hAnsiTheme="majorEastAsia" w:eastAsiaTheme="majorEastAsia"/>
          <w:b w:val="0"/>
          <w:color w:val="auto"/>
          <w:sz w:val="21"/>
          <w:szCs w:val="21"/>
        </w:rPr>
      </w:pPr>
      <w:bookmarkStart w:id="669" w:name="_Toc464396227"/>
      <w:bookmarkStart w:id="670" w:name="_Toc419045109"/>
      <w:bookmarkStart w:id="671" w:name="_Toc464395450"/>
      <w:bookmarkStart w:id="672" w:name="_Toc468905518"/>
      <w:r>
        <w:rPr>
          <w:rFonts w:hint="eastAsia" w:cs="宋体" w:asciiTheme="majorEastAsia" w:hAnsiTheme="majorEastAsia" w:eastAsiaTheme="majorEastAsia"/>
          <w:b w:val="0"/>
          <w:color w:val="auto"/>
          <w:sz w:val="21"/>
          <w:szCs w:val="21"/>
        </w:rPr>
        <w:t>3.1项目咨询团队及人员</w:t>
      </w:r>
      <w:bookmarkEnd w:id="669"/>
      <w:bookmarkEnd w:id="670"/>
      <w:bookmarkEnd w:id="671"/>
      <w:bookmarkEnd w:id="672"/>
    </w:p>
    <w:p>
      <w:pPr>
        <w:topLinePunct/>
        <w:spacing w:line="360" w:lineRule="auto"/>
        <w:ind w:firstLine="420" w:firstLineChars="200"/>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3.1.1项目咨询团队的主要人员应具有资格条件，团队人员的数量。</w:t>
      </w:r>
    </w:p>
    <w:p>
      <w:pPr>
        <w:topLinePunct/>
        <w:spacing w:line="360" w:lineRule="auto"/>
        <w:ind w:firstLine="420" w:firstLineChars="200"/>
        <w:rPr>
          <w:rFonts w:cs="宋体" w:asciiTheme="majorEastAsia" w:hAnsiTheme="majorEastAsia" w:eastAsiaTheme="majorEastAsia"/>
          <w:color w:val="auto"/>
          <w:szCs w:val="21"/>
          <w:u w:val="single"/>
        </w:rPr>
      </w:pPr>
      <w:r>
        <w:rPr>
          <w:rFonts w:hint="eastAsia" w:cs="宋体" w:asciiTheme="majorEastAsia" w:hAnsiTheme="majorEastAsia" w:eastAsiaTheme="majorEastAsia"/>
          <w:color w:val="auto"/>
          <w:szCs w:val="21"/>
        </w:rPr>
        <w:t>3.1.2项目负责人为：</w:t>
      </w:r>
      <w:r>
        <w:rPr>
          <w:rFonts w:hint="eastAsia" w:cs="宋体" w:asciiTheme="majorEastAsia" w:hAnsiTheme="majorEastAsia" w:eastAsiaTheme="majorEastAsia"/>
          <w:color w:val="auto"/>
          <w:szCs w:val="21"/>
          <w:u w:val="single"/>
        </w:rPr>
        <w:t xml:space="preserve">     </w:t>
      </w:r>
      <w:r>
        <w:rPr>
          <w:rFonts w:hint="eastAsia" w:cs="宋体" w:asciiTheme="majorEastAsia" w:hAnsiTheme="majorEastAsia" w:eastAsiaTheme="majorEastAsia"/>
          <w:color w:val="auto"/>
          <w:szCs w:val="21"/>
        </w:rPr>
        <w:t>，项目负责人为履行本合同的权限为：</w:t>
      </w:r>
      <w:r>
        <w:rPr>
          <w:rFonts w:hint="eastAsia" w:cs="宋体" w:asciiTheme="majorEastAsia" w:hAnsiTheme="majorEastAsia" w:eastAsiaTheme="majorEastAsia"/>
          <w:color w:val="auto"/>
          <w:szCs w:val="21"/>
          <w:u w:val="single"/>
        </w:rPr>
        <w:t>负责履行本合同、主持项目咨询团队工作。</w:t>
      </w:r>
    </w:p>
    <w:p>
      <w:pPr>
        <w:topLinePunct/>
        <w:spacing w:line="360" w:lineRule="auto"/>
        <w:ind w:firstLine="420" w:firstLineChars="200"/>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3.1.3咨询人更换项目咨询团队其他咨询人员的约定：</w:t>
      </w:r>
      <w:r>
        <w:rPr>
          <w:rFonts w:hint="eastAsia" w:cs="宋体" w:asciiTheme="majorEastAsia" w:hAnsiTheme="majorEastAsia" w:eastAsiaTheme="majorEastAsia"/>
          <w:color w:val="auto"/>
          <w:szCs w:val="21"/>
          <w:u w:val="single"/>
        </w:rPr>
        <w:t>详见通用条款3.1。</w:t>
      </w:r>
    </w:p>
    <w:p>
      <w:pPr>
        <w:topLinePunct/>
        <w:spacing w:line="360" w:lineRule="auto"/>
        <w:ind w:firstLine="420" w:firstLineChars="200"/>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3.1.4委托人要求更换咨询人员的情形还包括：</w:t>
      </w:r>
      <w:r>
        <w:rPr>
          <w:rFonts w:hint="eastAsia" w:cs="宋体" w:asciiTheme="majorEastAsia" w:hAnsiTheme="majorEastAsia" w:eastAsiaTheme="majorEastAsia"/>
          <w:color w:val="auto"/>
          <w:szCs w:val="21"/>
          <w:u w:val="single"/>
        </w:rPr>
        <w:t xml:space="preserve">     /    </w:t>
      </w:r>
      <w:r>
        <w:rPr>
          <w:rFonts w:hint="eastAsia" w:cs="宋体" w:asciiTheme="majorEastAsia" w:hAnsiTheme="majorEastAsia" w:eastAsiaTheme="majorEastAsia"/>
          <w:color w:val="auto"/>
          <w:szCs w:val="21"/>
        </w:rPr>
        <w:t>。</w:t>
      </w:r>
    </w:p>
    <w:p>
      <w:pPr>
        <w:pStyle w:val="34"/>
        <w:topLinePunct/>
        <w:spacing w:before="0" w:after="0" w:line="360" w:lineRule="auto"/>
        <w:ind w:firstLine="420" w:firstLineChars="200"/>
        <w:jc w:val="both"/>
        <w:rPr>
          <w:rFonts w:cs="宋体" w:asciiTheme="majorEastAsia" w:hAnsiTheme="majorEastAsia" w:eastAsiaTheme="majorEastAsia"/>
          <w:b w:val="0"/>
          <w:color w:val="auto"/>
          <w:sz w:val="21"/>
          <w:szCs w:val="21"/>
        </w:rPr>
      </w:pPr>
      <w:bookmarkStart w:id="673" w:name="_Toc419045110"/>
      <w:bookmarkStart w:id="674" w:name="_Toc464396228"/>
      <w:bookmarkStart w:id="675" w:name="_Toc468905519"/>
      <w:bookmarkStart w:id="676" w:name="_Toc464395451"/>
      <w:r>
        <w:rPr>
          <w:rFonts w:hint="eastAsia" w:cs="宋体" w:asciiTheme="majorEastAsia" w:hAnsiTheme="majorEastAsia" w:eastAsiaTheme="majorEastAsia"/>
          <w:b w:val="0"/>
          <w:color w:val="auto"/>
          <w:sz w:val="21"/>
          <w:szCs w:val="21"/>
        </w:rPr>
        <w:t>3.2咨询人的工作要求</w:t>
      </w:r>
      <w:bookmarkEnd w:id="673"/>
      <w:bookmarkEnd w:id="674"/>
      <w:bookmarkEnd w:id="675"/>
      <w:bookmarkEnd w:id="676"/>
    </w:p>
    <w:p>
      <w:pPr>
        <w:topLinePunct/>
        <w:spacing w:line="360" w:lineRule="auto"/>
        <w:ind w:firstLine="420" w:firstLineChars="200"/>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3.2.1咨询人向委托人提供有关资料的时间：</w:t>
      </w:r>
      <w:r>
        <w:rPr>
          <w:rFonts w:hint="eastAsia" w:cs="宋体" w:asciiTheme="majorEastAsia" w:hAnsiTheme="majorEastAsia" w:eastAsiaTheme="majorEastAsia"/>
          <w:color w:val="auto"/>
          <w:szCs w:val="21"/>
          <w:u w:val="single"/>
        </w:rPr>
        <w:t>详见附录A</w:t>
      </w:r>
      <w:r>
        <w:rPr>
          <w:rFonts w:hint="eastAsia" w:cs="宋体" w:asciiTheme="majorEastAsia" w:hAnsiTheme="majorEastAsia" w:eastAsiaTheme="majorEastAsia"/>
          <w:color w:val="auto"/>
          <w:szCs w:val="21"/>
        </w:rPr>
        <w:t>。咨询人向委托人提供的资料还包括：</w:t>
      </w:r>
      <w:r>
        <w:rPr>
          <w:rFonts w:hint="eastAsia" w:cs="宋体" w:asciiTheme="majorEastAsia" w:hAnsiTheme="majorEastAsia" w:eastAsiaTheme="majorEastAsia"/>
          <w:color w:val="auto"/>
          <w:szCs w:val="21"/>
          <w:u w:val="single"/>
        </w:rPr>
        <w:t xml:space="preserve"> /</w:t>
      </w:r>
      <w:r>
        <w:rPr>
          <w:rFonts w:hint="eastAsia" w:cs="宋体" w:asciiTheme="majorEastAsia" w:hAnsiTheme="majorEastAsia" w:eastAsiaTheme="majorEastAsia"/>
          <w:color w:val="auto"/>
          <w:szCs w:val="21"/>
        </w:rPr>
        <w:t>。</w:t>
      </w:r>
    </w:p>
    <w:p>
      <w:pPr>
        <w:topLinePunct/>
        <w:spacing w:line="360" w:lineRule="auto"/>
        <w:ind w:firstLine="420" w:firstLineChars="200"/>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3.2.2咨询人向委托人提供咨询成果文件的名称、组成、时间、份数：</w:t>
      </w:r>
      <w:r>
        <w:rPr>
          <w:rFonts w:hint="eastAsia" w:cs="宋体" w:asciiTheme="majorEastAsia" w:hAnsiTheme="majorEastAsia" w:eastAsiaTheme="majorEastAsia"/>
          <w:color w:val="auto"/>
          <w:szCs w:val="21"/>
          <w:u w:val="single"/>
        </w:rPr>
        <w:t xml:space="preserve">  详见附录A</w:t>
      </w:r>
      <w:r>
        <w:rPr>
          <w:rFonts w:hint="eastAsia" w:cs="宋体" w:asciiTheme="majorEastAsia" w:hAnsiTheme="majorEastAsia" w:eastAsiaTheme="majorEastAsia"/>
          <w:color w:val="auto"/>
          <w:szCs w:val="21"/>
        </w:rPr>
        <w:t>。</w:t>
      </w:r>
    </w:p>
    <w:p>
      <w:pPr>
        <w:topLinePunct/>
        <w:spacing w:line="360" w:lineRule="auto"/>
        <w:ind w:firstLine="420" w:firstLineChars="200"/>
        <w:rPr>
          <w:rFonts w:cs="宋体" w:asciiTheme="majorEastAsia" w:hAnsiTheme="majorEastAsia" w:eastAsiaTheme="majorEastAsia"/>
          <w:color w:val="auto"/>
          <w:szCs w:val="21"/>
          <w:u w:val="single"/>
        </w:rPr>
      </w:pPr>
      <w:r>
        <w:rPr>
          <w:rFonts w:hint="eastAsia" w:cs="宋体" w:asciiTheme="majorEastAsia" w:hAnsiTheme="majorEastAsia" w:eastAsiaTheme="majorEastAsia"/>
          <w:color w:val="auto"/>
          <w:szCs w:val="21"/>
        </w:rPr>
        <w:t>（1）委托人要求的工程造价咨询成果质量标准：</w:t>
      </w:r>
      <w:r>
        <w:rPr>
          <w:rFonts w:hint="eastAsia" w:cs="宋体" w:asciiTheme="majorEastAsia" w:hAnsiTheme="majorEastAsia" w:eastAsiaTheme="majorEastAsia"/>
          <w:color w:val="auto"/>
          <w:szCs w:val="21"/>
          <w:u w:val="single"/>
        </w:rPr>
        <w:t>咨询报告成果与最终审定价相比，核减额绝对值偏差率在3%以内视为合格。</w:t>
      </w:r>
    </w:p>
    <w:p>
      <w:pPr>
        <w:topLinePunct/>
        <w:spacing w:line="360" w:lineRule="auto"/>
        <w:ind w:firstLine="420" w:firstLineChars="200"/>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（2）受托人提交的工程造价咨询成果文件，除加盖受托人单位公章、工程造价咨询企业执业印章外，还必须按要求加盖参加咨询工作人员的执业（从业）资格印章。</w:t>
      </w:r>
    </w:p>
    <w:p>
      <w:pPr>
        <w:topLinePunct/>
        <w:spacing w:line="360" w:lineRule="auto"/>
        <w:ind w:firstLine="420" w:firstLineChars="200"/>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3.2.4咨询人应在收到委托人以书面形式提出的建议或者异议后</w:t>
      </w:r>
      <w:r>
        <w:rPr>
          <w:rFonts w:hint="eastAsia" w:cs="宋体" w:asciiTheme="majorEastAsia" w:hAnsiTheme="majorEastAsia" w:eastAsiaTheme="majorEastAsia"/>
          <w:color w:val="auto"/>
          <w:szCs w:val="21"/>
          <w:u w:val="single"/>
        </w:rPr>
        <w:t xml:space="preserve">  3  </w:t>
      </w:r>
      <w:r>
        <w:rPr>
          <w:rFonts w:hint="eastAsia" w:cs="宋体" w:asciiTheme="majorEastAsia" w:hAnsiTheme="majorEastAsia" w:eastAsiaTheme="majorEastAsia"/>
          <w:color w:val="auto"/>
          <w:szCs w:val="21"/>
        </w:rPr>
        <w:t>日内给予书面答复。</w:t>
      </w:r>
    </w:p>
    <w:p>
      <w:pPr>
        <w:pStyle w:val="34"/>
        <w:topLinePunct/>
        <w:spacing w:before="0" w:after="0" w:line="360" w:lineRule="auto"/>
        <w:ind w:firstLine="420" w:firstLineChars="200"/>
        <w:jc w:val="both"/>
        <w:rPr>
          <w:rFonts w:cs="宋体" w:asciiTheme="majorEastAsia" w:hAnsiTheme="majorEastAsia" w:eastAsiaTheme="majorEastAsia"/>
          <w:b w:val="0"/>
          <w:color w:val="auto"/>
          <w:sz w:val="21"/>
          <w:szCs w:val="21"/>
        </w:rPr>
      </w:pPr>
      <w:bookmarkStart w:id="677" w:name="_Toc468905520"/>
      <w:bookmarkStart w:id="678" w:name="_Toc419045111"/>
      <w:bookmarkStart w:id="679" w:name="_Toc464396229"/>
      <w:bookmarkStart w:id="680" w:name="_Toc464395452"/>
      <w:r>
        <w:rPr>
          <w:rFonts w:hint="eastAsia" w:cs="宋体" w:asciiTheme="majorEastAsia" w:hAnsiTheme="majorEastAsia" w:eastAsiaTheme="majorEastAsia"/>
          <w:b w:val="0"/>
          <w:color w:val="auto"/>
          <w:sz w:val="21"/>
          <w:szCs w:val="21"/>
        </w:rPr>
        <w:t>3.3咨询人的工作依据</w:t>
      </w:r>
      <w:bookmarkEnd w:id="677"/>
      <w:bookmarkEnd w:id="678"/>
      <w:bookmarkEnd w:id="679"/>
      <w:bookmarkEnd w:id="680"/>
    </w:p>
    <w:p>
      <w:pPr>
        <w:topLinePunct/>
        <w:spacing w:line="360" w:lineRule="auto"/>
        <w:ind w:firstLine="420" w:firstLineChars="200"/>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经双方协商，本合同约定的造价咨询服务适用的技术标准、规范、定额等工作依据为：</w:t>
      </w:r>
      <w:r>
        <w:rPr>
          <w:rFonts w:hint="eastAsia" w:cs="宋体" w:asciiTheme="majorEastAsia" w:hAnsiTheme="majorEastAsia" w:eastAsiaTheme="majorEastAsia"/>
          <w:color w:val="auto"/>
          <w:szCs w:val="21"/>
          <w:u w:val="single"/>
        </w:rPr>
        <w:t>《建设工程工程量清单计价规范》（GB50500-2013）及其9本工程量计算规范、2014年《江苏省建筑与装饰工程计价定额》、2014年《江苏省安装工程计价定额》、2007年《江苏省建设工程工程量清单计价项目指引》及其相应费用定额。</w:t>
      </w:r>
    </w:p>
    <w:p>
      <w:pPr>
        <w:pStyle w:val="34"/>
        <w:topLinePunct/>
        <w:spacing w:before="0" w:after="0" w:line="360" w:lineRule="auto"/>
        <w:ind w:firstLine="420" w:firstLineChars="200"/>
        <w:jc w:val="both"/>
        <w:rPr>
          <w:rFonts w:cs="宋体" w:asciiTheme="majorEastAsia" w:hAnsiTheme="majorEastAsia" w:eastAsiaTheme="majorEastAsia"/>
          <w:b w:val="0"/>
          <w:color w:val="auto"/>
          <w:sz w:val="21"/>
          <w:szCs w:val="21"/>
        </w:rPr>
      </w:pPr>
      <w:bookmarkStart w:id="681" w:name="_Toc419045112"/>
      <w:bookmarkStart w:id="682" w:name="_Toc464396230"/>
      <w:bookmarkStart w:id="683" w:name="_Toc464395453"/>
      <w:bookmarkStart w:id="684" w:name="_Toc468905521"/>
      <w:r>
        <w:rPr>
          <w:rFonts w:hint="eastAsia" w:cs="宋体" w:asciiTheme="majorEastAsia" w:hAnsiTheme="majorEastAsia" w:eastAsiaTheme="majorEastAsia"/>
          <w:b w:val="0"/>
          <w:color w:val="auto"/>
          <w:sz w:val="21"/>
          <w:szCs w:val="21"/>
        </w:rPr>
        <w:t>3.4使用委托人房屋及设备的返还</w:t>
      </w:r>
      <w:bookmarkEnd w:id="681"/>
      <w:bookmarkEnd w:id="682"/>
      <w:bookmarkEnd w:id="683"/>
      <w:bookmarkEnd w:id="684"/>
    </w:p>
    <w:p>
      <w:pPr>
        <w:topLinePunct/>
        <w:spacing w:line="360" w:lineRule="auto"/>
        <w:ind w:firstLine="420" w:firstLineChars="200"/>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咨询人应在本合同终止后</w:t>
      </w:r>
      <w:r>
        <w:rPr>
          <w:rFonts w:hint="eastAsia" w:cs="宋体" w:asciiTheme="majorEastAsia" w:hAnsiTheme="majorEastAsia" w:eastAsiaTheme="majorEastAsia"/>
          <w:color w:val="auto"/>
          <w:szCs w:val="21"/>
          <w:u w:val="single"/>
        </w:rPr>
        <w:t xml:space="preserve">  7  </w:t>
      </w:r>
      <w:r>
        <w:rPr>
          <w:rFonts w:hint="eastAsia" w:cs="宋体" w:asciiTheme="majorEastAsia" w:hAnsiTheme="majorEastAsia" w:eastAsiaTheme="majorEastAsia"/>
          <w:color w:val="auto"/>
          <w:szCs w:val="21"/>
        </w:rPr>
        <w:t>日内移交委托人提供的房屋及设备，移交的方式为</w:t>
      </w:r>
      <w:r>
        <w:rPr>
          <w:rFonts w:hint="eastAsia" w:cs="宋体" w:asciiTheme="majorEastAsia" w:hAnsiTheme="majorEastAsia" w:eastAsiaTheme="majorEastAsia"/>
          <w:color w:val="auto"/>
          <w:szCs w:val="21"/>
          <w:u w:val="single"/>
        </w:rPr>
        <w:t xml:space="preserve">当面将附录C中的房屋及设备归还给委托方   </w:t>
      </w:r>
      <w:r>
        <w:rPr>
          <w:rFonts w:hint="eastAsia" w:cs="宋体" w:asciiTheme="majorEastAsia" w:hAnsiTheme="majorEastAsia" w:eastAsiaTheme="majorEastAsia"/>
          <w:color w:val="auto"/>
          <w:szCs w:val="21"/>
        </w:rPr>
        <w:t>。</w:t>
      </w:r>
    </w:p>
    <w:p>
      <w:pPr>
        <w:pStyle w:val="45"/>
        <w:topLinePunct/>
        <w:adjustRightInd/>
        <w:spacing w:before="0" w:after="0" w:line="360" w:lineRule="auto"/>
        <w:ind w:firstLine="422" w:firstLineChars="200"/>
        <w:jc w:val="both"/>
        <w:rPr>
          <w:rFonts w:cs="宋体" w:asciiTheme="majorEastAsia" w:hAnsiTheme="majorEastAsia" w:eastAsiaTheme="majorEastAsia"/>
          <w:color w:val="auto"/>
          <w:sz w:val="21"/>
          <w:szCs w:val="21"/>
        </w:rPr>
      </w:pPr>
      <w:bookmarkStart w:id="685" w:name="_Toc464395454"/>
      <w:bookmarkStart w:id="686" w:name="_Toc419045113"/>
      <w:bookmarkStart w:id="687" w:name="_Toc464396231"/>
      <w:bookmarkStart w:id="688" w:name="_Toc468905522"/>
      <w:r>
        <w:rPr>
          <w:rFonts w:hint="eastAsia" w:cs="宋体" w:asciiTheme="majorEastAsia" w:hAnsiTheme="majorEastAsia" w:eastAsiaTheme="majorEastAsia"/>
          <w:color w:val="auto"/>
          <w:sz w:val="21"/>
          <w:szCs w:val="21"/>
        </w:rPr>
        <w:t>4.违约责任</w:t>
      </w:r>
      <w:bookmarkEnd w:id="685"/>
      <w:bookmarkEnd w:id="686"/>
      <w:bookmarkEnd w:id="687"/>
      <w:bookmarkEnd w:id="688"/>
    </w:p>
    <w:p>
      <w:pPr>
        <w:pStyle w:val="34"/>
        <w:topLinePunct/>
        <w:spacing w:before="0" w:after="0" w:line="360" w:lineRule="auto"/>
        <w:ind w:firstLine="420" w:firstLineChars="200"/>
        <w:jc w:val="both"/>
        <w:rPr>
          <w:rFonts w:cs="宋体" w:asciiTheme="majorEastAsia" w:hAnsiTheme="majorEastAsia" w:eastAsiaTheme="majorEastAsia"/>
          <w:color w:val="auto"/>
          <w:sz w:val="21"/>
          <w:szCs w:val="21"/>
        </w:rPr>
      </w:pPr>
      <w:bookmarkStart w:id="689" w:name="_Toc464395455"/>
      <w:bookmarkStart w:id="690" w:name="_Toc464396232"/>
      <w:bookmarkStart w:id="691" w:name="_Toc468905523"/>
      <w:r>
        <w:rPr>
          <w:rStyle w:val="84"/>
          <w:rFonts w:hint="eastAsia" w:cs="宋体" w:asciiTheme="majorEastAsia" w:hAnsiTheme="majorEastAsia" w:eastAsiaTheme="majorEastAsia"/>
          <w:b w:val="0"/>
          <w:bCs w:val="0"/>
          <w:color w:val="auto"/>
          <w:sz w:val="21"/>
          <w:szCs w:val="21"/>
        </w:rPr>
        <w:t>4.1委托人的违约责任</w:t>
      </w:r>
      <w:bookmarkEnd w:id="689"/>
      <w:bookmarkEnd w:id="690"/>
      <w:bookmarkEnd w:id="691"/>
    </w:p>
    <w:p>
      <w:pPr>
        <w:topLinePunct/>
        <w:spacing w:line="360" w:lineRule="auto"/>
        <w:ind w:firstLine="420" w:firstLineChars="200"/>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4.1.1委托人违约金的计算及支付方法：</w:t>
      </w:r>
      <w:r>
        <w:rPr>
          <w:rFonts w:hint="eastAsia" w:cs="宋体" w:asciiTheme="majorEastAsia" w:hAnsiTheme="majorEastAsia" w:eastAsiaTheme="majorEastAsia"/>
          <w:color w:val="auto"/>
          <w:szCs w:val="21"/>
          <w:u w:val="single"/>
        </w:rPr>
        <w:t xml:space="preserve">详见通用条款4.1 </w:t>
      </w:r>
      <w:r>
        <w:rPr>
          <w:rFonts w:hint="eastAsia" w:cs="宋体" w:asciiTheme="majorEastAsia" w:hAnsiTheme="majorEastAsia" w:eastAsiaTheme="majorEastAsia"/>
          <w:color w:val="auto"/>
          <w:szCs w:val="21"/>
        </w:rPr>
        <w:t>。</w:t>
      </w:r>
    </w:p>
    <w:p>
      <w:pPr>
        <w:topLinePunct/>
        <w:spacing w:line="360" w:lineRule="auto"/>
        <w:ind w:firstLine="420" w:firstLineChars="200"/>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4.1.2委托人赔偿金额按下列方法确定并支付：</w:t>
      </w:r>
      <w:r>
        <w:rPr>
          <w:rFonts w:hint="eastAsia" w:cs="宋体" w:asciiTheme="majorEastAsia" w:hAnsiTheme="majorEastAsia" w:eastAsiaTheme="majorEastAsia"/>
          <w:color w:val="auto"/>
          <w:szCs w:val="21"/>
          <w:u w:val="single"/>
        </w:rPr>
        <w:t>详见通用条款4.1</w:t>
      </w:r>
      <w:r>
        <w:rPr>
          <w:rFonts w:hint="eastAsia" w:cs="宋体" w:asciiTheme="majorEastAsia" w:hAnsiTheme="majorEastAsia" w:eastAsiaTheme="majorEastAsia"/>
          <w:color w:val="auto"/>
          <w:szCs w:val="21"/>
        </w:rPr>
        <w:t>。</w:t>
      </w:r>
    </w:p>
    <w:p>
      <w:pPr>
        <w:topLinePunct/>
        <w:spacing w:line="360" w:lineRule="auto"/>
        <w:ind w:firstLine="420" w:firstLineChars="200"/>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4.1.3 委托人逾期付款利息按下列方法计算并支付：</w:t>
      </w:r>
      <w:r>
        <w:rPr>
          <w:rFonts w:hint="eastAsia" w:cs="宋体" w:asciiTheme="majorEastAsia" w:hAnsiTheme="majorEastAsia" w:eastAsiaTheme="majorEastAsia"/>
          <w:color w:val="auto"/>
          <w:szCs w:val="21"/>
          <w:u w:val="single"/>
        </w:rPr>
        <w:t>/</w:t>
      </w:r>
      <w:r>
        <w:rPr>
          <w:rFonts w:hint="eastAsia" w:cs="宋体" w:asciiTheme="majorEastAsia" w:hAnsiTheme="majorEastAsia" w:eastAsiaTheme="majorEastAsia"/>
          <w:color w:val="auto"/>
          <w:szCs w:val="21"/>
        </w:rPr>
        <w:t>。</w:t>
      </w:r>
    </w:p>
    <w:p>
      <w:pPr>
        <w:pStyle w:val="34"/>
        <w:topLinePunct/>
        <w:spacing w:before="0" w:after="0" w:line="360" w:lineRule="auto"/>
        <w:ind w:firstLine="420" w:firstLineChars="200"/>
        <w:jc w:val="both"/>
        <w:rPr>
          <w:rFonts w:cs="宋体" w:asciiTheme="majorEastAsia" w:hAnsiTheme="majorEastAsia" w:eastAsiaTheme="majorEastAsia"/>
          <w:b w:val="0"/>
          <w:color w:val="auto"/>
          <w:sz w:val="21"/>
          <w:szCs w:val="21"/>
        </w:rPr>
      </w:pPr>
      <w:bookmarkStart w:id="692" w:name="_Toc464396233"/>
      <w:bookmarkStart w:id="693" w:name="_Toc468905524"/>
      <w:bookmarkStart w:id="694" w:name="_Toc464395456"/>
      <w:bookmarkStart w:id="695" w:name="_Toc419045114"/>
      <w:r>
        <w:rPr>
          <w:rFonts w:hint="eastAsia" w:cs="宋体" w:asciiTheme="majorEastAsia" w:hAnsiTheme="majorEastAsia" w:eastAsiaTheme="majorEastAsia"/>
          <w:b w:val="0"/>
          <w:color w:val="auto"/>
          <w:sz w:val="21"/>
          <w:szCs w:val="21"/>
        </w:rPr>
        <w:t>4.2咨询人的违约责任</w:t>
      </w:r>
      <w:bookmarkEnd w:id="692"/>
      <w:bookmarkEnd w:id="693"/>
      <w:bookmarkEnd w:id="694"/>
    </w:p>
    <w:bookmarkEnd w:id="695"/>
    <w:p>
      <w:pPr>
        <w:topLinePunct/>
        <w:spacing w:line="360" w:lineRule="auto"/>
        <w:ind w:firstLine="420" w:firstLineChars="200"/>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4.2.1咨询人违约金的计算及支付方法：</w:t>
      </w:r>
      <w:r>
        <w:rPr>
          <w:rFonts w:hint="eastAsia" w:cs="宋体" w:asciiTheme="majorEastAsia" w:hAnsiTheme="majorEastAsia" w:eastAsiaTheme="majorEastAsia"/>
          <w:color w:val="auto"/>
          <w:szCs w:val="21"/>
          <w:u w:val="single"/>
        </w:rPr>
        <w:t>详见通用条款4.2</w:t>
      </w:r>
      <w:r>
        <w:rPr>
          <w:rFonts w:hint="eastAsia" w:cs="宋体" w:asciiTheme="majorEastAsia" w:hAnsiTheme="majorEastAsia" w:eastAsiaTheme="majorEastAsia"/>
          <w:color w:val="auto"/>
          <w:szCs w:val="21"/>
        </w:rPr>
        <w:t>。</w:t>
      </w:r>
    </w:p>
    <w:p>
      <w:pPr>
        <w:topLinePunct/>
        <w:spacing w:line="360" w:lineRule="auto"/>
        <w:ind w:firstLine="420" w:firstLineChars="200"/>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4.2.2 咨询人赔偿金额按下列方法确定并支付：</w:t>
      </w:r>
      <w:r>
        <w:rPr>
          <w:rFonts w:hint="eastAsia" w:cs="宋体" w:asciiTheme="majorEastAsia" w:hAnsiTheme="majorEastAsia" w:eastAsiaTheme="majorEastAsia"/>
          <w:color w:val="auto"/>
          <w:szCs w:val="21"/>
          <w:u w:val="single"/>
        </w:rPr>
        <w:t>详见通用条款4.2</w:t>
      </w:r>
      <w:r>
        <w:rPr>
          <w:rFonts w:hint="eastAsia" w:cs="宋体" w:asciiTheme="majorEastAsia" w:hAnsiTheme="majorEastAsia" w:eastAsiaTheme="majorEastAsia"/>
          <w:color w:val="auto"/>
          <w:szCs w:val="21"/>
        </w:rPr>
        <w:t>。</w:t>
      </w:r>
    </w:p>
    <w:p>
      <w:pPr>
        <w:tabs>
          <w:tab w:val="left" w:pos="6264"/>
        </w:tabs>
        <w:topLinePunct/>
        <w:spacing w:line="360" w:lineRule="auto"/>
        <w:ind w:firstLine="420" w:firstLineChars="200"/>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（1）咨询报告成果与最终审定价相比，核减额（建设单位定价材料价格的核减除外，余同）在3%以内的（含3%），按合同价结算。</w:t>
      </w:r>
    </w:p>
    <w:p>
      <w:pPr>
        <w:tabs>
          <w:tab w:val="left" w:pos="6264"/>
        </w:tabs>
        <w:topLinePunct/>
        <w:spacing w:line="360" w:lineRule="auto"/>
        <w:ind w:firstLine="420" w:firstLineChars="200"/>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（2）咨询报告成果与最终审定价相比，核减额在3%-4%（含4%）的，扣减结算审核费的7.5%；</w:t>
      </w:r>
    </w:p>
    <w:p>
      <w:pPr>
        <w:tabs>
          <w:tab w:val="left" w:pos="6264"/>
        </w:tabs>
        <w:topLinePunct/>
        <w:spacing w:line="360" w:lineRule="auto"/>
        <w:ind w:firstLine="420" w:firstLineChars="200"/>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（3）咨询报告成果与最终审定价相比，核减额在5%-6%以上（含6%）的，扣减结算审核费的15%。</w:t>
      </w:r>
    </w:p>
    <w:p>
      <w:pPr>
        <w:topLinePunct/>
        <w:spacing w:line="360" w:lineRule="auto"/>
        <w:ind w:firstLine="420" w:firstLineChars="200"/>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（4）咨询报告成果与最终审定价相比，核减额大于7%时，扣减总酬金的25%，核减额绝对值偏差率大于10%时扣减结算审核费的50%。</w:t>
      </w:r>
    </w:p>
    <w:p>
      <w:pPr>
        <w:topLinePunct/>
        <w:spacing w:line="360" w:lineRule="auto"/>
        <w:ind w:firstLine="420" w:firstLineChars="200"/>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（5）咨询报告成果与最终审定价相比，核增时不奖不罚。</w:t>
      </w:r>
    </w:p>
    <w:p>
      <w:pPr>
        <w:pStyle w:val="45"/>
        <w:topLinePunct/>
        <w:adjustRightInd/>
        <w:spacing w:before="0" w:after="0" w:line="360" w:lineRule="auto"/>
        <w:ind w:firstLine="422" w:firstLineChars="200"/>
        <w:jc w:val="both"/>
        <w:rPr>
          <w:rFonts w:cs="宋体" w:asciiTheme="majorEastAsia" w:hAnsiTheme="majorEastAsia" w:eastAsiaTheme="majorEastAsia"/>
          <w:color w:val="auto"/>
          <w:sz w:val="21"/>
          <w:szCs w:val="21"/>
        </w:rPr>
      </w:pPr>
      <w:bookmarkStart w:id="696" w:name="_Toc468905525"/>
      <w:bookmarkStart w:id="697" w:name="_Toc464395457"/>
      <w:bookmarkStart w:id="698" w:name="_Toc419045115"/>
      <w:bookmarkStart w:id="699" w:name="_Toc464396234"/>
      <w:r>
        <w:rPr>
          <w:rFonts w:hint="eastAsia" w:cs="宋体" w:asciiTheme="majorEastAsia" w:hAnsiTheme="majorEastAsia" w:eastAsiaTheme="majorEastAsia"/>
          <w:color w:val="auto"/>
          <w:sz w:val="21"/>
          <w:szCs w:val="21"/>
        </w:rPr>
        <w:t>5.支付</w:t>
      </w:r>
      <w:bookmarkEnd w:id="696"/>
      <w:bookmarkEnd w:id="697"/>
      <w:bookmarkEnd w:id="698"/>
      <w:bookmarkEnd w:id="699"/>
    </w:p>
    <w:p>
      <w:pPr>
        <w:topLinePunct/>
        <w:spacing w:line="360" w:lineRule="auto"/>
        <w:ind w:firstLine="422" w:firstLineChars="200"/>
        <w:rPr>
          <w:rStyle w:val="84"/>
          <w:rFonts w:cs="宋体" w:asciiTheme="majorEastAsia" w:hAnsiTheme="majorEastAsia" w:eastAsiaTheme="majorEastAsia"/>
          <w:b w:val="0"/>
          <w:color w:val="auto"/>
          <w:sz w:val="21"/>
          <w:szCs w:val="21"/>
        </w:rPr>
      </w:pPr>
      <w:bookmarkStart w:id="700" w:name="_Toc464395458"/>
      <w:bookmarkStart w:id="701" w:name="_Toc464396235"/>
      <w:bookmarkStart w:id="702" w:name="_Toc419045116"/>
      <w:bookmarkStart w:id="703" w:name="_Toc468905526"/>
      <w:r>
        <w:rPr>
          <w:rStyle w:val="84"/>
          <w:rFonts w:hint="eastAsia" w:cs="宋体" w:asciiTheme="majorEastAsia" w:hAnsiTheme="majorEastAsia" w:eastAsiaTheme="majorEastAsia"/>
          <w:color w:val="auto"/>
          <w:sz w:val="21"/>
          <w:szCs w:val="21"/>
        </w:rPr>
        <w:t>5.1支付货币</w:t>
      </w:r>
      <w:bookmarkEnd w:id="700"/>
      <w:bookmarkEnd w:id="701"/>
      <w:bookmarkEnd w:id="702"/>
      <w:bookmarkEnd w:id="703"/>
    </w:p>
    <w:p>
      <w:pPr>
        <w:topLinePunct/>
        <w:spacing w:line="360" w:lineRule="auto"/>
        <w:ind w:firstLine="420" w:firstLineChars="200"/>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币种为：</w:t>
      </w:r>
      <w:r>
        <w:rPr>
          <w:rFonts w:hint="eastAsia" w:cs="宋体" w:asciiTheme="majorEastAsia" w:hAnsiTheme="majorEastAsia" w:eastAsiaTheme="majorEastAsia"/>
          <w:color w:val="auto"/>
          <w:szCs w:val="21"/>
          <w:u w:val="single"/>
        </w:rPr>
        <w:t xml:space="preserve"> 人民币  </w:t>
      </w:r>
      <w:r>
        <w:rPr>
          <w:rFonts w:hint="eastAsia" w:cs="宋体" w:asciiTheme="majorEastAsia" w:hAnsiTheme="majorEastAsia" w:eastAsiaTheme="majorEastAsia"/>
          <w:color w:val="auto"/>
          <w:szCs w:val="21"/>
        </w:rPr>
        <w:t>，汇率为：</w:t>
      </w:r>
      <w:r>
        <w:rPr>
          <w:rFonts w:hint="eastAsia" w:cs="宋体" w:asciiTheme="majorEastAsia" w:hAnsiTheme="majorEastAsia" w:eastAsiaTheme="majorEastAsia"/>
          <w:color w:val="auto"/>
          <w:szCs w:val="21"/>
          <w:u w:val="single"/>
        </w:rPr>
        <w:t xml:space="preserve">     /     </w:t>
      </w:r>
      <w:r>
        <w:rPr>
          <w:rFonts w:hint="eastAsia" w:cs="宋体" w:asciiTheme="majorEastAsia" w:hAnsiTheme="majorEastAsia" w:eastAsiaTheme="majorEastAsia"/>
          <w:color w:val="auto"/>
          <w:szCs w:val="21"/>
        </w:rPr>
        <w:t>，其他约定：</w:t>
      </w:r>
      <w:r>
        <w:rPr>
          <w:rFonts w:hint="eastAsia" w:cs="宋体" w:asciiTheme="majorEastAsia" w:hAnsiTheme="majorEastAsia" w:eastAsiaTheme="majorEastAsia"/>
          <w:color w:val="auto"/>
          <w:szCs w:val="21"/>
          <w:u w:val="single"/>
        </w:rPr>
        <w:t xml:space="preserve">     /     </w:t>
      </w:r>
      <w:r>
        <w:rPr>
          <w:rFonts w:hint="eastAsia" w:cs="宋体" w:asciiTheme="majorEastAsia" w:hAnsiTheme="majorEastAsia" w:eastAsiaTheme="majorEastAsia"/>
          <w:color w:val="auto"/>
          <w:szCs w:val="21"/>
        </w:rPr>
        <w:t>。</w:t>
      </w:r>
    </w:p>
    <w:p>
      <w:pPr>
        <w:topLinePunct/>
        <w:spacing w:line="360" w:lineRule="auto"/>
        <w:ind w:firstLine="422" w:firstLineChars="200"/>
        <w:rPr>
          <w:rStyle w:val="84"/>
          <w:rFonts w:cs="宋体" w:asciiTheme="majorEastAsia" w:hAnsiTheme="majorEastAsia" w:eastAsiaTheme="majorEastAsia"/>
          <w:b w:val="0"/>
          <w:color w:val="auto"/>
          <w:sz w:val="21"/>
          <w:szCs w:val="21"/>
        </w:rPr>
      </w:pPr>
      <w:bookmarkStart w:id="704" w:name="_Toc464395459"/>
      <w:bookmarkStart w:id="705" w:name="_Toc468905527"/>
      <w:bookmarkStart w:id="706" w:name="_Toc419045117"/>
      <w:bookmarkStart w:id="707" w:name="_Toc464396236"/>
      <w:r>
        <w:rPr>
          <w:rStyle w:val="84"/>
          <w:rFonts w:hint="eastAsia" w:cs="宋体" w:asciiTheme="majorEastAsia" w:hAnsiTheme="majorEastAsia" w:eastAsiaTheme="majorEastAsia"/>
          <w:color w:val="auto"/>
          <w:sz w:val="21"/>
          <w:szCs w:val="21"/>
        </w:rPr>
        <w:t>5.2 支付申请</w:t>
      </w:r>
      <w:bookmarkEnd w:id="704"/>
      <w:bookmarkEnd w:id="705"/>
      <w:bookmarkEnd w:id="706"/>
      <w:bookmarkEnd w:id="707"/>
    </w:p>
    <w:p>
      <w:pPr>
        <w:topLinePunct/>
        <w:spacing w:line="360" w:lineRule="auto"/>
        <w:ind w:firstLine="420" w:firstLineChars="200"/>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咨询人应在本合同约定的每次应付款日期</w:t>
      </w:r>
      <w:r>
        <w:rPr>
          <w:rFonts w:hint="eastAsia" w:cs="宋体" w:asciiTheme="majorEastAsia" w:hAnsiTheme="majorEastAsia" w:eastAsiaTheme="majorEastAsia"/>
          <w:color w:val="auto"/>
          <w:szCs w:val="21"/>
          <w:u w:val="single"/>
        </w:rPr>
        <w:t xml:space="preserve">   7  </w:t>
      </w:r>
      <w:r>
        <w:rPr>
          <w:rFonts w:hint="eastAsia" w:cs="宋体" w:asciiTheme="majorEastAsia" w:hAnsiTheme="majorEastAsia" w:eastAsiaTheme="majorEastAsia"/>
          <w:color w:val="auto"/>
          <w:szCs w:val="21"/>
        </w:rPr>
        <w:t>日前，向委托人提交支付申请书。</w:t>
      </w:r>
    </w:p>
    <w:p>
      <w:pPr>
        <w:topLinePunct/>
        <w:spacing w:line="360" w:lineRule="auto"/>
        <w:ind w:firstLine="422" w:firstLineChars="200"/>
        <w:rPr>
          <w:rStyle w:val="84"/>
          <w:rFonts w:cs="宋体" w:asciiTheme="majorEastAsia" w:hAnsiTheme="majorEastAsia" w:eastAsiaTheme="majorEastAsia"/>
          <w:b w:val="0"/>
          <w:color w:val="auto"/>
          <w:sz w:val="21"/>
          <w:szCs w:val="21"/>
        </w:rPr>
      </w:pPr>
      <w:bookmarkStart w:id="708" w:name="_Toc468905528"/>
      <w:bookmarkStart w:id="709" w:name="_Toc419045118"/>
      <w:bookmarkStart w:id="710" w:name="_Toc464396237"/>
      <w:bookmarkStart w:id="711" w:name="_Toc464395460"/>
      <w:r>
        <w:rPr>
          <w:rStyle w:val="84"/>
          <w:rFonts w:hint="eastAsia" w:cs="宋体" w:asciiTheme="majorEastAsia" w:hAnsiTheme="majorEastAsia" w:eastAsiaTheme="majorEastAsia"/>
          <w:color w:val="auto"/>
          <w:sz w:val="21"/>
          <w:szCs w:val="21"/>
        </w:rPr>
        <w:t>5.3支付酬金</w:t>
      </w:r>
      <w:bookmarkEnd w:id="708"/>
      <w:bookmarkEnd w:id="709"/>
      <w:bookmarkEnd w:id="710"/>
      <w:bookmarkEnd w:id="711"/>
    </w:p>
    <w:p>
      <w:pPr>
        <w:topLinePunct/>
        <w:spacing w:line="360" w:lineRule="auto"/>
        <w:ind w:firstLine="420" w:firstLineChars="200"/>
        <w:rPr>
          <w:rFonts w:hint="eastAsia" w:cs="宋体" w:asciiTheme="majorEastAsia" w:hAnsiTheme="majorEastAsia" w:eastAsiaTheme="majorEastAsia"/>
          <w:bCs/>
          <w:color w:val="auto"/>
          <w:szCs w:val="21"/>
          <w:u w:val="single"/>
          <w:lang w:eastAsia="zh-CN"/>
        </w:rPr>
      </w:pPr>
      <w:r>
        <w:rPr>
          <w:rFonts w:hint="eastAsia" w:cs="宋体" w:asciiTheme="majorEastAsia" w:hAnsiTheme="majorEastAsia" w:eastAsiaTheme="majorEastAsia"/>
          <w:bCs/>
          <w:color w:val="auto"/>
          <w:szCs w:val="21"/>
          <w:u w:val="single"/>
          <w:lang w:eastAsia="zh-CN"/>
        </w:rPr>
        <w:t>本项目按城市会客厅项目（建安投资暂按3450万元计）、商务酒店项目（建安投资暂按4400万元计）分别付款。完成对应项目全部工程量的30%付相应服务酬金的30%，工程竣工验收合格后付至相应服务酬金的70%，一审结束后按一审审定价付至相应服务酬金的90%，工程经政府审计部门审计结束后结清余款。如政府审计部门不抽审，则在一审结束满6个月后结清余款。</w:t>
      </w:r>
    </w:p>
    <w:p>
      <w:pPr>
        <w:pStyle w:val="45"/>
        <w:topLinePunct/>
        <w:adjustRightInd/>
        <w:spacing w:before="0" w:after="0" w:line="360" w:lineRule="auto"/>
        <w:ind w:firstLine="420" w:firstLineChars="200"/>
        <w:jc w:val="both"/>
        <w:rPr>
          <w:rStyle w:val="84"/>
          <w:rFonts w:cs="宋体" w:asciiTheme="majorEastAsia" w:hAnsiTheme="majorEastAsia" w:eastAsiaTheme="majorEastAsia"/>
          <w:b w:val="0"/>
          <w:color w:val="auto"/>
          <w:sz w:val="21"/>
          <w:szCs w:val="21"/>
        </w:rPr>
      </w:pPr>
      <w:bookmarkStart w:id="712" w:name="_Toc419045119"/>
      <w:bookmarkStart w:id="713" w:name="_Toc468905529"/>
      <w:bookmarkStart w:id="714" w:name="_Toc464396238"/>
      <w:bookmarkStart w:id="715" w:name="_Toc464395461"/>
      <w:r>
        <w:rPr>
          <w:rStyle w:val="84"/>
          <w:rFonts w:hint="eastAsia" w:cs="宋体" w:asciiTheme="majorEastAsia" w:hAnsiTheme="majorEastAsia" w:eastAsiaTheme="majorEastAsia"/>
          <w:b w:val="0"/>
          <w:color w:val="auto"/>
          <w:sz w:val="21"/>
          <w:szCs w:val="21"/>
        </w:rPr>
        <w:t>6.合同变更、解除与终止</w:t>
      </w:r>
      <w:bookmarkEnd w:id="712"/>
      <w:bookmarkEnd w:id="713"/>
      <w:bookmarkEnd w:id="714"/>
      <w:bookmarkEnd w:id="715"/>
    </w:p>
    <w:p>
      <w:pPr>
        <w:topLinePunct/>
        <w:spacing w:line="360" w:lineRule="auto"/>
        <w:ind w:firstLine="422" w:firstLineChars="200"/>
        <w:rPr>
          <w:rFonts w:cs="宋体" w:asciiTheme="majorEastAsia" w:hAnsiTheme="majorEastAsia" w:eastAsiaTheme="majorEastAsia"/>
          <w:color w:val="auto"/>
          <w:szCs w:val="21"/>
        </w:rPr>
      </w:pPr>
      <w:bookmarkStart w:id="716" w:name="_Toc419045120"/>
      <w:bookmarkStart w:id="717" w:name="_Toc468905530"/>
      <w:bookmarkStart w:id="718" w:name="_Toc464395462"/>
      <w:bookmarkStart w:id="719" w:name="_Toc464396239"/>
      <w:r>
        <w:rPr>
          <w:rStyle w:val="84"/>
          <w:rFonts w:hint="eastAsia" w:cs="宋体" w:asciiTheme="majorEastAsia" w:hAnsiTheme="majorEastAsia" w:eastAsiaTheme="majorEastAsia"/>
          <w:color w:val="auto"/>
          <w:sz w:val="21"/>
          <w:szCs w:val="21"/>
        </w:rPr>
        <w:t>6.1合同变更</w:t>
      </w:r>
      <w:bookmarkEnd w:id="716"/>
      <w:bookmarkEnd w:id="717"/>
      <w:bookmarkEnd w:id="718"/>
      <w:bookmarkEnd w:id="719"/>
    </w:p>
    <w:p>
      <w:pPr>
        <w:topLinePunct/>
        <w:spacing w:line="360" w:lineRule="auto"/>
        <w:ind w:firstLine="420" w:firstLineChars="200"/>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 xml:space="preserve">6.1.2 除不可抗力外，因非咨询人原因导致本合同履行期限延长、内容增加时，不予调整 。 </w:t>
      </w:r>
    </w:p>
    <w:p>
      <w:pPr>
        <w:topLinePunct/>
        <w:spacing w:line="360" w:lineRule="auto"/>
        <w:ind w:firstLine="420" w:firstLineChars="200"/>
        <w:rPr>
          <w:rStyle w:val="84"/>
          <w:rFonts w:cs="宋体" w:asciiTheme="majorEastAsia" w:hAnsiTheme="majorEastAsia" w:eastAsiaTheme="majorEastAsia"/>
          <w:b w:val="0"/>
          <w:color w:val="auto"/>
          <w:sz w:val="21"/>
          <w:szCs w:val="21"/>
        </w:rPr>
      </w:pPr>
      <w:r>
        <w:rPr>
          <w:rFonts w:hint="eastAsia" w:cs="宋体" w:asciiTheme="majorEastAsia" w:hAnsiTheme="majorEastAsia" w:eastAsiaTheme="majorEastAsia"/>
          <w:color w:val="auto"/>
          <w:szCs w:val="21"/>
        </w:rPr>
        <w:t>6.1.4因工程规模、服务范围及内容的变化等导致咨询人的工作量增减时，服务酬金的调整方法：</w:t>
      </w:r>
      <w:r>
        <w:rPr>
          <w:rFonts w:hint="eastAsia" w:cs="宋体" w:asciiTheme="majorEastAsia" w:hAnsiTheme="majorEastAsia" w:eastAsiaTheme="majorEastAsia"/>
          <w:color w:val="auto"/>
          <w:szCs w:val="21"/>
          <w:u w:val="single"/>
        </w:rPr>
        <w:t>按</w:t>
      </w:r>
      <w:r>
        <w:rPr>
          <w:rFonts w:hint="eastAsia" w:cs="宋体" w:asciiTheme="majorEastAsia" w:hAnsiTheme="majorEastAsia" w:eastAsiaTheme="majorEastAsia"/>
          <w:color w:val="auto"/>
          <w:szCs w:val="21"/>
          <w:u w:val="single"/>
          <w:lang w:eastAsia="zh-CN"/>
        </w:rPr>
        <w:t>苏建价协（2022）7号</w:t>
      </w:r>
      <w:r>
        <w:rPr>
          <w:rFonts w:hint="eastAsia" w:cs="宋体" w:asciiTheme="majorEastAsia" w:hAnsiTheme="majorEastAsia" w:eastAsiaTheme="majorEastAsia"/>
          <w:color w:val="auto"/>
          <w:szCs w:val="21"/>
          <w:u w:val="single"/>
        </w:rPr>
        <w:t>文的标准及中标费率调整</w:t>
      </w:r>
      <w:r>
        <w:rPr>
          <w:rFonts w:hint="eastAsia" w:cs="宋体" w:asciiTheme="majorEastAsia" w:hAnsiTheme="majorEastAsia" w:eastAsiaTheme="majorEastAsia"/>
          <w:color w:val="auto"/>
          <w:szCs w:val="21"/>
        </w:rPr>
        <w:t>。</w:t>
      </w:r>
    </w:p>
    <w:p>
      <w:pPr>
        <w:pStyle w:val="34"/>
        <w:topLinePunct/>
        <w:spacing w:before="0" w:after="0" w:line="360" w:lineRule="auto"/>
        <w:ind w:firstLine="420" w:firstLineChars="200"/>
        <w:jc w:val="both"/>
        <w:rPr>
          <w:rFonts w:cs="宋体" w:asciiTheme="majorEastAsia" w:hAnsiTheme="majorEastAsia" w:eastAsiaTheme="majorEastAsia"/>
          <w:b w:val="0"/>
          <w:color w:val="auto"/>
          <w:sz w:val="21"/>
          <w:szCs w:val="21"/>
        </w:rPr>
      </w:pPr>
      <w:bookmarkStart w:id="720" w:name="_Toc464395463"/>
      <w:bookmarkStart w:id="721" w:name="_Toc468905531"/>
      <w:bookmarkStart w:id="722" w:name="_Toc464396240"/>
      <w:r>
        <w:rPr>
          <w:rFonts w:hint="eastAsia" w:cs="宋体" w:asciiTheme="majorEastAsia" w:hAnsiTheme="majorEastAsia" w:eastAsiaTheme="majorEastAsia"/>
          <w:b w:val="0"/>
          <w:color w:val="auto"/>
          <w:sz w:val="21"/>
          <w:szCs w:val="21"/>
        </w:rPr>
        <w:t>6.2合同解除</w:t>
      </w:r>
      <w:bookmarkEnd w:id="720"/>
      <w:bookmarkEnd w:id="721"/>
      <w:bookmarkEnd w:id="722"/>
    </w:p>
    <w:p>
      <w:pPr>
        <w:topLinePunct/>
        <w:spacing w:line="360" w:lineRule="auto"/>
        <w:ind w:firstLine="420" w:firstLineChars="200"/>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6.2.2双方约定解除合同的条件还包括：</w:t>
      </w:r>
      <w:r>
        <w:rPr>
          <w:rFonts w:hint="eastAsia" w:cs="宋体" w:asciiTheme="majorEastAsia" w:hAnsiTheme="majorEastAsia" w:eastAsiaTheme="majorEastAsia"/>
          <w:color w:val="auto"/>
          <w:szCs w:val="21"/>
          <w:u w:val="single"/>
        </w:rPr>
        <w:t xml:space="preserve">       /        </w:t>
      </w:r>
      <w:r>
        <w:rPr>
          <w:rFonts w:hint="eastAsia" w:cs="宋体" w:asciiTheme="majorEastAsia" w:hAnsiTheme="majorEastAsia" w:eastAsiaTheme="majorEastAsia"/>
          <w:color w:val="auto"/>
          <w:szCs w:val="21"/>
        </w:rPr>
        <w:t xml:space="preserve">。 </w:t>
      </w:r>
    </w:p>
    <w:p>
      <w:pPr>
        <w:topLinePunct/>
        <w:spacing w:line="360" w:lineRule="auto"/>
        <w:ind w:firstLine="420" w:firstLineChars="200"/>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6.2.4因不可抗力导致的合同解除，双方约定损失的分担如下：</w:t>
      </w:r>
      <w:r>
        <w:rPr>
          <w:rFonts w:hint="eastAsia" w:cs="宋体" w:asciiTheme="majorEastAsia" w:hAnsiTheme="majorEastAsia" w:eastAsiaTheme="majorEastAsia"/>
          <w:color w:val="auto"/>
          <w:szCs w:val="21"/>
          <w:u w:val="single"/>
        </w:rPr>
        <w:t xml:space="preserve">   /   </w:t>
      </w:r>
      <w:r>
        <w:rPr>
          <w:rFonts w:hint="eastAsia" w:cs="宋体" w:asciiTheme="majorEastAsia" w:hAnsiTheme="majorEastAsia" w:eastAsiaTheme="majorEastAsia"/>
          <w:color w:val="auto"/>
          <w:szCs w:val="21"/>
        </w:rPr>
        <w:t>。</w:t>
      </w:r>
    </w:p>
    <w:p>
      <w:pPr>
        <w:pStyle w:val="45"/>
        <w:topLinePunct/>
        <w:adjustRightInd/>
        <w:spacing w:before="0" w:after="0" w:line="360" w:lineRule="auto"/>
        <w:ind w:firstLine="422" w:firstLineChars="200"/>
        <w:jc w:val="both"/>
        <w:rPr>
          <w:rFonts w:cs="宋体" w:asciiTheme="majorEastAsia" w:hAnsiTheme="majorEastAsia" w:eastAsiaTheme="majorEastAsia"/>
          <w:color w:val="auto"/>
          <w:sz w:val="21"/>
          <w:szCs w:val="21"/>
        </w:rPr>
      </w:pPr>
      <w:bookmarkStart w:id="723" w:name="_Toc468905532"/>
      <w:bookmarkStart w:id="724" w:name="_Toc419045121"/>
      <w:bookmarkStart w:id="725" w:name="_Toc464395464"/>
      <w:bookmarkStart w:id="726" w:name="_Toc464396241"/>
      <w:r>
        <w:rPr>
          <w:rFonts w:hint="eastAsia" w:cs="宋体" w:asciiTheme="majorEastAsia" w:hAnsiTheme="majorEastAsia" w:eastAsiaTheme="majorEastAsia"/>
          <w:color w:val="auto"/>
          <w:sz w:val="21"/>
          <w:szCs w:val="21"/>
        </w:rPr>
        <w:t>7.争议解决</w:t>
      </w:r>
      <w:bookmarkEnd w:id="723"/>
      <w:bookmarkEnd w:id="724"/>
      <w:bookmarkEnd w:id="725"/>
      <w:bookmarkEnd w:id="726"/>
    </w:p>
    <w:p>
      <w:pPr>
        <w:topLinePunct/>
        <w:spacing w:line="360" w:lineRule="auto"/>
        <w:ind w:firstLine="422" w:firstLineChars="200"/>
        <w:rPr>
          <w:rFonts w:cs="宋体" w:asciiTheme="majorEastAsia" w:hAnsiTheme="majorEastAsia" w:eastAsiaTheme="majorEastAsia"/>
          <w:color w:val="auto"/>
          <w:szCs w:val="21"/>
        </w:rPr>
      </w:pPr>
      <w:bookmarkStart w:id="727" w:name="_Toc464395465"/>
      <w:bookmarkStart w:id="728" w:name="_Toc468905533"/>
      <w:bookmarkStart w:id="729" w:name="_Toc464396242"/>
      <w:bookmarkStart w:id="730" w:name="_Toc419045122"/>
      <w:r>
        <w:rPr>
          <w:rStyle w:val="84"/>
          <w:rFonts w:hint="eastAsia" w:cs="宋体" w:asciiTheme="majorEastAsia" w:hAnsiTheme="majorEastAsia" w:eastAsiaTheme="majorEastAsia"/>
          <w:color w:val="auto"/>
          <w:sz w:val="21"/>
          <w:szCs w:val="21"/>
        </w:rPr>
        <w:t>7.1调解</w:t>
      </w:r>
      <w:bookmarkEnd w:id="727"/>
      <w:bookmarkEnd w:id="728"/>
      <w:bookmarkEnd w:id="729"/>
      <w:bookmarkEnd w:id="730"/>
    </w:p>
    <w:p>
      <w:pPr>
        <w:topLinePunct/>
        <w:spacing w:line="360" w:lineRule="auto"/>
        <w:ind w:firstLine="420" w:firstLineChars="200"/>
        <w:rPr>
          <w:rStyle w:val="84"/>
          <w:rFonts w:cs="宋体" w:asciiTheme="majorEastAsia" w:hAnsiTheme="majorEastAsia" w:eastAsiaTheme="majorEastAsia"/>
          <w:b w:val="0"/>
          <w:bCs w:val="0"/>
          <w:color w:val="auto"/>
          <w:kern w:val="0"/>
          <w:sz w:val="21"/>
          <w:szCs w:val="21"/>
        </w:rPr>
      </w:pPr>
      <w:r>
        <w:rPr>
          <w:rFonts w:hint="eastAsia" w:cs="宋体" w:asciiTheme="majorEastAsia" w:hAnsiTheme="majorEastAsia" w:eastAsiaTheme="majorEastAsia"/>
          <w:color w:val="auto"/>
          <w:szCs w:val="21"/>
        </w:rPr>
        <w:t>如果双方不能在</w:t>
      </w:r>
      <w:r>
        <w:rPr>
          <w:rFonts w:hint="eastAsia" w:cs="宋体" w:asciiTheme="majorEastAsia" w:hAnsiTheme="majorEastAsia" w:eastAsiaTheme="majorEastAsia"/>
          <w:color w:val="auto"/>
          <w:szCs w:val="21"/>
          <w:u w:val="single"/>
        </w:rPr>
        <w:t xml:space="preserve">   14  </w:t>
      </w:r>
      <w:r>
        <w:rPr>
          <w:rFonts w:hint="eastAsia" w:cs="宋体" w:asciiTheme="majorEastAsia" w:hAnsiTheme="majorEastAsia" w:eastAsiaTheme="majorEastAsia"/>
          <w:color w:val="auto"/>
          <w:szCs w:val="21"/>
        </w:rPr>
        <w:t>日内解决本合同争议，可以将其提交</w:t>
      </w:r>
      <w:r>
        <w:rPr>
          <w:rFonts w:hint="eastAsia" w:cs="宋体" w:asciiTheme="majorEastAsia" w:hAnsiTheme="majorEastAsia" w:eastAsiaTheme="majorEastAsia"/>
          <w:color w:val="auto"/>
          <w:szCs w:val="21"/>
          <w:u w:val="single"/>
        </w:rPr>
        <w:t xml:space="preserve"> 有关职能部门</w:t>
      </w:r>
      <w:r>
        <w:rPr>
          <w:rFonts w:hint="eastAsia" w:cs="宋体" w:asciiTheme="majorEastAsia" w:hAnsiTheme="majorEastAsia" w:eastAsiaTheme="majorEastAsia"/>
          <w:color w:val="auto"/>
          <w:szCs w:val="21"/>
        </w:rPr>
        <w:t>进行调解。</w:t>
      </w:r>
    </w:p>
    <w:p>
      <w:pPr>
        <w:pStyle w:val="34"/>
        <w:topLinePunct/>
        <w:spacing w:before="0" w:after="0" w:line="360" w:lineRule="auto"/>
        <w:ind w:firstLine="420" w:firstLineChars="200"/>
        <w:jc w:val="both"/>
        <w:rPr>
          <w:rFonts w:cs="宋体" w:asciiTheme="majorEastAsia" w:hAnsiTheme="majorEastAsia" w:eastAsiaTheme="majorEastAsia"/>
          <w:b w:val="0"/>
          <w:color w:val="auto"/>
          <w:sz w:val="21"/>
          <w:szCs w:val="21"/>
        </w:rPr>
      </w:pPr>
      <w:bookmarkStart w:id="731" w:name="_Toc464395466"/>
      <w:bookmarkStart w:id="732" w:name="_Toc464396243"/>
      <w:bookmarkStart w:id="733" w:name="_Toc468905534"/>
      <w:r>
        <w:rPr>
          <w:rFonts w:hint="eastAsia" w:cs="宋体" w:asciiTheme="majorEastAsia" w:hAnsiTheme="majorEastAsia" w:eastAsiaTheme="majorEastAsia"/>
          <w:b w:val="0"/>
          <w:color w:val="auto"/>
          <w:sz w:val="21"/>
          <w:szCs w:val="21"/>
        </w:rPr>
        <w:t>7.2仲裁或诉讼</w:t>
      </w:r>
      <w:bookmarkEnd w:id="731"/>
      <w:bookmarkEnd w:id="732"/>
      <w:bookmarkEnd w:id="733"/>
    </w:p>
    <w:p>
      <w:pPr>
        <w:topLinePunct/>
        <w:spacing w:line="360" w:lineRule="auto"/>
        <w:ind w:firstLine="420" w:firstLineChars="200"/>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合同争议的最终解决方式为下列第</w:t>
      </w:r>
      <w:r>
        <w:rPr>
          <w:rFonts w:hint="eastAsia" w:cs="宋体" w:asciiTheme="majorEastAsia" w:hAnsiTheme="majorEastAsia" w:eastAsiaTheme="majorEastAsia"/>
          <w:color w:val="auto"/>
          <w:szCs w:val="21"/>
          <w:u w:val="single"/>
        </w:rPr>
        <w:t xml:space="preserve">    （2）   </w:t>
      </w:r>
      <w:r>
        <w:rPr>
          <w:rFonts w:hint="eastAsia" w:cs="宋体" w:asciiTheme="majorEastAsia" w:hAnsiTheme="majorEastAsia" w:eastAsiaTheme="majorEastAsia"/>
          <w:color w:val="auto"/>
          <w:szCs w:val="21"/>
        </w:rPr>
        <w:t>种方式：</w:t>
      </w:r>
    </w:p>
    <w:p>
      <w:pPr>
        <w:topLinePunct/>
        <w:spacing w:line="360" w:lineRule="auto"/>
        <w:ind w:firstLine="420" w:firstLineChars="200"/>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（1）提请</w:t>
      </w:r>
      <w:r>
        <w:rPr>
          <w:rFonts w:hint="eastAsia" w:cs="宋体" w:asciiTheme="majorEastAsia" w:hAnsiTheme="majorEastAsia" w:eastAsiaTheme="majorEastAsia"/>
          <w:color w:val="auto"/>
          <w:szCs w:val="21"/>
          <w:u w:val="single"/>
        </w:rPr>
        <w:t xml:space="preserve">     /    </w:t>
      </w:r>
      <w:r>
        <w:rPr>
          <w:rFonts w:hint="eastAsia" w:cs="宋体" w:asciiTheme="majorEastAsia" w:hAnsiTheme="majorEastAsia" w:eastAsiaTheme="majorEastAsia"/>
          <w:color w:val="auto"/>
          <w:szCs w:val="21"/>
        </w:rPr>
        <w:t>仲裁委员会进行仲裁。</w:t>
      </w:r>
    </w:p>
    <w:p>
      <w:pPr>
        <w:topLinePunct/>
        <w:spacing w:line="360" w:lineRule="auto"/>
        <w:ind w:firstLine="420" w:firstLineChars="200"/>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（2）向</w:t>
      </w:r>
      <w:r>
        <w:rPr>
          <w:rFonts w:hint="eastAsia" w:cs="宋体" w:asciiTheme="majorEastAsia" w:hAnsiTheme="majorEastAsia" w:eastAsiaTheme="majorEastAsia"/>
          <w:color w:val="auto"/>
          <w:szCs w:val="21"/>
          <w:u w:val="single"/>
        </w:rPr>
        <w:t xml:space="preserve">   委托人所在地</w:t>
      </w:r>
      <w:r>
        <w:rPr>
          <w:rFonts w:hint="eastAsia" w:cs="宋体" w:asciiTheme="majorEastAsia" w:hAnsiTheme="majorEastAsia" w:eastAsiaTheme="majorEastAsia"/>
          <w:color w:val="auto"/>
          <w:szCs w:val="21"/>
        </w:rPr>
        <w:t>___ 人民法院提起诉讼。</w:t>
      </w:r>
    </w:p>
    <w:p>
      <w:pPr>
        <w:topLinePunct/>
        <w:spacing w:line="360" w:lineRule="auto"/>
        <w:ind w:firstLine="422" w:firstLineChars="200"/>
        <w:rPr>
          <w:rStyle w:val="84"/>
          <w:rFonts w:cs="宋体" w:asciiTheme="majorEastAsia" w:hAnsiTheme="majorEastAsia" w:eastAsiaTheme="majorEastAsia"/>
          <w:b w:val="0"/>
          <w:color w:val="auto"/>
          <w:sz w:val="21"/>
          <w:szCs w:val="21"/>
        </w:rPr>
      </w:pPr>
      <w:bookmarkStart w:id="734" w:name="_Toc468905535"/>
      <w:bookmarkStart w:id="735" w:name="_Toc464395467"/>
      <w:bookmarkStart w:id="736" w:name="_Toc419045123"/>
      <w:bookmarkStart w:id="737" w:name="_Toc464396244"/>
      <w:r>
        <w:rPr>
          <w:rStyle w:val="88"/>
          <w:rFonts w:hint="eastAsia" w:cs="宋体" w:asciiTheme="majorEastAsia" w:hAnsiTheme="majorEastAsia" w:eastAsiaTheme="majorEastAsia"/>
          <w:color w:val="auto"/>
          <w:sz w:val="21"/>
          <w:szCs w:val="21"/>
        </w:rPr>
        <w:t>8.其他</w:t>
      </w:r>
      <w:bookmarkEnd w:id="734"/>
      <w:bookmarkEnd w:id="735"/>
      <w:bookmarkEnd w:id="736"/>
      <w:bookmarkEnd w:id="737"/>
    </w:p>
    <w:p>
      <w:pPr>
        <w:pStyle w:val="34"/>
        <w:topLinePunct/>
        <w:spacing w:before="0" w:after="0" w:line="360" w:lineRule="auto"/>
        <w:ind w:firstLine="420" w:firstLineChars="200"/>
        <w:jc w:val="both"/>
        <w:rPr>
          <w:rFonts w:cs="宋体" w:asciiTheme="majorEastAsia" w:hAnsiTheme="majorEastAsia" w:eastAsiaTheme="majorEastAsia"/>
          <w:b w:val="0"/>
          <w:color w:val="auto"/>
          <w:sz w:val="21"/>
          <w:szCs w:val="21"/>
        </w:rPr>
      </w:pPr>
      <w:bookmarkStart w:id="738" w:name="_Toc464395468"/>
      <w:bookmarkStart w:id="739" w:name="_Toc464396245"/>
      <w:bookmarkStart w:id="740" w:name="_Toc468905536"/>
      <w:r>
        <w:rPr>
          <w:rFonts w:hint="eastAsia" w:cs="宋体" w:asciiTheme="majorEastAsia" w:hAnsiTheme="majorEastAsia" w:eastAsiaTheme="majorEastAsia"/>
          <w:b w:val="0"/>
          <w:color w:val="auto"/>
          <w:sz w:val="21"/>
          <w:szCs w:val="21"/>
        </w:rPr>
        <w:t>8.1考察及相关费用</w:t>
      </w:r>
      <w:bookmarkEnd w:id="738"/>
      <w:bookmarkEnd w:id="739"/>
      <w:bookmarkEnd w:id="740"/>
    </w:p>
    <w:p>
      <w:pPr>
        <w:topLinePunct/>
        <w:spacing w:line="360" w:lineRule="auto"/>
        <w:ind w:firstLine="420" w:firstLineChars="200"/>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咨询人经委托人同意进行考察发生的费用由</w:t>
      </w:r>
      <w:r>
        <w:rPr>
          <w:rFonts w:hint="eastAsia" w:cs="宋体" w:asciiTheme="majorEastAsia" w:hAnsiTheme="majorEastAsia" w:eastAsiaTheme="majorEastAsia"/>
          <w:color w:val="auto"/>
          <w:szCs w:val="21"/>
          <w:u w:val="single"/>
        </w:rPr>
        <w:t xml:space="preserve">    委托人    </w:t>
      </w:r>
      <w:r>
        <w:rPr>
          <w:rFonts w:hint="eastAsia" w:cs="宋体" w:asciiTheme="majorEastAsia" w:hAnsiTheme="majorEastAsia" w:eastAsiaTheme="majorEastAsia"/>
          <w:color w:val="auto"/>
          <w:szCs w:val="21"/>
        </w:rPr>
        <w:t>支付。</w:t>
      </w:r>
    </w:p>
    <w:p>
      <w:pPr>
        <w:topLinePunct/>
        <w:spacing w:line="360" w:lineRule="auto"/>
        <w:ind w:firstLine="420" w:firstLineChars="200"/>
        <w:rPr>
          <w:rStyle w:val="84"/>
          <w:rFonts w:cs="宋体" w:asciiTheme="majorEastAsia" w:hAnsiTheme="majorEastAsia" w:eastAsiaTheme="majorEastAsia"/>
          <w:b w:val="0"/>
          <w:color w:val="auto"/>
          <w:sz w:val="21"/>
          <w:szCs w:val="21"/>
        </w:rPr>
      </w:pPr>
      <w:r>
        <w:rPr>
          <w:rFonts w:hint="eastAsia" w:cs="宋体" w:asciiTheme="majorEastAsia" w:hAnsiTheme="majorEastAsia" w:eastAsiaTheme="majorEastAsia"/>
          <w:color w:val="auto"/>
          <w:szCs w:val="21"/>
        </w:rPr>
        <w:t>差旅费及相关费用的支付：</w:t>
      </w:r>
      <w:r>
        <w:rPr>
          <w:rFonts w:hint="eastAsia" w:cs="宋体" w:asciiTheme="majorEastAsia" w:hAnsiTheme="majorEastAsia" w:eastAsiaTheme="majorEastAsia"/>
          <w:color w:val="auto"/>
          <w:szCs w:val="21"/>
          <w:u w:val="single"/>
        </w:rPr>
        <w:t xml:space="preserve">  由委托人承担  </w:t>
      </w:r>
      <w:r>
        <w:rPr>
          <w:rFonts w:hint="eastAsia" w:cs="宋体" w:asciiTheme="majorEastAsia" w:hAnsiTheme="majorEastAsia" w:eastAsiaTheme="majorEastAsia"/>
          <w:color w:val="auto"/>
          <w:szCs w:val="21"/>
        </w:rPr>
        <w:t xml:space="preserve">。 </w:t>
      </w:r>
    </w:p>
    <w:p>
      <w:pPr>
        <w:pStyle w:val="34"/>
        <w:topLinePunct/>
        <w:spacing w:before="0" w:after="0" w:line="360" w:lineRule="auto"/>
        <w:ind w:firstLine="420" w:firstLineChars="200"/>
        <w:jc w:val="both"/>
        <w:rPr>
          <w:rFonts w:cs="宋体" w:asciiTheme="majorEastAsia" w:hAnsiTheme="majorEastAsia" w:eastAsiaTheme="majorEastAsia"/>
          <w:b w:val="0"/>
          <w:color w:val="auto"/>
          <w:sz w:val="21"/>
          <w:szCs w:val="21"/>
        </w:rPr>
      </w:pPr>
      <w:bookmarkStart w:id="741" w:name="_Toc464395469"/>
      <w:bookmarkStart w:id="742" w:name="_Toc468905537"/>
      <w:bookmarkStart w:id="743" w:name="_Toc464396246"/>
      <w:r>
        <w:rPr>
          <w:rFonts w:hint="eastAsia" w:cs="宋体" w:asciiTheme="majorEastAsia" w:hAnsiTheme="majorEastAsia" w:eastAsiaTheme="majorEastAsia"/>
          <w:b w:val="0"/>
          <w:color w:val="auto"/>
          <w:sz w:val="21"/>
          <w:szCs w:val="21"/>
        </w:rPr>
        <w:t>8.2奖励</w:t>
      </w:r>
      <w:bookmarkEnd w:id="741"/>
      <w:bookmarkEnd w:id="742"/>
      <w:bookmarkEnd w:id="743"/>
    </w:p>
    <w:p>
      <w:pPr>
        <w:topLinePunct/>
        <w:spacing w:line="360" w:lineRule="auto"/>
        <w:ind w:firstLine="420" w:firstLineChars="200"/>
        <w:rPr>
          <w:rStyle w:val="84"/>
          <w:rFonts w:cs="宋体" w:asciiTheme="majorEastAsia" w:hAnsiTheme="majorEastAsia" w:eastAsiaTheme="majorEastAsia"/>
          <w:b w:val="0"/>
          <w:color w:val="auto"/>
          <w:sz w:val="21"/>
          <w:szCs w:val="21"/>
        </w:rPr>
      </w:pPr>
      <w:r>
        <w:rPr>
          <w:rFonts w:hint="eastAsia" w:cs="宋体" w:asciiTheme="majorEastAsia" w:hAnsiTheme="majorEastAsia" w:eastAsiaTheme="majorEastAsia"/>
          <w:color w:val="auto"/>
          <w:szCs w:val="21"/>
        </w:rPr>
        <w:t>合理化建议的奖励金额按下列方法确定：</w:t>
      </w:r>
      <w:r>
        <w:rPr>
          <w:rFonts w:hint="eastAsia" w:cs="宋体" w:asciiTheme="majorEastAsia" w:hAnsiTheme="majorEastAsia" w:eastAsiaTheme="majorEastAsia"/>
          <w:color w:val="auto"/>
          <w:szCs w:val="21"/>
          <w:u w:val="single"/>
        </w:rPr>
        <w:t xml:space="preserve">      /       </w:t>
      </w:r>
      <w:r>
        <w:rPr>
          <w:rFonts w:hint="eastAsia" w:cs="宋体" w:asciiTheme="majorEastAsia" w:hAnsiTheme="majorEastAsia" w:eastAsiaTheme="majorEastAsia"/>
          <w:color w:val="auto"/>
          <w:szCs w:val="21"/>
        </w:rPr>
        <w:t xml:space="preserve">。 </w:t>
      </w:r>
    </w:p>
    <w:p>
      <w:pPr>
        <w:pStyle w:val="34"/>
        <w:topLinePunct/>
        <w:spacing w:before="0" w:after="0" w:line="360" w:lineRule="auto"/>
        <w:ind w:firstLine="420" w:firstLineChars="200"/>
        <w:jc w:val="both"/>
        <w:rPr>
          <w:rFonts w:cs="宋体" w:asciiTheme="majorEastAsia" w:hAnsiTheme="majorEastAsia" w:eastAsiaTheme="majorEastAsia"/>
          <w:b w:val="0"/>
          <w:color w:val="auto"/>
          <w:sz w:val="21"/>
          <w:szCs w:val="21"/>
        </w:rPr>
      </w:pPr>
      <w:bookmarkStart w:id="744" w:name="_Toc464395470"/>
      <w:bookmarkStart w:id="745" w:name="_Toc464396247"/>
      <w:bookmarkStart w:id="746" w:name="_Toc468905538"/>
      <w:r>
        <w:rPr>
          <w:rFonts w:hint="eastAsia" w:cs="宋体" w:asciiTheme="majorEastAsia" w:hAnsiTheme="majorEastAsia" w:eastAsiaTheme="majorEastAsia"/>
          <w:b w:val="0"/>
          <w:color w:val="auto"/>
          <w:sz w:val="21"/>
          <w:szCs w:val="21"/>
        </w:rPr>
        <w:t>8.3保密</w:t>
      </w:r>
      <w:bookmarkEnd w:id="744"/>
      <w:bookmarkEnd w:id="745"/>
      <w:bookmarkEnd w:id="746"/>
    </w:p>
    <w:p>
      <w:pPr>
        <w:topLinePunct/>
        <w:spacing w:line="360" w:lineRule="auto"/>
        <w:ind w:firstLine="420" w:firstLineChars="200"/>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委托人申明的保密事项和期限</w:t>
      </w:r>
      <w:r>
        <w:rPr>
          <w:rFonts w:hint="eastAsia" w:cs="宋体" w:asciiTheme="majorEastAsia" w:hAnsiTheme="majorEastAsia" w:eastAsiaTheme="majorEastAsia"/>
          <w:color w:val="auto"/>
          <w:szCs w:val="21"/>
          <w:u w:val="single"/>
        </w:rPr>
        <w:t xml:space="preserve">      /       </w:t>
      </w:r>
      <w:r>
        <w:rPr>
          <w:rFonts w:hint="eastAsia" w:cs="宋体" w:asciiTheme="majorEastAsia" w:hAnsiTheme="majorEastAsia" w:eastAsiaTheme="majorEastAsia"/>
          <w:color w:val="auto"/>
          <w:szCs w:val="21"/>
        </w:rPr>
        <w:t>。</w:t>
      </w:r>
    </w:p>
    <w:p>
      <w:pPr>
        <w:topLinePunct/>
        <w:spacing w:line="360" w:lineRule="auto"/>
        <w:ind w:firstLine="420" w:firstLineChars="200"/>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咨询人申明的保密事项和期限</w:t>
      </w:r>
      <w:r>
        <w:rPr>
          <w:rFonts w:hint="eastAsia" w:cs="宋体" w:asciiTheme="majorEastAsia" w:hAnsiTheme="majorEastAsia" w:eastAsiaTheme="majorEastAsia"/>
          <w:color w:val="auto"/>
          <w:szCs w:val="21"/>
          <w:u w:val="single"/>
        </w:rPr>
        <w:t xml:space="preserve">      /       </w:t>
      </w:r>
      <w:r>
        <w:rPr>
          <w:rFonts w:hint="eastAsia" w:cs="宋体" w:asciiTheme="majorEastAsia" w:hAnsiTheme="majorEastAsia" w:eastAsiaTheme="majorEastAsia"/>
          <w:color w:val="auto"/>
          <w:szCs w:val="21"/>
        </w:rPr>
        <w:t>。</w:t>
      </w:r>
    </w:p>
    <w:p>
      <w:pPr>
        <w:topLinePunct/>
        <w:spacing w:line="360" w:lineRule="auto"/>
        <w:ind w:firstLine="420" w:firstLineChars="200"/>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第三人申明的保密事项和期限</w:t>
      </w:r>
      <w:r>
        <w:rPr>
          <w:rFonts w:hint="eastAsia" w:cs="宋体" w:asciiTheme="majorEastAsia" w:hAnsiTheme="majorEastAsia" w:eastAsiaTheme="majorEastAsia"/>
          <w:color w:val="auto"/>
          <w:szCs w:val="21"/>
          <w:u w:val="single"/>
        </w:rPr>
        <w:t xml:space="preserve">      /       </w:t>
      </w:r>
      <w:r>
        <w:rPr>
          <w:rFonts w:hint="eastAsia" w:cs="宋体" w:asciiTheme="majorEastAsia" w:hAnsiTheme="majorEastAsia" w:eastAsiaTheme="majorEastAsia"/>
          <w:color w:val="auto"/>
          <w:szCs w:val="21"/>
        </w:rPr>
        <w:t>。</w:t>
      </w:r>
    </w:p>
    <w:p>
      <w:pPr>
        <w:topLinePunct/>
        <w:spacing w:line="360" w:lineRule="auto"/>
        <w:ind w:firstLine="422" w:firstLineChars="200"/>
        <w:rPr>
          <w:rFonts w:cs="宋体" w:asciiTheme="majorEastAsia" w:hAnsiTheme="majorEastAsia" w:eastAsiaTheme="majorEastAsia"/>
          <w:bCs/>
          <w:color w:val="auto"/>
          <w:kern w:val="28"/>
          <w:szCs w:val="21"/>
        </w:rPr>
      </w:pPr>
      <w:bookmarkStart w:id="747" w:name="_Toc468905539"/>
      <w:bookmarkStart w:id="748" w:name="_Toc464395471"/>
      <w:bookmarkStart w:id="749" w:name="_Toc464396248"/>
      <w:r>
        <w:rPr>
          <w:rStyle w:val="84"/>
          <w:rFonts w:hint="eastAsia" w:cs="宋体" w:asciiTheme="majorEastAsia" w:hAnsiTheme="majorEastAsia" w:eastAsiaTheme="majorEastAsia"/>
          <w:color w:val="auto"/>
          <w:sz w:val="21"/>
          <w:szCs w:val="21"/>
        </w:rPr>
        <w:t>8.4联络</w:t>
      </w:r>
      <w:bookmarkEnd w:id="747"/>
      <w:bookmarkEnd w:id="748"/>
      <w:bookmarkEnd w:id="749"/>
    </w:p>
    <w:p>
      <w:pPr>
        <w:topLinePunct/>
        <w:spacing w:line="360" w:lineRule="auto"/>
        <w:ind w:firstLine="420" w:firstLineChars="200"/>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8.4.1任何一方与合同有关的通知、指示、要求、决定等，均应在</w:t>
      </w:r>
      <w:r>
        <w:rPr>
          <w:rFonts w:hint="eastAsia" w:cs="宋体" w:asciiTheme="majorEastAsia" w:hAnsiTheme="majorEastAsia" w:eastAsiaTheme="majorEastAsia"/>
          <w:color w:val="auto"/>
          <w:szCs w:val="21"/>
          <w:u w:val="single"/>
        </w:rPr>
        <w:t xml:space="preserve">  7   </w:t>
      </w:r>
      <w:r>
        <w:rPr>
          <w:rFonts w:hint="eastAsia" w:cs="宋体" w:asciiTheme="majorEastAsia" w:hAnsiTheme="majorEastAsia" w:eastAsiaTheme="majorEastAsia"/>
          <w:color w:val="auto"/>
          <w:szCs w:val="21"/>
        </w:rPr>
        <w:t>日内送达对方指定的接收人和送达地点。</w:t>
      </w:r>
    </w:p>
    <w:p>
      <w:pPr>
        <w:topLinePunct/>
        <w:spacing w:line="360" w:lineRule="auto"/>
        <w:ind w:firstLine="420" w:firstLineChars="200"/>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8.4.2委托人指定的送达接收人：</w:t>
      </w:r>
      <w:r>
        <w:rPr>
          <w:rFonts w:hint="eastAsia" w:cs="宋体" w:asciiTheme="majorEastAsia" w:hAnsiTheme="majorEastAsia" w:eastAsiaTheme="majorEastAsia"/>
          <w:color w:val="auto"/>
          <w:szCs w:val="21"/>
          <w:u w:val="single"/>
        </w:rPr>
        <w:t xml:space="preserve">     </w:t>
      </w:r>
      <w:r>
        <w:rPr>
          <w:rFonts w:hint="eastAsia" w:cs="宋体" w:asciiTheme="majorEastAsia" w:hAnsiTheme="majorEastAsia" w:eastAsiaTheme="majorEastAsia"/>
          <w:color w:val="auto"/>
          <w:szCs w:val="21"/>
        </w:rPr>
        <w:t>，送达地点：</w:t>
      </w:r>
      <w:r>
        <w:rPr>
          <w:rFonts w:hint="eastAsia" w:cs="宋体" w:asciiTheme="majorEastAsia" w:hAnsiTheme="majorEastAsia" w:eastAsiaTheme="majorEastAsia"/>
          <w:color w:val="auto"/>
          <w:szCs w:val="21"/>
          <w:u w:val="single"/>
        </w:rPr>
        <w:t xml:space="preserve">     </w:t>
      </w:r>
      <w:r>
        <w:rPr>
          <w:rFonts w:hint="eastAsia" w:cs="宋体" w:asciiTheme="majorEastAsia" w:hAnsiTheme="majorEastAsia" w:eastAsiaTheme="majorEastAsia"/>
          <w:color w:val="auto"/>
          <w:szCs w:val="21"/>
        </w:rPr>
        <w:t>，电子邮箱：</w:t>
      </w:r>
      <w:r>
        <w:rPr>
          <w:rFonts w:hint="eastAsia" w:cs="宋体" w:asciiTheme="majorEastAsia" w:hAnsiTheme="majorEastAsia" w:eastAsiaTheme="majorEastAsia"/>
          <w:color w:val="auto"/>
          <w:szCs w:val="21"/>
          <w:u w:val="single"/>
        </w:rPr>
        <w:t xml:space="preserve">     </w:t>
      </w:r>
      <w:r>
        <w:rPr>
          <w:rFonts w:hint="eastAsia" w:cs="宋体" w:asciiTheme="majorEastAsia" w:hAnsiTheme="majorEastAsia" w:eastAsiaTheme="majorEastAsia"/>
          <w:color w:val="auto"/>
          <w:szCs w:val="21"/>
        </w:rPr>
        <w:t>。</w:t>
      </w:r>
    </w:p>
    <w:p>
      <w:pPr>
        <w:topLinePunct/>
        <w:spacing w:line="360" w:lineRule="auto"/>
        <w:ind w:firstLine="420" w:firstLineChars="200"/>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8.4.3咨询人指定的送达接收人：</w:t>
      </w:r>
      <w:r>
        <w:rPr>
          <w:rFonts w:hint="eastAsia" w:cs="宋体" w:asciiTheme="majorEastAsia" w:hAnsiTheme="majorEastAsia" w:eastAsiaTheme="majorEastAsia"/>
          <w:color w:val="auto"/>
          <w:szCs w:val="21"/>
          <w:u w:val="single"/>
        </w:rPr>
        <w:t xml:space="preserve">              </w:t>
      </w:r>
      <w:r>
        <w:rPr>
          <w:rFonts w:hint="eastAsia" w:cs="宋体" w:asciiTheme="majorEastAsia" w:hAnsiTheme="majorEastAsia" w:eastAsiaTheme="majorEastAsia"/>
          <w:color w:val="auto"/>
          <w:szCs w:val="21"/>
        </w:rPr>
        <w:t>，送达地点：</w:t>
      </w:r>
      <w:r>
        <w:rPr>
          <w:rFonts w:hint="eastAsia" w:cs="宋体" w:asciiTheme="majorEastAsia" w:hAnsiTheme="majorEastAsia" w:eastAsiaTheme="majorEastAsia"/>
          <w:color w:val="auto"/>
          <w:szCs w:val="21"/>
          <w:u w:val="single"/>
        </w:rPr>
        <w:t xml:space="preserve">工程现场 </w:t>
      </w:r>
      <w:r>
        <w:rPr>
          <w:rFonts w:hint="eastAsia" w:cs="宋体" w:asciiTheme="majorEastAsia" w:hAnsiTheme="majorEastAsia" w:eastAsiaTheme="majorEastAsia"/>
          <w:color w:val="auto"/>
          <w:szCs w:val="21"/>
        </w:rPr>
        <w:t>。</w:t>
      </w:r>
    </w:p>
    <w:p>
      <w:pPr>
        <w:topLinePunct/>
        <w:spacing w:line="360" w:lineRule="auto"/>
        <w:ind w:firstLine="422" w:firstLineChars="200"/>
        <w:rPr>
          <w:rStyle w:val="84"/>
          <w:rFonts w:cs="宋体" w:asciiTheme="majorEastAsia" w:hAnsiTheme="majorEastAsia" w:eastAsiaTheme="majorEastAsia"/>
          <w:b w:val="0"/>
          <w:color w:val="auto"/>
          <w:sz w:val="21"/>
          <w:szCs w:val="21"/>
        </w:rPr>
      </w:pPr>
      <w:bookmarkStart w:id="750" w:name="_Toc468905540"/>
      <w:bookmarkStart w:id="751" w:name="_Toc419045124"/>
      <w:bookmarkStart w:id="752" w:name="_Toc464395472"/>
      <w:bookmarkStart w:id="753" w:name="_Toc464396249"/>
      <w:r>
        <w:rPr>
          <w:rStyle w:val="84"/>
          <w:rFonts w:hint="eastAsia" w:cs="宋体" w:asciiTheme="majorEastAsia" w:hAnsiTheme="majorEastAsia" w:eastAsiaTheme="majorEastAsia"/>
          <w:color w:val="auto"/>
          <w:sz w:val="21"/>
          <w:szCs w:val="21"/>
        </w:rPr>
        <w:t>8.5知识产权</w:t>
      </w:r>
      <w:bookmarkEnd w:id="750"/>
      <w:bookmarkEnd w:id="751"/>
      <w:bookmarkEnd w:id="752"/>
      <w:bookmarkEnd w:id="753"/>
    </w:p>
    <w:p>
      <w:pPr>
        <w:topLinePunct/>
        <w:spacing w:line="360" w:lineRule="auto"/>
        <w:ind w:firstLine="420" w:firstLineChars="200"/>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委托人提供给咨询人的图纸、委托人为实施工程自行编制或委托编制的技术规范以及反映委托人要求的或其他类似性质文件的著作权属于</w:t>
      </w:r>
      <w:r>
        <w:rPr>
          <w:rFonts w:hint="eastAsia" w:cs="宋体" w:asciiTheme="majorEastAsia" w:hAnsiTheme="majorEastAsia" w:eastAsiaTheme="majorEastAsia"/>
          <w:color w:val="auto"/>
          <w:szCs w:val="21"/>
          <w:u w:val="single"/>
        </w:rPr>
        <w:t xml:space="preserve">  委托人  </w:t>
      </w:r>
      <w:r>
        <w:rPr>
          <w:rFonts w:hint="eastAsia" w:cs="宋体" w:asciiTheme="majorEastAsia" w:hAnsiTheme="majorEastAsia" w:eastAsiaTheme="majorEastAsia"/>
          <w:color w:val="auto"/>
          <w:szCs w:val="21"/>
        </w:rPr>
        <w:t>。</w:t>
      </w:r>
    </w:p>
    <w:p>
      <w:pPr>
        <w:topLinePunct/>
        <w:spacing w:line="360" w:lineRule="auto"/>
        <w:ind w:firstLine="420" w:firstLineChars="200"/>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咨询人为履行本合同约定而编制的成果文件，其著作权属于</w:t>
      </w:r>
      <w:r>
        <w:rPr>
          <w:rFonts w:hint="eastAsia" w:cs="宋体" w:asciiTheme="majorEastAsia" w:hAnsiTheme="majorEastAsia" w:eastAsiaTheme="majorEastAsia"/>
          <w:color w:val="auto"/>
          <w:szCs w:val="21"/>
          <w:u w:val="single"/>
        </w:rPr>
        <w:t xml:space="preserve">  咨询人  </w:t>
      </w:r>
      <w:r>
        <w:rPr>
          <w:rFonts w:hint="eastAsia" w:cs="宋体" w:asciiTheme="majorEastAsia" w:hAnsiTheme="majorEastAsia" w:eastAsiaTheme="majorEastAsia"/>
          <w:color w:val="auto"/>
          <w:szCs w:val="21"/>
        </w:rPr>
        <w:t>。</w:t>
      </w:r>
    </w:p>
    <w:p>
      <w:pPr>
        <w:topLinePunct/>
        <w:spacing w:line="360" w:lineRule="auto"/>
        <w:ind w:firstLine="420" w:firstLineChars="200"/>
        <w:rPr>
          <w:rFonts w:cs="宋体" w:asciiTheme="majorEastAsia" w:hAnsiTheme="majorEastAsia" w:eastAsiaTheme="majorEastAsia"/>
          <w:color w:val="auto"/>
          <w:szCs w:val="21"/>
          <w:u w:val="single"/>
        </w:rPr>
      </w:pPr>
      <w:r>
        <w:rPr>
          <w:rFonts w:hint="eastAsia" w:cs="宋体" w:asciiTheme="majorEastAsia" w:hAnsiTheme="majorEastAsia" w:eastAsiaTheme="majorEastAsia"/>
          <w:color w:val="auto"/>
          <w:szCs w:val="21"/>
        </w:rPr>
        <w:t>双方将履行本合同形成的有关成果文件用于企业宣传、申报奖项以及接受上级主管部门的检查须遵守以下约定：</w:t>
      </w:r>
      <w:bookmarkStart w:id="754" w:name="_Toc419045125"/>
      <w:r>
        <w:rPr>
          <w:rFonts w:hint="eastAsia" w:cs="宋体" w:asciiTheme="majorEastAsia" w:hAnsiTheme="majorEastAsia" w:eastAsiaTheme="majorEastAsia"/>
          <w:color w:val="auto"/>
          <w:szCs w:val="21"/>
          <w:u w:val="single"/>
        </w:rPr>
        <w:t xml:space="preserve">             /               </w:t>
      </w:r>
      <w:r>
        <w:rPr>
          <w:rFonts w:hint="eastAsia" w:cs="宋体" w:asciiTheme="majorEastAsia" w:hAnsiTheme="majorEastAsia" w:eastAsiaTheme="majorEastAsia"/>
          <w:color w:val="auto"/>
          <w:szCs w:val="21"/>
        </w:rPr>
        <w:t>。</w:t>
      </w:r>
    </w:p>
    <w:p>
      <w:pPr>
        <w:topLinePunct/>
        <w:spacing w:line="360" w:lineRule="auto"/>
        <w:ind w:firstLine="422" w:firstLineChars="200"/>
        <w:rPr>
          <w:rFonts w:cs="宋体" w:asciiTheme="majorEastAsia" w:hAnsiTheme="majorEastAsia" w:eastAsiaTheme="majorEastAsia"/>
          <w:color w:val="auto"/>
          <w:szCs w:val="21"/>
        </w:rPr>
      </w:pPr>
      <w:bookmarkStart w:id="755" w:name="_Toc468905541"/>
      <w:bookmarkStart w:id="756" w:name="_Toc464396250"/>
      <w:bookmarkStart w:id="757" w:name="_Toc464395473"/>
      <w:r>
        <w:rPr>
          <w:rStyle w:val="88"/>
          <w:rFonts w:hint="eastAsia" w:cs="宋体" w:asciiTheme="majorEastAsia" w:hAnsiTheme="majorEastAsia" w:eastAsiaTheme="majorEastAsia"/>
          <w:color w:val="auto"/>
          <w:sz w:val="21"/>
          <w:szCs w:val="21"/>
        </w:rPr>
        <w:t>9.补充条款</w:t>
      </w:r>
      <w:bookmarkEnd w:id="754"/>
      <w:bookmarkEnd w:id="755"/>
      <w:bookmarkEnd w:id="756"/>
      <w:bookmarkEnd w:id="757"/>
    </w:p>
    <w:p>
      <w:pPr>
        <w:topLinePunct/>
        <w:spacing w:line="360" w:lineRule="auto"/>
        <w:ind w:firstLine="420" w:firstLineChars="200"/>
        <w:rPr>
          <w:rFonts w:cs="宋体" w:asciiTheme="majorEastAsia" w:hAnsiTheme="majorEastAsia" w:eastAsiaTheme="majorEastAsia"/>
          <w:color w:val="auto"/>
          <w:szCs w:val="21"/>
          <w:u w:val="single"/>
        </w:rPr>
      </w:pPr>
      <w:r>
        <w:rPr>
          <w:rFonts w:hint="eastAsia" w:cs="宋体" w:asciiTheme="majorEastAsia" w:hAnsiTheme="majorEastAsia" w:eastAsiaTheme="majorEastAsia"/>
          <w:color w:val="auto"/>
          <w:szCs w:val="21"/>
          <w:u w:val="single"/>
        </w:rPr>
        <w:t>9.1咨询人不得串通监理单位、施工单位、委托方现场代表欺瞒委托方或建设主管部门，一经发现，委托方有权终止合同，咨询人无条件退场。</w:t>
      </w:r>
    </w:p>
    <w:p>
      <w:pPr>
        <w:pStyle w:val="2"/>
        <w:rPr>
          <w:color w:val="auto"/>
        </w:rPr>
      </w:pPr>
      <w:r>
        <w:rPr>
          <w:color w:val="auto"/>
        </w:rPr>
        <w:br w:type="page"/>
      </w:r>
    </w:p>
    <w:p>
      <w:pPr>
        <w:pStyle w:val="3"/>
        <w:spacing w:before="0" w:after="0"/>
        <w:rPr>
          <w:color w:val="auto"/>
          <w:sz w:val="24"/>
          <w:szCs w:val="24"/>
        </w:rPr>
      </w:pPr>
      <w:r>
        <w:rPr>
          <w:rFonts w:hint="eastAsia"/>
          <w:color w:val="auto"/>
          <w:sz w:val="24"/>
          <w:szCs w:val="24"/>
        </w:rPr>
        <w:t>附录A 咨询人提交成果文件一览表</w:t>
      </w:r>
    </w:p>
    <w:tbl>
      <w:tblPr>
        <w:tblStyle w:val="48"/>
        <w:tblW w:w="9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2120"/>
        <w:gridCol w:w="2410"/>
        <w:gridCol w:w="1707"/>
        <w:gridCol w:w="992"/>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1" w:type="dxa"/>
            <w:vAlign w:val="center"/>
          </w:tcPr>
          <w:p>
            <w:pPr>
              <w:jc w:val="center"/>
              <w:rPr>
                <w:b/>
                <w:bCs/>
                <w:color w:val="auto"/>
              </w:rPr>
            </w:pPr>
            <w:r>
              <w:rPr>
                <w:rFonts w:hint="eastAsia"/>
                <w:b/>
                <w:bCs/>
                <w:color w:val="auto"/>
              </w:rPr>
              <w:t>服务阶段</w:t>
            </w:r>
          </w:p>
        </w:tc>
        <w:tc>
          <w:tcPr>
            <w:tcW w:w="2120" w:type="dxa"/>
            <w:vAlign w:val="center"/>
          </w:tcPr>
          <w:p>
            <w:pPr>
              <w:jc w:val="center"/>
              <w:rPr>
                <w:b/>
                <w:bCs/>
                <w:color w:val="auto"/>
              </w:rPr>
            </w:pPr>
            <w:r>
              <w:rPr>
                <w:rFonts w:hint="eastAsia"/>
                <w:b/>
                <w:bCs/>
                <w:color w:val="auto"/>
              </w:rPr>
              <w:t>成果文件名称</w:t>
            </w:r>
          </w:p>
        </w:tc>
        <w:tc>
          <w:tcPr>
            <w:tcW w:w="2410" w:type="dxa"/>
            <w:vAlign w:val="center"/>
          </w:tcPr>
          <w:p>
            <w:pPr>
              <w:jc w:val="center"/>
              <w:rPr>
                <w:b/>
                <w:bCs/>
                <w:color w:val="auto"/>
              </w:rPr>
            </w:pPr>
            <w:r>
              <w:rPr>
                <w:rFonts w:hint="eastAsia"/>
                <w:b/>
                <w:bCs/>
                <w:color w:val="auto"/>
              </w:rPr>
              <w:t>成果文件组成</w:t>
            </w:r>
          </w:p>
        </w:tc>
        <w:tc>
          <w:tcPr>
            <w:tcW w:w="1707" w:type="dxa"/>
            <w:vAlign w:val="center"/>
          </w:tcPr>
          <w:p>
            <w:pPr>
              <w:jc w:val="center"/>
              <w:rPr>
                <w:b/>
                <w:bCs/>
                <w:color w:val="auto"/>
              </w:rPr>
            </w:pPr>
            <w:r>
              <w:rPr>
                <w:rFonts w:hint="eastAsia"/>
                <w:b/>
                <w:bCs/>
                <w:color w:val="auto"/>
              </w:rPr>
              <w:t>提交时间</w:t>
            </w:r>
          </w:p>
        </w:tc>
        <w:tc>
          <w:tcPr>
            <w:tcW w:w="992" w:type="dxa"/>
            <w:vAlign w:val="center"/>
          </w:tcPr>
          <w:p>
            <w:pPr>
              <w:jc w:val="center"/>
              <w:rPr>
                <w:b/>
                <w:bCs/>
                <w:color w:val="auto"/>
              </w:rPr>
            </w:pPr>
            <w:r>
              <w:rPr>
                <w:rFonts w:hint="eastAsia"/>
                <w:b/>
                <w:bCs/>
                <w:color w:val="auto"/>
              </w:rPr>
              <w:t>份数</w:t>
            </w:r>
          </w:p>
        </w:tc>
        <w:tc>
          <w:tcPr>
            <w:tcW w:w="1225" w:type="dxa"/>
            <w:vAlign w:val="center"/>
          </w:tcPr>
          <w:p>
            <w:pPr>
              <w:jc w:val="center"/>
              <w:rPr>
                <w:b/>
                <w:bCs/>
                <w:color w:val="auto"/>
              </w:rPr>
            </w:pPr>
            <w:r>
              <w:rPr>
                <w:rFonts w:hint="eastAsia"/>
                <w:b/>
                <w:bCs/>
                <w:color w:val="auto"/>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221" w:type="dxa"/>
            <w:vMerge w:val="restart"/>
            <w:vAlign w:val="center"/>
          </w:tcPr>
          <w:p>
            <w:pPr>
              <w:spacing w:line="360" w:lineRule="auto"/>
              <w:jc w:val="center"/>
              <w:rPr>
                <w:color w:val="auto"/>
              </w:rPr>
            </w:pPr>
            <w:r>
              <w:rPr>
                <w:rFonts w:hint="eastAsia"/>
                <w:color w:val="auto"/>
              </w:rPr>
              <w:t>施工阶段</w:t>
            </w:r>
          </w:p>
        </w:tc>
        <w:tc>
          <w:tcPr>
            <w:tcW w:w="2120" w:type="dxa"/>
            <w:vAlign w:val="center"/>
          </w:tcPr>
          <w:p>
            <w:pPr>
              <w:jc w:val="center"/>
              <w:rPr>
                <w:color w:val="auto"/>
              </w:rPr>
            </w:pPr>
            <w:r>
              <w:rPr>
                <w:rFonts w:hint="eastAsia"/>
                <w:color w:val="auto"/>
              </w:rPr>
              <w:t>工程计量与价款支付审核报告</w:t>
            </w:r>
          </w:p>
        </w:tc>
        <w:tc>
          <w:tcPr>
            <w:tcW w:w="2410" w:type="dxa"/>
            <w:vAlign w:val="center"/>
          </w:tcPr>
          <w:p>
            <w:pPr>
              <w:jc w:val="center"/>
              <w:rPr>
                <w:color w:val="auto"/>
              </w:rPr>
            </w:pPr>
            <w:r>
              <w:rPr>
                <w:rFonts w:hint="eastAsia"/>
                <w:color w:val="auto"/>
              </w:rPr>
              <w:t>工程计量原始数据、工程款支付审核书</w:t>
            </w:r>
          </w:p>
        </w:tc>
        <w:tc>
          <w:tcPr>
            <w:tcW w:w="1707" w:type="dxa"/>
            <w:vAlign w:val="center"/>
          </w:tcPr>
          <w:p>
            <w:pPr>
              <w:jc w:val="center"/>
              <w:rPr>
                <w:color w:val="auto"/>
              </w:rPr>
            </w:pPr>
            <w:r>
              <w:rPr>
                <w:rFonts w:hint="eastAsia"/>
                <w:color w:val="auto"/>
              </w:rPr>
              <w:t>根据委托工作量确定</w:t>
            </w:r>
          </w:p>
        </w:tc>
        <w:tc>
          <w:tcPr>
            <w:tcW w:w="992" w:type="dxa"/>
            <w:vAlign w:val="center"/>
          </w:tcPr>
          <w:p>
            <w:pPr>
              <w:jc w:val="center"/>
              <w:rPr>
                <w:color w:val="auto"/>
              </w:rPr>
            </w:pPr>
            <w:r>
              <w:rPr>
                <w:rFonts w:hint="eastAsia"/>
                <w:color w:val="auto"/>
              </w:rPr>
              <w:t>3份/次</w:t>
            </w:r>
          </w:p>
        </w:tc>
        <w:tc>
          <w:tcPr>
            <w:tcW w:w="1225" w:type="dxa"/>
            <w:vMerge w:val="restart"/>
            <w:vAlign w:val="center"/>
          </w:tcPr>
          <w:p>
            <w:pPr>
              <w:jc w:val="center"/>
              <w:rPr>
                <w:color w:val="auto"/>
              </w:rPr>
            </w:pPr>
            <w:r>
              <w:rPr>
                <w:rFonts w:hint="eastAsia"/>
                <w:color w:val="auto"/>
              </w:rPr>
              <w:t>符合现行国家及行业有关规定、标准、规范的要求。</w:t>
            </w:r>
          </w:p>
          <w:p>
            <w:pPr>
              <w:spacing w:line="36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221" w:type="dxa"/>
            <w:vMerge w:val="continue"/>
            <w:vAlign w:val="center"/>
          </w:tcPr>
          <w:p>
            <w:pPr>
              <w:spacing w:line="360" w:lineRule="auto"/>
              <w:jc w:val="center"/>
              <w:rPr>
                <w:color w:val="auto"/>
              </w:rPr>
            </w:pPr>
          </w:p>
        </w:tc>
        <w:tc>
          <w:tcPr>
            <w:tcW w:w="2120" w:type="dxa"/>
            <w:vAlign w:val="center"/>
          </w:tcPr>
          <w:p>
            <w:pPr>
              <w:jc w:val="center"/>
              <w:rPr>
                <w:color w:val="auto"/>
              </w:rPr>
            </w:pPr>
            <w:r>
              <w:rPr>
                <w:rFonts w:hint="eastAsia"/>
                <w:color w:val="auto"/>
              </w:rPr>
              <w:t>设计变更造价方案</w:t>
            </w:r>
          </w:p>
        </w:tc>
        <w:tc>
          <w:tcPr>
            <w:tcW w:w="2410" w:type="dxa"/>
            <w:vAlign w:val="center"/>
          </w:tcPr>
          <w:p>
            <w:pPr>
              <w:jc w:val="center"/>
              <w:rPr>
                <w:color w:val="auto"/>
              </w:rPr>
            </w:pPr>
            <w:r>
              <w:rPr>
                <w:rFonts w:hint="eastAsia"/>
                <w:color w:val="auto"/>
              </w:rPr>
              <w:t>设计变更方案造价</w:t>
            </w:r>
          </w:p>
          <w:p>
            <w:pPr>
              <w:jc w:val="center"/>
              <w:rPr>
                <w:color w:val="auto"/>
              </w:rPr>
            </w:pPr>
            <w:r>
              <w:rPr>
                <w:rFonts w:hint="eastAsia"/>
                <w:color w:val="auto"/>
              </w:rPr>
              <w:t>咨询意见书</w:t>
            </w:r>
          </w:p>
        </w:tc>
        <w:tc>
          <w:tcPr>
            <w:tcW w:w="1707" w:type="dxa"/>
            <w:vAlign w:val="center"/>
          </w:tcPr>
          <w:p>
            <w:pPr>
              <w:jc w:val="center"/>
              <w:rPr>
                <w:color w:val="auto"/>
              </w:rPr>
            </w:pPr>
            <w:r>
              <w:rPr>
                <w:rFonts w:hint="eastAsia"/>
                <w:color w:val="auto"/>
              </w:rPr>
              <w:t>根据委托工作量确定</w:t>
            </w:r>
          </w:p>
        </w:tc>
        <w:tc>
          <w:tcPr>
            <w:tcW w:w="992" w:type="dxa"/>
            <w:vAlign w:val="center"/>
          </w:tcPr>
          <w:p>
            <w:pPr>
              <w:jc w:val="center"/>
              <w:rPr>
                <w:color w:val="auto"/>
              </w:rPr>
            </w:pPr>
            <w:r>
              <w:rPr>
                <w:rFonts w:hint="eastAsia"/>
                <w:color w:val="auto"/>
              </w:rPr>
              <w:t>3份/次</w:t>
            </w:r>
          </w:p>
        </w:tc>
        <w:tc>
          <w:tcPr>
            <w:tcW w:w="1225" w:type="dxa"/>
            <w:vMerge w:val="continue"/>
            <w:vAlign w:val="center"/>
          </w:tcPr>
          <w:p>
            <w:pPr>
              <w:spacing w:line="360" w:lineRule="auto"/>
              <w:rPr>
                <w:rFonts w:ascii="楷体_GB2312" w:eastAsia="楷体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221" w:type="dxa"/>
            <w:vMerge w:val="continue"/>
            <w:vAlign w:val="center"/>
          </w:tcPr>
          <w:p>
            <w:pPr>
              <w:spacing w:line="360" w:lineRule="auto"/>
              <w:jc w:val="center"/>
              <w:rPr>
                <w:color w:val="auto"/>
              </w:rPr>
            </w:pPr>
          </w:p>
        </w:tc>
        <w:tc>
          <w:tcPr>
            <w:tcW w:w="2120" w:type="dxa"/>
            <w:vAlign w:val="center"/>
          </w:tcPr>
          <w:p>
            <w:pPr>
              <w:jc w:val="center"/>
              <w:rPr>
                <w:color w:val="auto"/>
              </w:rPr>
            </w:pPr>
            <w:r>
              <w:rPr>
                <w:rFonts w:hint="eastAsia"/>
                <w:color w:val="auto"/>
              </w:rPr>
              <w:t>工程变更、索赔、</w:t>
            </w:r>
          </w:p>
          <w:p>
            <w:pPr>
              <w:jc w:val="center"/>
              <w:rPr>
                <w:color w:val="auto"/>
              </w:rPr>
            </w:pPr>
            <w:r>
              <w:rPr>
                <w:rFonts w:hint="eastAsia"/>
                <w:color w:val="auto"/>
              </w:rPr>
              <w:t>签证单</w:t>
            </w:r>
          </w:p>
        </w:tc>
        <w:tc>
          <w:tcPr>
            <w:tcW w:w="2410" w:type="dxa"/>
            <w:vAlign w:val="center"/>
          </w:tcPr>
          <w:p>
            <w:pPr>
              <w:jc w:val="center"/>
              <w:rPr>
                <w:color w:val="auto"/>
              </w:rPr>
            </w:pPr>
            <w:r>
              <w:rPr>
                <w:rFonts w:hint="eastAsia"/>
                <w:color w:val="auto"/>
              </w:rPr>
              <w:t>审核后的变更、索赔、签证单</w:t>
            </w:r>
          </w:p>
        </w:tc>
        <w:tc>
          <w:tcPr>
            <w:tcW w:w="1707" w:type="dxa"/>
            <w:vAlign w:val="center"/>
          </w:tcPr>
          <w:p>
            <w:pPr>
              <w:jc w:val="center"/>
              <w:rPr>
                <w:color w:val="auto"/>
              </w:rPr>
            </w:pPr>
            <w:r>
              <w:rPr>
                <w:rFonts w:hint="eastAsia"/>
                <w:color w:val="auto"/>
              </w:rPr>
              <w:t>根据委托工作量确定</w:t>
            </w:r>
          </w:p>
        </w:tc>
        <w:tc>
          <w:tcPr>
            <w:tcW w:w="992" w:type="dxa"/>
            <w:vAlign w:val="center"/>
          </w:tcPr>
          <w:p>
            <w:pPr>
              <w:jc w:val="center"/>
              <w:rPr>
                <w:color w:val="auto"/>
              </w:rPr>
            </w:pPr>
            <w:r>
              <w:rPr>
                <w:rFonts w:hint="eastAsia"/>
                <w:color w:val="auto"/>
              </w:rPr>
              <w:t>4份/次</w:t>
            </w:r>
          </w:p>
        </w:tc>
        <w:tc>
          <w:tcPr>
            <w:tcW w:w="1225" w:type="dxa"/>
            <w:vMerge w:val="continue"/>
            <w:vAlign w:val="center"/>
          </w:tcPr>
          <w:p>
            <w:pPr>
              <w:spacing w:line="360" w:lineRule="auto"/>
              <w:rPr>
                <w:rFonts w:ascii="楷体_GB2312" w:eastAsia="楷体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221" w:type="dxa"/>
            <w:vMerge w:val="continue"/>
            <w:vAlign w:val="center"/>
          </w:tcPr>
          <w:p>
            <w:pPr>
              <w:spacing w:line="360" w:lineRule="auto"/>
              <w:jc w:val="center"/>
              <w:rPr>
                <w:color w:val="auto"/>
              </w:rPr>
            </w:pPr>
          </w:p>
        </w:tc>
        <w:tc>
          <w:tcPr>
            <w:tcW w:w="2120" w:type="dxa"/>
            <w:vAlign w:val="center"/>
          </w:tcPr>
          <w:p>
            <w:pPr>
              <w:jc w:val="center"/>
              <w:rPr>
                <w:color w:val="auto"/>
              </w:rPr>
            </w:pPr>
            <w:r>
              <w:rPr>
                <w:rFonts w:hint="eastAsia"/>
                <w:color w:val="auto"/>
              </w:rPr>
              <w:t>材料、设备询价</w:t>
            </w:r>
          </w:p>
        </w:tc>
        <w:tc>
          <w:tcPr>
            <w:tcW w:w="2410" w:type="dxa"/>
            <w:vAlign w:val="center"/>
          </w:tcPr>
          <w:p>
            <w:pPr>
              <w:jc w:val="center"/>
              <w:rPr>
                <w:color w:val="auto"/>
              </w:rPr>
            </w:pPr>
            <w:r>
              <w:rPr>
                <w:rFonts w:hint="eastAsia"/>
                <w:color w:val="auto"/>
              </w:rPr>
              <w:t>参与相关单位组织的询价活动，出具询价报告</w:t>
            </w:r>
          </w:p>
        </w:tc>
        <w:tc>
          <w:tcPr>
            <w:tcW w:w="1707" w:type="dxa"/>
            <w:vAlign w:val="center"/>
          </w:tcPr>
          <w:p>
            <w:pPr>
              <w:jc w:val="center"/>
              <w:rPr>
                <w:color w:val="auto"/>
              </w:rPr>
            </w:pPr>
            <w:r>
              <w:rPr>
                <w:rFonts w:hint="eastAsia"/>
                <w:color w:val="auto"/>
              </w:rPr>
              <w:t>根据委托工作量确定</w:t>
            </w:r>
          </w:p>
        </w:tc>
        <w:tc>
          <w:tcPr>
            <w:tcW w:w="992" w:type="dxa"/>
            <w:vAlign w:val="center"/>
          </w:tcPr>
          <w:p>
            <w:pPr>
              <w:jc w:val="center"/>
              <w:rPr>
                <w:color w:val="auto"/>
              </w:rPr>
            </w:pPr>
            <w:r>
              <w:rPr>
                <w:rFonts w:hint="eastAsia"/>
                <w:color w:val="auto"/>
              </w:rPr>
              <w:t>4份/次</w:t>
            </w:r>
          </w:p>
        </w:tc>
        <w:tc>
          <w:tcPr>
            <w:tcW w:w="1225" w:type="dxa"/>
            <w:vMerge w:val="continue"/>
            <w:vAlign w:val="center"/>
          </w:tcPr>
          <w:p>
            <w:pPr>
              <w:spacing w:line="360" w:lineRule="auto"/>
              <w:rPr>
                <w:rFonts w:ascii="楷体_GB2312" w:eastAsia="楷体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1221" w:type="dxa"/>
            <w:vAlign w:val="center"/>
          </w:tcPr>
          <w:p>
            <w:pPr>
              <w:jc w:val="center"/>
              <w:rPr>
                <w:color w:val="auto"/>
              </w:rPr>
            </w:pPr>
            <w:r>
              <w:rPr>
                <w:rFonts w:hint="eastAsia"/>
                <w:color w:val="auto"/>
              </w:rPr>
              <w:t>竣工阶段</w:t>
            </w:r>
          </w:p>
        </w:tc>
        <w:tc>
          <w:tcPr>
            <w:tcW w:w="2120" w:type="dxa"/>
            <w:vAlign w:val="center"/>
          </w:tcPr>
          <w:p>
            <w:pPr>
              <w:jc w:val="center"/>
              <w:rPr>
                <w:color w:val="auto"/>
              </w:rPr>
            </w:pPr>
            <w:r>
              <w:rPr>
                <w:rFonts w:hint="eastAsia"/>
                <w:color w:val="auto"/>
              </w:rPr>
              <w:t>竣工结算初审</w:t>
            </w:r>
          </w:p>
        </w:tc>
        <w:tc>
          <w:tcPr>
            <w:tcW w:w="2410" w:type="dxa"/>
            <w:vAlign w:val="center"/>
          </w:tcPr>
          <w:p>
            <w:pPr>
              <w:jc w:val="center"/>
              <w:rPr>
                <w:color w:val="auto"/>
              </w:rPr>
            </w:pPr>
            <w:r>
              <w:rPr>
                <w:rFonts w:hint="eastAsia"/>
                <w:color w:val="auto"/>
              </w:rPr>
              <w:t>按招标人要求提供完整的咨询成果文件，配合政府部门对本项目的最终审计。出具审核报告书、工程结算审定单、结算审核书。</w:t>
            </w:r>
          </w:p>
        </w:tc>
        <w:tc>
          <w:tcPr>
            <w:tcW w:w="1707" w:type="dxa"/>
            <w:vAlign w:val="center"/>
          </w:tcPr>
          <w:p>
            <w:pPr>
              <w:jc w:val="center"/>
              <w:rPr>
                <w:color w:val="auto"/>
              </w:rPr>
            </w:pPr>
            <w:r>
              <w:rPr>
                <w:rFonts w:hint="eastAsia"/>
                <w:color w:val="auto"/>
              </w:rPr>
              <w:t>根据委托工作量确定</w:t>
            </w:r>
          </w:p>
        </w:tc>
        <w:tc>
          <w:tcPr>
            <w:tcW w:w="992" w:type="dxa"/>
            <w:vAlign w:val="center"/>
          </w:tcPr>
          <w:p>
            <w:pPr>
              <w:jc w:val="center"/>
              <w:rPr>
                <w:color w:val="auto"/>
              </w:rPr>
            </w:pPr>
            <w:r>
              <w:rPr>
                <w:rFonts w:hint="eastAsia"/>
                <w:color w:val="auto"/>
              </w:rPr>
              <w:t>2 份/次</w:t>
            </w:r>
          </w:p>
        </w:tc>
        <w:tc>
          <w:tcPr>
            <w:tcW w:w="1225" w:type="dxa"/>
            <w:vMerge w:val="continue"/>
            <w:vAlign w:val="center"/>
          </w:tcPr>
          <w:p>
            <w:pPr>
              <w:spacing w:line="360" w:lineRule="auto"/>
              <w:rPr>
                <w:rFonts w:ascii="楷体_GB2312" w:eastAsia="楷体_GB2312"/>
                <w:color w:val="auto"/>
                <w:szCs w:val="21"/>
              </w:rPr>
            </w:pPr>
          </w:p>
        </w:tc>
      </w:tr>
    </w:tbl>
    <w:p>
      <w:pPr>
        <w:spacing w:line="360" w:lineRule="auto"/>
        <w:rPr>
          <w:b/>
          <w:color w:val="auto"/>
        </w:rPr>
        <w:sectPr>
          <w:footerReference r:id="rId3" w:type="default"/>
          <w:pgSz w:w="11906" w:h="16838"/>
          <w:pgMar w:top="1440" w:right="1440" w:bottom="1440" w:left="1803" w:header="851" w:footer="992" w:gutter="0"/>
          <w:pgNumType w:start="1"/>
          <w:cols w:space="720" w:num="1"/>
          <w:docGrid w:linePitch="312" w:charSpace="0"/>
        </w:sectPr>
      </w:pPr>
    </w:p>
    <w:p>
      <w:pPr>
        <w:pStyle w:val="3"/>
        <w:spacing w:before="0" w:after="0"/>
        <w:rPr>
          <w:color w:val="auto"/>
          <w:sz w:val="24"/>
          <w:szCs w:val="24"/>
        </w:rPr>
      </w:pPr>
      <w:r>
        <w:rPr>
          <w:color w:val="auto"/>
          <w:sz w:val="24"/>
          <w:szCs w:val="24"/>
        </w:rPr>
        <w:t>附录</w:t>
      </w:r>
      <w:r>
        <w:rPr>
          <w:rFonts w:hint="eastAsia"/>
          <w:color w:val="auto"/>
          <w:sz w:val="24"/>
          <w:szCs w:val="24"/>
        </w:rPr>
        <w:t>B</w:t>
      </w:r>
      <w:r>
        <w:rPr>
          <w:color w:val="auto"/>
          <w:sz w:val="24"/>
          <w:szCs w:val="24"/>
        </w:rPr>
        <w:t>　委托人提供</w:t>
      </w:r>
      <w:r>
        <w:rPr>
          <w:rFonts w:hint="eastAsia"/>
          <w:color w:val="auto"/>
          <w:sz w:val="24"/>
          <w:szCs w:val="24"/>
        </w:rPr>
        <w:t>资料一览表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1"/>
        <w:gridCol w:w="864"/>
        <w:gridCol w:w="1702"/>
        <w:gridCol w:w="2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81" w:type="dxa"/>
            <w:vAlign w:val="center"/>
          </w:tcPr>
          <w:p>
            <w:pPr>
              <w:pStyle w:val="44"/>
              <w:widowControl w:val="0"/>
              <w:jc w:val="center"/>
              <w:rPr>
                <w:b/>
                <w:color w:val="auto"/>
                <w:sz w:val="21"/>
                <w:szCs w:val="21"/>
              </w:rPr>
            </w:pPr>
            <w:r>
              <w:rPr>
                <w:rFonts w:hint="eastAsia"/>
                <w:b/>
                <w:color w:val="auto"/>
                <w:sz w:val="21"/>
                <w:szCs w:val="21"/>
              </w:rPr>
              <w:t>名称</w:t>
            </w:r>
          </w:p>
        </w:tc>
        <w:tc>
          <w:tcPr>
            <w:tcW w:w="864" w:type="dxa"/>
            <w:vAlign w:val="center"/>
          </w:tcPr>
          <w:p>
            <w:pPr>
              <w:pStyle w:val="44"/>
              <w:widowControl w:val="0"/>
              <w:jc w:val="center"/>
              <w:rPr>
                <w:b/>
                <w:color w:val="auto"/>
                <w:sz w:val="21"/>
                <w:szCs w:val="21"/>
              </w:rPr>
            </w:pPr>
            <w:r>
              <w:rPr>
                <w:rFonts w:hint="eastAsia"/>
                <w:b/>
                <w:color w:val="auto"/>
                <w:sz w:val="21"/>
                <w:szCs w:val="21"/>
              </w:rPr>
              <w:t>份数</w:t>
            </w:r>
          </w:p>
        </w:tc>
        <w:tc>
          <w:tcPr>
            <w:tcW w:w="1702" w:type="dxa"/>
            <w:vAlign w:val="center"/>
          </w:tcPr>
          <w:p>
            <w:pPr>
              <w:pStyle w:val="44"/>
              <w:widowControl w:val="0"/>
              <w:jc w:val="center"/>
              <w:rPr>
                <w:b/>
                <w:color w:val="auto"/>
                <w:sz w:val="21"/>
                <w:szCs w:val="21"/>
              </w:rPr>
            </w:pPr>
            <w:r>
              <w:rPr>
                <w:rFonts w:hint="eastAsia"/>
                <w:b/>
                <w:color w:val="auto"/>
                <w:sz w:val="21"/>
                <w:szCs w:val="21"/>
              </w:rPr>
              <w:t>提供时间</w:t>
            </w:r>
          </w:p>
        </w:tc>
        <w:tc>
          <w:tcPr>
            <w:tcW w:w="2731" w:type="dxa"/>
            <w:vAlign w:val="center"/>
          </w:tcPr>
          <w:p>
            <w:pPr>
              <w:pStyle w:val="44"/>
              <w:widowControl w:val="0"/>
              <w:jc w:val="center"/>
              <w:rPr>
                <w:b/>
                <w:color w:val="auto"/>
                <w:sz w:val="21"/>
                <w:szCs w:val="21"/>
              </w:rPr>
            </w:pPr>
            <w:r>
              <w:rPr>
                <w:rFonts w:hint="eastAsia"/>
                <w:b/>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78" w:type="dxa"/>
            <w:gridSpan w:val="4"/>
            <w:vAlign w:val="center"/>
          </w:tcPr>
          <w:p>
            <w:pPr>
              <w:rPr>
                <w:color w:val="auto"/>
                <w:szCs w:val="21"/>
              </w:rPr>
            </w:pPr>
            <w:r>
              <w:rPr>
                <w:rFonts w:hint="eastAsia"/>
                <w:color w:val="auto"/>
                <w:szCs w:val="21"/>
              </w:rPr>
              <w:t>一、实施阶段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81" w:type="dxa"/>
            <w:vAlign w:val="center"/>
          </w:tcPr>
          <w:p>
            <w:pPr>
              <w:pStyle w:val="44"/>
              <w:widowControl w:val="0"/>
              <w:jc w:val="center"/>
              <w:rPr>
                <w:rFonts w:ascii="Times New Roman" w:hAnsi="Times New Roman" w:cs="Times New Roman"/>
                <w:color w:val="auto"/>
                <w:kern w:val="2"/>
                <w:sz w:val="21"/>
                <w:szCs w:val="21"/>
              </w:rPr>
            </w:pPr>
            <w:r>
              <w:rPr>
                <w:rFonts w:hint="eastAsia" w:ascii="Times New Roman" w:hAnsi="Times New Roman" w:cs="Times New Roman"/>
                <w:color w:val="auto"/>
                <w:kern w:val="2"/>
                <w:sz w:val="21"/>
                <w:szCs w:val="21"/>
              </w:rPr>
              <w:t>地质勘探报告</w:t>
            </w:r>
          </w:p>
        </w:tc>
        <w:tc>
          <w:tcPr>
            <w:tcW w:w="864" w:type="dxa"/>
            <w:vAlign w:val="center"/>
          </w:tcPr>
          <w:p>
            <w:pPr>
              <w:pStyle w:val="44"/>
              <w:widowControl w:val="0"/>
              <w:jc w:val="center"/>
              <w:rPr>
                <w:rFonts w:ascii="Times New Roman" w:hAnsi="Times New Roman" w:cs="Times New Roman"/>
                <w:color w:val="auto"/>
                <w:kern w:val="2"/>
                <w:sz w:val="21"/>
                <w:szCs w:val="21"/>
              </w:rPr>
            </w:pPr>
            <w:r>
              <w:rPr>
                <w:rFonts w:hint="eastAsia" w:ascii="Times New Roman" w:hAnsi="Times New Roman" w:cs="Times New Roman"/>
                <w:color w:val="auto"/>
                <w:kern w:val="2"/>
                <w:sz w:val="21"/>
                <w:szCs w:val="21"/>
              </w:rPr>
              <w:t>1</w:t>
            </w:r>
          </w:p>
        </w:tc>
        <w:tc>
          <w:tcPr>
            <w:tcW w:w="1702" w:type="dxa"/>
            <w:vAlign w:val="center"/>
          </w:tcPr>
          <w:p>
            <w:pPr>
              <w:pStyle w:val="44"/>
              <w:widowControl w:val="0"/>
              <w:jc w:val="center"/>
              <w:rPr>
                <w:rFonts w:ascii="Times New Roman" w:hAnsi="Times New Roman" w:cs="Times New Roman"/>
                <w:color w:val="auto"/>
                <w:kern w:val="2"/>
                <w:sz w:val="21"/>
                <w:szCs w:val="21"/>
              </w:rPr>
            </w:pPr>
            <w:r>
              <w:rPr>
                <w:rFonts w:hint="eastAsia" w:ascii="Times New Roman" w:hAnsi="Times New Roman" w:cs="Times New Roman"/>
                <w:color w:val="auto"/>
                <w:kern w:val="2"/>
                <w:sz w:val="21"/>
                <w:szCs w:val="21"/>
              </w:rPr>
              <w:t>开工前</w:t>
            </w:r>
          </w:p>
        </w:tc>
        <w:tc>
          <w:tcPr>
            <w:tcW w:w="2731"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81" w:type="dxa"/>
            <w:vAlign w:val="center"/>
          </w:tcPr>
          <w:p>
            <w:pPr>
              <w:pStyle w:val="44"/>
              <w:widowControl w:val="0"/>
              <w:jc w:val="center"/>
              <w:rPr>
                <w:rFonts w:ascii="Times New Roman" w:hAnsi="Times New Roman" w:cs="Times New Roman"/>
                <w:color w:val="auto"/>
                <w:kern w:val="2"/>
                <w:sz w:val="21"/>
                <w:szCs w:val="21"/>
              </w:rPr>
            </w:pPr>
            <w:r>
              <w:rPr>
                <w:rFonts w:hint="eastAsia" w:ascii="Times New Roman" w:hAnsi="Times New Roman" w:cs="Times New Roman"/>
                <w:color w:val="auto"/>
                <w:kern w:val="2"/>
                <w:sz w:val="21"/>
                <w:szCs w:val="21"/>
              </w:rPr>
              <w:t>施工图纸</w:t>
            </w:r>
          </w:p>
        </w:tc>
        <w:tc>
          <w:tcPr>
            <w:tcW w:w="864" w:type="dxa"/>
            <w:vAlign w:val="center"/>
          </w:tcPr>
          <w:p>
            <w:pPr>
              <w:jc w:val="center"/>
              <w:rPr>
                <w:color w:val="auto"/>
                <w:szCs w:val="21"/>
              </w:rPr>
            </w:pPr>
            <w:r>
              <w:rPr>
                <w:rFonts w:hint="eastAsia"/>
                <w:color w:val="auto"/>
                <w:szCs w:val="21"/>
              </w:rPr>
              <w:t>1</w:t>
            </w:r>
          </w:p>
        </w:tc>
        <w:tc>
          <w:tcPr>
            <w:tcW w:w="1702" w:type="dxa"/>
            <w:vAlign w:val="center"/>
          </w:tcPr>
          <w:p>
            <w:pPr>
              <w:jc w:val="center"/>
              <w:rPr>
                <w:color w:val="auto"/>
                <w:szCs w:val="21"/>
              </w:rPr>
            </w:pPr>
            <w:r>
              <w:rPr>
                <w:rFonts w:hint="eastAsia"/>
                <w:color w:val="auto"/>
                <w:szCs w:val="21"/>
              </w:rPr>
              <w:t>开工前</w:t>
            </w:r>
          </w:p>
        </w:tc>
        <w:tc>
          <w:tcPr>
            <w:tcW w:w="2731"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81" w:type="dxa"/>
            <w:vAlign w:val="center"/>
          </w:tcPr>
          <w:p>
            <w:pPr>
              <w:pStyle w:val="44"/>
              <w:widowControl w:val="0"/>
              <w:jc w:val="center"/>
              <w:rPr>
                <w:rFonts w:ascii="Times New Roman" w:hAnsi="Times New Roman" w:cs="Times New Roman"/>
                <w:color w:val="auto"/>
                <w:kern w:val="2"/>
                <w:sz w:val="21"/>
                <w:szCs w:val="21"/>
              </w:rPr>
            </w:pPr>
            <w:r>
              <w:rPr>
                <w:rFonts w:hint="eastAsia" w:ascii="Times New Roman" w:hAnsi="Times New Roman" w:cs="Times New Roman"/>
                <w:color w:val="auto"/>
                <w:kern w:val="2"/>
                <w:sz w:val="21"/>
                <w:szCs w:val="21"/>
              </w:rPr>
              <w:t>招、投标资料</w:t>
            </w:r>
          </w:p>
        </w:tc>
        <w:tc>
          <w:tcPr>
            <w:tcW w:w="864" w:type="dxa"/>
            <w:vAlign w:val="center"/>
          </w:tcPr>
          <w:p>
            <w:pPr>
              <w:jc w:val="center"/>
              <w:rPr>
                <w:color w:val="auto"/>
                <w:szCs w:val="21"/>
              </w:rPr>
            </w:pPr>
            <w:r>
              <w:rPr>
                <w:rFonts w:hint="eastAsia"/>
                <w:color w:val="auto"/>
                <w:szCs w:val="21"/>
              </w:rPr>
              <w:t>1</w:t>
            </w:r>
          </w:p>
        </w:tc>
        <w:tc>
          <w:tcPr>
            <w:tcW w:w="1702" w:type="dxa"/>
            <w:vAlign w:val="center"/>
          </w:tcPr>
          <w:p>
            <w:pPr>
              <w:jc w:val="center"/>
              <w:rPr>
                <w:color w:val="auto"/>
                <w:szCs w:val="21"/>
              </w:rPr>
            </w:pPr>
            <w:r>
              <w:rPr>
                <w:rFonts w:hint="eastAsia"/>
                <w:color w:val="auto"/>
                <w:szCs w:val="21"/>
              </w:rPr>
              <w:t>开工前</w:t>
            </w:r>
          </w:p>
        </w:tc>
        <w:tc>
          <w:tcPr>
            <w:tcW w:w="2731"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81" w:type="dxa"/>
            <w:vAlign w:val="center"/>
          </w:tcPr>
          <w:p>
            <w:pPr>
              <w:pStyle w:val="44"/>
              <w:widowControl w:val="0"/>
              <w:jc w:val="center"/>
              <w:rPr>
                <w:rFonts w:ascii="Times New Roman" w:hAnsi="Times New Roman" w:cs="Times New Roman"/>
                <w:color w:val="auto"/>
                <w:kern w:val="2"/>
                <w:sz w:val="21"/>
                <w:szCs w:val="21"/>
              </w:rPr>
            </w:pPr>
            <w:r>
              <w:rPr>
                <w:rFonts w:hint="eastAsia" w:ascii="Times New Roman" w:hAnsi="Times New Roman" w:cs="Times New Roman"/>
                <w:color w:val="auto"/>
                <w:kern w:val="2"/>
                <w:sz w:val="21"/>
                <w:szCs w:val="21"/>
              </w:rPr>
              <w:t>施工合同</w:t>
            </w:r>
          </w:p>
        </w:tc>
        <w:tc>
          <w:tcPr>
            <w:tcW w:w="864" w:type="dxa"/>
            <w:vAlign w:val="center"/>
          </w:tcPr>
          <w:p>
            <w:pPr>
              <w:jc w:val="center"/>
              <w:rPr>
                <w:color w:val="auto"/>
                <w:szCs w:val="21"/>
              </w:rPr>
            </w:pPr>
            <w:r>
              <w:rPr>
                <w:rFonts w:hint="eastAsia"/>
                <w:color w:val="auto"/>
                <w:szCs w:val="21"/>
              </w:rPr>
              <w:t>1</w:t>
            </w:r>
          </w:p>
        </w:tc>
        <w:tc>
          <w:tcPr>
            <w:tcW w:w="1702" w:type="dxa"/>
            <w:vAlign w:val="center"/>
          </w:tcPr>
          <w:p>
            <w:pPr>
              <w:jc w:val="center"/>
              <w:rPr>
                <w:color w:val="auto"/>
                <w:szCs w:val="21"/>
              </w:rPr>
            </w:pPr>
            <w:r>
              <w:rPr>
                <w:rFonts w:hint="eastAsia"/>
                <w:color w:val="auto"/>
                <w:szCs w:val="21"/>
              </w:rPr>
              <w:t>开工前</w:t>
            </w:r>
          </w:p>
        </w:tc>
        <w:tc>
          <w:tcPr>
            <w:tcW w:w="2731"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78" w:type="dxa"/>
            <w:gridSpan w:val="4"/>
            <w:vAlign w:val="center"/>
          </w:tcPr>
          <w:p>
            <w:pPr>
              <w:rPr>
                <w:color w:val="auto"/>
                <w:szCs w:val="21"/>
              </w:rPr>
            </w:pPr>
            <w:r>
              <w:rPr>
                <w:rFonts w:hint="eastAsia"/>
                <w:color w:val="auto"/>
                <w:szCs w:val="21"/>
              </w:rPr>
              <w:t>二、竣工阶段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781" w:type="dxa"/>
            <w:vAlign w:val="center"/>
          </w:tcPr>
          <w:p>
            <w:pPr>
              <w:pStyle w:val="44"/>
              <w:widowControl w:val="0"/>
              <w:jc w:val="center"/>
              <w:rPr>
                <w:rFonts w:ascii="Times New Roman" w:hAnsi="Times New Roman" w:cs="Times New Roman"/>
                <w:color w:val="auto"/>
                <w:kern w:val="2"/>
                <w:sz w:val="21"/>
                <w:szCs w:val="21"/>
              </w:rPr>
            </w:pPr>
            <w:r>
              <w:rPr>
                <w:rFonts w:hint="eastAsia" w:ascii="Times New Roman" w:hAnsi="Times New Roman" w:cs="Times New Roman"/>
                <w:color w:val="auto"/>
                <w:kern w:val="2"/>
                <w:sz w:val="21"/>
                <w:szCs w:val="21"/>
              </w:rPr>
              <w:t xml:space="preserve">施工图纸、设计变更  </w:t>
            </w:r>
          </w:p>
        </w:tc>
        <w:tc>
          <w:tcPr>
            <w:tcW w:w="864" w:type="dxa"/>
            <w:vAlign w:val="center"/>
          </w:tcPr>
          <w:p>
            <w:pPr>
              <w:jc w:val="center"/>
              <w:rPr>
                <w:color w:val="auto"/>
                <w:szCs w:val="21"/>
              </w:rPr>
            </w:pPr>
            <w:r>
              <w:rPr>
                <w:rFonts w:hint="eastAsia"/>
                <w:color w:val="auto"/>
                <w:szCs w:val="21"/>
              </w:rPr>
              <w:t>1</w:t>
            </w:r>
          </w:p>
        </w:tc>
        <w:tc>
          <w:tcPr>
            <w:tcW w:w="1702" w:type="dxa"/>
            <w:vAlign w:val="center"/>
          </w:tcPr>
          <w:p>
            <w:pPr>
              <w:jc w:val="center"/>
              <w:rPr>
                <w:color w:val="auto"/>
                <w:szCs w:val="21"/>
              </w:rPr>
            </w:pPr>
            <w:r>
              <w:rPr>
                <w:rFonts w:hint="eastAsia"/>
                <w:color w:val="auto"/>
                <w:szCs w:val="21"/>
              </w:rPr>
              <w:t>视委托项目具体</w:t>
            </w:r>
          </w:p>
          <w:p>
            <w:pPr>
              <w:jc w:val="center"/>
              <w:rPr>
                <w:color w:val="auto"/>
                <w:szCs w:val="21"/>
              </w:rPr>
            </w:pPr>
            <w:r>
              <w:rPr>
                <w:rFonts w:hint="eastAsia"/>
                <w:color w:val="auto"/>
                <w:szCs w:val="21"/>
              </w:rPr>
              <w:t>时间确定</w:t>
            </w:r>
          </w:p>
        </w:tc>
        <w:tc>
          <w:tcPr>
            <w:tcW w:w="2731" w:type="dxa"/>
            <w:vAlign w:val="center"/>
          </w:tcPr>
          <w:p>
            <w:pPr>
              <w:jc w:val="center"/>
              <w:rPr>
                <w:color w:val="auto"/>
                <w:szCs w:val="21"/>
              </w:rPr>
            </w:pPr>
            <w:r>
              <w:rPr>
                <w:rFonts w:hint="eastAsia"/>
                <w:color w:val="auto"/>
                <w:szCs w:val="21"/>
              </w:rPr>
              <w:t>需提供纸质书面资料和电</w:t>
            </w:r>
          </w:p>
          <w:p>
            <w:pPr>
              <w:jc w:val="center"/>
              <w:rPr>
                <w:color w:val="auto"/>
                <w:szCs w:val="21"/>
              </w:rPr>
            </w:pPr>
            <w:r>
              <w:rPr>
                <w:rFonts w:hint="eastAsia"/>
                <w:color w:val="auto"/>
                <w:szCs w:val="21"/>
              </w:rPr>
              <w:t>子档各一份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781" w:type="dxa"/>
            <w:vAlign w:val="center"/>
          </w:tcPr>
          <w:p>
            <w:pPr>
              <w:pStyle w:val="44"/>
              <w:spacing w:before="0" w:beforeAutospacing="0" w:after="0" w:afterAutospacing="0"/>
              <w:jc w:val="center"/>
              <w:rPr>
                <w:rFonts w:ascii="Times New Roman" w:hAnsi="Times New Roman" w:cs="Times New Roman"/>
                <w:color w:val="auto"/>
                <w:kern w:val="2"/>
                <w:sz w:val="21"/>
                <w:szCs w:val="21"/>
              </w:rPr>
            </w:pPr>
            <w:r>
              <w:rPr>
                <w:rFonts w:hint="eastAsia" w:ascii="Times New Roman" w:hAnsi="Times New Roman" w:cs="Times New Roman"/>
                <w:color w:val="auto"/>
                <w:kern w:val="2"/>
                <w:sz w:val="21"/>
                <w:szCs w:val="21"/>
              </w:rPr>
              <w:t>招、投标资料</w:t>
            </w:r>
          </w:p>
          <w:p>
            <w:pPr>
              <w:pStyle w:val="44"/>
              <w:spacing w:before="0" w:beforeAutospacing="0" w:after="0" w:afterAutospacing="0"/>
              <w:ind w:right="-153" w:rightChars="-73"/>
              <w:jc w:val="center"/>
              <w:rPr>
                <w:rFonts w:ascii="Times New Roman" w:hAnsi="Times New Roman" w:cs="Times New Roman"/>
                <w:color w:val="auto"/>
                <w:kern w:val="2"/>
                <w:sz w:val="21"/>
                <w:szCs w:val="21"/>
              </w:rPr>
            </w:pPr>
            <w:r>
              <w:rPr>
                <w:rFonts w:hint="eastAsia" w:ascii="Times New Roman" w:hAnsi="Times New Roman" w:cs="Times New Roman"/>
                <w:color w:val="auto"/>
                <w:kern w:val="2"/>
                <w:sz w:val="21"/>
                <w:szCs w:val="21"/>
              </w:rPr>
              <w:t>（含工程量清单）</w:t>
            </w:r>
          </w:p>
        </w:tc>
        <w:tc>
          <w:tcPr>
            <w:tcW w:w="864" w:type="dxa"/>
            <w:vAlign w:val="center"/>
          </w:tcPr>
          <w:p>
            <w:pPr>
              <w:jc w:val="center"/>
              <w:rPr>
                <w:color w:val="auto"/>
                <w:szCs w:val="21"/>
              </w:rPr>
            </w:pPr>
            <w:r>
              <w:rPr>
                <w:rFonts w:hint="eastAsia"/>
                <w:color w:val="auto"/>
                <w:szCs w:val="21"/>
              </w:rPr>
              <w:t>1</w:t>
            </w:r>
          </w:p>
        </w:tc>
        <w:tc>
          <w:tcPr>
            <w:tcW w:w="1702" w:type="dxa"/>
            <w:vAlign w:val="center"/>
          </w:tcPr>
          <w:p>
            <w:pPr>
              <w:jc w:val="center"/>
              <w:rPr>
                <w:color w:val="auto"/>
                <w:szCs w:val="21"/>
              </w:rPr>
            </w:pPr>
            <w:r>
              <w:rPr>
                <w:rFonts w:hint="eastAsia"/>
                <w:color w:val="auto"/>
                <w:szCs w:val="21"/>
              </w:rPr>
              <w:t>视委托项目具体</w:t>
            </w:r>
          </w:p>
          <w:p>
            <w:pPr>
              <w:jc w:val="center"/>
              <w:rPr>
                <w:color w:val="auto"/>
                <w:szCs w:val="21"/>
              </w:rPr>
            </w:pPr>
            <w:r>
              <w:rPr>
                <w:rFonts w:hint="eastAsia"/>
                <w:color w:val="auto"/>
                <w:szCs w:val="21"/>
              </w:rPr>
              <w:t>时间确定</w:t>
            </w:r>
          </w:p>
        </w:tc>
        <w:tc>
          <w:tcPr>
            <w:tcW w:w="2731" w:type="dxa"/>
            <w:vAlign w:val="center"/>
          </w:tcPr>
          <w:p>
            <w:pPr>
              <w:jc w:val="center"/>
              <w:rPr>
                <w:color w:val="auto"/>
                <w:szCs w:val="21"/>
              </w:rPr>
            </w:pPr>
            <w:r>
              <w:rPr>
                <w:rFonts w:hint="eastAsia"/>
                <w:color w:val="auto"/>
                <w:szCs w:val="21"/>
              </w:rPr>
              <w:t>需提供纸质书面资料和电</w:t>
            </w:r>
          </w:p>
          <w:p>
            <w:pPr>
              <w:jc w:val="center"/>
              <w:rPr>
                <w:color w:val="auto"/>
                <w:szCs w:val="21"/>
              </w:rPr>
            </w:pPr>
            <w:r>
              <w:rPr>
                <w:rFonts w:hint="eastAsia"/>
                <w:color w:val="auto"/>
                <w:szCs w:val="21"/>
              </w:rPr>
              <w:t>子档各一份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2781" w:type="dxa"/>
            <w:vAlign w:val="center"/>
          </w:tcPr>
          <w:p>
            <w:pPr>
              <w:pStyle w:val="44"/>
              <w:spacing w:before="0" w:beforeAutospacing="0" w:after="0" w:afterAutospacing="0"/>
              <w:jc w:val="center"/>
              <w:rPr>
                <w:rFonts w:ascii="Times New Roman" w:hAnsi="Times New Roman" w:cs="Times New Roman"/>
                <w:color w:val="auto"/>
                <w:kern w:val="2"/>
                <w:sz w:val="21"/>
                <w:szCs w:val="21"/>
              </w:rPr>
            </w:pPr>
            <w:r>
              <w:rPr>
                <w:rFonts w:hint="eastAsia" w:ascii="Times New Roman" w:hAnsi="Times New Roman" w:cs="Times New Roman"/>
                <w:color w:val="auto"/>
                <w:kern w:val="2"/>
                <w:sz w:val="21"/>
                <w:szCs w:val="21"/>
              </w:rPr>
              <w:t>施工合同（含各专业分包合</w:t>
            </w:r>
          </w:p>
          <w:p>
            <w:pPr>
              <w:pStyle w:val="44"/>
              <w:spacing w:before="0" w:beforeAutospacing="0" w:after="0" w:afterAutospacing="0"/>
              <w:jc w:val="center"/>
              <w:rPr>
                <w:rFonts w:ascii="Times New Roman" w:hAnsi="Times New Roman" w:cs="Times New Roman"/>
                <w:color w:val="auto"/>
                <w:kern w:val="2"/>
                <w:sz w:val="21"/>
                <w:szCs w:val="21"/>
              </w:rPr>
            </w:pPr>
            <w:r>
              <w:rPr>
                <w:rFonts w:hint="eastAsia" w:ascii="Times New Roman" w:hAnsi="Times New Roman" w:cs="Times New Roman"/>
                <w:color w:val="auto"/>
                <w:kern w:val="2"/>
                <w:sz w:val="21"/>
                <w:szCs w:val="21"/>
              </w:rPr>
              <w:t>同、补充协议等）、竣工验</w:t>
            </w:r>
          </w:p>
          <w:p>
            <w:pPr>
              <w:pStyle w:val="44"/>
              <w:widowControl w:val="0"/>
              <w:spacing w:before="0" w:beforeAutospacing="0" w:after="0" w:afterAutospacing="0"/>
              <w:jc w:val="center"/>
              <w:rPr>
                <w:rFonts w:ascii="Times New Roman" w:hAnsi="Times New Roman" w:cs="Times New Roman"/>
                <w:color w:val="auto"/>
                <w:kern w:val="2"/>
                <w:sz w:val="21"/>
                <w:szCs w:val="21"/>
              </w:rPr>
            </w:pPr>
            <w:r>
              <w:rPr>
                <w:rFonts w:hint="eastAsia" w:ascii="Times New Roman" w:hAnsi="Times New Roman" w:cs="Times New Roman"/>
                <w:color w:val="auto"/>
                <w:kern w:val="2"/>
                <w:sz w:val="21"/>
                <w:szCs w:val="21"/>
              </w:rPr>
              <w:t>收证明</w:t>
            </w:r>
          </w:p>
        </w:tc>
        <w:tc>
          <w:tcPr>
            <w:tcW w:w="864" w:type="dxa"/>
            <w:vAlign w:val="center"/>
          </w:tcPr>
          <w:p>
            <w:pPr>
              <w:jc w:val="center"/>
              <w:rPr>
                <w:color w:val="auto"/>
                <w:szCs w:val="21"/>
              </w:rPr>
            </w:pPr>
            <w:r>
              <w:rPr>
                <w:rFonts w:hint="eastAsia"/>
                <w:color w:val="auto"/>
                <w:szCs w:val="21"/>
              </w:rPr>
              <w:t>1</w:t>
            </w:r>
          </w:p>
        </w:tc>
        <w:tc>
          <w:tcPr>
            <w:tcW w:w="1702" w:type="dxa"/>
            <w:vAlign w:val="center"/>
          </w:tcPr>
          <w:p>
            <w:pPr>
              <w:jc w:val="center"/>
              <w:rPr>
                <w:color w:val="auto"/>
                <w:szCs w:val="21"/>
              </w:rPr>
            </w:pPr>
            <w:r>
              <w:rPr>
                <w:rFonts w:hint="eastAsia"/>
                <w:color w:val="auto"/>
                <w:szCs w:val="21"/>
              </w:rPr>
              <w:t>视委托项目具体</w:t>
            </w:r>
          </w:p>
          <w:p>
            <w:pPr>
              <w:jc w:val="center"/>
              <w:rPr>
                <w:color w:val="auto"/>
                <w:szCs w:val="21"/>
              </w:rPr>
            </w:pPr>
            <w:r>
              <w:rPr>
                <w:rFonts w:hint="eastAsia"/>
                <w:color w:val="auto"/>
                <w:szCs w:val="21"/>
              </w:rPr>
              <w:t>时间确定</w:t>
            </w:r>
          </w:p>
        </w:tc>
        <w:tc>
          <w:tcPr>
            <w:tcW w:w="2731" w:type="dxa"/>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81" w:type="dxa"/>
            <w:vAlign w:val="center"/>
          </w:tcPr>
          <w:p>
            <w:pPr>
              <w:pStyle w:val="44"/>
              <w:widowControl w:val="0"/>
              <w:spacing w:before="0" w:beforeAutospacing="0" w:after="0" w:afterAutospacing="0"/>
              <w:jc w:val="center"/>
              <w:rPr>
                <w:rFonts w:ascii="Times New Roman" w:hAnsi="Times New Roman" w:cs="Times New Roman"/>
                <w:color w:val="auto"/>
                <w:kern w:val="2"/>
                <w:sz w:val="21"/>
                <w:szCs w:val="21"/>
              </w:rPr>
            </w:pPr>
            <w:r>
              <w:rPr>
                <w:rFonts w:hint="eastAsia" w:ascii="Times New Roman" w:hAnsi="Times New Roman" w:cs="Times New Roman"/>
                <w:color w:val="auto"/>
                <w:kern w:val="2"/>
                <w:sz w:val="21"/>
                <w:szCs w:val="21"/>
              </w:rPr>
              <w:t>报审结算书</w:t>
            </w:r>
          </w:p>
        </w:tc>
        <w:tc>
          <w:tcPr>
            <w:tcW w:w="864" w:type="dxa"/>
            <w:vAlign w:val="center"/>
          </w:tcPr>
          <w:p>
            <w:pPr>
              <w:jc w:val="center"/>
              <w:rPr>
                <w:color w:val="auto"/>
                <w:szCs w:val="21"/>
              </w:rPr>
            </w:pPr>
            <w:r>
              <w:rPr>
                <w:rFonts w:hint="eastAsia"/>
                <w:color w:val="auto"/>
                <w:szCs w:val="21"/>
              </w:rPr>
              <w:t>1</w:t>
            </w:r>
          </w:p>
        </w:tc>
        <w:tc>
          <w:tcPr>
            <w:tcW w:w="1702" w:type="dxa"/>
            <w:vAlign w:val="center"/>
          </w:tcPr>
          <w:p>
            <w:pPr>
              <w:jc w:val="center"/>
              <w:rPr>
                <w:color w:val="auto"/>
                <w:szCs w:val="21"/>
              </w:rPr>
            </w:pPr>
            <w:r>
              <w:rPr>
                <w:rFonts w:hint="eastAsia"/>
                <w:color w:val="auto"/>
                <w:szCs w:val="21"/>
              </w:rPr>
              <w:t>视委托项目具体</w:t>
            </w:r>
          </w:p>
          <w:p>
            <w:pPr>
              <w:jc w:val="center"/>
              <w:rPr>
                <w:color w:val="auto"/>
                <w:szCs w:val="21"/>
              </w:rPr>
            </w:pPr>
            <w:r>
              <w:rPr>
                <w:rFonts w:hint="eastAsia"/>
                <w:color w:val="auto"/>
                <w:szCs w:val="21"/>
              </w:rPr>
              <w:t>时间确定</w:t>
            </w:r>
          </w:p>
        </w:tc>
        <w:tc>
          <w:tcPr>
            <w:tcW w:w="2731" w:type="dxa"/>
            <w:vAlign w:val="center"/>
          </w:tcPr>
          <w:p>
            <w:pPr>
              <w:jc w:val="center"/>
              <w:rPr>
                <w:color w:val="auto"/>
                <w:szCs w:val="21"/>
              </w:rPr>
            </w:pPr>
            <w:r>
              <w:rPr>
                <w:rFonts w:hint="eastAsia"/>
                <w:color w:val="auto"/>
                <w:szCs w:val="21"/>
              </w:rPr>
              <w:t>需提供纸质书面资料和电</w:t>
            </w:r>
          </w:p>
          <w:p>
            <w:pPr>
              <w:jc w:val="center"/>
              <w:rPr>
                <w:color w:val="auto"/>
                <w:szCs w:val="21"/>
              </w:rPr>
            </w:pPr>
            <w:r>
              <w:rPr>
                <w:rFonts w:hint="eastAsia"/>
                <w:color w:val="auto"/>
                <w:szCs w:val="21"/>
              </w:rPr>
              <w:t>子档各一份，且需盖委托人、编制单位公章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781" w:type="dxa"/>
            <w:vAlign w:val="center"/>
          </w:tcPr>
          <w:p>
            <w:pPr>
              <w:pStyle w:val="44"/>
              <w:spacing w:before="0" w:beforeAutospacing="0" w:after="0" w:afterAutospacing="0"/>
              <w:jc w:val="center"/>
              <w:rPr>
                <w:rFonts w:ascii="Times New Roman" w:hAnsi="Times New Roman" w:cs="Times New Roman"/>
                <w:color w:val="auto"/>
                <w:kern w:val="2"/>
                <w:sz w:val="21"/>
                <w:szCs w:val="21"/>
              </w:rPr>
            </w:pPr>
            <w:r>
              <w:rPr>
                <w:rFonts w:hint="eastAsia" w:ascii="Times New Roman" w:hAnsi="Times New Roman" w:cs="Times New Roman"/>
                <w:color w:val="auto"/>
                <w:kern w:val="2"/>
                <w:sz w:val="21"/>
                <w:szCs w:val="21"/>
              </w:rPr>
              <w:t>工程联系、签证、变更单及</w:t>
            </w:r>
          </w:p>
          <w:p>
            <w:pPr>
              <w:pStyle w:val="44"/>
              <w:widowControl w:val="0"/>
              <w:spacing w:before="0" w:beforeAutospacing="0" w:after="0" w:afterAutospacing="0"/>
              <w:jc w:val="center"/>
              <w:rPr>
                <w:rFonts w:ascii="Times New Roman" w:hAnsi="Times New Roman" w:cs="Times New Roman"/>
                <w:color w:val="auto"/>
                <w:kern w:val="2"/>
                <w:sz w:val="21"/>
                <w:szCs w:val="21"/>
              </w:rPr>
            </w:pPr>
            <w:r>
              <w:rPr>
                <w:rFonts w:hint="eastAsia" w:ascii="Times New Roman" w:hAnsi="Times New Roman" w:cs="Times New Roman"/>
                <w:color w:val="auto"/>
                <w:kern w:val="2"/>
                <w:sz w:val="21"/>
                <w:szCs w:val="21"/>
              </w:rPr>
              <w:t>会议纪要等</w:t>
            </w:r>
          </w:p>
        </w:tc>
        <w:tc>
          <w:tcPr>
            <w:tcW w:w="864" w:type="dxa"/>
            <w:vAlign w:val="center"/>
          </w:tcPr>
          <w:p>
            <w:pPr>
              <w:jc w:val="center"/>
              <w:rPr>
                <w:color w:val="auto"/>
                <w:szCs w:val="21"/>
              </w:rPr>
            </w:pPr>
            <w:r>
              <w:rPr>
                <w:rFonts w:hint="eastAsia"/>
                <w:color w:val="auto"/>
                <w:szCs w:val="21"/>
              </w:rPr>
              <w:t>1</w:t>
            </w:r>
          </w:p>
        </w:tc>
        <w:tc>
          <w:tcPr>
            <w:tcW w:w="1702" w:type="dxa"/>
            <w:vAlign w:val="center"/>
          </w:tcPr>
          <w:p>
            <w:pPr>
              <w:jc w:val="center"/>
              <w:rPr>
                <w:color w:val="auto"/>
                <w:szCs w:val="21"/>
              </w:rPr>
            </w:pPr>
            <w:r>
              <w:rPr>
                <w:rFonts w:hint="eastAsia"/>
                <w:color w:val="auto"/>
                <w:szCs w:val="21"/>
              </w:rPr>
              <w:t>视委托项目具体</w:t>
            </w:r>
          </w:p>
          <w:p>
            <w:pPr>
              <w:jc w:val="center"/>
              <w:rPr>
                <w:color w:val="auto"/>
                <w:szCs w:val="21"/>
              </w:rPr>
            </w:pPr>
            <w:r>
              <w:rPr>
                <w:rFonts w:hint="eastAsia"/>
                <w:color w:val="auto"/>
                <w:szCs w:val="21"/>
              </w:rPr>
              <w:t>时间确定</w:t>
            </w:r>
          </w:p>
        </w:tc>
        <w:tc>
          <w:tcPr>
            <w:tcW w:w="2731" w:type="dxa"/>
            <w:vAlign w:val="center"/>
          </w:tcPr>
          <w:p>
            <w:pPr>
              <w:jc w:val="center"/>
              <w:rPr>
                <w:color w:val="auto"/>
                <w:szCs w:val="21"/>
              </w:rPr>
            </w:pPr>
            <w:r>
              <w:rPr>
                <w:rFonts w:hint="eastAsia"/>
                <w:color w:val="auto"/>
                <w:szCs w:val="21"/>
              </w:rPr>
              <w:t>如有须全部提供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781" w:type="dxa"/>
            <w:vAlign w:val="center"/>
          </w:tcPr>
          <w:p>
            <w:pPr>
              <w:pStyle w:val="44"/>
              <w:spacing w:before="0" w:beforeAutospacing="0" w:after="0" w:afterAutospacing="0"/>
              <w:jc w:val="center"/>
              <w:rPr>
                <w:rFonts w:ascii="Times New Roman" w:hAnsi="Times New Roman" w:cs="Times New Roman"/>
                <w:color w:val="auto"/>
                <w:kern w:val="2"/>
                <w:sz w:val="21"/>
                <w:szCs w:val="21"/>
              </w:rPr>
            </w:pPr>
            <w:r>
              <w:rPr>
                <w:rFonts w:hint="eastAsia" w:ascii="Times New Roman" w:hAnsi="Times New Roman" w:cs="Times New Roman"/>
                <w:color w:val="auto"/>
                <w:kern w:val="2"/>
                <w:sz w:val="21"/>
                <w:szCs w:val="21"/>
              </w:rPr>
              <w:t>与工程造价有关的隐蔽工程</w:t>
            </w:r>
          </w:p>
          <w:p>
            <w:pPr>
              <w:pStyle w:val="44"/>
              <w:widowControl w:val="0"/>
              <w:spacing w:before="0" w:beforeAutospacing="0" w:after="0" w:afterAutospacing="0"/>
              <w:jc w:val="center"/>
              <w:rPr>
                <w:rFonts w:ascii="Times New Roman" w:hAnsi="Times New Roman" w:cs="Times New Roman"/>
                <w:color w:val="auto"/>
                <w:kern w:val="2"/>
                <w:sz w:val="21"/>
                <w:szCs w:val="21"/>
              </w:rPr>
            </w:pPr>
            <w:r>
              <w:rPr>
                <w:rFonts w:hint="eastAsia" w:ascii="Times New Roman" w:hAnsi="Times New Roman" w:cs="Times New Roman"/>
                <w:color w:val="auto"/>
                <w:kern w:val="2"/>
                <w:sz w:val="21"/>
                <w:szCs w:val="21"/>
              </w:rPr>
              <w:t>资料</w:t>
            </w:r>
          </w:p>
        </w:tc>
        <w:tc>
          <w:tcPr>
            <w:tcW w:w="864" w:type="dxa"/>
            <w:vAlign w:val="center"/>
          </w:tcPr>
          <w:p>
            <w:pPr>
              <w:jc w:val="center"/>
              <w:rPr>
                <w:color w:val="auto"/>
                <w:szCs w:val="21"/>
              </w:rPr>
            </w:pPr>
            <w:r>
              <w:rPr>
                <w:rFonts w:hint="eastAsia"/>
                <w:color w:val="auto"/>
                <w:szCs w:val="21"/>
              </w:rPr>
              <w:t>1</w:t>
            </w:r>
          </w:p>
        </w:tc>
        <w:tc>
          <w:tcPr>
            <w:tcW w:w="1702" w:type="dxa"/>
            <w:vAlign w:val="center"/>
          </w:tcPr>
          <w:p>
            <w:pPr>
              <w:jc w:val="center"/>
              <w:rPr>
                <w:color w:val="auto"/>
                <w:szCs w:val="21"/>
              </w:rPr>
            </w:pPr>
            <w:r>
              <w:rPr>
                <w:rFonts w:hint="eastAsia"/>
                <w:color w:val="auto"/>
                <w:szCs w:val="21"/>
              </w:rPr>
              <w:t>视委托项目具体</w:t>
            </w:r>
          </w:p>
          <w:p>
            <w:pPr>
              <w:jc w:val="center"/>
              <w:rPr>
                <w:color w:val="auto"/>
                <w:szCs w:val="21"/>
              </w:rPr>
            </w:pPr>
            <w:r>
              <w:rPr>
                <w:rFonts w:hint="eastAsia"/>
                <w:color w:val="auto"/>
                <w:szCs w:val="21"/>
              </w:rPr>
              <w:t>时间确定</w:t>
            </w:r>
          </w:p>
        </w:tc>
        <w:tc>
          <w:tcPr>
            <w:tcW w:w="2731" w:type="dxa"/>
            <w:vAlign w:val="center"/>
          </w:tcPr>
          <w:p>
            <w:pPr>
              <w:jc w:val="center"/>
              <w:rPr>
                <w:color w:val="auto"/>
                <w:szCs w:val="21"/>
              </w:rPr>
            </w:pPr>
            <w:r>
              <w:rPr>
                <w:rFonts w:hint="eastAsia"/>
                <w:color w:val="auto"/>
                <w:szCs w:val="21"/>
              </w:rPr>
              <w:t>如有须全部提供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781" w:type="dxa"/>
            <w:vAlign w:val="center"/>
          </w:tcPr>
          <w:p>
            <w:pPr>
              <w:pStyle w:val="44"/>
              <w:spacing w:before="0" w:beforeAutospacing="0" w:after="0" w:afterAutospacing="0"/>
              <w:jc w:val="center"/>
              <w:rPr>
                <w:rFonts w:ascii="Times New Roman" w:hAnsi="Times New Roman" w:cs="Times New Roman"/>
                <w:color w:val="auto"/>
                <w:kern w:val="2"/>
                <w:sz w:val="21"/>
                <w:szCs w:val="21"/>
              </w:rPr>
            </w:pPr>
            <w:r>
              <w:rPr>
                <w:rFonts w:hint="eastAsia" w:ascii="Times New Roman" w:hAnsi="Times New Roman" w:cs="Times New Roman"/>
                <w:color w:val="auto"/>
                <w:kern w:val="2"/>
                <w:sz w:val="21"/>
                <w:szCs w:val="21"/>
              </w:rPr>
              <w:t>其他有关工程造价调整的有</w:t>
            </w:r>
          </w:p>
          <w:p>
            <w:pPr>
              <w:pStyle w:val="44"/>
              <w:spacing w:before="0" w:beforeAutospacing="0" w:after="0" w:afterAutospacing="0"/>
              <w:jc w:val="center"/>
              <w:rPr>
                <w:rFonts w:ascii="Times New Roman" w:hAnsi="Times New Roman" w:cs="Times New Roman"/>
                <w:color w:val="auto"/>
                <w:kern w:val="2"/>
                <w:sz w:val="21"/>
                <w:szCs w:val="21"/>
              </w:rPr>
            </w:pPr>
            <w:r>
              <w:rPr>
                <w:rFonts w:hint="eastAsia" w:ascii="Times New Roman" w:hAnsi="Times New Roman" w:cs="Times New Roman"/>
                <w:color w:val="auto"/>
                <w:kern w:val="2"/>
                <w:sz w:val="21"/>
                <w:szCs w:val="21"/>
              </w:rPr>
              <w:t>效证明文件</w:t>
            </w:r>
          </w:p>
        </w:tc>
        <w:tc>
          <w:tcPr>
            <w:tcW w:w="864" w:type="dxa"/>
            <w:vAlign w:val="center"/>
          </w:tcPr>
          <w:p>
            <w:pPr>
              <w:jc w:val="center"/>
              <w:rPr>
                <w:color w:val="auto"/>
                <w:szCs w:val="21"/>
              </w:rPr>
            </w:pPr>
            <w:r>
              <w:rPr>
                <w:rFonts w:hint="eastAsia"/>
                <w:color w:val="auto"/>
                <w:szCs w:val="21"/>
              </w:rPr>
              <w:t>1</w:t>
            </w:r>
          </w:p>
        </w:tc>
        <w:tc>
          <w:tcPr>
            <w:tcW w:w="1702" w:type="dxa"/>
            <w:vAlign w:val="center"/>
          </w:tcPr>
          <w:p>
            <w:pPr>
              <w:jc w:val="center"/>
              <w:rPr>
                <w:color w:val="auto"/>
                <w:szCs w:val="21"/>
              </w:rPr>
            </w:pPr>
            <w:r>
              <w:rPr>
                <w:rFonts w:hint="eastAsia"/>
                <w:color w:val="auto"/>
                <w:szCs w:val="21"/>
              </w:rPr>
              <w:t>视委托项目具体</w:t>
            </w:r>
          </w:p>
          <w:p>
            <w:pPr>
              <w:jc w:val="center"/>
              <w:rPr>
                <w:color w:val="auto"/>
                <w:szCs w:val="21"/>
              </w:rPr>
            </w:pPr>
            <w:r>
              <w:rPr>
                <w:rFonts w:hint="eastAsia"/>
                <w:color w:val="auto"/>
                <w:szCs w:val="21"/>
              </w:rPr>
              <w:t>时间确定</w:t>
            </w:r>
          </w:p>
        </w:tc>
        <w:tc>
          <w:tcPr>
            <w:tcW w:w="2731" w:type="dxa"/>
            <w:vAlign w:val="center"/>
          </w:tcPr>
          <w:p>
            <w:pPr>
              <w:jc w:val="center"/>
              <w:rPr>
                <w:color w:val="auto"/>
                <w:szCs w:val="21"/>
              </w:rPr>
            </w:pPr>
            <w:r>
              <w:rPr>
                <w:rFonts w:hint="eastAsia"/>
                <w:color w:val="auto"/>
                <w:szCs w:val="21"/>
              </w:rPr>
              <w:t>如有须全部提供</w:t>
            </w:r>
          </w:p>
        </w:tc>
      </w:tr>
    </w:tbl>
    <w:p>
      <w:pPr>
        <w:pStyle w:val="3"/>
        <w:spacing w:before="0" w:after="0"/>
        <w:rPr>
          <w:color w:val="auto"/>
          <w:sz w:val="24"/>
          <w:szCs w:val="24"/>
        </w:rPr>
        <w:sectPr>
          <w:footerReference r:id="rId4" w:type="default"/>
          <w:pgSz w:w="11906" w:h="16838"/>
          <w:pgMar w:top="1440" w:right="1440" w:bottom="1440" w:left="1803" w:header="851" w:footer="992" w:gutter="0"/>
          <w:cols w:space="720" w:num="1"/>
          <w:docGrid w:linePitch="312" w:charSpace="0"/>
        </w:sectPr>
      </w:pPr>
    </w:p>
    <w:p>
      <w:pPr>
        <w:pStyle w:val="3"/>
        <w:spacing w:before="0" w:after="0"/>
        <w:rPr>
          <w:color w:val="auto"/>
          <w:sz w:val="24"/>
          <w:szCs w:val="24"/>
        </w:rPr>
      </w:pPr>
      <w:r>
        <w:rPr>
          <w:rFonts w:hint="eastAsia"/>
          <w:color w:val="auto"/>
          <w:sz w:val="24"/>
          <w:szCs w:val="24"/>
        </w:rPr>
        <w:t xml:space="preserve">附录C </w:t>
      </w:r>
      <w:r>
        <w:rPr>
          <w:color w:val="auto"/>
          <w:sz w:val="24"/>
          <w:szCs w:val="24"/>
        </w:rPr>
        <w:t>委托人提供房屋</w:t>
      </w:r>
      <w:r>
        <w:rPr>
          <w:rFonts w:hint="eastAsia"/>
          <w:color w:val="auto"/>
          <w:sz w:val="24"/>
          <w:szCs w:val="24"/>
        </w:rPr>
        <w:t>及设备一览表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5"/>
        <w:gridCol w:w="980"/>
        <w:gridCol w:w="2368"/>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615" w:type="dxa"/>
            <w:vAlign w:val="center"/>
          </w:tcPr>
          <w:p>
            <w:pPr>
              <w:pStyle w:val="44"/>
              <w:widowControl w:val="0"/>
              <w:spacing w:line="360" w:lineRule="auto"/>
              <w:jc w:val="center"/>
              <w:rPr>
                <w:b/>
                <w:color w:val="auto"/>
              </w:rPr>
            </w:pPr>
            <w:r>
              <w:rPr>
                <w:rFonts w:hint="eastAsia"/>
                <w:b/>
                <w:color w:val="auto"/>
              </w:rPr>
              <w:t>名称</w:t>
            </w:r>
          </w:p>
        </w:tc>
        <w:tc>
          <w:tcPr>
            <w:tcW w:w="980" w:type="dxa"/>
            <w:vAlign w:val="center"/>
          </w:tcPr>
          <w:p>
            <w:pPr>
              <w:pStyle w:val="44"/>
              <w:widowControl w:val="0"/>
              <w:spacing w:line="360" w:lineRule="auto"/>
              <w:jc w:val="center"/>
              <w:rPr>
                <w:b/>
                <w:color w:val="auto"/>
              </w:rPr>
            </w:pPr>
            <w:r>
              <w:rPr>
                <w:rFonts w:hint="eastAsia"/>
                <w:b/>
                <w:color w:val="auto"/>
              </w:rPr>
              <w:t>数量</w:t>
            </w:r>
          </w:p>
        </w:tc>
        <w:tc>
          <w:tcPr>
            <w:tcW w:w="2368" w:type="dxa"/>
            <w:vAlign w:val="center"/>
          </w:tcPr>
          <w:p>
            <w:pPr>
              <w:pStyle w:val="44"/>
              <w:widowControl w:val="0"/>
              <w:spacing w:line="360" w:lineRule="auto"/>
              <w:jc w:val="center"/>
              <w:rPr>
                <w:b/>
                <w:color w:val="auto"/>
              </w:rPr>
            </w:pPr>
            <w:r>
              <w:rPr>
                <w:rFonts w:hint="eastAsia"/>
                <w:b/>
                <w:color w:val="auto"/>
              </w:rPr>
              <w:t>面积、型号及规格</w:t>
            </w:r>
          </w:p>
        </w:tc>
        <w:tc>
          <w:tcPr>
            <w:tcW w:w="2148" w:type="dxa"/>
            <w:vAlign w:val="center"/>
          </w:tcPr>
          <w:p>
            <w:pPr>
              <w:pStyle w:val="44"/>
              <w:widowControl w:val="0"/>
              <w:spacing w:line="360" w:lineRule="auto"/>
              <w:jc w:val="center"/>
              <w:rPr>
                <w:b/>
                <w:color w:val="auto"/>
              </w:rPr>
            </w:pPr>
            <w:r>
              <w:rPr>
                <w:rFonts w:hint="eastAsia"/>
                <w:b/>
                <w:color w:val="auto"/>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615" w:type="dxa"/>
            <w:vAlign w:val="center"/>
          </w:tcPr>
          <w:p>
            <w:pPr>
              <w:pStyle w:val="44"/>
              <w:widowControl w:val="0"/>
              <w:spacing w:line="360" w:lineRule="auto"/>
              <w:jc w:val="center"/>
              <w:rPr>
                <w:color w:val="auto"/>
                <w:szCs w:val="21"/>
              </w:rPr>
            </w:pPr>
            <w:r>
              <w:rPr>
                <w:rFonts w:hint="eastAsia"/>
                <w:color w:val="auto"/>
                <w:szCs w:val="21"/>
              </w:rPr>
              <w:t>临时办公室</w:t>
            </w:r>
          </w:p>
        </w:tc>
        <w:tc>
          <w:tcPr>
            <w:tcW w:w="980" w:type="dxa"/>
            <w:vAlign w:val="center"/>
          </w:tcPr>
          <w:p>
            <w:pPr>
              <w:spacing w:line="360" w:lineRule="auto"/>
              <w:jc w:val="center"/>
              <w:rPr>
                <w:color w:val="auto"/>
                <w:szCs w:val="21"/>
              </w:rPr>
            </w:pPr>
            <w:r>
              <w:rPr>
                <w:rFonts w:hint="eastAsia"/>
                <w:color w:val="auto"/>
                <w:szCs w:val="21"/>
              </w:rPr>
              <w:t>2间</w:t>
            </w:r>
          </w:p>
        </w:tc>
        <w:tc>
          <w:tcPr>
            <w:tcW w:w="2368" w:type="dxa"/>
            <w:vAlign w:val="center"/>
          </w:tcPr>
          <w:p>
            <w:pPr>
              <w:spacing w:line="360" w:lineRule="auto"/>
              <w:jc w:val="center"/>
              <w:rPr>
                <w:color w:val="auto"/>
                <w:szCs w:val="21"/>
              </w:rPr>
            </w:pPr>
          </w:p>
        </w:tc>
        <w:tc>
          <w:tcPr>
            <w:tcW w:w="2148" w:type="dxa"/>
            <w:vAlign w:val="center"/>
          </w:tcPr>
          <w:p>
            <w:pPr>
              <w:spacing w:line="360" w:lineRule="auto"/>
              <w:jc w:val="center"/>
              <w:rPr>
                <w:color w:val="auto"/>
                <w:szCs w:val="21"/>
              </w:rPr>
            </w:pPr>
            <w:r>
              <w:rPr>
                <w:rFonts w:hint="eastAsia"/>
                <w:color w:val="auto"/>
                <w:szCs w:val="21"/>
              </w:rPr>
              <w:t>进驻现场前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615" w:type="dxa"/>
            <w:vAlign w:val="center"/>
          </w:tcPr>
          <w:p>
            <w:pPr>
              <w:pStyle w:val="44"/>
              <w:widowControl w:val="0"/>
              <w:spacing w:line="360" w:lineRule="auto"/>
              <w:jc w:val="center"/>
              <w:rPr>
                <w:color w:val="auto"/>
                <w:szCs w:val="21"/>
              </w:rPr>
            </w:pPr>
            <w:r>
              <w:rPr>
                <w:rFonts w:hint="eastAsia"/>
                <w:color w:val="auto"/>
                <w:szCs w:val="21"/>
              </w:rPr>
              <w:t>办公桌椅</w:t>
            </w:r>
          </w:p>
        </w:tc>
        <w:tc>
          <w:tcPr>
            <w:tcW w:w="980" w:type="dxa"/>
            <w:vAlign w:val="center"/>
          </w:tcPr>
          <w:p>
            <w:pPr>
              <w:spacing w:line="360" w:lineRule="auto"/>
              <w:jc w:val="center"/>
              <w:rPr>
                <w:color w:val="auto"/>
                <w:szCs w:val="21"/>
              </w:rPr>
            </w:pPr>
            <w:r>
              <w:rPr>
                <w:rFonts w:hint="eastAsia"/>
                <w:color w:val="auto"/>
                <w:szCs w:val="21"/>
              </w:rPr>
              <w:t>4套</w:t>
            </w:r>
          </w:p>
        </w:tc>
        <w:tc>
          <w:tcPr>
            <w:tcW w:w="2368" w:type="dxa"/>
            <w:vAlign w:val="center"/>
          </w:tcPr>
          <w:p>
            <w:pPr>
              <w:spacing w:line="360" w:lineRule="auto"/>
              <w:jc w:val="center"/>
              <w:rPr>
                <w:color w:val="auto"/>
                <w:szCs w:val="21"/>
              </w:rPr>
            </w:pPr>
          </w:p>
        </w:tc>
        <w:tc>
          <w:tcPr>
            <w:tcW w:w="2148" w:type="dxa"/>
            <w:vAlign w:val="center"/>
          </w:tcPr>
          <w:p>
            <w:pPr>
              <w:spacing w:line="360" w:lineRule="auto"/>
              <w:jc w:val="center"/>
              <w:rPr>
                <w:color w:val="auto"/>
                <w:szCs w:val="21"/>
              </w:rPr>
            </w:pPr>
            <w:r>
              <w:rPr>
                <w:rFonts w:hint="eastAsia"/>
                <w:color w:val="auto"/>
                <w:szCs w:val="21"/>
              </w:rPr>
              <w:t>进驻现场前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615" w:type="dxa"/>
            <w:vAlign w:val="center"/>
          </w:tcPr>
          <w:p>
            <w:pPr>
              <w:pStyle w:val="44"/>
              <w:widowControl w:val="0"/>
              <w:spacing w:line="360" w:lineRule="auto"/>
              <w:jc w:val="both"/>
              <w:rPr>
                <w:color w:val="auto"/>
              </w:rPr>
            </w:pPr>
          </w:p>
        </w:tc>
        <w:tc>
          <w:tcPr>
            <w:tcW w:w="980" w:type="dxa"/>
            <w:vAlign w:val="center"/>
          </w:tcPr>
          <w:p>
            <w:pPr>
              <w:spacing w:line="360" w:lineRule="auto"/>
              <w:rPr>
                <w:color w:val="auto"/>
              </w:rPr>
            </w:pPr>
            <w:r>
              <w:rPr>
                <w:rFonts w:hint="eastAsia"/>
                <w:color w:val="auto"/>
              </w:rPr>
              <w:t>　</w:t>
            </w:r>
          </w:p>
        </w:tc>
        <w:tc>
          <w:tcPr>
            <w:tcW w:w="2368" w:type="dxa"/>
            <w:vAlign w:val="center"/>
          </w:tcPr>
          <w:p>
            <w:pPr>
              <w:spacing w:line="360" w:lineRule="auto"/>
              <w:rPr>
                <w:color w:val="auto"/>
              </w:rPr>
            </w:pPr>
            <w:r>
              <w:rPr>
                <w:rFonts w:hint="eastAsia"/>
                <w:color w:val="auto"/>
              </w:rPr>
              <w:t>　</w:t>
            </w:r>
          </w:p>
        </w:tc>
        <w:tc>
          <w:tcPr>
            <w:tcW w:w="2148" w:type="dxa"/>
            <w:vAlign w:val="center"/>
          </w:tcPr>
          <w:p>
            <w:pPr>
              <w:spacing w:line="360" w:lineRule="auto"/>
              <w:rPr>
                <w:color w:val="auto"/>
              </w:rPr>
            </w:pPr>
            <w:r>
              <w:rPr>
                <w:rFonts w:hint="eastAsia"/>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615" w:type="dxa"/>
            <w:vAlign w:val="center"/>
          </w:tcPr>
          <w:p>
            <w:pPr>
              <w:pStyle w:val="44"/>
              <w:widowControl w:val="0"/>
              <w:spacing w:line="360" w:lineRule="auto"/>
              <w:jc w:val="both"/>
              <w:rPr>
                <w:color w:val="auto"/>
              </w:rPr>
            </w:pPr>
          </w:p>
        </w:tc>
        <w:tc>
          <w:tcPr>
            <w:tcW w:w="980" w:type="dxa"/>
            <w:vAlign w:val="center"/>
          </w:tcPr>
          <w:p>
            <w:pPr>
              <w:spacing w:line="360" w:lineRule="auto"/>
              <w:rPr>
                <w:color w:val="auto"/>
              </w:rPr>
            </w:pPr>
            <w:r>
              <w:rPr>
                <w:rFonts w:hint="eastAsia"/>
                <w:color w:val="auto"/>
              </w:rPr>
              <w:t>　</w:t>
            </w:r>
          </w:p>
        </w:tc>
        <w:tc>
          <w:tcPr>
            <w:tcW w:w="2368" w:type="dxa"/>
            <w:vAlign w:val="center"/>
          </w:tcPr>
          <w:p>
            <w:pPr>
              <w:spacing w:line="360" w:lineRule="auto"/>
              <w:rPr>
                <w:color w:val="auto"/>
              </w:rPr>
            </w:pPr>
            <w:r>
              <w:rPr>
                <w:rFonts w:hint="eastAsia"/>
                <w:color w:val="auto"/>
              </w:rPr>
              <w:t>　</w:t>
            </w:r>
          </w:p>
        </w:tc>
        <w:tc>
          <w:tcPr>
            <w:tcW w:w="2148" w:type="dxa"/>
            <w:vAlign w:val="center"/>
          </w:tcPr>
          <w:p>
            <w:pPr>
              <w:spacing w:line="360" w:lineRule="auto"/>
              <w:rPr>
                <w:color w:val="auto"/>
              </w:rPr>
            </w:pPr>
            <w:r>
              <w:rPr>
                <w:rFonts w:hint="eastAsia"/>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615" w:type="dxa"/>
            <w:vAlign w:val="center"/>
          </w:tcPr>
          <w:p>
            <w:pPr>
              <w:pStyle w:val="44"/>
              <w:widowControl w:val="0"/>
              <w:spacing w:line="360" w:lineRule="auto"/>
              <w:jc w:val="both"/>
              <w:rPr>
                <w:color w:val="auto"/>
              </w:rPr>
            </w:pPr>
          </w:p>
        </w:tc>
        <w:tc>
          <w:tcPr>
            <w:tcW w:w="980" w:type="dxa"/>
            <w:vAlign w:val="center"/>
          </w:tcPr>
          <w:p>
            <w:pPr>
              <w:spacing w:line="360" w:lineRule="auto"/>
              <w:rPr>
                <w:color w:val="auto"/>
              </w:rPr>
            </w:pPr>
            <w:r>
              <w:rPr>
                <w:rFonts w:hint="eastAsia"/>
                <w:color w:val="auto"/>
              </w:rPr>
              <w:t>　</w:t>
            </w:r>
          </w:p>
        </w:tc>
        <w:tc>
          <w:tcPr>
            <w:tcW w:w="2368" w:type="dxa"/>
            <w:vAlign w:val="center"/>
          </w:tcPr>
          <w:p>
            <w:pPr>
              <w:spacing w:line="360" w:lineRule="auto"/>
              <w:rPr>
                <w:color w:val="auto"/>
              </w:rPr>
            </w:pPr>
            <w:r>
              <w:rPr>
                <w:rFonts w:hint="eastAsia"/>
                <w:color w:val="auto"/>
              </w:rPr>
              <w:t>　</w:t>
            </w:r>
          </w:p>
        </w:tc>
        <w:tc>
          <w:tcPr>
            <w:tcW w:w="2148" w:type="dxa"/>
            <w:vAlign w:val="center"/>
          </w:tcPr>
          <w:p>
            <w:pPr>
              <w:spacing w:line="360" w:lineRule="auto"/>
              <w:rPr>
                <w:color w:val="auto"/>
              </w:rPr>
            </w:pPr>
            <w:r>
              <w:rPr>
                <w:rFonts w:hint="eastAsia"/>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615" w:type="dxa"/>
            <w:vAlign w:val="center"/>
          </w:tcPr>
          <w:p>
            <w:pPr>
              <w:pStyle w:val="44"/>
              <w:widowControl w:val="0"/>
              <w:spacing w:line="360" w:lineRule="auto"/>
              <w:jc w:val="both"/>
              <w:rPr>
                <w:color w:val="auto"/>
              </w:rPr>
            </w:pPr>
          </w:p>
        </w:tc>
        <w:tc>
          <w:tcPr>
            <w:tcW w:w="980" w:type="dxa"/>
            <w:vAlign w:val="center"/>
          </w:tcPr>
          <w:p>
            <w:pPr>
              <w:spacing w:line="360" w:lineRule="auto"/>
              <w:rPr>
                <w:color w:val="auto"/>
              </w:rPr>
            </w:pPr>
            <w:r>
              <w:rPr>
                <w:rFonts w:hint="eastAsia"/>
                <w:color w:val="auto"/>
              </w:rPr>
              <w:t>　</w:t>
            </w:r>
          </w:p>
        </w:tc>
        <w:tc>
          <w:tcPr>
            <w:tcW w:w="2368" w:type="dxa"/>
            <w:vAlign w:val="center"/>
          </w:tcPr>
          <w:p>
            <w:pPr>
              <w:spacing w:line="360" w:lineRule="auto"/>
              <w:rPr>
                <w:color w:val="auto"/>
              </w:rPr>
            </w:pPr>
            <w:r>
              <w:rPr>
                <w:rFonts w:hint="eastAsia"/>
                <w:color w:val="auto"/>
              </w:rPr>
              <w:t>　</w:t>
            </w:r>
          </w:p>
        </w:tc>
        <w:tc>
          <w:tcPr>
            <w:tcW w:w="2148" w:type="dxa"/>
            <w:vAlign w:val="center"/>
          </w:tcPr>
          <w:p>
            <w:pPr>
              <w:spacing w:line="360" w:lineRule="auto"/>
              <w:rPr>
                <w:color w:val="auto"/>
              </w:rPr>
            </w:pPr>
            <w:r>
              <w:rPr>
                <w:rFonts w:hint="eastAsia"/>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615" w:type="dxa"/>
            <w:vAlign w:val="center"/>
          </w:tcPr>
          <w:p>
            <w:pPr>
              <w:pStyle w:val="44"/>
              <w:widowControl w:val="0"/>
              <w:spacing w:line="360" w:lineRule="auto"/>
              <w:jc w:val="both"/>
              <w:rPr>
                <w:color w:val="auto"/>
              </w:rPr>
            </w:pPr>
          </w:p>
        </w:tc>
        <w:tc>
          <w:tcPr>
            <w:tcW w:w="980" w:type="dxa"/>
            <w:vAlign w:val="center"/>
          </w:tcPr>
          <w:p>
            <w:pPr>
              <w:spacing w:line="360" w:lineRule="auto"/>
              <w:rPr>
                <w:color w:val="auto"/>
              </w:rPr>
            </w:pPr>
            <w:r>
              <w:rPr>
                <w:rFonts w:hint="eastAsia"/>
                <w:color w:val="auto"/>
              </w:rPr>
              <w:t>　</w:t>
            </w:r>
          </w:p>
        </w:tc>
        <w:tc>
          <w:tcPr>
            <w:tcW w:w="2368" w:type="dxa"/>
            <w:vAlign w:val="center"/>
          </w:tcPr>
          <w:p>
            <w:pPr>
              <w:spacing w:line="360" w:lineRule="auto"/>
              <w:rPr>
                <w:color w:val="auto"/>
              </w:rPr>
            </w:pPr>
            <w:r>
              <w:rPr>
                <w:rFonts w:hint="eastAsia"/>
                <w:color w:val="auto"/>
              </w:rPr>
              <w:t>　</w:t>
            </w:r>
          </w:p>
        </w:tc>
        <w:tc>
          <w:tcPr>
            <w:tcW w:w="2148" w:type="dxa"/>
            <w:vAlign w:val="center"/>
          </w:tcPr>
          <w:p>
            <w:pPr>
              <w:spacing w:line="360" w:lineRule="auto"/>
              <w:rPr>
                <w:color w:val="auto"/>
              </w:rPr>
            </w:pPr>
            <w:r>
              <w:rPr>
                <w:rFonts w:hint="eastAsia"/>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615" w:type="dxa"/>
            <w:vAlign w:val="center"/>
          </w:tcPr>
          <w:p>
            <w:pPr>
              <w:pStyle w:val="44"/>
              <w:widowControl w:val="0"/>
              <w:spacing w:line="360" w:lineRule="auto"/>
              <w:jc w:val="both"/>
              <w:rPr>
                <w:color w:val="auto"/>
              </w:rPr>
            </w:pPr>
          </w:p>
        </w:tc>
        <w:tc>
          <w:tcPr>
            <w:tcW w:w="980" w:type="dxa"/>
            <w:vAlign w:val="center"/>
          </w:tcPr>
          <w:p>
            <w:pPr>
              <w:spacing w:line="360" w:lineRule="auto"/>
              <w:rPr>
                <w:color w:val="auto"/>
              </w:rPr>
            </w:pPr>
            <w:r>
              <w:rPr>
                <w:rFonts w:hint="eastAsia"/>
                <w:color w:val="auto"/>
              </w:rPr>
              <w:t>　</w:t>
            </w:r>
          </w:p>
        </w:tc>
        <w:tc>
          <w:tcPr>
            <w:tcW w:w="2368" w:type="dxa"/>
            <w:vAlign w:val="center"/>
          </w:tcPr>
          <w:p>
            <w:pPr>
              <w:spacing w:line="360" w:lineRule="auto"/>
              <w:rPr>
                <w:color w:val="auto"/>
              </w:rPr>
            </w:pPr>
            <w:r>
              <w:rPr>
                <w:rFonts w:hint="eastAsia"/>
                <w:color w:val="auto"/>
              </w:rPr>
              <w:t>　</w:t>
            </w:r>
          </w:p>
        </w:tc>
        <w:tc>
          <w:tcPr>
            <w:tcW w:w="2148" w:type="dxa"/>
            <w:vAlign w:val="center"/>
          </w:tcPr>
          <w:p>
            <w:pPr>
              <w:spacing w:line="360" w:lineRule="auto"/>
              <w:rPr>
                <w:color w:val="auto"/>
              </w:rPr>
            </w:pPr>
            <w:r>
              <w:rPr>
                <w:rFonts w:hint="eastAsia"/>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615" w:type="dxa"/>
            <w:vAlign w:val="center"/>
          </w:tcPr>
          <w:p>
            <w:pPr>
              <w:spacing w:line="360" w:lineRule="auto"/>
              <w:rPr>
                <w:color w:val="auto"/>
              </w:rPr>
            </w:pPr>
          </w:p>
        </w:tc>
        <w:tc>
          <w:tcPr>
            <w:tcW w:w="980" w:type="dxa"/>
            <w:vAlign w:val="center"/>
          </w:tcPr>
          <w:p>
            <w:pPr>
              <w:spacing w:line="360" w:lineRule="auto"/>
              <w:rPr>
                <w:color w:val="auto"/>
              </w:rPr>
            </w:pPr>
            <w:r>
              <w:rPr>
                <w:rFonts w:hint="eastAsia"/>
                <w:color w:val="auto"/>
              </w:rPr>
              <w:t>　</w:t>
            </w:r>
          </w:p>
        </w:tc>
        <w:tc>
          <w:tcPr>
            <w:tcW w:w="2368" w:type="dxa"/>
            <w:vAlign w:val="center"/>
          </w:tcPr>
          <w:p>
            <w:pPr>
              <w:spacing w:line="360" w:lineRule="auto"/>
              <w:rPr>
                <w:color w:val="auto"/>
              </w:rPr>
            </w:pPr>
            <w:r>
              <w:rPr>
                <w:rFonts w:hint="eastAsia"/>
                <w:color w:val="auto"/>
              </w:rPr>
              <w:t>　</w:t>
            </w:r>
          </w:p>
        </w:tc>
        <w:tc>
          <w:tcPr>
            <w:tcW w:w="2148" w:type="dxa"/>
            <w:vAlign w:val="center"/>
          </w:tcPr>
          <w:p>
            <w:pPr>
              <w:spacing w:line="360" w:lineRule="auto"/>
              <w:rPr>
                <w:color w:val="auto"/>
              </w:rPr>
            </w:pPr>
            <w:r>
              <w:rPr>
                <w:rFonts w:hint="eastAsia"/>
                <w:color w:val="auto"/>
              </w:rPr>
              <w:t>　</w:t>
            </w:r>
          </w:p>
        </w:tc>
      </w:tr>
    </w:tbl>
    <w:p>
      <w:pPr>
        <w:rPr>
          <w:color w:val="auto"/>
        </w:rPr>
      </w:pPr>
    </w:p>
    <w:p>
      <w:pPr>
        <w:rPr>
          <w:color w:val="auto"/>
        </w:rPr>
      </w:pPr>
    </w:p>
    <w:p>
      <w:pPr>
        <w:widowControl/>
        <w:jc w:val="left"/>
        <w:rPr>
          <w:rFonts w:ascii="宋体" w:hAnsi="宋体" w:cs="宋体"/>
          <w:color w:val="auto"/>
          <w:spacing w:val="10"/>
          <w:sz w:val="43"/>
          <w:szCs w:val="43"/>
        </w:rPr>
      </w:pPr>
      <w:r>
        <w:rPr>
          <w:rFonts w:ascii="宋体" w:hAnsi="宋体" w:cs="宋体"/>
          <w:color w:val="auto"/>
          <w:spacing w:val="10"/>
          <w:sz w:val="43"/>
          <w:szCs w:val="43"/>
        </w:rPr>
        <w:br w:type="page"/>
      </w:r>
    </w:p>
    <w:p>
      <w:pPr>
        <w:spacing w:before="139" w:line="222" w:lineRule="auto"/>
        <w:jc w:val="center"/>
        <w:outlineLvl w:val="0"/>
        <w:rPr>
          <w:rFonts w:ascii="宋体" w:hAnsi="宋体" w:cs="宋体"/>
          <w:color w:val="auto"/>
          <w:spacing w:val="10"/>
          <w:sz w:val="43"/>
          <w:szCs w:val="43"/>
        </w:rPr>
      </w:pPr>
      <w:r>
        <w:rPr>
          <w:rFonts w:hint="eastAsia" w:ascii="宋体" w:hAnsi="宋体" w:cs="宋体"/>
          <w:color w:val="auto"/>
          <w:spacing w:val="10"/>
          <w:sz w:val="43"/>
          <w:szCs w:val="43"/>
        </w:rPr>
        <w:t xml:space="preserve">第五章 </w:t>
      </w:r>
      <w:r>
        <w:rPr>
          <w:rFonts w:ascii="宋体" w:hAnsi="宋体" w:cs="宋体"/>
          <w:color w:val="auto"/>
          <w:spacing w:val="10"/>
          <w:sz w:val="43"/>
          <w:szCs w:val="43"/>
        </w:rPr>
        <w:t>技术要求</w:t>
      </w:r>
      <w:bookmarkEnd w:id="634"/>
    </w:p>
    <w:p>
      <w:pPr>
        <w:spacing w:line="250" w:lineRule="auto"/>
        <w:rPr>
          <w:color w:val="auto"/>
        </w:rPr>
      </w:pPr>
    </w:p>
    <w:p>
      <w:pPr>
        <w:topLinePunct/>
        <w:spacing w:line="360" w:lineRule="auto"/>
        <w:ind w:firstLine="422" w:firstLineChars="200"/>
        <w:outlineLvl w:val="0"/>
        <w:rPr>
          <w:rFonts w:ascii="宋体" w:hAnsi="宋体" w:cs="宋体"/>
          <w:color w:val="auto"/>
        </w:rPr>
      </w:pPr>
      <w:bookmarkStart w:id="758" w:name="_Toc18587"/>
      <w:bookmarkStart w:id="759" w:name="_Toc18876"/>
      <w:r>
        <w:rPr>
          <w:rFonts w:hint="eastAsia" w:ascii="宋体" w:hAnsi="宋体" w:cs="宋体"/>
          <w:b/>
          <w:bCs/>
          <w:color w:val="auto"/>
        </w:rPr>
        <w:t>1.</w:t>
      </w:r>
      <w:r>
        <w:rPr>
          <w:rFonts w:hint="eastAsia" w:ascii="宋体" w:hAnsi="宋体" w:cs="宋体"/>
          <w:color w:val="auto"/>
        </w:rPr>
        <w:t>受托人的义务</w:t>
      </w:r>
      <w:bookmarkEnd w:id="758"/>
      <w:bookmarkEnd w:id="759"/>
    </w:p>
    <w:p>
      <w:pPr>
        <w:topLinePunct/>
        <w:spacing w:line="360" w:lineRule="auto"/>
        <w:ind w:firstLine="420" w:firstLineChars="200"/>
        <w:rPr>
          <w:rFonts w:ascii="宋体" w:hAnsi="宋体" w:cs="宋体"/>
          <w:color w:val="auto"/>
        </w:rPr>
      </w:pPr>
      <w:r>
        <w:rPr>
          <w:rFonts w:hint="eastAsia" w:ascii="宋体" w:hAnsi="宋体" w:cs="宋体"/>
          <w:color w:val="auto"/>
        </w:rPr>
        <w:t>1.1 造价咨询的范围和工作要求</w:t>
      </w:r>
    </w:p>
    <w:p>
      <w:pPr>
        <w:topLinePunct/>
        <w:spacing w:line="360" w:lineRule="auto"/>
        <w:ind w:firstLine="420" w:firstLineChars="200"/>
        <w:rPr>
          <w:rFonts w:ascii="宋体" w:hAnsi="宋体" w:cs="宋体"/>
          <w:color w:val="auto"/>
        </w:rPr>
      </w:pPr>
      <w:r>
        <w:rPr>
          <w:rFonts w:hint="eastAsia" w:ascii="宋体" w:hAnsi="宋体" w:cs="宋体"/>
          <w:color w:val="auto"/>
        </w:rPr>
        <w:t xml:space="preserve">1.1.1 造价咨询的范围： </w:t>
      </w:r>
    </w:p>
    <w:p>
      <w:pPr>
        <w:topLinePunct/>
        <w:spacing w:line="360" w:lineRule="auto"/>
        <w:ind w:firstLine="420" w:firstLineChars="200"/>
        <w:rPr>
          <w:rFonts w:ascii="宋体" w:hAnsi="宋体" w:cs="宋体"/>
          <w:color w:val="auto"/>
        </w:rPr>
      </w:pPr>
      <w:r>
        <w:rPr>
          <w:rFonts w:hint="eastAsia" w:ascii="宋体" w:hAnsi="宋体" w:cs="宋体"/>
          <w:color w:val="auto"/>
        </w:rPr>
        <w:t>施工过程造价控制：</w:t>
      </w:r>
    </w:p>
    <w:p>
      <w:pPr>
        <w:topLinePunct/>
        <w:spacing w:line="360" w:lineRule="auto"/>
        <w:ind w:firstLine="420" w:firstLineChars="200"/>
        <w:rPr>
          <w:rFonts w:ascii="宋体" w:hAnsi="宋体" w:cs="宋体"/>
          <w:color w:val="auto"/>
        </w:rPr>
      </w:pPr>
      <w:r>
        <w:rPr>
          <w:rFonts w:hint="eastAsia" w:ascii="宋体" w:hAnsi="宋体" w:cs="宋体"/>
          <w:color w:val="auto"/>
          <w:szCs w:val="21"/>
        </w:rPr>
        <w:t>①参加图纸会审并提出意见和建议。②对工程所需的人工、材料、设备及时提供价格信息并提出审计意见和建议。③参加与项目造价控制相关的会议并发表审计意见。④驻场服务、现场踏勘、计量复核，对材料及设备的品牌、型号、规格及价格使用前参与市场询价及调研，对工程造价进行审核，控制工程款支付。⑤对项目实施过程中所发生的设计变更费用、洽商签证费用、索赔费用、工程预付款、工程进度款的支付进行审查，审查所发生的费用依据是否充分、工程量是否准确、手续是否完备、费用计取和支付是否合理，并发表审计意见。分析由此发生的造价原因并出具造价控制动态分析报告。⑥发生索赔时，依据签订的工程合同、会议纪要、工程索赔事项确认资料、现场工作记录等文件，审计索赔事项是否存在和索赔费用的合理性，对索赔费用进行审核并出具书面意见。⑦参与工程相关项目验收。⑧收集现场跟踪的相关结算资料。</w:t>
      </w:r>
    </w:p>
    <w:p>
      <w:pPr>
        <w:topLinePunct/>
        <w:spacing w:line="360" w:lineRule="auto"/>
        <w:ind w:firstLine="420" w:firstLineChars="200"/>
        <w:rPr>
          <w:rFonts w:ascii="宋体" w:hAnsi="宋体" w:cs="宋体"/>
          <w:color w:val="auto"/>
        </w:rPr>
      </w:pPr>
      <w:r>
        <w:rPr>
          <w:rFonts w:hint="eastAsia" w:ascii="宋体" w:hAnsi="宋体" w:cs="宋体"/>
          <w:color w:val="auto"/>
          <w:u w:val="single"/>
        </w:rPr>
        <w:t>工程竣工结算审核：</w:t>
      </w:r>
    </w:p>
    <w:p>
      <w:pPr>
        <w:topLinePunct/>
        <w:spacing w:line="360" w:lineRule="auto"/>
        <w:ind w:firstLine="420" w:firstLineChars="200"/>
        <w:rPr>
          <w:rFonts w:ascii="宋体" w:hAnsi="宋体" w:cs="宋体"/>
          <w:color w:val="auto"/>
        </w:rPr>
      </w:pPr>
      <w:r>
        <w:rPr>
          <w:rFonts w:hint="eastAsia" w:ascii="宋体" w:hAnsi="宋体" w:cs="宋体"/>
          <w:color w:val="auto"/>
          <w:u w:val="single"/>
        </w:rPr>
        <w:t xml:space="preserve">①根据工程合同相应的建设工程法律、法规、标准规范与计价表、施工合同、施工图纸、现场发生的各项有效证明等，审核工程造价； </w:t>
      </w:r>
    </w:p>
    <w:p>
      <w:pPr>
        <w:topLinePunct/>
        <w:spacing w:line="360" w:lineRule="auto"/>
        <w:ind w:firstLine="420" w:firstLineChars="200"/>
        <w:rPr>
          <w:rFonts w:ascii="宋体" w:hAnsi="宋体" w:cs="宋体"/>
          <w:color w:val="auto"/>
        </w:rPr>
      </w:pPr>
      <w:r>
        <w:rPr>
          <w:rFonts w:hint="eastAsia" w:ascii="宋体" w:hAnsi="宋体" w:cs="宋体"/>
          <w:color w:val="auto"/>
          <w:u w:val="single"/>
        </w:rPr>
        <w:t xml:space="preserve">②现场踏勘、计量复核； </w:t>
      </w:r>
    </w:p>
    <w:p>
      <w:pPr>
        <w:topLinePunct/>
        <w:spacing w:line="360" w:lineRule="auto"/>
        <w:ind w:firstLine="420" w:firstLineChars="200"/>
        <w:rPr>
          <w:rFonts w:ascii="宋体" w:hAnsi="宋体" w:cs="宋体"/>
          <w:color w:val="auto"/>
        </w:rPr>
      </w:pPr>
      <w:r>
        <w:rPr>
          <w:rFonts w:hint="eastAsia" w:ascii="宋体" w:hAnsi="宋体" w:cs="宋体"/>
          <w:color w:val="auto"/>
          <w:u w:val="single"/>
        </w:rPr>
        <w:t xml:space="preserve">③工程量、工程要素价格及各类项目费用审核确定； </w:t>
      </w:r>
    </w:p>
    <w:p>
      <w:pPr>
        <w:topLinePunct/>
        <w:spacing w:line="360" w:lineRule="auto"/>
        <w:ind w:firstLine="420" w:firstLineChars="200"/>
        <w:rPr>
          <w:rFonts w:ascii="宋体" w:hAnsi="宋体" w:cs="宋体"/>
          <w:color w:val="auto"/>
        </w:rPr>
      </w:pPr>
      <w:r>
        <w:rPr>
          <w:rFonts w:hint="eastAsia" w:ascii="宋体" w:hAnsi="宋体" w:cs="宋体"/>
          <w:color w:val="auto"/>
          <w:u w:val="single"/>
        </w:rPr>
        <w:t xml:space="preserve">④编制工程结算审核报告； </w:t>
      </w:r>
    </w:p>
    <w:p>
      <w:pPr>
        <w:topLinePunct/>
        <w:spacing w:line="360" w:lineRule="auto"/>
        <w:ind w:firstLine="420" w:firstLineChars="200"/>
        <w:rPr>
          <w:rFonts w:ascii="宋体" w:hAnsi="宋体" w:cs="宋体"/>
          <w:color w:val="auto"/>
        </w:rPr>
      </w:pPr>
      <w:r>
        <w:rPr>
          <w:rFonts w:hint="eastAsia" w:ascii="宋体" w:hAnsi="宋体" w:cs="宋体"/>
          <w:color w:val="auto"/>
          <w:u w:val="single"/>
        </w:rPr>
        <w:t xml:space="preserve">⑤配合政府部门对本项目的最终审计。 </w:t>
      </w:r>
    </w:p>
    <w:p>
      <w:pPr>
        <w:topLinePunct/>
        <w:spacing w:line="360" w:lineRule="auto"/>
        <w:ind w:firstLine="420" w:firstLineChars="200"/>
        <w:rPr>
          <w:rFonts w:ascii="宋体" w:hAnsi="宋体" w:cs="宋体"/>
          <w:color w:val="auto"/>
        </w:rPr>
      </w:pPr>
      <w:r>
        <w:rPr>
          <w:rFonts w:hint="eastAsia" w:ascii="宋体" w:hAnsi="宋体" w:cs="宋体"/>
          <w:color w:val="auto"/>
        </w:rPr>
        <w:t>1.1.2 造价咨询的工作要求</w:t>
      </w:r>
    </w:p>
    <w:p>
      <w:pPr>
        <w:topLinePunct/>
        <w:spacing w:line="360" w:lineRule="auto"/>
        <w:ind w:firstLine="420" w:firstLineChars="200"/>
        <w:rPr>
          <w:rFonts w:ascii="宋体" w:hAnsi="宋体" w:cs="宋体"/>
          <w:color w:val="auto"/>
        </w:rPr>
      </w:pPr>
      <w:r>
        <w:rPr>
          <w:rFonts w:hint="eastAsia" w:ascii="宋体" w:hAnsi="宋体" w:cs="宋体"/>
          <w:color w:val="auto"/>
        </w:rPr>
        <w:t>（1）受托人应当及时向委托人提供与工程造价咨询业务有关的资料，包括承担本合同</w:t>
      </w:r>
    </w:p>
    <w:p>
      <w:pPr>
        <w:topLinePunct/>
        <w:spacing w:line="360" w:lineRule="auto"/>
        <w:ind w:firstLine="420" w:firstLineChars="200"/>
        <w:rPr>
          <w:rFonts w:ascii="宋体" w:hAnsi="宋体" w:cs="宋体"/>
          <w:color w:val="auto"/>
        </w:rPr>
      </w:pPr>
      <w:r>
        <w:rPr>
          <w:rFonts w:hint="eastAsia" w:ascii="宋体" w:hAnsi="宋体" w:cs="宋体"/>
          <w:color w:val="auto"/>
        </w:rPr>
        <w:t>业务的团队人员名单及执业（从业）资格证书、咨询工作大纲等，并按合同约定的服务范围 和工作内容实施咨询业务。</w:t>
      </w:r>
    </w:p>
    <w:p>
      <w:pPr>
        <w:topLinePunct/>
        <w:spacing w:line="360" w:lineRule="auto"/>
        <w:ind w:firstLine="420" w:firstLineChars="200"/>
        <w:rPr>
          <w:rFonts w:ascii="宋体" w:hAnsi="宋体" w:cs="宋体"/>
          <w:color w:val="auto"/>
        </w:rPr>
      </w:pPr>
      <w:r>
        <w:rPr>
          <w:rFonts w:hint="eastAsia" w:ascii="宋体" w:hAnsi="宋体" w:cs="宋体"/>
          <w:color w:val="auto"/>
        </w:rPr>
        <w:t>（2）受托人应当按照附件 9 约定的时间、份数、组成向委托人提交咨询成果文件。</w:t>
      </w:r>
    </w:p>
    <w:p>
      <w:pPr>
        <w:topLinePunct/>
        <w:spacing w:line="360" w:lineRule="auto"/>
        <w:ind w:firstLine="420" w:firstLineChars="200"/>
        <w:rPr>
          <w:rFonts w:ascii="宋体" w:hAnsi="宋体" w:cs="宋体"/>
          <w:color w:val="auto"/>
        </w:rPr>
      </w:pPr>
      <w:r>
        <w:rPr>
          <w:rFonts w:hint="eastAsia" w:ascii="宋体" w:hAnsi="宋体" w:cs="宋体"/>
          <w:color w:val="auto"/>
        </w:rPr>
        <w:t>受托人提供造价咨询服务以及出具工程造价咨询成果文件应符合现行国家或行业有关 规定、标准、规范的要求。</w:t>
      </w:r>
    </w:p>
    <w:p>
      <w:pPr>
        <w:topLinePunct/>
        <w:spacing w:line="360" w:lineRule="auto"/>
        <w:ind w:firstLine="420" w:firstLineChars="200"/>
        <w:rPr>
          <w:rFonts w:ascii="宋体" w:hAnsi="宋体" w:cs="宋体"/>
          <w:color w:val="auto"/>
        </w:rPr>
      </w:pPr>
      <w:r>
        <w:rPr>
          <w:rFonts w:hint="eastAsia" w:ascii="宋体" w:hAnsi="宋体" w:cs="宋体"/>
          <w:color w:val="auto"/>
        </w:rPr>
        <w:t>委托人要求的工程造价咨询成果质量标准：</w:t>
      </w:r>
      <w:r>
        <w:rPr>
          <w:rFonts w:hint="eastAsia" w:ascii="宋体" w:hAnsi="宋体" w:cs="宋体"/>
          <w:color w:val="auto"/>
          <w:u w:val="single"/>
        </w:rPr>
        <w:t xml:space="preserve">符合现行国家法律、法规、行业标准与规范以及工程所在地地方法规及规范性文件。 </w:t>
      </w:r>
    </w:p>
    <w:p>
      <w:pPr>
        <w:topLinePunct/>
        <w:spacing w:line="360" w:lineRule="auto"/>
        <w:ind w:firstLine="420" w:firstLineChars="200"/>
        <w:rPr>
          <w:rFonts w:ascii="宋体" w:hAnsi="宋体" w:cs="宋体"/>
          <w:color w:val="auto"/>
        </w:rPr>
      </w:pPr>
      <w:r>
        <w:rPr>
          <w:rFonts w:hint="eastAsia" w:ascii="宋体" w:hAnsi="宋体" w:cs="宋体"/>
          <w:color w:val="auto"/>
        </w:rPr>
        <w:t>（3）受托人提交的工程造价咨询成果文件，除加盖受托人单位公章、工程造价咨询企 业执业印章外，还必须按要求加盖参加咨询工作人员的执业（从业）资格印章。</w:t>
      </w:r>
    </w:p>
    <w:p>
      <w:pPr>
        <w:topLinePunct/>
        <w:spacing w:line="360" w:lineRule="auto"/>
        <w:ind w:firstLine="420" w:firstLineChars="200"/>
        <w:rPr>
          <w:rFonts w:ascii="宋体" w:hAnsi="宋体" w:cs="宋体"/>
          <w:color w:val="auto"/>
        </w:rPr>
      </w:pPr>
      <w:r>
        <w:rPr>
          <w:rFonts w:hint="eastAsia" w:ascii="宋体" w:hAnsi="宋体" w:cs="宋体"/>
          <w:color w:val="auto"/>
        </w:rPr>
        <w:t>（4）受托人应在双方约定的时间内，对委托人以书面形式提出的建议或者异议给予书 面答复。</w:t>
      </w:r>
    </w:p>
    <w:p>
      <w:pPr>
        <w:topLinePunct/>
        <w:spacing w:line="360" w:lineRule="auto"/>
        <w:ind w:firstLine="420" w:firstLineChars="200"/>
        <w:rPr>
          <w:rFonts w:ascii="宋体" w:hAnsi="宋体" w:cs="宋体"/>
          <w:color w:val="auto"/>
        </w:rPr>
      </w:pPr>
      <w:r>
        <w:rPr>
          <w:rFonts w:hint="eastAsia" w:ascii="宋体" w:hAnsi="宋体" w:cs="宋体"/>
          <w:color w:val="auto"/>
        </w:rPr>
        <w:t>（5）受托人从事工程造价咨询活动，应当遵循独立、客观、公正、诚实信用的原则， 不得损害社会公共利益和他人的合法权益。</w:t>
      </w:r>
    </w:p>
    <w:p>
      <w:pPr>
        <w:topLinePunct/>
        <w:spacing w:line="360" w:lineRule="auto"/>
        <w:ind w:firstLine="420" w:firstLineChars="200"/>
        <w:rPr>
          <w:rFonts w:ascii="宋体" w:hAnsi="宋体" w:cs="宋体"/>
          <w:color w:val="auto"/>
        </w:rPr>
      </w:pPr>
      <w:r>
        <w:rPr>
          <w:rFonts w:hint="eastAsia" w:ascii="宋体" w:hAnsi="宋体" w:cs="宋体"/>
          <w:color w:val="auto"/>
        </w:rPr>
        <w:t>（6）受托人按照法律规定及合同约定，完成合同范围内的建设工程造价咨询服务，不</w:t>
      </w:r>
    </w:p>
    <w:p>
      <w:pPr>
        <w:topLinePunct/>
        <w:spacing w:line="360" w:lineRule="auto"/>
        <w:ind w:firstLine="420" w:firstLineChars="200"/>
        <w:rPr>
          <w:rFonts w:ascii="宋体" w:hAnsi="宋体" w:cs="宋体"/>
          <w:color w:val="auto"/>
        </w:rPr>
      </w:pPr>
      <w:r>
        <w:rPr>
          <w:rFonts w:hint="eastAsia" w:ascii="宋体" w:hAnsi="宋体" w:cs="宋体"/>
          <w:color w:val="auto"/>
        </w:rPr>
        <w:t>转包承接的造价咨询服务业务。</w:t>
      </w:r>
    </w:p>
    <w:p>
      <w:pPr>
        <w:topLinePunct/>
        <w:spacing w:line="360" w:lineRule="auto"/>
        <w:ind w:firstLine="420" w:firstLineChars="200"/>
        <w:rPr>
          <w:rFonts w:ascii="宋体" w:hAnsi="宋体" w:cs="宋体"/>
          <w:color w:val="auto"/>
        </w:rPr>
      </w:pPr>
      <w:r>
        <w:rPr>
          <w:rFonts w:hint="eastAsia" w:ascii="宋体" w:hAnsi="宋体" w:cs="宋体"/>
          <w:color w:val="auto"/>
        </w:rPr>
        <w:t>1.2 造价咨询工作依据</w:t>
      </w:r>
    </w:p>
    <w:p>
      <w:pPr>
        <w:topLinePunct/>
        <w:spacing w:line="360" w:lineRule="auto"/>
        <w:ind w:firstLine="420" w:firstLineChars="200"/>
        <w:rPr>
          <w:rFonts w:ascii="宋体" w:hAnsi="宋体" w:cs="宋体"/>
          <w:color w:val="auto"/>
        </w:rPr>
      </w:pPr>
      <w:r>
        <w:rPr>
          <w:rFonts w:hint="eastAsia" w:ascii="宋体" w:hAnsi="宋体" w:cs="宋体"/>
          <w:color w:val="auto"/>
        </w:rPr>
        <w:t>1.2.1 依据包括：</w:t>
      </w:r>
    </w:p>
    <w:p>
      <w:pPr>
        <w:topLinePunct/>
        <w:spacing w:line="360" w:lineRule="auto"/>
        <w:ind w:firstLine="420" w:firstLineChars="200"/>
        <w:rPr>
          <w:rFonts w:ascii="宋体" w:hAnsi="宋体" w:cs="宋体"/>
          <w:color w:val="auto"/>
        </w:rPr>
      </w:pPr>
      <w:r>
        <w:rPr>
          <w:rFonts w:hint="eastAsia" w:ascii="宋体" w:hAnsi="宋体" w:cs="宋体"/>
          <w:color w:val="auto"/>
        </w:rPr>
        <w:t>受托人应与委托人协商明确履行本合同约定的咨询服务需要适用的技术标准、规范、定 额等工作依据，但不得违反国家及工程所在地的强制性标准、规范。</w:t>
      </w:r>
    </w:p>
    <w:p>
      <w:pPr>
        <w:topLinePunct/>
        <w:spacing w:line="360" w:lineRule="auto"/>
        <w:ind w:firstLine="420" w:firstLineChars="200"/>
        <w:rPr>
          <w:rFonts w:ascii="宋体" w:hAnsi="宋体" w:cs="宋体"/>
          <w:color w:val="auto"/>
        </w:rPr>
      </w:pPr>
      <w:r>
        <w:rPr>
          <w:rFonts w:hint="eastAsia" w:ascii="宋体" w:hAnsi="宋体" w:cs="宋体"/>
          <w:color w:val="auto"/>
        </w:rPr>
        <w:t>受托人应自行配备本条所述的技术标准、规范、定额等相关资料。需要委托人协助才能 获得的资料，委托人应予以协助。</w:t>
      </w:r>
    </w:p>
    <w:p>
      <w:pPr>
        <w:spacing w:line="328" w:lineRule="auto"/>
        <w:rPr>
          <w:color w:val="auto"/>
        </w:rPr>
      </w:pPr>
    </w:p>
    <w:p>
      <w:pPr>
        <w:pStyle w:val="3"/>
        <w:spacing w:before="0" w:after="0" w:line="360" w:lineRule="auto"/>
        <w:rPr>
          <w:rFonts w:ascii="宋体" w:hAnsi="宋体"/>
          <w:color w:val="auto"/>
        </w:rPr>
      </w:pPr>
      <w:r>
        <w:rPr>
          <w:b w:val="0"/>
          <w:bCs w:val="0"/>
          <w:color w:val="auto"/>
          <w:kern w:val="2"/>
          <w:sz w:val="21"/>
          <w:szCs w:val="24"/>
        </w:rPr>
        <w:br w:type="page"/>
      </w:r>
      <w:r>
        <w:rPr>
          <w:rFonts w:hint="eastAsia" w:ascii="宋体" w:hAnsi="宋体"/>
          <w:color w:val="auto"/>
        </w:rPr>
        <w:t>第六章  投标文件格式</w:t>
      </w:r>
      <w:bookmarkEnd w:id="418"/>
      <w:bookmarkEnd w:id="419"/>
      <w:bookmarkEnd w:id="420"/>
    </w:p>
    <w:p>
      <w:pPr>
        <w:autoSpaceDE w:val="0"/>
        <w:autoSpaceDN w:val="0"/>
        <w:adjustRightInd w:val="0"/>
        <w:spacing w:line="480" w:lineRule="atLeast"/>
        <w:ind w:firstLine="480" w:firstLineChars="200"/>
        <w:rPr>
          <w:rFonts w:ascii="宋体" w:hAnsi="宋体" w:cs="宋体"/>
          <w:color w:val="auto"/>
          <w:kern w:val="0"/>
          <w:sz w:val="24"/>
        </w:rPr>
      </w:pPr>
      <w:r>
        <w:rPr>
          <w:rFonts w:hint="eastAsia" w:ascii="宋体" w:hAnsi="宋体" w:cs="宋体"/>
          <w:color w:val="auto"/>
          <w:kern w:val="0"/>
          <w:sz w:val="24"/>
        </w:rPr>
        <w:t>（本章仅提供有格式要求的材料模版，具体投标文件组成不限于以下材料，投标人需按“投标人须知”章节中“投标文件”的具体要求编制投标文件）</w:t>
      </w:r>
    </w:p>
    <w:p>
      <w:pPr>
        <w:spacing w:before="177" w:line="227" w:lineRule="auto"/>
        <w:ind w:firstLine="52"/>
        <w:rPr>
          <w:rFonts w:ascii="黑体" w:hAnsi="黑体" w:eastAsia="黑体" w:cs="黑体"/>
          <w:color w:val="auto"/>
          <w:sz w:val="31"/>
          <w:szCs w:val="31"/>
        </w:rPr>
      </w:pPr>
      <w:r>
        <w:rPr>
          <w:rFonts w:ascii="宋体" w:hAnsi="宋体" w:cs="宋体"/>
          <w:color w:val="auto"/>
          <w:sz w:val="24"/>
        </w:rPr>
        <w:br w:type="page"/>
      </w:r>
      <w:r>
        <w:rPr>
          <w:rFonts w:ascii="宋体" w:hAnsi="宋体" w:cs="宋体"/>
          <w:color w:val="auto"/>
          <w:spacing w:val="4"/>
          <w:sz w:val="31"/>
          <w:szCs w:val="31"/>
        </w:rPr>
        <w:t>1.</w:t>
      </w:r>
      <w:r>
        <w:rPr>
          <w:rFonts w:ascii="黑体" w:hAnsi="黑体" w:eastAsia="黑体" w:cs="黑体"/>
          <w:color w:val="auto"/>
          <w:spacing w:val="6"/>
          <w:sz w:val="31"/>
          <w:szCs w:val="31"/>
        </w:rPr>
        <w:t>投标文件封面</w:t>
      </w:r>
      <w:r>
        <w:rPr>
          <w:rFonts w:ascii="黑体" w:hAnsi="黑体" w:eastAsia="黑体" w:cs="黑体"/>
          <w:color w:val="auto"/>
          <w:spacing w:val="7"/>
          <w:sz w:val="31"/>
          <w:szCs w:val="31"/>
        </w:rPr>
        <w:t>、</w:t>
      </w:r>
      <w:r>
        <w:rPr>
          <w:rFonts w:ascii="黑体" w:hAnsi="黑体" w:eastAsia="黑体" w:cs="黑体"/>
          <w:color w:val="auto"/>
          <w:spacing w:val="6"/>
          <w:sz w:val="31"/>
          <w:szCs w:val="31"/>
        </w:rPr>
        <w:t>目录</w:t>
      </w:r>
    </w:p>
    <w:p>
      <w:pPr>
        <w:spacing w:line="272" w:lineRule="auto"/>
        <w:rPr>
          <w:color w:val="auto"/>
        </w:rPr>
      </w:pPr>
    </w:p>
    <w:p>
      <w:pPr>
        <w:spacing w:line="272" w:lineRule="auto"/>
        <w:rPr>
          <w:color w:val="auto"/>
        </w:rPr>
      </w:pPr>
    </w:p>
    <w:p>
      <w:pPr>
        <w:spacing w:before="65" w:line="228" w:lineRule="auto"/>
        <w:ind w:firstLine="40"/>
        <w:rPr>
          <w:rFonts w:ascii="宋体" w:hAnsi="宋体" w:cs="宋体"/>
          <w:color w:val="auto"/>
          <w:sz w:val="24"/>
        </w:rPr>
      </w:pPr>
      <w:r>
        <w:rPr>
          <w:rFonts w:ascii="宋体" w:hAnsi="宋体" w:cs="宋体"/>
          <w:color w:val="auto"/>
          <w:spacing w:val="3"/>
          <w:sz w:val="24"/>
        </w:rPr>
        <w:t>1.</w:t>
      </w:r>
      <w:r>
        <w:rPr>
          <w:rFonts w:hint="eastAsia" w:ascii="宋体" w:hAnsi="宋体" w:cs="宋体"/>
          <w:color w:val="auto"/>
          <w:spacing w:val="3"/>
          <w:sz w:val="24"/>
        </w:rPr>
        <w:t>1</w:t>
      </w:r>
      <w:r>
        <w:rPr>
          <w:rFonts w:ascii="宋体" w:hAnsi="宋体" w:cs="宋体"/>
          <w:color w:val="auto"/>
          <w:spacing w:val="6"/>
          <w:sz w:val="24"/>
        </w:rPr>
        <w:t>投</w:t>
      </w:r>
      <w:r>
        <w:rPr>
          <w:rFonts w:ascii="宋体" w:hAnsi="宋体" w:cs="宋体"/>
          <w:color w:val="auto"/>
          <w:spacing w:val="5"/>
          <w:sz w:val="24"/>
        </w:rPr>
        <w:t>标文件封面格式</w:t>
      </w:r>
    </w:p>
    <w:p>
      <w:pPr>
        <w:spacing w:before="234" w:line="227" w:lineRule="auto"/>
        <w:ind w:firstLine="25"/>
        <w:jc w:val="right"/>
        <w:rPr>
          <w:rFonts w:ascii="宋体" w:hAnsi="宋体" w:cs="宋体"/>
          <w:color w:val="auto"/>
          <w:sz w:val="24"/>
        </w:rPr>
      </w:pPr>
      <w:r>
        <w:rPr>
          <w:rFonts w:ascii="宋体" w:hAnsi="宋体" w:cs="宋体"/>
          <w:color w:val="auto"/>
          <w:spacing w:val="7"/>
          <w:sz w:val="24"/>
        </w:rPr>
        <w:t>本（填正</w:t>
      </w:r>
      <w:r>
        <w:rPr>
          <w:rFonts w:ascii="宋体" w:hAnsi="宋体" w:cs="宋体"/>
          <w:color w:val="auto"/>
          <w:spacing w:val="6"/>
          <w:sz w:val="24"/>
        </w:rPr>
        <w:t>或副</w:t>
      </w:r>
      <w:r>
        <w:rPr>
          <w:rFonts w:ascii="宋体" w:hAnsi="宋体" w:cs="宋体"/>
          <w:color w:val="auto"/>
          <w:spacing w:val="8"/>
          <w:sz w:val="24"/>
        </w:rPr>
        <w:t>）</w:t>
      </w:r>
    </w:p>
    <w:p>
      <w:pPr>
        <w:spacing w:line="322" w:lineRule="auto"/>
        <w:rPr>
          <w:color w:val="auto"/>
          <w:sz w:val="24"/>
        </w:rPr>
      </w:pPr>
    </w:p>
    <w:p>
      <w:pPr>
        <w:spacing w:line="322" w:lineRule="auto"/>
        <w:rPr>
          <w:color w:val="auto"/>
          <w:sz w:val="24"/>
        </w:rPr>
      </w:pPr>
    </w:p>
    <w:p>
      <w:pPr>
        <w:tabs>
          <w:tab w:val="left" w:pos="3073"/>
        </w:tabs>
        <w:spacing w:before="65" w:line="228" w:lineRule="auto"/>
        <w:ind w:firstLine="1067"/>
        <w:rPr>
          <w:rFonts w:ascii="宋体" w:hAnsi="宋体" w:cs="宋体"/>
          <w:color w:val="auto"/>
          <w:sz w:val="24"/>
        </w:rPr>
      </w:pPr>
      <w:r>
        <w:rPr>
          <w:rFonts w:ascii="宋体" w:hAnsi="宋体" w:cs="宋体"/>
          <w:color w:val="auto"/>
          <w:sz w:val="24"/>
          <w:u w:val="single"/>
        </w:rPr>
        <w:tab/>
      </w:r>
      <w:r>
        <w:rPr>
          <w:rFonts w:ascii="宋体" w:hAnsi="宋体" w:cs="宋体"/>
          <w:color w:val="auto"/>
          <w:sz w:val="24"/>
          <w:u w:val="single"/>
        </w:rPr>
        <w:t>（项目名称</w:t>
      </w:r>
      <w:r>
        <w:rPr>
          <w:rFonts w:ascii="宋体" w:hAnsi="宋体" w:cs="宋体"/>
          <w:color w:val="auto"/>
          <w:spacing w:val="-20"/>
          <w:sz w:val="24"/>
          <w:u w:val="single"/>
        </w:rPr>
        <w:t>）</w:t>
      </w:r>
      <w:r>
        <w:rPr>
          <w:rFonts w:ascii="宋体" w:hAnsi="宋体" w:cs="宋体"/>
          <w:color w:val="auto"/>
          <w:sz w:val="24"/>
        </w:rPr>
        <w:t>投标文件</w:t>
      </w:r>
    </w:p>
    <w:p>
      <w:pPr>
        <w:spacing w:line="273" w:lineRule="auto"/>
        <w:rPr>
          <w:color w:val="auto"/>
          <w:sz w:val="24"/>
        </w:rPr>
      </w:pPr>
    </w:p>
    <w:p>
      <w:pPr>
        <w:spacing w:line="273" w:lineRule="auto"/>
        <w:rPr>
          <w:color w:val="auto"/>
          <w:sz w:val="24"/>
        </w:rPr>
      </w:pPr>
    </w:p>
    <w:p>
      <w:pPr>
        <w:spacing w:line="274" w:lineRule="auto"/>
        <w:rPr>
          <w:color w:val="auto"/>
          <w:sz w:val="24"/>
        </w:rPr>
      </w:pPr>
    </w:p>
    <w:p>
      <w:pPr>
        <w:spacing w:line="700" w:lineRule="exact"/>
        <w:ind w:firstLine="27"/>
        <w:jc w:val="left"/>
        <w:rPr>
          <w:rFonts w:ascii="宋体" w:hAnsi="宋体" w:cs="宋体"/>
          <w:color w:val="auto"/>
          <w:sz w:val="24"/>
        </w:rPr>
      </w:pPr>
      <w:r>
        <w:rPr>
          <w:rFonts w:ascii="宋体" w:hAnsi="宋体" w:cs="宋体"/>
          <w:color w:val="auto"/>
          <w:spacing w:val="5"/>
          <w:sz w:val="24"/>
        </w:rPr>
        <w:t>项目编号</w:t>
      </w:r>
      <w:r>
        <w:rPr>
          <w:rFonts w:ascii="宋体" w:hAnsi="宋体" w:cs="宋体"/>
          <w:color w:val="auto"/>
          <w:spacing w:val="6"/>
          <w:sz w:val="24"/>
        </w:rPr>
        <w:t>：</w:t>
      </w:r>
    </w:p>
    <w:p>
      <w:pPr>
        <w:spacing w:line="700" w:lineRule="exact"/>
        <w:ind w:firstLine="27"/>
        <w:rPr>
          <w:rFonts w:ascii="宋体" w:hAnsi="宋体" w:cs="宋体"/>
          <w:color w:val="auto"/>
          <w:sz w:val="24"/>
        </w:rPr>
      </w:pPr>
    </w:p>
    <w:p>
      <w:pPr>
        <w:spacing w:line="700" w:lineRule="exact"/>
        <w:ind w:firstLine="27"/>
        <w:rPr>
          <w:rFonts w:ascii="宋体" w:hAnsi="宋体" w:cs="宋体"/>
          <w:color w:val="auto"/>
          <w:sz w:val="24"/>
        </w:rPr>
      </w:pPr>
      <w:r>
        <w:rPr>
          <w:rFonts w:ascii="宋体" w:hAnsi="宋体" w:cs="宋体"/>
          <w:color w:val="auto"/>
          <w:spacing w:val="9"/>
          <w:position w:val="24"/>
          <w:sz w:val="24"/>
        </w:rPr>
        <w:t>投标文件内容</w:t>
      </w:r>
      <w:r>
        <w:rPr>
          <w:rFonts w:ascii="宋体" w:hAnsi="宋体" w:cs="宋体"/>
          <w:color w:val="auto"/>
          <w:spacing w:val="10"/>
          <w:position w:val="24"/>
          <w:sz w:val="24"/>
        </w:rPr>
        <w:t>：</w:t>
      </w:r>
      <w:r>
        <w:rPr>
          <w:rFonts w:ascii="宋体" w:hAnsi="宋体" w:cs="宋体"/>
          <w:color w:val="auto"/>
          <w:sz w:val="24"/>
        </w:rPr>
        <w:t xml:space="preserve"> </w:t>
      </w:r>
    </w:p>
    <w:p>
      <w:pPr>
        <w:spacing w:line="700" w:lineRule="exact"/>
        <w:ind w:firstLine="27"/>
        <w:rPr>
          <w:rFonts w:ascii="宋体" w:hAnsi="宋体" w:cs="宋体"/>
          <w:color w:val="auto"/>
          <w:sz w:val="24"/>
        </w:rPr>
      </w:pPr>
      <w:r>
        <w:rPr>
          <w:rFonts w:ascii="宋体" w:hAnsi="宋体" w:cs="宋体"/>
          <w:color w:val="auto"/>
          <w:sz w:val="24"/>
        </w:rPr>
        <w:t>投标人名称：（盖法人章）</w:t>
      </w:r>
    </w:p>
    <w:p>
      <w:pPr>
        <w:spacing w:line="700" w:lineRule="exact"/>
        <w:ind w:firstLine="25"/>
        <w:rPr>
          <w:rFonts w:ascii="宋体" w:hAnsi="宋体" w:cs="宋体"/>
          <w:color w:val="auto"/>
          <w:sz w:val="24"/>
        </w:rPr>
      </w:pPr>
      <w:r>
        <w:rPr>
          <w:rFonts w:ascii="宋体" w:hAnsi="宋体" w:cs="宋体"/>
          <w:color w:val="auto"/>
          <w:sz w:val="24"/>
        </w:rPr>
        <w:t>法定代理人或委托代理人</w:t>
      </w:r>
      <w:r>
        <w:rPr>
          <w:rFonts w:ascii="宋体" w:hAnsi="宋体" w:cs="宋体"/>
          <w:color w:val="auto"/>
          <w:spacing w:val="-1"/>
          <w:sz w:val="24"/>
        </w:rPr>
        <w:t>：</w:t>
      </w:r>
      <w:r>
        <w:rPr>
          <w:rFonts w:ascii="宋体" w:hAnsi="宋体" w:cs="宋体"/>
          <w:color w:val="auto"/>
          <w:sz w:val="24"/>
        </w:rPr>
        <w:t>（签字或盖章</w:t>
      </w:r>
      <w:r>
        <w:rPr>
          <w:rFonts w:ascii="宋体" w:hAnsi="宋体" w:cs="宋体"/>
          <w:color w:val="auto"/>
          <w:spacing w:val="-1"/>
          <w:sz w:val="24"/>
        </w:rPr>
        <w:t>）</w:t>
      </w:r>
    </w:p>
    <w:p>
      <w:pPr>
        <w:spacing w:line="700" w:lineRule="exact"/>
        <w:ind w:firstLine="60"/>
        <w:rPr>
          <w:rFonts w:ascii="宋体" w:hAnsi="宋体" w:cs="宋体"/>
          <w:color w:val="auto"/>
          <w:sz w:val="24"/>
        </w:rPr>
      </w:pPr>
      <w:r>
        <w:rPr>
          <w:rFonts w:ascii="宋体" w:hAnsi="宋体" w:cs="宋体"/>
          <w:color w:val="auto"/>
          <w:sz w:val="24"/>
        </w:rPr>
        <w:t>日期</w:t>
      </w:r>
      <w:r>
        <w:rPr>
          <w:rFonts w:ascii="宋体" w:hAnsi="宋体" w:cs="宋体"/>
          <w:color w:val="auto"/>
          <w:spacing w:val="-1"/>
          <w:sz w:val="24"/>
        </w:rPr>
        <w:t>：</w:t>
      </w:r>
      <w:r>
        <w:rPr>
          <w:rFonts w:hint="eastAsia" w:ascii="宋体" w:hAnsi="宋体" w:cs="宋体"/>
          <w:color w:val="auto"/>
          <w:spacing w:val="-1"/>
          <w:sz w:val="24"/>
        </w:rPr>
        <w:t xml:space="preserve">   </w:t>
      </w:r>
      <w:r>
        <w:rPr>
          <w:rFonts w:ascii="宋体" w:hAnsi="宋体" w:cs="宋体"/>
          <w:color w:val="auto"/>
          <w:sz w:val="24"/>
        </w:rPr>
        <w:t xml:space="preserve">年 </w:t>
      </w:r>
      <w:r>
        <w:rPr>
          <w:rFonts w:hint="eastAsia" w:ascii="宋体" w:hAnsi="宋体" w:cs="宋体"/>
          <w:color w:val="auto"/>
          <w:sz w:val="24"/>
        </w:rPr>
        <w:t xml:space="preserve">  </w:t>
      </w:r>
      <w:r>
        <w:rPr>
          <w:rFonts w:ascii="宋体" w:hAnsi="宋体" w:cs="宋体"/>
          <w:color w:val="auto"/>
          <w:sz w:val="24"/>
        </w:rPr>
        <w:t>月</w:t>
      </w:r>
      <w:r>
        <w:rPr>
          <w:rFonts w:hint="eastAsia" w:ascii="宋体" w:hAnsi="宋体" w:cs="宋体"/>
          <w:color w:val="auto"/>
          <w:sz w:val="24"/>
        </w:rPr>
        <w:t xml:space="preserve">  </w:t>
      </w:r>
      <w:r>
        <w:rPr>
          <w:rFonts w:ascii="宋体" w:hAnsi="宋体" w:cs="宋体"/>
          <w:color w:val="auto"/>
          <w:sz w:val="24"/>
        </w:rPr>
        <w:t xml:space="preserve"> 日</w:t>
      </w:r>
    </w:p>
    <w:p>
      <w:pPr>
        <w:spacing w:line="700" w:lineRule="exact"/>
        <w:rPr>
          <w:color w:val="auto"/>
          <w:szCs w:val="21"/>
        </w:rPr>
        <w:sectPr>
          <w:footerReference r:id="rId5" w:type="default"/>
          <w:pgSz w:w="11906" w:h="16838"/>
          <w:pgMar w:top="1134" w:right="1134" w:bottom="1134" w:left="1134" w:header="680" w:footer="680" w:gutter="0"/>
          <w:cols w:space="720" w:num="1"/>
        </w:sectPr>
      </w:pPr>
    </w:p>
    <w:p>
      <w:pPr>
        <w:spacing w:before="65" w:line="227" w:lineRule="auto"/>
        <w:ind w:firstLine="40"/>
        <w:rPr>
          <w:rFonts w:ascii="宋体" w:hAnsi="宋体" w:cs="宋体"/>
          <w:color w:val="auto"/>
          <w:sz w:val="24"/>
        </w:rPr>
      </w:pPr>
      <w:r>
        <w:rPr>
          <w:rFonts w:ascii="宋体" w:hAnsi="宋体" w:cs="宋体"/>
          <w:color w:val="auto"/>
          <w:spacing w:val="1"/>
          <w:sz w:val="24"/>
        </w:rPr>
        <w:t>1.</w:t>
      </w:r>
      <w:r>
        <w:rPr>
          <w:rFonts w:hint="eastAsia" w:ascii="宋体" w:hAnsi="宋体" w:cs="宋体"/>
          <w:color w:val="auto"/>
          <w:spacing w:val="1"/>
          <w:sz w:val="24"/>
        </w:rPr>
        <w:t>2</w:t>
      </w:r>
      <w:r>
        <w:rPr>
          <w:rFonts w:ascii="宋体" w:hAnsi="宋体" w:cs="宋体"/>
          <w:color w:val="auto"/>
          <w:sz w:val="24"/>
        </w:rPr>
        <w:t>目录</w:t>
      </w:r>
    </w:p>
    <w:p>
      <w:pPr>
        <w:spacing w:before="219" w:line="381" w:lineRule="auto"/>
        <w:ind w:left="24" w:right="900" w:firstLine="10"/>
        <w:rPr>
          <w:rFonts w:ascii="宋体" w:hAnsi="宋体" w:cs="宋体"/>
          <w:color w:val="auto"/>
          <w:sz w:val="24"/>
        </w:rPr>
      </w:pPr>
      <w:r>
        <w:rPr>
          <w:rFonts w:ascii="宋体" w:hAnsi="宋体" w:cs="宋体"/>
          <w:color w:val="auto"/>
          <w:spacing w:val="6"/>
          <w:sz w:val="24"/>
        </w:rPr>
        <w:t>（</w:t>
      </w:r>
      <w:r>
        <w:rPr>
          <w:rFonts w:ascii="宋体" w:hAnsi="宋体" w:cs="宋体"/>
          <w:color w:val="auto"/>
          <w:spacing w:val="3"/>
          <w:sz w:val="24"/>
        </w:rPr>
        <w:t>1</w:t>
      </w:r>
      <w:r>
        <w:rPr>
          <w:rFonts w:ascii="宋体" w:hAnsi="宋体" w:cs="宋体"/>
          <w:color w:val="auto"/>
          <w:spacing w:val="6"/>
          <w:sz w:val="24"/>
        </w:rPr>
        <w:t>）参照投标文件的组成，目录清晰可</w:t>
      </w:r>
      <w:r>
        <w:rPr>
          <w:rFonts w:ascii="宋体" w:hAnsi="宋体" w:cs="宋体"/>
          <w:color w:val="auto"/>
          <w:spacing w:val="5"/>
          <w:sz w:val="24"/>
        </w:rPr>
        <w:t>评</w:t>
      </w:r>
      <w:r>
        <w:rPr>
          <w:rFonts w:ascii="宋体" w:hAnsi="宋体" w:cs="宋体"/>
          <w:color w:val="auto"/>
          <w:spacing w:val="6"/>
          <w:sz w:val="24"/>
        </w:rPr>
        <w:t>，</w:t>
      </w:r>
      <w:r>
        <w:rPr>
          <w:rFonts w:ascii="宋体" w:hAnsi="宋体" w:cs="宋体"/>
          <w:color w:val="auto"/>
          <w:spacing w:val="5"/>
          <w:sz w:val="24"/>
        </w:rPr>
        <w:t>若凌乱造成的评标影响</w:t>
      </w:r>
      <w:r>
        <w:rPr>
          <w:rFonts w:ascii="宋体" w:hAnsi="宋体" w:cs="宋体"/>
          <w:color w:val="auto"/>
          <w:spacing w:val="6"/>
          <w:sz w:val="24"/>
        </w:rPr>
        <w:t>，</w:t>
      </w:r>
      <w:r>
        <w:rPr>
          <w:rFonts w:ascii="宋体" w:hAnsi="宋体" w:cs="宋体"/>
          <w:color w:val="auto"/>
          <w:spacing w:val="5"/>
          <w:sz w:val="24"/>
        </w:rPr>
        <w:t>后果自负</w:t>
      </w:r>
      <w:r>
        <w:rPr>
          <w:rFonts w:ascii="宋体" w:hAnsi="宋体" w:cs="宋体"/>
          <w:color w:val="auto"/>
          <w:spacing w:val="6"/>
          <w:sz w:val="24"/>
        </w:rPr>
        <w:t>。</w:t>
      </w:r>
      <w:r>
        <w:rPr>
          <w:rFonts w:ascii="宋体" w:hAnsi="宋体" w:cs="宋体"/>
          <w:color w:val="auto"/>
          <w:spacing w:val="9"/>
          <w:sz w:val="24"/>
        </w:rPr>
        <w:t>注</w:t>
      </w:r>
      <w:r>
        <w:rPr>
          <w:rFonts w:ascii="宋体" w:hAnsi="宋体" w:cs="宋体"/>
          <w:color w:val="auto"/>
          <w:spacing w:val="11"/>
          <w:sz w:val="24"/>
        </w:rPr>
        <w:t>：</w:t>
      </w:r>
      <w:r>
        <w:rPr>
          <w:rFonts w:ascii="宋体" w:hAnsi="宋体" w:cs="宋体"/>
          <w:color w:val="auto"/>
          <w:spacing w:val="9"/>
          <w:sz w:val="24"/>
        </w:rPr>
        <w:t>本招标文件内的格式仅供参考</w:t>
      </w:r>
      <w:r>
        <w:rPr>
          <w:rFonts w:ascii="宋体" w:hAnsi="宋体" w:cs="宋体"/>
          <w:color w:val="auto"/>
          <w:spacing w:val="11"/>
          <w:sz w:val="24"/>
        </w:rPr>
        <w:t>，</w:t>
      </w:r>
      <w:r>
        <w:rPr>
          <w:rFonts w:ascii="宋体" w:hAnsi="宋体" w:cs="宋体"/>
          <w:color w:val="auto"/>
          <w:spacing w:val="9"/>
          <w:sz w:val="24"/>
        </w:rPr>
        <w:t>可自制</w:t>
      </w:r>
      <w:r>
        <w:rPr>
          <w:rFonts w:ascii="宋体" w:hAnsi="宋体" w:cs="宋体"/>
          <w:color w:val="auto"/>
          <w:spacing w:val="11"/>
          <w:sz w:val="24"/>
        </w:rPr>
        <w:t>，</w:t>
      </w:r>
      <w:r>
        <w:rPr>
          <w:rFonts w:ascii="宋体" w:hAnsi="宋体" w:cs="宋体"/>
          <w:color w:val="auto"/>
          <w:spacing w:val="9"/>
          <w:sz w:val="24"/>
        </w:rPr>
        <w:t>但不得缺项</w:t>
      </w:r>
      <w:r>
        <w:rPr>
          <w:rFonts w:ascii="宋体" w:hAnsi="宋体" w:cs="宋体"/>
          <w:color w:val="auto"/>
          <w:spacing w:val="10"/>
          <w:sz w:val="24"/>
        </w:rPr>
        <w:t>。</w:t>
      </w:r>
    </w:p>
    <w:p>
      <w:pPr>
        <w:widowControl/>
        <w:jc w:val="left"/>
        <w:rPr>
          <w:rFonts w:ascii="宋体" w:hAnsi="宋体" w:cs="宋体"/>
          <w:color w:val="auto"/>
          <w:spacing w:val="1"/>
          <w:sz w:val="20"/>
          <w:szCs w:val="20"/>
        </w:rPr>
      </w:pPr>
      <w:r>
        <w:rPr>
          <w:rFonts w:ascii="宋体" w:hAnsi="宋体" w:cs="宋体"/>
          <w:color w:val="auto"/>
          <w:spacing w:val="1"/>
          <w:sz w:val="20"/>
          <w:szCs w:val="20"/>
        </w:rPr>
        <w:br w:type="page"/>
      </w:r>
    </w:p>
    <w:p>
      <w:pPr>
        <w:spacing w:before="120" w:line="225" w:lineRule="auto"/>
        <w:ind w:firstLine="32"/>
        <w:rPr>
          <w:rFonts w:ascii="宋体" w:hAnsi="宋体" w:cs="宋体"/>
          <w:color w:val="auto"/>
          <w:sz w:val="31"/>
          <w:szCs w:val="31"/>
        </w:rPr>
      </w:pPr>
      <w:r>
        <w:rPr>
          <w:rFonts w:ascii="宋体" w:hAnsi="宋体" w:cs="宋体"/>
          <w:color w:val="auto"/>
          <w:spacing w:val="4"/>
          <w:sz w:val="31"/>
          <w:szCs w:val="31"/>
        </w:rPr>
        <w:t xml:space="preserve">2. </w:t>
      </w:r>
      <w:r>
        <w:rPr>
          <w:rFonts w:ascii="宋体" w:hAnsi="宋体" w:cs="宋体"/>
          <w:color w:val="auto"/>
          <w:spacing w:val="6"/>
          <w:sz w:val="31"/>
          <w:szCs w:val="31"/>
        </w:rPr>
        <w:t>投</w:t>
      </w:r>
      <w:r>
        <w:rPr>
          <w:rFonts w:ascii="宋体" w:hAnsi="宋体" w:cs="宋体"/>
          <w:color w:val="auto"/>
          <w:spacing w:val="5"/>
          <w:sz w:val="31"/>
          <w:szCs w:val="31"/>
        </w:rPr>
        <w:t>标函</w:t>
      </w:r>
    </w:p>
    <w:p>
      <w:pPr>
        <w:spacing w:before="39" w:line="225" w:lineRule="auto"/>
        <w:ind w:firstLine="3702"/>
        <w:rPr>
          <w:rFonts w:ascii="宋体" w:hAnsi="宋体" w:cs="宋体"/>
          <w:color w:val="auto"/>
          <w:sz w:val="31"/>
          <w:szCs w:val="31"/>
        </w:rPr>
      </w:pPr>
      <w:r>
        <w:rPr>
          <w:rFonts w:hint="eastAsia" w:ascii="宋体" w:hAnsi="宋体" w:cs="宋体"/>
          <w:color w:val="auto"/>
          <w:spacing w:val="5"/>
          <w:sz w:val="31"/>
          <w:szCs w:val="31"/>
        </w:rPr>
        <w:t xml:space="preserve">2.1 </w:t>
      </w:r>
      <w:r>
        <w:rPr>
          <w:rFonts w:ascii="宋体" w:hAnsi="宋体" w:cs="宋体"/>
          <w:color w:val="auto"/>
          <w:spacing w:val="5"/>
          <w:sz w:val="31"/>
          <w:szCs w:val="31"/>
        </w:rPr>
        <w:t>投标函</w:t>
      </w:r>
    </w:p>
    <w:p>
      <w:pPr>
        <w:spacing w:line="265" w:lineRule="auto"/>
        <w:rPr>
          <w:color w:val="auto"/>
        </w:rPr>
      </w:pPr>
    </w:p>
    <w:p>
      <w:pPr>
        <w:spacing w:line="266" w:lineRule="auto"/>
        <w:rPr>
          <w:color w:val="auto"/>
        </w:rPr>
      </w:pPr>
    </w:p>
    <w:p>
      <w:pPr>
        <w:tabs>
          <w:tab w:val="left" w:pos="3062"/>
        </w:tabs>
        <w:spacing w:line="480" w:lineRule="exact"/>
        <w:ind w:firstLine="16"/>
        <w:rPr>
          <w:rFonts w:ascii="宋体" w:hAnsi="宋体" w:cs="宋体"/>
          <w:color w:val="auto"/>
          <w:szCs w:val="21"/>
        </w:rPr>
      </w:pPr>
      <w:r>
        <w:rPr>
          <w:rFonts w:ascii="宋体" w:hAnsi="宋体" w:cs="宋体"/>
          <w:color w:val="auto"/>
          <w:szCs w:val="21"/>
          <w:u w:val="single"/>
        </w:rPr>
        <w:tab/>
      </w:r>
      <w:r>
        <w:rPr>
          <w:rFonts w:ascii="宋体" w:hAnsi="宋体" w:cs="宋体"/>
          <w:color w:val="auto"/>
          <w:szCs w:val="21"/>
        </w:rPr>
        <w:t xml:space="preserve"> （招标人名称</w:t>
      </w:r>
      <w:r>
        <w:rPr>
          <w:rFonts w:ascii="宋体" w:hAnsi="宋体" w:cs="宋体"/>
          <w:color w:val="auto"/>
          <w:spacing w:val="-15"/>
          <w:szCs w:val="21"/>
        </w:rPr>
        <w:t>）：</w:t>
      </w:r>
    </w:p>
    <w:p>
      <w:pPr>
        <w:spacing w:line="480" w:lineRule="exact"/>
        <w:ind w:left="26" w:right="25" w:firstLine="433"/>
        <w:rPr>
          <w:rFonts w:ascii="宋体" w:hAnsi="宋体" w:cs="宋体"/>
          <w:color w:val="auto"/>
          <w:szCs w:val="21"/>
        </w:rPr>
      </w:pPr>
      <w:r>
        <w:rPr>
          <w:rFonts w:ascii="宋体" w:hAnsi="宋体" w:cs="宋体"/>
          <w:color w:val="auto"/>
          <w:spacing w:val="2"/>
          <w:szCs w:val="21"/>
        </w:rPr>
        <w:t>1</w:t>
      </w:r>
      <w:r>
        <w:rPr>
          <w:rFonts w:ascii="宋体" w:hAnsi="宋体" w:cs="宋体"/>
          <w:color w:val="auto"/>
          <w:spacing w:val="3"/>
          <w:szCs w:val="21"/>
        </w:rPr>
        <w:t>、根据已收到的</w:t>
      </w:r>
      <w:r>
        <w:rPr>
          <w:rFonts w:hint="eastAsia" w:ascii="宋体" w:hAnsi="宋体" w:cs="宋体"/>
          <w:color w:val="auto"/>
          <w:spacing w:val="3"/>
          <w:szCs w:val="21"/>
          <w:u w:val="single"/>
        </w:rPr>
        <w:t xml:space="preserve">                           </w:t>
      </w:r>
      <w:r>
        <w:rPr>
          <w:rFonts w:ascii="宋体" w:hAnsi="宋体" w:cs="宋体"/>
          <w:color w:val="auto"/>
          <w:spacing w:val="3"/>
          <w:szCs w:val="21"/>
        </w:rPr>
        <w:t>招标文件，我单位经考</w:t>
      </w:r>
      <w:r>
        <w:rPr>
          <w:rFonts w:ascii="宋体" w:hAnsi="宋体" w:cs="宋体"/>
          <w:color w:val="auto"/>
          <w:spacing w:val="2"/>
          <w:szCs w:val="21"/>
        </w:rPr>
        <w:t>察和研究招标</w:t>
      </w:r>
      <w:r>
        <w:rPr>
          <w:rFonts w:ascii="宋体" w:hAnsi="宋体" w:cs="宋体"/>
          <w:color w:val="auto"/>
          <w:spacing w:val="8"/>
          <w:szCs w:val="21"/>
        </w:rPr>
        <w:t>文件后，</w:t>
      </w:r>
      <w:r>
        <w:rPr>
          <w:rFonts w:ascii="宋体" w:hAnsi="宋体" w:cs="宋体"/>
          <w:color w:val="auto"/>
          <w:spacing w:val="7"/>
          <w:szCs w:val="21"/>
        </w:rPr>
        <w:t>本项目</w:t>
      </w:r>
      <w:r>
        <w:rPr>
          <w:rFonts w:hint="eastAsia" w:ascii="宋体" w:hAnsi="宋体" w:cs="宋体"/>
          <w:color w:val="auto"/>
          <w:spacing w:val="7"/>
          <w:szCs w:val="21"/>
        </w:rPr>
        <w:t>全过程造价咨询服务</w:t>
      </w:r>
      <w:r>
        <w:rPr>
          <w:rFonts w:ascii="宋体" w:hAnsi="宋体" w:cs="宋体"/>
          <w:color w:val="auto"/>
          <w:spacing w:val="7"/>
          <w:szCs w:val="21"/>
        </w:rPr>
        <w:t>费的报价为（大</w:t>
      </w:r>
      <w:r>
        <w:rPr>
          <w:rFonts w:ascii="宋体" w:hAnsi="宋体" w:cs="宋体"/>
          <w:color w:val="auto"/>
          <w:szCs w:val="21"/>
        </w:rPr>
        <w:t>写</w:t>
      </w:r>
      <w:r>
        <w:rPr>
          <w:rFonts w:ascii="宋体" w:hAnsi="宋体" w:cs="宋体"/>
          <w:color w:val="auto"/>
          <w:spacing w:val="-1"/>
          <w:szCs w:val="21"/>
        </w:rPr>
        <w:t>）</w:t>
      </w:r>
      <w:r>
        <w:rPr>
          <w:rFonts w:hint="eastAsia" w:ascii="宋体" w:hAnsi="宋体" w:cs="宋体"/>
          <w:color w:val="auto"/>
          <w:spacing w:val="-1"/>
          <w:szCs w:val="21"/>
          <w:u w:val="single"/>
        </w:rPr>
        <w:t xml:space="preserve">        </w:t>
      </w:r>
      <w:r>
        <w:rPr>
          <w:rFonts w:ascii="宋体" w:hAnsi="宋体" w:cs="宋体"/>
          <w:color w:val="auto"/>
          <w:szCs w:val="21"/>
        </w:rPr>
        <w:t>（小写</w:t>
      </w:r>
      <w:r>
        <w:rPr>
          <w:rFonts w:ascii="宋体" w:hAnsi="宋体" w:cs="宋体"/>
          <w:color w:val="auto"/>
          <w:spacing w:val="-1"/>
          <w:szCs w:val="21"/>
        </w:rPr>
        <w:t>）</w:t>
      </w:r>
      <w:r>
        <w:rPr>
          <w:rFonts w:hint="eastAsia" w:ascii="宋体" w:hAnsi="宋体" w:cs="宋体"/>
          <w:color w:val="auto"/>
          <w:szCs w:val="21"/>
          <w:u w:val="single"/>
        </w:rPr>
        <w:t xml:space="preserve">         元</w:t>
      </w:r>
      <w:r>
        <w:rPr>
          <w:rFonts w:ascii="宋体" w:hAnsi="宋体" w:cs="宋体"/>
          <w:color w:val="auto"/>
          <w:szCs w:val="21"/>
        </w:rPr>
        <w:t>（投标报价保留小数点后</w:t>
      </w:r>
      <w:r>
        <w:rPr>
          <w:rFonts w:hint="eastAsia" w:ascii="宋体" w:hAnsi="宋体" w:cs="宋体"/>
          <w:color w:val="auto"/>
          <w:szCs w:val="21"/>
        </w:rPr>
        <w:t>二</w:t>
      </w:r>
      <w:r>
        <w:rPr>
          <w:rFonts w:ascii="宋体" w:hAnsi="宋体" w:cs="宋体"/>
          <w:color w:val="auto"/>
          <w:szCs w:val="21"/>
        </w:rPr>
        <w:t>位</w:t>
      </w:r>
      <w:r>
        <w:rPr>
          <w:rFonts w:ascii="宋体" w:hAnsi="宋体" w:cs="宋体"/>
          <w:color w:val="auto"/>
          <w:spacing w:val="-1"/>
          <w:szCs w:val="21"/>
        </w:rPr>
        <w:t>，</w:t>
      </w:r>
      <w:r>
        <w:rPr>
          <w:rFonts w:ascii="宋体" w:hAnsi="宋体" w:cs="宋体"/>
          <w:color w:val="auto"/>
          <w:szCs w:val="21"/>
        </w:rPr>
        <w:t>第</w:t>
      </w:r>
      <w:r>
        <w:rPr>
          <w:rFonts w:hint="eastAsia" w:ascii="宋体" w:hAnsi="宋体" w:cs="宋体"/>
          <w:color w:val="auto"/>
          <w:szCs w:val="21"/>
        </w:rPr>
        <w:t>三</w:t>
      </w:r>
      <w:r>
        <w:rPr>
          <w:rFonts w:ascii="宋体" w:hAnsi="宋体" w:cs="宋体"/>
          <w:color w:val="auto"/>
          <w:szCs w:val="21"/>
        </w:rPr>
        <w:t xml:space="preserve">位无论大小一律不计）， </w:t>
      </w:r>
      <w:r>
        <w:rPr>
          <w:rFonts w:ascii="宋体" w:hAnsi="宋体" w:cs="宋体"/>
          <w:color w:val="auto"/>
          <w:spacing w:val="8"/>
          <w:szCs w:val="21"/>
        </w:rPr>
        <w:t>愿按上述报价结算</w:t>
      </w:r>
      <w:r>
        <w:rPr>
          <w:rFonts w:ascii="宋体" w:hAnsi="宋体" w:cs="宋体"/>
          <w:color w:val="auto"/>
          <w:spacing w:val="7"/>
          <w:szCs w:val="21"/>
        </w:rPr>
        <w:t>本项目</w:t>
      </w:r>
      <w:r>
        <w:rPr>
          <w:rFonts w:hint="eastAsia" w:ascii="宋体" w:hAnsi="宋体" w:cs="宋体"/>
          <w:color w:val="auto"/>
          <w:spacing w:val="7"/>
          <w:szCs w:val="21"/>
        </w:rPr>
        <w:t>全过程造价咨询服务</w:t>
      </w:r>
      <w:r>
        <w:rPr>
          <w:rFonts w:ascii="宋体" w:hAnsi="宋体" w:cs="宋体"/>
          <w:color w:val="auto"/>
          <w:spacing w:val="7"/>
          <w:szCs w:val="21"/>
        </w:rPr>
        <w:t>酬金</w:t>
      </w:r>
      <w:r>
        <w:rPr>
          <w:rFonts w:ascii="宋体" w:hAnsi="宋体" w:cs="宋体"/>
          <w:color w:val="auto"/>
          <w:spacing w:val="8"/>
          <w:szCs w:val="21"/>
        </w:rPr>
        <w:t>，</w:t>
      </w:r>
      <w:r>
        <w:rPr>
          <w:rFonts w:ascii="宋体" w:hAnsi="宋体" w:cs="宋体"/>
          <w:color w:val="auto"/>
          <w:spacing w:val="7"/>
          <w:szCs w:val="21"/>
        </w:rPr>
        <w:t>并按招标文件的要求承包本次招标范围</w:t>
      </w:r>
      <w:r>
        <w:rPr>
          <w:rFonts w:ascii="宋体" w:hAnsi="宋体" w:cs="宋体"/>
          <w:color w:val="auto"/>
          <w:spacing w:val="8"/>
          <w:szCs w:val="21"/>
        </w:rPr>
        <w:t>内的全部工作</w:t>
      </w:r>
      <w:r>
        <w:rPr>
          <w:rFonts w:ascii="宋体" w:hAnsi="宋体" w:cs="宋体"/>
          <w:color w:val="auto"/>
          <w:spacing w:val="7"/>
          <w:szCs w:val="21"/>
        </w:rPr>
        <w:t>内容</w:t>
      </w:r>
      <w:r>
        <w:rPr>
          <w:rFonts w:ascii="宋体" w:hAnsi="宋体" w:cs="宋体"/>
          <w:color w:val="auto"/>
          <w:spacing w:val="9"/>
          <w:szCs w:val="21"/>
        </w:rPr>
        <w:t>。</w:t>
      </w:r>
    </w:p>
    <w:p>
      <w:pPr>
        <w:spacing w:line="480" w:lineRule="exact"/>
        <w:ind w:firstLine="447"/>
        <w:rPr>
          <w:rFonts w:ascii="宋体" w:hAnsi="宋体" w:cs="宋体"/>
          <w:color w:val="auto"/>
          <w:szCs w:val="21"/>
        </w:rPr>
      </w:pPr>
      <w:r>
        <w:rPr>
          <w:rFonts w:ascii="宋体" w:hAnsi="宋体" w:cs="宋体"/>
          <w:color w:val="auto"/>
          <w:szCs w:val="21"/>
        </w:rPr>
        <w:t>2、拟投入本项目的项目负责人为：</w:t>
      </w:r>
      <w:r>
        <w:rPr>
          <w:rFonts w:hint="eastAsia" w:ascii="宋体" w:hAnsi="宋体" w:cs="宋体"/>
          <w:color w:val="auto"/>
          <w:szCs w:val="21"/>
          <w:u w:val="single"/>
        </w:rPr>
        <w:t xml:space="preserve">            </w:t>
      </w:r>
      <w:r>
        <w:rPr>
          <w:rFonts w:ascii="宋体" w:hAnsi="宋体" w:cs="宋体"/>
          <w:color w:val="auto"/>
          <w:szCs w:val="21"/>
        </w:rPr>
        <w:t>，注册执业资格证号：</w:t>
      </w:r>
      <w:r>
        <w:rPr>
          <w:rFonts w:hint="eastAsia" w:ascii="宋体" w:hAnsi="宋体" w:cs="宋体"/>
          <w:color w:val="auto"/>
          <w:szCs w:val="21"/>
          <w:u w:val="single"/>
        </w:rPr>
        <w:t xml:space="preserve">             </w:t>
      </w:r>
      <w:r>
        <w:rPr>
          <w:rFonts w:ascii="宋体" w:hAnsi="宋体" w:cs="宋体"/>
          <w:color w:val="auto"/>
          <w:szCs w:val="21"/>
        </w:rPr>
        <w:t>。</w:t>
      </w:r>
    </w:p>
    <w:p>
      <w:pPr>
        <w:spacing w:line="480" w:lineRule="exact"/>
        <w:ind w:left="32" w:right="404" w:firstLine="416"/>
        <w:rPr>
          <w:rFonts w:ascii="宋体" w:hAnsi="宋体" w:cs="宋体"/>
          <w:color w:val="auto"/>
          <w:szCs w:val="21"/>
        </w:rPr>
      </w:pPr>
      <w:r>
        <w:rPr>
          <w:rFonts w:ascii="宋体" w:hAnsi="宋体" w:cs="宋体"/>
          <w:color w:val="auto"/>
          <w:spacing w:val="2"/>
          <w:szCs w:val="21"/>
        </w:rPr>
        <w:t>3</w:t>
      </w:r>
      <w:r>
        <w:rPr>
          <w:rFonts w:ascii="宋体" w:hAnsi="宋体" w:cs="宋体"/>
          <w:color w:val="auto"/>
          <w:spacing w:val="4"/>
          <w:szCs w:val="21"/>
        </w:rPr>
        <w:t>、我单位承诺：自合同签订后日内完成招标文件、咨询合同</w:t>
      </w:r>
      <w:r>
        <w:rPr>
          <w:rFonts w:ascii="宋体" w:hAnsi="宋体" w:cs="宋体"/>
          <w:color w:val="auto"/>
          <w:spacing w:val="3"/>
          <w:szCs w:val="21"/>
        </w:rPr>
        <w:t>范围内工作内容</w:t>
      </w:r>
      <w:r>
        <w:rPr>
          <w:rFonts w:ascii="宋体" w:hAnsi="宋体" w:cs="宋体"/>
          <w:color w:val="auto"/>
          <w:spacing w:val="9"/>
          <w:szCs w:val="21"/>
        </w:rPr>
        <w:t>咨询成果质量符合现行</w:t>
      </w:r>
      <w:r>
        <w:rPr>
          <w:rFonts w:ascii="宋体" w:hAnsi="宋体" w:cs="宋体"/>
          <w:color w:val="auto"/>
          <w:spacing w:val="9"/>
          <w:szCs w:val="21"/>
          <w:u w:val="single"/>
        </w:rPr>
        <w:t>国家</w:t>
      </w:r>
      <w:r>
        <w:rPr>
          <w:rFonts w:ascii="宋体" w:hAnsi="宋体" w:cs="宋体"/>
          <w:color w:val="auto"/>
          <w:spacing w:val="11"/>
          <w:szCs w:val="21"/>
          <w:u w:val="single"/>
        </w:rPr>
        <w:t>、</w:t>
      </w:r>
      <w:r>
        <w:rPr>
          <w:rFonts w:ascii="宋体" w:hAnsi="宋体" w:cs="宋体"/>
          <w:color w:val="auto"/>
          <w:spacing w:val="9"/>
          <w:szCs w:val="21"/>
          <w:u w:val="single"/>
        </w:rPr>
        <w:t>行业现行有关规定</w:t>
      </w:r>
      <w:r>
        <w:rPr>
          <w:rFonts w:ascii="宋体" w:hAnsi="宋体" w:cs="宋体"/>
          <w:color w:val="auto"/>
          <w:spacing w:val="11"/>
          <w:szCs w:val="21"/>
          <w:u w:val="single"/>
        </w:rPr>
        <w:t>、</w:t>
      </w:r>
      <w:r>
        <w:rPr>
          <w:rFonts w:ascii="宋体" w:hAnsi="宋体" w:cs="宋体"/>
          <w:color w:val="auto"/>
          <w:spacing w:val="9"/>
          <w:szCs w:val="21"/>
          <w:u w:val="single"/>
        </w:rPr>
        <w:t>标准</w:t>
      </w:r>
      <w:r>
        <w:rPr>
          <w:rFonts w:ascii="宋体" w:hAnsi="宋体" w:cs="宋体"/>
          <w:color w:val="auto"/>
          <w:spacing w:val="11"/>
          <w:szCs w:val="21"/>
          <w:u w:val="single"/>
        </w:rPr>
        <w:t>、</w:t>
      </w:r>
      <w:r>
        <w:rPr>
          <w:rFonts w:ascii="宋体" w:hAnsi="宋体" w:cs="宋体"/>
          <w:color w:val="auto"/>
          <w:spacing w:val="9"/>
          <w:szCs w:val="21"/>
          <w:u w:val="single"/>
        </w:rPr>
        <w:t>规范的要求</w:t>
      </w:r>
      <w:r>
        <w:rPr>
          <w:rFonts w:ascii="宋体" w:hAnsi="宋体" w:cs="宋体"/>
          <w:color w:val="auto"/>
          <w:spacing w:val="5"/>
          <w:szCs w:val="21"/>
        </w:rPr>
        <w:t>_</w:t>
      </w:r>
      <w:r>
        <w:rPr>
          <w:rFonts w:ascii="宋体" w:hAnsi="宋体" w:cs="宋体"/>
          <w:color w:val="auto"/>
          <w:spacing w:val="11"/>
          <w:szCs w:val="21"/>
          <w:u w:val="single"/>
        </w:rPr>
        <w:t>。</w:t>
      </w:r>
    </w:p>
    <w:p>
      <w:pPr>
        <w:spacing w:line="480" w:lineRule="exact"/>
        <w:ind w:firstLine="443"/>
        <w:rPr>
          <w:rFonts w:ascii="宋体" w:hAnsi="宋体" w:cs="宋体"/>
          <w:color w:val="auto"/>
          <w:szCs w:val="21"/>
        </w:rPr>
      </w:pPr>
      <w:r>
        <w:rPr>
          <w:rFonts w:ascii="宋体" w:hAnsi="宋体" w:cs="宋体"/>
          <w:color w:val="auto"/>
          <w:spacing w:val="6"/>
          <w:position w:val="1"/>
          <w:szCs w:val="21"/>
        </w:rPr>
        <w:t>4</w:t>
      </w:r>
      <w:r>
        <w:rPr>
          <w:rFonts w:ascii="宋体" w:hAnsi="宋体" w:cs="宋体"/>
          <w:color w:val="auto"/>
          <w:spacing w:val="11"/>
          <w:position w:val="1"/>
          <w:szCs w:val="21"/>
        </w:rPr>
        <w:t>、</w:t>
      </w:r>
      <w:r>
        <w:rPr>
          <w:rFonts w:ascii="宋体" w:hAnsi="宋体" w:cs="宋体"/>
          <w:color w:val="auto"/>
          <w:spacing w:val="9"/>
          <w:position w:val="1"/>
          <w:szCs w:val="21"/>
        </w:rPr>
        <w:t>我单位承诺</w:t>
      </w:r>
      <w:r>
        <w:rPr>
          <w:rFonts w:ascii="宋体" w:hAnsi="宋体" w:cs="宋体"/>
          <w:color w:val="auto"/>
          <w:spacing w:val="11"/>
          <w:position w:val="1"/>
          <w:szCs w:val="21"/>
        </w:rPr>
        <w:t>：</w:t>
      </w:r>
      <w:r>
        <w:rPr>
          <w:rFonts w:ascii="宋体" w:hAnsi="宋体" w:cs="宋体"/>
          <w:color w:val="auto"/>
          <w:spacing w:val="9"/>
          <w:position w:val="1"/>
          <w:szCs w:val="21"/>
        </w:rPr>
        <w:t>在投标有效期内不修改</w:t>
      </w:r>
      <w:r>
        <w:rPr>
          <w:rFonts w:ascii="宋体" w:hAnsi="宋体" w:cs="宋体"/>
          <w:color w:val="auto"/>
          <w:spacing w:val="11"/>
          <w:position w:val="1"/>
          <w:szCs w:val="21"/>
        </w:rPr>
        <w:t>、</w:t>
      </w:r>
      <w:r>
        <w:rPr>
          <w:rFonts w:ascii="宋体" w:hAnsi="宋体" w:cs="宋体"/>
          <w:color w:val="auto"/>
          <w:spacing w:val="9"/>
          <w:position w:val="1"/>
          <w:szCs w:val="21"/>
        </w:rPr>
        <w:t>撤销投标文件</w:t>
      </w:r>
      <w:r>
        <w:rPr>
          <w:rFonts w:ascii="宋体" w:hAnsi="宋体" w:cs="宋体"/>
          <w:color w:val="auto"/>
          <w:spacing w:val="11"/>
          <w:position w:val="1"/>
          <w:szCs w:val="21"/>
        </w:rPr>
        <w:t>。</w:t>
      </w:r>
    </w:p>
    <w:p>
      <w:pPr>
        <w:spacing w:line="480" w:lineRule="exact"/>
        <w:ind w:left="25" w:firstLine="423"/>
        <w:rPr>
          <w:rFonts w:ascii="宋体" w:hAnsi="宋体" w:cs="宋体"/>
          <w:color w:val="auto"/>
          <w:szCs w:val="21"/>
        </w:rPr>
      </w:pPr>
      <w:r>
        <w:rPr>
          <w:rFonts w:ascii="宋体" w:hAnsi="宋体" w:cs="宋体"/>
          <w:color w:val="auto"/>
          <w:spacing w:val="5"/>
          <w:szCs w:val="21"/>
        </w:rPr>
        <w:t>5</w:t>
      </w:r>
      <w:r>
        <w:rPr>
          <w:rFonts w:ascii="宋体" w:hAnsi="宋体" w:cs="宋体"/>
          <w:color w:val="auto"/>
          <w:spacing w:val="10"/>
          <w:szCs w:val="21"/>
        </w:rPr>
        <w:t>、我单位承诺：本公司具有独立订立合同的能力；未处于被责</w:t>
      </w:r>
      <w:r>
        <w:rPr>
          <w:rFonts w:ascii="宋体" w:hAnsi="宋体" w:cs="宋体"/>
          <w:color w:val="auto"/>
          <w:spacing w:val="9"/>
          <w:szCs w:val="21"/>
        </w:rPr>
        <w:t>令停业</w:t>
      </w:r>
      <w:r>
        <w:rPr>
          <w:rFonts w:ascii="宋体" w:hAnsi="宋体" w:cs="宋体"/>
          <w:color w:val="auto"/>
          <w:spacing w:val="10"/>
          <w:szCs w:val="21"/>
        </w:rPr>
        <w:t>、</w:t>
      </w:r>
      <w:r>
        <w:rPr>
          <w:rFonts w:ascii="宋体" w:hAnsi="宋体" w:cs="宋体"/>
          <w:color w:val="auto"/>
          <w:spacing w:val="9"/>
          <w:szCs w:val="21"/>
        </w:rPr>
        <w:t>投标资格被取</w:t>
      </w:r>
      <w:r>
        <w:rPr>
          <w:rFonts w:ascii="宋体" w:hAnsi="宋体" w:cs="宋体"/>
          <w:color w:val="auto"/>
          <w:spacing w:val="8"/>
          <w:szCs w:val="21"/>
        </w:rPr>
        <w:t>消或者财产被接管、</w:t>
      </w:r>
      <w:r>
        <w:rPr>
          <w:rFonts w:ascii="宋体" w:hAnsi="宋体" w:cs="宋体"/>
          <w:color w:val="auto"/>
          <w:spacing w:val="7"/>
          <w:szCs w:val="21"/>
        </w:rPr>
        <w:t>冻结和破产状态</w:t>
      </w:r>
      <w:r>
        <w:rPr>
          <w:rFonts w:ascii="宋体" w:hAnsi="宋体" w:cs="宋体"/>
          <w:color w:val="auto"/>
          <w:spacing w:val="8"/>
          <w:szCs w:val="21"/>
        </w:rPr>
        <w:t>；</w:t>
      </w:r>
      <w:r>
        <w:rPr>
          <w:rFonts w:ascii="宋体" w:hAnsi="宋体" w:cs="宋体"/>
          <w:color w:val="auto"/>
          <w:spacing w:val="7"/>
          <w:szCs w:val="21"/>
        </w:rPr>
        <w:t>企业没有因骗取中标或者严重违约以及发生重大工程</w:t>
      </w:r>
      <w:r>
        <w:rPr>
          <w:rFonts w:ascii="宋体" w:hAnsi="宋体" w:cs="宋体"/>
          <w:color w:val="auto"/>
          <w:spacing w:val="9"/>
          <w:szCs w:val="21"/>
        </w:rPr>
        <w:t>质量</w:t>
      </w:r>
      <w:r>
        <w:rPr>
          <w:rFonts w:ascii="宋体" w:hAnsi="宋体" w:cs="宋体"/>
          <w:color w:val="auto"/>
          <w:spacing w:val="11"/>
          <w:szCs w:val="21"/>
        </w:rPr>
        <w:t>、</w:t>
      </w:r>
      <w:r>
        <w:rPr>
          <w:rFonts w:ascii="宋体" w:hAnsi="宋体" w:cs="宋体"/>
          <w:color w:val="auto"/>
          <w:spacing w:val="9"/>
          <w:szCs w:val="21"/>
        </w:rPr>
        <w:t>安全生产事故等违法违规问题</w:t>
      </w:r>
      <w:r>
        <w:rPr>
          <w:rFonts w:ascii="宋体" w:hAnsi="宋体" w:cs="宋体"/>
          <w:color w:val="auto"/>
          <w:spacing w:val="11"/>
          <w:szCs w:val="21"/>
        </w:rPr>
        <w:t>，</w:t>
      </w:r>
      <w:r>
        <w:rPr>
          <w:rFonts w:ascii="宋体" w:hAnsi="宋体" w:cs="宋体"/>
          <w:color w:val="auto"/>
          <w:spacing w:val="9"/>
          <w:szCs w:val="21"/>
        </w:rPr>
        <w:t>被国家</w:t>
      </w:r>
      <w:r>
        <w:rPr>
          <w:rFonts w:ascii="宋体" w:hAnsi="宋体" w:cs="宋体"/>
          <w:color w:val="auto"/>
          <w:spacing w:val="11"/>
          <w:szCs w:val="21"/>
        </w:rPr>
        <w:t>、</w:t>
      </w:r>
      <w:r>
        <w:rPr>
          <w:rFonts w:ascii="宋体" w:hAnsi="宋体" w:cs="宋体"/>
          <w:color w:val="auto"/>
          <w:spacing w:val="9"/>
          <w:szCs w:val="21"/>
        </w:rPr>
        <w:t>省级有关部门及盐城市级（含区</w:t>
      </w:r>
      <w:r>
        <w:rPr>
          <w:rFonts w:ascii="宋体" w:hAnsi="宋体" w:cs="宋体"/>
          <w:color w:val="auto"/>
          <w:spacing w:val="11"/>
          <w:szCs w:val="21"/>
        </w:rPr>
        <w:t>、</w:t>
      </w:r>
      <w:r>
        <w:rPr>
          <w:rFonts w:ascii="宋体" w:hAnsi="宋体" w:cs="宋体"/>
          <w:color w:val="auto"/>
          <w:spacing w:val="9"/>
          <w:szCs w:val="21"/>
        </w:rPr>
        <w:t>县</w:t>
      </w:r>
      <w:r>
        <w:rPr>
          <w:rFonts w:ascii="宋体" w:hAnsi="宋体" w:cs="宋体"/>
          <w:color w:val="auto"/>
          <w:spacing w:val="11"/>
          <w:szCs w:val="21"/>
        </w:rPr>
        <w:t>、</w:t>
      </w:r>
      <w:r>
        <w:rPr>
          <w:rFonts w:ascii="宋体" w:hAnsi="宋体" w:cs="宋体"/>
          <w:color w:val="auto"/>
          <w:spacing w:val="9"/>
          <w:szCs w:val="21"/>
        </w:rPr>
        <w:t>市</w:t>
      </w:r>
      <w:r>
        <w:rPr>
          <w:rFonts w:ascii="宋体" w:hAnsi="宋体" w:cs="宋体"/>
          <w:color w:val="auto"/>
          <w:spacing w:val="11"/>
          <w:szCs w:val="21"/>
        </w:rPr>
        <w:t>）</w:t>
      </w:r>
      <w:r>
        <w:rPr>
          <w:rFonts w:ascii="宋体" w:hAnsi="宋体" w:cs="宋体"/>
          <w:color w:val="auto"/>
          <w:spacing w:val="9"/>
          <w:szCs w:val="21"/>
        </w:rPr>
        <w:t>有关部门暂停投标资格并在暂停</w:t>
      </w:r>
      <w:r>
        <w:rPr>
          <w:rFonts w:ascii="宋体" w:hAnsi="宋体" w:cs="宋体"/>
          <w:color w:val="auto"/>
          <w:spacing w:val="8"/>
          <w:szCs w:val="21"/>
        </w:rPr>
        <w:t>期内</w:t>
      </w:r>
      <w:r>
        <w:rPr>
          <w:rFonts w:ascii="宋体" w:hAnsi="宋体" w:cs="宋体"/>
          <w:color w:val="auto"/>
          <w:spacing w:val="10"/>
          <w:szCs w:val="21"/>
        </w:rPr>
        <w:t>。</w:t>
      </w:r>
    </w:p>
    <w:p>
      <w:pPr>
        <w:spacing w:line="480" w:lineRule="exact"/>
        <w:ind w:firstLine="446"/>
        <w:rPr>
          <w:rFonts w:ascii="宋体" w:hAnsi="宋体" w:cs="宋体"/>
          <w:color w:val="auto"/>
          <w:szCs w:val="21"/>
        </w:rPr>
      </w:pPr>
      <w:r>
        <w:rPr>
          <w:rFonts w:ascii="宋体" w:hAnsi="宋体" w:cs="宋体"/>
          <w:color w:val="auto"/>
          <w:spacing w:val="6"/>
          <w:position w:val="1"/>
          <w:szCs w:val="21"/>
        </w:rPr>
        <w:t>6</w:t>
      </w:r>
      <w:r>
        <w:rPr>
          <w:rFonts w:ascii="宋体" w:hAnsi="宋体" w:cs="宋体"/>
          <w:color w:val="auto"/>
          <w:spacing w:val="11"/>
          <w:position w:val="1"/>
          <w:szCs w:val="21"/>
        </w:rPr>
        <w:t>、</w:t>
      </w:r>
      <w:r>
        <w:rPr>
          <w:rFonts w:ascii="宋体" w:hAnsi="宋体" w:cs="宋体"/>
          <w:color w:val="auto"/>
          <w:spacing w:val="10"/>
          <w:position w:val="1"/>
          <w:szCs w:val="21"/>
        </w:rPr>
        <w:t>我单位承诺</w:t>
      </w:r>
      <w:r>
        <w:rPr>
          <w:rFonts w:ascii="宋体" w:hAnsi="宋体" w:cs="宋体"/>
          <w:color w:val="auto"/>
          <w:spacing w:val="11"/>
          <w:position w:val="1"/>
          <w:szCs w:val="21"/>
        </w:rPr>
        <w:t>：</w:t>
      </w:r>
      <w:r>
        <w:rPr>
          <w:rFonts w:ascii="宋体" w:hAnsi="宋体" w:cs="宋体"/>
          <w:color w:val="auto"/>
          <w:spacing w:val="9"/>
          <w:position w:val="1"/>
          <w:szCs w:val="21"/>
        </w:rPr>
        <w:t>本次投标文件中提供的所有资格审查材料均真实有效</w:t>
      </w:r>
      <w:r>
        <w:rPr>
          <w:rFonts w:ascii="宋体" w:hAnsi="宋体" w:cs="宋体"/>
          <w:color w:val="auto"/>
          <w:spacing w:val="11"/>
          <w:position w:val="1"/>
          <w:szCs w:val="21"/>
        </w:rPr>
        <w:t>。</w:t>
      </w:r>
    </w:p>
    <w:p>
      <w:pPr>
        <w:spacing w:line="480" w:lineRule="exact"/>
        <w:ind w:left="41" w:right="82" w:firstLine="407"/>
        <w:rPr>
          <w:rFonts w:ascii="宋体" w:hAnsi="宋体" w:cs="宋体"/>
          <w:color w:val="auto"/>
          <w:szCs w:val="21"/>
        </w:rPr>
      </w:pPr>
      <w:r>
        <w:rPr>
          <w:rFonts w:ascii="宋体" w:hAnsi="宋体" w:cs="宋体"/>
          <w:color w:val="auto"/>
          <w:spacing w:val="5"/>
          <w:szCs w:val="21"/>
        </w:rPr>
        <w:t>7</w:t>
      </w:r>
      <w:r>
        <w:rPr>
          <w:rFonts w:ascii="宋体" w:hAnsi="宋体" w:cs="宋体"/>
          <w:color w:val="auto"/>
          <w:spacing w:val="10"/>
          <w:szCs w:val="21"/>
        </w:rPr>
        <w:t>、我单位同意本投标函在招标文件规定的提交投标文件截止</w:t>
      </w:r>
      <w:r>
        <w:rPr>
          <w:rFonts w:ascii="宋体" w:hAnsi="宋体" w:cs="宋体"/>
          <w:color w:val="auto"/>
          <w:spacing w:val="9"/>
          <w:szCs w:val="21"/>
        </w:rPr>
        <w:t>时间后</w:t>
      </w:r>
      <w:r>
        <w:rPr>
          <w:rFonts w:ascii="宋体" w:hAnsi="宋体" w:cs="宋体"/>
          <w:color w:val="auto"/>
          <w:spacing w:val="10"/>
          <w:szCs w:val="21"/>
        </w:rPr>
        <w:t>，</w:t>
      </w:r>
      <w:r>
        <w:rPr>
          <w:rFonts w:ascii="宋体" w:hAnsi="宋体" w:cs="宋体"/>
          <w:color w:val="auto"/>
          <w:spacing w:val="9"/>
          <w:szCs w:val="21"/>
        </w:rPr>
        <w:t>在招标文件规定的投标有效期期满前对我方具有约束力</w:t>
      </w:r>
      <w:r>
        <w:rPr>
          <w:rFonts w:ascii="宋体" w:hAnsi="宋体" w:cs="宋体"/>
          <w:color w:val="auto"/>
          <w:spacing w:val="10"/>
          <w:szCs w:val="21"/>
        </w:rPr>
        <w:t>，</w:t>
      </w:r>
      <w:r>
        <w:rPr>
          <w:rFonts w:ascii="宋体" w:hAnsi="宋体" w:cs="宋体"/>
          <w:color w:val="auto"/>
          <w:spacing w:val="9"/>
          <w:szCs w:val="21"/>
        </w:rPr>
        <w:t>且随时准备接受你方发出的中标通</w:t>
      </w:r>
      <w:r>
        <w:rPr>
          <w:rFonts w:ascii="宋体" w:hAnsi="宋体" w:cs="宋体"/>
          <w:color w:val="auto"/>
          <w:spacing w:val="8"/>
          <w:szCs w:val="21"/>
        </w:rPr>
        <w:t>知书</w:t>
      </w:r>
      <w:r>
        <w:rPr>
          <w:rFonts w:ascii="宋体" w:hAnsi="宋体" w:cs="宋体"/>
          <w:color w:val="auto"/>
          <w:spacing w:val="10"/>
          <w:szCs w:val="21"/>
        </w:rPr>
        <w:t>。</w:t>
      </w:r>
    </w:p>
    <w:p>
      <w:pPr>
        <w:spacing w:line="480" w:lineRule="exact"/>
        <w:ind w:firstLine="445"/>
        <w:rPr>
          <w:rFonts w:ascii="宋体" w:hAnsi="宋体" w:cs="宋体"/>
          <w:color w:val="auto"/>
          <w:szCs w:val="21"/>
        </w:rPr>
      </w:pPr>
      <w:r>
        <w:rPr>
          <w:rFonts w:ascii="宋体" w:hAnsi="宋体" w:cs="宋体"/>
          <w:color w:val="auto"/>
          <w:spacing w:val="6"/>
          <w:position w:val="1"/>
          <w:szCs w:val="21"/>
        </w:rPr>
        <w:t>8</w:t>
      </w:r>
      <w:r>
        <w:rPr>
          <w:rFonts w:ascii="宋体" w:hAnsi="宋体" w:cs="宋体"/>
          <w:color w:val="auto"/>
          <w:spacing w:val="11"/>
          <w:position w:val="1"/>
          <w:szCs w:val="21"/>
        </w:rPr>
        <w:t>、</w:t>
      </w:r>
      <w:r>
        <w:rPr>
          <w:rFonts w:ascii="宋体" w:hAnsi="宋体" w:cs="宋体"/>
          <w:color w:val="auto"/>
          <w:spacing w:val="10"/>
          <w:position w:val="1"/>
          <w:szCs w:val="21"/>
        </w:rPr>
        <w:t>在签署合同协议书之前</w:t>
      </w:r>
      <w:r>
        <w:rPr>
          <w:rFonts w:ascii="宋体" w:hAnsi="宋体" w:cs="宋体"/>
          <w:color w:val="auto"/>
          <w:spacing w:val="11"/>
          <w:position w:val="1"/>
          <w:szCs w:val="21"/>
        </w:rPr>
        <w:t>，</w:t>
      </w:r>
      <w:r>
        <w:rPr>
          <w:rFonts w:ascii="宋体" w:hAnsi="宋体" w:cs="宋体"/>
          <w:color w:val="auto"/>
          <w:spacing w:val="9"/>
          <w:position w:val="1"/>
          <w:szCs w:val="21"/>
        </w:rPr>
        <w:t>你单位的中标通知书连同本投标函</w:t>
      </w:r>
      <w:r>
        <w:rPr>
          <w:rFonts w:ascii="宋体" w:hAnsi="宋体" w:cs="宋体"/>
          <w:color w:val="auto"/>
          <w:spacing w:val="11"/>
          <w:position w:val="1"/>
          <w:szCs w:val="21"/>
        </w:rPr>
        <w:t>，</w:t>
      </w:r>
      <w:r>
        <w:rPr>
          <w:rFonts w:ascii="宋体" w:hAnsi="宋体" w:cs="宋体"/>
          <w:color w:val="auto"/>
          <w:spacing w:val="9"/>
          <w:position w:val="1"/>
          <w:szCs w:val="21"/>
        </w:rPr>
        <w:t>对双方具有约束力</w:t>
      </w:r>
      <w:r>
        <w:rPr>
          <w:rFonts w:ascii="宋体" w:hAnsi="宋体" w:cs="宋体"/>
          <w:color w:val="auto"/>
          <w:spacing w:val="11"/>
          <w:position w:val="1"/>
          <w:szCs w:val="21"/>
        </w:rPr>
        <w:t>。</w:t>
      </w:r>
    </w:p>
    <w:p>
      <w:pPr>
        <w:spacing w:line="260" w:lineRule="auto"/>
        <w:rPr>
          <w:color w:val="auto"/>
          <w:szCs w:val="21"/>
        </w:rPr>
      </w:pPr>
    </w:p>
    <w:p>
      <w:pPr>
        <w:spacing w:line="261" w:lineRule="auto"/>
        <w:rPr>
          <w:color w:val="auto"/>
          <w:szCs w:val="21"/>
        </w:rPr>
      </w:pPr>
    </w:p>
    <w:p>
      <w:pPr>
        <w:spacing w:line="261" w:lineRule="auto"/>
        <w:rPr>
          <w:color w:val="auto"/>
          <w:szCs w:val="21"/>
        </w:rPr>
      </w:pPr>
    </w:p>
    <w:p>
      <w:pPr>
        <w:spacing w:before="66" w:line="228" w:lineRule="auto"/>
        <w:ind w:firstLine="2136"/>
        <w:rPr>
          <w:rFonts w:ascii="宋体" w:hAnsi="宋体" w:cs="宋体"/>
          <w:color w:val="auto"/>
          <w:szCs w:val="21"/>
        </w:rPr>
      </w:pPr>
      <w:r>
        <w:rPr>
          <w:rFonts w:ascii="宋体" w:hAnsi="宋体" w:cs="宋体"/>
          <w:color w:val="auto"/>
          <w:spacing w:val="7"/>
          <w:szCs w:val="21"/>
        </w:rPr>
        <w:t>投标人</w:t>
      </w:r>
      <w:r>
        <w:rPr>
          <w:rFonts w:ascii="宋体" w:hAnsi="宋体" w:cs="宋体"/>
          <w:color w:val="auto"/>
          <w:spacing w:val="6"/>
          <w:szCs w:val="21"/>
        </w:rPr>
        <w:t>（盖章</w:t>
      </w:r>
      <w:r>
        <w:rPr>
          <w:rFonts w:ascii="宋体" w:hAnsi="宋体" w:cs="宋体"/>
          <w:color w:val="auto"/>
          <w:spacing w:val="10"/>
          <w:szCs w:val="21"/>
        </w:rPr>
        <w:t>）：</w:t>
      </w:r>
    </w:p>
    <w:p>
      <w:pPr>
        <w:spacing w:line="250" w:lineRule="auto"/>
        <w:rPr>
          <w:color w:val="auto"/>
          <w:szCs w:val="21"/>
        </w:rPr>
      </w:pPr>
    </w:p>
    <w:p>
      <w:pPr>
        <w:spacing w:line="250" w:lineRule="auto"/>
        <w:rPr>
          <w:color w:val="auto"/>
          <w:szCs w:val="21"/>
        </w:rPr>
      </w:pPr>
    </w:p>
    <w:p>
      <w:pPr>
        <w:spacing w:before="65" w:line="228" w:lineRule="auto"/>
        <w:ind w:firstLine="2135"/>
        <w:rPr>
          <w:rFonts w:ascii="宋体" w:hAnsi="宋体" w:cs="宋体"/>
          <w:color w:val="auto"/>
          <w:szCs w:val="21"/>
        </w:rPr>
      </w:pPr>
      <w:r>
        <w:rPr>
          <w:rFonts w:ascii="宋体" w:hAnsi="宋体" w:cs="宋体"/>
          <w:color w:val="auto"/>
          <w:spacing w:val="9"/>
          <w:szCs w:val="21"/>
        </w:rPr>
        <w:t>法定代表人或其委托代理人（签字或</w:t>
      </w:r>
      <w:r>
        <w:rPr>
          <w:rFonts w:ascii="宋体" w:hAnsi="宋体" w:cs="宋体"/>
          <w:color w:val="auto"/>
          <w:spacing w:val="8"/>
          <w:szCs w:val="21"/>
        </w:rPr>
        <w:t>印章</w:t>
      </w:r>
      <w:r>
        <w:rPr>
          <w:rFonts w:ascii="宋体" w:hAnsi="宋体" w:cs="宋体"/>
          <w:color w:val="auto"/>
          <w:spacing w:val="10"/>
          <w:szCs w:val="21"/>
        </w:rPr>
        <w:t>）：</w:t>
      </w:r>
    </w:p>
    <w:p>
      <w:pPr>
        <w:spacing w:line="251" w:lineRule="auto"/>
        <w:rPr>
          <w:color w:val="auto"/>
          <w:szCs w:val="21"/>
        </w:rPr>
      </w:pPr>
    </w:p>
    <w:p>
      <w:pPr>
        <w:spacing w:line="252" w:lineRule="auto"/>
        <w:rPr>
          <w:color w:val="auto"/>
          <w:szCs w:val="21"/>
        </w:rPr>
      </w:pPr>
    </w:p>
    <w:p>
      <w:pPr>
        <w:spacing w:before="65" w:line="228" w:lineRule="auto"/>
        <w:ind w:firstLine="2170"/>
        <w:rPr>
          <w:rFonts w:ascii="宋体" w:hAnsi="宋体" w:cs="宋体"/>
          <w:color w:val="auto"/>
          <w:sz w:val="20"/>
          <w:szCs w:val="20"/>
        </w:rPr>
        <w:sectPr>
          <w:footerReference r:id="rId6" w:type="default"/>
          <w:pgSz w:w="11906" w:h="16838"/>
          <w:pgMar w:top="1134" w:right="1134" w:bottom="1134" w:left="1134" w:header="680" w:footer="680" w:gutter="0"/>
          <w:cols w:space="720" w:num="1"/>
        </w:sectPr>
      </w:pPr>
      <w:r>
        <w:rPr>
          <w:rFonts w:ascii="宋体" w:hAnsi="宋体" w:cs="宋体"/>
          <w:color w:val="auto"/>
          <w:szCs w:val="21"/>
        </w:rPr>
        <w:t>日期</w:t>
      </w:r>
      <w:r>
        <w:rPr>
          <w:rFonts w:ascii="宋体" w:hAnsi="宋体" w:cs="宋体"/>
          <w:color w:val="auto"/>
          <w:spacing w:val="-2"/>
          <w:szCs w:val="21"/>
        </w:rPr>
        <w:t>：</w:t>
      </w:r>
      <w:r>
        <w:rPr>
          <w:rFonts w:ascii="宋体" w:hAnsi="宋体" w:cs="宋体"/>
          <w:color w:val="auto"/>
          <w:szCs w:val="21"/>
        </w:rPr>
        <w:t>年  月  日</w:t>
      </w:r>
    </w:p>
    <w:p>
      <w:pPr>
        <w:spacing w:before="65" w:line="228" w:lineRule="auto"/>
        <w:jc w:val="center"/>
        <w:rPr>
          <w:rFonts w:ascii="宋体" w:hAnsi="宋体" w:cs="宋体"/>
          <w:color w:val="auto"/>
          <w:spacing w:val="5"/>
          <w:sz w:val="31"/>
          <w:szCs w:val="31"/>
        </w:rPr>
      </w:pPr>
      <w:r>
        <w:rPr>
          <w:rFonts w:hint="eastAsia" w:ascii="宋体" w:hAnsi="宋体" w:cs="宋体"/>
          <w:color w:val="auto"/>
          <w:spacing w:val="5"/>
          <w:sz w:val="31"/>
          <w:szCs w:val="31"/>
        </w:rPr>
        <w:t>2.2投标报价明细表</w:t>
      </w:r>
    </w:p>
    <w:p>
      <w:pPr>
        <w:rPr>
          <w:color w:val="auto"/>
        </w:rPr>
      </w:pPr>
    </w:p>
    <w:p>
      <w:pPr>
        <w:spacing w:line="560" w:lineRule="exact"/>
        <w:ind w:firstLine="480" w:firstLineChars="200"/>
        <w:rPr>
          <w:rFonts w:hint="eastAsia" w:ascii="宋体" w:hAnsi="宋体" w:cs="宋体"/>
          <w:color w:val="auto"/>
          <w:kern w:val="1"/>
          <w:sz w:val="24"/>
          <w:szCs w:val="24"/>
        </w:rPr>
      </w:pPr>
      <w:r>
        <w:rPr>
          <w:rFonts w:hint="eastAsia" w:ascii="宋体" w:hAnsi="宋体" w:cs="宋体"/>
          <w:color w:val="auto"/>
          <w:sz w:val="24"/>
          <w:szCs w:val="24"/>
        </w:rPr>
        <w:t>①城市会客厅项目：</w:t>
      </w:r>
    </w:p>
    <w:tbl>
      <w:tblPr>
        <w:tblStyle w:val="48"/>
        <w:tblW w:w="97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4"/>
        <w:gridCol w:w="962"/>
        <w:gridCol w:w="963"/>
        <w:gridCol w:w="1061"/>
        <w:gridCol w:w="1416"/>
        <w:gridCol w:w="990"/>
        <w:gridCol w:w="1284"/>
        <w:gridCol w:w="22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834" w:type="dxa"/>
            <w:vMerge w:val="restart"/>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委托内容</w:t>
            </w:r>
          </w:p>
        </w:tc>
        <w:tc>
          <w:tcPr>
            <w:tcW w:w="1925" w:type="dxa"/>
            <w:gridSpan w:val="2"/>
            <w:vMerge w:val="restart"/>
            <w:vAlign w:val="center"/>
          </w:tcPr>
          <w:p>
            <w:pPr>
              <w:jc w:val="center"/>
              <w:textAlignment w:val="center"/>
              <w:rPr>
                <w:rFonts w:ascii="宋体" w:hAnsi="宋体" w:cs="宋体"/>
                <w:b/>
                <w:color w:val="auto"/>
                <w:kern w:val="0"/>
                <w:szCs w:val="21"/>
              </w:rPr>
            </w:pPr>
            <w:r>
              <w:rPr>
                <w:rFonts w:hint="eastAsia" w:ascii="宋体" w:hAnsi="宋体" w:cs="宋体"/>
                <w:b/>
                <w:color w:val="auto"/>
                <w:szCs w:val="21"/>
              </w:rPr>
              <w:t>收费基准价（万元）</w:t>
            </w:r>
          </w:p>
        </w:tc>
        <w:tc>
          <w:tcPr>
            <w:tcW w:w="2477" w:type="dxa"/>
            <w:gridSpan w:val="2"/>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招标控制价</w:t>
            </w:r>
          </w:p>
        </w:tc>
        <w:tc>
          <w:tcPr>
            <w:tcW w:w="2274" w:type="dxa"/>
            <w:gridSpan w:val="2"/>
            <w:vAlign w:val="center"/>
          </w:tcPr>
          <w:p>
            <w:pPr>
              <w:widowControl/>
              <w:jc w:val="center"/>
              <w:textAlignment w:val="center"/>
              <w:rPr>
                <w:rFonts w:hint="eastAsia" w:ascii="宋体" w:hAnsi="宋体" w:cs="宋体"/>
                <w:b/>
                <w:color w:val="auto"/>
                <w:kern w:val="0"/>
                <w:szCs w:val="21"/>
              </w:rPr>
            </w:pPr>
            <w:r>
              <w:rPr>
                <w:rFonts w:hint="eastAsia" w:ascii="宋体" w:hAnsi="宋体" w:cs="宋体"/>
                <w:b/>
                <w:color w:val="auto"/>
                <w:kern w:val="0"/>
                <w:szCs w:val="21"/>
              </w:rPr>
              <w:t>投标报价</w:t>
            </w:r>
          </w:p>
        </w:tc>
        <w:tc>
          <w:tcPr>
            <w:tcW w:w="2208" w:type="dxa"/>
            <w:vMerge w:val="restart"/>
            <w:vAlign w:val="center"/>
          </w:tcPr>
          <w:p>
            <w:pPr>
              <w:widowControl/>
              <w:jc w:val="center"/>
              <w:textAlignment w:val="center"/>
              <w:rPr>
                <w:rFonts w:ascii="宋体" w:hAnsi="宋体" w:cs="宋体"/>
                <w:b/>
                <w:color w:val="auto"/>
                <w:kern w:val="0"/>
                <w:szCs w:val="21"/>
              </w:rPr>
            </w:pPr>
            <w:r>
              <w:rPr>
                <w:rFonts w:hint="eastAsia" w:ascii="宋体" w:hAnsi="宋体" w:cs="宋体"/>
                <w:b/>
                <w:color w:val="auto"/>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834" w:type="dxa"/>
            <w:vMerge w:val="continue"/>
            <w:vAlign w:val="center"/>
          </w:tcPr>
          <w:p>
            <w:pPr>
              <w:widowControl/>
              <w:jc w:val="center"/>
              <w:rPr>
                <w:rFonts w:ascii="宋体" w:hAnsi="宋体" w:cs="宋体"/>
                <w:b/>
                <w:color w:val="auto"/>
                <w:szCs w:val="21"/>
              </w:rPr>
            </w:pPr>
          </w:p>
        </w:tc>
        <w:tc>
          <w:tcPr>
            <w:tcW w:w="1925" w:type="dxa"/>
            <w:gridSpan w:val="2"/>
            <w:vMerge w:val="continue"/>
            <w:vAlign w:val="center"/>
          </w:tcPr>
          <w:p>
            <w:pPr>
              <w:widowControl/>
              <w:jc w:val="center"/>
              <w:textAlignment w:val="center"/>
              <w:rPr>
                <w:rFonts w:ascii="宋体" w:hAnsi="宋体" w:cs="宋体"/>
                <w:b/>
                <w:color w:val="auto"/>
                <w:kern w:val="0"/>
                <w:szCs w:val="21"/>
              </w:rPr>
            </w:pPr>
          </w:p>
        </w:tc>
        <w:tc>
          <w:tcPr>
            <w:tcW w:w="1061" w:type="dxa"/>
            <w:vAlign w:val="center"/>
          </w:tcPr>
          <w:p>
            <w:pPr>
              <w:widowControl/>
              <w:jc w:val="center"/>
              <w:textAlignment w:val="center"/>
              <w:rPr>
                <w:rFonts w:ascii="宋体" w:hAnsi="宋体" w:cs="宋体"/>
                <w:b/>
                <w:color w:val="auto"/>
                <w:kern w:val="0"/>
                <w:szCs w:val="21"/>
              </w:rPr>
            </w:pPr>
            <w:r>
              <w:rPr>
                <w:rFonts w:hint="eastAsia" w:ascii="宋体" w:hAnsi="宋体" w:cs="宋体"/>
                <w:b/>
                <w:color w:val="auto"/>
                <w:kern w:val="0"/>
                <w:szCs w:val="21"/>
              </w:rPr>
              <w:t>费率</w:t>
            </w:r>
          </w:p>
        </w:tc>
        <w:tc>
          <w:tcPr>
            <w:tcW w:w="1416" w:type="dxa"/>
            <w:vAlign w:val="center"/>
          </w:tcPr>
          <w:p>
            <w:pPr>
              <w:widowControl/>
              <w:jc w:val="center"/>
              <w:textAlignment w:val="center"/>
              <w:rPr>
                <w:rFonts w:ascii="宋体" w:hAnsi="宋体" w:cs="宋体"/>
                <w:b/>
                <w:color w:val="auto"/>
                <w:kern w:val="0"/>
                <w:szCs w:val="21"/>
              </w:rPr>
            </w:pPr>
            <w:r>
              <w:rPr>
                <w:rFonts w:hint="eastAsia" w:ascii="宋体" w:hAnsi="宋体" w:cs="宋体"/>
                <w:b/>
                <w:color w:val="auto"/>
                <w:kern w:val="0"/>
                <w:szCs w:val="21"/>
              </w:rPr>
              <w:t>价格（万元）</w:t>
            </w:r>
          </w:p>
        </w:tc>
        <w:tc>
          <w:tcPr>
            <w:tcW w:w="990" w:type="dxa"/>
            <w:vAlign w:val="center"/>
          </w:tcPr>
          <w:p>
            <w:pPr>
              <w:widowControl/>
              <w:jc w:val="center"/>
              <w:textAlignment w:val="center"/>
              <w:rPr>
                <w:rFonts w:hint="eastAsia" w:ascii="宋体" w:hAnsi="宋体" w:cs="宋体"/>
                <w:b/>
                <w:color w:val="auto"/>
                <w:kern w:val="0"/>
                <w:szCs w:val="21"/>
              </w:rPr>
            </w:pPr>
            <w:r>
              <w:rPr>
                <w:rFonts w:hint="eastAsia" w:ascii="宋体" w:hAnsi="宋体" w:cs="宋体"/>
                <w:b/>
                <w:color w:val="auto"/>
                <w:kern w:val="0"/>
                <w:szCs w:val="21"/>
              </w:rPr>
              <w:t>费率</w:t>
            </w:r>
          </w:p>
        </w:tc>
        <w:tc>
          <w:tcPr>
            <w:tcW w:w="1284" w:type="dxa"/>
            <w:vAlign w:val="center"/>
          </w:tcPr>
          <w:p>
            <w:pPr>
              <w:widowControl/>
              <w:jc w:val="center"/>
              <w:textAlignment w:val="center"/>
              <w:rPr>
                <w:rFonts w:hint="eastAsia" w:ascii="宋体" w:hAnsi="宋体" w:cs="宋体"/>
                <w:b/>
                <w:color w:val="auto"/>
                <w:kern w:val="0"/>
                <w:szCs w:val="21"/>
              </w:rPr>
            </w:pPr>
            <w:r>
              <w:rPr>
                <w:rFonts w:hint="eastAsia" w:ascii="宋体" w:hAnsi="宋体" w:cs="宋体"/>
                <w:b/>
                <w:color w:val="auto"/>
                <w:kern w:val="0"/>
                <w:szCs w:val="21"/>
              </w:rPr>
              <w:t>价格（万元）</w:t>
            </w:r>
          </w:p>
        </w:tc>
        <w:tc>
          <w:tcPr>
            <w:tcW w:w="2208" w:type="dxa"/>
            <w:vMerge w:val="continue"/>
            <w:vAlign w:val="center"/>
          </w:tcPr>
          <w:p>
            <w:pPr>
              <w:widowControl/>
              <w:jc w:val="center"/>
              <w:textAlignment w:val="center"/>
              <w:rPr>
                <w:rFonts w:ascii="宋体" w:hAnsi="宋体" w:cs="宋体"/>
                <w:b/>
                <w:color w:val="auto"/>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834" w:type="dxa"/>
            <w:vMerge w:val="restart"/>
            <w:vAlign w:val="center"/>
          </w:tcPr>
          <w:p>
            <w:pPr>
              <w:jc w:val="center"/>
              <w:textAlignment w:val="center"/>
              <w:rPr>
                <w:rFonts w:ascii="宋体" w:hAnsi="宋体" w:cs="宋体"/>
                <w:color w:val="auto"/>
                <w:szCs w:val="21"/>
              </w:rPr>
            </w:pPr>
            <w:r>
              <w:rPr>
                <w:rFonts w:hint="eastAsia" w:ascii="宋体" w:hAnsi="宋体" w:cs="宋体"/>
                <w:color w:val="auto"/>
                <w:szCs w:val="21"/>
              </w:rPr>
              <w:t>施工全过程造价控制</w:t>
            </w:r>
          </w:p>
        </w:tc>
        <w:tc>
          <w:tcPr>
            <w:tcW w:w="962"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基本收费</w:t>
            </w:r>
          </w:p>
        </w:tc>
        <w:tc>
          <w:tcPr>
            <w:tcW w:w="963"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38.5</w:t>
            </w:r>
          </w:p>
        </w:tc>
        <w:tc>
          <w:tcPr>
            <w:tcW w:w="1061" w:type="dxa"/>
            <w:vAlign w:val="center"/>
          </w:tcPr>
          <w:p>
            <w:pPr>
              <w:widowControl/>
              <w:jc w:val="center"/>
              <w:rPr>
                <w:rFonts w:ascii="宋体" w:hAnsi="宋体" w:cs="宋体"/>
                <w:color w:val="auto"/>
                <w:szCs w:val="21"/>
              </w:rPr>
            </w:pPr>
            <w:r>
              <w:rPr>
                <w:rFonts w:hint="eastAsia" w:ascii="宋体" w:hAnsi="宋体" w:cs="宋体"/>
                <w:color w:val="auto"/>
                <w:szCs w:val="21"/>
              </w:rPr>
              <w:t>40%</w:t>
            </w:r>
          </w:p>
        </w:tc>
        <w:tc>
          <w:tcPr>
            <w:tcW w:w="1416" w:type="dxa"/>
            <w:vAlign w:val="center"/>
          </w:tcPr>
          <w:p>
            <w:pPr>
              <w:jc w:val="center"/>
              <w:rPr>
                <w:rFonts w:ascii="宋体" w:hAnsi="宋体" w:cs="宋体"/>
                <w:color w:val="auto"/>
                <w:szCs w:val="21"/>
              </w:rPr>
            </w:pPr>
            <w:r>
              <w:rPr>
                <w:rFonts w:ascii="宋体" w:hAnsi="宋体" w:cs="宋体"/>
                <w:color w:val="auto"/>
                <w:szCs w:val="21"/>
              </w:rPr>
              <w:t>15.4</w:t>
            </w:r>
          </w:p>
        </w:tc>
        <w:tc>
          <w:tcPr>
            <w:tcW w:w="990" w:type="dxa"/>
            <w:vAlign w:val="center"/>
          </w:tcPr>
          <w:p>
            <w:pPr>
              <w:jc w:val="center"/>
              <w:rPr>
                <w:rFonts w:ascii="宋体" w:hAnsi="宋体" w:cs="宋体"/>
                <w:color w:val="auto"/>
                <w:szCs w:val="21"/>
              </w:rPr>
            </w:pPr>
          </w:p>
        </w:tc>
        <w:tc>
          <w:tcPr>
            <w:tcW w:w="1284" w:type="dxa"/>
            <w:vAlign w:val="center"/>
          </w:tcPr>
          <w:p>
            <w:pPr>
              <w:jc w:val="center"/>
              <w:rPr>
                <w:rFonts w:ascii="宋体" w:hAnsi="宋体" w:cs="宋体"/>
                <w:color w:val="auto"/>
                <w:szCs w:val="21"/>
              </w:rPr>
            </w:pPr>
          </w:p>
        </w:tc>
        <w:tc>
          <w:tcPr>
            <w:tcW w:w="2208" w:type="dxa"/>
            <w:vMerge w:val="restart"/>
            <w:vAlign w:val="center"/>
          </w:tcPr>
          <w:p>
            <w:pPr>
              <w:widowControl/>
              <w:jc w:val="left"/>
              <w:textAlignment w:val="center"/>
              <w:rPr>
                <w:rFonts w:ascii="宋体" w:hAnsi="宋体" w:cs="宋体"/>
                <w:color w:val="auto"/>
                <w:szCs w:val="21"/>
              </w:rPr>
            </w:pPr>
            <w:r>
              <w:rPr>
                <w:rFonts w:hint="eastAsia" w:ascii="宋体" w:hAnsi="宋体" w:cs="宋体"/>
                <w:color w:val="auto"/>
                <w:szCs w:val="21"/>
              </w:rPr>
              <w:t>依据苏价服苏建价协（2022）7号，合同价暂按建安费3450万元计算的标准收费作为该项收费基准价，效益收费不予计取。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834" w:type="dxa"/>
            <w:vMerge w:val="continue"/>
            <w:vAlign w:val="center"/>
          </w:tcPr>
          <w:p>
            <w:pPr>
              <w:jc w:val="center"/>
              <w:textAlignment w:val="center"/>
              <w:rPr>
                <w:rFonts w:ascii="宋体" w:hAnsi="宋体" w:cs="宋体"/>
                <w:color w:val="auto"/>
                <w:szCs w:val="21"/>
              </w:rPr>
            </w:pPr>
          </w:p>
        </w:tc>
        <w:tc>
          <w:tcPr>
            <w:tcW w:w="962"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驻场收费</w:t>
            </w:r>
          </w:p>
        </w:tc>
        <w:tc>
          <w:tcPr>
            <w:tcW w:w="963"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16.8250</w:t>
            </w:r>
          </w:p>
        </w:tc>
        <w:tc>
          <w:tcPr>
            <w:tcW w:w="1061" w:type="dxa"/>
            <w:vAlign w:val="center"/>
          </w:tcPr>
          <w:p>
            <w:pPr>
              <w:widowControl/>
              <w:jc w:val="center"/>
              <w:rPr>
                <w:rFonts w:ascii="宋体" w:hAnsi="宋体" w:cs="宋体"/>
                <w:color w:val="auto"/>
                <w:szCs w:val="21"/>
              </w:rPr>
            </w:pPr>
            <w:r>
              <w:rPr>
                <w:rFonts w:hint="eastAsia" w:ascii="宋体" w:hAnsi="宋体" w:cs="宋体"/>
                <w:color w:val="auto"/>
                <w:szCs w:val="21"/>
              </w:rPr>
              <w:t>40%</w:t>
            </w:r>
          </w:p>
        </w:tc>
        <w:tc>
          <w:tcPr>
            <w:tcW w:w="1416" w:type="dxa"/>
            <w:vAlign w:val="center"/>
          </w:tcPr>
          <w:p>
            <w:pPr>
              <w:jc w:val="center"/>
              <w:rPr>
                <w:rFonts w:ascii="宋体" w:hAnsi="宋体" w:cs="宋体"/>
                <w:color w:val="auto"/>
                <w:szCs w:val="21"/>
              </w:rPr>
            </w:pPr>
            <w:r>
              <w:rPr>
                <w:rFonts w:ascii="宋体" w:hAnsi="宋体" w:cs="宋体"/>
                <w:color w:val="auto"/>
                <w:szCs w:val="21"/>
              </w:rPr>
              <w:t>6.73</w:t>
            </w:r>
          </w:p>
        </w:tc>
        <w:tc>
          <w:tcPr>
            <w:tcW w:w="990" w:type="dxa"/>
            <w:vAlign w:val="center"/>
          </w:tcPr>
          <w:p>
            <w:pPr>
              <w:jc w:val="center"/>
              <w:rPr>
                <w:rFonts w:ascii="宋体" w:hAnsi="宋体" w:cs="宋体"/>
                <w:color w:val="auto"/>
                <w:szCs w:val="21"/>
              </w:rPr>
            </w:pPr>
          </w:p>
        </w:tc>
        <w:tc>
          <w:tcPr>
            <w:tcW w:w="1284" w:type="dxa"/>
            <w:vAlign w:val="center"/>
          </w:tcPr>
          <w:p>
            <w:pPr>
              <w:jc w:val="center"/>
              <w:rPr>
                <w:rFonts w:ascii="宋体" w:hAnsi="宋体" w:cs="宋体"/>
                <w:color w:val="auto"/>
                <w:szCs w:val="21"/>
              </w:rPr>
            </w:pPr>
          </w:p>
        </w:tc>
        <w:tc>
          <w:tcPr>
            <w:tcW w:w="2208" w:type="dxa"/>
            <w:vMerge w:val="continue"/>
            <w:vAlign w:val="center"/>
          </w:tcPr>
          <w:p>
            <w:pPr>
              <w:widowControl/>
              <w:jc w:val="left"/>
              <w:textAlignment w:val="center"/>
              <w:rPr>
                <w:rFonts w:ascii="宋体" w:hAnsi="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834" w:type="dxa"/>
            <w:vMerge w:val="restart"/>
            <w:vAlign w:val="center"/>
          </w:tcPr>
          <w:p>
            <w:pPr>
              <w:jc w:val="center"/>
              <w:textAlignment w:val="center"/>
              <w:rPr>
                <w:rFonts w:ascii="宋体" w:hAnsi="宋体" w:cs="宋体"/>
                <w:color w:val="auto"/>
                <w:szCs w:val="21"/>
              </w:rPr>
            </w:pPr>
            <w:r>
              <w:rPr>
                <w:rFonts w:hint="eastAsia" w:ascii="宋体" w:hAnsi="宋体" w:cs="宋体"/>
                <w:color w:val="auto"/>
                <w:szCs w:val="21"/>
              </w:rPr>
              <w:t>工程结算审核</w:t>
            </w:r>
          </w:p>
        </w:tc>
        <w:tc>
          <w:tcPr>
            <w:tcW w:w="962"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基本收费</w:t>
            </w:r>
          </w:p>
        </w:tc>
        <w:tc>
          <w:tcPr>
            <w:tcW w:w="963"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7.06</w:t>
            </w:r>
          </w:p>
        </w:tc>
        <w:tc>
          <w:tcPr>
            <w:tcW w:w="1061" w:type="dxa"/>
            <w:vAlign w:val="center"/>
          </w:tcPr>
          <w:p>
            <w:pPr>
              <w:widowControl/>
              <w:jc w:val="center"/>
              <w:rPr>
                <w:rFonts w:ascii="宋体" w:hAnsi="宋体" w:cs="宋体"/>
                <w:color w:val="auto"/>
                <w:szCs w:val="21"/>
              </w:rPr>
            </w:pPr>
            <w:r>
              <w:rPr>
                <w:rFonts w:hint="eastAsia" w:ascii="宋体" w:hAnsi="宋体" w:cs="宋体"/>
                <w:color w:val="auto"/>
                <w:szCs w:val="21"/>
              </w:rPr>
              <w:t>40%</w:t>
            </w:r>
          </w:p>
        </w:tc>
        <w:tc>
          <w:tcPr>
            <w:tcW w:w="1416" w:type="dxa"/>
            <w:vAlign w:val="center"/>
          </w:tcPr>
          <w:p>
            <w:pPr>
              <w:jc w:val="center"/>
              <w:rPr>
                <w:rFonts w:ascii="宋体" w:hAnsi="宋体" w:cs="宋体"/>
                <w:color w:val="auto"/>
                <w:szCs w:val="21"/>
              </w:rPr>
            </w:pPr>
            <w:r>
              <w:rPr>
                <w:rFonts w:ascii="宋体" w:hAnsi="宋体" w:cs="宋体"/>
                <w:color w:val="auto"/>
                <w:szCs w:val="21"/>
              </w:rPr>
              <w:t>2.824</w:t>
            </w:r>
          </w:p>
        </w:tc>
        <w:tc>
          <w:tcPr>
            <w:tcW w:w="990" w:type="dxa"/>
            <w:vAlign w:val="center"/>
          </w:tcPr>
          <w:p>
            <w:pPr>
              <w:jc w:val="center"/>
              <w:rPr>
                <w:rFonts w:ascii="宋体" w:hAnsi="宋体" w:cs="宋体"/>
                <w:color w:val="auto"/>
                <w:szCs w:val="21"/>
              </w:rPr>
            </w:pPr>
          </w:p>
        </w:tc>
        <w:tc>
          <w:tcPr>
            <w:tcW w:w="1284" w:type="dxa"/>
            <w:vAlign w:val="center"/>
          </w:tcPr>
          <w:p>
            <w:pPr>
              <w:jc w:val="center"/>
              <w:rPr>
                <w:rFonts w:ascii="宋体" w:hAnsi="宋体" w:cs="宋体"/>
                <w:color w:val="auto"/>
                <w:szCs w:val="21"/>
              </w:rPr>
            </w:pPr>
          </w:p>
        </w:tc>
        <w:tc>
          <w:tcPr>
            <w:tcW w:w="2208" w:type="dxa"/>
            <w:vAlign w:val="center"/>
          </w:tcPr>
          <w:p>
            <w:pPr>
              <w:widowControl/>
              <w:jc w:val="left"/>
              <w:textAlignment w:val="center"/>
              <w:rPr>
                <w:rFonts w:ascii="宋体" w:hAnsi="宋体" w:cs="宋体"/>
                <w:color w:val="auto"/>
                <w:szCs w:val="21"/>
              </w:rPr>
            </w:pPr>
            <w:r>
              <w:rPr>
                <w:rFonts w:hint="eastAsia" w:ascii="宋体" w:hAnsi="宋体" w:cs="宋体"/>
                <w:color w:val="auto"/>
                <w:szCs w:val="21"/>
              </w:rPr>
              <w:t>依据苏价服苏建价协（2022）7号，合同价暂按建安费3450万元计算的标准收费作为该项收费基准价。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834" w:type="dxa"/>
            <w:vMerge w:val="continue"/>
            <w:vAlign w:val="center"/>
          </w:tcPr>
          <w:p>
            <w:pPr>
              <w:widowControl/>
              <w:jc w:val="center"/>
              <w:textAlignment w:val="center"/>
              <w:rPr>
                <w:rFonts w:ascii="宋体" w:hAnsi="宋体" w:cs="宋体"/>
                <w:color w:val="auto"/>
                <w:szCs w:val="21"/>
              </w:rPr>
            </w:pPr>
          </w:p>
        </w:tc>
        <w:tc>
          <w:tcPr>
            <w:tcW w:w="962"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效益收费</w:t>
            </w:r>
          </w:p>
        </w:tc>
        <w:tc>
          <w:tcPr>
            <w:tcW w:w="963"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12.42</w:t>
            </w:r>
          </w:p>
        </w:tc>
        <w:tc>
          <w:tcPr>
            <w:tcW w:w="1061" w:type="dxa"/>
            <w:vAlign w:val="center"/>
          </w:tcPr>
          <w:p>
            <w:pPr>
              <w:widowControl/>
              <w:jc w:val="center"/>
              <w:rPr>
                <w:rFonts w:ascii="宋体" w:hAnsi="宋体" w:cs="宋体"/>
                <w:color w:val="auto"/>
                <w:szCs w:val="21"/>
              </w:rPr>
            </w:pPr>
            <w:r>
              <w:rPr>
                <w:rFonts w:hint="eastAsia" w:ascii="宋体" w:hAnsi="宋体" w:cs="宋体"/>
                <w:color w:val="auto"/>
                <w:szCs w:val="21"/>
              </w:rPr>
              <w:t>40%</w:t>
            </w:r>
          </w:p>
        </w:tc>
        <w:tc>
          <w:tcPr>
            <w:tcW w:w="1416" w:type="dxa"/>
            <w:vAlign w:val="center"/>
          </w:tcPr>
          <w:p>
            <w:pPr>
              <w:jc w:val="center"/>
              <w:rPr>
                <w:rFonts w:ascii="宋体" w:hAnsi="宋体" w:cs="宋体"/>
                <w:color w:val="auto"/>
                <w:szCs w:val="21"/>
              </w:rPr>
            </w:pPr>
            <w:r>
              <w:rPr>
                <w:rFonts w:ascii="宋体" w:hAnsi="宋体" w:cs="宋体"/>
                <w:color w:val="auto"/>
                <w:szCs w:val="21"/>
              </w:rPr>
              <w:t>4.968</w:t>
            </w:r>
          </w:p>
        </w:tc>
        <w:tc>
          <w:tcPr>
            <w:tcW w:w="990" w:type="dxa"/>
            <w:vAlign w:val="center"/>
          </w:tcPr>
          <w:p>
            <w:pPr>
              <w:jc w:val="center"/>
              <w:rPr>
                <w:rFonts w:ascii="宋体" w:hAnsi="宋体" w:cs="宋体"/>
                <w:color w:val="auto"/>
                <w:szCs w:val="21"/>
              </w:rPr>
            </w:pPr>
          </w:p>
        </w:tc>
        <w:tc>
          <w:tcPr>
            <w:tcW w:w="1284" w:type="dxa"/>
            <w:vAlign w:val="center"/>
          </w:tcPr>
          <w:p>
            <w:pPr>
              <w:jc w:val="center"/>
              <w:rPr>
                <w:rFonts w:ascii="宋体" w:hAnsi="宋体" w:cs="宋体"/>
                <w:color w:val="auto"/>
                <w:szCs w:val="21"/>
              </w:rPr>
            </w:pPr>
          </w:p>
        </w:tc>
        <w:tc>
          <w:tcPr>
            <w:tcW w:w="2208" w:type="dxa"/>
            <w:vAlign w:val="center"/>
          </w:tcPr>
          <w:p>
            <w:pPr>
              <w:widowControl/>
              <w:jc w:val="left"/>
              <w:textAlignment w:val="center"/>
              <w:rPr>
                <w:rFonts w:ascii="宋体" w:hAnsi="宋体" w:cs="宋体"/>
                <w:color w:val="auto"/>
                <w:szCs w:val="21"/>
              </w:rPr>
            </w:pPr>
            <w:r>
              <w:rPr>
                <w:rFonts w:hint="eastAsia" w:ascii="宋体" w:hAnsi="宋体" w:cs="宋体"/>
                <w:color w:val="auto"/>
                <w:szCs w:val="21"/>
              </w:rPr>
              <w:t>依据苏价服苏建价协（2022）7号，核减额暂按暂估建安费的6%（207万元）计算，按此方法计算的标准收费作为该项收费基准价。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834"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合计</w:t>
            </w:r>
          </w:p>
        </w:tc>
        <w:tc>
          <w:tcPr>
            <w:tcW w:w="962" w:type="dxa"/>
            <w:vAlign w:val="center"/>
          </w:tcPr>
          <w:p>
            <w:pPr>
              <w:widowControl/>
              <w:jc w:val="center"/>
              <w:textAlignment w:val="center"/>
              <w:rPr>
                <w:rFonts w:ascii="宋体" w:hAnsi="宋体" w:cs="宋体"/>
                <w:color w:val="auto"/>
                <w:szCs w:val="21"/>
              </w:rPr>
            </w:pPr>
          </w:p>
        </w:tc>
        <w:tc>
          <w:tcPr>
            <w:tcW w:w="963"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w:t>
            </w:r>
          </w:p>
        </w:tc>
        <w:tc>
          <w:tcPr>
            <w:tcW w:w="1061"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w:t>
            </w:r>
          </w:p>
        </w:tc>
        <w:tc>
          <w:tcPr>
            <w:tcW w:w="1416" w:type="dxa"/>
            <w:vAlign w:val="center"/>
          </w:tcPr>
          <w:p>
            <w:pPr>
              <w:jc w:val="center"/>
              <w:rPr>
                <w:rFonts w:ascii="宋体" w:hAnsi="宋体" w:cs="宋体"/>
                <w:color w:val="auto"/>
                <w:szCs w:val="21"/>
              </w:rPr>
            </w:pPr>
            <w:r>
              <w:rPr>
                <w:rFonts w:ascii="宋体" w:hAnsi="宋体" w:cs="宋体"/>
                <w:color w:val="auto"/>
                <w:szCs w:val="21"/>
              </w:rPr>
              <w:t>29.922</w:t>
            </w:r>
          </w:p>
        </w:tc>
        <w:tc>
          <w:tcPr>
            <w:tcW w:w="990" w:type="dxa"/>
            <w:vAlign w:val="center"/>
          </w:tcPr>
          <w:p>
            <w:pPr>
              <w:jc w:val="center"/>
              <w:rPr>
                <w:rFonts w:ascii="宋体" w:hAnsi="宋体" w:cs="宋体"/>
                <w:color w:val="auto"/>
                <w:szCs w:val="21"/>
              </w:rPr>
            </w:pPr>
          </w:p>
        </w:tc>
        <w:tc>
          <w:tcPr>
            <w:tcW w:w="1284" w:type="dxa"/>
            <w:vAlign w:val="center"/>
          </w:tcPr>
          <w:p>
            <w:pPr>
              <w:jc w:val="center"/>
              <w:rPr>
                <w:rFonts w:ascii="宋体" w:hAnsi="宋体" w:cs="宋体"/>
                <w:color w:val="auto"/>
                <w:szCs w:val="21"/>
              </w:rPr>
            </w:pPr>
          </w:p>
        </w:tc>
        <w:tc>
          <w:tcPr>
            <w:tcW w:w="2208" w:type="dxa"/>
            <w:vAlign w:val="center"/>
          </w:tcPr>
          <w:p>
            <w:pPr>
              <w:widowControl/>
              <w:jc w:val="center"/>
              <w:textAlignment w:val="center"/>
              <w:rPr>
                <w:rFonts w:ascii="宋体" w:hAnsi="宋体" w:cs="宋体"/>
                <w:color w:val="auto"/>
                <w:szCs w:val="21"/>
              </w:rPr>
            </w:pPr>
          </w:p>
        </w:tc>
      </w:tr>
    </w:tbl>
    <w:p>
      <w:pPr>
        <w:ind w:firstLine="420" w:firstLineChars="200"/>
        <w:rPr>
          <w:rFonts w:hint="eastAsia" w:ascii="宋体" w:hAnsi="宋体" w:cs="宋体"/>
          <w:color w:val="auto"/>
          <w:szCs w:val="21"/>
        </w:rPr>
      </w:pPr>
    </w:p>
    <w:p>
      <w:pPr>
        <w:ind w:firstLine="480" w:firstLineChars="200"/>
        <w:rPr>
          <w:rFonts w:hint="eastAsia" w:ascii="宋体" w:hAnsi="宋体" w:cs="宋体"/>
          <w:color w:val="auto"/>
          <w:sz w:val="24"/>
          <w:szCs w:val="24"/>
        </w:rPr>
      </w:pPr>
      <w:r>
        <w:rPr>
          <w:rFonts w:hint="eastAsia"/>
          <w:color w:val="auto"/>
          <w:sz w:val="24"/>
          <w:szCs w:val="24"/>
        </w:rPr>
        <w:t>②</w:t>
      </w:r>
      <w:r>
        <w:rPr>
          <w:rFonts w:hint="eastAsia" w:ascii="宋体" w:hAnsi="宋体" w:cs="宋体"/>
          <w:color w:val="auto"/>
          <w:sz w:val="24"/>
          <w:szCs w:val="24"/>
        </w:rPr>
        <w:t>商务酒店项目：</w:t>
      </w:r>
    </w:p>
    <w:p>
      <w:pPr>
        <w:pStyle w:val="2"/>
        <w:rPr>
          <w:color w:val="auto"/>
        </w:rPr>
      </w:pPr>
    </w:p>
    <w:tbl>
      <w:tblPr>
        <w:tblStyle w:val="48"/>
        <w:tblW w:w="99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2"/>
        <w:gridCol w:w="962"/>
        <w:gridCol w:w="963"/>
        <w:gridCol w:w="1061"/>
        <w:gridCol w:w="1416"/>
        <w:gridCol w:w="818"/>
        <w:gridCol w:w="1584"/>
        <w:gridCol w:w="23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842" w:type="dxa"/>
            <w:vMerge w:val="restart"/>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委托内容</w:t>
            </w:r>
          </w:p>
        </w:tc>
        <w:tc>
          <w:tcPr>
            <w:tcW w:w="1925" w:type="dxa"/>
            <w:gridSpan w:val="2"/>
            <w:vMerge w:val="restart"/>
            <w:vAlign w:val="center"/>
          </w:tcPr>
          <w:p>
            <w:pPr>
              <w:jc w:val="center"/>
              <w:textAlignment w:val="center"/>
              <w:rPr>
                <w:rFonts w:ascii="宋体" w:hAnsi="宋体" w:cs="宋体"/>
                <w:b/>
                <w:color w:val="auto"/>
                <w:kern w:val="0"/>
                <w:szCs w:val="21"/>
              </w:rPr>
            </w:pPr>
            <w:r>
              <w:rPr>
                <w:rFonts w:hint="eastAsia" w:ascii="宋体" w:hAnsi="宋体" w:cs="宋体"/>
                <w:b/>
                <w:color w:val="auto"/>
                <w:szCs w:val="21"/>
              </w:rPr>
              <w:t>收费基准价（万元）</w:t>
            </w:r>
          </w:p>
        </w:tc>
        <w:tc>
          <w:tcPr>
            <w:tcW w:w="2477" w:type="dxa"/>
            <w:gridSpan w:val="2"/>
            <w:vAlign w:val="center"/>
          </w:tcPr>
          <w:p>
            <w:pPr>
              <w:widowControl/>
              <w:jc w:val="center"/>
              <w:textAlignment w:val="center"/>
              <w:rPr>
                <w:rFonts w:ascii="宋体" w:hAnsi="宋体" w:cs="宋体"/>
                <w:b/>
                <w:color w:val="auto"/>
                <w:szCs w:val="21"/>
              </w:rPr>
            </w:pPr>
            <w:r>
              <w:rPr>
                <w:rFonts w:hint="eastAsia" w:ascii="宋体" w:hAnsi="宋体" w:cs="宋体"/>
                <w:b/>
                <w:color w:val="auto"/>
                <w:kern w:val="0"/>
                <w:szCs w:val="21"/>
              </w:rPr>
              <w:t>招标控制价</w:t>
            </w:r>
          </w:p>
        </w:tc>
        <w:tc>
          <w:tcPr>
            <w:tcW w:w="2402" w:type="dxa"/>
            <w:gridSpan w:val="2"/>
            <w:vAlign w:val="center"/>
          </w:tcPr>
          <w:p>
            <w:pPr>
              <w:widowControl/>
              <w:jc w:val="center"/>
              <w:textAlignment w:val="center"/>
              <w:rPr>
                <w:rFonts w:hint="eastAsia" w:ascii="宋体" w:hAnsi="宋体" w:cs="宋体"/>
                <w:b/>
                <w:color w:val="auto"/>
                <w:kern w:val="0"/>
                <w:szCs w:val="21"/>
              </w:rPr>
            </w:pPr>
            <w:r>
              <w:rPr>
                <w:rFonts w:hint="eastAsia" w:ascii="宋体" w:hAnsi="宋体" w:cs="宋体"/>
                <w:b/>
                <w:color w:val="auto"/>
                <w:kern w:val="0"/>
                <w:szCs w:val="21"/>
              </w:rPr>
              <w:t>投标报价</w:t>
            </w:r>
          </w:p>
        </w:tc>
        <w:tc>
          <w:tcPr>
            <w:tcW w:w="2304" w:type="dxa"/>
            <w:vMerge w:val="restart"/>
            <w:vAlign w:val="center"/>
          </w:tcPr>
          <w:p>
            <w:pPr>
              <w:widowControl/>
              <w:jc w:val="center"/>
              <w:textAlignment w:val="center"/>
              <w:rPr>
                <w:rFonts w:ascii="宋体" w:hAnsi="宋体" w:cs="宋体"/>
                <w:b/>
                <w:color w:val="auto"/>
                <w:kern w:val="0"/>
                <w:szCs w:val="21"/>
              </w:rPr>
            </w:pPr>
            <w:r>
              <w:rPr>
                <w:rFonts w:hint="eastAsia" w:ascii="宋体" w:hAnsi="宋体" w:cs="宋体"/>
                <w:b/>
                <w:color w:val="auto"/>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842" w:type="dxa"/>
            <w:vMerge w:val="continue"/>
            <w:vAlign w:val="center"/>
          </w:tcPr>
          <w:p>
            <w:pPr>
              <w:widowControl/>
              <w:jc w:val="center"/>
              <w:rPr>
                <w:rFonts w:ascii="宋体" w:hAnsi="宋体" w:cs="宋体"/>
                <w:b/>
                <w:color w:val="auto"/>
                <w:szCs w:val="21"/>
              </w:rPr>
            </w:pPr>
          </w:p>
        </w:tc>
        <w:tc>
          <w:tcPr>
            <w:tcW w:w="1925" w:type="dxa"/>
            <w:gridSpan w:val="2"/>
            <w:vMerge w:val="continue"/>
            <w:vAlign w:val="center"/>
          </w:tcPr>
          <w:p>
            <w:pPr>
              <w:widowControl/>
              <w:jc w:val="center"/>
              <w:textAlignment w:val="center"/>
              <w:rPr>
                <w:rFonts w:ascii="宋体" w:hAnsi="宋体" w:cs="宋体"/>
                <w:b/>
                <w:color w:val="auto"/>
                <w:kern w:val="0"/>
                <w:szCs w:val="21"/>
              </w:rPr>
            </w:pPr>
          </w:p>
        </w:tc>
        <w:tc>
          <w:tcPr>
            <w:tcW w:w="1061" w:type="dxa"/>
            <w:vAlign w:val="center"/>
          </w:tcPr>
          <w:p>
            <w:pPr>
              <w:widowControl/>
              <w:jc w:val="center"/>
              <w:textAlignment w:val="center"/>
              <w:rPr>
                <w:rFonts w:ascii="宋体" w:hAnsi="宋体" w:cs="宋体"/>
                <w:b/>
                <w:color w:val="auto"/>
                <w:kern w:val="0"/>
                <w:szCs w:val="21"/>
              </w:rPr>
            </w:pPr>
            <w:r>
              <w:rPr>
                <w:rFonts w:hint="eastAsia" w:ascii="宋体" w:hAnsi="宋体" w:cs="宋体"/>
                <w:b/>
                <w:color w:val="auto"/>
                <w:kern w:val="0"/>
                <w:szCs w:val="21"/>
              </w:rPr>
              <w:t>费率</w:t>
            </w:r>
          </w:p>
        </w:tc>
        <w:tc>
          <w:tcPr>
            <w:tcW w:w="1416" w:type="dxa"/>
            <w:vAlign w:val="center"/>
          </w:tcPr>
          <w:p>
            <w:pPr>
              <w:widowControl/>
              <w:jc w:val="center"/>
              <w:textAlignment w:val="center"/>
              <w:rPr>
                <w:rFonts w:ascii="宋体" w:hAnsi="宋体" w:cs="宋体"/>
                <w:b/>
                <w:color w:val="auto"/>
                <w:kern w:val="0"/>
                <w:szCs w:val="21"/>
              </w:rPr>
            </w:pPr>
            <w:r>
              <w:rPr>
                <w:rFonts w:hint="eastAsia" w:ascii="宋体" w:hAnsi="宋体" w:cs="宋体"/>
                <w:b/>
                <w:color w:val="auto"/>
                <w:kern w:val="0"/>
                <w:szCs w:val="21"/>
              </w:rPr>
              <w:t>价格（万元）</w:t>
            </w:r>
          </w:p>
        </w:tc>
        <w:tc>
          <w:tcPr>
            <w:tcW w:w="818" w:type="dxa"/>
            <w:vAlign w:val="center"/>
          </w:tcPr>
          <w:p>
            <w:pPr>
              <w:widowControl/>
              <w:jc w:val="center"/>
              <w:textAlignment w:val="center"/>
              <w:rPr>
                <w:rFonts w:hint="eastAsia" w:ascii="宋体" w:hAnsi="宋体" w:cs="宋体"/>
                <w:b/>
                <w:color w:val="auto"/>
                <w:kern w:val="0"/>
                <w:szCs w:val="21"/>
              </w:rPr>
            </w:pPr>
            <w:r>
              <w:rPr>
                <w:rFonts w:hint="eastAsia" w:ascii="宋体" w:hAnsi="宋体" w:cs="宋体"/>
                <w:b/>
                <w:color w:val="auto"/>
                <w:kern w:val="0"/>
                <w:szCs w:val="21"/>
              </w:rPr>
              <w:t>费率</w:t>
            </w:r>
          </w:p>
        </w:tc>
        <w:tc>
          <w:tcPr>
            <w:tcW w:w="1584" w:type="dxa"/>
            <w:vAlign w:val="center"/>
          </w:tcPr>
          <w:p>
            <w:pPr>
              <w:widowControl/>
              <w:jc w:val="center"/>
              <w:textAlignment w:val="center"/>
              <w:rPr>
                <w:rFonts w:hint="eastAsia" w:ascii="宋体" w:hAnsi="宋体" w:cs="宋体"/>
                <w:b/>
                <w:color w:val="auto"/>
                <w:kern w:val="0"/>
                <w:szCs w:val="21"/>
              </w:rPr>
            </w:pPr>
            <w:r>
              <w:rPr>
                <w:rFonts w:hint="eastAsia" w:ascii="宋体" w:hAnsi="宋体" w:cs="宋体"/>
                <w:b/>
                <w:color w:val="auto"/>
                <w:kern w:val="0"/>
                <w:szCs w:val="21"/>
              </w:rPr>
              <w:t>价格（万元）</w:t>
            </w:r>
          </w:p>
        </w:tc>
        <w:tc>
          <w:tcPr>
            <w:tcW w:w="2304" w:type="dxa"/>
            <w:vMerge w:val="continue"/>
            <w:vAlign w:val="center"/>
          </w:tcPr>
          <w:p>
            <w:pPr>
              <w:widowControl/>
              <w:jc w:val="center"/>
              <w:textAlignment w:val="center"/>
              <w:rPr>
                <w:rFonts w:ascii="宋体" w:hAnsi="宋体" w:cs="宋体"/>
                <w:b/>
                <w:color w:val="auto"/>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842" w:type="dxa"/>
            <w:vMerge w:val="restart"/>
            <w:vAlign w:val="center"/>
          </w:tcPr>
          <w:p>
            <w:pPr>
              <w:jc w:val="center"/>
              <w:textAlignment w:val="center"/>
              <w:rPr>
                <w:rFonts w:ascii="宋体" w:hAnsi="宋体" w:cs="宋体"/>
                <w:color w:val="auto"/>
                <w:szCs w:val="21"/>
              </w:rPr>
            </w:pPr>
            <w:r>
              <w:rPr>
                <w:rFonts w:hint="eastAsia" w:ascii="宋体" w:hAnsi="宋体" w:cs="宋体"/>
                <w:color w:val="auto"/>
                <w:szCs w:val="21"/>
              </w:rPr>
              <w:t>施工全过程造价控制</w:t>
            </w:r>
          </w:p>
        </w:tc>
        <w:tc>
          <w:tcPr>
            <w:tcW w:w="962"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基本收费</w:t>
            </w:r>
          </w:p>
        </w:tc>
        <w:tc>
          <w:tcPr>
            <w:tcW w:w="963"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48</w:t>
            </w:r>
          </w:p>
        </w:tc>
        <w:tc>
          <w:tcPr>
            <w:tcW w:w="1061" w:type="dxa"/>
            <w:vAlign w:val="center"/>
          </w:tcPr>
          <w:p>
            <w:pPr>
              <w:widowControl/>
              <w:jc w:val="center"/>
              <w:rPr>
                <w:rFonts w:ascii="宋体" w:hAnsi="宋体" w:cs="宋体"/>
                <w:color w:val="auto"/>
                <w:szCs w:val="21"/>
              </w:rPr>
            </w:pPr>
            <w:r>
              <w:rPr>
                <w:rFonts w:hint="eastAsia" w:ascii="宋体" w:hAnsi="宋体" w:cs="宋体"/>
                <w:color w:val="auto"/>
                <w:kern w:val="0"/>
                <w:szCs w:val="21"/>
              </w:rPr>
              <w:t>40%</w:t>
            </w:r>
          </w:p>
        </w:tc>
        <w:tc>
          <w:tcPr>
            <w:tcW w:w="1416" w:type="dxa"/>
            <w:vAlign w:val="center"/>
          </w:tcPr>
          <w:p>
            <w:pPr>
              <w:widowControl/>
              <w:jc w:val="center"/>
              <w:textAlignment w:val="center"/>
              <w:rPr>
                <w:rFonts w:ascii="宋体" w:hAnsi="宋体" w:cs="宋体"/>
                <w:color w:val="auto"/>
                <w:szCs w:val="21"/>
              </w:rPr>
            </w:pPr>
            <w:r>
              <w:rPr>
                <w:rFonts w:ascii="宋体" w:hAnsi="宋体" w:cs="宋体"/>
                <w:color w:val="auto"/>
                <w:szCs w:val="21"/>
              </w:rPr>
              <w:t>19.2</w:t>
            </w:r>
          </w:p>
        </w:tc>
        <w:tc>
          <w:tcPr>
            <w:tcW w:w="818" w:type="dxa"/>
            <w:vAlign w:val="center"/>
          </w:tcPr>
          <w:p>
            <w:pPr>
              <w:jc w:val="center"/>
              <w:rPr>
                <w:rFonts w:ascii="宋体" w:hAnsi="宋体" w:cs="宋体"/>
                <w:color w:val="auto"/>
                <w:szCs w:val="21"/>
              </w:rPr>
            </w:pPr>
          </w:p>
        </w:tc>
        <w:tc>
          <w:tcPr>
            <w:tcW w:w="1584" w:type="dxa"/>
            <w:vAlign w:val="center"/>
          </w:tcPr>
          <w:p>
            <w:pPr>
              <w:jc w:val="center"/>
              <w:rPr>
                <w:rFonts w:ascii="宋体" w:hAnsi="宋体" w:cs="宋体"/>
                <w:color w:val="auto"/>
                <w:szCs w:val="21"/>
              </w:rPr>
            </w:pPr>
          </w:p>
        </w:tc>
        <w:tc>
          <w:tcPr>
            <w:tcW w:w="2304" w:type="dxa"/>
            <w:vMerge w:val="restart"/>
            <w:vAlign w:val="center"/>
          </w:tcPr>
          <w:p>
            <w:pPr>
              <w:widowControl/>
              <w:jc w:val="left"/>
              <w:textAlignment w:val="center"/>
              <w:rPr>
                <w:rFonts w:ascii="宋体" w:hAnsi="宋体" w:cs="宋体"/>
                <w:color w:val="auto"/>
                <w:szCs w:val="21"/>
              </w:rPr>
            </w:pPr>
            <w:r>
              <w:rPr>
                <w:rFonts w:hint="eastAsia" w:ascii="宋体" w:hAnsi="宋体" w:cs="宋体"/>
                <w:color w:val="auto"/>
                <w:szCs w:val="21"/>
              </w:rPr>
              <w:t>依据苏价服苏建价协（2022）7号，合同价暂按建安费4400万元计算的标准收费作为该项收费基准价，效益收费不予计取。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842" w:type="dxa"/>
            <w:vMerge w:val="continue"/>
            <w:vAlign w:val="center"/>
          </w:tcPr>
          <w:p>
            <w:pPr>
              <w:jc w:val="center"/>
              <w:textAlignment w:val="center"/>
              <w:rPr>
                <w:rFonts w:ascii="宋体" w:hAnsi="宋体" w:cs="宋体"/>
                <w:color w:val="auto"/>
                <w:szCs w:val="21"/>
              </w:rPr>
            </w:pPr>
          </w:p>
        </w:tc>
        <w:tc>
          <w:tcPr>
            <w:tcW w:w="962"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驻场收费</w:t>
            </w:r>
          </w:p>
        </w:tc>
        <w:tc>
          <w:tcPr>
            <w:tcW w:w="963"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21.1</w:t>
            </w:r>
          </w:p>
        </w:tc>
        <w:tc>
          <w:tcPr>
            <w:tcW w:w="1061" w:type="dxa"/>
            <w:vAlign w:val="center"/>
          </w:tcPr>
          <w:p>
            <w:pPr>
              <w:widowControl/>
              <w:jc w:val="center"/>
              <w:rPr>
                <w:rFonts w:ascii="宋体" w:hAnsi="宋体" w:cs="宋体"/>
                <w:color w:val="auto"/>
                <w:szCs w:val="21"/>
              </w:rPr>
            </w:pPr>
            <w:r>
              <w:rPr>
                <w:rFonts w:hint="eastAsia" w:ascii="宋体" w:hAnsi="宋体" w:cs="宋体"/>
                <w:color w:val="auto"/>
                <w:kern w:val="0"/>
                <w:szCs w:val="21"/>
              </w:rPr>
              <w:t>40%</w:t>
            </w:r>
          </w:p>
        </w:tc>
        <w:tc>
          <w:tcPr>
            <w:tcW w:w="1416" w:type="dxa"/>
            <w:vAlign w:val="center"/>
          </w:tcPr>
          <w:p>
            <w:pPr>
              <w:widowControl/>
              <w:jc w:val="center"/>
              <w:textAlignment w:val="center"/>
              <w:rPr>
                <w:rFonts w:ascii="宋体" w:hAnsi="宋体" w:cs="宋体"/>
                <w:color w:val="auto"/>
                <w:szCs w:val="21"/>
              </w:rPr>
            </w:pPr>
            <w:r>
              <w:rPr>
                <w:rFonts w:ascii="宋体" w:hAnsi="宋体" w:cs="宋体"/>
                <w:color w:val="auto"/>
                <w:szCs w:val="21"/>
              </w:rPr>
              <w:t>8.44</w:t>
            </w:r>
          </w:p>
        </w:tc>
        <w:tc>
          <w:tcPr>
            <w:tcW w:w="818" w:type="dxa"/>
            <w:vAlign w:val="center"/>
          </w:tcPr>
          <w:p>
            <w:pPr>
              <w:jc w:val="center"/>
              <w:rPr>
                <w:rFonts w:ascii="宋体" w:hAnsi="宋体" w:cs="宋体"/>
                <w:color w:val="auto"/>
                <w:szCs w:val="21"/>
              </w:rPr>
            </w:pPr>
          </w:p>
        </w:tc>
        <w:tc>
          <w:tcPr>
            <w:tcW w:w="1584" w:type="dxa"/>
            <w:vAlign w:val="center"/>
          </w:tcPr>
          <w:p>
            <w:pPr>
              <w:jc w:val="center"/>
              <w:rPr>
                <w:rFonts w:ascii="宋体" w:hAnsi="宋体" w:cs="宋体"/>
                <w:color w:val="auto"/>
                <w:szCs w:val="21"/>
              </w:rPr>
            </w:pPr>
          </w:p>
        </w:tc>
        <w:tc>
          <w:tcPr>
            <w:tcW w:w="2304" w:type="dxa"/>
            <w:vMerge w:val="continue"/>
            <w:vAlign w:val="center"/>
          </w:tcPr>
          <w:p>
            <w:pPr>
              <w:widowControl/>
              <w:jc w:val="left"/>
              <w:textAlignment w:val="center"/>
              <w:rPr>
                <w:rFonts w:ascii="宋体" w:hAnsi="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842" w:type="dxa"/>
            <w:vMerge w:val="restart"/>
            <w:vAlign w:val="center"/>
          </w:tcPr>
          <w:p>
            <w:pPr>
              <w:jc w:val="center"/>
              <w:textAlignment w:val="center"/>
              <w:rPr>
                <w:rFonts w:ascii="宋体" w:hAnsi="宋体" w:cs="宋体"/>
                <w:color w:val="auto"/>
                <w:szCs w:val="21"/>
              </w:rPr>
            </w:pPr>
            <w:r>
              <w:rPr>
                <w:rFonts w:hint="eastAsia" w:ascii="宋体" w:hAnsi="宋体" w:cs="宋体"/>
                <w:color w:val="auto"/>
                <w:szCs w:val="21"/>
              </w:rPr>
              <w:t>工程结算审核</w:t>
            </w:r>
          </w:p>
        </w:tc>
        <w:tc>
          <w:tcPr>
            <w:tcW w:w="962"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基本收费</w:t>
            </w:r>
          </w:p>
        </w:tc>
        <w:tc>
          <w:tcPr>
            <w:tcW w:w="963"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8.77</w:t>
            </w:r>
          </w:p>
        </w:tc>
        <w:tc>
          <w:tcPr>
            <w:tcW w:w="1061" w:type="dxa"/>
            <w:vAlign w:val="center"/>
          </w:tcPr>
          <w:p>
            <w:pPr>
              <w:widowControl/>
              <w:jc w:val="center"/>
              <w:rPr>
                <w:rFonts w:ascii="宋体" w:hAnsi="宋体" w:cs="宋体"/>
                <w:color w:val="auto"/>
                <w:szCs w:val="21"/>
              </w:rPr>
            </w:pPr>
            <w:r>
              <w:rPr>
                <w:rFonts w:hint="eastAsia" w:ascii="宋体" w:hAnsi="宋体" w:cs="宋体"/>
                <w:color w:val="auto"/>
                <w:kern w:val="0"/>
                <w:szCs w:val="21"/>
              </w:rPr>
              <w:t>40%</w:t>
            </w:r>
          </w:p>
        </w:tc>
        <w:tc>
          <w:tcPr>
            <w:tcW w:w="1416" w:type="dxa"/>
            <w:vAlign w:val="center"/>
          </w:tcPr>
          <w:p>
            <w:pPr>
              <w:widowControl/>
              <w:jc w:val="center"/>
              <w:textAlignment w:val="center"/>
              <w:rPr>
                <w:rFonts w:ascii="宋体" w:hAnsi="宋体" w:cs="宋体"/>
                <w:color w:val="auto"/>
                <w:szCs w:val="21"/>
              </w:rPr>
            </w:pPr>
            <w:r>
              <w:rPr>
                <w:rFonts w:ascii="宋体" w:hAnsi="宋体" w:cs="宋体"/>
                <w:color w:val="auto"/>
                <w:szCs w:val="21"/>
              </w:rPr>
              <w:t>3.508</w:t>
            </w:r>
          </w:p>
        </w:tc>
        <w:tc>
          <w:tcPr>
            <w:tcW w:w="818" w:type="dxa"/>
            <w:vAlign w:val="center"/>
          </w:tcPr>
          <w:p>
            <w:pPr>
              <w:jc w:val="center"/>
              <w:rPr>
                <w:rFonts w:ascii="宋体" w:hAnsi="宋体" w:cs="宋体"/>
                <w:color w:val="auto"/>
                <w:szCs w:val="21"/>
              </w:rPr>
            </w:pPr>
          </w:p>
        </w:tc>
        <w:tc>
          <w:tcPr>
            <w:tcW w:w="1584" w:type="dxa"/>
            <w:vAlign w:val="center"/>
          </w:tcPr>
          <w:p>
            <w:pPr>
              <w:jc w:val="center"/>
              <w:rPr>
                <w:rFonts w:ascii="宋体" w:hAnsi="宋体" w:cs="宋体"/>
                <w:color w:val="auto"/>
                <w:szCs w:val="21"/>
              </w:rPr>
            </w:pPr>
          </w:p>
        </w:tc>
        <w:tc>
          <w:tcPr>
            <w:tcW w:w="2304" w:type="dxa"/>
            <w:vAlign w:val="center"/>
          </w:tcPr>
          <w:p>
            <w:pPr>
              <w:widowControl/>
              <w:jc w:val="left"/>
              <w:textAlignment w:val="center"/>
              <w:rPr>
                <w:rFonts w:ascii="宋体" w:hAnsi="宋体" w:cs="宋体"/>
                <w:color w:val="auto"/>
                <w:szCs w:val="21"/>
              </w:rPr>
            </w:pPr>
            <w:r>
              <w:rPr>
                <w:rFonts w:hint="eastAsia" w:ascii="宋体" w:hAnsi="宋体" w:cs="宋体"/>
                <w:color w:val="auto"/>
                <w:szCs w:val="21"/>
              </w:rPr>
              <w:t>依据苏价服苏建价协（2022）7号，合同价暂按建安费4400万元计算的标准收费作为该项收费基准价。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842" w:type="dxa"/>
            <w:vMerge w:val="continue"/>
            <w:vAlign w:val="center"/>
          </w:tcPr>
          <w:p>
            <w:pPr>
              <w:widowControl/>
              <w:jc w:val="center"/>
              <w:textAlignment w:val="center"/>
              <w:rPr>
                <w:rFonts w:ascii="宋体" w:hAnsi="宋体" w:cs="宋体"/>
                <w:color w:val="auto"/>
                <w:szCs w:val="21"/>
              </w:rPr>
            </w:pPr>
          </w:p>
        </w:tc>
        <w:tc>
          <w:tcPr>
            <w:tcW w:w="962"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效益收费</w:t>
            </w:r>
          </w:p>
        </w:tc>
        <w:tc>
          <w:tcPr>
            <w:tcW w:w="963"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rPr>
              <w:t>15.84</w:t>
            </w:r>
          </w:p>
        </w:tc>
        <w:tc>
          <w:tcPr>
            <w:tcW w:w="1061" w:type="dxa"/>
            <w:vAlign w:val="center"/>
          </w:tcPr>
          <w:p>
            <w:pPr>
              <w:widowControl/>
              <w:jc w:val="center"/>
              <w:rPr>
                <w:rFonts w:ascii="宋体" w:hAnsi="宋体" w:cs="宋体"/>
                <w:color w:val="auto"/>
                <w:szCs w:val="21"/>
              </w:rPr>
            </w:pPr>
            <w:r>
              <w:rPr>
                <w:rFonts w:hint="eastAsia" w:ascii="宋体" w:hAnsi="宋体" w:cs="宋体"/>
                <w:color w:val="auto"/>
                <w:kern w:val="0"/>
                <w:szCs w:val="21"/>
              </w:rPr>
              <w:t>40%</w:t>
            </w:r>
          </w:p>
        </w:tc>
        <w:tc>
          <w:tcPr>
            <w:tcW w:w="1416" w:type="dxa"/>
            <w:vAlign w:val="center"/>
          </w:tcPr>
          <w:p>
            <w:pPr>
              <w:widowControl/>
              <w:jc w:val="center"/>
              <w:textAlignment w:val="center"/>
              <w:rPr>
                <w:rFonts w:ascii="宋体" w:hAnsi="宋体" w:cs="宋体"/>
                <w:color w:val="auto"/>
                <w:szCs w:val="21"/>
              </w:rPr>
            </w:pPr>
            <w:r>
              <w:rPr>
                <w:rFonts w:ascii="宋体" w:hAnsi="宋体" w:cs="宋体"/>
                <w:color w:val="auto"/>
                <w:szCs w:val="21"/>
              </w:rPr>
              <w:t>6.336</w:t>
            </w:r>
          </w:p>
        </w:tc>
        <w:tc>
          <w:tcPr>
            <w:tcW w:w="818" w:type="dxa"/>
            <w:vAlign w:val="center"/>
          </w:tcPr>
          <w:p>
            <w:pPr>
              <w:jc w:val="center"/>
              <w:rPr>
                <w:rFonts w:ascii="宋体" w:hAnsi="宋体" w:cs="宋体"/>
                <w:color w:val="auto"/>
                <w:szCs w:val="21"/>
              </w:rPr>
            </w:pPr>
          </w:p>
        </w:tc>
        <w:tc>
          <w:tcPr>
            <w:tcW w:w="1584" w:type="dxa"/>
            <w:vAlign w:val="center"/>
          </w:tcPr>
          <w:p>
            <w:pPr>
              <w:jc w:val="center"/>
              <w:rPr>
                <w:rFonts w:ascii="宋体" w:hAnsi="宋体" w:cs="宋体"/>
                <w:color w:val="auto"/>
                <w:szCs w:val="21"/>
              </w:rPr>
            </w:pPr>
          </w:p>
        </w:tc>
        <w:tc>
          <w:tcPr>
            <w:tcW w:w="2304" w:type="dxa"/>
            <w:vAlign w:val="center"/>
          </w:tcPr>
          <w:p>
            <w:pPr>
              <w:widowControl/>
              <w:jc w:val="left"/>
              <w:textAlignment w:val="center"/>
              <w:rPr>
                <w:rFonts w:ascii="宋体" w:hAnsi="宋体" w:cs="宋体"/>
                <w:color w:val="auto"/>
                <w:szCs w:val="21"/>
              </w:rPr>
            </w:pPr>
            <w:r>
              <w:rPr>
                <w:rFonts w:hint="eastAsia" w:ascii="宋体" w:hAnsi="宋体" w:cs="宋体"/>
                <w:color w:val="auto"/>
                <w:szCs w:val="21"/>
              </w:rPr>
              <w:t>依据苏价服苏建价协（2022）7号，核减额暂按暂估建安费的6%（264万元）计算，按此方法计算的标准收费作为该项收费基准价。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842"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合计</w:t>
            </w:r>
          </w:p>
        </w:tc>
        <w:tc>
          <w:tcPr>
            <w:tcW w:w="962" w:type="dxa"/>
            <w:vAlign w:val="center"/>
          </w:tcPr>
          <w:p>
            <w:pPr>
              <w:widowControl/>
              <w:jc w:val="center"/>
              <w:textAlignment w:val="center"/>
              <w:rPr>
                <w:rFonts w:ascii="宋体" w:hAnsi="宋体" w:cs="宋体"/>
                <w:color w:val="auto"/>
                <w:szCs w:val="21"/>
              </w:rPr>
            </w:pPr>
          </w:p>
        </w:tc>
        <w:tc>
          <w:tcPr>
            <w:tcW w:w="963"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w:t>
            </w:r>
          </w:p>
        </w:tc>
        <w:tc>
          <w:tcPr>
            <w:tcW w:w="1061" w:type="dxa"/>
            <w:vAlign w:val="center"/>
          </w:tcPr>
          <w:p>
            <w:pPr>
              <w:widowControl/>
              <w:jc w:val="center"/>
              <w:textAlignment w:val="center"/>
              <w:rPr>
                <w:rFonts w:ascii="宋体" w:hAnsi="宋体" w:cs="宋体"/>
                <w:color w:val="auto"/>
                <w:szCs w:val="21"/>
              </w:rPr>
            </w:pPr>
            <w:r>
              <w:rPr>
                <w:rFonts w:hint="eastAsia" w:ascii="宋体" w:hAnsi="宋体" w:cs="宋体"/>
                <w:color w:val="auto"/>
                <w:szCs w:val="21"/>
              </w:rPr>
              <w:t>/</w:t>
            </w:r>
          </w:p>
        </w:tc>
        <w:tc>
          <w:tcPr>
            <w:tcW w:w="1416" w:type="dxa"/>
            <w:vAlign w:val="center"/>
          </w:tcPr>
          <w:p>
            <w:pPr>
              <w:jc w:val="center"/>
              <w:rPr>
                <w:rFonts w:ascii="宋体" w:hAnsi="宋体" w:cs="宋体"/>
                <w:color w:val="auto"/>
                <w:szCs w:val="21"/>
              </w:rPr>
            </w:pPr>
            <w:r>
              <w:rPr>
                <w:rFonts w:ascii="宋体" w:hAnsi="宋体" w:cs="宋体"/>
                <w:color w:val="auto"/>
                <w:szCs w:val="21"/>
              </w:rPr>
              <w:t>37.484</w:t>
            </w:r>
          </w:p>
        </w:tc>
        <w:tc>
          <w:tcPr>
            <w:tcW w:w="818" w:type="dxa"/>
            <w:vAlign w:val="center"/>
          </w:tcPr>
          <w:p>
            <w:pPr>
              <w:jc w:val="center"/>
              <w:rPr>
                <w:rFonts w:ascii="宋体" w:hAnsi="宋体" w:cs="宋体"/>
                <w:color w:val="auto"/>
                <w:szCs w:val="21"/>
              </w:rPr>
            </w:pPr>
          </w:p>
        </w:tc>
        <w:tc>
          <w:tcPr>
            <w:tcW w:w="1584" w:type="dxa"/>
            <w:vAlign w:val="center"/>
          </w:tcPr>
          <w:p>
            <w:pPr>
              <w:jc w:val="center"/>
              <w:rPr>
                <w:rFonts w:ascii="宋体" w:hAnsi="宋体" w:cs="宋体"/>
                <w:color w:val="auto"/>
                <w:szCs w:val="21"/>
              </w:rPr>
            </w:pPr>
          </w:p>
        </w:tc>
        <w:tc>
          <w:tcPr>
            <w:tcW w:w="2304" w:type="dxa"/>
            <w:vAlign w:val="center"/>
          </w:tcPr>
          <w:p>
            <w:pPr>
              <w:widowControl/>
              <w:jc w:val="center"/>
              <w:textAlignment w:val="center"/>
              <w:rPr>
                <w:rFonts w:ascii="宋体" w:hAnsi="宋体" w:cs="宋体"/>
                <w:color w:val="auto"/>
                <w:szCs w:val="21"/>
              </w:rPr>
            </w:pPr>
          </w:p>
        </w:tc>
      </w:tr>
    </w:tbl>
    <w:p>
      <w:pPr>
        <w:rPr>
          <w:color w:val="auto"/>
        </w:rPr>
      </w:pPr>
    </w:p>
    <w:p>
      <w:pPr>
        <w:keepNext w:val="0"/>
        <w:keepLines w:val="0"/>
        <w:pageBreakBefore w:val="0"/>
        <w:widowControl w:val="0"/>
        <w:kinsoku/>
        <w:wordWrap/>
        <w:overflowPunct/>
        <w:topLinePunct w:val="0"/>
        <w:bidi w:val="0"/>
        <w:snapToGrid/>
        <w:spacing w:line="480" w:lineRule="auto"/>
        <w:textAlignment w:val="auto"/>
        <w:rPr>
          <w:rFonts w:ascii="宋体" w:hAnsi="宋体" w:cs="宋体"/>
          <w:color w:val="auto"/>
          <w:kern w:val="0"/>
          <w:szCs w:val="21"/>
        </w:rPr>
      </w:pPr>
      <w:r>
        <w:rPr>
          <w:rFonts w:hint="eastAsia" w:ascii="宋体" w:hAnsi="宋体" w:cs="宋体"/>
          <w:color w:val="auto"/>
          <w:kern w:val="0"/>
          <w:szCs w:val="21"/>
        </w:rPr>
        <w:t>注：</w:t>
      </w:r>
    </w:p>
    <w:p>
      <w:pPr>
        <w:keepNext w:val="0"/>
        <w:keepLines w:val="0"/>
        <w:pageBreakBefore w:val="0"/>
        <w:widowControl w:val="0"/>
        <w:kinsoku/>
        <w:wordWrap/>
        <w:overflowPunct/>
        <w:topLinePunct w:val="0"/>
        <w:bidi w:val="0"/>
        <w:snapToGrid/>
        <w:spacing w:line="480" w:lineRule="auto"/>
        <w:textAlignment w:val="auto"/>
        <w:rPr>
          <w:rFonts w:ascii="宋体" w:hAnsi="宋体" w:cs="宋体"/>
          <w:bCs/>
          <w:color w:val="auto"/>
          <w:kern w:val="0"/>
          <w:szCs w:val="21"/>
        </w:rPr>
      </w:pPr>
      <w:r>
        <w:rPr>
          <w:rFonts w:ascii="宋体" w:hAnsi="宋体" w:cs="宋体"/>
          <w:color w:val="auto"/>
          <w:kern w:val="0"/>
          <w:szCs w:val="21"/>
        </w:rPr>
        <w:t>（</w:t>
      </w:r>
      <w:r>
        <w:rPr>
          <w:rFonts w:hint="eastAsia" w:ascii="宋体" w:hAnsi="宋体" w:cs="宋体"/>
          <w:color w:val="auto"/>
          <w:kern w:val="0"/>
          <w:szCs w:val="21"/>
        </w:rPr>
        <w:t>1</w:t>
      </w:r>
      <w:r>
        <w:rPr>
          <w:rFonts w:ascii="宋体" w:hAnsi="宋体" w:cs="宋体"/>
          <w:color w:val="auto"/>
          <w:kern w:val="0"/>
          <w:szCs w:val="21"/>
        </w:rPr>
        <w:t>）</w:t>
      </w:r>
      <w:r>
        <w:rPr>
          <w:rFonts w:hint="eastAsia" w:ascii="宋体" w:hAnsi="宋体" w:cs="宋体"/>
          <w:color w:val="auto"/>
          <w:kern w:val="0"/>
          <w:szCs w:val="21"/>
        </w:rPr>
        <w:t>各分项计取基数为暂定价，最终按实计算各项收费基准价</w:t>
      </w:r>
      <w:r>
        <w:rPr>
          <w:rFonts w:hint="eastAsia" w:ascii="宋体" w:hAnsi="宋体" w:cs="宋体"/>
          <w:bCs/>
          <w:color w:val="auto"/>
          <w:kern w:val="0"/>
          <w:szCs w:val="21"/>
        </w:rPr>
        <w:t>。</w:t>
      </w:r>
    </w:p>
    <w:p>
      <w:pPr>
        <w:keepNext w:val="0"/>
        <w:keepLines w:val="0"/>
        <w:pageBreakBefore w:val="0"/>
        <w:widowControl w:val="0"/>
        <w:kinsoku/>
        <w:wordWrap/>
        <w:overflowPunct/>
        <w:topLinePunct w:val="0"/>
        <w:bidi w:val="0"/>
        <w:snapToGrid/>
        <w:spacing w:line="480" w:lineRule="auto"/>
        <w:textAlignment w:val="auto"/>
        <w:rPr>
          <w:rFonts w:ascii="宋体" w:hAnsi="宋体" w:cs="宋体"/>
          <w:bCs/>
          <w:color w:val="auto"/>
          <w:kern w:val="0"/>
          <w:szCs w:val="21"/>
        </w:rPr>
      </w:pPr>
      <w:r>
        <w:rPr>
          <w:rFonts w:ascii="宋体" w:hAnsi="宋体" w:cs="宋体"/>
          <w:bCs/>
          <w:color w:val="auto"/>
          <w:kern w:val="0"/>
          <w:szCs w:val="21"/>
        </w:rPr>
        <w:t>（</w:t>
      </w:r>
      <w:r>
        <w:rPr>
          <w:rFonts w:hint="eastAsia" w:ascii="宋体" w:hAnsi="宋体" w:cs="宋体"/>
          <w:bCs/>
          <w:color w:val="auto"/>
          <w:kern w:val="0"/>
          <w:szCs w:val="21"/>
        </w:rPr>
        <w:t>2</w:t>
      </w:r>
      <w:r>
        <w:rPr>
          <w:rFonts w:ascii="宋体" w:hAnsi="宋体" w:cs="宋体"/>
          <w:bCs/>
          <w:color w:val="auto"/>
          <w:kern w:val="0"/>
          <w:szCs w:val="21"/>
        </w:rPr>
        <w:t>）</w:t>
      </w:r>
      <w:r>
        <w:rPr>
          <w:rFonts w:hint="eastAsia" w:ascii="宋体" w:hAnsi="宋体" w:cs="宋体"/>
          <w:bCs/>
          <w:color w:val="auto"/>
          <w:kern w:val="0"/>
          <w:szCs w:val="21"/>
        </w:rPr>
        <w:t>投标报价=收费基准价*投价费率</w:t>
      </w:r>
      <w:r>
        <w:rPr>
          <w:rFonts w:ascii="宋体" w:hAnsi="宋体" w:cs="宋体"/>
          <w:bCs/>
          <w:color w:val="auto"/>
          <w:kern w:val="0"/>
          <w:szCs w:val="21"/>
        </w:rPr>
        <w:t>。</w:t>
      </w:r>
    </w:p>
    <w:p>
      <w:pPr>
        <w:keepNext w:val="0"/>
        <w:keepLines w:val="0"/>
        <w:pageBreakBefore w:val="0"/>
        <w:widowControl w:val="0"/>
        <w:kinsoku/>
        <w:wordWrap/>
        <w:overflowPunct/>
        <w:topLinePunct w:val="0"/>
        <w:bidi w:val="0"/>
        <w:snapToGrid/>
        <w:spacing w:line="480" w:lineRule="auto"/>
        <w:textAlignment w:val="auto"/>
        <w:rPr>
          <w:rFonts w:ascii="宋体" w:hAnsi="宋体" w:cs="宋体"/>
          <w:color w:val="auto"/>
          <w:kern w:val="0"/>
          <w:szCs w:val="21"/>
        </w:rPr>
      </w:pPr>
      <w:r>
        <w:rPr>
          <w:rFonts w:ascii="宋体" w:hAnsi="宋体" w:cs="宋体"/>
          <w:bCs/>
          <w:color w:val="auto"/>
          <w:kern w:val="0"/>
          <w:szCs w:val="21"/>
        </w:rPr>
        <w:t>（</w:t>
      </w:r>
      <w:r>
        <w:rPr>
          <w:rFonts w:hint="eastAsia" w:ascii="宋体" w:hAnsi="宋体" w:cs="宋体"/>
          <w:bCs/>
          <w:color w:val="auto"/>
          <w:kern w:val="0"/>
          <w:szCs w:val="21"/>
        </w:rPr>
        <w:t>3</w:t>
      </w:r>
      <w:r>
        <w:rPr>
          <w:rFonts w:ascii="宋体" w:hAnsi="宋体" w:cs="宋体"/>
          <w:bCs/>
          <w:color w:val="auto"/>
          <w:kern w:val="0"/>
          <w:szCs w:val="21"/>
        </w:rPr>
        <w:t>）</w:t>
      </w:r>
      <w:r>
        <w:rPr>
          <w:rFonts w:hint="eastAsia" w:ascii="宋体" w:hAnsi="宋体" w:cs="宋体"/>
          <w:bCs/>
          <w:color w:val="auto"/>
          <w:kern w:val="0"/>
          <w:szCs w:val="21"/>
        </w:rPr>
        <w:t>各投投标人投标报价（含各分项报价）不得高于委托内容各项的招标控制价，否则按无效标处理。</w:t>
      </w:r>
    </w:p>
    <w:p>
      <w:pPr>
        <w:keepNext w:val="0"/>
        <w:keepLines w:val="0"/>
        <w:pageBreakBefore w:val="0"/>
        <w:widowControl w:val="0"/>
        <w:kinsoku/>
        <w:wordWrap/>
        <w:overflowPunct/>
        <w:topLinePunct w:val="0"/>
        <w:autoSpaceDE w:val="0"/>
        <w:autoSpaceDN w:val="0"/>
        <w:bidi w:val="0"/>
        <w:adjustRightInd w:val="0"/>
        <w:snapToGrid/>
        <w:spacing w:line="480" w:lineRule="auto"/>
        <w:ind w:firstLine="3784" w:firstLineChars="1802"/>
        <w:textAlignment w:val="auto"/>
        <w:rPr>
          <w:rFonts w:ascii="宋体" w:hAnsi="宋体"/>
          <w:color w:val="auto"/>
          <w:kern w:val="0"/>
        </w:rPr>
      </w:pPr>
    </w:p>
    <w:p>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ascii="宋体" w:hAnsi="宋体"/>
          <w:color w:val="auto"/>
          <w:kern w:val="0"/>
        </w:rPr>
      </w:pPr>
      <w:r>
        <w:rPr>
          <w:rFonts w:hint="eastAsia" w:ascii="宋体" w:hAnsi="宋体"/>
          <w:color w:val="auto"/>
          <w:kern w:val="0"/>
        </w:rPr>
        <w:t>投标人（盖章）：</w:t>
      </w:r>
    </w:p>
    <w:p>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rFonts w:ascii="宋体" w:hAnsi="宋体"/>
          <w:color w:val="auto"/>
          <w:kern w:val="0"/>
        </w:rPr>
      </w:pPr>
      <w:r>
        <w:rPr>
          <w:rFonts w:hint="eastAsia" w:ascii="宋体" w:hAnsi="宋体"/>
          <w:color w:val="auto"/>
          <w:kern w:val="0"/>
        </w:rPr>
        <w:t>法定代表人或其委托代理人（签字或印章）：</w:t>
      </w:r>
    </w:p>
    <w:p>
      <w:pPr>
        <w:keepNext w:val="0"/>
        <w:keepLines w:val="0"/>
        <w:pageBreakBefore w:val="0"/>
        <w:widowControl w:val="0"/>
        <w:kinsoku/>
        <w:wordWrap/>
        <w:overflowPunct/>
        <w:topLinePunct w:val="0"/>
        <w:autoSpaceDE w:val="0"/>
        <w:autoSpaceDN w:val="0"/>
        <w:bidi w:val="0"/>
        <w:adjustRightInd w:val="0"/>
        <w:snapToGrid/>
        <w:spacing w:line="480" w:lineRule="auto"/>
        <w:textAlignment w:val="auto"/>
        <w:rPr>
          <w:color w:val="auto"/>
        </w:rPr>
        <w:sectPr>
          <w:pgSz w:w="11906" w:h="16838"/>
          <w:pgMar w:top="1134" w:right="1134" w:bottom="1134" w:left="1134" w:header="680" w:footer="680" w:gutter="0"/>
          <w:cols w:space="720" w:num="1"/>
          <w:docGrid w:linePitch="286" w:charSpace="0"/>
        </w:sectPr>
      </w:pPr>
      <w:r>
        <w:rPr>
          <w:rFonts w:hint="eastAsia" w:ascii="宋体" w:hAnsi="宋体"/>
          <w:color w:val="auto"/>
          <w:kern w:val="0"/>
        </w:rPr>
        <w:t>日期：</w:t>
      </w:r>
      <w:r>
        <w:rPr>
          <w:rFonts w:ascii="宋体" w:hAnsi="宋体"/>
          <w:color w:val="auto"/>
          <w:kern w:val="0"/>
        </w:rPr>
        <w:t xml:space="preserve">  </w:t>
      </w:r>
      <w:r>
        <w:rPr>
          <w:rFonts w:hint="eastAsia" w:ascii="宋体" w:hAnsi="宋体"/>
          <w:color w:val="auto"/>
          <w:kern w:val="0"/>
        </w:rPr>
        <w:t>年</w:t>
      </w:r>
      <w:r>
        <w:rPr>
          <w:rFonts w:ascii="宋体" w:hAnsi="宋体"/>
          <w:color w:val="auto"/>
          <w:kern w:val="0"/>
        </w:rPr>
        <w:t xml:space="preserve">  </w:t>
      </w:r>
      <w:r>
        <w:rPr>
          <w:rFonts w:hint="eastAsia" w:ascii="宋体" w:hAnsi="宋体"/>
          <w:color w:val="auto"/>
          <w:kern w:val="0"/>
        </w:rPr>
        <w:t>月</w:t>
      </w:r>
      <w:r>
        <w:rPr>
          <w:rFonts w:ascii="宋体" w:hAnsi="宋体"/>
          <w:color w:val="auto"/>
          <w:kern w:val="0"/>
        </w:rPr>
        <w:t xml:space="preserve">  </w:t>
      </w:r>
      <w:r>
        <w:rPr>
          <w:rFonts w:hint="eastAsia" w:ascii="宋体" w:hAnsi="宋体"/>
          <w:color w:val="auto"/>
          <w:kern w:val="0"/>
        </w:rPr>
        <w:t>日</w:t>
      </w:r>
    </w:p>
    <w:p>
      <w:pPr>
        <w:spacing w:before="88" w:line="225" w:lineRule="auto"/>
        <w:ind w:firstLine="35"/>
        <w:rPr>
          <w:rFonts w:ascii="宋体" w:hAnsi="宋体" w:cs="宋体"/>
          <w:color w:val="auto"/>
          <w:sz w:val="31"/>
          <w:szCs w:val="31"/>
        </w:rPr>
      </w:pPr>
      <w:r>
        <w:rPr>
          <w:rFonts w:ascii="宋体" w:hAnsi="宋体" w:cs="宋体"/>
          <w:color w:val="auto"/>
          <w:spacing w:val="4"/>
          <w:sz w:val="31"/>
          <w:szCs w:val="31"/>
        </w:rPr>
        <w:t>3.</w:t>
      </w:r>
      <w:r>
        <w:rPr>
          <w:rFonts w:ascii="宋体" w:hAnsi="宋体" w:cs="宋体"/>
          <w:color w:val="auto"/>
          <w:spacing w:val="8"/>
          <w:sz w:val="31"/>
          <w:szCs w:val="31"/>
        </w:rPr>
        <w:t>法定代表人身份证明</w:t>
      </w:r>
    </w:p>
    <w:p>
      <w:pPr>
        <w:spacing w:line="471" w:lineRule="auto"/>
        <w:rPr>
          <w:color w:val="auto"/>
        </w:rPr>
      </w:pPr>
    </w:p>
    <w:p>
      <w:pPr>
        <w:spacing w:before="101" w:line="225" w:lineRule="auto"/>
        <w:ind w:firstLine="2739"/>
        <w:rPr>
          <w:rFonts w:ascii="宋体" w:hAnsi="宋体" w:cs="宋体"/>
          <w:color w:val="auto"/>
          <w:sz w:val="31"/>
          <w:szCs w:val="31"/>
        </w:rPr>
      </w:pPr>
      <w:r>
        <w:rPr>
          <w:rFonts w:ascii="宋体" w:hAnsi="宋体" w:cs="宋体"/>
          <w:color w:val="auto"/>
          <w:spacing w:val="9"/>
          <w:sz w:val="31"/>
          <w:szCs w:val="31"/>
        </w:rPr>
        <w:t>法定代表</w:t>
      </w:r>
      <w:r>
        <w:rPr>
          <w:rFonts w:ascii="宋体" w:hAnsi="宋体" w:cs="宋体"/>
          <w:color w:val="auto"/>
          <w:spacing w:val="8"/>
          <w:sz w:val="31"/>
          <w:szCs w:val="31"/>
        </w:rPr>
        <w:t>人身份证明</w:t>
      </w:r>
    </w:p>
    <w:p>
      <w:pPr>
        <w:spacing w:line="278" w:lineRule="auto"/>
        <w:rPr>
          <w:color w:val="auto"/>
        </w:rPr>
      </w:pPr>
    </w:p>
    <w:p>
      <w:pPr>
        <w:spacing w:line="278" w:lineRule="auto"/>
        <w:rPr>
          <w:color w:val="auto"/>
        </w:rPr>
      </w:pPr>
    </w:p>
    <w:p>
      <w:pPr>
        <w:spacing w:line="278" w:lineRule="auto"/>
        <w:rPr>
          <w:color w:val="auto"/>
        </w:rPr>
      </w:pPr>
    </w:p>
    <w:p>
      <w:pPr>
        <w:spacing w:before="65" w:line="554" w:lineRule="auto"/>
        <w:ind w:firstLine="447"/>
        <w:rPr>
          <w:rFonts w:ascii="宋体" w:hAnsi="宋体" w:cs="宋体"/>
          <w:color w:val="auto"/>
          <w:sz w:val="24"/>
        </w:rPr>
      </w:pPr>
      <w:r>
        <w:rPr>
          <w:rFonts w:ascii="宋体" w:hAnsi="宋体" w:cs="宋体"/>
          <w:color w:val="auto"/>
          <w:spacing w:val="4"/>
          <w:sz w:val="24"/>
        </w:rPr>
        <w:t>投</w:t>
      </w:r>
      <w:r>
        <w:rPr>
          <w:rFonts w:hint="eastAsia" w:ascii="宋体" w:hAnsi="宋体" w:cs="宋体"/>
          <w:color w:val="auto"/>
          <w:spacing w:val="4"/>
          <w:sz w:val="24"/>
        </w:rPr>
        <w:t xml:space="preserve"> </w:t>
      </w:r>
      <w:r>
        <w:rPr>
          <w:rFonts w:ascii="宋体" w:hAnsi="宋体" w:cs="宋体"/>
          <w:color w:val="auto"/>
          <w:spacing w:val="4"/>
          <w:sz w:val="24"/>
        </w:rPr>
        <w:t>标</w:t>
      </w:r>
      <w:r>
        <w:rPr>
          <w:rFonts w:hint="eastAsia" w:ascii="宋体" w:hAnsi="宋体" w:cs="宋体"/>
          <w:color w:val="auto"/>
          <w:spacing w:val="4"/>
          <w:sz w:val="24"/>
        </w:rPr>
        <w:t xml:space="preserve"> </w:t>
      </w:r>
      <w:r>
        <w:rPr>
          <w:rFonts w:ascii="宋体" w:hAnsi="宋体" w:cs="宋体"/>
          <w:color w:val="auto"/>
          <w:spacing w:val="4"/>
          <w:sz w:val="24"/>
        </w:rPr>
        <w:t>人</w:t>
      </w:r>
      <w:r>
        <w:rPr>
          <w:rFonts w:ascii="宋体" w:hAnsi="宋体" w:cs="宋体"/>
          <w:color w:val="auto"/>
          <w:spacing w:val="6"/>
          <w:sz w:val="24"/>
        </w:rPr>
        <w:t>：</w:t>
      </w:r>
    </w:p>
    <w:p>
      <w:pPr>
        <w:spacing w:line="228" w:lineRule="auto"/>
        <w:ind w:firstLine="446"/>
        <w:rPr>
          <w:rFonts w:ascii="宋体" w:hAnsi="宋体" w:cs="宋体"/>
          <w:color w:val="auto"/>
          <w:sz w:val="24"/>
        </w:rPr>
      </w:pPr>
      <w:r>
        <w:rPr>
          <w:rFonts w:ascii="宋体" w:hAnsi="宋体" w:cs="宋体"/>
          <w:color w:val="auto"/>
          <w:spacing w:val="5"/>
          <w:sz w:val="24"/>
        </w:rPr>
        <w:t>单位性质</w:t>
      </w:r>
      <w:r>
        <w:rPr>
          <w:rFonts w:ascii="宋体" w:hAnsi="宋体" w:cs="宋体"/>
          <w:color w:val="auto"/>
          <w:spacing w:val="7"/>
          <w:sz w:val="24"/>
        </w:rPr>
        <w:t>：</w:t>
      </w:r>
    </w:p>
    <w:p>
      <w:pPr>
        <w:spacing w:line="285" w:lineRule="auto"/>
        <w:rPr>
          <w:color w:val="auto"/>
          <w:sz w:val="24"/>
        </w:rPr>
      </w:pPr>
    </w:p>
    <w:p>
      <w:pPr>
        <w:spacing w:before="65" w:line="237" w:lineRule="auto"/>
        <w:ind w:firstLine="444"/>
        <w:rPr>
          <w:rFonts w:ascii="宋体" w:hAnsi="宋体" w:cs="宋体"/>
          <w:color w:val="auto"/>
          <w:sz w:val="24"/>
        </w:rPr>
      </w:pPr>
      <w:r>
        <w:rPr>
          <w:rFonts w:ascii="宋体" w:hAnsi="宋体" w:cs="宋体"/>
          <w:color w:val="auto"/>
          <w:spacing w:val="3"/>
          <w:sz w:val="24"/>
        </w:rPr>
        <w:t>地</w:t>
      </w:r>
      <w:r>
        <w:rPr>
          <w:rFonts w:hint="eastAsia" w:ascii="宋体" w:hAnsi="宋体" w:cs="宋体"/>
          <w:color w:val="auto"/>
          <w:spacing w:val="3"/>
          <w:sz w:val="24"/>
        </w:rPr>
        <w:t xml:space="preserve">    </w:t>
      </w:r>
      <w:r>
        <w:rPr>
          <w:rFonts w:ascii="宋体" w:hAnsi="宋体" w:cs="宋体"/>
          <w:color w:val="auto"/>
          <w:spacing w:val="2"/>
          <w:sz w:val="24"/>
        </w:rPr>
        <w:t>址</w:t>
      </w:r>
      <w:r>
        <w:rPr>
          <w:rFonts w:ascii="宋体" w:hAnsi="宋体" w:cs="宋体"/>
          <w:color w:val="auto"/>
          <w:spacing w:val="4"/>
          <w:sz w:val="24"/>
        </w:rPr>
        <w:t>：</w:t>
      </w:r>
    </w:p>
    <w:p>
      <w:pPr>
        <w:spacing w:line="276" w:lineRule="auto"/>
        <w:rPr>
          <w:color w:val="auto"/>
          <w:sz w:val="24"/>
        </w:rPr>
      </w:pPr>
    </w:p>
    <w:p>
      <w:pPr>
        <w:spacing w:before="65" w:line="229" w:lineRule="auto"/>
        <w:ind w:firstLine="446"/>
        <w:rPr>
          <w:rFonts w:ascii="宋体" w:hAnsi="宋体" w:cs="宋体"/>
          <w:color w:val="auto"/>
          <w:sz w:val="24"/>
        </w:rPr>
      </w:pPr>
      <w:r>
        <w:rPr>
          <w:rFonts w:ascii="宋体" w:hAnsi="宋体" w:cs="宋体"/>
          <w:color w:val="auto"/>
          <w:spacing w:val="5"/>
          <w:sz w:val="24"/>
        </w:rPr>
        <w:t>成立时间</w:t>
      </w:r>
      <w:r>
        <w:rPr>
          <w:rFonts w:ascii="宋体" w:hAnsi="宋体" w:cs="宋体"/>
          <w:color w:val="auto"/>
          <w:spacing w:val="7"/>
          <w:sz w:val="24"/>
        </w:rPr>
        <w:t>：</w:t>
      </w:r>
    </w:p>
    <w:p>
      <w:pPr>
        <w:spacing w:line="285" w:lineRule="auto"/>
        <w:rPr>
          <w:color w:val="auto"/>
          <w:sz w:val="24"/>
        </w:rPr>
      </w:pPr>
    </w:p>
    <w:p>
      <w:pPr>
        <w:spacing w:before="66" w:line="228" w:lineRule="auto"/>
        <w:ind w:firstLine="446"/>
        <w:rPr>
          <w:rFonts w:ascii="宋体" w:hAnsi="宋体" w:cs="宋体"/>
          <w:color w:val="auto"/>
          <w:sz w:val="24"/>
        </w:rPr>
      </w:pPr>
      <w:r>
        <w:rPr>
          <w:rFonts w:ascii="宋体" w:hAnsi="宋体" w:cs="宋体"/>
          <w:color w:val="auto"/>
          <w:spacing w:val="5"/>
          <w:sz w:val="24"/>
        </w:rPr>
        <w:t>经营期限</w:t>
      </w:r>
      <w:r>
        <w:rPr>
          <w:rFonts w:ascii="宋体" w:hAnsi="宋体" w:cs="宋体"/>
          <w:color w:val="auto"/>
          <w:spacing w:val="7"/>
          <w:sz w:val="24"/>
        </w:rPr>
        <w:t>：</w:t>
      </w:r>
    </w:p>
    <w:p>
      <w:pPr>
        <w:spacing w:line="285" w:lineRule="auto"/>
        <w:rPr>
          <w:color w:val="auto"/>
          <w:sz w:val="24"/>
        </w:rPr>
      </w:pPr>
    </w:p>
    <w:p>
      <w:pPr>
        <w:spacing w:before="66" w:line="554" w:lineRule="auto"/>
        <w:ind w:firstLine="444"/>
        <w:rPr>
          <w:rFonts w:ascii="宋体" w:hAnsi="宋体" w:cs="宋体"/>
          <w:color w:val="auto"/>
          <w:sz w:val="24"/>
        </w:rPr>
      </w:pPr>
      <w:r>
        <w:rPr>
          <w:rFonts w:ascii="宋体" w:hAnsi="宋体" w:cs="宋体"/>
          <w:color w:val="auto"/>
          <w:sz w:val="24"/>
        </w:rPr>
        <w:t>姓名</w:t>
      </w:r>
      <w:r>
        <w:rPr>
          <w:rFonts w:ascii="宋体" w:hAnsi="宋体" w:cs="宋体"/>
          <w:color w:val="auto"/>
          <w:spacing w:val="-1"/>
          <w:sz w:val="24"/>
        </w:rPr>
        <w:t>：</w:t>
      </w:r>
      <w:r>
        <w:rPr>
          <w:rFonts w:hint="eastAsia" w:ascii="宋体" w:hAnsi="宋体" w:cs="宋体"/>
          <w:color w:val="auto"/>
          <w:spacing w:val="-1"/>
          <w:sz w:val="24"/>
        </w:rPr>
        <w:t xml:space="preserve">       </w:t>
      </w:r>
      <w:r>
        <w:rPr>
          <w:rFonts w:ascii="宋体" w:hAnsi="宋体" w:cs="宋体"/>
          <w:color w:val="auto"/>
          <w:sz w:val="24"/>
        </w:rPr>
        <w:t>性别</w:t>
      </w:r>
      <w:r>
        <w:rPr>
          <w:rFonts w:ascii="宋体" w:hAnsi="宋体" w:cs="宋体"/>
          <w:color w:val="auto"/>
          <w:spacing w:val="-1"/>
          <w:sz w:val="24"/>
        </w:rPr>
        <w:t>：</w:t>
      </w:r>
    </w:p>
    <w:p>
      <w:pPr>
        <w:spacing w:line="227" w:lineRule="auto"/>
        <w:ind w:firstLine="445"/>
        <w:rPr>
          <w:rFonts w:ascii="宋体" w:hAnsi="宋体" w:cs="宋体"/>
          <w:color w:val="auto"/>
          <w:sz w:val="24"/>
        </w:rPr>
      </w:pPr>
      <w:r>
        <w:rPr>
          <w:rFonts w:ascii="宋体" w:hAnsi="宋体" w:cs="宋体"/>
          <w:color w:val="auto"/>
          <w:sz w:val="24"/>
        </w:rPr>
        <w:t>年龄</w:t>
      </w:r>
      <w:r>
        <w:rPr>
          <w:rFonts w:ascii="宋体" w:hAnsi="宋体" w:cs="宋体"/>
          <w:color w:val="auto"/>
          <w:spacing w:val="-2"/>
          <w:sz w:val="24"/>
        </w:rPr>
        <w:t>：</w:t>
      </w:r>
      <w:r>
        <w:rPr>
          <w:rFonts w:hint="eastAsia" w:ascii="宋体" w:hAnsi="宋体" w:cs="宋体"/>
          <w:color w:val="auto"/>
          <w:spacing w:val="-2"/>
          <w:sz w:val="24"/>
        </w:rPr>
        <w:t xml:space="preserve">       </w:t>
      </w:r>
      <w:r>
        <w:rPr>
          <w:rFonts w:ascii="宋体" w:hAnsi="宋体" w:cs="宋体"/>
          <w:color w:val="auto"/>
          <w:sz w:val="24"/>
        </w:rPr>
        <w:t>职务</w:t>
      </w:r>
      <w:r>
        <w:rPr>
          <w:rFonts w:ascii="宋体" w:hAnsi="宋体" w:cs="宋体"/>
          <w:color w:val="auto"/>
          <w:spacing w:val="-1"/>
          <w:sz w:val="24"/>
        </w:rPr>
        <w:t>：</w:t>
      </w:r>
    </w:p>
    <w:p>
      <w:pPr>
        <w:spacing w:line="286" w:lineRule="auto"/>
        <w:rPr>
          <w:color w:val="auto"/>
          <w:sz w:val="24"/>
        </w:rPr>
      </w:pPr>
    </w:p>
    <w:p>
      <w:pPr>
        <w:spacing w:before="65" w:line="228" w:lineRule="auto"/>
        <w:ind w:firstLine="448"/>
        <w:rPr>
          <w:rFonts w:ascii="宋体" w:hAnsi="宋体" w:cs="宋体"/>
          <w:color w:val="auto"/>
          <w:sz w:val="24"/>
        </w:rPr>
      </w:pPr>
      <w:r>
        <w:rPr>
          <w:rFonts w:ascii="宋体" w:hAnsi="宋体" w:cs="宋体"/>
          <w:color w:val="auto"/>
          <w:spacing w:val="9"/>
          <w:sz w:val="24"/>
        </w:rPr>
        <w:t>系</w:t>
      </w:r>
      <w:r>
        <w:rPr>
          <w:rFonts w:ascii="宋体" w:hAnsi="宋体" w:cs="宋体"/>
          <w:color w:val="auto"/>
          <w:spacing w:val="9"/>
          <w:sz w:val="24"/>
          <w:u w:val="single"/>
        </w:rPr>
        <w:t>（投标</w:t>
      </w:r>
      <w:r>
        <w:rPr>
          <w:rFonts w:ascii="宋体" w:hAnsi="宋体" w:cs="宋体"/>
          <w:color w:val="auto"/>
          <w:spacing w:val="8"/>
          <w:sz w:val="24"/>
          <w:u w:val="single"/>
        </w:rPr>
        <w:t>人名称</w:t>
      </w:r>
      <w:r>
        <w:rPr>
          <w:rFonts w:ascii="宋体" w:hAnsi="宋体" w:cs="宋体"/>
          <w:color w:val="auto"/>
          <w:spacing w:val="10"/>
          <w:sz w:val="24"/>
          <w:u w:val="single"/>
        </w:rPr>
        <w:t>）</w:t>
      </w:r>
      <w:r>
        <w:rPr>
          <w:rFonts w:ascii="宋体" w:hAnsi="宋体" w:cs="宋体"/>
          <w:color w:val="auto"/>
          <w:spacing w:val="8"/>
          <w:sz w:val="24"/>
        </w:rPr>
        <w:t>的法定代表人</w:t>
      </w:r>
      <w:r>
        <w:rPr>
          <w:rFonts w:ascii="宋体" w:hAnsi="宋体" w:cs="宋体"/>
          <w:color w:val="auto"/>
          <w:spacing w:val="10"/>
          <w:sz w:val="24"/>
        </w:rPr>
        <w:t>。</w:t>
      </w:r>
    </w:p>
    <w:p>
      <w:pPr>
        <w:spacing w:line="286" w:lineRule="auto"/>
        <w:rPr>
          <w:color w:val="auto"/>
          <w:sz w:val="24"/>
        </w:rPr>
      </w:pPr>
    </w:p>
    <w:p>
      <w:pPr>
        <w:spacing w:before="66" w:line="228" w:lineRule="auto"/>
        <w:ind w:firstLine="864"/>
        <w:rPr>
          <w:rFonts w:ascii="宋体" w:hAnsi="宋体" w:cs="宋体"/>
          <w:color w:val="auto"/>
          <w:sz w:val="24"/>
        </w:rPr>
      </w:pPr>
      <w:r>
        <w:rPr>
          <w:rFonts w:ascii="宋体" w:hAnsi="宋体" w:cs="宋体"/>
          <w:color w:val="auto"/>
          <w:spacing w:val="7"/>
          <w:sz w:val="24"/>
        </w:rPr>
        <w:t>特</w:t>
      </w:r>
      <w:r>
        <w:rPr>
          <w:rFonts w:ascii="宋体" w:hAnsi="宋体" w:cs="宋体"/>
          <w:color w:val="auto"/>
          <w:spacing w:val="6"/>
          <w:sz w:val="24"/>
        </w:rPr>
        <w:t>此证明</w:t>
      </w:r>
      <w:r>
        <w:rPr>
          <w:rFonts w:ascii="宋体" w:hAnsi="宋体" w:cs="宋体"/>
          <w:color w:val="auto"/>
          <w:spacing w:val="8"/>
          <w:sz w:val="24"/>
        </w:rPr>
        <w:t>。</w:t>
      </w:r>
    </w:p>
    <w:p>
      <w:pPr>
        <w:spacing w:line="256" w:lineRule="auto"/>
        <w:rPr>
          <w:color w:val="auto"/>
          <w:sz w:val="24"/>
        </w:rPr>
      </w:pPr>
    </w:p>
    <w:p>
      <w:pPr>
        <w:spacing w:line="256" w:lineRule="auto"/>
        <w:rPr>
          <w:color w:val="auto"/>
          <w:sz w:val="24"/>
        </w:rPr>
      </w:pPr>
    </w:p>
    <w:p>
      <w:pPr>
        <w:spacing w:line="256" w:lineRule="auto"/>
        <w:rPr>
          <w:color w:val="auto"/>
          <w:sz w:val="24"/>
        </w:rPr>
      </w:pPr>
    </w:p>
    <w:p>
      <w:pPr>
        <w:spacing w:line="256" w:lineRule="auto"/>
        <w:rPr>
          <w:color w:val="auto"/>
          <w:sz w:val="24"/>
        </w:rPr>
      </w:pPr>
    </w:p>
    <w:p>
      <w:pPr>
        <w:spacing w:line="256" w:lineRule="auto"/>
        <w:rPr>
          <w:color w:val="auto"/>
          <w:sz w:val="24"/>
        </w:rPr>
      </w:pPr>
    </w:p>
    <w:p>
      <w:pPr>
        <w:spacing w:line="256" w:lineRule="auto"/>
        <w:rPr>
          <w:color w:val="auto"/>
          <w:sz w:val="24"/>
        </w:rPr>
      </w:pPr>
    </w:p>
    <w:p>
      <w:pPr>
        <w:spacing w:line="256" w:lineRule="auto"/>
        <w:rPr>
          <w:color w:val="auto"/>
          <w:sz w:val="24"/>
        </w:rPr>
      </w:pPr>
    </w:p>
    <w:p>
      <w:pPr>
        <w:spacing w:line="257" w:lineRule="auto"/>
        <w:rPr>
          <w:color w:val="auto"/>
          <w:sz w:val="24"/>
        </w:rPr>
      </w:pPr>
    </w:p>
    <w:p>
      <w:pPr>
        <w:spacing w:before="65" w:line="227" w:lineRule="auto"/>
        <w:ind w:firstLine="2021"/>
        <w:rPr>
          <w:rFonts w:ascii="宋体" w:hAnsi="宋体" w:cs="宋体"/>
          <w:color w:val="auto"/>
          <w:sz w:val="24"/>
        </w:rPr>
      </w:pPr>
      <w:r>
        <w:rPr>
          <w:rFonts w:ascii="宋体" w:hAnsi="宋体" w:cs="宋体"/>
          <w:color w:val="auto"/>
          <w:sz w:val="24"/>
        </w:rPr>
        <w:t>投标人：（盖单位章）</w:t>
      </w:r>
    </w:p>
    <w:p>
      <w:pPr>
        <w:spacing w:line="252" w:lineRule="auto"/>
        <w:rPr>
          <w:color w:val="auto"/>
          <w:sz w:val="24"/>
        </w:rPr>
      </w:pPr>
    </w:p>
    <w:p>
      <w:pPr>
        <w:spacing w:line="252" w:lineRule="auto"/>
        <w:rPr>
          <w:color w:val="auto"/>
          <w:sz w:val="24"/>
        </w:rPr>
      </w:pPr>
    </w:p>
    <w:p>
      <w:pPr>
        <w:spacing w:before="65" w:line="228" w:lineRule="auto"/>
        <w:ind w:firstLine="3176"/>
        <w:outlineLvl w:val="1"/>
        <w:rPr>
          <w:rFonts w:ascii="宋体" w:hAnsi="宋体" w:cs="宋体"/>
          <w:color w:val="auto"/>
          <w:sz w:val="24"/>
        </w:rPr>
      </w:pPr>
      <w:r>
        <w:rPr>
          <w:rFonts w:ascii="宋体" w:hAnsi="宋体" w:cs="宋体"/>
          <w:color w:val="auto"/>
          <w:spacing w:val="12"/>
          <w:sz w:val="24"/>
        </w:rPr>
        <w:t>年</w:t>
      </w:r>
      <w:r>
        <w:rPr>
          <w:rFonts w:hint="eastAsia" w:ascii="宋体" w:hAnsi="宋体" w:cs="宋体"/>
          <w:color w:val="auto"/>
          <w:spacing w:val="12"/>
          <w:sz w:val="24"/>
        </w:rPr>
        <w:t xml:space="preserve">  </w:t>
      </w:r>
      <w:r>
        <w:rPr>
          <w:rFonts w:ascii="宋体" w:hAnsi="宋体" w:cs="宋体"/>
          <w:color w:val="auto"/>
          <w:spacing w:val="12"/>
          <w:sz w:val="24"/>
        </w:rPr>
        <w:t>月</w:t>
      </w:r>
      <w:r>
        <w:rPr>
          <w:rFonts w:hint="eastAsia" w:ascii="宋体" w:hAnsi="宋体" w:cs="宋体"/>
          <w:color w:val="auto"/>
          <w:spacing w:val="12"/>
          <w:sz w:val="24"/>
        </w:rPr>
        <w:t xml:space="preserve">  </w:t>
      </w:r>
      <w:r>
        <w:rPr>
          <w:rFonts w:ascii="宋体" w:hAnsi="宋体" w:cs="宋体"/>
          <w:color w:val="auto"/>
          <w:spacing w:val="11"/>
          <w:sz w:val="24"/>
        </w:rPr>
        <w:t>日</w:t>
      </w:r>
    </w:p>
    <w:p>
      <w:pPr>
        <w:rPr>
          <w:color w:val="auto"/>
          <w:sz w:val="24"/>
        </w:rPr>
        <w:sectPr>
          <w:footerReference r:id="rId7" w:type="default"/>
          <w:pgSz w:w="11906" w:h="16838"/>
          <w:pgMar w:top="1134" w:right="1134" w:bottom="1134" w:left="1134" w:header="680" w:footer="680" w:gutter="0"/>
          <w:cols w:space="720" w:num="1"/>
        </w:sectPr>
      </w:pPr>
    </w:p>
    <w:p>
      <w:pPr>
        <w:spacing w:before="176" w:line="228" w:lineRule="auto"/>
        <w:ind w:firstLine="27"/>
        <w:rPr>
          <w:rFonts w:ascii="黑体" w:hAnsi="黑体" w:eastAsia="黑体" w:cs="黑体"/>
          <w:color w:val="auto"/>
          <w:sz w:val="31"/>
          <w:szCs w:val="31"/>
        </w:rPr>
      </w:pPr>
      <w:r>
        <w:rPr>
          <w:rFonts w:ascii="宋体" w:hAnsi="宋体" w:cs="宋体"/>
          <w:color w:val="auto"/>
          <w:spacing w:val="4"/>
          <w:sz w:val="31"/>
          <w:szCs w:val="31"/>
        </w:rPr>
        <w:t>4.</w:t>
      </w:r>
      <w:r>
        <w:rPr>
          <w:rFonts w:ascii="黑体" w:hAnsi="黑体" w:eastAsia="黑体" w:cs="黑体"/>
          <w:color w:val="auto"/>
          <w:spacing w:val="8"/>
          <w:sz w:val="31"/>
          <w:szCs w:val="31"/>
        </w:rPr>
        <w:t>授权委</w:t>
      </w:r>
      <w:r>
        <w:rPr>
          <w:rFonts w:ascii="黑体" w:hAnsi="黑体" w:eastAsia="黑体" w:cs="黑体"/>
          <w:color w:val="auto"/>
          <w:spacing w:val="7"/>
          <w:sz w:val="31"/>
          <w:szCs w:val="31"/>
        </w:rPr>
        <w:t>托书</w:t>
      </w:r>
    </w:p>
    <w:p>
      <w:pPr>
        <w:spacing w:line="312" w:lineRule="auto"/>
        <w:rPr>
          <w:color w:val="auto"/>
        </w:rPr>
      </w:pPr>
    </w:p>
    <w:p>
      <w:pPr>
        <w:spacing w:line="312" w:lineRule="auto"/>
        <w:rPr>
          <w:color w:val="auto"/>
        </w:rPr>
      </w:pPr>
    </w:p>
    <w:p>
      <w:pPr>
        <w:spacing w:before="100" w:line="224" w:lineRule="auto"/>
        <w:ind w:firstLine="3378"/>
        <w:rPr>
          <w:rFonts w:ascii="宋体" w:hAnsi="宋体" w:cs="宋体"/>
          <w:color w:val="auto"/>
          <w:sz w:val="31"/>
          <w:szCs w:val="31"/>
        </w:rPr>
      </w:pPr>
      <w:r>
        <w:rPr>
          <w:rFonts w:ascii="宋体" w:hAnsi="宋体" w:cs="宋体"/>
          <w:color w:val="auto"/>
          <w:spacing w:val="8"/>
          <w:sz w:val="31"/>
          <w:szCs w:val="31"/>
        </w:rPr>
        <w:t>授</w:t>
      </w:r>
      <w:r>
        <w:rPr>
          <w:rFonts w:ascii="宋体" w:hAnsi="宋体" w:cs="宋体"/>
          <w:color w:val="auto"/>
          <w:spacing w:val="7"/>
          <w:sz w:val="31"/>
          <w:szCs w:val="31"/>
        </w:rPr>
        <w:t>权委托书</w:t>
      </w:r>
    </w:p>
    <w:p>
      <w:pPr>
        <w:spacing w:line="285" w:lineRule="auto"/>
        <w:rPr>
          <w:color w:val="auto"/>
        </w:rPr>
      </w:pPr>
    </w:p>
    <w:p>
      <w:pPr>
        <w:spacing w:line="285" w:lineRule="auto"/>
        <w:rPr>
          <w:color w:val="auto"/>
        </w:rPr>
      </w:pPr>
    </w:p>
    <w:p>
      <w:pPr>
        <w:spacing w:before="65" w:line="377" w:lineRule="auto"/>
        <w:ind w:left="24" w:firstLine="420"/>
        <w:rPr>
          <w:rFonts w:ascii="宋体" w:hAnsi="宋体" w:cs="宋体"/>
          <w:color w:val="auto"/>
          <w:szCs w:val="21"/>
        </w:rPr>
      </w:pPr>
      <w:r>
        <w:rPr>
          <w:rFonts w:ascii="宋体" w:hAnsi="宋体" w:cs="宋体"/>
          <w:color w:val="auto"/>
          <w:spacing w:val="7"/>
          <w:szCs w:val="21"/>
        </w:rPr>
        <w:t>本人</w:t>
      </w:r>
      <w:r>
        <w:rPr>
          <w:rFonts w:ascii="宋体" w:hAnsi="宋体" w:cs="宋体"/>
          <w:color w:val="auto"/>
          <w:spacing w:val="7"/>
          <w:szCs w:val="21"/>
          <w:u w:val="single"/>
        </w:rPr>
        <w:t>（姓名</w:t>
      </w:r>
      <w:r>
        <w:rPr>
          <w:rFonts w:ascii="宋体" w:hAnsi="宋体" w:cs="宋体"/>
          <w:color w:val="auto"/>
          <w:spacing w:val="8"/>
          <w:szCs w:val="21"/>
          <w:u w:val="single"/>
        </w:rPr>
        <w:t>）</w:t>
      </w:r>
      <w:r>
        <w:rPr>
          <w:rFonts w:ascii="宋体" w:hAnsi="宋体" w:cs="宋体"/>
          <w:color w:val="auto"/>
          <w:spacing w:val="7"/>
          <w:szCs w:val="21"/>
        </w:rPr>
        <w:t>系</w:t>
      </w:r>
      <w:r>
        <w:rPr>
          <w:rFonts w:ascii="宋体" w:hAnsi="宋体" w:cs="宋体"/>
          <w:color w:val="auto"/>
          <w:spacing w:val="7"/>
          <w:szCs w:val="21"/>
          <w:u w:val="single"/>
        </w:rPr>
        <w:t>（投标人名称</w:t>
      </w:r>
      <w:r>
        <w:rPr>
          <w:rFonts w:ascii="宋体" w:hAnsi="宋体" w:cs="宋体"/>
          <w:color w:val="auto"/>
          <w:spacing w:val="8"/>
          <w:szCs w:val="21"/>
          <w:u w:val="single"/>
        </w:rPr>
        <w:t>）</w:t>
      </w:r>
      <w:r>
        <w:rPr>
          <w:rFonts w:ascii="宋体" w:hAnsi="宋体" w:cs="宋体"/>
          <w:color w:val="auto"/>
          <w:spacing w:val="7"/>
          <w:szCs w:val="21"/>
        </w:rPr>
        <w:t>的法定代表人</w:t>
      </w:r>
      <w:r>
        <w:rPr>
          <w:rFonts w:ascii="宋体" w:hAnsi="宋体" w:cs="宋体"/>
          <w:color w:val="auto"/>
          <w:spacing w:val="8"/>
          <w:szCs w:val="21"/>
        </w:rPr>
        <w:t>，</w:t>
      </w:r>
      <w:r>
        <w:rPr>
          <w:rFonts w:ascii="宋体" w:hAnsi="宋体" w:cs="宋体"/>
          <w:color w:val="auto"/>
          <w:spacing w:val="7"/>
          <w:szCs w:val="21"/>
        </w:rPr>
        <w:t>现委托</w:t>
      </w:r>
      <w:r>
        <w:rPr>
          <w:rFonts w:ascii="宋体" w:hAnsi="宋体" w:cs="宋体"/>
          <w:color w:val="auto"/>
          <w:spacing w:val="7"/>
          <w:szCs w:val="21"/>
          <w:u w:val="single"/>
        </w:rPr>
        <w:t>（姓名</w:t>
      </w:r>
      <w:r>
        <w:rPr>
          <w:rFonts w:ascii="宋体" w:hAnsi="宋体" w:cs="宋体"/>
          <w:color w:val="auto"/>
          <w:spacing w:val="8"/>
          <w:szCs w:val="21"/>
          <w:u w:val="single"/>
        </w:rPr>
        <w:t>）</w:t>
      </w:r>
      <w:r>
        <w:rPr>
          <w:rFonts w:ascii="宋体" w:hAnsi="宋体" w:cs="宋体"/>
          <w:color w:val="auto"/>
          <w:spacing w:val="7"/>
          <w:szCs w:val="21"/>
        </w:rPr>
        <w:t>为我方代理人</w:t>
      </w:r>
      <w:r>
        <w:rPr>
          <w:rFonts w:ascii="宋体" w:hAnsi="宋体" w:cs="宋体"/>
          <w:color w:val="auto"/>
          <w:spacing w:val="8"/>
          <w:szCs w:val="21"/>
        </w:rPr>
        <w:t>。</w:t>
      </w:r>
      <w:r>
        <w:rPr>
          <w:rFonts w:ascii="宋体" w:hAnsi="宋体" w:cs="宋体"/>
          <w:color w:val="auto"/>
          <w:spacing w:val="7"/>
          <w:szCs w:val="21"/>
        </w:rPr>
        <w:t>代理</w:t>
      </w:r>
      <w:r>
        <w:rPr>
          <w:rFonts w:ascii="宋体" w:hAnsi="宋体" w:cs="宋体"/>
          <w:color w:val="auto"/>
          <w:spacing w:val="6"/>
          <w:szCs w:val="21"/>
        </w:rPr>
        <w:t>人</w:t>
      </w:r>
      <w:r>
        <w:rPr>
          <w:rFonts w:ascii="宋体" w:hAnsi="宋体" w:cs="宋体"/>
          <w:color w:val="auto"/>
          <w:spacing w:val="4"/>
          <w:szCs w:val="21"/>
        </w:rPr>
        <w:t>根据授权</w:t>
      </w:r>
      <w:r>
        <w:rPr>
          <w:rFonts w:ascii="宋体" w:hAnsi="宋体" w:cs="宋体"/>
          <w:color w:val="auto"/>
          <w:spacing w:val="5"/>
          <w:szCs w:val="21"/>
        </w:rPr>
        <w:t>，</w:t>
      </w:r>
      <w:r>
        <w:rPr>
          <w:rFonts w:ascii="宋体" w:hAnsi="宋体" w:cs="宋体"/>
          <w:color w:val="auto"/>
          <w:spacing w:val="4"/>
          <w:szCs w:val="21"/>
        </w:rPr>
        <w:t>以我方名义签署</w:t>
      </w:r>
      <w:r>
        <w:rPr>
          <w:rFonts w:ascii="宋体" w:hAnsi="宋体" w:cs="宋体"/>
          <w:color w:val="auto"/>
          <w:spacing w:val="5"/>
          <w:szCs w:val="21"/>
        </w:rPr>
        <w:t>、</w:t>
      </w:r>
      <w:r>
        <w:rPr>
          <w:rFonts w:ascii="宋体" w:hAnsi="宋体" w:cs="宋体"/>
          <w:color w:val="auto"/>
          <w:spacing w:val="4"/>
          <w:szCs w:val="21"/>
        </w:rPr>
        <w:t>澄清</w:t>
      </w:r>
      <w:r>
        <w:rPr>
          <w:rFonts w:ascii="宋体" w:hAnsi="宋体" w:cs="宋体"/>
          <w:color w:val="auto"/>
          <w:spacing w:val="5"/>
          <w:szCs w:val="21"/>
        </w:rPr>
        <w:t>、</w:t>
      </w:r>
      <w:r>
        <w:rPr>
          <w:rFonts w:ascii="宋体" w:hAnsi="宋体" w:cs="宋体"/>
          <w:color w:val="auto"/>
          <w:spacing w:val="4"/>
          <w:szCs w:val="21"/>
        </w:rPr>
        <w:t>说明</w:t>
      </w:r>
      <w:r>
        <w:rPr>
          <w:rFonts w:ascii="宋体" w:hAnsi="宋体" w:cs="宋体"/>
          <w:color w:val="auto"/>
          <w:spacing w:val="5"/>
          <w:szCs w:val="21"/>
        </w:rPr>
        <w:t>、</w:t>
      </w:r>
      <w:r>
        <w:rPr>
          <w:rFonts w:ascii="宋体" w:hAnsi="宋体" w:cs="宋体"/>
          <w:color w:val="auto"/>
          <w:spacing w:val="4"/>
          <w:szCs w:val="21"/>
        </w:rPr>
        <w:t>补正</w:t>
      </w:r>
      <w:r>
        <w:rPr>
          <w:rFonts w:ascii="宋体" w:hAnsi="宋体" w:cs="宋体"/>
          <w:color w:val="auto"/>
          <w:spacing w:val="5"/>
          <w:szCs w:val="21"/>
        </w:rPr>
        <w:t>、</w:t>
      </w:r>
      <w:r>
        <w:rPr>
          <w:rFonts w:ascii="宋体" w:hAnsi="宋体" w:cs="宋体"/>
          <w:color w:val="auto"/>
          <w:spacing w:val="4"/>
          <w:szCs w:val="21"/>
        </w:rPr>
        <w:t>递交</w:t>
      </w:r>
      <w:r>
        <w:rPr>
          <w:rFonts w:ascii="宋体" w:hAnsi="宋体" w:cs="宋体"/>
          <w:color w:val="auto"/>
          <w:spacing w:val="5"/>
          <w:szCs w:val="21"/>
        </w:rPr>
        <w:t>、</w:t>
      </w:r>
      <w:r>
        <w:rPr>
          <w:rFonts w:ascii="宋体" w:hAnsi="宋体" w:cs="宋体"/>
          <w:color w:val="auto"/>
          <w:spacing w:val="4"/>
          <w:szCs w:val="21"/>
        </w:rPr>
        <w:t>撤回</w:t>
      </w:r>
      <w:r>
        <w:rPr>
          <w:rFonts w:ascii="宋体" w:hAnsi="宋体" w:cs="宋体"/>
          <w:color w:val="auto"/>
          <w:spacing w:val="5"/>
          <w:szCs w:val="21"/>
        </w:rPr>
        <w:t>、</w:t>
      </w:r>
      <w:r>
        <w:rPr>
          <w:rFonts w:ascii="宋体" w:hAnsi="宋体" w:cs="宋体"/>
          <w:color w:val="auto"/>
          <w:spacing w:val="3"/>
          <w:szCs w:val="21"/>
        </w:rPr>
        <w:t>修改</w:t>
      </w:r>
      <w:r>
        <w:rPr>
          <w:rFonts w:ascii="宋体" w:hAnsi="宋体" w:cs="宋体"/>
          <w:color w:val="auto"/>
          <w:spacing w:val="3"/>
          <w:szCs w:val="21"/>
          <w:u w:val="single"/>
        </w:rPr>
        <w:t>（项目名称</w:t>
      </w:r>
      <w:r>
        <w:rPr>
          <w:rFonts w:ascii="宋体" w:hAnsi="宋体" w:cs="宋体"/>
          <w:color w:val="auto"/>
          <w:spacing w:val="5"/>
          <w:szCs w:val="21"/>
          <w:u w:val="single"/>
        </w:rPr>
        <w:t>）</w:t>
      </w:r>
      <w:r>
        <w:rPr>
          <w:rFonts w:ascii="宋体" w:hAnsi="宋体" w:cs="宋体"/>
          <w:color w:val="auto"/>
          <w:spacing w:val="3"/>
          <w:szCs w:val="21"/>
        </w:rPr>
        <w:t>投标文件</w:t>
      </w:r>
      <w:r>
        <w:rPr>
          <w:rFonts w:ascii="宋体" w:hAnsi="宋体" w:cs="宋体"/>
          <w:color w:val="auto"/>
          <w:spacing w:val="5"/>
          <w:szCs w:val="21"/>
        </w:rPr>
        <w:t>、</w:t>
      </w:r>
      <w:r>
        <w:rPr>
          <w:rFonts w:ascii="宋体" w:hAnsi="宋体" w:cs="宋体"/>
          <w:color w:val="auto"/>
          <w:spacing w:val="10"/>
          <w:szCs w:val="21"/>
        </w:rPr>
        <w:t>签订合同</w:t>
      </w:r>
      <w:r>
        <w:rPr>
          <w:rFonts w:ascii="宋体" w:hAnsi="宋体" w:cs="宋体"/>
          <w:color w:val="auto"/>
          <w:spacing w:val="11"/>
          <w:szCs w:val="21"/>
        </w:rPr>
        <w:t>、</w:t>
      </w:r>
      <w:r>
        <w:rPr>
          <w:rFonts w:ascii="宋体" w:hAnsi="宋体" w:cs="宋体"/>
          <w:color w:val="auto"/>
          <w:spacing w:val="10"/>
          <w:szCs w:val="21"/>
        </w:rPr>
        <w:t>处</w:t>
      </w:r>
      <w:r>
        <w:rPr>
          <w:rFonts w:ascii="宋体" w:hAnsi="宋体" w:cs="宋体"/>
          <w:color w:val="auto"/>
          <w:spacing w:val="9"/>
          <w:szCs w:val="21"/>
        </w:rPr>
        <w:t>理投诉（异议</w:t>
      </w:r>
      <w:r>
        <w:rPr>
          <w:rFonts w:ascii="宋体" w:hAnsi="宋体" w:cs="宋体"/>
          <w:color w:val="auto"/>
          <w:spacing w:val="11"/>
          <w:szCs w:val="21"/>
        </w:rPr>
        <w:t>）</w:t>
      </w:r>
      <w:r>
        <w:rPr>
          <w:rFonts w:ascii="宋体" w:hAnsi="宋体" w:cs="宋体"/>
          <w:color w:val="auto"/>
          <w:spacing w:val="9"/>
          <w:szCs w:val="21"/>
        </w:rPr>
        <w:t>和处理有关事宜</w:t>
      </w:r>
      <w:r>
        <w:rPr>
          <w:rFonts w:ascii="宋体" w:hAnsi="宋体" w:cs="宋体"/>
          <w:color w:val="auto"/>
          <w:spacing w:val="11"/>
          <w:szCs w:val="21"/>
        </w:rPr>
        <w:t>，</w:t>
      </w:r>
      <w:r>
        <w:rPr>
          <w:rFonts w:ascii="宋体" w:hAnsi="宋体" w:cs="宋体"/>
          <w:color w:val="auto"/>
          <w:spacing w:val="9"/>
          <w:szCs w:val="21"/>
        </w:rPr>
        <w:t>其法律后果由我方承担</w:t>
      </w:r>
      <w:r>
        <w:rPr>
          <w:rFonts w:ascii="宋体" w:hAnsi="宋体" w:cs="宋体"/>
          <w:color w:val="auto"/>
          <w:spacing w:val="11"/>
          <w:szCs w:val="21"/>
        </w:rPr>
        <w:t>。</w:t>
      </w:r>
    </w:p>
    <w:p>
      <w:pPr>
        <w:spacing w:line="376" w:lineRule="auto"/>
        <w:ind w:firstLine="443"/>
        <w:rPr>
          <w:rFonts w:ascii="宋体" w:hAnsi="宋体" w:cs="宋体"/>
          <w:color w:val="auto"/>
          <w:szCs w:val="21"/>
        </w:rPr>
      </w:pPr>
      <w:r>
        <w:rPr>
          <w:rFonts w:ascii="宋体" w:hAnsi="宋体" w:cs="宋体"/>
          <w:color w:val="auto"/>
          <w:szCs w:val="21"/>
        </w:rPr>
        <w:t>委托期限：</w:t>
      </w:r>
      <w:r>
        <w:rPr>
          <w:rFonts w:hint="eastAsia" w:ascii="宋体" w:hAnsi="宋体" w:cs="宋体"/>
          <w:color w:val="auto"/>
          <w:szCs w:val="21"/>
          <w:u w:val="single"/>
        </w:rPr>
        <w:t xml:space="preserve">           </w:t>
      </w:r>
      <w:r>
        <w:rPr>
          <w:rFonts w:ascii="宋体" w:hAnsi="宋体" w:cs="宋体"/>
          <w:color w:val="auto"/>
          <w:szCs w:val="21"/>
        </w:rPr>
        <w:t>。</w:t>
      </w:r>
    </w:p>
    <w:p>
      <w:pPr>
        <w:spacing w:before="1" w:line="227" w:lineRule="auto"/>
        <w:ind w:firstLine="443"/>
        <w:rPr>
          <w:rFonts w:ascii="宋体" w:hAnsi="宋体" w:cs="宋体"/>
          <w:color w:val="auto"/>
          <w:szCs w:val="21"/>
        </w:rPr>
      </w:pPr>
      <w:r>
        <w:rPr>
          <w:rFonts w:ascii="宋体" w:hAnsi="宋体" w:cs="宋体"/>
          <w:color w:val="auto"/>
          <w:spacing w:val="8"/>
          <w:szCs w:val="21"/>
        </w:rPr>
        <w:t>代理人无转委托权</w:t>
      </w:r>
      <w:r>
        <w:rPr>
          <w:rFonts w:ascii="宋体" w:hAnsi="宋体" w:cs="宋体"/>
          <w:color w:val="auto"/>
          <w:spacing w:val="9"/>
          <w:szCs w:val="21"/>
        </w:rPr>
        <w:t>。</w:t>
      </w:r>
    </w:p>
    <w:p>
      <w:pPr>
        <w:spacing w:line="250" w:lineRule="auto"/>
        <w:rPr>
          <w:color w:val="auto"/>
          <w:szCs w:val="21"/>
        </w:rPr>
      </w:pPr>
    </w:p>
    <w:p>
      <w:pPr>
        <w:spacing w:line="251" w:lineRule="auto"/>
        <w:rPr>
          <w:color w:val="auto"/>
          <w:szCs w:val="21"/>
        </w:rPr>
      </w:pPr>
    </w:p>
    <w:p>
      <w:pPr>
        <w:spacing w:before="65" w:line="227" w:lineRule="auto"/>
        <w:ind w:firstLine="460"/>
        <w:rPr>
          <w:rFonts w:ascii="宋体" w:hAnsi="宋体" w:cs="宋体"/>
          <w:color w:val="auto"/>
          <w:szCs w:val="21"/>
        </w:rPr>
      </w:pPr>
      <w:r>
        <w:rPr>
          <w:rFonts w:ascii="宋体" w:hAnsi="宋体" w:cs="宋体"/>
          <w:color w:val="auto"/>
          <w:spacing w:val="8"/>
          <w:szCs w:val="21"/>
        </w:rPr>
        <w:t>附：法定代表人</w:t>
      </w:r>
      <w:r>
        <w:rPr>
          <w:rFonts w:ascii="宋体" w:hAnsi="宋体" w:cs="宋体"/>
          <w:color w:val="auto"/>
          <w:spacing w:val="7"/>
          <w:szCs w:val="21"/>
        </w:rPr>
        <w:t>身份证明</w:t>
      </w:r>
    </w:p>
    <w:p>
      <w:pPr>
        <w:spacing w:line="252" w:lineRule="auto"/>
        <w:rPr>
          <w:color w:val="auto"/>
          <w:szCs w:val="21"/>
        </w:rPr>
      </w:pPr>
    </w:p>
    <w:p>
      <w:pPr>
        <w:spacing w:line="252" w:lineRule="auto"/>
        <w:rPr>
          <w:color w:val="auto"/>
          <w:szCs w:val="21"/>
        </w:rPr>
      </w:pPr>
    </w:p>
    <w:p>
      <w:pPr>
        <w:spacing w:before="65" w:line="227" w:lineRule="auto"/>
        <w:ind w:firstLine="447"/>
        <w:rPr>
          <w:rFonts w:ascii="宋体" w:hAnsi="宋体" w:cs="宋体"/>
          <w:color w:val="auto"/>
          <w:szCs w:val="21"/>
        </w:rPr>
      </w:pPr>
      <w:r>
        <w:rPr>
          <w:rFonts w:ascii="宋体" w:hAnsi="宋体" w:cs="宋体"/>
          <w:color w:val="auto"/>
          <w:szCs w:val="21"/>
        </w:rPr>
        <w:t>投标人：（盖单位章）</w:t>
      </w:r>
    </w:p>
    <w:p>
      <w:pPr>
        <w:spacing w:line="250" w:lineRule="auto"/>
        <w:rPr>
          <w:color w:val="auto"/>
          <w:szCs w:val="21"/>
        </w:rPr>
      </w:pPr>
    </w:p>
    <w:p>
      <w:pPr>
        <w:spacing w:line="251" w:lineRule="auto"/>
        <w:rPr>
          <w:color w:val="auto"/>
          <w:szCs w:val="21"/>
        </w:rPr>
      </w:pPr>
    </w:p>
    <w:p>
      <w:pPr>
        <w:spacing w:before="66" w:line="228" w:lineRule="auto"/>
        <w:ind w:firstLine="445"/>
        <w:rPr>
          <w:rFonts w:ascii="宋体" w:hAnsi="宋体" w:cs="宋体"/>
          <w:color w:val="auto"/>
          <w:szCs w:val="21"/>
        </w:rPr>
      </w:pPr>
      <w:r>
        <w:rPr>
          <w:rFonts w:ascii="宋体" w:hAnsi="宋体" w:cs="宋体"/>
          <w:color w:val="auto"/>
          <w:szCs w:val="21"/>
        </w:rPr>
        <w:t>法定代表人</w:t>
      </w:r>
      <w:r>
        <w:rPr>
          <w:rFonts w:ascii="宋体" w:hAnsi="宋体" w:cs="宋体"/>
          <w:color w:val="auto"/>
          <w:spacing w:val="-1"/>
          <w:szCs w:val="21"/>
        </w:rPr>
        <w:t>：</w:t>
      </w:r>
      <w:r>
        <w:rPr>
          <w:rFonts w:ascii="宋体" w:hAnsi="宋体" w:cs="宋体"/>
          <w:color w:val="auto"/>
          <w:szCs w:val="21"/>
        </w:rPr>
        <w:t>（签字）</w:t>
      </w:r>
    </w:p>
    <w:p>
      <w:pPr>
        <w:spacing w:line="250" w:lineRule="auto"/>
        <w:rPr>
          <w:color w:val="auto"/>
          <w:szCs w:val="21"/>
        </w:rPr>
      </w:pPr>
    </w:p>
    <w:p>
      <w:pPr>
        <w:spacing w:line="250" w:lineRule="auto"/>
        <w:rPr>
          <w:color w:val="auto"/>
          <w:szCs w:val="21"/>
        </w:rPr>
      </w:pPr>
    </w:p>
    <w:p>
      <w:pPr>
        <w:spacing w:before="66" w:line="228" w:lineRule="auto"/>
        <w:ind w:firstLine="450"/>
        <w:rPr>
          <w:rFonts w:ascii="宋体" w:hAnsi="宋体" w:cs="宋体"/>
          <w:color w:val="auto"/>
          <w:szCs w:val="21"/>
        </w:rPr>
      </w:pPr>
      <w:r>
        <w:rPr>
          <w:rFonts w:ascii="宋体" w:hAnsi="宋体" w:cs="宋体"/>
          <w:color w:val="auto"/>
          <w:spacing w:val="6"/>
          <w:szCs w:val="21"/>
        </w:rPr>
        <w:t>身份证</w:t>
      </w:r>
      <w:r>
        <w:rPr>
          <w:rFonts w:ascii="宋体" w:hAnsi="宋体" w:cs="宋体"/>
          <w:color w:val="auto"/>
          <w:spacing w:val="5"/>
          <w:szCs w:val="21"/>
        </w:rPr>
        <w:t>号码</w:t>
      </w:r>
      <w:r>
        <w:rPr>
          <w:rFonts w:ascii="宋体" w:hAnsi="宋体" w:cs="宋体"/>
          <w:color w:val="auto"/>
          <w:spacing w:val="7"/>
          <w:szCs w:val="21"/>
        </w:rPr>
        <w:t>：</w:t>
      </w:r>
    </w:p>
    <w:p>
      <w:pPr>
        <w:spacing w:line="251" w:lineRule="auto"/>
        <w:rPr>
          <w:color w:val="auto"/>
          <w:szCs w:val="21"/>
        </w:rPr>
      </w:pPr>
    </w:p>
    <w:p>
      <w:pPr>
        <w:spacing w:line="252" w:lineRule="auto"/>
        <w:rPr>
          <w:color w:val="auto"/>
          <w:szCs w:val="21"/>
        </w:rPr>
      </w:pPr>
    </w:p>
    <w:p>
      <w:pPr>
        <w:spacing w:before="65" w:line="228" w:lineRule="auto"/>
        <w:ind w:firstLine="443"/>
        <w:rPr>
          <w:rFonts w:ascii="宋体" w:hAnsi="宋体" w:cs="宋体"/>
          <w:color w:val="auto"/>
          <w:szCs w:val="21"/>
        </w:rPr>
      </w:pPr>
      <w:r>
        <w:rPr>
          <w:rFonts w:ascii="宋体" w:hAnsi="宋体" w:cs="宋体"/>
          <w:color w:val="auto"/>
          <w:szCs w:val="21"/>
        </w:rPr>
        <w:t>委托代理人</w:t>
      </w:r>
      <w:r>
        <w:rPr>
          <w:rFonts w:ascii="宋体" w:hAnsi="宋体" w:cs="宋体"/>
          <w:color w:val="auto"/>
          <w:spacing w:val="-1"/>
          <w:szCs w:val="21"/>
        </w:rPr>
        <w:t>：</w:t>
      </w:r>
      <w:r>
        <w:rPr>
          <w:rFonts w:ascii="宋体" w:hAnsi="宋体" w:cs="宋体"/>
          <w:color w:val="auto"/>
          <w:szCs w:val="21"/>
        </w:rPr>
        <w:t>（签字）</w:t>
      </w:r>
    </w:p>
    <w:p>
      <w:pPr>
        <w:spacing w:line="250" w:lineRule="auto"/>
        <w:rPr>
          <w:color w:val="auto"/>
          <w:szCs w:val="21"/>
        </w:rPr>
      </w:pPr>
    </w:p>
    <w:p>
      <w:pPr>
        <w:spacing w:line="250" w:lineRule="auto"/>
        <w:rPr>
          <w:color w:val="auto"/>
          <w:szCs w:val="21"/>
        </w:rPr>
      </w:pPr>
    </w:p>
    <w:p>
      <w:pPr>
        <w:spacing w:before="66" w:line="228" w:lineRule="auto"/>
        <w:ind w:firstLine="450"/>
        <w:rPr>
          <w:rFonts w:ascii="宋体" w:hAnsi="宋体" w:cs="宋体"/>
          <w:color w:val="auto"/>
          <w:szCs w:val="21"/>
        </w:rPr>
      </w:pPr>
      <w:r>
        <w:rPr>
          <w:rFonts w:ascii="宋体" w:hAnsi="宋体" w:cs="宋体"/>
          <w:color w:val="auto"/>
          <w:spacing w:val="6"/>
          <w:szCs w:val="21"/>
        </w:rPr>
        <w:t>身份证</w:t>
      </w:r>
      <w:r>
        <w:rPr>
          <w:rFonts w:ascii="宋体" w:hAnsi="宋体" w:cs="宋体"/>
          <w:color w:val="auto"/>
          <w:spacing w:val="5"/>
          <w:szCs w:val="21"/>
        </w:rPr>
        <w:t>号码</w:t>
      </w:r>
      <w:r>
        <w:rPr>
          <w:rFonts w:ascii="宋体" w:hAnsi="宋体" w:cs="宋体"/>
          <w:color w:val="auto"/>
          <w:spacing w:val="7"/>
          <w:szCs w:val="21"/>
        </w:rPr>
        <w:t>：</w:t>
      </w:r>
    </w:p>
    <w:p>
      <w:pPr>
        <w:spacing w:line="302" w:lineRule="auto"/>
        <w:rPr>
          <w:color w:val="auto"/>
          <w:szCs w:val="21"/>
        </w:rPr>
      </w:pPr>
    </w:p>
    <w:p>
      <w:pPr>
        <w:spacing w:line="303" w:lineRule="auto"/>
        <w:rPr>
          <w:color w:val="auto"/>
          <w:szCs w:val="21"/>
        </w:rPr>
      </w:pPr>
    </w:p>
    <w:p>
      <w:pPr>
        <w:spacing w:line="303" w:lineRule="auto"/>
        <w:rPr>
          <w:color w:val="auto"/>
          <w:szCs w:val="21"/>
        </w:rPr>
      </w:pPr>
    </w:p>
    <w:p>
      <w:pPr>
        <w:spacing w:before="66" w:line="228" w:lineRule="auto"/>
        <w:ind w:firstLine="3279"/>
        <w:outlineLvl w:val="1"/>
        <w:rPr>
          <w:rFonts w:ascii="宋体" w:hAnsi="宋体" w:cs="宋体"/>
          <w:color w:val="auto"/>
          <w:szCs w:val="21"/>
        </w:rPr>
      </w:pPr>
      <w:r>
        <w:rPr>
          <w:rFonts w:ascii="宋体" w:hAnsi="宋体" w:cs="宋体"/>
          <w:color w:val="auto"/>
          <w:spacing w:val="12"/>
          <w:szCs w:val="21"/>
        </w:rPr>
        <w:t>年月</w:t>
      </w:r>
      <w:r>
        <w:rPr>
          <w:rFonts w:ascii="宋体" w:hAnsi="宋体" w:cs="宋体"/>
          <w:color w:val="auto"/>
          <w:spacing w:val="11"/>
          <w:szCs w:val="21"/>
        </w:rPr>
        <w:t>日</w:t>
      </w:r>
    </w:p>
    <w:p>
      <w:pPr>
        <w:rPr>
          <w:color w:val="auto"/>
          <w:szCs w:val="21"/>
        </w:rPr>
        <w:sectPr>
          <w:footerReference r:id="rId8" w:type="default"/>
          <w:pgSz w:w="11906" w:h="16838"/>
          <w:pgMar w:top="1134" w:right="1134" w:bottom="1134" w:left="1134" w:header="680" w:footer="680" w:gutter="0"/>
          <w:cols w:space="720" w:num="1"/>
        </w:sectPr>
      </w:pPr>
    </w:p>
    <w:p>
      <w:pPr>
        <w:spacing w:before="177" w:line="226" w:lineRule="auto"/>
        <w:ind w:firstLine="35"/>
        <w:rPr>
          <w:rFonts w:ascii="黑体" w:hAnsi="黑体" w:eastAsia="黑体" w:cs="黑体"/>
          <w:color w:val="auto"/>
          <w:sz w:val="31"/>
          <w:szCs w:val="31"/>
        </w:rPr>
      </w:pPr>
      <w:r>
        <w:rPr>
          <w:rFonts w:ascii="宋体" w:hAnsi="宋体" w:cs="宋体"/>
          <w:color w:val="auto"/>
          <w:spacing w:val="4"/>
          <w:sz w:val="31"/>
          <w:szCs w:val="31"/>
        </w:rPr>
        <w:t>5.</w:t>
      </w:r>
      <w:r>
        <w:rPr>
          <w:rFonts w:ascii="黑体" w:hAnsi="黑体" w:eastAsia="黑体" w:cs="黑体"/>
          <w:color w:val="auto"/>
          <w:spacing w:val="8"/>
          <w:sz w:val="31"/>
          <w:szCs w:val="31"/>
        </w:rPr>
        <w:t>项目负责人</w:t>
      </w:r>
      <w:r>
        <w:rPr>
          <w:rFonts w:ascii="黑体" w:hAnsi="黑体" w:eastAsia="黑体" w:cs="黑体"/>
          <w:color w:val="auto"/>
          <w:spacing w:val="7"/>
          <w:sz w:val="31"/>
          <w:szCs w:val="31"/>
        </w:rPr>
        <w:t>委任书</w:t>
      </w:r>
    </w:p>
    <w:p>
      <w:pPr>
        <w:spacing w:line="261" w:lineRule="auto"/>
        <w:rPr>
          <w:color w:val="auto"/>
        </w:rPr>
      </w:pPr>
    </w:p>
    <w:p>
      <w:pPr>
        <w:spacing w:line="261" w:lineRule="auto"/>
        <w:rPr>
          <w:color w:val="auto"/>
        </w:rPr>
      </w:pPr>
    </w:p>
    <w:p>
      <w:pPr>
        <w:spacing w:line="261" w:lineRule="auto"/>
        <w:rPr>
          <w:color w:val="auto"/>
        </w:rPr>
      </w:pPr>
    </w:p>
    <w:p>
      <w:pPr>
        <w:spacing w:before="101" w:line="224" w:lineRule="auto"/>
        <w:ind w:firstLine="2983"/>
        <w:rPr>
          <w:rFonts w:ascii="宋体" w:hAnsi="宋体" w:cs="宋体"/>
          <w:color w:val="auto"/>
          <w:sz w:val="31"/>
          <w:szCs w:val="31"/>
        </w:rPr>
      </w:pPr>
      <w:r>
        <w:rPr>
          <w:rFonts w:ascii="宋体" w:hAnsi="宋体" w:cs="宋体"/>
          <w:color w:val="auto"/>
          <w:spacing w:val="8"/>
          <w:sz w:val="31"/>
          <w:szCs w:val="31"/>
        </w:rPr>
        <w:t>项目负责</w:t>
      </w:r>
      <w:r>
        <w:rPr>
          <w:rFonts w:ascii="宋体" w:hAnsi="宋体" w:cs="宋体"/>
          <w:color w:val="auto"/>
          <w:spacing w:val="7"/>
          <w:sz w:val="31"/>
          <w:szCs w:val="31"/>
        </w:rPr>
        <w:t>人委任书</w:t>
      </w:r>
    </w:p>
    <w:p>
      <w:pPr>
        <w:spacing w:line="309" w:lineRule="auto"/>
        <w:rPr>
          <w:color w:val="auto"/>
        </w:rPr>
      </w:pPr>
    </w:p>
    <w:p>
      <w:pPr>
        <w:spacing w:line="310" w:lineRule="auto"/>
        <w:rPr>
          <w:color w:val="auto"/>
        </w:rPr>
      </w:pPr>
    </w:p>
    <w:p>
      <w:pPr>
        <w:spacing w:line="310" w:lineRule="auto"/>
        <w:rPr>
          <w:color w:val="auto"/>
        </w:rPr>
      </w:pPr>
    </w:p>
    <w:p>
      <w:pPr>
        <w:spacing w:before="65" w:line="228" w:lineRule="auto"/>
        <w:ind w:firstLine="24"/>
        <w:rPr>
          <w:rFonts w:ascii="宋体" w:hAnsi="宋体" w:cs="宋体"/>
          <w:color w:val="auto"/>
          <w:szCs w:val="21"/>
        </w:rPr>
      </w:pPr>
      <w:r>
        <w:rPr>
          <w:rFonts w:ascii="宋体" w:hAnsi="宋体" w:cs="宋体"/>
          <w:color w:val="auto"/>
          <w:szCs w:val="21"/>
        </w:rPr>
        <w:t xml:space="preserve">致 </w:t>
      </w:r>
      <w:r>
        <w:rPr>
          <w:rFonts w:ascii="宋体" w:hAnsi="宋体" w:cs="宋体"/>
          <w:color w:val="auto"/>
          <w:spacing w:val="-15"/>
          <w:szCs w:val="21"/>
        </w:rPr>
        <w:t>：</w:t>
      </w:r>
      <w:r>
        <w:rPr>
          <w:rFonts w:ascii="宋体" w:hAnsi="宋体" w:cs="宋体"/>
          <w:color w:val="auto"/>
          <w:szCs w:val="21"/>
          <w:u w:val="single"/>
        </w:rPr>
        <w:t xml:space="preserve"> （招标人名称</w:t>
      </w:r>
      <w:r>
        <w:rPr>
          <w:rFonts w:ascii="宋体" w:hAnsi="宋体" w:cs="宋体"/>
          <w:color w:val="auto"/>
          <w:spacing w:val="-15"/>
          <w:szCs w:val="21"/>
          <w:u w:val="single"/>
        </w:rPr>
        <w:t>）</w:t>
      </w:r>
    </w:p>
    <w:p>
      <w:pPr>
        <w:spacing w:line="476" w:lineRule="auto"/>
        <w:rPr>
          <w:color w:val="auto"/>
          <w:szCs w:val="21"/>
        </w:rPr>
      </w:pPr>
    </w:p>
    <w:p>
      <w:pPr>
        <w:tabs>
          <w:tab w:val="left" w:pos="695"/>
        </w:tabs>
        <w:spacing w:before="65" w:line="227" w:lineRule="auto"/>
        <w:ind w:firstLine="578"/>
        <w:rPr>
          <w:rFonts w:ascii="宋体" w:hAnsi="宋体" w:cs="宋体"/>
          <w:color w:val="auto"/>
          <w:szCs w:val="21"/>
        </w:rPr>
      </w:pPr>
      <w:r>
        <w:rPr>
          <w:rFonts w:ascii="宋体" w:hAnsi="宋体" w:cs="宋体"/>
          <w:color w:val="auto"/>
          <w:szCs w:val="21"/>
          <w:u w:val="single"/>
        </w:rPr>
        <w:tab/>
      </w:r>
      <w:r>
        <w:rPr>
          <w:rFonts w:ascii="宋体" w:hAnsi="宋体" w:cs="宋体"/>
          <w:color w:val="auto"/>
          <w:spacing w:val="17"/>
          <w:szCs w:val="21"/>
          <w:u w:val="single"/>
        </w:rPr>
        <w:t>（投标人全称</w:t>
      </w:r>
      <w:r>
        <w:rPr>
          <w:rFonts w:ascii="宋体" w:hAnsi="宋体" w:cs="宋体"/>
          <w:color w:val="auto"/>
          <w:spacing w:val="20"/>
          <w:szCs w:val="21"/>
          <w:u w:val="single"/>
        </w:rPr>
        <w:t>）</w:t>
      </w:r>
      <w:r>
        <w:rPr>
          <w:rFonts w:ascii="宋体" w:hAnsi="宋体" w:cs="宋体"/>
          <w:color w:val="auto"/>
          <w:spacing w:val="17"/>
          <w:szCs w:val="21"/>
        </w:rPr>
        <w:t>法定代表人</w:t>
      </w:r>
      <w:r>
        <w:rPr>
          <w:rFonts w:ascii="宋体" w:hAnsi="宋体" w:cs="宋体"/>
          <w:color w:val="auto"/>
          <w:spacing w:val="17"/>
          <w:szCs w:val="21"/>
          <w:u w:val="single"/>
        </w:rPr>
        <w:t>（职务</w:t>
      </w:r>
      <w:r>
        <w:rPr>
          <w:rFonts w:ascii="宋体" w:hAnsi="宋体" w:cs="宋体"/>
          <w:color w:val="auto"/>
          <w:spacing w:val="20"/>
          <w:szCs w:val="21"/>
          <w:u w:val="single"/>
        </w:rPr>
        <w:t>、</w:t>
      </w:r>
      <w:r>
        <w:rPr>
          <w:rFonts w:ascii="宋体" w:hAnsi="宋体" w:cs="宋体"/>
          <w:color w:val="auto"/>
          <w:spacing w:val="17"/>
          <w:szCs w:val="21"/>
          <w:u w:val="single"/>
        </w:rPr>
        <w:t>姓名</w:t>
      </w:r>
      <w:r>
        <w:rPr>
          <w:rFonts w:ascii="宋体" w:hAnsi="宋体" w:cs="宋体"/>
          <w:color w:val="auto"/>
          <w:spacing w:val="20"/>
          <w:szCs w:val="21"/>
          <w:u w:val="single"/>
        </w:rPr>
        <w:t>）</w:t>
      </w:r>
      <w:r>
        <w:rPr>
          <w:rFonts w:ascii="宋体" w:hAnsi="宋体" w:cs="宋体"/>
          <w:color w:val="auto"/>
          <w:spacing w:val="17"/>
          <w:szCs w:val="21"/>
        </w:rPr>
        <w:t>代表本单位委任</w:t>
      </w:r>
      <w:r>
        <w:rPr>
          <w:rFonts w:ascii="宋体" w:hAnsi="宋体" w:cs="宋体"/>
          <w:color w:val="auto"/>
          <w:spacing w:val="17"/>
          <w:szCs w:val="21"/>
          <w:u w:val="single"/>
        </w:rPr>
        <w:t>（在本单位职务</w:t>
      </w:r>
      <w:r>
        <w:rPr>
          <w:rFonts w:ascii="宋体" w:hAnsi="宋体" w:cs="宋体"/>
          <w:color w:val="auto"/>
          <w:spacing w:val="20"/>
          <w:szCs w:val="21"/>
          <w:u w:val="single"/>
        </w:rPr>
        <w:t>、</w:t>
      </w:r>
      <w:r>
        <w:rPr>
          <w:rFonts w:ascii="宋体" w:hAnsi="宋体" w:cs="宋体"/>
          <w:color w:val="auto"/>
          <w:spacing w:val="17"/>
          <w:szCs w:val="21"/>
          <w:u w:val="single"/>
        </w:rPr>
        <w:t>姓</w:t>
      </w:r>
    </w:p>
    <w:p>
      <w:pPr>
        <w:rPr>
          <w:color w:val="auto"/>
          <w:szCs w:val="21"/>
        </w:rPr>
      </w:pPr>
    </w:p>
    <w:p>
      <w:pPr>
        <w:rPr>
          <w:color w:val="auto"/>
          <w:szCs w:val="21"/>
        </w:rPr>
      </w:pPr>
    </w:p>
    <w:p>
      <w:pPr>
        <w:spacing w:before="66" w:line="228" w:lineRule="auto"/>
        <w:ind w:firstLine="27"/>
        <w:rPr>
          <w:rFonts w:ascii="宋体" w:hAnsi="宋体" w:cs="宋体"/>
          <w:color w:val="auto"/>
          <w:szCs w:val="21"/>
        </w:rPr>
      </w:pPr>
      <w:r>
        <w:rPr>
          <w:rFonts w:ascii="宋体" w:hAnsi="宋体" w:cs="宋体"/>
          <w:color w:val="auto"/>
          <w:spacing w:val="12"/>
          <w:szCs w:val="21"/>
          <w:u w:val="single"/>
        </w:rPr>
        <w:t>名</w:t>
      </w:r>
      <w:r>
        <w:rPr>
          <w:rFonts w:ascii="宋体" w:hAnsi="宋体" w:cs="宋体"/>
          <w:color w:val="auto"/>
          <w:spacing w:val="14"/>
          <w:szCs w:val="21"/>
          <w:u w:val="single"/>
        </w:rPr>
        <w:t>）</w:t>
      </w:r>
      <w:r>
        <w:rPr>
          <w:rFonts w:ascii="宋体" w:hAnsi="宋体" w:cs="宋体"/>
          <w:color w:val="auto"/>
          <w:spacing w:val="12"/>
          <w:szCs w:val="21"/>
        </w:rPr>
        <w:t>为</w:t>
      </w:r>
      <w:r>
        <w:rPr>
          <w:rFonts w:ascii="宋体" w:hAnsi="宋体" w:cs="宋体"/>
          <w:color w:val="auto"/>
          <w:spacing w:val="12"/>
          <w:szCs w:val="21"/>
          <w:u w:val="single"/>
        </w:rPr>
        <w:t>（合同工程名称</w:t>
      </w:r>
      <w:r>
        <w:rPr>
          <w:rFonts w:ascii="宋体" w:hAnsi="宋体" w:cs="宋体"/>
          <w:color w:val="auto"/>
          <w:spacing w:val="14"/>
          <w:szCs w:val="21"/>
          <w:u w:val="single"/>
        </w:rPr>
        <w:t>）</w:t>
      </w:r>
      <w:r>
        <w:rPr>
          <w:rFonts w:ascii="宋体" w:hAnsi="宋体" w:cs="宋体"/>
          <w:color w:val="auto"/>
          <w:spacing w:val="12"/>
          <w:szCs w:val="21"/>
        </w:rPr>
        <w:t>的项目负责人</w:t>
      </w:r>
      <w:r>
        <w:rPr>
          <w:rFonts w:ascii="宋体" w:hAnsi="宋体" w:cs="宋体"/>
          <w:color w:val="auto"/>
          <w:spacing w:val="14"/>
          <w:szCs w:val="21"/>
        </w:rPr>
        <w:t>。</w:t>
      </w:r>
      <w:r>
        <w:rPr>
          <w:rFonts w:ascii="宋体" w:hAnsi="宋体" w:cs="宋体"/>
          <w:color w:val="auto"/>
          <w:spacing w:val="12"/>
          <w:szCs w:val="21"/>
        </w:rPr>
        <w:t>凡本合同执行中的有关</w:t>
      </w:r>
      <w:r>
        <w:rPr>
          <w:rFonts w:hint="eastAsia" w:ascii="宋体" w:hAnsi="宋体" w:cs="宋体"/>
          <w:color w:val="auto"/>
          <w:spacing w:val="12"/>
          <w:szCs w:val="21"/>
        </w:rPr>
        <w:t>全过程造价咨询服务</w:t>
      </w:r>
    </w:p>
    <w:p>
      <w:pPr>
        <w:spacing w:line="477" w:lineRule="auto"/>
        <w:rPr>
          <w:color w:val="auto"/>
          <w:szCs w:val="21"/>
        </w:rPr>
      </w:pPr>
    </w:p>
    <w:p>
      <w:pPr>
        <w:spacing w:before="65" w:line="227" w:lineRule="auto"/>
        <w:ind w:firstLine="26"/>
        <w:rPr>
          <w:rFonts w:ascii="宋体" w:hAnsi="宋体" w:cs="宋体"/>
          <w:color w:val="auto"/>
          <w:szCs w:val="21"/>
        </w:rPr>
      </w:pPr>
      <w:r>
        <w:rPr>
          <w:rFonts w:ascii="宋体" w:hAnsi="宋体" w:cs="宋体"/>
          <w:color w:val="auto"/>
          <w:spacing w:val="8"/>
          <w:szCs w:val="21"/>
        </w:rPr>
        <w:t>等方面工作</w:t>
      </w:r>
      <w:r>
        <w:rPr>
          <w:rFonts w:ascii="宋体" w:hAnsi="宋体" w:cs="宋体"/>
          <w:color w:val="auto"/>
          <w:spacing w:val="10"/>
          <w:szCs w:val="21"/>
        </w:rPr>
        <w:t>，</w:t>
      </w:r>
      <w:r>
        <w:rPr>
          <w:rFonts w:ascii="宋体" w:hAnsi="宋体" w:cs="宋体"/>
          <w:color w:val="auto"/>
          <w:spacing w:val="8"/>
          <w:szCs w:val="21"/>
        </w:rPr>
        <w:t>由</w:t>
      </w:r>
      <w:r>
        <w:rPr>
          <w:rFonts w:ascii="宋体" w:hAnsi="宋体" w:cs="宋体"/>
          <w:color w:val="auto"/>
          <w:spacing w:val="8"/>
          <w:szCs w:val="21"/>
          <w:u w:val="single"/>
        </w:rPr>
        <w:t>（姓名</w:t>
      </w:r>
      <w:r>
        <w:rPr>
          <w:rFonts w:ascii="宋体" w:hAnsi="宋体" w:cs="宋体"/>
          <w:color w:val="auto"/>
          <w:spacing w:val="10"/>
          <w:szCs w:val="21"/>
          <w:u w:val="single"/>
        </w:rPr>
        <w:t>）</w:t>
      </w:r>
      <w:r>
        <w:rPr>
          <w:rFonts w:ascii="宋体" w:hAnsi="宋体" w:cs="宋体"/>
          <w:color w:val="auto"/>
          <w:spacing w:val="8"/>
          <w:szCs w:val="21"/>
        </w:rPr>
        <w:t>代</w:t>
      </w:r>
      <w:r>
        <w:rPr>
          <w:rFonts w:ascii="宋体" w:hAnsi="宋体" w:cs="宋体"/>
          <w:color w:val="auto"/>
          <w:spacing w:val="7"/>
          <w:szCs w:val="21"/>
        </w:rPr>
        <w:t>表本单位全面负责</w:t>
      </w:r>
      <w:r>
        <w:rPr>
          <w:rFonts w:ascii="宋体" w:hAnsi="宋体" w:cs="宋体"/>
          <w:color w:val="auto"/>
          <w:spacing w:val="10"/>
          <w:szCs w:val="21"/>
        </w:rPr>
        <w:t>。</w:t>
      </w:r>
    </w:p>
    <w:p>
      <w:pPr>
        <w:spacing w:line="252" w:lineRule="auto"/>
        <w:rPr>
          <w:color w:val="auto"/>
          <w:szCs w:val="21"/>
        </w:rPr>
      </w:pPr>
    </w:p>
    <w:p>
      <w:pPr>
        <w:spacing w:line="252" w:lineRule="auto"/>
        <w:rPr>
          <w:color w:val="auto"/>
          <w:szCs w:val="21"/>
        </w:rPr>
      </w:pPr>
    </w:p>
    <w:p>
      <w:pPr>
        <w:spacing w:line="252" w:lineRule="auto"/>
        <w:rPr>
          <w:color w:val="auto"/>
          <w:szCs w:val="21"/>
        </w:rPr>
      </w:pPr>
    </w:p>
    <w:p>
      <w:pPr>
        <w:spacing w:line="252" w:lineRule="auto"/>
        <w:rPr>
          <w:color w:val="auto"/>
          <w:szCs w:val="21"/>
        </w:rPr>
      </w:pPr>
    </w:p>
    <w:p>
      <w:pPr>
        <w:spacing w:line="253" w:lineRule="auto"/>
        <w:rPr>
          <w:color w:val="auto"/>
          <w:szCs w:val="21"/>
        </w:rPr>
      </w:pPr>
    </w:p>
    <w:p>
      <w:pPr>
        <w:spacing w:line="253" w:lineRule="auto"/>
        <w:rPr>
          <w:color w:val="auto"/>
          <w:szCs w:val="21"/>
        </w:rPr>
      </w:pPr>
    </w:p>
    <w:p>
      <w:pPr>
        <w:spacing w:line="253" w:lineRule="auto"/>
        <w:rPr>
          <w:color w:val="auto"/>
          <w:szCs w:val="21"/>
        </w:rPr>
      </w:pPr>
    </w:p>
    <w:p>
      <w:pPr>
        <w:spacing w:line="253" w:lineRule="auto"/>
        <w:rPr>
          <w:color w:val="auto"/>
          <w:szCs w:val="21"/>
        </w:rPr>
      </w:pPr>
    </w:p>
    <w:p>
      <w:pPr>
        <w:spacing w:line="253" w:lineRule="auto"/>
        <w:rPr>
          <w:color w:val="auto"/>
          <w:szCs w:val="21"/>
        </w:rPr>
      </w:pPr>
    </w:p>
    <w:p>
      <w:pPr>
        <w:spacing w:line="253" w:lineRule="auto"/>
        <w:rPr>
          <w:color w:val="auto"/>
          <w:szCs w:val="21"/>
        </w:rPr>
      </w:pPr>
    </w:p>
    <w:p>
      <w:pPr>
        <w:spacing w:line="253" w:lineRule="auto"/>
        <w:rPr>
          <w:color w:val="auto"/>
          <w:szCs w:val="21"/>
        </w:rPr>
      </w:pPr>
    </w:p>
    <w:p>
      <w:pPr>
        <w:spacing w:line="253" w:lineRule="auto"/>
        <w:rPr>
          <w:color w:val="auto"/>
          <w:szCs w:val="21"/>
        </w:rPr>
      </w:pPr>
    </w:p>
    <w:p>
      <w:pPr>
        <w:spacing w:line="253" w:lineRule="auto"/>
        <w:rPr>
          <w:color w:val="auto"/>
          <w:szCs w:val="21"/>
        </w:rPr>
      </w:pPr>
    </w:p>
    <w:p>
      <w:pPr>
        <w:spacing w:before="65" w:line="593" w:lineRule="auto"/>
        <w:ind w:left="5473" w:right="141" w:firstLine="1"/>
        <w:rPr>
          <w:rFonts w:ascii="宋体" w:hAnsi="宋体" w:cs="宋体"/>
          <w:color w:val="auto"/>
          <w:szCs w:val="21"/>
        </w:rPr>
      </w:pPr>
      <w:r>
        <w:rPr>
          <w:rFonts w:ascii="宋体" w:hAnsi="宋体" w:cs="宋体"/>
          <w:color w:val="auto"/>
          <w:szCs w:val="21"/>
        </w:rPr>
        <w:t>投标人</w:t>
      </w:r>
      <w:r>
        <w:rPr>
          <w:rFonts w:ascii="宋体" w:hAnsi="宋体" w:cs="宋体"/>
          <w:color w:val="auto"/>
          <w:spacing w:val="-1"/>
          <w:szCs w:val="21"/>
        </w:rPr>
        <w:t>：</w:t>
      </w:r>
      <w:r>
        <w:rPr>
          <w:rFonts w:ascii="宋体" w:hAnsi="宋体" w:cs="宋体"/>
          <w:color w:val="auto"/>
          <w:szCs w:val="21"/>
          <w:u w:val="single"/>
        </w:rPr>
        <w:t>（全称</w:t>
      </w:r>
      <w:r>
        <w:rPr>
          <w:rFonts w:ascii="宋体" w:hAnsi="宋体" w:cs="宋体"/>
          <w:color w:val="auto"/>
          <w:spacing w:val="-1"/>
          <w:szCs w:val="21"/>
          <w:u w:val="single"/>
        </w:rPr>
        <w:t>）</w:t>
      </w:r>
      <w:r>
        <w:rPr>
          <w:rFonts w:ascii="宋体" w:hAnsi="宋体" w:cs="宋体"/>
          <w:color w:val="auto"/>
          <w:szCs w:val="21"/>
          <w:u w:val="single"/>
        </w:rPr>
        <w:t>（盖章</w:t>
      </w:r>
      <w:r>
        <w:rPr>
          <w:rFonts w:ascii="宋体" w:hAnsi="宋体" w:cs="宋体"/>
          <w:color w:val="auto"/>
          <w:spacing w:val="-1"/>
          <w:szCs w:val="21"/>
          <w:u w:val="single"/>
        </w:rPr>
        <w:t>）</w:t>
      </w:r>
      <w:r>
        <w:rPr>
          <w:rFonts w:ascii="宋体" w:hAnsi="宋体" w:cs="宋体"/>
          <w:color w:val="auto"/>
          <w:szCs w:val="21"/>
        </w:rPr>
        <w:t xml:space="preserve">  </w:t>
      </w:r>
    </w:p>
    <w:p>
      <w:pPr>
        <w:spacing w:before="65" w:line="593" w:lineRule="auto"/>
        <w:ind w:left="5473" w:right="141" w:firstLine="1"/>
        <w:rPr>
          <w:rFonts w:ascii="宋体" w:hAnsi="宋体" w:cs="宋体"/>
          <w:color w:val="auto"/>
          <w:szCs w:val="21"/>
        </w:rPr>
      </w:pPr>
      <w:r>
        <w:rPr>
          <w:rFonts w:ascii="宋体" w:hAnsi="宋体" w:cs="宋体"/>
          <w:color w:val="auto"/>
          <w:szCs w:val="21"/>
        </w:rPr>
        <w:t>法定代表人</w:t>
      </w:r>
      <w:r>
        <w:rPr>
          <w:rFonts w:ascii="宋体" w:hAnsi="宋体" w:cs="宋体"/>
          <w:color w:val="auto"/>
          <w:spacing w:val="-1"/>
          <w:szCs w:val="21"/>
        </w:rPr>
        <w:t>：</w:t>
      </w:r>
      <w:r>
        <w:rPr>
          <w:rFonts w:ascii="宋体" w:hAnsi="宋体" w:cs="宋体"/>
          <w:color w:val="auto"/>
          <w:szCs w:val="21"/>
          <w:u w:val="single"/>
        </w:rPr>
        <w:t xml:space="preserve"> （签字或盖章） </w:t>
      </w:r>
    </w:p>
    <w:p>
      <w:pPr>
        <w:spacing w:before="4" w:line="228" w:lineRule="auto"/>
        <w:ind w:firstLine="6745"/>
        <w:outlineLvl w:val="1"/>
        <w:rPr>
          <w:rFonts w:ascii="宋体" w:hAnsi="宋体" w:cs="宋体"/>
          <w:color w:val="auto"/>
          <w:szCs w:val="21"/>
        </w:rPr>
      </w:pPr>
      <w:r>
        <w:rPr>
          <w:rFonts w:ascii="宋体" w:hAnsi="宋体" w:cs="宋体"/>
          <w:color w:val="auto"/>
          <w:spacing w:val="12"/>
          <w:szCs w:val="21"/>
        </w:rPr>
        <w:t>年</w:t>
      </w:r>
      <w:r>
        <w:rPr>
          <w:rFonts w:hint="eastAsia" w:ascii="宋体" w:hAnsi="宋体" w:cs="宋体"/>
          <w:color w:val="auto"/>
          <w:spacing w:val="12"/>
          <w:szCs w:val="21"/>
        </w:rPr>
        <w:t xml:space="preserve">  </w:t>
      </w:r>
      <w:r>
        <w:rPr>
          <w:rFonts w:ascii="宋体" w:hAnsi="宋体" w:cs="宋体"/>
          <w:color w:val="auto"/>
          <w:spacing w:val="12"/>
          <w:szCs w:val="21"/>
        </w:rPr>
        <w:t>月</w:t>
      </w:r>
      <w:r>
        <w:rPr>
          <w:rFonts w:hint="eastAsia" w:ascii="宋体" w:hAnsi="宋体" w:cs="宋体"/>
          <w:color w:val="auto"/>
          <w:spacing w:val="12"/>
          <w:szCs w:val="21"/>
        </w:rPr>
        <w:t xml:space="preserve">   </w:t>
      </w:r>
      <w:r>
        <w:rPr>
          <w:rFonts w:ascii="宋体" w:hAnsi="宋体" w:cs="宋体"/>
          <w:color w:val="auto"/>
          <w:spacing w:val="11"/>
          <w:szCs w:val="21"/>
        </w:rPr>
        <w:t>日</w:t>
      </w:r>
    </w:p>
    <w:p>
      <w:pPr>
        <w:rPr>
          <w:color w:val="auto"/>
          <w:szCs w:val="21"/>
        </w:rPr>
        <w:sectPr>
          <w:footerReference r:id="rId9" w:type="default"/>
          <w:pgSz w:w="11906" w:h="16838"/>
          <w:pgMar w:top="1134" w:right="1134" w:bottom="1134" w:left="1134" w:header="680" w:footer="680" w:gutter="0"/>
          <w:cols w:space="720" w:num="1"/>
        </w:sectPr>
      </w:pPr>
    </w:p>
    <w:p>
      <w:pPr>
        <w:spacing w:before="177" w:line="227" w:lineRule="auto"/>
        <w:ind w:firstLine="31"/>
        <w:rPr>
          <w:rFonts w:ascii="黑体" w:hAnsi="黑体" w:eastAsia="黑体" w:cs="黑体"/>
          <w:color w:val="auto"/>
          <w:sz w:val="31"/>
          <w:szCs w:val="31"/>
        </w:rPr>
      </w:pPr>
      <w:r>
        <w:rPr>
          <w:rFonts w:ascii="宋体" w:hAnsi="宋体" w:cs="宋体"/>
          <w:color w:val="auto"/>
          <w:spacing w:val="5"/>
          <w:sz w:val="31"/>
          <w:szCs w:val="31"/>
        </w:rPr>
        <w:t xml:space="preserve">6. </w:t>
      </w:r>
      <w:r>
        <w:rPr>
          <w:rFonts w:ascii="黑体" w:hAnsi="黑体" w:eastAsia="黑体" w:cs="黑体"/>
          <w:color w:val="auto"/>
          <w:spacing w:val="9"/>
          <w:sz w:val="31"/>
          <w:szCs w:val="31"/>
        </w:rPr>
        <w:t>投标人资料</w:t>
      </w:r>
      <w:r>
        <w:rPr>
          <w:rFonts w:ascii="黑体" w:hAnsi="黑体" w:eastAsia="黑体" w:cs="黑体"/>
          <w:color w:val="auto"/>
          <w:spacing w:val="8"/>
          <w:sz w:val="31"/>
          <w:szCs w:val="31"/>
        </w:rPr>
        <w:t>真实性承诺书</w:t>
      </w:r>
    </w:p>
    <w:p>
      <w:pPr>
        <w:spacing w:line="260" w:lineRule="auto"/>
        <w:rPr>
          <w:color w:val="auto"/>
        </w:rPr>
      </w:pPr>
    </w:p>
    <w:p>
      <w:pPr>
        <w:spacing w:line="261" w:lineRule="auto"/>
        <w:rPr>
          <w:color w:val="auto"/>
        </w:rPr>
      </w:pPr>
    </w:p>
    <w:p>
      <w:pPr>
        <w:spacing w:line="261" w:lineRule="auto"/>
        <w:rPr>
          <w:color w:val="auto"/>
        </w:rPr>
      </w:pPr>
    </w:p>
    <w:p>
      <w:pPr>
        <w:spacing w:before="101" w:line="224" w:lineRule="auto"/>
        <w:ind w:firstLine="2423"/>
        <w:rPr>
          <w:rFonts w:ascii="宋体" w:hAnsi="宋体" w:cs="宋体"/>
          <w:color w:val="auto"/>
          <w:sz w:val="31"/>
          <w:szCs w:val="31"/>
        </w:rPr>
      </w:pPr>
      <w:r>
        <w:rPr>
          <w:rFonts w:ascii="宋体" w:hAnsi="宋体" w:cs="宋体"/>
          <w:color w:val="auto"/>
          <w:spacing w:val="9"/>
          <w:sz w:val="31"/>
          <w:szCs w:val="31"/>
        </w:rPr>
        <w:t>投标人</w:t>
      </w:r>
      <w:r>
        <w:rPr>
          <w:rFonts w:ascii="宋体" w:hAnsi="宋体" w:cs="宋体"/>
          <w:color w:val="auto"/>
          <w:spacing w:val="8"/>
          <w:sz w:val="31"/>
          <w:szCs w:val="31"/>
        </w:rPr>
        <w:t>资料真实性承诺书</w:t>
      </w:r>
    </w:p>
    <w:p>
      <w:pPr>
        <w:spacing w:line="247" w:lineRule="auto"/>
        <w:rPr>
          <w:color w:val="auto"/>
        </w:rPr>
      </w:pPr>
    </w:p>
    <w:p>
      <w:pPr>
        <w:spacing w:line="247" w:lineRule="auto"/>
        <w:rPr>
          <w:color w:val="auto"/>
        </w:rPr>
      </w:pPr>
    </w:p>
    <w:p>
      <w:pPr>
        <w:spacing w:line="247" w:lineRule="auto"/>
        <w:rPr>
          <w:color w:val="auto"/>
        </w:rPr>
      </w:pPr>
    </w:p>
    <w:p>
      <w:pPr>
        <w:tabs>
          <w:tab w:val="left" w:pos="133"/>
        </w:tabs>
        <w:spacing w:before="65" w:line="228" w:lineRule="auto"/>
        <w:ind w:firstLine="16"/>
        <w:rPr>
          <w:rFonts w:ascii="宋体" w:hAnsi="宋体" w:cs="宋体"/>
          <w:color w:val="auto"/>
          <w:szCs w:val="21"/>
        </w:rPr>
      </w:pPr>
      <w:r>
        <w:rPr>
          <w:rFonts w:ascii="宋体" w:hAnsi="宋体" w:cs="宋体"/>
          <w:color w:val="auto"/>
          <w:szCs w:val="21"/>
          <w:u w:val="single"/>
        </w:rPr>
        <w:tab/>
      </w:r>
      <w:r>
        <w:rPr>
          <w:rFonts w:ascii="宋体" w:hAnsi="宋体" w:cs="宋体"/>
          <w:color w:val="auto"/>
          <w:szCs w:val="21"/>
          <w:u w:val="single"/>
        </w:rPr>
        <w:t>（招标人全称</w:t>
      </w:r>
      <w:r>
        <w:rPr>
          <w:rFonts w:ascii="宋体" w:hAnsi="宋体" w:cs="宋体"/>
          <w:color w:val="auto"/>
          <w:spacing w:val="-24"/>
          <w:szCs w:val="21"/>
          <w:u w:val="single"/>
        </w:rPr>
        <w:t>）</w:t>
      </w:r>
      <w:r>
        <w:rPr>
          <w:rFonts w:ascii="宋体" w:hAnsi="宋体" w:cs="宋体"/>
          <w:color w:val="auto"/>
          <w:spacing w:val="-23"/>
          <w:szCs w:val="21"/>
          <w:u w:val="single"/>
        </w:rPr>
        <w:t>：</w:t>
      </w:r>
    </w:p>
    <w:p>
      <w:pPr>
        <w:spacing w:before="254" w:line="227" w:lineRule="auto"/>
        <w:ind w:firstLine="587"/>
        <w:rPr>
          <w:rFonts w:ascii="宋体" w:hAnsi="宋体" w:cs="宋体"/>
          <w:color w:val="auto"/>
          <w:szCs w:val="21"/>
        </w:rPr>
      </w:pPr>
      <w:r>
        <w:rPr>
          <w:rFonts w:ascii="宋体" w:hAnsi="宋体" w:cs="宋体"/>
          <w:color w:val="auto"/>
          <w:spacing w:val="9"/>
          <w:szCs w:val="21"/>
        </w:rPr>
        <w:t>本人以</w:t>
      </w:r>
      <w:r>
        <w:rPr>
          <w:rFonts w:ascii="宋体" w:hAnsi="宋体" w:cs="宋体"/>
          <w:color w:val="auto"/>
          <w:spacing w:val="9"/>
          <w:szCs w:val="21"/>
          <w:u w:val="single"/>
        </w:rPr>
        <w:t>（投标人全称</w:t>
      </w:r>
      <w:r>
        <w:rPr>
          <w:rFonts w:ascii="宋体" w:hAnsi="宋体" w:cs="宋体"/>
          <w:color w:val="auto"/>
          <w:spacing w:val="10"/>
          <w:szCs w:val="21"/>
          <w:u w:val="single"/>
        </w:rPr>
        <w:t>）</w:t>
      </w:r>
      <w:r>
        <w:rPr>
          <w:rFonts w:ascii="宋体" w:hAnsi="宋体" w:cs="宋体"/>
          <w:color w:val="auto"/>
          <w:spacing w:val="9"/>
          <w:szCs w:val="21"/>
        </w:rPr>
        <w:t>法定代表人的资格</w:t>
      </w:r>
      <w:r>
        <w:rPr>
          <w:rFonts w:ascii="宋体" w:hAnsi="宋体" w:cs="宋体"/>
          <w:color w:val="auto"/>
          <w:spacing w:val="10"/>
          <w:szCs w:val="21"/>
        </w:rPr>
        <w:t>，</w:t>
      </w:r>
      <w:r>
        <w:rPr>
          <w:rFonts w:ascii="宋体" w:hAnsi="宋体" w:cs="宋体"/>
          <w:color w:val="auto"/>
          <w:spacing w:val="9"/>
          <w:szCs w:val="21"/>
        </w:rPr>
        <w:t>郑重承诺</w:t>
      </w:r>
      <w:r>
        <w:rPr>
          <w:rFonts w:ascii="宋体" w:hAnsi="宋体" w:cs="宋体"/>
          <w:color w:val="auto"/>
          <w:spacing w:val="10"/>
          <w:szCs w:val="21"/>
        </w:rPr>
        <w:t>：</w:t>
      </w:r>
    </w:p>
    <w:p>
      <w:pPr>
        <w:spacing w:before="254" w:line="461" w:lineRule="auto"/>
        <w:ind w:left="24" w:right="18" w:firstLine="577"/>
        <w:rPr>
          <w:rFonts w:ascii="宋体" w:hAnsi="宋体" w:cs="宋体"/>
          <w:color w:val="auto"/>
          <w:szCs w:val="21"/>
        </w:rPr>
      </w:pPr>
      <w:r>
        <w:rPr>
          <w:rFonts w:ascii="宋体" w:hAnsi="宋体" w:cs="宋体"/>
          <w:color w:val="auto"/>
          <w:spacing w:val="7"/>
          <w:szCs w:val="21"/>
        </w:rPr>
        <w:t>1</w:t>
      </w:r>
      <w:r>
        <w:rPr>
          <w:rFonts w:ascii="宋体" w:hAnsi="宋体" w:cs="宋体"/>
          <w:color w:val="auto"/>
          <w:spacing w:val="13"/>
          <w:szCs w:val="21"/>
        </w:rPr>
        <w:t>、</w:t>
      </w:r>
      <w:r>
        <w:rPr>
          <w:rFonts w:ascii="宋体" w:hAnsi="宋体" w:cs="宋体"/>
          <w:color w:val="auto"/>
          <w:spacing w:val="12"/>
          <w:szCs w:val="21"/>
        </w:rPr>
        <w:t>本企业此</w:t>
      </w:r>
      <w:r>
        <w:rPr>
          <w:rFonts w:ascii="宋体" w:hAnsi="宋体" w:cs="宋体"/>
          <w:color w:val="auto"/>
          <w:spacing w:val="11"/>
          <w:szCs w:val="21"/>
        </w:rPr>
        <w:t>次参加</w:t>
      </w:r>
      <w:r>
        <w:rPr>
          <w:rFonts w:ascii="宋体" w:hAnsi="宋体" w:cs="宋体"/>
          <w:color w:val="auto"/>
          <w:spacing w:val="11"/>
          <w:szCs w:val="21"/>
          <w:u w:val="single"/>
        </w:rPr>
        <w:t>（招标项目名称</w:t>
      </w:r>
      <w:r>
        <w:rPr>
          <w:rFonts w:ascii="宋体" w:hAnsi="宋体" w:cs="宋体"/>
          <w:color w:val="auto"/>
          <w:spacing w:val="13"/>
          <w:szCs w:val="21"/>
          <w:u w:val="single"/>
        </w:rPr>
        <w:t>）</w:t>
      </w:r>
      <w:r>
        <w:rPr>
          <w:rFonts w:ascii="宋体" w:hAnsi="宋体" w:cs="宋体"/>
          <w:color w:val="auto"/>
          <w:spacing w:val="11"/>
          <w:szCs w:val="21"/>
        </w:rPr>
        <w:t>投标所提交的所有资料都是真实的</w:t>
      </w:r>
      <w:r>
        <w:rPr>
          <w:rFonts w:ascii="宋体" w:hAnsi="宋体" w:cs="宋体"/>
          <w:color w:val="auto"/>
          <w:spacing w:val="13"/>
          <w:szCs w:val="21"/>
        </w:rPr>
        <w:t>；</w:t>
      </w:r>
      <w:r>
        <w:rPr>
          <w:rFonts w:ascii="宋体" w:hAnsi="宋体" w:cs="宋体"/>
          <w:color w:val="auto"/>
          <w:spacing w:val="11"/>
          <w:szCs w:val="21"/>
        </w:rPr>
        <w:t>本企业拟</w:t>
      </w:r>
      <w:r>
        <w:rPr>
          <w:rFonts w:ascii="宋体" w:hAnsi="宋体" w:cs="宋体"/>
          <w:color w:val="auto"/>
          <w:spacing w:val="8"/>
          <w:szCs w:val="21"/>
        </w:rPr>
        <w:t>投入到本项目的项目</w:t>
      </w:r>
      <w:r>
        <w:rPr>
          <w:rFonts w:ascii="宋体" w:hAnsi="宋体" w:cs="宋体"/>
          <w:color w:val="auto"/>
          <w:spacing w:val="7"/>
          <w:szCs w:val="21"/>
        </w:rPr>
        <w:t>负责人及项目部人员（包括备选人员</w:t>
      </w:r>
      <w:r>
        <w:rPr>
          <w:rFonts w:ascii="宋体" w:hAnsi="宋体" w:cs="宋体"/>
          <w:color w:val="auto"/>
          <w:spacing w:val="8"/>
          <w:szCs w:val="21"/>
        </w:rPr>
        <w:t>）</w:t>
      </w:r>
      <w:r>
        <w:rPr>
          <w:rFonts w:ascii="宋体" w:hAnsi="宋体" w:cs="宋体"/>
          <w:color w:val="auto"/>
          <w:spacing w:val="7"/>
          <w:szCs w:val="21"/>
        </w:rPr>
        <w:t>等均为本企业正式职工</w:t>
      </w:r>
      <w:r>
        <w:rPr>
          <w:rFonts w:ascii="宋体" w:hAnsi="宋体" w:cs="宋体"/>
          <w:color w:val="auto"/>
          <w:spacing w:val="8"/>
          <w:szCs w:val="21"/>
        </w:rPr>
        <w:t>，</w:t>
      </w:r>
      <w:r>
        <w:rPr>
          <w:rFonts w:ascii="宋体" w:hAnsi="宋体" w:cs="宋体"/>
          <w:color w:val="auto"/>
          <w:spacing w:val="7"/>
          <w:szCs w:val="21"/>
        </w:rPr>
        <w:t>依法参</w:t>
      </w:r>
      <w:r>
        <w:rPr>
          <w:rFonts w:ascii="宋体" w:hAnsi="宋体" w:cs="宋体"/>
          <w:color w:val="auto"/>
          <w:spacing w:val="8"/>
          <w:szCs w:val="21"/>
        </w:rPr>
        <w:t>加社会</w:t>
      </w:r>
      <w:r>
        <w:rPr>
          <w:rFonts w:ascii="宋体" w:hAnsi="宋体" w:cs="宋体"/>
          <w:color w:val="auto"/>
          <w:spacing w:val="7"/>
          <w:szCs w:val="21"/>
        </w:rPr>
        <w:t>保险</w:t>
      </w:r>
      <w:r>
        <w:rPr>
          <w:rFonts w:ascii="宋体" w:hAnsi="宋体" w:cs="宋体"/>
          <w:color w:val="auto"/>
          <w:spacing w:val="9"/>
          <w:szCs w:val="21"/>
        </w:rPr>
        <w:t>，</w:t>
      </w:r>
      <w:r>
        <w:rPr>
          <w:rFonts w:ascii="宋体" w:hAnsi="宋体" w:cs="宋体"/>
          <w:color w:val="auto"/>
          <w:spacing w:val="7"/>
          <w:szCs w:val="21"/>
        </w:rPr>
        <w:t>缴纳社会保险费</w:t>
      </w:r>
      <w:r>
        <w:rPr>
          <w:rFonts w:ascii="宋体" w:hAnsi="宋体" w:cs="宋体"/>
          <w:color w:val="auto"/>
          <w:spacing w:val="9"/>
          <w:szCs w:val="21"/>
        </w:rPr>
        <w:t>。</w:t>
      </w:r>
      <w:r>
        <w:rPr>
          <w:rFonts w:ascii="宋体" w:hAnsi="宋体" w:cs="宋体"/>
          <w:color w:val="auto"/>
          <w:spacing w:val="7"/>
          <w:szCs w:val="21"/>
        </w:rPr>
        <w:t>如有虚假</w:t>
      </w:r>
      <w:r>
        <w:rPr>
          <w:rFonts w:ascii="宋体" w:hAnsi="宋体" w:cs="宋体"/>
          <w:color w:val="auto"/>
          <w:spacing w:val="9"/>
          <w:szCs w:val="21"/>
        </w:rPr>
        <w:t>，</w:t>
      </w:r>
      <w:r>
        <w:rPr>
          <w:rFonts w:ascii="宋体" w:hAnsi="宋体" w:cs="宋体"/>
          <w:color w:val="auto"/>
          <w:spacing w:val="7"/>
          <w:szCs w:val="21"/>
        </w:rPr>
        <w:t>本企业愿意接受招标人作出的取消投标</w:t>
      </w:r>
      <w:r>
        <w:rPr>
          <w:rFonts w:ascii="宋体" w:hAnsi="宋体" w:cs="宋体"/>
          <w:color w:val="auto"/>
          <w:spacing w:val="9"/>
          <w:szCs w:val="21"/>
        </w:rPr>
        <w:t>、</w:t>
      </w:r>
      <w:r>
        <w:rPr>
          <w:rFonts w:ascii="宋体" w:hAnsi="宋体" w:cs="宋体"/>
          <w:color w:val="auto"/>
          <w:spacing w:val="7"/>
          <w:szCs w:val="21"/>
        </w:rPr>
        <w:t>中标资</w:t>
      </w:r>
      <w:r>
        <w:rPr>
          <w:rFonts w:ascii="宋体" w:hAnsi="宋体" w:cs="宋体"/>
          <w:color w:val="auto"/>
          <w:spacing w:val="10"/>
          <w:szCs w:val="21"/>
        </w:rPr>
        <w:t>格的决定，同时愿意接受建</w:t>
      </w:r>
      <w:r>
        <w:rPr>
          <w:rFonts w:ascii="宋体" w:hAnsi="宋体" w:cs="宋体"/>
          <w:color w:val="auto"/>
          <w:spacing w:val="9"/>
          <w:szCs w:val="21"/>
        </w:rPr>
        <w:t>设行政主管部门依法作出的其它处罚决定</w:t>
      </w:r>
      <w:r>
        <w:rPr>
          <w:rFonts w:ascii="宋体" w:hAnsi="宋体" w:cs="宋体"/>
          <w:color w:val="auto"/>
          <w:spacing w:val="10"/>
          <w:szCs w:val="21"/>
        </w:rPr>
        <w:t>。</w:t>
      </w:r>
    </w:p>
    <w:p>
      <w:pPr>
        <w:spacing w:line="270" w:lineRule="exact"/>
        <w:ind w:firstLine="588"/>
        <w:rPr>
          <w:rFonts w:ascii="宋体" w:hAnsi="宋体" w:cs="宋体"/>
          <w:color w:val="auto"/>
          <w:szCs w:val="21"/>
        </w:rPr>
      </w:pPr>
      <w:r>
        <w:rPr>
          <w:rFonts w:ascii="宋体" w:hAnsi="宋体" w:cs="宋体"/>
          <w:color w:val="auto"/>
          <w:spacing w:val="5"/>
          <w:position w:val="1"/>
          <w:szCs w:val="21"/>
        </w:rPr>
        <w:t>2</w:t>
      </w:r>
      <w:r>
        <w:rPr>
          <w:rFonts w:ascii="宋体" w:hAnsi="宋体" w:cs="宋体"/>
          <w:color w:val="auto"/>
          <w:spacing w:val="10"/>
          <w:position w:val="1"/>
          <w:szCs w:val="21"/>
        </w:rPr>
        <w:t>、如果本企业中标，将按投标文件中承诺的项目</w:t>
      </w:r>
      <w:r>
        <w:rPr>
          <w:rFonts w:ascii="宋体" w:hAnsi="宋体" w:cs="宋体"/>
          <w:color w:val="auto"/>
          <w:spacing w:val="9"/>
          <w:position w:val="1"/>
          <w:szCs w:val="21"/>
        </w:rPr>
        <w:t>组人员与招标人签订服务合同（协</w:t>
      </w:r>
    </w:p>
    <w:p>
      <w:pPr>
        <w:spacing w:before="230" w:line="462" w:lineRule="auto"/>
        <w:ind w:left="24" w:right="18" w:firstLine="1"/>
        <w:rPr>
          <w:rFonts w:ascii="宋体" w:hAnsi="宋体" w:cs="宋体"/>
          <w:color w:val="auto"/>
          <w:szCs w:val="21"/>
        </w:rPr>
      </w:pPr>
      <w:r>
        <w:rPr>
          <w:rFonts w:ascii="宋体" w:hAnsi="宋体" w:cs="宋体"/>
          <w:color w:val="auto"/>
          <w:spacing w:val="8"/>
          <w:szCs w:val="21"/>
        </w:rPr>
        <w:t>议</w:t>
      </w:r>
      <w:r>
        <w:rPr>
          <w:rFonts w:ascii="宋体" w:hAnsi="宋体" w:cs="宋体"/>
          <w:color w:val="auto"/>
          <w:spacing w:val="9"/>
          <w:szCs w:val="21"/>
        </w:rPr>
        <w:t>），</w:t>
      </w:r>
      <w:r>
        <w:rPr>
          <w:rFonts w:ascii="宋体" w:hAnsi="宋体" w:cs="宋体"/>
          <w:color w:val="auto"/>
          <w:spacing w:val="7"/>
          <w:szCs w:val="21"/>
        </w:rPr>
        <w:t>绝不更换</w:t>
      </w:r>
      <w:r>
        <w:rPr>
          <w:rFonts w:ascii="宋体" w:hAnsi="宋体" w:cs="宋体"/>
          <w:color w:val="auto"/>
          <w:spacing w:val="9"/>
          <w:szCs w:val="21"/>
        </w:rPr>
        <w:t>。</w:t>
      </w:r>
      <w:r>
        <w:rPr>
          <w:rFonts w:ascii="宋体" w:hAnsi="宋体" w:cs="宋体"/>
          <w:color w:val="auto"/>
          <w:spacing w:val="7"/>
          <w:szCs w:val="21"/>
        </w:rPr>
        <w:t>若投标文件中正选和备选管理人员确实无法投入合同</w:t>
      </w:r>
      <w:r>
        <w:rPr>
          <w:rFonts w:ascii="宋体" w:hAnsi="宋体" w:cs="宋体"/>
          <w:color w:val="auto"/>
          <w:spacing w:val="9"/>
          <w:szCs w:val="21"/>
        </w:rPr>
        <w:t>，</w:t>
      </w:r>
      <w:r>
        <w:rPr>
          <w:rFonts w:ascii="宋体" w:hAnsi="宋体" w:cs="宋体"/>
          <w:color w:val="auto"/>
          <w:spacing w:val="7"/>
          <w:szCs w:val="21"/>
        </w:rPr>
        <w:t>招标人可按拒绝签</w:t>
      </w:r>
      <w:r>
        <w:rPr>
          <w:rFonts w:ascii="宋体" w:hAnsi="宋体" w:cs="宋体"/>
          <w:color w:val="auto"/>
          <w:spacing w:val="8"/>
          <w:szCs w:val="21"/>
        </w:rPr>
        <w:t>订合同处理</w:t>
      </w:r>
      <w:r>
        <w:rPr>
          <w:rFonts w:ascii="宋体" w:hAnsi="宋体" w:cs="宋体"/>
          <w:color w:val="auto"/>
          <w:spacing w:val="9"/>
          <w:szCs w:val="21"/>
        </w:rPr>
        <w:t>。</w:t>
      </w:r>
      <w:r>
        <w:rPr>
          <w:rFonts w:ascii="宋体" w:hAnsi="宋体" w:cs="宋体"/>
          <w:color w:val="auto"/>
          <w:spacing w:val="7"/>
          <w:szCs w:val="21"/>
        </w:rPr>
        <w:t>在合同履行管理中</w:t>
      </w:r>
      <w:r>
        <w:rPr>
          <w:rFonts w:ascii="宋体" w:hAnsi="宋体" w:cs="宋体"/>
          <w:color w:val="auto"/>
          <w:spacing w:val="9"/>
          <w:szCs w:val="21"/>
        </w:rPr>
        <w:t>，</w:t>
      </w:r>
      <w:r>
        <w:rPr>
          <w:rFonts w:ascii="宋体" w:hAnsi="宋体" w:cs="宋体"/>
          <w:color w:val="auto"/>
          <w:spacing w:val="7"/>
          <w:szCs w:val="21"/>
        </w:rPr>
        <w:t>如发现本企业擅自更换项目组人员</w:t>
      </w:r>
      <w:r>
        <w:rPr>
          <w:rFonts w:ascii="宋体" w:hAnsi="宋体" w:cs="宋体"/>
          <w:color w:val="auto"/>
          <w:spacing w:val="9"/>
          <w:szCs w:val="21"/>
        </w:rPr>
        <w:t>，</w:t>
      </w:r>
      <w:r>
        <w:rPr>
          <w:rFonts w:ascii="宋体" w:hAnsi="宋体" w:cs="宋体"/>
          <w:color w:val="auto"/>
          <w:spacing w:val="7"/>
          <w:szCs w:val="21"/>
        </w:rPr>
        <w:t>可按不履行工程咨询</w:t>
      </w:r>
      <w:r>
        <w:rPr>
          <w:rFonts w:ascii="宋体" w:hAnsi="宋体" w:cs="宋体"/>
          <w:color w:val="auto"/>
          <w:spacing w:val="8"/>
          <w:szCs w:val="21"/>
        </w:rPr>
        <w:t>服务合同作出处理</w:t>
      </w:r>
      <w:r>
        <w:rPr>
          <w:rFonts w:ascii="宋体" w:hAnsi="宋体" w:cs="宋体"/>
          <w:color w:val="auto"/>
          <w:spacing w:val="9"/>
          <w:szCs w:val="21"/>
        </w:rPr>
        <w:t>。</w:t>
      </w:r>
    </w:p>
    <w:p>
      <w:pPr>
        <w:spacing w:line="465" w:lineRule="auto"/>
        <w:ind w:left="29" w:right="18" w:firstLine="559"/>
        <w:rPr>
          <w:rFonts w:ascii="宋体" w:hAnsi="宋体" w:cs="宋体"/>
          <w:color w:val="auto"/>
          <w:szCs w:val="21"/>
        </w:rPr>
      </w:pPr>
      <w:r>
        <w:rPr>
          <w:rFonts w:ascii="宋体" w:hAnsi="宋体" w:cs="宋体"/>
          <w:color w:val="auto"/>
          <w:spacing w:val="9"/>
          <w:szCs w:val="21"/>
        </w:rPr>
        <w:t>如本企业有上述违规行为</w:t>
      </w:r>
      <w:r>
        <w:rPr>
          <w:rFonts w:ascii="宋体" w:hAnsi="宋体" w:cs="宋体"/>
          <w:color w:val="auto"/>
          <w:spacing w:val="10"/>
          <w:szCs w:val="21"/>
        </w:rPr>
        <w:t>，</w:t>
      </w:r>
      <w:r>
        <w:rPr>
          <w:rFonts w:ascii="宋体" w:hAnsi="宋体" w:cs="宋体"/>
          <w:color w:val="auto"/>
          <w:spacing w:val="9"/>
          <w:szCs w:val="21"/>
        </w:rPr>
        <w:t>招标人作出处理的同时可报有关建设行</w:t>
      </w:r>
      <w:r>
        <w:rPr>
          <w:rFonts w:ascii="宋体" w:hAnsi="宋体" w:cs="宋体"/>
          <w:color w:val="auto"/>
          <w:spacing w:val="8"/>
          <w:szCs w:val="21"/>
        </w:rPr>
        <w:t>政主管部门信息系</w:t>
      </w:r>
      <w:r>
        <w:rPr>
          <w:rFonts w:ascii="宋体" w:hAnsi="宋体" w:cs="宋体"/>
          <w:color w:val="auto"/>
          <w:spacing w:val="4"/>
          <w:szCs w:val="21"/>
        </w:rPr>
        <w:t>统备</w:t>
      </w:r>
      <w:r>
        <w:rPr>
          <w:rFonts w:ascii="宋体" w:hAnsi="宋体" w:cs="宋体"/>
          <w:color w:val="auto"/>
          <w:spacing w:val="3"/>
          <w:szCs w:val="21"/>
        </w:rPr>
        <w:t>案</w:t>
      </w:r>
      <w:r>
        <w:rPr>
          <w:rFonts w:ascii="宋体" w:hAnsi="宋体" w:cs="宋体"/>
          <w:color w:val="auto"/>
          <w:spacing w:val="5"/>
          <w:szCs w:val="21"/>
        </w:rPr>
        <w:t>。</w:t>
      </w:r>
    </w:p>
    <w:p>
      <w:pPr>
        <w:spacing w:line="267" w:lineRule="auto"/>
        <w:rPr>
          <w:color w:val="auto"/>
          <w:szCs w:val="21"/>
        </w:rPr>
      </w:pPr>
    </w:p>
    <w:p>
      <w:pPr>
        <w:spacing w:line="267" w:lineRule="auto"/>
        <w:rPr>
          <w:color w:val="auto"/>
          <w:szCs w:val="21"/>
        </w:rPr>
      </w:pPr>
    </w:p>
    <w:p>
      <w:pPr>
        <w:spacing w:line="268" w:lineRule="auto"/>
        <w:rPr>
          <w:color w:val="auto"/>
          <w:szCs w:val="21"/>
        </w:rPr>
      </w:pPr>
    </w:p>
    <w:p>
      <w:pPr>
        <w:spacing w:line="268" w:lineRule="auto"/>
        <w:rPr>
          <w:color w:val="auto"/>
          <w:szCs w:val="21"/>
        </w:rPr>
      </w:pPr>
    </w:p>
    <w:p>
      <w:pPr>
        <w:spacing w:line="268" w:lineRule="auto"/>
        <w:rPr>
          <w:color w:val="auto"/>
          <w:szCs w:val="21"/>
        </w:rPr>
      </w:pPr>
    </w:p>
    <w:p>
      <w:pPr>
        <w:spacing w:before="66" w:line="228" w:lineRule="auto"/>
        <w:ind w:firstLine="5871"/>
        <w:rPr>
          <w:rFonts w:ascii="宋体" w:hAnsi="宋体" w:cs="宋体"/>
          <w:color w:val="auto"/>
          <w:szCs w:val="21"/>
        </w:rPr>
      </w:pPr>
      <w:r>
        <w:rPr>
          <w:rFonts w:ascii="宋体" w:hAnsi="宋体" w:cs="宋体"/>
          <w:color w:val="auto"/>
          <w:spacing w:val="7"/>
          <w:szCs w:val="21"/>
        </w:rPr>
        <w:t>投标人</w:t>
      </w:r>
      <w:r>
        <w:rPr>
          <w:rFonts w:ascii="宋体" w:hAnsi="宋体" w:cs="宋体"/>
          <w:color w:val="auto"/>
          <w:spacing w:val="6"/>
          <w:szCs w:val="21"/>
        </w:rPr>
        <w:t>（公章</w:t>
      </w:r>
      <w:r>
        <w:rPr>
          <w:rFonts w:ascii="宋体" w:hAnsi="宋体" w:cs="宋体"/>
          <w:color w:val="auto"/>
          <w:spacing w:val="10"/>
          <w:szCs w:val="21"/>
        </w:rPr>
        <w:t>）：</w:t>
      </w:r>
    </w:p>
    <w:p>
      <w:pPr>
        <w:spacing w:line="282" w:lineRule="auto"/>
        <w:rPr>
          <w:color w:val="auto"/>
          <w:szCs w:val="21"/>
        </w:rPr>
      </w:pPr>
    </w:p>
    <w:p>
      <w:pPr>
        <w:spacing w:line="282" w:lineRule="auto"/>
        <w:rPr>
          <w:color w:val="auto"/>
          <w:szCs w:val="21"/>
        </w:rPr>
      </w:pPr>
    </w:p>
    <w:p>
      <w:pPr>
        <w:spacing w:before="65" w:line="228" w:lineRule="auto"/>
        <w:ind w:firstLine="5869"/>
        <w:rPr>
          <w:rFonts w:ascii="宋体" w:hAnsi="宋体" w:cs="宋体"/>
          <w:color w:val="auto"/>
          <w:szCs w:val="21"/>
        </w:rPr>
      </w:pPr>
      <w:r>
        <w:rPr>
          <w:rFonts w:ascii="宋体" w:hAnsi="宋体" w:cs="宋体"/>
          <w:color w:val="auto"/>
          <w:spacing w:val="8"/>
          <w:szCs w:val="21"/>
        </w:rPr>
        <w:t>法定代表</w:t>
      </w:r>
      <w:r>
        <w:rPr>
          <w:rFonts w:ascii="宋体" w:hAnsi="宋体" w:cs="宋体"/>
          <w:color w:val="auto"/>
          <w:spacing w:val="7"/>
          <w:szCs w:val="21"/>
        </w:rPr>
        <w:t>人（盖章</w:t>
      </w:r>
      <w:r>
        <w:rPr>
          <w:rFonts w:ascii="宋体" w:hAnsi="宋体" w:cs="宋体"/>
          <w:color w:val="auto"/>
          <w:spacing w:val="10"/>
          <w:szCs w:val="21"/>
        </w:rPr>
        <w:t>）：</w:t>
      </w:r>
    </w:p>
    <w:p>
      <w:pPr>
        <w:spacing w:line="295" w:lineRule="auto"/>
        <w:rPr>
          <w:color w:val="auto"/>
          <w:szCs w:val="21"/>
        </w:rPr>
      </w:pPr>
    </w:p>
    <w:p>
      <w:pPr>
        <w:spacing w:line="296" w:lineRule="auto"/>
        <w:rPr>
          <w:color w:val="auto"/>
          <w:szCs w:val="21"/>
        </w:rPr>
      </w:pPr>
    </w:p>
    <w:p>
      <w:pPr>
        <w:spacing w:before="66" w:line="228" w:lineRule="auto"/>
        <w:ind w:firstLine="6428" w:firstLineChars="2771"/>
        <w:outlineLvl w:val="1"/>
        <w:rPr>
          <w:rFonts w:ascii="宋体" w:hAnsi="宋体" w:cs="宋体"/>
          <w:color w:val="auto"/>
          <w:szCs w:val="21"/>
        </w:rPr>
      </w:pPr>
      <w:r>
        <w:rPr>
          <w:rFonts w:ascii="宋体" w:hAnsi="宋体" w:cs="宋体"/>
          <w:color w:val="auto"/>
          <w:spacing w:val="11"/>
          <w:szCs w:val="21"/>
        </w:rPr>
        <w:t>年</w:t>
      </w:r>
      <w:r>
        <w:rPr>
          <w:rFonts w:hint="eastAsia" w:ascii="宋体" w:hAnsi="宋体" w:cs="宋体"/>
          <w:color w:val="auto"/>
          <w:spacing w:val="11"/>
          <w:szCs w:val="21"/>
        </w:rPr>
        <w:t xml:space="preserve">  </w:t>
      </w:r>
      <w:r>
        <w:rPr>
          <w:rFonts w:ascii="宋体" w:hAnsi="宋体" w:cs="宋体"/>
          <w:color w:val="auto"/>
          <w:spacing w:val="11"/>
          <w:szCs w:val="21"/>
        </w:rPr>
        <w:t>月</w:t>
      </w:r>
      <w:r>
        <w:rPr>
          <w:rFonts w:hint="eastAsia" w:ascii="宋体" w:hAnsi="宋体" w:cs="宋体"/>
          <w:color w:val="auto"/>
          <w:spacing w:val="11"/>
          <w:szCs w:val="21"/>
        </w:rPr>
        <w:t xml:space="preserve">   </w:t>
      </w:r>
      <w:r>
        <w:rPr>
          <w:rFonts w:ascii="宋体" w:hAnsi="宋体" w:cs="宋体"/>
          <w:color w:val="auto"/>
          <w:spacing w:val="11"/>
          <w:szCs w:val="21"/>
        </w:rPr>
        <w:t>日</w:t>
      </w:r>
    </w:p>
    <w:p>
      <w:pPr>
        <w:rPr>
          <w:color w:val="auto"/>
          <w:szCs w:val="21"/>
        </w:rPr>
        <w:sectPr>
          <w:footerReference r:id="rId10" w:type="default"/>
          <w:pgSz w:w="11906" w:h="16838"/>
          <w:pgMar w:top="1134" w:right="1134" w:bottom="1134" w:left="1134" w:header="680" w:footer="680" w:gutter="0"/>
          <w:cols w:space="720" w:num="1"/>
        </w:sectPr>
      </w:pPr>
    </w:p>
    <w:p>
      <w:pPr>
        <w:spacing w:before="176" w:line="228" w:lineRule="auto"/>
        <w:ind w:firstLine="36"/>
        <w:rPr>
          <w:rFonts w:ascii="黑体" w:hAnsi="黑体" w:eastAsia="黑体" w:cs="黑体"/>
          <w:color w:val="auto"/>
          <w:sz w:val="31"/>
          <w:szCs w:val="31"/>
        </w:rPr>
      </w:pPr>
      <w:r>
        <w:rPr>
          <w:rFonts w:ascii="宋体" w:hAnsi="宋体" w:cs="宋体"/>
          <w:color w:val="auto"/>
          <w:spacing w:val="5"/>
          <w:sz w:val="31"/>
          <w:szCs w:val="31"/>
        </w:rPr>
        <w:t>7.</w:t>
      </w:r>
      <w:r>
        <w:rPr>
          <w:rFonts w:ascii="黑体" w:hAnsi="黑体" w:eastAsia="黑体" w:cs="黑体"/>
          <w:color w:val="auto"/>
          <w:spacing w:val="8"/>
          <w:sz w:val="31"/>
          <w:szCs w:val="31"/>
        </w:rPr>
        <w:t>投标人</w:t>
      </w:r>
      <w:r>
        <w:rPr>
          <w:rFonts w:ascii="黑体" w:hAnsi="黑体" w:eastAsia="黑体" w:cs="黑体"/>
          <w:color w:val="auto"/>
          <w:spacing w:val="7"/>
          <w:sz w:val="31"/>
          <w:szCs w:val="31"/>
        </w:rPr>
        <w:t>基本情况表</w:t>
      </w:r>
    </w:p>
    <w:p>
      <w:pPr>
        <w:rPr>
          <w:color w:val="auto"/>
        </w:rPr>
      </w:pPr>
    </w:p>
    <w:p>
      <w:pPr>
        <w:spacing w:line="70" w:lineRule="exact"/>
        <w:rPr>
          <w:color w:val="auto"/>
        </w:rPr>
      </w:pPr>
    </w:p>
    <w:tbl>
      <w:tblPr>
        <w:tblStyle w:val="48"/>
        <w:tblW w:w="8418" w:type="dxa"/>
        <w:tblInd w:w="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2"/>
        <w:gridCol w:w="1196"/>
        <w:gridCol w:w="1182"/>
        <w:gridCol w:w="669"/>
        <w:gridCol w:w="814"/>
        <w:gridCol w:w="1131"/>
        <w:gridCol w:w="178"/>
        <w:gridCol w:w="500"/>
        <w:gridCol w:w="12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512" w:type="dxa"/>
          </w:tcPr>
          <w:p>
            <w:pPr>
              <w:spacing w:before="182" w:line="228" w:lineRule="auto"/>
              <w:ind w:firstLine="240"/>
              <w:rPr>
                <w:rFonts w:ascii="宋体" w:hAnsi="宋体" w:cs="宋体"/>
                <w:color w:val="auto"/>
                <w:szCs w:val="21"/>
              </w:rPr>
            </w:pPr>
            <w:r>
              <w:rPr>
                <w:rFonts w:ascii="宋体" w:hAnsi="宋体" w:cs="宋体"/>
                <w:color w:val="auto"/>
                <w:spacing w:val="8"/>
                <w:szCs w:val="21"/>
              </w:rPr>
              <w:t>投标人</w:t>
            </w:r>
            <w:r>
              <w:rPr>
                <w:rFonts w:ascii="宋体" w:hAnsi="宋体" w:cs="宋体"/>
                <w:color w:val="auto"/>
                <w:spacing w:val="7"/>
                <w:szCs w:val="21"/>
              </w:rPr>
              <w:t>名称</w:t>
            </w:r>
          </w:p>
        </w:tc>
        <w:tc>
          <w:tcPr>
            <w:tcW w:w="6906" w:type="dxa"/>
            <w:gridSpan w:val="8"/>
          </w:tcPr>
          <w:p>
            <w:pPr>
              <w:rPr>
                <w:color w:val="auto"/>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512" w:type="dxa"/>
          </w:tcPr>
          <w:p>
            <w:pPr>
              <w:spacing w:before="177" w:line="229" w:lineRule="auto"/>
              <w:ind w:firstLine="340"/>
              <w:rPr>
                <w:rFonts w:ascii="宋体" w:hAnsi="宋体" w:cs="宋体"/>
                <w:color w:val="auto"/>
                <w:szCs w:val="21"/>
              </w:rPr>
            </w:pPr>
            <w:r>
              <w:rPr>
                <w:rFonts w:ascii="宋体" w:hAnsi="宋体" w:cs="宋体"/>
                <w:color w:val="auto"/>
                <w:spacing w:val="8"/>
                <w:szCs w:val="21"/>
              </w:rPr>
              <w:t>注</w:t>
            </w:r>
            <w:r>
              <w:rPr>
                <w:rFonts w:ascii="宋体" w:hAnsi="宋体" w:cs="宋体"/>
                <w:color w:val="auto"/>
                <w:spacing w:val="7"/>
                <w:szCs w:val="21"/>
              </w:rPr>
              <w:t>册地址</w:t>
            </w:r>
          </w:p>
        </w:tc>
        <w:tc>
          <w:tcPr>
            <w:tcW w:w="3861" w:type="dxa"/>
            <w:gridSpan w:val="4"/>
          </w:tcPr>
          <w:p>
            <w:pPr>
              <w:rPr>
                <w:color w:val="auto"/>
                <w:szCs w:val="21"/>
              </w:rPr>
            </w:pPr>
          </w:p>
        </w:tc>
        <w:tc>
          <w:tcPr>
            <w:tcW w:w="1131" w:type="dxa"/>
          </w:tcPr>
          <w:p>
            <w:pPr>
              <w:spacing w:before="176" w:line="228" w:lineRule="auto"/>
              <w:ind w:firstLine="167"/>
              <w:rPr>
                <w:rFonts w:ascii="宋体" w:hAnsi="宋体" w:cs="宋体"/>
                <w:color w:val="auto"/>
                <w:szCs w:val="21"/>
              </w:rPr>
            </w:pPr>
            <w:r>
              <w:rPr>
                <w:rFonts w:ascii="宋体" w:hAnsi="宋体" w:cs="宋体"/>
                <w:color w:val="auto"/>
                <w:spacing w:val="4"/>
                <w:szCs w:val="21"/>
              </w:rPr>
              <w:t>邮政</w:t>
            </w:r>
            <w:r>
              <w:rPr>
                <w:rFonts w:ascii="宋体" w:hAnsi="宋体" w:cs="宋体"/>
                <w:color w:val="auto"/>
                <w:spacing w:val="3"/>
                <w:szCs w:val="21"/>
              </w:rPr>
              <w:t>编码</w:t>
            </w:r>
          </w:p>
        </w:tc>
        <w:tc>
          <w:tcPr>
            <w:tcW w:w="1914" w:type="dxa"/>
            <w:gridSpan w:val="3"/>
          </w:tcPr>
          <w:p>
            <w:pPr>
              <w:rPr>
                <w:color w:val="auto"/>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512" w:type="dxa"/>
            <w:vMerge w:val="restart"/>
            <w:tcBorders>
              <w:bottom w:val="nil"/>
            </w:tcBorders>
          </w:tcPr>
          <w:p>
            <w:pPr>
              <w:spacing w:line="400" w:lineRule="auto"/>
              <w:rPr>
                <w:color w:val="auto"/>
                <w:szCs w:val="21"/>
              </w:rPr>
            </w:pPr>
          </w:p>
          <w:p>
            <w:pPr>
              <w:spacing w:before="65" w:line="229" w:lineRule="auto"/>
              <w:ind w:firstLine="341"/>
              <w:rPr>
                <w:rFonts w:ascii="宋体" w:hAnsi="宋体" w:cs="宋体"/>
                <w:color w:val="auto"/>
                <w:szCs w:val="21"/>
              </w:rPr>
            </w:pPr>
            <w:r>
              <w:rPr>
                <w:rFonts w:ascii="宋体" w:hAnsi="宋体" w:cs="宋体"/>
                <w:color w:val="auto"/>
                <w:spacing w:val="7"/>
                <w:szCs w:val="21"/>
              </w:rPr>
              <w:t>联系方式</w:t>
            </w:r>
          </w:p>
        </w:tc>
        <w:tc>
          <w:tcPr>
            <w:tcW w:w="1196" w:type="dxa"/>
          </w:tcPr>
          <w:p>
            <w:pPr>
              <w:spacing w:before="179" w:line="230" w:lineRule="auto"/>
              <w:ind w:firstLine="286"/>
              <w:rPr>
                <w:rFonts w:ascii="宋体" w:hAnsi="宋体" w:cs="宋体"/>
                <w:color w:val="auto"/>
                <w:szCs w:val="21"/>
              </w:rPr>
            </w:pPr>
            <w:r>
              <w:rPr>
                <w:rFonts w:ascii="宋体" w:hAnsi="宋体" w:cs="宋体"/>
                <w:color w:val="auto"/>
                <w:spacing w:val="7"/>
                <w:szCs w:val="21"/>
              </w:rPr>
              <w:t>联</w:t>
            </w:r>
            <w:r>
              <w:rPr>
                <w:rFonts w:ascii="宋体" w:hAnsi="宋体" w:cs="宋体"/>
                <w:color w:val="auto"/>
                <w:spacing w:val="6"/>
                <w:szCs w:val="21"/>
              </w:rPr>
              <w:t>系人</w:t>
            </w:r>
          </w:p>
        </w:tc>
        <w:tc>
          <w:tcPr>
            <w:tcW w:w="2665" w:type="dxa"/>
            <w:gridSpan w:val="3"/>
          </w:tcPr>
          <w:p>
            <w:pPr>
              <w:rPr>
                <w:color w:val="auto"/>
                <w:szCs w:val="21"/>
              </w:rPr>
            </w:pPr>
          </w:p>
        </w:tc>
        <w:tc>
          <w:tcPr>
            <w:tcW w:w="1131" w:type="dxa"/>
          </w:tcPr>
          <w:p>
            <w:pPr>
              <w:spacing w:before="179" w:line="230" w:lineRule="auto"/>
              <w:ind w:firstLine="387"/>
              <w:rPr>
                <w:rFonts w:ascii="宋体" w:hAnsi="宋体" w:cs="宋体"/>
                <w:color w:val="auto"/>
                <w:szCs w:val="21"/>
              </w:rPr>
            </w:pPr>
            <w:r>
              <w:rPr>
                <w:rFonts w:ascii="宋体" w:hAnsi="宋体" w:cs="宋体"/>
                <w:color w:val="auto"/>
                <w:spacing w:val="-8"/>
                <w:szCs w:val="21"/>
              </w:rPr>
              <w:t>电</w:t>
            </w:r>
            <w:r>
              <w:rPr>
                <w:rFonts w:ascii="宋体" w:hAnsi="宋体" w:cs="宋体"/>
                <w:color w:val="auto"/>
                <w:spacing w:val="-7"/>
                <w:szCs w:val="21"/>
              </w:rPr>
              <w:t>话</w:t>
            </w:r>
          </w:p>
        </w:tc>
        <w:tc>
          <w:tcPr>
            <w:tcW w:w="1914" w:type="dxa"/>
            <w:gridSpan w:val="3"/>
          </w:tcPr>
          <w:p>
            <w:pPr>
              <w:rPr>
                <w:color w:val="auto"/>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12" w:type="dxa"/>
            <w:vMerge w:val="continue"/>
            <w:tcBorders>
              <w:top w:val="nil"/>
            </w:tcBorders>
          </w:tcPr>
          <w:p>
            <w:pPr>
              <w:rPr>
                <w:color w:val="auto"/>
                <w:szCs w:val="21"/>
              </w:rPr>
            </w:pPr>
          </w:p>
        </w:tc>
        <w:tc>
          <w:tcPr>
            <w:tcW w:w="1196" w:type="dxa"/>
          </w:tcPr>
          <w:p>
            <w:pPr>
              <w:spacing w:before="179" w:line="227" w:lineRule="auto"/>
              <w:ind w:firstLine="389"/>
              <w:rPr>
                <w:rFonts w:ascii="宋体" w:hAnsi="宋体" w:cs="宋体"/>
                <w:color w:val="auto"/>
                <w:szCs w:val="21"/>
              </w:rPr>
            </w:pPr>
            <w:r>
              <w:rPr>
                <w:rFonts w:ascii="宋体" w:hAnsi="宋体" w:cs="宋体"/>
                <w:color w:val="auto"/>
                <w:spacing w:val="6"/>
                <w:szCs w:val="21"/>
              </w:rPr>
              <w:t>传</w:t>
            </w:r>
            <w:r>
              <w:rPr>
                <w:rFonts w:ascii="宋体" w:hAnsi="宋体" w:cs="宋体"/>
                <w:color w:val="auto"/>
                <w:spacing w:val="5"/>
                <w:szCs w:val="21"/>
              </w:rPr>
              <w:t>真</w:t>
            </w:r>
          </w:p>
        </w:tc>
        <w:tc>
          <w:tcPr>
            <w:tcW w:w="2665" w:type="dxa"/>
            <w:gridSpan w:val="3"/>
          </w:tcPr>
          <w:p>
            <w:pPr>
              <w:rPr>
                <w:color w:val="auto"/>
                <w:szCs w:val="21"/>
              </w:rPr>
            </w:pPr>
          </w:p>
        </w:tc>
        <w:tc>
          <w:tcPr>
            <w:tcW w:w="1131" w:type="dxa"/>
          </w:tcPr>
          <w:p>
            <w:pPr>
              <w:spacing w:before="179" w:line="233" w:lineRule="auto"/>
              <w:ind w:firstLine="379"/>
              <w:rPr>
                <w:rFonts w:ascii="宋体" w:hAnsi="宋体" w:cs="宋体"/>
                <w:color w:val="auto"/>
                <w:szCs w:val="21"/>
              </w:rPr>
            </w:pPr>
            <w:r>
              <w:rPr>
                <w:rFonts w:ascii="宋体" w:hAnsi="宋体" w:cs="宋体"/>
                <w:color w:val="auto"/>
                <w:spacing w:val="-4"/>
                <w:szCs w:val="21"/>
              </w:rPr>
              <w:t>网</w:t>
            </w:r>
            <w:r>
              <w:rPr>
                <w:rFonts w:ascii="宋体" w:hAnsi="宋体" w:cs="宋体"/>
                <w:color w:val="auto"/>
                <w:spacing w:val="-3"/>
                <w:szCs w:val="21"/>
              </w:rPr>
              <w:t>址</w:t>
            </w:r>
          </w:p>
        </w:tc>
        <w:tc>
          <w:tcPr>
            <w:tcW w:w="1914" w:type="dxa"/>
            <w:gridSpan w:val="3"/>
          </w:tcPr>
          <w:p>
            <w:pPr>
              <w:rPr>
                <w:color w:val="auto"/>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1" w:hRule="atLeast"/>
        </w:trPr>
        <w:tc>
          <w:tcPr>
            <w:tcW w:w="1512" w:type="dxa"/>
          </w:tcPr>
          <w:p>
            <w:pPr>
              <w:spacing w:before="180" w:line="228" w:lineRule="auto"/>
              <w:ind w:firstLine="238"/>
              <w:rPr>
                <w:rFonts w:ascii="宋体" w:hAnsi="宋体" w:cs="宋体"/>
                <w:color w:val="auto"/>
                <w:szCs w:val="21"/>
              </w:rPr>
            </w:pPr>
            <w:r>
              <w:rPr>
                <w:rFonts w:ascii="宋体" w:hAnsi="宋体" w:cs="宋体"/>
                <w:color w:val="auto"/>
                <w:spacing w:val="8"/>
                <w:szCs w:val="21"/>
              </w:rPr>
              <w:t>法定代表</w:t>
            </w:r>
            <w:r>
              <w:rPr>
                <w:rFonts w:ascii="宋体" w:hAnsi="宋体" w:cs="宋体"/>
                <w:color w:val="auto"/>
                <w:spacing w:val="7"/>
                <w:szCs w:val="21"/>
              </w:rPr>
              <w:t>人</w:t>
            </w:r>
          </w:p>
        </w:tc>
        <w:tc>
          <w:tcPr>
            <w:tcW w:w="1196" w:type="dxa"/>
          </w:tcPr>
          <w:p>
            <w:pPr>
              <w:spacing w:before="180" w:line="228" w:lineRule="auto"/>
              <w:ind w:firstLine="391"/>
              <w:rPr>
                <w:rFonts w:ascii="宋体" w:hAnsi="宋体" w:cs="宋体"/>
                <w:color w:val="auto"/>
                <w:szCs w:val="21"/>
              </w:rPr>
            </w:pPr>
            <w:r>
              <w:rPr>
                <w:rFonts w:ascii="宋体" w:hAnsi="宋体" w:cs="宋体"/>
                <w:color w:val="auto"/>
                <w:spacing w:val="5"/>
                <w:szCs w:val="21"/>
              </w:rPr>
              <w:t>姓</w:t>
            </w:r>
            <w:r>
              <w:rPr>
                <w:rFonts w:ascii="宋体" w:hAnsi="宋体" w:cs="宋体"/>
                <w:color w:val="auto"/>
                <w:spacing w:val="4"/>
                <w:szCs w:val="21"/>
              </w:rPr>
              <w:t>名</w:t>
            </w:r>
          </w:p>
        </w:tc>
        <w:tc>
          <w:tcPr>
            <w:tcW w:w="1182" w:type="dxa"/>
          </w:tcPr>
          <w:p>
            <w:pPr>
              <w:rPr>
                <w:color w:val="auto"/>
                <w:szCs w:val="21"/>
              </w:rPr>
            </w:pPr>
          </w:p>
        </w:tc>
        <w:tc>
          <w:tcPr>
            <w:tcW w:w="1483" w:type="dxa"/>
            <w:gridSpan w:val="2"/>
          </w:tcPr>
          <w:p>
            <w:pPr>
              <w:spacing w:before="180" w:line="228" w:lineRule="auto"/>
              <w:ind w:firstLine="327"/>
              <w:rPr>
                <w:rFonts w:ascii="宋体" w:hAnsi="宋体" w:cs="宋体"/>
                <w:color w:val="auto"/>
                <w:szCs w:val="21"/>
              </w:rPr>
            </w:pPr>
            <w:r>
              <w:rPr>
                <w:rFonts w:ascii="宋体" w:hAnsi="宋体" w:cs="宋体"/>
                <w:color w:val="auto"/>
                <w:spacing w:val="7"/>
                <w:szCs w:val="21"/>
              </w:rPr>
              <w:t>技术职称</w:t>
            </w:r>
          </w:p>
        </w:tc>
        <w:tc>
          <w:tcPr>
            <w:tcW w:w="1131" w:type="dxa"/>
          </w:tcPr>
          <w:p>
            <w:pPr>
              <w:rPr>
                <w:color w:val="auto"/>
                <w:szCs w:val="21"/>
              </w:rPr>
            </w:pPr>
          </w:p>
        </w:tc>
        <w:tc>
          <w:tcPr>
            <w:tcW w:w="678" w:type="dxa"/>
            <w:gridSpan w:val="2"/>
          </w:tcPr>
          <w:p>
            <w:pPr>
              <w:spacing w:before="180" w:line="230" w:lineRule="auto"/>
              <w:ind w:firstLine="161"/>
              <w:rPr>
                <w:rFonts w:ascii="宋体" w:hAnsi="宋体" w:cs="宋体"/>
                <w:color w:val="auto"/>
                <w:szCs w:val="21"/>
              </w:rPr>
            </w:pPr>
            <w:r>
              <w:rPr>
                <w:rFonts w:ascii="宋体" w:hAnsi="宋体" w:cs="宋体"/>
                <w:color w:val="auto"/>
                <w:spacing w:val="-8"/>
                <w:szCs w:val="21"/>
              </w:rPr>
              <w:t>电</w:t>
            </w:r>
            <w:r>
              <w:rPr>
                <w:rFonts w:ascii="宋体" w:hAnsi="宋体" w:cs="宋体"/>
                <w:color w:val="auto"/>
                <w:spacing w:val="-7"/>
                <w:szCs w:val="21"/>
              </w:rPr>
              <w:t>话</w:t>
            </w:r>
          </w:p>
        </w:tc>
        <w:tc>
          <w:tcPr>
            <w:tcW w:w="1236" w:type="dxa"/>
          </w:tcPr>
          <w:p>
            <w:pPr>
              <w:rPr>
                <w:color w:val="auto"/>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1512" w:type="dxa"/>
          </w:tcPr>
          <w:p>
            <w:pPr>
              <w:spacing w:before="180" w:line="228" w:lineRule="auto"/>
              <w:ind w:firstLine="238"/>
              <w:rPr>
                <w:rFonts w:ascii="宋体" w:hAnsi="宋体" w:cs="宋体"/>
                <w:color w:val="auto"/>
                <w:szCs w:val="21"/>
              </w:rPr>
            </w:pPr>
            <w:r>
              <w:rPr>
                <w:rFonts w:ascii="宋体" w:hAnsi="宋体" w:cs="宋体"/>
                <w:color w:val="auto"/>
                <w:spacing w:val="8"/>
                <w:szCs w:val="21"/>
              </w:rPr>
              <w:t>技术负责</w:t>
            </w:r>
            <w:r>
              <w:rPr>
                <w:rFonts w:ascii="宋体" w:hAnsi="宋体" w:cs="宋体"/>
                <w:color w:val="auto"/>
                <w:spacing w:val="7"/>
                <w:szCs w:val="21"/>
              </w:rPr>
              <w:t>人</w:t>
            </w:r>
          </w:p>
        </w:tc>
        <w:tc>
          <w:tcPr>
            <w:tcW w:w="1196" w:type="dxa"/>
          </w:tcPr>
          <w:p>
            <w:pPr>
              <w:spacing w:before="180" w:line="228" w:lineRule="auto"/>
              <w:ind w:firstLine="391"/>
              <w:rPr>
                <w:rFonts w:ascii="宋体" w:hAnsi="宋体" w:cs="宋体"/>
                <w:color w:val="auto"/>
                <w:szCs w:val="21"/>
              </w:rPr>
            </w:pPr>
            <w:r>
              <w:rPr>
                <w:rFonts w:ascii="宋体" w:hAnsi="宋体" w:cs="宋体"/>
                <w:color w:val="auto"/>
                <w:spacing w:val="5"/>
                <w:szCs w:val="21"/>
              </w:rPr>
              <w:t>姓</w:t>
            </w:r>
            <w:r>
              <w:rPr>
                <w:rFonts w:ascii="宋体" w:hAnsi="宋体" w:cs="宋体"/>
                <w:color w:val="auto"/>
                <w:spacing w:val="4"/>
                <w:szCs w:val="21"/>
              </w:rPr>
              <w:t>名</w:t>
            </w:r>
          </w:p>
        </w:tc>
        <w:tc>
          <w:tcPr>
            <w:tcW w:w="1182" w:type="dxa"/>
          </w:tcPr>
          <w:p>
            <w:pPr>
              <w:rPr>
                <w:color w:val="auto"/>
                <w:szCs w:val="21"/>
              </w:rPr>
            </w:pPr>
          </w:p>
        </w:tc>
        <w:tc>
          <w:tcPr>
            <w:tcW w:w="1483" w:type="dxa"/>
            <w:gridSpan w:val="2"/>
          </w:tcPr>
          <w:p>
            <w:pPr>
              <w:spacing w:before="180" w:line="228" w:lineRule="auto"/>
              <w:ind w:firstLine="327"/>
              <w:rPr>
                <w:rFonts w:ascii="宋体" w:hAnsi="宋体" w:cs="宋体"/>
                <w:color w:val="auto"/>
                <w:szCs w:val="21"/>
              </w:rPr>
            </w:pPr>
            <w:r>
              <w:rPr>
                <w:rFonts w:ascii="宋体" w:hAnsi="宋体" w:cs="宋体"/>
                <w:color w:val="auto"/>
                <w:spacing w:val="7"/>
                <w:szCs w:val="21"/>
              </w:rPr>
              <w:t>技术职称</w:t>
            </w:r>
          </w:p>
        </w:tc>
        <w:tc>
          <w:tcPr>
            <w:tcW w:w="1131" w:type="dxa"/>
          </w:tcPr>
          <w:p>
            <w:pPr>
              <w:rPr>
                <w:color w:val="auto"/>
                <w:szCs w:val="21"/>
              </w:rPr>
            </w:pPr>
          </w:p>
        </w:tc>
        <w:tc>
          <w:tcPr>
            <w:tcW w:w="678" w:type="dxa"/>
            <w:gridSpan w:val="2"/>
          </w:tcPr>
          <w:p>
            <w:pPr>
              <w:spacing w:before="180" w:line="230" w:lineRule="auto"/>
              <w:ind w:firstLine="161"/>
              <w:rPr>
                <w:rFonts w:ascii="宋体" w:hAnsi="宋体" w:cs="宋体"/>
                <w:color w:val="auto"/>
                <w:szCs w:val="21"/>
              </w:rPr>
            </w:pPr>
            <w:r>
              <w:rPr>
                <w:rFonts w:ascii="宋体" w:hAnsi="宋体" w:cs="宋体"/>
                <w:color w:val="auto"/>
                <w:spacing w:val="-8"/>
                <w:szCs w:val="21"/>
              </w:rPr>
              <w:t>电</w:t>
            </w:r>
            <w:r>
              <w:rPr>
                <w:rFonts w:ascii="宋体" w:hAnsi="宋体" w:cs="宋体"/>
                <w:color w:val="auto"/>
                <w:spacing w:val="-7"/>
                <w:szCs w:val="21"/>
              </w:rPr>
              <w:t>话</w:t>
            </w:r>
          </w:p>
        </w:tc>
        <w:tc>
          <w:tcPr>
            <w:tcW w:w="1236" w:type="dxa"/>
          </w:tcPr>
          <w:p>
            <w:pPr>
              <w:rPr>
                <w:color w:val="auto"/>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1512" w:type="dxa"/>
          </w:tcPr>
          <w:p>
            <w:pPr>
              <w:spacing w:before="182" w:line="229" w:lineRule="auto"/>
              <w:ind w:firstLine="342"/>
              <w:rPr>
                <w:rFonts w:ascii="宋体" w:hAnsi="宋体" w:cs="宋体"/>
                <w:color w:val="auto"/>
                <w:szCs w:val="21"/>
              </w:rPr>
            </w:pPr>
            <w:r>
              <w:rPr>
                <w:rFonts w:ascii="宋体" w:hAnsi="宋体" w:cs="宋体"/>
                <w:color w:val="auto"/>
                <w:spacing w:val="7"/>
                <w:szCs w:val="21"/>
              </w:rPr>
              <w:t>成立时</w:t>
            </w:r>
            <w:r>
              <w:rPr>
                <w:rFonts w:ascii="宋体" w:hAnsi="宋体" w:cs="宋体"/>
                <w:color w:val="auto"/>
                <w:spacing w:val="6"/>
                <w:szCs w:val="21"/>
              </w:rPr>
              <w:t>间</w:t>
            </w:r>
          </w:p>
        </w:tc>
        <w:tc>
          <w:tcPr>
            <w:tcW w:w="2378" w:type="dxa"/>
            <w:gridSpan w:val="2"/>
          </w:tcPr>
          <w:p>
            <w:pPr>
              <w:rPr>
                <w:color w:val="auto"/>
                <w:szCs w:val="21"/>
              </w:rPr>
            </w:pPr>
          </w:p>
        </w:tc>
        <w:tc>
          <w:tcPr>
            <w:tcW w:w="4528" w:type="dxa"/>
            <w:gridSpan w:val="6"/>
          </w:tcPr>
          <w:p>
            <w:pPr>
              <w:spacing w:before="182" w:line="228" w:lineRule="auto"/>
              <w:ind w:firstLine="121"/>
              <w:rPr>
                <w:rFonts w:ascii="宋体" w:hAnsi="宋体" w:cs="宋体"/>
                <w:color w:val="auto"/>
                <w:szCs w:val="21"/>
              </w:rPr>
            </w:pPr>
            <w:r>
              <w:rPr>
                <w:rFonts w:ascii="宋体" w:hAnsi="宋体" w:cs="宋体"/>
                <w:color w:val="auto"/>
                <w:spacing w:val="5"/>
                <w:szCs w:val="21"/>
              </w:rPr>
              <w:t>员工总人数</w:t>
            </w:r>
            <w:r>
              <w:rPr>
                <w:rFonts w:ascii="宋体" w:hAnsi="宋体" w:cs="宋体"/>
                <w:color w:val="auto"/>
                <w:spacing w:val="7"/>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1512" w:type="dxa"/>
          </w:tcPr>
          <w:p>
            <w:pPr>
              <w:spacing w:before="181" w:line="228" w:lineRule="auto"/>
              <w:ind w:firstLine="135"/>
              <w:rPr>
                <w:rFonts w:ascii="宋体" w:hAnsi="宋体" w:cs="宋体"/>
                <w:color w:val="auto"/>
                <w:szCs w:val="21"/>
              </w:rPr>
            </w:pPr>
            <w:r>
              <w:rPr>
                <w:rFonts w:ascii="宋体" w:hAnsi="宋体" w:cs="宋体"/>
                <w:color w:val="auto"/>
                <w:spacing w:val="8"/>
                <w:szCs w:val="21"/>
              </w:rPr>
              <w:t>企业资质</w:t>
            </w:r>
            <w:r>
              <w:rPr>
                <w:rFonts w:ascii="宋体" w:hAnsi="宋体" w:cs="宋体"/>
                <w:color w:val="auto"/>
                <w:spacing w:val="7"/>
                <w:szCs w:val="21"/>
              </w:rPr>
              <w:t>等级</w:t>
            </w:r>
          </w:p>
        </w:tc>
        <w:tc>
          <w:tcPr>
            <w:tcW w:w="2378" w:type="dxa"/>
            <w:gridSpan w:val="2"/>
          </w:tcPr>
          <w:p>
            <w:pPr>
              <w:rPr>
                <w:color w:val="auto"/>
                <w:szCs w:val="21"/>
              </w:rPr>
            </w:pPr>
          </w:p>
        </w:tc>
        <w:tc>
          <w:tcPr>
            <w:tcW w:w="669" w:type="dxa"/>
            <w:vMerge w:val="restart"/>
            <w:tcBorders>
              <w:bottom w:val="nil"/>
            </w:tcBorders>
          </w:tcPr>
          <w:p>
            <w:pPr>
              <w:spacing w:line="252" w:lineRule="auto"/>
              <w:rPr>
                <w:color w:val="auto"/>
                <w:szCs w:val="21"/>
              </w:rPr>
            </w:pPr>
          </w:p>
          <w:p>
            <w:pPr>
              <w:spacing w:line="252" w:lineRule="auto"/>
              <w:rPr>
                <w:color w:val="auto"/>
                <w:szCs w:val="21"/>
              </w:rPr>
            </w:pPr>
          </w:p>
          <w:p>
            <w:pPr>
              <w:spacing w:line="253" w:lineRule="auto"/>
              <w:rPr>
                <w:color w:val="auto"/>
                <w:szCs w:val="21"/>
              </w:rPr>
            </w:pPr>
          </w:p>
          <w:p>
            <w:pPr>
              <w:spacing w:line="253" w:lineRule="auto"/>
              <w:rPr>
                <w:color w:val="auto"/>
                <w:szCs w:val="21"/>
              </w:rPr>
            </w:pPr>
          </w:p>
          <w:p>
            <w:pPr>
              <w:spacing w:line="253" w:lineRule="auto"/>
              <w:rPr>
                <w:color w:val="auto"/>
                <w:szCs w:val="21"/>
              </w:rPr>
            </w:pPr>
          </w:p>
          <w:p>
            <w:pPr>
              <w:spacing w:before="65" w:line="228" w:lineRule="auto"/>
              <w:ind w:firstLine="130"/>
              <w:rPr>
                <w:rFonts w:ascii="宋体" w:hAnsi="宋体" w:cs="宋体"/>
                <w:color w:val="auto"/>
                <w:szCs w:val="21"/>
              </w:rPr>
            </w:pPr>
            <w:r>
              <w:rPr>
                <w:rFonts w:ascii="宋体" w:hAnsi="宋体" w:cs="宋体"/>
                <w:color w:val="auto"/>
                <w:spacing w:val="4"/>
                <w:szCs w:val="21"/>
              </w:rPr>
              <w:t>其中</w:t>
            </w:r>
          </w:p>
        </w:tc>
        <w:tc>
          <w:tcPr>
            <w:tcW w:w="2123" w:type="dxa"/>
            <w:gridSpan w:val="3"/>
          </w:tcPr>
          <w:p>
            <w:pPr>
              <w:spacing w:before="181" w:line="228" w:lineRule="auto"/>
              <w:ind w:firstLine="458"/>
              <w:rPr>
                <w:rFonts w:ascii="宋体" w:hAnsi="宋体" w:cs="宋体"/>
                <w:color w:val="auto"/>
                <w:szCs w:val="21"/>
              </w:rPr>
            </w:pPr>
            <w:r>
              <w:rPr>
                <w:rFonts w:ascii="宋体" w:hAnsi="宋体" w:cs="宋体"/>
                <w:color w:val="auto"/>
                <w:spacing w:val="5"/>
                <w:szCs w:val="21"/>
              </w:rPr>
              <w:t>国家注册人</w:t>
            </w:r>
            <w:r>
              <w:rPr>
                <w:rFonts w:ascii="宋体" w:hAnsi="宋体" w:cs="宋体"/>
                <w:color w:val="auto"/>
                <w:spacing w:val="4"/>
                <w:szCs w:val="21"/>
              </w:rPr>
              <w:t>员</w:t>
            </w:r>
          </w:p>
        </w:tc>
        <w:tc>
          <w:tcPr>
            <w:tcW w:w="1736" w:type="dxa"/>
            <w:gridSpan w:val="2"/>
          </w:tcPr>
          <w:p>
            <w:pPr>
              <w:rPr>
                <w:color w:val="auto"/>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12" w:type="dxa"/>
          </w:tcPr>
          <w:p>
            <w:pPr>
              <w:spacing w:before="180" w:line="228" w:lineRule="auto"/>
              <w:ind w:firstLine="244"/>
              <w:rPr>
                <w:rFonts w:ascii="宋体" w:hAnsi="宋体" w:cs="宋体"/>
                <w:color w:val="auto"/>
                <w:szCs w:val="21"/>
              </w:rPr>
            </w:pPr>
            <w:r>
              <w:rPr>
                <w:rFonts w:ascii="宋体" w:hAnsi="宋体" w:cs="宋体"/>
                <w:color w:val="auto"/>
                <w:spacing w:val="7"/>
                <w:szCs w:val="21"/>
              </w:rPr>
              <w:t>营业执照</w:t>
            </w:r>
            <w:r>
              <w:rPr>
                <w:rFonts w:ascii="宋体" w:hAnsi="宋体" w:cs="宋体"/>
                <w:color w:val="auto"/>
                <w:spacing w:val="6"/>
                <w:szCs w:val="21"/>
              </w:rPr>
              <w:t>号</w:t>
            </w:r>
          </w:p>
        </w:tc>
        <w:tc>
          <w:tcPr>
            <w:tcW w:w="2378" w:type="dxa"/>
            <w:gridSpan w:val="2"/>
          </w:tcPr>
          <w:p>
            <w:pPr>
              <w:rPr>
                <w:color w:val="auto"/>
                <w:szCs w:val="21"/>
              </w:rPr>
            </w:pPr>
          </w:p>
        </w:tc>
        <w:tc>
          <w:tcPr>
            <w:tcW w:w="669" w:type="dxa"/>
            <w:vMerge w:val="continue"/>
            <w:tcBorders>
              <w:top w:val="nil"/>
              <w:bottom w:val="nil"/>
            </w:tcBorders>
          </w:tcPr>
          <w:p>
            <w:pPr>
              <w:rPr>
                <w:color w:val="auto"/>
                <w:szCs w:val="21"/>
              </w:rPr>
            </w:pPr>
          </w:p>
        </w:tc>
        <w:tc>
          <w:tcPr>
            <w:tcW w:w="2123" w:type="dxa"/>
            <w:gridSpan w:val="3"/>
          </w:tcPr>
          <w:p>
            <w:pPr>
              <w:spacing w:before="180" w:line="226" w:lineRule="auto"/>
              <w:ind w:firstLine="437"/>
              <w:rPr>
                <w:rFonts w:ascii="宋体" w:hAnsi="宋体" w:cs="宋体"/>
                <w:color w:val="auto"/>
                <w:szCs w:val="21"/>
              </w:rPr>
            </w:pPr>
            <w:r>
              <w:rPr>
                <w:rFonts w:ascii="宋体" w:hAnsi="宋体" w:cs="宋体"/>
                <w:color w:val="auto"/>
                <w:spacing w:val="9"/>
                <w:szCs w:val="21"/>
              </w:rPr>
              <w:t>造价</w:t>
            </w:r>
            <w:r>
              <w:rPr>
                <w:rFonts w:ascii="宋体" w:hAnsi="宋体" w:cs="宋体"/>
                <w:color w:val="auto"/>
                <w:spacing w:val="8"/>
                <w:szCs w:val="21"/>
              </w:rPr>
              <w:t>编审人员</w:t>
            </w:r>
          </w:p>
        </w:tc>
        <w:tc>
          <w:tcPr>
            <w:tcW w:w="1736" w:type="dxa"/>
            <w:gridSpan w:val="2"/>
          </w:tcPr>
          <w:p>
            <w:pPr>
              <w:rPr>
                <w:color w:val="auto"/>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12" w:type="dxa"/>
          </w:tcPr>
          <w:p>
            <w:pPr>
              <w:spacing w:before="181" w:line="229" w:lineRule="auto"/>
              <w:ind w:firstLine="340"/>
              <w:rPr>
                <w:rFonts w:ascii="宋体" w:hAnsi="宋体" w:cs="宋体"/>
                <w:color w:val="auto"/>
                <w:szCs w:val="21"/>
              </w:rPr>
            </w:pPr>
            <w:r>
              <w:rPr>
                <w:rFonts w:ascii="宋体" w:hAnsi="宋体" w:cs="宋体"/>
                <w:color w:val="auto"/>
                <w:spacing w:val="8"/>
                <w:szCs w:val="21"/>
              </w:rPr>
              <w:t>注</w:t>
            </w:r>
            <w:r>
              <w:rPr>
                <w:rFonts w:ascii="宋体" w:hAnsi="宋体" w:cs="宋体"/>
                <w:color w:val="auto"/>
                <w:spacing w:val="7"/>
                <w:szCs w:val="21"/>
              </w:rPr>
              <w:t>册资金</w:t>
            </w:r>
          </w:p>
        </w:tc>
        <w:tc>
          <w:tcPr>
            <w:tcW w:w="2378" w:type="dxa"/>
            <w:gridSpan w:val="2"/>
          </w:tcPr>
          <w:p>
            <w:pPr>
              <w:rPr>
                <w:color w:val="auto"/>
                <w:szCs w:val="21"/>
              </w:rPr>
            </w:pPr>
          </w:p>
        </w:tc>
        <w:tc>
          <w:tcPr>
            <w:tcW w:w="669" w:type="dxa"/>
            <w:vMerge w:val="continue"/>
            <w:tcBorders>
              <w:top w:val="nil"/>
              <w:bottom w:val="nil"/>
            </w:tcBorders>
          </w:tcPr>
          <w:p>
            <w:pPr>
              <w:rPr>
                <w:color w:val="auto"/>
                <w:szCs w:val="21"/>
              </w:rPr>
            </w:pPr>
          </w:p>
        </w:tc>
        <w:tc>
          <w:tcPr>
            <w:tcW w:w="2123" w:type="dxa"/>
            <w:gridSpan w:val="3"/>
          </w:tcPr>
          <w:p>
            <w:pPr>
              <w:spacing w:before="181" w:line="228" w:lineRule="auto"/>
              <w:ind w:firstLine="443"/>
              <w:rPr>
                <w:rFonts w:ascii="宋体" w:hAnsi="宋体" w:cs="宋体"/>
                <w:color w:val="auto"/>
                <w:szCs w:val="21"/>
              </w:rPr>
            </w:pPr>
            <w:r>
              <w:rPr>
                <w:rFonts w:ascii="宋体" w:hAnsi="宋体" w:cs="宋体"/>
                <w:color w:val="auto"/>
                <w:spacing w:val="8"/>
                <w:szCs w:val="21"/>
              </w:rPr>
              <w:t>高</w:t>
            </w:r>
            <w:r>
              <w:rPr>
                <w:rFonts w:ascii="宋体" w:hAnsi="宋体" w:cs="宋体"/>
                <w:color w:val="auto"/>
                <w:spacing w:val="7"/>
                <w:szCs w:val="21"/>
              </w:rPr>
              <w:t>级职称人员</w:t>
            </w:r>
          </w:p>
        </w:tc>
        <w:tc>
          <w:tcPr>
            <w:tcW w:w="1736" w:type="dxa"/>
            <w:gridSpan w:val="2"/>
          </w:tcPr>
          <w:p>
            <w:pPr>
              <w:rPr>
                <w:color w:val="auto"/>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12" w:type="dxa"/>
          </w:tcPr>
          <w:p>
            <w:pPr>
              <w:spacing w:before="181" w:line="228" w:lineRule="auto"/>
              <w:ind w:firstLine="341"/>
              <w:rPr>
                <w:rFonts w:ascii="宋体" w:hAnsi="宋体" w:cs="宋体"/>
                <w:color w:val="auto"/>
                <w:szCs w:val="21"/>
              </w:rPr>
            </w:pPr>
            <w:r>
              <w:rPr>
                <w:rFonts w:ascii="宋体" w:hAnsi="宋体" w:cs="宋体"/>
                <w:color w:val="auto"/>
                <w:spacing w:val="7"/>
                <w:szCs w:val="21"/>
              </w:rPr>
              <w:t>开户银行</w:t>
            </w:r>
          </w:p>
        </w:tc>
        <w:tc>
          <w:tcPr>
            <w:tcW w:w="2378" w:type="dxa"/>
            <w:gridSpan w:val="2"/>
          </w:tcPr>
          <w:p>
            <w:pPr>
              <w:rPr>
                <w:color w:val="auto"/>
                <w:szCs w:val="21"/>
              </w:rPr>
            </w:pPr>
          </w:p>
        </w:tc>
        <w:tc>
          <w:tcPr>
            <w:tcW w:w="669" w:type="dxa"/>
            <w:vMerge w:val="continue"/>
            <w:tcBorders>
              <w:top w:val="nil"/>
              <w:bottom w:val="nil"/>
            </w:tcBorders>
          </w:tcPr>
          <w:p>
            <w:pPr>
              <w:rPr>
                <w:color w:val="auto"/>
                <w:szCs w:val="21"/>
              </w:rPr>
            </w:pPr>
          </w:p>
        </w:tc>
        <w:tc>
          <w:tcPr>
            <w:tcW w:w="2123" w:type="dxa"/>
            <w:gridSpan w:val="3"/>
            <w:vMerge w:val="restart"/>
            <w:tcBorders>
              <w:bottom w:val="nil"/>
            </w:tcBorders>
          </w:tcPr>
          <w:p>
            <w:pPr>
              <w:spacing w:line="401" w:lineRule="auto"/>
              <w:rPr>
                <w:color w:val="auto"/>
                <w:szCs w:val="21"/>
              </w:rPr>
            </w:pPr>
          </w:p>
          <w:p>
            <w:pPr>
              <w:spacing w:before="65" w:line="228" w:lineRule="auto"/>
              <w:ind w:firstLine="457"/>
              <w:rPr>
                <w:rFonts w:ascii="宋体" w:hAnsi="宋体" w:cs="宋体"/>
                <w:color w:val="auto"/>
                <w:szCs w:val="21"/>
              </w:rPr>
            </w:pPr>
            <w:r>
              <w:rPr>
                <w:rFonts w:ascii="宋体" w:hAnsi="宋体" w:cs="宋体"/>
                <w:color w:val="auto"/>
                <w:spacing w:val="5"/>
                <w:szCs w:val="21"/>
              </w:rPr>
              <w:t>中级职称人</w:t>
            </w:r>
            <w:r>
              <w:rPr>
                <w:rFonts w:ascii="宋体" w:hAnsi="宋体" w:cs="宋体"/>
                <w:color w:val="auto"/>
                <w:spacing w:val="4"/>
                <w:szCs w:val="21"/>
              </w:rPr>
              <w:t>员</w:t>
            </w:r>
          </w:p>
        </w:tc>
        <w:tc>
          <w:tcPr>
            <w:tcW w:w="1736" w:type="dxa"/>
            <w:gridSpan w:val="2"/>
            <w:vMerge w:val="restart"/>
            <w:tcBorders>
              <w:bottom w:val="nil"/>
            </w:tcBorders>
          </w:tcPr>
          <w:p>
            <w:pPr>
              <w:rPr>
                <w:color w:val="auto"/>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1512" w:type="dxa"/>
          </w:tcPr>
          <w:p>
            <w:pPr>
              <w:spacing w:before="182" w:line="229" w:lineRule="auto"/>
              <w:ind w:firstLine="555"/>
              <w:rPr>
                <w:rFonts w:ascii="宋体" w:hAnsi="宋体" w:cs="宋体"/>
                <w:color w:val="auto"/>
                <w:szCs w:val="21"/>
              </w:rPr>
            </w:pPr>
            <w:r>
              <w:rPr>
                <w:rFonts w:ascii="宋体" w:hAnsi="宋体" w:cs="宋体"/>
                <w:color w:val="auto"/>
                <w:spacing w:val="3"/>
                <w:szCs w:val="21"/>
              </w:rPr>
              <w:t>账号</w:t>
            </w:r>
          </w:p>
        </w:tc>
        <w:tc>
          <w:tcPr>
            <w:tcW w:w="2378" w:type="dxa"/>
            <w:gridSpan w:val="2"/>
          </w:tcPr>
          <w:p>
            <w:pPr>
              <w:rPr>
                <w:color w:val="auto"/>
                <w:szCs w:val="21"/>
              </w:rPr>
            </w:pPr>
          </w:p>
        </w:tc>
        <w:tc>
          <w:tcPr>
            <w:tcW w:w="669" w:type="dxa"/>
            <w:vMerge w:val="continue"/>
            <w:tcBorders>
              <w:top w:val="nil"/>
            </w:tcBorders>
          </w:tcPr>
          <w:p>
            <w:pPr>
              <w:rPr>
                <w:color w:val="auto"/>
                <w:szCs w:val="21"/>
              </w:rPr>
            </w:pPr>
          </w:p>
        </w:tc>
        <w:tc>
          <w:tcPr>
            <w:tcW w:w="2123" w:type="dxa"/>
            <w:gridSpan w:val="3"/>
            <w:vMerge w:val="continue"/>
            <w:tcBorders>
              <w:top w:val="nil"/>
            </w:tcBorders>
          </w:tcPr>
          <w:p>
            <w:pPr>
              <w:rPr>
                <w:color w:val="auto"/>
                <w:szCs w:val="21"/>
              </w:rPr>
            </w:pPr>
          </w:p>
        </w:tc>
        <w:tc>
          <w:tcPr>
            <w:tcW w:w="1736" w:type="dxa"/>
            <w:gridSpan w:val="2"/>
            <w:vMerge w:val="continue"/>
            <w:tcBorders>
              <w:top w:val="nil"/>
            </w:tcBorders>
          </w:tcPr>
          <w:p>
            <w:pPr>
              <w:rPr>
                <w:color w:val="auto"/>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73" w:hRule="atLeast"/>
        </w:trPr>
        <w:tc>
          <w:tcPr>
            <w:tcW w:w="1512" w:type="dxa"/>
          </w:tcPr>
          <w:p>
            <w:pPr>
              <w:spacing w:line="414" w:lineRule="auto"/>
              <w:rPr>
                <w:color w:val="auto"/>
                <w:szCs w:val="21"/>
              </w:rPr>
            </w:pPr>
          </w:p>
          <w:p>
            <w:pPr>
              <w:spacing w:before="65" w:line="228" w:lineRule="auto"/>
              <w:ind w:firstLine="342"/>
              <w:rPr>
                <w:rFonts w:ascii="宋体" w:hAnsi="宋体" w:cs="宋体"/>
                <w:color w:val="auto"/>
                <w:szCs w:val="21"/>
              </w:rPr>
            </w:pPr>
            <w:r>
              <w:rPr>
                <w:rFonts w:ascii="宋体" w:hAnsi="宋体" w:cs="宋体"/>
                <w:color w:val="auto"/>
                <w:spacing w:val="7"/>
                <w:szCs w:val="21"/>
              </w:rPr>
              <w:t>经营范</w:t>
            </w:r>
            <w:r>
              <w:rPr>
                <w:rFonts w:ascii="宋体" w:hAnsi="宋体" w:cs="宋体"/>
                <w:color w:val="auto"/>
                <w:spacing w:val="6"/>
                <w:szCs w:val="21"/>
              </w:rPr>
              <w:t>围</w:t>
            </w:r>
          </w:p>
        </w:tc>
        <w:tc>
          <w:tcPr>
            <w:tcW w:w="6906" w:type="dxa"/>
            <w:gridSpan w:val="8"/>
          </w:tcPr>
          <w:p>
            <w:pPr>
              <w:rPr>
                <w:color w:val="auto"/>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10" w:hRule="atLeast"/>
        </w:trPr>
        <w:tc>
          <w:tcPr>
            <w:tcW w:w="1512" w:type="dxa"/>
          </w:tcPr>
          <w:p>
            <w:pPr>
              <w:spacing w:line="265" w:lineRule="auto"/>
              <w:rPr>
                <w:color w:val="auto"/>
                <w:szCs w:val="21"/>
              </w:rPr>
            </w:pPr>
          </w:p>
          <w:p>
            <w:pPr>
              <w:spacing w:line="266" w:lineRule="auto"/>
              <w:rPr>
                <w:color w:val="auto"/>
                <w:szCs w:val="21"/>
              </w:rPr>
            </w:pPr>
          </w:p>
          <w:p>
            <w:pPr>
              <w:spacing w:before="65" w:line="229" w:lineRule="auto"/>
              <w:ind w:firstLine="554"/>
              <w:outlineLvl w:val="1"/>
              <w:rPr>
                <w:rFonts w:ascii="宋体" w:hAnsi="宋体" w:cs="宋体"/>
                <w:color w:val="auto"/>
                <w:szCs w:val="21"/>
              </w:rPr>
            </w:pPr>
            <w:r>
              <w:rPr>
                <w:rFonts w:ascii="宋体" w:hAnsi="宋体" w:cs="宋体"/>
                <w:color w:val="auto"/>
                <w:spacing w:val="4"/>
                <w:szCs w:val="21"/>
              </w:rPr>
              <w:t>备</w:t>
            </w:r>
            <w:r>
              <w:rPr>
                <w:rFonts w:ascii="宋体" w:hAnsi="宋体" w:cs="宋体"/>
                <w:color w:val="auto"/>
                <w:spacing w:val="3"/>
                <w:szCs w:val="21"/>
              </w:rPr>
              <w:t>注</w:t>
            </w:r>
          </w:p>
        </w:tc>
        <w:tc>
          <w:tcPr>
            <w:tcW w:w="6906" w:type="dxa"/>
            <w:gridSpan w:val="8"/>
          </w:tcPr>
          <w:p>
            <w:pPr>
              <w:rPr>
                <w:color w:val="auto"/>
                <w:szCs w:val="21"/>
              </w:rPr>
            </w:pPr>
          </w:p>
        </w:tc>
      </w:tr>
    </w:tbl>
    <w:p>
      <w:pPr>
        <w:rPr>
          <w:color w:val="auto"/>
        </w:rPr>
      </w:pPr>
    </w:p>
    <w:p>
      <w:pPr>
        <w:rPr>
          <w:color w:val="auto"/>
        </w:rPr>
        <w:sectPr>
          <w:footerReference r:id="rId11" w:type="default"/>
          <w:pgSz w:w="11906" w:h="16838"/>
          <w:pgMar w:top="1134" w:right="1134" w:bottom="1134" w:left="1134" w:header="680" w:footer="680" w:gutter="0"/>
          <w:cols w:space="720" w:num="1"/>
        </w:sectPr>
      </w:pPr>
    </w:p>
    <w:p>
      <w:pPr>
        <w:spacing w:before="177" w:line="226" w:lineRule="auto"/>
        <w:ind w:firstLine="125"/>
        <w:rPr>
          <w:rFonts w:ascii="黑体" w:hAnsi="黑体" w:eastAsia="黑体" w:cs="黑体"/>
          <w:color w:val="auto"/>
          <w:sz w:val="31"/>
          <w:szCs w:val="31"/>
        </w:rPr>
      </w:pPr>
      <w:r>
        <w:rPr>
          <w:rFonts w:ascii="宋体" w:hAnsi="宋体" w:cs="宋体"/>
          <w:color w:val="auto"/>
          <w:spacing w:val="4"/>
          <w:sz w:val="31"/>
          <w:szCs w:val="31"/>
        </w:rPr>
        <w:t>8.</w:t>
      </w:r>
      <w:r>
        <w:rPr>
          <w:rFonts w:ascii="黑体" w:hAnsi="黑体" w:eastAsia="黑体" w:cs="黑体"/>
          <w:color w:val="auto"/>
          <w:spacing w:val="7"/>
          <w:sz w:val="31"/>
          <w:szCs w:val="31"/>
        </w:rPr>
        <w:t>人员配备</w:t>
      </w:r>
    </w:p>
    <w:p>
      <w:pPr>
        <w:spacing w:line="323" w:lineRule="auto"/>
        <w:rPr>
          <w:color w:val="auto"/>
        </w:rPr>
      </w:pPr>
    </w:p>
    <w:p>
      <w:pPr>
        <w:spacing w:line="323" w:lineRule="auto"/>
        <w:rPr>
          <w:color w:val="auto"/>
        </w:rPr>
      </w:pPr>
    </w:p>
    <w:p>
      <w:pPr>
        <w:spacing w:before="100" w:line="226" w:lineRule="auto"/>
        <w:ind w:firstLine="125"/>
        <w:outlineLvl w:val="2"/>
        <w:rPr>
          <w:rFonts w:ascii="黑体" w:hAnsi="黑体" w:eastAsia="黑体" w:cs="黑体"/>
          <w:color w:val="auto"/>
          <w:sz w:val="31"/>
          <w:szCs w:val="31"/>
        </w:rPr>
      </w:pPr>
      <w:r>
        <w:rPr>
          <w:rFonts w:ascii="宋体" w:hAnsi="宋体" w:cs="宋体"/>
          <w:color w:val="auto"/>
          <w:spacing w:val="2"/>
          <w:sz w:val="31"/>
          <w:szCs w:val="31"/>
        </w:rPr>
        <w:t xml:space="preserve">8.1 </w:t>
      </w:r>
      <w:r>
        <w:rPr>
          <w:rFonts w:ascii="黑体" w:hAnsi="黑体" w:eastAsia="黑体" w:cs="黑体"/>
          <w:color w:val="auto"/>
          <w:spacing w:val="3"/>
          <w:sz w:val="31"/>
          <w:szCs w:val="31"/>
        </w:rPr>
        <w:t>拟选派项目</w:t>
      </w:r>
      <w:r>
        <w:rPr>
          <w:rFonts w:ascii="黑体" w:hAnsi="黑体" w:eastAsia="黑体" w:cs="黑体"/>
          <w:color w:val="auto"/>
          <w:spacing w:val="2"/>
          <w:sz w:val="31"/>
          <w:szCs w:val="31"/>
        </w:rPr>
        <w:t>组人员一览表</w:t>
      </w:r>
    </w:p>
    <w:p>
      <w:pPr>
        <w:rPr>
          <w:color w:val="auto"/>
        </w:rPr>
      </w:pPr>
    </w:p>
    <w:p>
      <w:pPr>
        <w:spacing w:line="70" w:lineRule="exact"/>
        <w:rPr>
          <w:color w:val="auto"/>
        </w:rPr>
      </w:pPr>
    </w:p>
    <w:tbl>
      <w:tblPr>
        <w:tblStyle w:val="48"/>
        <w:tblW w:w="85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6"/>
        <w:gridCol w:w="708"/>
        <w:gridCol w:w="708"/>
        <w:gridCol w:w="708"/>
        <w:gridCol w:w="1511"/>
        <w:gridCol w:w="1275"/>
        <w:gridCol w:w="709"/>
        <w:gridCol w:w="708"/>
        <w:gridCol w:w="7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6" w:hRule="atLeast"/>
        </w:trPr>
        <w:tc>
          <w:tcPr>
            <w:tcW w:w="1516" w:type="dxa"/>
            <w:vMerge w:val="restart"/>
            <w:tcBorders>
              <w:bottom w:val="nil"/>
            </w:tcBorders>
          </w:tcPr>
          <w:p>
            <w:pPr>
              <w:spacing w:line="402" w:lineRule="auto"/>
              <w:rPr>
                <w:color w:val="auto"/>
                <w:szCs w:val="21"/>
              </w:rPr>
            </w:pPr>
          </w:p>
          <w:p>
            <w:pPr>
              <w:spacing w:before="65" w:line="227" w:lineRule="auto"/>
              <w:ind w:firstLine="343"/>
              <w:rPr>
                <w:rFonts w:ascii="宋体" w:hAnsi="宋体" w:cs="宋体"/>
                <w:color w:val="auto"/>
                <w:szCs w:val="21"/>
              </w:rPr>
            </w:pPr>
            <w:r>
              <w:rPr>
                <w:rFonts w:ascii="宋体" w:hAnsi="宋体" w:cs="宋体"/>
                <w:color w:val="auto"/>
                <w:spacing w:val="8"/>
                <w:szCs w:val="21"/>
              </w:rPr>
              <w:t>拟</w:t>
            </w:r>
            <w:r>
              <w:rPr>
                <w:rFonts w:ascii="宋体" w:hAnsi="宋体" w:cs="宋体"/>
                <w:color w:val="auto"/>
                <w:spacing w:val="7"/>
                <w:szCs w:val="21"/>
              </w:rPr>
              <w:t>任岗位</w:t>
            </w:r>
          </w:p>
        </w:tc>
        <w:tc>
          <w:tcPr>
            <w:tcW w:w="708" w:type="dxa"/>
            <w:vMerge w:val="restart"/>
            <w:tcBorders>
              <w:bottom w:val="nil"/>
            </w:tcBorders>
          </w:tcPr>
          <w:p>
            <w:pPr>
              <w:spacing w:line="402" w:lineRule="auto"/>
              <w:rPr>
                <w:color w:val="auto"/>
                <w:szCs w:val="21"/>
              </w:rPr>
            </w:pPr>
          </w:p>
          <w:p>
            <w:pPr>
              <w:spacing w:before="65" w:line="228" w:lineRule="auto"/>
              <w:ind w:firstLine="147"/>
              <w:rPr>
                <w:rFonts w:ascii="宋体" w:hAnsi="宋体" w:cs="宋体"/>
                <w:color w:val="auto"/>
                <w:szCs w:val="21"/>
              </w:rPr>
            </w:pPr>
            <w:r>
              <w:rPr>
                <w:rFonts w:ascii="宋体" w:hAnsi="宋体" w:cs="宋体"/>
                <w:color w:val="auto"/>
                <w:spacing w:val="5"/>
                <w:szCs w:val="21"/>
              </w:rPr>
              <w:t>姓</w:t>
            </w:r>
            <w:r>
              <w:rPr>
                <w:rFonts w:ascii="宋体" w:hAnsi="宋体" w:cs="宋体"/>
                <w:color w:val="auto"/>
                <w:spacing w:val="4"/>
                <w:szCs w:val="21"/>
              </w:rPr>
              <w:t>名</w:t>
            </w:r>
          </w:p>
        </w:tc>
        <w:tc>
          <w:tcPr>
            <w:tcW w:w="708" w:type="dxa"/>
            <w:vMerge w:val="restart"/>
            <w:tcBorders>
              <w:bottom w:val="nil"/>
            </w:tcBorders>
          </w:tcPr>
          <w:p>
            <w:pPr>
              <w:spacing w:line="402" w:lineRule="auto"/>
              <w:rPr>
                <w:color w:val="auto"/>
                <w:szCs w:val="21"/>
              </w:rPr>
            </w:pPr>
          </w:p>
          <w:p>
            <w:pPr>
              <w:spacing w:before="65" w:line="228" w:lineRule="auto"/>
              <w:ind w:firstLine="150"/>
              <w:rPr>
                <w:rFonts w:ascii="宋体" w:hAnsi="宋体" w:cs="宋体"/>
                <w:color w:val="auto"/>
                <w:szCs w:val="21"/>
              </w:rPr>
            </w:pPr>
            <w:r>
              <w:rPr>
                <w:rFonts w:ascii="宋体" w:hAnsi="宋体" w:cs="宋体"/>
                <w:color w:val="auto"/>
                <w:spacing w:val="4"/>
                <w:szCs w:val="21"/>
              </w:rPr>
              <w:t>年龄</w:t>
            </w:r>
          </w:p>
        </w:tc>
        <w:tc>
          <w:tcPr>
            <w:tcW w:w="708" w:type="dxa"/>
            <w:vMerge w:val="restart"/>
            <w:tcBorders>
              <w:bottom w:val="nil"/>
            </w:tcBorders>
          </w:tcPr>
          <w:p>
            <w:pPr>
              <w:spacing w:line="402" w:lineRule="auto"/>
              <w:rPr>
                <w:color w:val="auto"/>
                <w:szCs w:val="21"/>
              </w:rPr>
            </w:pPr>
          </w:p>
          <w:p>
            <w:pPr>
              <w:spacing w:before="65" w:line="230" w:lineRule="auto"/>
              <w:ind w:firstLine="150"/>
              <w:rPr>
                <w:rFonts w:ascii="宋体" w:hAnsi="宋体" w:cs="宋体"/>
                <w:color w:val="auto"/>
                <w:szCs w:val="21"/>
              </w:rPr>
            </w:pPr>
            <w:r>
              <w:rPr>
                <w:rFonts w:ascii="宋体" w:hAnsi="宋体" w:cs="宋体"/>
                <w:color w:val="auto"/>
                <w:spacing w:val="4"/>
                <w:szCs w:val="21"/>
              </w:rPr>
              <w:t>职称</w:t>
            </w:r>
          </w:p>
        </w:tc>
        <w:tc>
          <w:tcPr>
            <w:tcW w:w="1511" w:type="dxa"/>
            <w:vMerge w:val="restart"/>
            <w:tcBorders>
              <w:bottom w:val="nil"/>
            </w:tcBorders>
          </w:tcPr>
          <w:p>
            <w:pPr>
              <w:spacing w:line="402" w:lineRule="auto"/>
              <w:rPr>
                <w:color w:val="auto"/>
                <w:szCs w:val="21"/>
              </w:rPr>
            </w:pPr>
          </w:p>
          <w:p>
            <w:pPr>
              <w:spacing w:before="65" w:line="228" w:lineRule="auto"/>
              <w:ind w:firstLine="344"/>
              <w:rPr>
                <w:rFonts w:ascii="宋体" w:hAnsi="宋体" w:cs="宋体"/>
                <w:color w:val="auto"/>
                <w:szCs w:val="21"/>
              </w:rPr>
            </w:pPr>
            <w:r>
              <w:rPr>
                <w:rFonts w:ascii="宋体" w:hAnsi="宋体" w:cs="宋体"/>
                <w:color w:val="auto"/>
                <w:spacing w:val="7"/>
                <w:szCs w:val="21"/>
              </w:rPr>
              <w:t>从事年</w:t>
            </w:r>
            <w:r>
              <w:rPr>
                <w:rFonts w:ascii="宋体" w:hAnsi="宋体" w:cs="宋体"/>
                <w:color w:val="auto"/>
                <w:spacing w:val="6"/>
                <w:szCs w:val="21"/>
              </w:rPr>
              <w:t>限</w:t>
            </w:r>
          </w:p>
        </w:tc>
        <w:tc>
          <w:tcPr>
            <w:tcW w:w="3405" w:type="dxa"/>
            <w:gridSpan w:val="4"/>
          </w:tcPr>
          <w:p>
            <w:pPr>
              <w:spacing w:before="182" w:line="227" w:lineRule="auto"/>
              <w:ind w:firstLine="762"/>
              <w:rPr>
                <w:rFonts w:ascii="宋体" w:hAnsi="宋体" w:cs="宋体"/>
                <w:color w:val="auto"/>
                <w:szCs w:val="21"/>
              </w:rPr>
            </w:pPr>
            <w:r>
              <w:rPr>
                <w:rFonts w:ascii="宋体" w:hAnsi="宋体" w:cs="宋体"/>
                <w:color w:val="auto"/>
                <w:spacing w:val="9"/>
                <w:szCs w:val="21"/>
              </w:rPr>
              <w:t>执业或职业资格证</w:t>
            </w:r>
            <w:r>
              <w:rPr>
                <w:rFonts w:ascii="宋体" w:hAnsi="宋体" w:cs="宋体"/>
                <w:color w:val="auto"/>
                <w:spacing w:val="8"/>
                <w:szCs w:val="21"/>
              </w:rPr>
              <w:t>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516" w:type="dxa"/>
            <w:vMerge w:val="continue"/>
            <w:tcBorders>
              <w:top w:val="nil"/>
            </w:tcBorders>
          </w:tcPr>
          <w:p>
            <w:pPr>
              <w:rPr>
                <w:color w:val="auto"/>
                <w:szCs w:val="21"/>
              </w:rPr>
            </w:pPr>
          </w:p>
        </w:tc>
        <w:tc>
          <w:tcPr>
            <w:tcW w:w="708" w:type="dxa"/>
            <w:vMerge w:val="continue"/>
            <w:tcBorders>
              <w:top w:val="nil"/>
            </w:tcBorders>
          </w:tcPr>
          <w:p>
            <w:pPr>
              <w:rPr>
                <w:color w:val="auto"/>
                <w:szCs w:val="21"/>
              </w:rPr>
            </w:pPr>
          </w:p>
        </w:tc>
        <w:tc>
          <w:tcPr>
            <w:tcW w:w="708" w:type="dxa"/>
            <w:vMerge w:val="continue"/>
            <w:tcBorders>
              <w:top w:val="nil"/>
            </w:tcBorders>
          </w:tcPr>
          <w:p>
            <w:pPr>
              <w:rPr>
                <w:color w:val="auto"/>
                <w:szCs w:val="21"/>
              </w:rPr>
            </w:pPr>
          </w:p>
        </w:tc>
        <w:tc>
          <w:tcPr>
            <w:tcW w:w="708" w:type="dxa"/>
            <w:vMerge w:val="continue"/>
            <w:tcBorders>
              <w:top w:val="nil"/>
            </w:tcBorders>
          </w:tcPr>
          <w:p>
            <w:pPr>
              <w:rPr>
                <w:color w:val="auto"/>
                <w:szCs w:val="21"/>
              </w:rPr>
            </w:pPr>
          </w:p>
        </w:tc>
        <w:tc>
          <w:tcPr>
            <w:tcW w:w="1511" w:type="dxa"/>
            <w:vMerge w:val="continue"/>
            <w:tcBorders>
              <w:top w:val="nil"/>
            </w:tcBorders>
          </w:tcPr>
          <w:p>
            <w:pPr>
              <w:rPr>
                <w:color w:val="auto"/>
                <w:szCs w:val="21"/>
              </w:rPr>
            </w:pPr>
          </w:p>
        </w:tc>
        <w:tc>
          <w:tcPr>
            <w:tcW w:w="1275" w:type="dxa"/>
          </w:tcPr>
          <w:p>
            <w:pPr>
              <w:spacing w:before="179" w:line="227" w:lineRule="auto"/>
              <w:ind w:firstLine="225"/>
              <w:rPr>
                <w:rFonts w:ascii="宋体" w:hAnsi="宋体" w:cs="宋体"/>
                <w:color w:val="auto"/>
                <w:szCs w:val="21"/>
              </w:rPr>
            </w:pPr>
            <w:r>
              <w:rPr>
                <w:rFonts w:ascii="宋体" w:hAnsi="宋体" w:cs="宋体"/>
                <w:color w:val="auto"/>
                <w:spacing w:val="8"/>
                <w:szCs w:val="21"/>
              </w:rPr>
              <w:t>证</w:t>
            </w:r>
            <w:r>
              <w:rPr>
                <w:rFonts w:ascii="宋体" w:hAnsi="宋体" w:cs="宋体"/>
                <w:color w:val="auto"/>
                <w:spacing w:val="7"/>
                <w:szCs w:val="21"/>
              </w:rPr>
              <w:t>书名称</w:t>
            </w:r>
          </w:p>
        </w:tc>
        <w:tc>
          <w:tcPr>
            <w:tcW w:w="709" w:type="dxa"/>
          </w:tcPr>
          <w:p>
            <w:pPr>
              <w:spacing w:before="180" w:line="228" w:lineRule="auto"/>
              <w:ind w:firstLine="155"/>
              <w:rPr>
                <w:rFonts w:ascii="宋体" w:hAnsi="宋体" w:cs="宋体"/>
                <w:color w:val="auto"/>
                <w:szCs w:val="21"/>
              </w:rPr>
            </w:pPr>
            <w:r>
              <w:rPr>
                <w:rFonts w:ascii="宋体" w:hAnsi="宋体" w:cs="宋体"/>
                <w:color w:val="auto"/>
                <w:spacing w:val="3"/>
                <w:szCs w:val="21"/>
              </w:rPr>
              <w:t>级别</w:t>
            </w:r>
          </w:p>
        </w:tc>
        <w:tc>
          <w:tcPr>
            <w:tcW w:w="708" w:type="dxa"/>
          </w:tcPr>
          <w:p>
            <w:pPr>
              <w:spacing w:before="179" w:line="229" w:lineRule="auto"/>
              <w:ind w:firstLine="151"/>
              <w:rPr>
                <w:rFonts w:ascii="宋体" w:hAnsi="宋体" w:cs="宋体"/>
                <w:color w:val="auto"/>
                <w:szCs w:val="21"/>
              </w:rPr>
            </w:pPr>
            <w:r>
              <w:rPr>
                <w:rFonts w:ascii="宋体" w:hAnsi="宋体" w:cs="宋体"/>
                <w:color w:val="auto"/>
                <w:spacing w:val="5"/>
                <w:szCs w:val="21"/>
              </w:rPr>
              <w:t>证</w:t>
            </w:r>
            <w:r>
              <w:rPr>
                <w:rFonts w:ascii="宋体" w:hAnsi="宋体" w:cs="宋体"/>
                <w:color w:val="auto"/>
                <w:spacing w:val="4"/>
                <w:szCs w:val="21"/>
              </w:rPr>
              <w:t>号</w:t>
            </w:r>
          </w:p>
        </w:tc>
        <w:tc>
          <w:tcPr>
            <w:tcW w:w="713" w:type="dxa"/>
          </w:tcPr>
          <w:p>
            <w:pPr>
              <w:spacing w:before="180" w:line="228" w:lineRule="auto"/>
              <w:ind w:firstLine="152"/>
              <w:rPr>
                <w:rFonts w:ascii="宋体" w:hAnsi="宋体" w:cs="宋体"/>
                <w:color w:val="auto"/>
                <w:szCs w:val="21"/>
              </w:rPr>
            </w:pPr>
            <w:r>
              <w:rPr>
                <w:rFonts w:ascii="宋体" w:hAnsi="宋体" w:cs="宋体"/>
                <w:color w:val="auto"/>
                <w:spacing w:val="4"/>
                <w:szCs w:val="21"/>
              </w:rPr>
              <w:t>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516" w:type="dxa"/>
          </w:tcPr>
          <w:p>
            <w:pPr>
              <w:spacing w:before="231" w:line="228" w:lineRule="auto"/>
              <w:ind w:firstLine="241"/>
              <w:rPr>
                <w:rFonts w:ascii="宋体" w:hAnsi="宋体" w:cs="宋体"/>
                <w:color w:val="auto"/>
                <w:szCs w:val="21"/>
              </w:rPr>
            </w:pPr>
            <w:r>
              <w:rPr>
                <w:rFonts w:ascii="宋体" w:hAnsi="宋体" w:cs="宋体"/>
                <w:color w:val="auto"/>
                <w:spacing w:val="8"/>
                <w:szCs w:val="21"/>
              </w:rPr>
              <w:t>项目</w:t>
            </w:r>
            <w:r>
              <w:rPr>
                <w:rFonts w:ascii="宋体" w:hAnsi="宋体" w:cs="宋体"/>
                <w:color w:val="auto"/>
                <w:spacing w:val="7"/>
                <w:szCs w:val="21"/>
              </w:rPr>
              <w:t>负责人</w:t>
            </w:r>
          </w:p>
        </w:tc>
        <w:tc>
          <w:tcPr>
            <w:tcW w:w="708" w:type="dxa"/>
          </w:tcPr>
          <w:p>
            <w:pPr>
              <w:rPr>
                <w:color w:val="auto"/>
                <w:szCs w:val="21"/>
              </w:rPr>
            </w:pPr>
          </w:p>
        </w:tc>
        <w:tc>
          <w:tcPr>
            <w:tcW w:w="708" w:type="dxa"/>
          </w:tcPr>
          <w:p>
            <w:pPr>
              <w:rPr>
                <w:color w:val="auto"/>
                <w:szCs w:val="21"/>
              </w:rPr>
            </w:pPr>
          </w:p>
        </w:tc>
        <w:tc>
          <w:tcPr>
            <w:tcW w:w="708" w:type="dxa"/>
          </w:tcPr>
          <w:p>
            <w:pPr>
              <w:rPr>
                <w:color w:val="auto"/>
                <w:szCs w:val="21"/>
              </w:rPr>
            </w:pPr>
          </w:p>
        </w:tc>
        <w:tc>
          <w:tcPr>
            <w:tcW w:w="1511" w:type="dxa"/>
          </w:tcPr>
          <w:p>
            <w:pPr>
              <w:rPr>
                <w:color w:val="auto"/>
                <w:szCs w:val="21"/>
              </w:rPr>
            </w:pPr>
          </w:p>
        </w:tc>
        <w:tc>
          <w:tcPr>
            <w:tcW w:w="1275" w:type="dxa"/>
          </w:tcPr>
          <w:p>
            <w:pPr>
              <w:rPr>
                <w:color w:val="auto"/>
                <w:szCs w:val="21"/>
              </w:rPr>
            </w:pPr>
          </w:p>
        </w:tc>
        <w:tc>
          <w:tcPr>
            <w:tcW w:w="709" w:type="dxa"/>
          </w:tcPr>
          <w:p>
            <w:pPr>
              <w:rPr>
                <w:color w:val="auto"/>
                <w:szCs w:val="21"/>
              </w:rPr>
            </w:pPr>
          </w:p>
        </w:tc>
        <w:tc>
          <w:tcPr>
            <w:tcW w:w="708" w:type="dxa"/>
          </w:tcPr>
          <w:p>
            <w:pPr>
              <w:rPr>
                <w:color w:val="auto"/>
                <w:szCs w:val="21"/>
              </w:rPr>
            </w:pPr>
          </w:p>
        </w:tc>
        <w:tc>
          <w:tcPr>
            <w:tcW w:w="713" w:type="dxa"/>
          </w:tcPr>
          <w:p>
            <w:pPr>
              <w:rPr>
                <w:color w:val="auto"/>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1516" w:type="dxa"/>
          </w:tcPr>
          <w:p>
            <w:pPr>
              <w:spacing w:before="234" w:line="228" w:lineRule="auto"/>
              <w:ind w:firstLine="344"/>
              <w:rPr>
                <w:rFonts w:ascii="宋体" w:hAnsi="宋体" w:cs="宋体"/>
                <w:color w:val="auto"/>
                <w:szCs w:val="21"/>
              </w:rPr>
            </w:pPr>
            <w:r>
              <w:rPr>
                <w:rFonts w:hint="eastAsia" w:ascii="宋体" w:hAnsi="宋体" w:cs="宋体"/>
                <w:color w:val="auto"/>
                <w:spacing w:val="7"/>
                <w:szCs w:val="21"/>
              </w:rPr>
              <w:t>项目组成员</w:t>
            </w:r>
          </w:p>
        </w:tc>
        <w:tc>
          <w:tcPr>
            <w:tcW w:w="708" w:type="dxa"/>
          </w:tcPr>
          <w:p>
            <w:pPr>
              <w:rPr>
                <w:color w:val="auto"/>
                <w:szCs w:val="21"/>
              </w:rPr>
            </w:pPr>
          </w:p>
        </w:tc>
        <w:tc>
          <w:tcPr>
            <w:tcW w:w="708" w:type="dxa"/>
          </w:tcPr>
          <w:p>
            <w:pPr>
              <w:rPr>
                <w:color w:val="auto"/>
                <w:szCs w:val="21"/>
              </w:rPr>
            </w:pPr>
          </w:p>
        </w:tc>
        <w:tc>
          <w:tcPr>
            <w:tcW w:w="708" w:type="dxa"/>
          </w:tcPr>
          <w:p>
            <w:pPr>
              <w:rPr>
                <w:color w:val="auto"/>
                <w:szCs w:val="21"/>
              </w:rPr>
            </w:pPr>
          </w:p>
        </w:tc>
        <w:tc>
          <w:tcPr>
            <w:tcW w:w="1511" w:type="dxa"/>
          </w:tcPr>
          <w:p>
            <w:pPr>
              <w:rPr>
                <w:color w:val="auto"/>
                <w:szCs w:val="21"/>
              </w:rPr>
            </w:pPr>
          </w:p>
        </w:tc>
        <w:tc>
          <w:tcPr>
            <w:tcW w:w="1275" w:type="dxa"/>
          </w:tcPr>
          <w:p>
            <w:pPr>
              <w:rPr>
                <w:color w:val="auto"/>
                <w:szCs w:val="21"/>
              </w:rPr>
            </w:pPr>
          </w:p>
        </w:tc>
        <w:tc>
          <w:tcPr>
            <w:tcW w:w="709" w:type="dxa"/>
          </w:tcPr>
          <w:p>
            <w:pPr>
              <w:rPr>
                <w:color w:val="auto"/>
                <w:szCs w:val="21"/>
              </w:rPr>
            </w:pPr>
          </w:p>
        </w:tc>
        <w:tc>
          <w:tcPr>
            <w:tcW w:w="708" w:type="dxa"/>
          </w:tcPr>
          <w:p>
            <w:pPr>
              <w:rPr>
                <w:color w:val="auto"/>
                <w:szCs w:val="21"/>
              </w:rPr>
            </w:pPr>
          </w:p>
        </w:tc>
        <w:tc>
          <w:tcPr>
            <w:tcW w:w="713" w:type="dxa"/>
          </w:tcPr>
          <w:p>
            <w:pPr>
              <w:rPr>
                <w:color w:val="auto"/>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1516" w:type="dxa"/>
          </w:tcPr>
          <w:p>
            <w:pPr>
              <w:spacing w:before="234" w:line="228" w:lineRule="auto"/>
              <w:jc w:val="center"/>
              <w:rPr>
                <w:rFonts w:ascii="宋体" w:hAnsi="宋体" w:cs="宋体"/>
                <w:color w:val="auto"/>
                <w:spacing w:val="7"/>
                <w:szCs w:val="21"/>
              </w:rPr>
            </w:pPr>
            <w:r>
              <w:rPr>
                <w:rFonts w:ascii="宋体" w:hAnsi="宋体" w:cs="宋体"/>
                <w:color w:val="auto"/>
                <w:spacing w:val="4"/>
                <w:szCs w:val="21"/>
              </w:rPr>
              <w:t>……</w:t>
            </w:r>
          </w:p>
        </w:tc>
        <w:tc>
          <w:tcPr>
            <w:tcW w:w="708" w:type="dxa"/>
          </w:tcPr>
          <w:p>
            <w:pPr>
              <w:rPr>
                <w:color w:val="auto"/>
                <w:szCs w:val="21"/>
              </w:rPr>
            </w:pPr>
          </w:p>
        </w:tc>
        <w:tc>
          <w:tcPr>
            <w:tcW w:w="708" w:type="dxa"/>
          </w:tcPr>
          <w:p>
            <w:pPr>
              <w:rPr>
                <w:color w:val="auto"/>
                <w:szCs w:val="21"/>
              </w:rPr>
            </w:pPr>
          </w:p>
        </w:tc>
        <w:tc>
          <w:tcPr>
            <w:tcW w:w="708" w:type="dxa"/>
          </w:tcPr>
          <w:p>
            <w:pPr>
              <w:rPr>
                <w:color w:val="auto"/>
                <w:szCs w:val="21"/>
              </w:rPr>
            </w:pPr>
          </w:p>
        </w:tc>
        <w:tc>
          <w:tcPr>
            <w:tcW w:w="1511" w:type="dxa"/>
          </w:tcPr>
          <w:p>
            <w:pPr>
              <w:rPr>
                <w:color w:val="auto"/>
                <w:szCs w:val="21"/>
              </w:rPr>
            </w:pPr>
          </w:p>
        </w:tc>
        <w:tc>
          <w:tcPr>
            <w:tcW w:w="1275" w:type="dxa"/>
          </w:tcPr>
          <w:p>
            <w:pPr>
              <w:rPr>
                <w:color w:val="auto"/>
                <w:szCs w:val="21"/>
              </w:rPr>
            </w:pPr>
          </w:p>
        </w:tc>
        <w:tc>
          <w:tcPr>
            <w:tcW w:w="709" w:type="dxa"/>
          </w:tcPr>
          <w:p>
            <w:pPr>
              <w:rPr>
                <w:color w:val="auto"/>
                <w:szCs w:val="21"/>
              </w:rPr>
            </w:pPr>
          </w:p>
        </w:tc>
        <w:tc>
          <w:tcPr>
            <w:tcW w:w="708" w:type="dxa"/>
          </w:tcPr>
          <w:p>
            <w:pPr>
              <w:rPr>
                <w:color w:val="auto"/>
                <w:szCs w:val="21"/>
              </w:rPr>
            </w:pPr>
          </w:p>
        </w:tc>
        <w:tc>
          <w:tcPr>
            <w:tcW w:w="713" w:type="dxa"/>
          </w:tcPr>
          <w:p>
            <w:pPr>
              <w:rPr>
                <w:color w:val="auto"/>
                <w:szCs w:val="21"/>
              </w:rPr>
            </w:pPr>
          </w:p>
        </w:tc>
      </w:tr>
    </w:tbl>
    <w:p>
      <w:pPr>
        <w:rPr>
          <w:color w:val="auto"/>
        </w:rPr>
      </w:pPr>
    </w:p>
    <w:p>
      <w:pPr>
        <w:rPr>
          <w:color w:val="auto"/>
        </w:rPr>
        <w:sectPr>
          <w:footerReference r:id="rId12" w:type="default"/>
          <w:pgSz w:w="11906" w:h="16838"/>
          <w:pgMar w:top="1134" w:right="1134" w:bottom="1134" w:left="1134" w:header="680" w:footer="680" w:gutter="0"/>
          <w:cols w:space="720" w:num="1"/>
        </w:sectPr>
      </w:pPr>
    </w:p>
    <w:p>
      <w:pPr>
        <w:jc w:val="center"/>
        <w:rPr>
          <w:rFonts w:ascii="宋体" w:hAnsi="宋体" w:cs="宋体"/>
          <w:b/>
          <w:bCs/>
          <w:color w:val="auto"/>
          <w:sz w:val="44"/>
          <w:szCs w:val="44"/>
        </w:rPr>
      </w:pPr>
      <w:r>
        <w:rPr>
          <w:rFonts w:hint="eastAsia" w:ascii="宋体" w:hAnsi="宋体" w:cs="宋体"/>
          <w:b/>
          <w:bCs/>
          <w:color w:val="auto"/>
          <w:sz w:val="44"/>
          <w:szCs w:val="44"/>
        </w:rPr>
        <w:t>盐城市大丰区招标采购供应商承诺书</w:t>
      </w:r>
    </w:p>
    <w:p>
      <w:pPr>
        <w:spacing w:line="400" w:lineRule="exact"/>
        <w:ind w:firstLine="600" w:firstLineChars="200"/>
        <w:rPr>
          <w:color w:val="auto"/>
          <w:sz w:val="30"/>
          <w:szCs w:val="30"/>
        </w:rPr>
      </w:pPr>
    </w:p>
    <w:p>
      <w:pPr>
        <w:spacing w:line="480" w:lineRule="exact"/>
        <w:ind w:firstLine="420" w:firstLineChars="200"/>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为营造公开、公平、公正、诚实守信的招标采购交易环境，树立诚信守法的投标人形象，本单位参加招标采购项目</w:t>
      </w:r>
      <w:r>
        <w:rPr>
          <w:rFonts w:hint="eastAsia" w:cs="仿宋" w:asciiTheme="minorEastAsia" w:hAnsiTheme="minorEastAsia" w:eastAsiaTheme="minorEastAsia"/>
          <w:color w:val="auto"/>
          <w:szCs w:val="21"/>
          <w:u w:val="single"/>
        </w:rPr>
        <w:t xml:space="preserve">：                                       </w:t>
      </w:r>
      <w:r>
        <w:rPr>
          <w:rFonts w:hint="eastAsia" w:cs="仿宋" w:asciiTheme="minorEastAsia" w:hAnsiTheme="minorEastAsia" w:eastAsiaTheme="minorEastAsia"/>
          <w:color w:val="auto"/>
          <w:szCs w:val="21"/>
        </w:rPr>
        <w:t>的招标采购活动，本人代表本单位作出以下承诺：</w:t>
      </w:r>
    </w:p>
    <w:p>
      <w:pPr>
        <w:spacing w:line="480" w:lineRule="exact"/>
        <w:ind w:firstLine="420" w:firstLineChars="200"/>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pPr>
        <w:spacing w:line="480" w:lineRule="exact"/>
        <w:ind w:firstLine="420" w:firstLineChars="200"/>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（二）本单位参加投标活动前三年内，在经营活动中没有重大违法记录，重大违法记录是指因违法经营受到刑事处罚或者责令停产停业、吊销许可证或者执照、200万元以上罚款等行政处罚；</w:t>
      </w:r>
    </w:p>
    <w:p>
      <w:pPr>
        <w:spacing w:line="480" w:lineRule="exact"/>
        <w:ind w:firstLine="420" w:firstLineChars="200"/>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 xml:space="preserve">（三）严格依照国家和省、市关于招标采购的法律、法规、规章、规范性文件，参加招标采购的投标活动；积极履行社会责任，促进廉政建设； </w:t>
      </w:r>
    </w:p>
    <w:p>
      <w:pPr>
        <w:spacing w:line="480" w:lineRule="exact"/>
        <w:rPr>
          <w:rFonts w:cs="仿宋" w:asciiTheme="minorEastAsia" w:hAnsiTheme="minorEastAsia" w:eastAsiaTheme="minorEastAsia"/>
          <w:color w:val="auto"/>
          <w:szCs w:val="21"/>
        </w:rPr>
      </w:pPr>
      <w:r>
        <w:rPr>
          <w:rFonts w:hint="eastAsia" w:cs="宋体" w:asciiTheme="minorEastAsia" w:hAnsiTheme="minorEastAsia" w:eastAsiaTheme="minorEastAsia"/>
          <w:color w:val="auto"/>
          <w:szCs w:val="21"/>
        </w:rPr>
        <w:t> </w:t>
      </w:r>
      <w:r>
        <w:rPr>
          <w:rFonts w:hint="eastAsia" w:cs="仿宋" w:asciiTheme="minorEastAsia" w:hAnsiTheme="minorEastAsia" w:eastAsiaTheme="minorEastAsia"/>
          <w:color w:val="auto"/>
          <w:szCs w:val="21"/>
        </w:rPr>
        <w:t xml:space="preserve">  （四）严格遵守即时信息公示规定，及时维护和更新公共资源交易平台中与本单位相关的信息；</w:t>
      </w:r>
    </w:p>
    <w:p>
      <w:pPr>
        <w:spacing w:line="480" w:lineRule="exact"/>
        <w:ind w:firstLine="367"/>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五）自我约束、自我管理，守合同、重信用，自觉维护招标采购交易的良好秩序，与参与本次招标采购活动的其他供应商不存在直接控股或管理关系，不参与围标串标、弄虚作假、骗取中标、干扰评标、违约毁约等行为；</w:t>
      </w:r>
    </w:p>
    <w:p>
      <w:pPr>
        <w:spacing w:line="480" w:lineRule="exact"/>
        <w:ind w:firstLine="367"/>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（六）自觉接受政府、行业组织、社会公众、新闻舆论的监督；</w:t>
      </w:r>
    </w:p>
    <w:p>
      <w:pPr>
        <w:spacing w:line="480" w:lineRule="exact"/>
        <w:ind w:firstLine="367"/>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（七）本单位自愿接受监督管理机构和有关行政监督部门的依法检查。如发生违法违规或不良失信行为，自愿接受监督管理机构和有关行政监督部门依法给予的行政处罚（处理），并依法承担相应责任；</w:t>
      </w:r>
    </w:p>
    <w:p>
      <w:pPr>
        <w:spacing w:line="480" w:lineRule="exact"/>
        <w:ind w:firstLine="367"/>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（八）本人已认真阅读了上述承诺，并向本单位员工作了宣传教育。</w:t>
      </w:r>
    </w:p>
    <w:p>
      <w:pPr>
        <w:spacing w:line="340" w:lineRule="exact"/>
        <w:ind w:firstLine="420" w:firstLineChars="200"/>
        <w:rPr>
          <w:rFonts w:cs="仿宋" w:asciiTheme="minorEastAsia" w:hAnsiTheme="minorEastAsia" w:eastAsiaTheme="minorEastAsia"/>
          <w:color w:val="auto"/>
          <w:szCs w:val="21"/>
        </w:rPr>
      </w:pPr>
    </w:p>
    <w:p>
      <w:pPr>
        <w:spacing w:line="340" w:lineRule="exact"/>
        <w:ind w:firstLine="420" w:firstLineChars="200"/>
        <w:rPr>
          <w:rFonts w:cs="仿宋" w:asciiTheme="minorEastAsia" w:hAnsiTheme="minorEastAsia" w:eastAsiaTheme="minorEastAsia"/>
          <w:color w:val="auto"/>
          <w:szCs w:val="21"/>
        </w:rPr>
      </w:pPr>
    </w:p>
    <w:p>
      <w:pPr>
        <w:spacing w:line="340" w:lineRule="exact"/>
        <w:ind w:firstLine="420" w:firstLineChars="200"/>
        <w:rPr>
          <w:rFonts w:cs="仿宋" w:asciiTheme="minorEastAsia" w:hAnsiTheme="minorEastAsia" w:eastAsiaTheme="minorEastAsia"/>
          <w:color w:val="auto"/>
          <w:szCs w:val="21"/>
        </w:rPr>
      </w:pPr>
      <w:r>
        <w:rPr>
          <w:rFonts w:hint="eastAsia" w:cs="仿宋" w:asciiTheme="minorEastAsia" w:hAnsiTheme="minorEastAsia" w:eastAsiaTheme="minorEastAsia"/>
          <w:color w:val="auto"/>
          <w:szCs w:val="21"/>
        </w:rPr>
        <w:t>法定代表人签名：                      单位名称（盖章）：</w:t>
      </w:r>
    </w:p>
    <w:p>
      <w:pPr>
        <w:spacing w:line="340" w:lineRule="exact"/>
        <w:rPr>
          <w:rFonts w:cs="仿宋" w:asciiTheme="minorEastAsia" w:hAnsiTheme="minorEastAsia" w:eastAsiaTheme="minorEastAsia"/>
          <w:color w:val="auto"/>
          <w:szCs w:val="21"/>
        </w:rPr>
      </w:pPr>
    </w:p>
    <w:p>
      <w:pPr>
        <w:pStyle w:val="25"/>
        <w:snapToGrid w:val="0"/>
        <w:spacing w:line="480" w:lineRule="exact"/>
        <w:jc w:val="right"/>
        <w:rPr>
          <w:rFonts w:cs="Angsana New" w:asciiTheme="minorEastAsia" w:hAnsiTheme="minorEastAsia" w:eastAsiaTheme="minorEastAsia"/>
          <w:color w:val="auto"/>
          <w:sz w:val="21"/>
          <w:szCs w:val="21"/>
          <w:u w:val="single"/>
          <w:lang w:bidi="th-TH"/>
        </w:rPr>
      </w:pPr>
      <w:r>
        <w:rPr>
          <w:rFonts w:hint="eastAsia" w:cs="仿宋" w:asciiTheme="minorEastAsia" w:hAnsiTheme="minorEastAsia" w:eastAsiaTheme="minorEastAsia"/>
          <w:color w:val="auto"/>
          <w:sz w:val="21"/>
          <w:szCs w:val="21"/>
        </w:rPr>
        <w:t>年    月    日</w:t>
      </w:r>
    </w:p>
    <w:p>
      <w:pPr>
        <w:pStyle w:val="25"/>
        <w:snapToGrid w:val="0"/>
        <w:spacing w:line="480" w:lineRule="exact"/>
        <w:jc w:val="left"/>
        <w:rPr>
          <w:rFonts w:cs="Angsana New" w:asciiTheme="minorEastAsia" w:hAnsiTheme="minorEastAsia" w:eastAsiaTheme="minorEastAsia"/>
          <w:color w:val="auto"/>
          <w:sz w:val="21"/>
          <w:szCs w:val="21"/>
          <w:u w:val="single"/>
          <w:lang w:bidi="th-TH"/>
        </w:rPr>
      </w:pPr>
    </w:p>
    <w:p>
      <w:pPr>
        <w:rPr>
          <w:rFonts w:asciiTheme="minorEastAsia" w:hAnsiTheme="minorEastAsia" w:eastAsiaTheme="minorEastAsia"/>
          <w:b/>
          <w:color w:val="auto"/>
          <w:szCs w:val="21"/>
        </w:rPr>
      </w:pPr>
    </w:p>
    <w:p>
      <w:pPr>
        <w:rPr>
          <w:rFonts w:asciiTheme="minorEastAsia" w:hAnsiTheme="minorEastAsia" w:eastAsiaTheme="minorEastAsia"/>
          <w:color w:val="auto"/>
          <w:szCs w:val="21"/>
        </w:rPr>
      </w:pPr>
    </w:p>
    <w:sectPr>
      <w:footerReference r:id="rId13" w:type="default"/>
      <w:pgSz w:w="11906" w:h="16838"/>
      <w:pgMar w:top="1440" w:right="1080" w:bottom="1440" w:left="108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Impact">
    <w:panose1 w:val="020B0806030902050204"/>
    <w:charset w:val="00"/>
    <w:family w:val="swiss"/>
    <w:pitch w:val="default"/>
    <w:sig w:usb0="00000287" w:usb1="00000000" w:usb2="00000000" w:usb3="00000000" w:csb0="2000009F" w:csb1="DFD70000"/>
  </w:font>
  <w:font w:name="Arial Unicode MS">
    <w:panose1 w:val="020B0604020202020204"/>
    <w:charset w:val="86"/>
    <w:family w:val="swiss"/>
    <w:pitch w:val="default"/>
    <w:sig w:usb0="FFFFFFFF" w:usb1="E9FFFFFF" w:usb2="0000003F" w:usb3="00000000" w:csb0="603F01FF" w:csb1="FFFF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Angsana New">
    <w:panose1 w:val="02020603050405020304"/>
    <w:charset w:val="00"/>
    <w:family w:val="roman"/>
    <w:pitch w:val="default"/>
    <w:sig w:usb0="81000003" w:usb1="00000000" w:usb2="00000000" w:usb3="00000000" w:csb0="00010001" w:csb1="00000000"/>
  </w:font>
  <w:font w:name="楷体">
    <w:panose1 w:val="02010609060101010101"/>
    <w:charset w:val="86"/>
    <w:family w:val="auto"/>
    <w:pitch w:val="default"/>
    <w:sig w:usb0="800002BF" w:usb1="38CF7CFA" w:usb2="00000016" w:usb3="00000000" w:csb0="00040001" w:csb1="0000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66372"/>
      <w:docPartObj>
        <w:docPartGallery w:val="autotext"/>
      </w:docPartObj>
    </w:sdtPr>
    <w:sdtContent>
      <w:p>
        <w:pPr>
          <w:pStyle w:val="30"/>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3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snapToGrid w:val="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QH8aY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q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QH8aY5AgAAcQQAAA4AAAAAAAAAAQAgAAAAHwEAAGRycy9lMm9Eb2Mu&#10;eG1sUEsFBgAAAAAGAAYAWQEAAMoFA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PAGE   \* MERGEFORMAT</w:instrText>
    </w:r>
    <w:r>
      <w:fldChar w:fldCharType="separate"/>
    </w:r>
    <w:r>
      <w:rPr>
        <w:lang w:val="zh-CN"/>
      </w:rPr>
      <w:t>59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66373"/>
      <w:docPartObj>
        <w:docPartGallery w:val="autotext"/>
      </w:docPartObj>
    </w:sdtPr>
    <w:sdtContent>
      <w:p>
        <w:pPr>
          <w:pStyle w:val="30"/>
          <w:jc w:val="center"/>
        </w:pPr>
        <w:r>
          <w:fldChar w:fldCharType="begin"/>
        </w:r>
        <w:r>
          <w:instrText xml:space="preserve"> PAGE   \* MERGEFORMAT </w:instrText>
        </w:r>
        <w:r>
          <w:fldChar w:fldCharType="separate"/>
        </w:r>
        <w:r>
          <w:rPr>
            <w:lang w:val="zh-CN"/>
          </w:rPr>
          <w:t>44</w:t>
        </w:r>
        <w:r>
          <w:rPr>
            <w:lang w:val="zh-CN"/>
          </w:rPr>
          <w:fldChar w:fldCharType="end"/>
        </w:r>
      </w:p>
    </w:sdtContent>
  </w:sdt>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snapToGrid w:val="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N+E4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dYwVaRp6mEipKz1aod23&#10;Pc+9Kc6g6Uw3Kd7yTY1StsyHB+YwGigfjyfcYymlQUrTW5RUxn3513mMR8fgpaTBqOVU42VRIt9r&#10;dBKAYTDcYOwHQx/VncHsojmoJZm44IIczNIZ9RkvahVzwMU0R6achsG8C92440VysVqloKN19aHq&#10;LmAOLQtbvbM8polSebs6BkibFI8CdaqgU3GDSUw9619NHPU/9ynq8U+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5w34TgCAABxBAAADgAAAAAAAAABACAAAAAfAQAAZHJzL2Uyb0RvYy54&#10;bWxQSwUGAAAAAAYABgBZAQAAyQU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snapToGrid w:val="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34oms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N+KJrOgIAAHEEAAAOAAAAAAAAAAEAIAAAAB8BAABkcnMvZTJvRG9j&#10;LnhtbFBLBQYAAAAABgAGAFkBAADLBQ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snapToGrid w:val="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vgJmo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KvgJmo5AgAAcQQAAA4AAAAAAAAAAQAgAAAAHwEAAGRycy9lMm9Eb2Mu&#10;eG1sUEsFBgAAAAAGAAYAWQEAAMoFA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snapToGrid w:val="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SbC86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vr8b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KUmwvOgIAAHEEAAAOAAAAAAAAAAEAIAAAAB8BAABkcnMvZTJvRG9j&#10;LnhtbFBLBQYAAAAABgAGAFkBAADLBQ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snapToGrid w:val="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mEs+A5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OmEs+A5AgAAcQQAAA4AAAAAAAAAAQAgAAAAHwEAAGRycy9lMm9Eb2Mu&#10;eG1sUEsFBgAAAAAGAAYAWQEAAMoFA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snapToGrid w:val="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g2+aU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q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Mg2+aU5AgAAcQQAAA4AAAAAAAAAAQAgAAAAHwEAAGRycy9lMm9Eb2Mu&#10;eG1sUEsFBgAAAAAGAAYAWQEAAMoFA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snapToGrid w:val="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1u+M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pbW74zgCAABxBAAADgAAAAAAAAABACAAAAAfAQAAZHJzL2Uyb0RvYy54&#10;bWxQSwUGAAAAAAYABgBZAQAAyQU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57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4YTFmYTE0ZGJmOWU0MWM3NmI0ZDQwYjc5OGRjMmMifQ=="/>
  </w:docVars>
  <w:rsids>
    <w:rsidRoot w:val="00E24710"/>
    <w:rsid w:val="000038AC"/>
    <w:rsid w:val="000570EE"/>
    <w:rsid w:val="000D102E"/>
    <w:rsid w:val="001755D5"/>
    <w:rsid w:val="0018766D"/>
    <w:rsid w:val="001F57FD"/>
    <w:rsid w:val="002024C6"/>
    <w:rsid w:val="002C2002"/>
    <w:rsid w:val="0032608D"/>
    <w:rsid w:val="003B0319"/>
    <w:rsid w:val="00582A0A"/>
    <w:rsid w:val="005A0F17"/>
    <w:rsid w:val="005D006C"/>
    <w:rsid w:val="006B5521"/>
    <w:rsid w:val="006D6255"/>
    <w:rsid w:val="007C530A"/>
    <w:rsid w:val="008559A9"/>
    <w:rsid w:val="009321EB"/>
    <w:rsid w:val="00946627"/>
    <w:rsid w:val="00AF2AD5"/>
    <w:rsid w:val="00B263D3"/>
    <w:rsid w:val="00B26EE0"/>
    <w:rsid w:val="00B70A7F"/>
    <w:rsid w:val="00BC780A"/>
    <w:rsid w:val="00C248DA"/>
    <w:rsid w:val="00DF616E"/>
    <w:rsid w:val="00E0764F"/>
    <w:rsid w:val="00E24710"/>
    <w:rsid w:val="00E41B46"/>
    <w:rsid w:val="00EC0D99"/>
    <w:rsid w:val="04293179"/>
    <w:rsid w:val="0A0F4BBF"/>
    <w:rsid w:val="0C13439C"/>
    <w:rsid w:val="15966195"/>
    <w:rsid w:val="1723614E"/>
    <w:rsid w:val="1BB57678"/>
    <w:rsid w:val="23B720F8"/>
    <w:rsid w:val="25292B82"/>
    <w:rsid w:val="29FB2613"/>
    <w:rsid w:val="2AA84A05"/>
    <w:rsid w:val="2AD52BB6"/>
    <w:rsid w:val="38294365"/>
    <w:rsid w:val="45B147A1"/>
    <w:rsid w:val="48541414"/>
    <w:rsid w:val="4D875DE8"/>
    <w:rsid w:val="4E6600F3"/>
    <w:rsid w:val="58405511"/>
    <w:rsid w:val="591E0448"/>
    <w:rsid w:val="6C4C46A0"/>
    <w:rsid w:val="75754132"/>
    <w:rsid w:val="79454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qFormat="1" w:uiPriority="99"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8"/>
    <w:qFormat/>
    <w:uiPriority w:val="0"/>
    <w:pPr>
      <w:keepNext/>
      <w:keepLines/>
      <w:spacing w:before="340" w:after="330" w:line="576" w:lineRule="auto"/>
      <w:jc w:val="center"/>
      <w:outlineLvl w:val="0"/>
    </w:pPr>
    <w:rPr>
      <w:b/>
      <w:bCs/>
      <w:kern w:val="44"/>
      <w:sz w:val="44"/>
      <w:szCs w:val="44"/>
    </w:rPr>
  </w:style>
  <w:style w:type="paragraph" w:styleId="4">
    <w:name w:val="heading 2"/>
    <w:basedOn w:val="1"/>
    <w:next w:val="1"/>
    <w:link w:val="59"/>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68"/>
    <w:qFormat/>
    <w:uiPriority w:val="99"/>
    <w:pPr>
      <w:keepNext/>
      <w:keepLines/>
      <w:spacing w:before="20" w:after="20" w:line="415" w:lineRule="auto"/>
      <w:ind w:firstLine="137" w:firstLineChars="49"/>
      <w:outlineLvl w:val="2"/>
    </w:pPr>
    <w:rPr>
      <w:rFonts w:hAnsi="黑体" w:eastAsia="黑体"/>
      <w:sz w:val="24"/>
      <w:szCs w:val="20"/>
    </w:rPr>
  </w:style>
  <w:style w:type="paragraph" w:styleId="6">
    <w:name w:val="heading 4"/>
    <w:basedOn w:val="1"/>
    <w:next w:val="1"/>
    <w:link w:val="69"/>
    <w:qFormat/>
    <w:uiPriority w:val="99"/>
    <w:pPr>
      <w:keepNext/>
      <w:keepLines/>
      <w:spacing w:before="280" w:after="290" w:line="374" w:lineRule="auto"/>
      <w:outlineLvl w:val="3"/>
    </w:pPr>
    <w:rPr>
      <w:rFonts w:ascii="Cambria" w:hAnsi="Cambria"/>
      <w:b/>
      <w:sz w:val="28"/>
      <w:szCs w:val="20"/>
    </w:rPr>
  </w:style>
  <w:style w:type="paragraph" w:styleId="7">
    <w:name w:val="heading 5"/>
    <w:basedOn w:val="1"/>
    <w:next w:val="1"/>
    <w:link w:val="62"/>
    <w:qFormat/>
    <w:uiPriority w:val="0"/>
    <w:pPr>
      <w:keepNext/>
      <w:keepLines/>
      <w:spacing w:before="280" w:after="290" w:line="376" w:lineRule="auto"/>
      <w:outlineLvl w:val="4"/>
    </w:pPr>
    <w:rPr>
      <w:b/>
      <w:bCs/>
      <w:sz w:val="28"/>
      <w:szCs w:val="28"/>
    </w:rPr>
  </w:style>
  <w:style w:type="paragraph" w:styleId="8">
    <w:name w:val="heading 6"/>
    <w:basedOn w:val="1"/>
    <w:next w:val="1"/>
    <w:link w:val="63"/>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9">
    <w:name w:val="heading 7"/>
    <w:basedOn w:val="1"/>
    <w:next w:val="1"/>
    <w:link w:val="64"/>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10">
    <w:name w:val="heading 8"/>
    <w:basedOn w:val="1"/>
    <w:next w:val="1"/>
    <w:link w:val="65"/>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1">
    <w:name w:val="heading 9"/>
    <w:basedOn w:val="1"/>
    <w:next w:val="1"/>
    <w:link w:val="66"/>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7"/>
    <w:qFormat/>
    <w:uiPriority w:val="99"/>
    <w:pPr>
      <w:spacing w:after="120"/>
    </w:pPr>
  </w:style>
  <w:style w:type="paragraph" w:styleId="12">
    <w:name w:val="toc 7"/>
    <w:basedOn w:val="1"/>
    <w:next w:val="1"/>
    <w:qFormat/>
    <w:uiPriority w:val="39"/>
    <w:pPr>
      <w:ind w:left="2520" w:leftChars="1200"/>
    </w:pPr>
  </w:style>
  <w:style w:type="paragraph" w:styleId="13">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4">
    <w:name w:val="Normal Indent"/>
    <w:basedOn w:val="1"/>
    <w:link w:val="70"/>
    <w:qFormat/>
    <w:uiPriority w:val="0"/>
    <w:pPr>
      <w:ind w:firstLine="420"/>
    </w:pPr>
    <w:rPr>
      <w:b/>
      <w:sz w:val="24"/>
      <w:szCs w:val="20"/>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71"/>
    <w:qFormat/>
    <w:uiPriority w:val="0"/>
    <w:pPr>
      <w:shd w:val="clear" w:color="auto" w:fill="000080"/>
    </w:pPr>
  </w:style>
  <w:style w:type="paragraph" w:styleId="17">
    <w:name w:val="annotation text"/>
    <w:basedOn w:val="1"/>
    <w:link w:val="73"/>
    <w:unhideWhenUsed/>
    <w:qFormat/>
    <w:uiPriority w:val="99"/>
    <w:pPr>
      <w:jc w:val="left"/>
    </w:pPr>
    <w:rPr>
      <w:szCs w:val="20"/>
    </w:rPr>
  </w:style>
  <w:style w:type="paragraph" w:styleId="18">
    <w:name w:val="Body Text 3"/>
    <w:basedOn w:val="1"/>
    <w:link w:val="74"/>
    <w:qFormat/>
    <w:uiPriority w:val="0"/>
    <w:rPr>
      <w:rFonts w:ascii="宋体"/>
      <w:sz w:val="24"/>
      <w:szCs w:val="20"/>
    </w:rPr>
  </w:style>
  <w:style w:type="paragraph" w:styleId="19">
    <w:name w:val="Body Text Indent"/>
    <w:basedOn w:val="1"/>
    <w:link w:val="75"/>
    <w:qFormat/>
    <w:uiPriority w:val="0"/>
    <w:pPr>
      <w:spacing w:line="360" w:lineRule="auto"/>
      <w:ind w:firstLine="420"/>
    </w:pPr>
    <w:rPr>
      <w:rFonts w:ascii="宋体"/>
      <w:sz w:val="24"/>
      <w:szCs w:val="20"/>
    </w:rPr>
  </w:style>
  <w:style w:type="paragraph" w:styleId="20">
    <w:name w:val="List Number 3"/>
    <w:basedOn w:val="1"/>
    <w:uiPriority w:val="0"/>
    <w:pPr>
      <w:tabs>
        <w:tab w:val="left" w:pos="1200"/>
      </w:tabs>
    </w:pPr>
  </w:style>
  <w:style w:type="paragraph" w:styleId="21">
    <w:name w:val="List 2"/>
    <w:basedOn w:val="1"/>
    <w:qFormat/>
    <w:uiPriority w:val="0"/>
    <w:pPr>
      <w:ind w:left="100" w:leftChars="200" w:hanging="200" w:hangingChars="200"/>
    </w:pPr>
    <w:rPr>
      <w:sz w:val="28"/>
    </w:rPr>
  </w:style>
  <w:style w:type="paragraph" w:styleId="22">
    <w:name w:val="Block Text"/>
    <w:basedOn w:val="1"/>
    <w:qFormat/>
    <w:uiPriority w:val="0"/>
    <w:pPr>
      <w:widowControl/>
      <w:ind w:left="268" w:leftChars="134" w:right="-24" w:rightChars="-12" w:firstLine="473" w:firstLineChars="225"/>
      <w:jc w:val="left"/>
    </w:pPr>
    <w:rPr>
      <w:rFonts w:ascii="宋体" w:hAnsi="宋体" w:cs="宋体"/>
      <w:bCs/>
      <w:kern w:val="0"/>
    </w:rPr>
  </w:style>
  <w:style w:type="paragraph" w:styleId="23">
    <w:name w:val="toc 5"/>
    <w:basedOn w:val="1"/>
    <w:next w:val="1"/>
    <w:qFormat/>
    <w:uiPriority w:val="39"/>
    <w:pPr>
      <w:ind w:left="1680" w:leftChars="800"/>
    </w:pPr>
  </w:style>
  <w:style w:type="paragraph" w:styleId="24">
    <w:name w:val="toc 3"/>
    <w:basedOn w:val="1"/>
    <w:next w:val="1"/>
    <w:qFormat/>
    <w:uiPriority w:val="39"/>
    <w:pPr>
      <w:ind w:left="840" w:leftChars="400"/>
      <w:jc w:val="left"/>
    </w:pPr>
  </w:style>
  <w:style w:type="paragraph" w:styleId="25">
    <w:name w:val="Plain Text"/>
    <w:basedOn w:val="1"/>
    <w:link w:val="76"/>
    <w:uiPriority w:val="99"/>
    <w:rPr>
      <w:rFonts w:ascii="宋体" w:hAnsi="Courier New"/>
      <w:sz w:val="28"/>
      <w:szCs w:val="20"/>
    </w:rPr>
  </w:style>
  <w:style w:type="paragraph" w:styleId="26">
    <w:name w:val="toc 8"/>
    <w:basedOn w:val="1"/>
    <w:next w:val="1"/>
    <w:qFormat/>
    <w:uiPriority w:val="39"/>
    <w:pPr>
      <w:ind w:left="2940" w:leftChars="1400"/>
    </w:pPr>
  </w:style>
  <w:style w:type="paragraph" w:styleId="27">
    <w:name w:val="Date"/>
    <w:basedOn w:val="1"/>
    <w:next w:val="1"/>
    <w:link w:val="77"/>
    <w:uiPriority w:val="0"/>
    <w:pPr>
      <w:ind w:left="100" w:leftChars="2500"/>
    </w:pPr>
  </w:style>
  <w:style w:type="paragraph" w:styleId="28">
    <w:name w:val="Body Text Indent 2"/>
    <w:basedOn w:val="1"/>
    <w:link w:val="78"/>
    <w:uiPriority w:val="0"/>
    <w:pPr>
      <w:spacing w:line="420" w:lineRule="exact"/>
      <w:ind w:firstLine="525"/>
    </w:pPr>
    <w:rPr>
      <w:rFonts w:ascii="宋体"/>
      <w:szCs w:val="20"/>
    </w:rPr>
  </w:style>
  <w:style w:type="paragraph" w:styleId="29">
    <w:name w:val="Balloon Text"/>
    <w:basedOn w:val="1"/>
    <w:link w:val="79"/>
    <w:unhideWhenUsed/>
    <w:qFormat/>
    <w:uiPriority w:val="99"/>
    <w:rPr>
      <w:sz w:val="18"/>
      <w:szCs w:val="18"/>
    </w:rPr>
  </w:style>
  <w:style w:type="paragraph" w:styleId="30">
    <w:name w:val="footer"/>
    <w:basedOn w:val="1"/>
    <w:link w:val="81"/>
    <w:qFormat/>
    <w:uiPriority w:val="99"/>
    <w:pPr>
      <w:tabs>
        <w:tab w:val="center" w:pos="4153"/>
        <w:tab w:val="right" w:pos="8306"/>
      </w:tabs>
      <w:snapToGrid w:val="0"/>
      <w:jc w:val="left"/>
    </w:pPr>
    <w:rPr>
      <w:sz w:val="18"/>
      <w:szCs w:val="20"/>
    </w:rPr>
  </w:style>
  <w:style w:type="paragraph" w:styleId="31">
    <w:name w:val="header"/>
    <w:basedOn w:val="1"/>
    <w:link w:val="8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20"/>
    </w:rPr>
  </w:style>
  <w:style w:type="paragraph" w:styleId="32">
    <w:name w:val="toc 1"/>
    <w:basedOn w:val="1"/>
    <w:next w:val="1"/>
    <w:qFormat/>
    <w:uiPriority w:val="39"/>
    <w:pPr>
      <w:jc w:val="left"/>
    </w:pPr>
  </w:style>
  <w:style w:type="paragraph" w:styleId="33">
    <w:name w:val="toc 4"/>
    <w:basedOn w:val="1"/>
    <w:next w:val="1"/>
    <w:qFormat/>
    <w:uiPriority w:val="39"/>
    <w:pPr>
      <w:ind w:left="1260" w:leftChars="600"/>
    </w:pPr>
  </w:style>
  <w:style w:type="paragraph" w:styleId="34">
    <w:name w:val="Subtitle"/>
    <w:basedOn w:val="1"/>
    <w:next w:val="1"/>
    <w:link w:val="84"/>
    <w:qFormat/>
    <w:uiPriority w:val="11"/>
    <w:pPr>
      <w:spacing w:before="240" w:after="60" w:line="312" w:lineRule="auto"/>
      <w:jc w:val="center"/>
      <w:outlineLvl w:val="1"/>
    </w:pPr>
    <w:rPr>
      <w:rFonts w:ascii="Cambria" w:hAnsi="Cambria"/>
      <w:b/>
      <w:bCs/>
      <w:kern w:val="28"/>
      <w:sz w:val="32"/>
      <w:szCs w:val="32"/>
    </w:rPr>
  </w:style>
  <w:style w:type="paragraph" w:styleId="35">
    <w:name w:val="List"/>
    <w:basedOn w:val="1"/>
    <w:qFormat/>
    <w:uiPriority w:val="0"/>
    <w:pPr>
      <w:ind w:left="200" w:hanging="200" w:hangingChars="200"/>
    </w:pPr>
    <w:rPr>
      <w:sz w:val="28"/>
    </w:rPr>
  </w:style>
  <w:style w:type="paragraph" w:styleId="36">
    <w:name w:val="footnote text"/>
    <w:basedOn w:val="1"/>
    <w:link w:val="85"/>
    <w:qFormat/>
    <w:uiPriority w:val="0"/>
    <w:rPr>
      <w:sz w:val="20"/>
      <w:szCs w:val="20"/>
    </w:rPr>
  </w:style>
  <w:style w:type="paragraph" w:styleId="37">
    <w:name w:val="toc 6"/>
    <w:basedOn w:val="1"/>
    <w:next w:val="1"/>
    <w:qFormat/>
    <w:uiPriority w:val="39"/>
    <w:pPr>
      <w:ind w:left="2100" w:leftChars="1000"/>
    </w:pPr>
  </w:style>
  <w:style w:type="paragraph" w:styleId="38">
    <w:name w:val="Body Text Indent 3"/>
    <w:basedOn w:val="1"/>
    <w:link w:val="86"/>
    <w:qFormat/>
    <w:uiPriority w:val="0"/>
    <w:pPr>
      <w:spacing w:after="120"/>
      <w:ind w:left="420" w:leftChars="200"/>
    </w:pPr>
    <w:rPr>
      <w:sz w:val="16"/>
      <w:szCs w:val="16"/>
    </w:rPr>
  </w:style>
  <w:style w:type="paragraph" w:styleId="39">
    <w:name w:val="table of figures"/>
    <w:basedOn w:val="1"/>
    <w:next w:val="1"/>
    <w:qFormat/>
    <w:uiPriority w:val="0"/>
    <w:pPr>
      <w:ind w:left="200" w:leftChars="200" w:hanging="200" w:hangingChars="200"/>
    </w:pPr>
  </w:style>
  <w:style w:type="paragraph" w:styleId="40">
    <w:name w:val="toc 2"/>
    <w:basedOn w:val="1"/>
    <w:next w:val="1"/>
    <w:qFormat/>
    <w:uiPriority w:val="39"/>
    <w:pPr>
      <w:ind w:left="420" w:leftChars="200"/>
      <w:jc w:val="left"/>
    </w:pPr>
  </w:style>
  <w:style w:type="paragraph" w:styleId="41">
    <w:name w:val="toc 9"/>
    <w:basedOn w:val="1"/>
    <w:next w:val="1"/>
    <w:qFormat/>
    <w:uiPriority w:val="39"/>
    <w:pPr>
      <w:ind w:left="3360" w:leftChars="1600"/>
    </w:pPr>
  </w:style>
  <w:style w:type="paragraph" w:styleId="42">
    <w:name w:val="Body Text 2"/>
    <w:basedOn w:val="1"/>
    <w:link w:val="87"/>
    <w:qFormat/>
    <w:uiPriority w:val="0"/>
    <w:pPr>
      <w:widowControl/>
      <w:snapToGrid w:val="0"/>
      <w:spacing w:before="50" w:afterLines="50" w:line="400" w:lineRule="exact"/>
      <w:jc w:val="left"/>
    </w:pPr>
    <w:rPr>
      <w:rFonts w:ascii="宋体" w:hAnsi="宋体"/>
      <w:color w:val="000000"/>
      <w:sz w:val="24"/>
    </w:rPr>
  </w:style>
  <w:style w:type="paragraph" w:styleId="43">
    <w:name w:val="List Continue 2"/>
    <w:basedOn w:val="1"/>
    <w:qFormat/>
    <w:uiPriority w:val="0"/>
    <w:pPr>
      <w:spacing w:after="120"/>
      <w:ind w:left="840"/>
    </w:pPr>
  </w:style>
  <w:style w:type="paragraph" w:styleId="4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5">
    <w:name w:val="Title"/>
    <w:basedOn w:val="1"/>
    <w:link w:val="88"/>
    <w:qFormat/>
    <w:uiPriority w:val="10"/>
    <w:pPr>
      <w:adjustRightInd w:val="0"/>
      <w:spacing w:before="240" w:after="60" w:line="420" w:lineRule="atLeast"/>
      <w:jc w:val="center"/>
      <w:textAlignment w:val="baseline"/>
      <w:outlineLvl w:val="0"/>
    </w:pPr>
    <w:rPr>
      <w:rFonts w:ascii="Arial" w:hAnsi="Arial"/>
      <w:b/>
      <w:kern w:val="0"/>
      <w:sz w:val="32"/>
      <w:szCs w:val="20"/>
    </w:rPr>
  </w:style>
  <w:style w:type="paragraph" w:styleId="46">
    <w:name w:val="annotation subject"/>
    <w:basedOn w:val="17"/>
    <w:next w:val="17"/>
    <w:link w:val="89"/>
    <w:qFormat/>
    <w:uiPriority w:val="0"/>
    <w:rPr>
      <w:b/>
      <w:bCs/>
      <w:szCs w:val="24"/>
    </w:rPr>
  </w:style>
  <w:style w:type="paragraph" w:styleId="47">
    <w:name w:val="Body Text First Indent"/>
    <w:basedOn w:val="2"/>
    <w:link w:val="90"/>
    <w:unhideWhenUsed/>
    <w:qFormat/>
    <w:uiPriority w:val="99"/>
    <w:pPr>
      <w:ind w:firstLine="420" w:firstLineChars="100"/>
    </w:pPr>
  </w:style>
  <w:style w:type="table" w:styleId="49">
    <w:name w:val="Table Grid"/>
    <w:basedOn w:val="48"/>
    <w:unhideWhenUsed/>
    <w:qFormat/>
    <w:uiPriority w:val="9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1">
    <w:name w:val="Strong"/>
    <w:qFormat/>
    <w:uiPriority w:val="0"/>
    <w:rPr>
      <w:b/>
      <w:bCs/>
    </w:rPr>
  </w:style>
  <w:style w:type="character" w:styleId="52">
    <w:name w:val="page number"/>
    <w:qFormat/>
    <w:uiPriority w:val="0"/>
  </w:style>
  <w:style w:type="character" w:styleId="53">
    <w:name w:val="FollowedHyperlink"/>
    <w:qFormat/>
    <w:uiPriority w:val="0"/>
    <w:rPr>
      <w:color w:val="800080"/>
      <w:u w:val="none"/>
    </w:rPr>
  </w:style>
  <w:style w:type="character" w:styleId="54">
    <w:name w:val="Emphasis"/>
    <w:qFormat/>
    <w:uiPriority w:val="20"/>
    <w:rPr>
      <w:i/>
      <w:iCs/>
    </w:rPr>
  </w:style>
  <w:style w:type="character" w:styleId="55">
    <w:name w:val="Hyperlink"/>
    <w:qFormat/>
    <w:uiPriority w:val="99"/>
    <w:rPr>
      <w:color w:val="0000FF"/>
      <w:u w:val="none"/>
    </w:rPr>
  </w:style>
  <w:style w:type="character" w:styleId="56">
    <w:name w:val="annotation reference"/>
    <w:qFormat/>
    <w:uiPriority w:val="0"/>
    <w:rPr>
      <w:sz w:val="21"/>
      <w:szCs w:val="21"/>
    </w:rPr>
  </w:style>
  <w:style w:type="character" w:styleId="57">
    <w:name w:val="footnote reference"/>
    <w:qFormat/>
    <w:uiPriority w:val="0"/>
    <w:rPr>
      <w:vertAlign w:val="superscript"/>
    </w:rPr>
  </w:style>
  <w:style w:type="character" w:customStyle="1" w:styleId="58">
    <w:name w:val="标题 1 Char"/>
    <w:basedOn w:val="50"/>
    <w:link w:val="3"/>
    <w:qFormat/>
    <w:uiPriority w:val="0"/>
    <w:rPr>
      <w:rFonts w:ascii="Times New Roman" w:hAnsi="Times New Roman" w:eastAsia="宋体" w:cs="Times New Roman"/>
      <w:b/>
      <w:bCs/>
      <w:kern w:val="44"/>
      <w:sz w:val="44"/>
      <w:szCs w:val="44"/>
    </w:rPr>
  </w:style>
  <w:style w:type="character" w:customStyle="1" w:styleId="59">
    <w:name w:val="标题 2 Char"/>
    <w:basedOn w:val="50"/>
    <w:link w:val="4"/>
    <w:qFormat/>
    <w:uiPriority w:val="0"/>
    <w:rPr>
      <w:rFonts w:ascii="Arial" w:hAnsi="Arial" w:eastAsia="黑体" w:cs="Times New Roman"/>
      <w:b/>
      <w:bCs/>
      <w:sz w:val="32"/>
      <w:szCs w:val="32"/>
    </w:rPr>
  </w:style>
  <w:style w:type="character" w:customStyle="1" w:styleId="60">
    <w:name w:val="标题 3 Char"/>
    <w:basedOn w:val="50"/>
    <w:link w:val="5"/>
    <w:qFormat/>
    <w:uiPriority w:val="0"/>
    <w:rPr>
      <w:rFonts w:ascii="Times New Roman" w:hAnsi="Times New Roman" w:eastAsia="宋体" w:cs="Times New Roman"/>
      <w:b/>
      <w:bCs/>
      <w:sz w:val="32"/>
      <w:szCs w:val="32"/>
    </w:rPr>
  </w:style>
  <w:style w:type="character" w:customStyle="1" w:styleId="61">
    <w:name w:val="标题 4 Char"/>
    <w:basedOn w:val="50"/>
    <w:link w:val="6"/>
    <w:qFormat/>
    <w:uiPriority w:val="0"/>
    <w:rPr>
      <w:rFonts w:asciiTheme="majorHAnsi" w:hAnsiTheme="majorHAnsi" w:eastAsiaTheme="majorEastAsia" w:cstheme="majorBidi"/>
      <w:b/>
      <w:bCs/>
      <w:sz w:val="28"/>
      <w:szCs w:val="28"/>
    </w:rPr>
  </w:style>
  <w:style w:type="character" w:customStyle="1" w:styleId="62">
    <w:name w:val="标题 5 Char"/>
    <w:basedOn w:val="50"/>
    <w:link w:val="7"/>
    <w:qFormat/>
    <w:uiPriority w:val="0"/>
    <w:rPr>
      <w:rFonts w:ascii="Times New Roman" w:hAnsi="Times New Roman" w:eastAsia="宋体" w:cs="Times New Roman"/>
      <w:b/>
      <w:bCs/>
      <w:sz w:val="28"/>
      <w:szCs w:val="28"/>
    </w:rPr>
  </w:style>
  <w:style w:type="character" w:customStyle="1" w:styleId="63">
    <w:name w:val="标题 6 Char"/>
    <w:basedOn w:val="50"/>
    <w:link w:val="8"/>
    <w:qFormat/>
    <w:uiPriority w:val="0"/>
    <w:rPr>
      <w:rFonts w:ascii="Arial" w:hAnsi="Arial" w:eastAsia="黑体" w:cs="Times New Roman"/>
      <w:b/>
      <w:bCs/>
      <w:kern w:val="0"/>
      <w:sz w:val="24"/>
      <w:szCs w:val="24"/>
    </w:rPr>
  </w:style>
  <w:style w:type="character" w:customStyle="1" w:styleId="64">
    <w:name w:val="标题 7 Char"/>
    <w:basedOn w:val="50"/>
    <w:link w:val="9"/>
    <w:qFormat/>
    <w:uiPriority w:val="0"/>
    <w:rPr>
      <w:rFonts w:ascii="Times New Roman" w:hAnsi="Times New Roman" w:eastAsia="宋体" w:cs="Times New Roman"/>
      <w:b/>
      <w:bCs/>
      <w:kern w:val="0"/>
      <w:sz w:val="24"/>
      <w:szCs w:val="24"/>
    </w:rPr>
  </w:style>
  <w:style w:type="character" w:customStyle="1" w:styleId="65">
    <w:name w:val="标题 8 Char"/>
    <w:basedOn w:val="50"/>
    <w:link w:val="10"/>
    <w:qFormat/>
    <w:uiPriority w:val="0"/>
    <w:rPr>
      <w:rFonts w:ascii="Arial" w:hAnsi="Arial" w:eastAsia="黑体" w:cs="Times New Roman"/>
      <w:kern w:val="0"/>
      <w:sz w:val="24"/>
      <w:szCs w:val="24"/>
    </w:rPr>
  </w:style>
  <w:style w:type="character" w:customStyle="1" w:styleId="66">
    <w:name w:val="标题 9 Char"/>
    <w:basedOn w:val="50"/>
    <w:link w:val="11"/>
    <w:qFormat/>
    <w:uiPriority w:val="0"/>
    <w:rPr>
      <w:rFonts w:ascii="Arial" w:hAnsi="Arial" w:eastAsia="黑体" w:cs="Times New Roman"/>
      <w:kern w:val="0"/>
      <w:szCs w:val="21"/>
    </w:rPr>
  </w:style>
  <w:style w:type="character" w:customStyle="1" w:styleId="67">
    <w:name w:val="正文文本 Char"/>
    <w:basedOn w:val="50"/>
    <w:link w:val="2"/>
    <w:qFormat/>
    <w:uiPriority w:val="99"/>
    <w:rPr>
      <w:rFonts w:ascii="Times New Roman" w:hAnsi="Times New Roman" w:eastAsia="宋体" w:cs="Times New Roman"/>
      <w:szCs w:val="24"/>
    </w:rPr>
  </w:style>
  <w:style w:type="character" w:customStyle="1" w:styleId="68">
    <w:name w:val="标题 3 Char1"/>
    <w:link w:val="5"/>
    <w:unhideWhenUsed/>
    <w:qFormat/>
    <w:uiPriority w:val="99"/>
    <w:rPr>
      <w:rFonts w:ascii="Times New Roman" w:hAnsi="黑体" w:eastAsia="黑体" w:cs="Times New Roman"/>
      <w:sz w:val="24"/>
      <w:szCs w:val="20"/>
    </w:rPr>
  </w:style>
  <w:style w:type="character" w:customStyle="1" w:styleId="69">
    <w:name w:val="标题 4 Char1"/>
    <w:link w:val="6"/>
    <w:unhideWhenUsed/>
    <w:qFormat/>
    <w:uiPriority w:val="99"/>
    <w:rPr>
      <w:rFonts w:ascii="Cambria" w:hAnsi="Cambria" w:eastAsia="宋体" w:cs="Times New Roman"/>
      <w:b/>
      <w:sz w:val="28"/>
      <w:szCs w:val="20"/>
    </w:rPr>
  </w:style>
  <w:style w:type="character" w:customStyle="1" w:styleId="70">
    <w:name w:val="正文缩进 Char"/>
    <w:link w:val="14"/>
    <w:qFormat/>
    <w:uiPriority w:val="0"/>
    <w:rPr>
      <w:rFonts w:ascii="Times New Roman" w:hAnsi="Times New Roman" w:eastAsia="宋体" w:cs="Times New Roman"/>
      <w:b/>
      <w:sz w:val="24"/>
      <w:szCs w:val="20"/>
    </w:rPr>
  </w:style>
  <w:style w:type="character" w:customStyle="1" w:styleId="71">
    <w:name w:val="文档结构图 Char"/>
    <w:basedOn w:val="50"/>
    <w:link w:val="16"/>
    <w:qFormat/>
    <w:uiPriority w:val="0"/>
    <w:rPr>
      <w:rFonts w:ascii="Times New Roman" w:hAnsi="Times New Roman" w:eastAsia="宋体" w:cs="Times New Roman"/>
      <w:szCs w:val="24"/>
      <w:shd w:val="clear" w:color="auto" w:fill="000080"/>
    </w:rPr>
  </w:style>
  <w:style w:type="character" w:customStyle="1" w:styleId="72">
    <w:name w:val="批注文字 Char"/>
    <w:basedOn w:val="50"/>
    <w:link w:val="17"/>
    <w:qFormat/>
    <w:uiPriority w:val="0"/>
    <w:rPr>
      <w:rFonts w:ascii="Times New Roman" w:hAnsi="Times New Roman" w:eastAsia="宋体" w:cs="Times New Roman"/>
      <w:szCs w:val="24"/>
    </w:rPr>
  </w:style>
  <w:style w:type="character" w:customStyle="1" w:styleId="73">
    <w:name w:val="批注文字 Char1"/>
    <w:link w:val="17"/>
    <w:qFormat/>
    <w:uiPriority w:val="99"/>
    <w:rPr>
      <w:rFonts w:ascii="Times New Roman" w:hAnsi="Times New Roman" w:eastAsia="宋体" w:cs="Times New Roman"/>
      <w:szCs w:val="20"/>
    </w:rPr>
  </w:style>
  <w:style w:type="character" w:customStyle="1" w:styleId="74">
    <w:name w:val="正文文本 3 Char"/>
    <w:basedOn w:val="50"/>
    <w:link w:val="18"/>
    <w:qFormat/>
    <w:uiPriority w:val="0"/>
    <w:rPr>
      <w:rFonts w:ascii="宋体" w:hAnsi="Times New Roman" w:eastAsia="宋体" w:cs="Times New Roman"/>
      <w:sz w:val="24"/>
      <w:szCs w:val="20"/>
    </w:rPr>
  </w:style>
  <w:style w:type="character" w:customStyle="1" w:styleId="75">
    <w:name w:val="正文文本缩进 Char"/>
    <w:basedOn w:val="50"/>
    <w:link w:val="19"/>
    <w:uiPriority w:val="0"/>
    <w:rPr>
      <w:rFonts w:ascii="宋体" w:hAnsi="Times New Roman" w:eastAsia="宋体" w:cs="Times New Roman"/>
      <w:sz w:val="24"/>
      <w:szCs w:val="20"/>
    </w:rPr>
  </w:style>
  <w:style w:type="character" w:customStyle="1" w:styleId="76">
    <w:name w:val="纯文本 Char"/>
    <w:basedOn w:val="50"/>
    <w:link w:val="25"/>
    <w:qFormat/>
    <w:uiPriority w:val="99"/>
    <w:rPr>
      <w:rFonts w:ascii="宋体" w:hAnsi="Courier New" w:eastAsia="宋体" w:cs="Times New Roman"/>
      <w:sz w:val="28"/>
      <w:szCs w:val="20"/>
    </w:rPr>
  </w:style>
  <w:style w:type="character" w:customStyle="1" w:styleId="77">
    <w:name w:val="日期 Char"/>
    <w:basedOn w:val="50"/>
    <w:link w:val="27"/>
    <w:qFormat/>
    <w:uiPriority w:val="0"/>
    <w:rPr>
      <w:rFonts w:ascii="Times New Roman" w:hAnsi="Times New Roman" w:eastAsia="宋体" w:cs="Times New Roman"/>
      <w:szCs w:val="24"/>
    </w:rPr>
  </w:style>
  <w:style w:type="character" w:customStyle="1" w:styleId="78">
    <w:name w:val="正文文本缩进 2 Char"/>
    <w:basedOn w:val="50"/>
    <w:link w:val="28"/>
    <w:qFormat/>
    <w:uiPriority w:val="0"/>
    <w:rPr>
      <w:rFonts w:ascii="宋体" w:hAnsi="Times New Roman" w:eastAsia="宋体" w:cs="Times New Roman"/>
      <w:szCs w:val="20"/>
    </w:rPr>
  </w:style>
  <w:style w:type="character" w:customStyle="1" w:styleId="79">
    <w:name w:val="批注框文本 Char"/>
    <w:basedOn w:val="50"/>
    <w:link w:val="29"/>
    <w:qFormat/>
    <w:uiPriority w:val="99"/>
    <w:rPr>
      <w:rFonts w:ascii="Times New Roman" w:hAnsi="Times New Roman" w:eastAsia="宋体" w:cs="Times New Roman"/>
      <w:sz w:val="18"/>
      <w:szCs w:val="18"/>
    </w:rPr>
  </w:style>
  <w:style w:type="character" w:customStyle="1" w:styleId="80">
    <w:name w:val="页脚 Char"/>
    <w:basedOn w:val="50"/>
    <w:link w:val="30"/>
    <w:qFormat/>
    <w:uiPriority w:val="99"/>
    <w:rPr>
      <w:rFonts w:ascii="Times New Roman" w:hAnsi="Times New Roman" w:eastAsia="宋体" w:cs="Times New Roman"/>
      <w:sz w:val="18"/>
      <w:szCs w:val="18"/>
    </w:rPr>
  </w:style>
  <w:style w:type="character" w:customStyle="1" w:styleId="81">
    <w:name w:val="页脚 Char1"/>
    <w:link w:val="30"/>
    <w:unhideWhenUsed/>
    <w:qFormat/>
    <w:uiPriority w:val="99"/>
    <w:rPr>
      <w:rFonts w:ascii="Times New Roman" w:hAnsi="Times New Roman" w:eastAsia="宋体" w:cs="Times New Roman"/>
      <w:sz w:val="18"/>
      <w:szCs w:val="20"/>
    </w:rPr>
  </w:style>
  <w:style w:type="character" w:customStyle="1" w:styleId="82">
    <w:name w:val="页眉 Char"/>
    <w:basedOn w:val="50"/>
    <w:link w:val="31"/>
    <w:qFormat/>
    <w:uiPriority w:val="0"/>
    <w:rPr>
      <w:rFonts w:ascii="Times New Roman" w:hAnsi="Times New Roman" w:eastAsia="宋体" w:cs="Times New Roman"/>
      <w:sz w:val="18"/>
      <w:szCs w:val="18"/>
    </w:rPr>
  </w:style>
  <w:style w:type="character" w:customStyle="1" w:styleId="83">
    <w:name w:val="页眉 Char1"/>
    <w:link w:val="31"/>
    <w:unhideWhenUsed/>
    <w:qFormat/>
    <w:uiPriority w:val="99"/>
    <w:rPr>
      <w:rFonts w:ascii="Times New Roman" w:hAnsi="Times New Roman" w:eastAsia="宋体" w:cs="Times New Roman"/>
      <w:sz w:val="18"/>
      <w:szCs w:val="20"/>
    </w:rPr>
  </w:style>
  <w:style w:type="character" w:customStyle="1" w:styleId="84">
    <w:name w:val="副标题 Char"/>
    <w:basedOn w:val="50"/>
    <w:link w:val="34"/>
    <w:qFormat/>
    <w:uiPriority w:val="11"/>
    <w:rPr>
      <w:rFonts w:ascii="Cambria" w:hAnsi="Cambria" w:eastAsia="宋体" w:cs="Times New Roman"/>
      <w:b/>
      <w:bCs/>
      <w:kern w:val="28"/>
      <w:sz w:val="32"/>
      <w:szCs w:val="32"/>
    </w:rPr>
  </w:style>
  <w:style w:type="character" w:customStyle="1" w:styleId="85">
    <w:name w:val="脚注文本 Char"/>
    <w:basedOn w:val="50"/>
    <w:link w:val="36"/>
    <w:qFormat/>
    <w:uiPriority w:val="0"/>
    <w:rPr>
      <w:rFonts w:ascii="Times New Roman" w:hAnsi="Times New Roman" w:eastAsia="宋体" w:cs="Times New Roman"/>
      <w:sz w:val="20"/>
      <w:szCs w:val="20"/>
    </w:rPr>
  </w:style>
  <w:style w:type="character" w:customStyle="1" w:styleId="86">
    <w:name w:val="正文文本缩进 3 Char"/>
    <w:basedOn w:val="50"/>
    <w:link w:val="38"/>
    <w:qFormat/>
    <w:uiPriority w:val="0"/>
    <w:rPr>
      <w:rFonts w:ascii="Times New Roman" w:hAnsi="Times New Roman" w:eastAsia="宋体" w:cs="Times New Roman"/>
      <w:sz w:val="16"/>
      <w:szCs w:val="16"/>
    </w:rPr>
  </w:style>
  <w:style w:type="character" w:customStyle="1" w:styleId="87">
    <w:name w:val="正文文本 2 Char"/>
    <w:basedOn w:val="50"/>
    <w:link w:val="42"/>
    <w:qFormat/>
    <w:uiPriority w:val="0"/>
    <w:rPr>
      <w:rFonts w:ascii="宋体" w:hAnsi="宋体" w:eastAsia="宋体" w:cs="Times New Roman"/>
      <w:color w:val="000000"/>
      <w:sz w:val="24"/>
      <w:szCs w:val="24"/>
    </w:rPr>
  </w:style>
  <w:style w:type="character" w:customStyle="1" w:styleId="88">
    <w:name w:val="标题 Char"/>
    <w:basedOn w:val="50"/>
    <w:link w:val="45"/>
    <w:qFormat/>
    <w:uiPriority w:val="10"/>
    <w:rPr>
      <w:rFonts w:ascii="Arial" w:hAnsi="Arial" w:eastAsia="宋体" w:cs="Times New Roman"/>
      <w:b/>
      <w:kern w:val="0"/>
      <w:sz w:val="32"/>
      <w:szCs w:val="20"/>
    </w:rPr>
  </w:style>
  <w:style w:type="character" w:customStyle="1" w:styleId="89">
    <w:name w:val="批注主题 Char"/>
    <w:basedOn w:val="72"/>
    <w:link w:val="46"/>
    <w:qFormat/>
    <w:uiPriority w:val="0"/>
    <w:rPr>
      <w:b/>
      <w:bCs/>
    </w:rPr>
  </w:style>
  <w:style w:type="character" w:customStyle="1" w:styleId="90">
    <w:name w:val="正文首行缩进 Char"/>
    <w:basedOn w:val="67"/>
    <w:link w:val="47"/>
    <w:qFormat/>
    <w:uiPriority w:val="99"/>
  </w:style>
  <w:style w:type="character" w:customStyle="1" w:styleId="91">
    <w:name w:val="标题 1 Char_1"/>
    <w:link w:val="92"/>
    <w:qFormat/>
    <w:uiPriority w:val="9"/>
    <w:rPr>
      <w:b/>
      <w:bCs/>
      <w:kern w:val="44"/>
      <w:sz w:val="44"/>
      <w:szCs w:val="44"/>
    </w:rPr>
  </w:style>
  <w:style w:type="paragraph" w:customStyle="1" w:styleId="92">
    <w:name w:val="标题 1_1_0"/>
    <w:basedOn w:val="1"/>
    <w:next w:val="1"/>
    <w:link w:val="91"/>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character" w:customStyle="1" w:styleId="93">
    <w:name w:val="Subtle Reference"/>
    <w:qFormat/>
    <w:uiPriority w:val="31"/>
    <w:rPr>
      <w:smallCaps/>
      <w:color w:val="C0504D"/>
      <w:u w:val="single"/>
    </w:rPr>
  </w:style>
  <w:style w:type="character" w:customStyle="1" w:styleId="94">
    <w:name w:val="正文文本 (3) + 10 pt"/>
    <w:qFormat/>
    <w:uiPriority w:val="0"/>
    <w:rPr>
      <w:rFonts w:ascii="Times New Roman" w:hAnsi="Times New Roman"/>
      <w:sz w:val="20"/>
      <w:szCs w:val="20"/>
      <w:shd w:val="clear" w:color="auto" w:fill="FFFFFF"/>
      <w:lang w:val="en-US" w:eastAsia="zh-CN"/>
    </w:rPr>
  </w:style>
  <w:style w:type="character" w:customStyle="1" w:styleId="95">
    <w:name w:val="正文文本 (2) + 9 pt"/>
    <w:qFormat/>
    <w:uiPriority w:val="0"/>
    <w:rPr>
      <w:rFonts w:ascii="Times New Roman" w:hAnsi="Times New Roman"/>
      <w:b/>
      <w:bCs/>
      <w:spacing w:val="20"/>
      <w:sz w:val="18"/>
      <w:szCs w:val="18"/>
      <w:shd w:val="clear" w:color="auto" w:fill="FFFFFF"/>
      <w:lang w:val="en-US" w:eastAsia="en-US"/>
    </w:rPr>
  </w:style>
  <w:style w:type="character" w:customStyle="1" w:styleId="96">
    <w:name w:val="正文文本 (4) + 5.5 pt"/>
    <w:qFormat/>
    <w:uiPriority w:val="0"/>
    <w:rPr>
      <w:b/>
      <w:bCs/>
      <w:spacing w:val="0"/>
      <w:sz w:val="11"/>
      <w:szCs w:val="11"/>
      <w:shd w:val="clear" w:color="auto" w:fill="FFFFFF"/>
      <w:lang w:val="en-US" w:eastAsia="en-US"/>
    </w:rPr>
  </w:style>
  <w:style w:type="character" w:customStyle="1" w:styleId="97">
    <w:name w:val="Char Char14"/>
    <w:qFormat/>
    <w:uiPriority w:val="0"/>
    <w:rPr>
      <w:rFonts w:ascii="宋体" w:hAnsi="Courier New" w:eastAsia="楷体_GB2312"/>
      <w:kern w:val="2"/>
      <w:sz w:val="28"/>
      <w:lang w:val="en-US" w:eastAsia="zh-CN" w:bidi="ar-SA"/>
    </w:rPr>
  </w:style>
  <w:style w:type="character" w:customStyle="1" w:styleId="98">
    <w:name w:val="Intense Emphasis"/>
    <w:qFormat/>
    <w:uiPriority w:val="21"/>
    <w:rPr>
      <w:b/>
      <w:bCs/>
      <w:i/>
      <w:iCs/>
      <w:color w:val="4F81BD"/>
    </w:rPr>
  </w:style>
  <w:style w:type="character" w:customStyle="1" w:styleId="99">
    <w:name w:val="正文文本 (2) + 9 pt1"/>
    <w:qFormat/>
    <w:uiPriority w:val="0"/>
    <w:rPr>
      <w:rFonts w:ascii="Times New Roman" w:hAnsi="Times New Roman" w:cs="Times New Roman"/>
      <w:b/>
      <w:bCs/>
      <w:spacing w:val="-20"/>
      <w:sz w:val="18"/>
      <w:szCs w:val="18"/>
      <w:u w:val="none"/>
      <w:shd w:val="clear" w:color="auto" w:fill="FFFFFF"/>
      <w:lang w:val="en-US" w:eastAsia="en-US"/>
    </w:rPr>
  </w:style>
  <w:style w:type="character" w:customStyle="1" w:styleId="100">
    <w:name w:val="Char Char"/>
    <w:qFormat/>
    <w:uiPriority w:val="0"/>
    <w:rPr>
      <w:rFonts w:ascii="Arial" w:hAnsi="Arial" w:eastAsia="黑体"/>
      <w:b/>
      <w:bCs/>
      <w:kern w:val="2"/>
      <w:sz w:val="32"/>
      <w:szCs w:val="32"/>
      <w:lang w:val="en-US" w:eastAsia="zh-CN" w:bidi="ar-SA"/>
    </w:rPr>
  </w:style>
  <w:style w:type="character" w:customStyle="1" w:styleId="101">
    <w:name w:val="正文文本 (4)_"/>
    <w:link w:val="102"/>
    <w:qFormat/>
    <w:locked/>
    <w:uiPriority w:val="0"/>
    <w:rPr>
      <w:b/>
      <w:bCs/>
      <w:spacing w:val="20"/>
      <w:sz w:val="18"/>
      <w:szCs w:val="18"/>
      <w:shd w:val="clear" w:color="auto" w:fill="FFFFFF"/>
      <w:lang w:eastAsia="en-US"/>
    </w:rPr>
  </w:style>
  <w:style w:type="paragraph" w:customStyle="1" w:styleId="102">
    <w:name w:val="正文文本 (4)"/>
    <w:basedOn w:val="1"/>
    <w:link w:val="101"/>
    <w:qFormat/>
    <w:uiPriority w:val="0"/>
    <w:pPr>
      <w:shd w:val="clear" w:color="auto" w:fill="FFFFFF"/>
      <w:spacing w:line="240" w:lineRule="atLeast"/>
      <w:jc w:val="center"/>
    </w:pPr>
    <w:rPr>
      <w:rFonts w:asciiTheme="minorHAnsi" w:hAnsiTheme="minorHAnsi" w:eastAsiaTheme="minorEastAsia" w:cstheme="minorBidi"/>
      <w:b/>
      <w:bCs/>
      <w:spacing w:val="20"/>
      <w:sz w:val="18"/>
      <w:szCs w:val="18"/>
      <w:lang w:eastAsia="en-US"/>
    </w:rPr>
  </w:style>
  <w:style w:type="character" w:customStyle="1" w:styleId="103">
    <w:name w:val="无间隔 Char"/>
    <w:link w:val="104"/>
    <w:qFormat/>
    <w:uiPriority w:val="1"/>
    <w:rPr>
      <w:szCs w:val="24"/>
    </w:rPr>
  </w:style>
  <w:style w:type="paragraph" w:styleId="104">
    <w:name w:val="No Spacing"/>
    <w:link w:val="103"/>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customStyle="1" w:styleId="105">
    <w:name w:val="样式 Char"/>
    <w:link w:val="106"/>
    <w:qFormat/>
    <w:uiPriority w:val="0"/>
    <w:rPr>
      <w:rFonts w:ascii="宋体" w:hAnsi="宋体" w:cs="宋体"/>
      <w:sz w:val="24"/>
      <w:szCs w:val="24"/>
    </w:rPr>
  </w:style>
  <w:style w:type="paragraph" w:customStyle="1" w:styleId="106">
    <w:name w:val="样式"/>
    <w:link w:val="105"/>
    <w:qFormat/>
    <w:uiPriority w:val="0"/>
    <w:pPr>
      <w:widowControl w:val="0"/>
      <w:autoSpaceDE w:val="0"/>
      <w:autoSpaceDN w:val="0"/>
      <w:adjustRightInd w:val="0"/>
    </w:pPr>
    <w:rPr>
      <w:rFonts w:ascii="宋体" w:hAnsi="宋体" w:cs="宋体" w:eastAsiaTheme="minorEastAsia"/>
      <w:kern w:val="2"/>
      <w:sz w:val="24"/>
      <w:szCs w:val="24"/>
      <w:lang w:val="en-US" w:eastAsia="zh-CN" w:bidi="ar-SA"/>
    </w:rPr>
  </w:style>
  <w:style w:type="character" w:customStyle="1" w:styleId="107">
    <w:name w:val="font161"/>
    <w:qFormat/>
    <w:uiPriority w:val="0"/>
    <w:rPr>
      <w:b/>
      <w:bCs/>
      <w:sz w:val="32"/>
      <w:szCs w:val="32"/>
    </w:rPr>
  </w:style>
  <w:style w:type="character" w:customStyle="1" w:styleId="108">
    <w:name w:val="Subtle Emphasis"/>
    <w:qFormat/>
    <w:uiPriority w:val="19"/>
    <w:rPr>
      <w:i/>
      <w:iCs/>
      <w:color w:val="808080"/>
    </w:rPr>
  </w:style>
  <w:style w:type="character" w:customStyle="1" w:styleId="109">
    <w:name w:val="正文文本 (2)_"/>
    <w:link w:val="110"/>
    <w:qFormat/>
    <w:locked/>
    <w:uiPriority w:val="0"/>
    <w:rPr>
      <w:sz w:val="11"/>
      <w:szCs w:val="11"/>
      <w:shd w:val="clear" w:color="auto" w:fill="FFFFFF"/>
    </w:rPr>
  </w:style>
  <w:style w:type="paragraph" w:customStyle="1" w:styleId="110">
    <w:name w:val="正文文本 (2)"/>
    <w:basedOn w:val="1"/>
    <w:link w:val="109"/>
    <w:qFormat/>
    <w:uiPriority w:val="0"/>
    <w:pPr>
      <w:shd w:val="clear" w:color="auto" w:fill="FFFFFF"/>
      <w:spacing w:line="308" w:lineRule="exact"/>
      <w:jc w:val="center"/>
    </w:pPr>
    <w:rPr>
      <w:rFonts w:asciiTheme="minorHAnsi" w:hAnsiTheme="minorHAnsi" w:eastAsiaTheme="minorEastAsia" w:cstheme="minorBidi"/>
      <w:sz w:val="11"/>
      <w:szCs w:val="11"/>
    </w:rPr>
  </w:style>
  <w:style w:type="character" w:customStyle="1" w:styleId="111">
    <w:name w:val="Intense Reference"/>
    <w:qFormat/>
    <w:uiPriority w:val="32"/>
    <w:rPr>
      <w:b/>
      <w:bCs/>
      <w:smallCaps/>
      <w:color w:val="C0504D"/>
      <w:spacing w:val="5"/>
      <w:u w:val="single"/>
    </w:rPr>
  </w:style>
  <w:style w:type="character" w:customStyle="1" w:styleId="112">
    <w:name w:val="Char Char8"/>
    <w:qFormat/>
    <w:uiPriority w:val="0"/>
    <w:rPr>
      <w:rFonts w:ascii="Arial" w:hAnsi="Arial" w:eastAsia="黑体"/>
      <w:b/>
      <w:bCs/>
      <w:kern w:val="2"/>
      <w:sz w:val="32"/>
      <w:szCs w:val="32"/>
      <w:lang w:val="en-US" w:eastAsia="zh-CN" w:bidi="ar-SA"/>
    </w:rPr>
  </w:style>
  <w:style w:type="character" w:customStyle="1" w:styleId="113">
    <w:name w:val="明显引用 Char"/>
    <w:qFormat/>
    <w:uiPriority w:val="30"/>
    <w:rPr>
      <w:b/>
      <w:bCs/>
      <w:i/>
      <w:iCs/>
      <w:color w:val="4F81BD"/>
      <w:szCs w:val="24"/>
    </w:rPr>
  </w:style>
  <w:style w:type="paragraph" w:styleId="114">
    <w:name w:val="Intense Quote"/>
    <w:basedOn w:val="1"/>
    <w:next w:val="1"/>
    <w:link w:val="115"/>
    <w:qFormat/>
    <w:uiPriority w:val="30"/>
    <w:pPr>
      <w:pBdr>
        <w:bottom w:val="single" w:color="4F81BD" w:sz="4" w:space="4"/>
      </w:pBdr>
      <w:spacing w:before="200" w:after="280"/>
      <w:ind w:left="936" w:right="936"/>
    </w:pPr>
    <w:rPr>
      <w:rFonts w:asciiTheme="minorHAnsi" w:hAnsiTheme="minorHAnsi" w:eastAsiaTheme="minorEastAsia" w:cstheme="minorBidi"/>
      <w:b/>
      <w:bCs/>
      <w:i/>
      <w:iCs/>
      <w:color w:val="4F81BD"/>
    </w:rPr>
  </w:style>
  <w:style w:type="character" w:customStyle="1" w:styleId="115">
    <w:name w:val="明显引用 Char1"/>
    <w:basedOn w:val="50"/>
    <w:link w:val="114"/>
    <w:qFormat/>
    <w:uiPriority w:val="30"/>
    <w:rPr>
      <w:rFonts w:ascii="Times New Roman" w:hAnsi="Times New Roman" w:eastAsia="宋体" w:cs="Times New Roman"/>
      <w:b/>
      <w:bCs/>
      <w:i/>
      <w:iCs/>
      <w:color w:val="4F81BD" w:themeColor="accent1"/>
      <w:szCs w:val="24"/>
      <w14:textFill>
        <w14:solidFill>
          <w14:schemeClr w14:val="accent1"/>
        </w14:solidFill>
      </w14:textFill>
    </w:rPr>
  </w:style>
  <w:style w:type="character" w:customStyle="1" w:styleId="116">
    <w:name w:val="ca-3"/>
    <w:qFormat/>
    <w:uiPriority w:val="0"/>
  </w:style>
  <w:style w:type="character" w:customStyle="1" w:styleId="117">
    <w:name w:val="正文文本 (3) + 9 pt"/>
    <w:qFormat/>
    <w:uiPriority w:val="0"/>
    <w:rPr>
      <w:rFonts w:ascii="Times New Roman" w:hAnsi="Times New Roman"/>
      <w:b/>
      <w:bCs/>
      <w:spacing w:val="20"/>
      <w:sz w:val="18"/>
      <w:szCs w:val="18"/>
      <w:shd w:val="clear" w:color="auto" w:fill="FFFFFF"/>
      <w:lang w:val="en-US" w:eastAsia="en-US"/>
    </w:rPr>
  </w:style>
  <w:style w:type="character" w:customStyle="1" w:styleId="118">
    <w:name w:val="Char Char7"/>
    <w:qFormat/>
    <w:uiPriority w:val="0"/>
    <w:rPr>
      <w:rFonts w:ascii="Arial" w:hAnsi="Arial" w:eastAsia="黑体"/>
      <w:b/>
      <w:bCs/>
      <w:kern w:val="2"/>
      <w:sz w:val="32"/>
      <w:szCs w:val="32"/>
      <w:lang w:val="en-US" w:eastAsia="zh-CN" w:bidi="ar-SA"/>
    </w:rPr>
  </w:style>
  <w:style w:type="character" w:customStyle="1" w:styleId="119">
    <w:name w:val="正文文本 (3)_"/>
    <w:link w:val="120"/>
    <w:qFormat/>
    <w:locked/>
    <w:uiPriority w:val="0"/>
    <w:rPr>
      <w:sz w:val="11"/>
      <w:szCs w:val="11"/>
      <w:shd w:val="clear" w:color="auto" w:fill="FFFFFF"/>
    </w:rPr>
  </w:style>
  <w:style w:type="paragraph" w:customStyle="1" w:styleId="120">
    <w:name w:val="正文文本 (3)"/>
    <w:basedOn w:val="1"/>
    <w:link w:val="119"/>
    <w:uiPriority w:val="0"/>
    <w:pPr>
      <w:shd w:val="clear" w:color="auto" w:fill="FFFFFF"/>
      <w:spacing w:line="240" w:lineRule="atLeast"/>
    </w:pPr>
    <w:rPr>
      <w:rFonts w:asciiTheme="minorHAnsi" w:hAnsiTheme="minorHAnsi" w:eastAsiaTheme="minorEastAsia" w:cstheme="minorBidi"/>
      <w:sz w:val="11"/>
      <w:szCs w:val="11"/>
    </w:rPr>
  </w:style>
  <w:style w:type="character" w:customStyle="1" w:styleId="121">
    <w:name w:val="Char Char2"/>
    <w:qFormat/>
    <w:uiPriority w:val="0"/>
    <w:rPr>
      <w:rFonts w:eastAsia="宋体"/>
      <w:kern w:val="2"/>
      <w:sz w:val="21"/>
      <w:szCs w:val="24"/>
      <w:lang w:val="en-US" w:eastAsia="zh-CN" w:bidi="ar-SA"/>
    </w:rPr>
  </w:style>
  <w:style w:type="character" w:customStyle="1" w:styleId="122">
    <w:name w:val="引用 Char"/>
    <w:qFormat/>
    <w:uiPriority w:val="29"/>
    <w:rPr>
      <w:i/>
      <w:iCs/>
      <w:color w:val="000000"/>
      <w:szCs w:val="24"/>
    </w:rPr>
  </w:style>
  <w:style w:type="paragraph" w:styleId="123">
    <w:name w:val="Quote"/>
    <w:basedOn w:val="1"/>
    <w:next w:val="1"/>
    <w:link w:val="124"/>
    <w:qFormat/>
    <w:uiPriority w:val="29"/>
    <w:rPr>
      <w:rFonts w:asciiTheme="minorHAnsi" w:hAnsiTheme="minorHAnsi" w:eastAsiaTheme="minorEastAsia" w:cstheme="minorBidi"/>
      <w:i/>
      <w:iCs/>
      <w:color w:val="000000"/>
    </w:rPr>
  </w:style>
  <w:style w:type="character" w:customStyle="1" w:styleId="124">
    <w:name w:val="引用 Char1"/>
    <w:basedOn w:val="50"/>
    <w:link w:val="123"/>
    <w:qFormat/>
    <w:uiPriority w:val="29"/>
    <w:rPr>
      <w:rFonts w:ascii="Times New Roman" w:hAnsi="Times New Roman" w:eastAsia="宋体" w:cs="Times New Roman"/>
      <w:i/>
      <w:iCs/>
      <w:color w:val="000000" w:themeColor="text1"/>
      <w:szCs w:val="24"/>
      <w14:textFill>
        <w14:solidFill>
          <w14:schemeClr w14:val="tx1"/>
        </w14:solidFill>
      </w14:textFill>
    </w:rPr>
  </w:style>
  <w:style w:type="character" w:customStyle="1" w:styleId="125">
    <w:name w:val="Book Title"/>
    <w:qFormat/>
    <w:uiPriority w:val="33"/>
    <w:rPr>
      <w:b/>
      <w:bCs/>
      <w:smallCaps/>
      <w:spacing w:val="5"/>
    </w:rPr>
  </w:style>
  <w:style w:type="paragraph" w:customStyle="1" w:styleId="126">
    <w:name w:val="Char"/>
    <w:basedOn w:val="1"/>
    <w:qFormat/>
    <w:uiPriority w:val="0"/>
    <w:pPr>
      <w:tabs>
        <w:tab w:val="left" w:pos="360"/>
      </w:tabs>
    </w:pPr>
    <w:rPr>
      <w:sz w:val="24"/>
    </w:rPr>
  </w:style>
  <w:style w:type="paragraph" w:customStyle="1" w:styleId="127">
    <w:name w:val="注"/>
    <w:basedOn w:val="1"/>
    <w:uiPriority w:val="0"/>
    <w:pPr>
      <w:adjustRightInd w:val="0"/>
      <w:spacing w:line="360" w:lineRule="atLeast"/>
      <w:ind w:left="840" w:hanging="420"/>
      <w:textAlignment w:val="baseline"/>
    </w:pPr>
    <w:rPr>
      <w:kern w:val="0"/>
      <w:szCs w:val="20"/>
    </w:rPr>
  </w:style>
  <w:style w:type="paragraph" w:customStyle="1" w:styleId="128">
    <w:name w:val="Char Char Char Char"/>
    <w:basedOn w:val="1"/>
    <w:qFormat/>
    <w:uiPriority w:val="0"/>
    <w:rPr>
      <w:rFonts w:ascii="Tahoma" w:hAnsi="Tahoma" w:cs="仿宋_GB2312"/>
      <w:sz w:val="24"/>
      <w:szCs w:val="28"/>
    </w:rPr>
  </w:style>
  <w:style w:type="paragraph" w:customStyle="1" w:styleId="129">
    <w:name w:val="Char1"/>
    <w:basedOn w:val="1"/>
    <w:qFormat/>
    <w:uiPriority w:val="0"/>
  </w:style>
  <w:style w:type="paragraph" w:customStyle="1" w:styleId="130">
    <w:name w:val="正文文本缩进1"/>
    <w:basedOn w:val="1"/>
    <w:qFormat/>
    <w:uiPriority w:val="0"/>
    <w:pPr>
      <w:spacing w:line="360" w:lineRule="auto"/>
      <w:ind w:firstLine="420"/>
    </w:pPr>
    <w:rPr>
      <w:rFonts w:ascii="宋体"/>
      <w:sz w:val="24"/>
    </w:rPr>
  </w:style>
  <w:style w:type="paragraph" w:customStyle="1" w:styleId="131">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32">
    <w:name w:val="样式2"/>
    <w:basedOn w:val="5"/>
    <w:qFormat/>
    <w:uiPriority w:val="0"/>
  </w:style>
  <w:style w:type="paragraph" w:customStyle="1" w:styleId="133">
    <w:name w:val="纯文本1"/>
    <w:basedOn w:val="1"/>
    <w:qFormat/>
    <w:uiPriority w:val="0"/>
    <w:pPr>
      <w:adjustRightInd w:val="0"/>
      <w:textAlignment w:val="baseline"/>
    </w:pPr>
    <w:rPr>
      <w:rFonts w:ascii="宋体" w:hAnsi="Courier New" w:eastAsia="楷体_GB2312"/>
      <w:sz w:val="26"/>
    </w:rPr>
  </w:style>
  <w:style w:type="paragraph" w:customStyle="1" w:styleId="134">
    <w:name w:val="表格"/>
    <w:basedOn w:val="1"/>
    <w:qFormat/>
    <w:uiPriority w:val="0"/>
    <w:pPr>
      <w:jc w:val="center"/>
      <w:textAlignment w:val="center"/>
    </w:pPr>
    <w:rPr>
      <w:rFonts w:ascii="华文细黑" w:hAnsi="华文细黑"/>
      <w:kern w:val="0"/>
    </w:rPr>
  </w:style>
  <w:style w:type="paragraph" w:customStyle="1" w:styleId="135">
    <w:name w:val="样式3"/>
    <w:basedOn w:val="5"/>
    <w:qFormat/>
    <w:uiPriority w:val="0"/>
    <w:rPr>
      <w:rFonts w:eastAsia="Arial"/>
    </w:rPr>
  </w:style>
  <w:style w:type="paragraph" w:customStyle="1" w:styleId="136">
    <w:name w:val="1"/>
    <w:basedOn w:val="1"/>
    <w:next w:val="1"/>
    <w:qFormat/>
    <w:uiPriority w:val="0"/>
  </w:style>
  <w:style w:type="paragraph" w:customStyle="1" w:styleId="137">
    <w:name w:val="TOC Heading"/>
    <w:basedOn w:val="3"/>
    <w:next w:val="1"/>
    <w:qFormat/>
    <w:uiPriority w:val="39"/>
    <w:pPr>
      <w:spacing w:line="578" w:lineRule="auto"/>
      <w:outlineLvl w:val="9"/>
    </w:pPr>
  </w:style>
  <w:style w:type="paragraph" w:customStyle="1" w:styleId="138">
    <w:name w:val="样式4"/>
    <w:basedOn w:val="5"/>
    <w:qFormat/>
    <w:uiPriority w:val="0"/>
    <w:rPr>
      <w:rFonts w:eastAsia="Arial"/>
    </w:rPr>
  </w:style>
  <w:style w:type="paragraph" w:customStyle="1" w:styleId="139">
    <w:name w:val="Char Char2 Char Char"/>
    <w:basedOn w:val="16"/>
    <w:unhideWhenUsed/>
    <w:qFormat/>
    <w:uiPriority w:val="99"/>
    <w:rPr>
      <w:rFonts w:hint="eastAsia" w:ascii="Tahoma" w:hAnsi="Tahoma"/>
      <w:sz w:val="24"/>
    </w:rPr>
  </w:style>
  <w:style w:type="paragraph" w:customStyle="1" w:styleId="140">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42">
    <w:name w:val="pa-2"/>
    <w:basedOn w:val="1"/>
    <w:qFormat/>
    <w:uiPriority w:val="0"/>
    <w:pPr>
      <w:widowControl/>
      <w:spacing w:before="100" w:beforeAutospacing="1" w:after="100" w:afterAutospacing="1"/>
      <w:jc w:val="left"/>
    </w:pPr>
    <w:rPr>
      <w:rFonts w:ascii="宋体" w:hAnsi="宋体" w:cs="宋体"/>
      <w:kern w:val="0"/>
      <w:sz w:val="24"/>
    </w:rPr>
  </w:style>
  <w:style w:type="paragraph" w:customStyle="1" w:styleId="143">
    <w:name w:val="列出段落1"/>
    <w:basedOn w:val="1"/>
    <w:qFormat/>
    <w:uiPriority w:val="0"/>
    <w:pPr>
      <w:ind w:firstLine="420" w:firstLineChars="200"/>
    </w:pPr>
    <w:rPr>
      <w:rFonts w:ascii="Calibri" w:hAnsi="Calibri"/>
      <w:szCs w:val="22"/>
    </w:rPr>
  </w:style>
  <w:style w:type="paragraph" w:customStyle="1" w:styleId="144">
    <w:name w:val="默认段落字体 Para Char Char Char Char Char Char Char Char Char1 Char Char Char Char Char Char Char"/>
    <w:basedOn w:val="16"/>
    <w:qFormat/>
    <w:uiPriority w:val="0"/>
    <w:rPr>
      <w:rFonts w:ascii="Tahoma" w:hAnsi="Tahoma"/>
      <w:sz w:val="24"/>
    </w:rPr>
  </w:style>
  <w:style w:type="paragraph" w:customStyle="1" w:styleId="145">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46">
    <w:name w:val="p0"/>
    <w:basedOn w:val="1"/>
    <w:qFormat/>
    <w:uiPriority w:val="0"/>
    <w:pPr>
      <w:widowControl/>
      <w:adjustRightInd w:val="0"/>
      <w:spacing w:line="360" w:lineRule="atLeast"/>
      <w:textAlignment w:val="baseline"/>
    </w:pPr>
    <w:rPr>
      <w:rFonts w:eastAsia="Times New Roman"/>
      <w:kern w:val="0"/>
      <w:szCs w:val="21"/>
    </w:rPr>
  </w:style>
  <w:style w:type="paragraph" w:customStyle="1" w:styleId="147">
    <w:name w:val="Revision"/>
    <w:semiHidden/>
    <w:qFormat/>
    <w:uiPriority w:val="99"/>
    <w:rPr>
      <w:rFonts w:ascii="Times New Roman" w:hAnsi="Times New Roman" w:eastAsia="宋体" w:cs="Times New Roman"/>
      <w:kern w:val="2"/>
      <w:sz w:val="21"/>
      <w:szCs w:val="24"/>
      <w:lang w:val="en-US" w:eastAsia="zh-CN" w:bidi="ar-SA"/>
    </w:rPr>
  </w:style>
  <w:style w:type="paragraph" w:customStyle="1" w:styleId="148">
    <w:name w:val="纯文本2"/>
    <w:basedOn w:val="1"/>
    <w:qFormat/>
    <w:uiPriority w:val="0"/>
    <w:rPr>
      <w:rFonts w:ascii="宋体" w:hAnsi="Courier New"/>
      <w:sz w:val="28"/>
    </w:rPr>
  </w:style>
  <w:style w:type="paragraph" w:customStyle="1" w:styleId="149">
    <w:name w:val="表格文字"/>
    <w:basedOn w:val="1"/>
    <w:qFormat/>
    <w:uiPriority w:val="0"/>
    <w:pPr>
      <w:adjustRightInd w:val="0"/>
      <w:spacing w:line="420" w:lineRule="atLeast"/>
      <w:jc w:val="left"/>
      <w:textAlignment w:val="baseline"/>
    </w:pPr>
    <w:rPr>
      <w:kern w:val="0"/>
    </w:rPr>
  </w:style>
  <w:style w:type="paragraph" w:customStyle="1" w:styleId="150">
    <w:name w:val="样式 标题 1 + 黑体 三号 非加粗 居中 段前: 6 磅 段后: 6 磅 行距: 固定值 20 磅"/>
    <w:basedOn w:val="3"/>
    <w:qFormat/>
    <w:uiPriority w:val="0"/>
    <w:pPr>
      <w:spacing w:before="120" w:after="120" w:line="400" w:lineRule="exact"/>
    </w:pPr>
    <w:rPr>
      <w:rFonts w:ascii="黑体" w:hAnsi="黑体" w:eastAsia="黑体" w:cs="宋体"/>
      <w:b w:val="0"/>
      <w:bCs w:val="0"/>
      <w:sz w:val="32"/>
      <w:szCs w:val="20"/>
    </w:rPr>
  </w:style>
  <w:style w:type="paragraph" w:styleId="151">
    <w:name w:val="List Paragraph"/>
    <w:basedOn w:val="1"/>
    <w:qFormat/>
    <w:uiPriority w:val="34"/>
    <w:pPr>
      <w:ind w:firstLine="420" w:firstLineChars="200"/>
    </w:pPr>
  </w:style>
  <w:style w:type="paragraph" w:customStyle="1" w:styleId="152">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153">
    <w:name w:val="样式 标题 2 + 黑色 行距: 1.5 倍行距"/>
    <w:basedOn w:val="4"/>
    <w:qFormat/>
    <w:uiPriority w:val="0"/>
    <w:pPr>
      <w:spacing w:line="360" w:lineRule="auto"/>
    </w:pPr>
    <w:rPr>
      <w:rFonts w:eastAsia="宋体" w:cs="宋体"/>
      <w:color w:val="000000"/>
    </w:rPr>
  </w:style>
  <w:style w:type="paragraph" w:customStyle="1" w:styleId="15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5">
    <w:name w:val="标题 2 + 黑色 行距: 1.5 倍行距"/>
    <w:basedOn w:val="4"/>
    <w:qFormat/>
    <w:uiPriority w:val="0"/>
    <w:pPr>
      <w:spacing w:line="360" w:lineRule="auto"/>
    </w:pPr>
    <w:rPr>
      <w:rFonts w:eastAsia="宋体" w:cs="宋体"/>
      <w:color w:val="000000"/>
      <w:szCs w:val="20"/>
    </w:rPr>
  </w:style>
  <w:style w:type="paragraph" w:customStyle="1" w:styleId="156">
    <w:name w:val="样式1"/>
    <w:basedOn w:val="5"/>
    <w:qFormat/>
    <w:uiPriority w:val="0"/>
    <w:rPr>
      <w:rFonts w:eastAsia="Arial"/>
    </w:rPr>
  </w:style>
  <w:style w:type="paragraph" w:customStyle="1" w:styleId="157">
    <w:name w:val="样式 标题 3 + (中文) 黑体 小四 非加粗 段前: 7.8 磅 段后: 0 磅 行距: 固定值 20 磅"/>
    <w:basedOn w:val="5"/>
    <w:qFormat/>
    <w:uiPriority w:val="0"/>
    <w:pPr>
      <w:spacing w:before="0" w:after="0" w:line="400" w:lineRule="exact"/>
    </w:pPr>
    <w:rPr>
      <w:rFonts w:cs="宋体"/>
      <w:b/>
      <w:bCs/>
    </w:rPr>
  </w:style>
  <w:style w:type="paragraph" w:customStyle="1" w:styleId="158">
    <w:name w:val="Char Char5"/>
    <w:basedOn w:val="16"/>
    <w:qFormat/>
    <w:uiPriority w:val="0"/>
    <w:pPr>
      <w:adjustRightInd w:val="0"/>
      <w:spacing w:line="436" w:lineRule="exact"/>
      <w:ind w:left="357"/>
      <w:jc w:val="left"/>
      <w:outlineLvl w:val="3"/>
    </w:pPr>
    <w:rPr>
      <w:color w:val="000000"/>
      <w:kern w:val="0"/>
      <w:szCs w:val="20"/>
      <w:u w:color="000000"/>
    </w:rPr>
  </w:style>
  <w:style w:type="paragraph" w:customStyle="1" w:styleId="159">
    <w:name w:val="默认段落字体 Para Char Char Char Char Char Char Char Char Char1 Char Char Char Char"/>
    <w:basedOn w:val="1"/>
    <w:qFormat/>
    <w:uiPriority w:val="0"/>
    <w:rPr>
      <w:rFonts w:ascii="Tahoma" w:hAnsi="Tahoma"/>
      <w:sz w:val="24"/>
      <w:szCs w:val="20"/>
    </w:rPr>
  </w:style>
  <w:style w:type="paragraph" w:customStyle="1" w:styleId="160">
    <w:name w:val="pa-5"/>
    <w:basedOn w:val="1"/>
    <w:qFormat/>
    <w:uiPriority w:val="0"/>
    <w:pPr>
      <w:widowControl/>
      <w:spacing w:before="100" w:beforeAutospacing="1" w:after="100" w:afterAutospacing="1"/>
      <w:jc w:val="left"/>
    </w:pPr>
    <w:rPr>
      <w:rFonts w:ascii="宋体" w:hAnsi="宋体" w:cs="宋体"/>
      <w:kern w:val="0"/>
      <w:sz w:val="24"/>
    </w:rPr>
  </w:style>
  <w:style w:type="paragraph" w:customStyle="1" w:styleId="161">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2">
    <w:name w:val="正文2"/>
    <w:basedOn w:val="1"/>
    <w:uiPriority w:val="0"/>
    <w:pPr>
      <w:widowControl/>
      <w:jc w:val="left"/>
    </w:pPr>
    <w:rPr>
      <w:kern w:val="0"/>
      <w:sz w:val="24"/>
      <w:szCs w:val="20"/>
    </w:rPr>
  </w:style>
  <w:style w:type="paragraph" w:customStyle="1" w:styleId="163">
    <w:name w:val="Personal Name"/>
    <w:basedOn w:val="45"/>
    <w:qFormat/>
    <w:uiPriority w:val="0"/>
    <w:rPr>
      <w:rFonts w:ascii="Impact" w:hAnsi="Impact"/>
      <w:b w:val="0"/>
      <w:caps/>
      <w:color w:val="000000"/>
      <w:sz w:val="28"/>
      <w:szCs w:val="28"/>
    </w:rPr>
  </w:style>
  <w:style w:type="paragraph" w:customStyle="1" w:styleId="164">
    <w:name w:val="Default"/>
    <w:qFormat/>
    <w:uiPriority w:val="0"/>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customStyle="1" w:styleId="165">
    <w:name w:val="正文段"/>
    <w:basedOn w:val="1"/>
    <w:uiPriority w:val="0"/>
    <w:pPr>
      <w:widowControl/>
      <w:snapToGrid w:val="0"/>
      <w:spacing w:afterLines="50"/>
      <w:ind w:firstLine="200" w:firstLineChars="200"/>
    </w:pPr>
    <w:rPr>
      <w:kern w:val="0"/>
      <w:sz w:val="24"/>
      <w:szCs w:val="20"/>
    </w:rPr>
  </w:style>
  <w:style w:type="character" w:customStyle="1" w:styleId="166">
    <w:name w:val="font71"/>
    <w:qFormat/>
    <w:uiPriority w:val="0"/>
    <w:rPr>
      <w:rFonts w:hint="eastAsia" w:ascii="宋体" w:hAnsi="宋体" w:eastAsia="宋体" w:cs="宋体"/>
      <w:color w:val="000000"/>
      <w:sz w:val="24"/>
      <w:szCs w:val="24"/>
      <w:u w:val="none"/>
    </w:rPr>
  </w:style>
  <w:style w:type="character" w:customStyle="1" w:styleId="167">
    <w:name w:val="font91"/>
    <w:qFormat/>
    <w:uiPriority w:val="0"/>
    <w:rPr>
      <w:rFonts w:hint="eastAsia" w:ascii="宋体" w:hAnsi="宋体" w:eastAsia="宋体" w:cs="宋体"/>
      <w:b/>
      <w:bCs/>
      <w:color w:val="000000"/>
      <w:sz w:val="24"/>
      <w:szCs w:val="24"/>
      <w:u w:val="none"/>
    </w:rPr>
  </w:style>
  <w:style w:type="character" w:customStyle="1" w:styleId="168">
    <w:name w:val="font51"/>
    <w:qFormat/>
    <w:uiPriority w:val="0"/>
    <w:rPr>
      <w:rFonts w:hint="eastAsia" w:ascii="宋体" w:hAnsi="宋体" w:eastAsia="宋体" w:cs="宋体"/>
      <w:b/>
      <w:bCs/>
      <w:color w:val="000000"/>
      <w:sz w:val="20"/>
      <w:szCs w:val="20"/>
      <w:u w:val="none"/>
    </w:rPr>
  </w:style>
  <w:style w:type="character" w:customStyle="1" w:styleId="169">
    <w:name w:val="font31"/>
    <w:qFormat/>
    <w:uiPriority w:val="0"/>
    <w:rPr>
      <w:rFonts w:hint="eastAsia" w:ascii="宋体" w:hAnsi="宋体" w:eastAsia="宋体" w:cs="宋体"/>
      <w:b/>
      <w:bCs/>
      <w:color w:val="000000"/>
      <w:sz w:val="20"/>
      <w:szCs w:val="20"/>
      <w:u w:val="none"/>
    </w:rPr>
  </w:style>
  <w:style w:type="paragraph" w:customStyle="1" w:styleId="170">
    <w:name w:val="Blockquote"/>
    <w:basedOn w:val="1"/>
    <w:qFormat/>
    <w:uiPriority w:val="0"/>
    <w:pPr>
      <w:autoSpaceDE w:val="0"/>
      <w:autoSpaceDN w:val="0"/>
      <w:adjustRightInd w:val="0"/>
      <w:spacing w:before="100" w:after="100"/>
      <w:ind w:left="360" w:right="360"/>
      <w:jc w:val="left"/>
    </w:pPr>
    <w:rPr>
      <w:kern w:val="0"/>
      <w:sz w:val="24"/>
      <w:szCs w:val="20"/>
    </w:rPr>
  </w:style>
  <w:style w:type="character" w:customStyle="1" w:styleId="171">
    <w:name w:val="font01"/>
    <w:qFormat/>
    <w:uiPriority w:val="0"/>
    <w:rPr>
      <w:rFonts w:hint="eastAsia" w:ascii="宋体" w:hAnsi="宋体" w:eastAsia="宋体" w:cs="宋体"/>
      <w:color w:val="000000"/>
      <w:sz w:val="20"/>
      <w:szCs w:val="20"/>
      <w:u w:val="none"/>
    </w:rPr>
  </w:style>
  <w:style w:type="character" w:customStyle="1" w:styleId="172">
    <w:name w:val="font21"/>
    <w:qFormat/>
    <w:uiPriority w:val="0"/>
    <w:rPr>
      <w:rFonts w:ascii="Arial" w:hAnsi="Arial" w:cs="Arial"/>
      <w:color w:val="000000"/>
      <w:sz w:val="20"/>
      <w:szCs w:val="20"/>
      <w:u w:val="none"/>
    </w:rPr>
  </w:style>
  <w:style w:type="character" w:customStyle="1" w:styleId="173">
    <w:name w:val="font61"/>
    <w:qFormat/>
    <w:uiPriority w:val="0"/>
    <w:rPr>
      <w:rFonts w:ascii="Arial" w:hAnsi="Arial" w:cs="Arial"/>
      <w:color w:val="000000"/>
      <w:sz w:val="20"/>
      <w:szCs w:val="20"/>
      <w:u w:val="none"/>
    </w:rPr>
  </w:style>
  <w:style w:type="character" w:customStyle="1" w:styleId="174">
    <w:name w:val="font171"/>
    <w:qFormat/>
    <w:uiPriority w:val="0"/>
    <w:rPr>
      <w:rFonts w:ascii="Calibri" w:hAnsi="Calibri" w:cs="Calibri"/>
      <w:color w:val="000000"/>
      <w:sz w:val="18"/>
      <w:szCs w:val="18"/>
      <w:u w:val="none"/>
    </w:rPr>
  </w:style>
  <w:style w:type="character" w:customStyle="1" w:styleId="175">
    <w:name w:val="font181"/>
    <w:qFormat/>
    <w:uiPriority w:val="0"/>
    <w:rPr>
      <w:rFonts w:ascii="Arial Unicode MS" w:hAnsi="Arial Unicode MS" w:eastAsia="Arial Unicode MS" w:cs="Arial Unicode MS"/>
      <w:color w:val="000000"/>
      <w:sz w:val="18"/>
      <w:szCs w:val="18"/>
      <w:u w:val="none"/>
    </w:rPr>
  </w:style>
  <w:style w:type="character" w:customStyle="1" w:styleId="176">
    <w:name w:val="15"/>
    <w:qFormat/>
    <w:uiPriority w:val="0"/>
    <w:rPr>
      <w:rFonts w:hint="default" w:ascii="Times New Roman" w:hAnsi="Times New Roman" w:cs="Times New Roman"/>
      <w:color w:val="464445"/>
      <w:u w:val="none"/>
    </w:rPr>
  </w:style>
  <w:style w:type="table" w:customStyle="1" w:styleId="177">
    <w:name w:val="Table Normal"/>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4FD1FD-F361-44CA-9D5B-203E9326D051}">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60</Pages>
  <Words>31561</Words>
  <Characters>34467</Characters>
  <Lines>257</Lines>
  <Paragraphs>72</Paragraphs>
  <TotalTime>46</TotalTime>
  <ScaleCrop>false</ScaleCrop>
  <LinksUpToDate>false</LinksUpToDate>
  <CharactersWithSpaces>35649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2023-04-20T09:24:00Z</dcterms:created>
  <dc:creator>뒴뒴</dc:creator>
  <cp:lastModifiedBy>石茹</cp:lastModifiedBy>
  <cp:lastPrinted>2023-04-25T02:14:00Z</cp:lastPrinted>
  <dcterms:modified xsi:type="dcterms:W3CDTF">2023-04-26T02:36:23Z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186E06E9BD0E4000954BEA1BAEA2DECE_13</vt:lpwstr>
  </property>
</Properties>
</file>