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spacing w:before="3"/>
        <w:rPr>
          <w:rFonts w:ascii="Times New Roman"/>
          <w:sz w:val="18"/>
        </w:rPr>
      </w:pPr>
    </w:p>
    <w:p>
      <w:pPr>
        <w:spacing w:before="33" w:line="364" w:lineRule="auto"/>
        <w:ind w:left="412" w:right="571" w:firstLine="0"/>
        <w:jc w:val="center"/>
        <w:rPr>
          <w:rFonts w:hint="default"/>
          <w:sz w:val="48"/>
          <w:lang w:val="en-US"/>
        </w:rPr>
      </w:pPr>
      <w:r>
        <w:rPr>
          <w:sz w:val="48"/>
          <w:lang w:val="en-US"/>
        </w:rPr>
        <w:t>丰华街道渗滤液处理设备项目</w:t>
      </w:r>
    </w:p>
    <w:p>
      <w:pPr>
        <w:pStyle w:val="2"/>
        <w:rPr>
          <w:sz w:val="48"/>
        </w:rPr>
      </w:pPr>
    </w:p>
    <w:p>
      <w:pPr>
        <w:pStyle w:val="2"/>
        <w:rPr>
          <w:sz w:val="48"/>
        </w:rPr>
      </w:pPr>
    </w:p>
    <w:p>
      <w:pPr>
        <w:pStyle w:val="2"/>
        <w:rPr>
          <w:sz w:val="48"/>
        </w:rPr>
      </w:pPr>
    </w:p>
    <w:p>
      <w:pPr>
        <w:pStyle w:val="2"/>
        <w:rPr>
          <w:sz w:val="48"/>
        </w:rPr>
      </w:pPr>
    </w:p>
    <w:p>
      <w:pPr>
        <w:pStyle w:val="2"/>
        <w:spacing w:before="12"/>
        <w:rPr>
          <w:sz w:val="71"/>
        </w:rPr>
      </w:pPr>
    </w:p>
    <w:p>
      <w:pPr>
        <w:tabs>
          <w:tab w:val="left" w:pos="1259"/>
          <w:tab w:val="left" w:pos="2519"/>
          <w:tab w:val="left" w:pos="3779"/>
        </w:tabs>
        <w:spacing w:before="0"/>
        <w:ind w:left="0" w:right="162" w:firstLine="0"/>
        <w:jc w:val="center"/>
        <w:rPr>
          <w:sz w:val="84"/>
        </w:rPr>
      </w:pPr>
      <w:r>
        <w:rPr>
          <w:sz w:val="84"/>
        </w:rPr>
        <w:t>招</w:t>
      </w:r>
      <w:r>
        <w:rPr>
          <w:sz w:val="84"/>
        </w:rPr>
        <w:tab/>
      </w:r>
      <w:r>
        <w:rPr>
          <w:sz w:val="84"/>
        </w:rPr>
        <w:t>标</w:t>
      </w:r>
      <w:r>
        <w:rPr>
          <w:sz w:val="84"/>
        </w:rPr>
        <w:tab/>
      </w:r>
      <w:r>
        <w:rPr>
          <w:sz w:val="84"/>
        </w:rPr>
        <w:t>文</w:t>
      </w:r>
      <w:r>
        <w:rPr>
          <w:sz w:val="84"/>
        </w:rPr>
        <w:tab/>
      </w:r>
      <w:r>
        <w:rPr>
          <w:sz w:val="84"/>
        </w:rPr>
        <w:t>件</w:t>
      </w:r>
    </w:p>
    <w:p>
      <w:pPr>
        <w:pStyle w:val="2"/>
        <w:rPr>
          <w:sz w:val="84"/>
        </w:rPr>
      </w:pPr>
    </w:p>
    <w:p>
      <w:pPr>
        <w:pStyle w:val="2"/>
        <w:rPr>
          <w:sz w:val="84"/>
        </w:rPr>
      </w:pPr>
    </w:p>
    <w:p>
      <w:pPr>
        <w:pStyle w:val="2"/>
        <w:rPr>
          <w:sz w:val="84"/>
        </w:rPr>
      </w:pPr>
    </w:p>
    <w:p>
      <w:pPr>
        <w:pStyle w:val="2"/>
        <w:spacing w:before="10"/>
        <w:rPr>
          <w:sz w:val="76"/>
        </w:rPr>
      </w:pPr>
    </w:p>
    <w:p>
      <w:pPr>
        <w:tabs>
          <w:tab w:val="left" w:pos="1659"/>
          <w:tab w:val="left" w:pos="2300"/>
        </w:tabs>
        <w:spacing w:before="0"/>
        <w:ind w:left="1019" w:right="0" w:firstLine="0"/>
        <w:jc w:val="left"/>
        <w:rPr>
          <w:sz w:val="32"/>
        </w:rPr>
      </w:pPr>
      <w:r>
        <w:rPr>
          <w:sz w:val="32"/>
        </w:rPr>
        <w:t>招</w:t>
      </w:r>
      <w:r>
        <w:rPr>
          <w:sz w:val="32"/>
        </w:rPr>
        <w:tab/>
      </w:r>
      <w:r>
        <w:rPr>
          <w:sz w:val="32"/>
        </w:rPr>
        <w:t>标</w:t>
      </w:r>
      <w:r>
        <w:rPr>
          <w:sz w:val="32"/>
        </w:rPr>
        <w:tab/>
      </w:r>
      <w:r>
        <w:rPr>
          <w:sz w:val="32"/>
        </w:rPr>
        <w:t>人：</w:t>
      </w:r>
      <w:r>
        <w:rPr>
          <w:sz w:val="32"/>
          <w:u w:val="single"/>
          <w:lang w:val="en-US"/>
        </w:rPr>
        <w:t>盐城市大丰区人民政府丰华街道办事处</w:t>
      </w:r>
      <w:r>
        <w:rPr>
          <w:sz w:val="32"/>
        </w:rPr>
        <w:t>（盖章）</w:t>
      </w:r>
    </w:p>
    <w:p>
      <w:pPr>
        <w:pStyle w:val="2"/>
        <w:spacing w:before="1"/>
        <w:rPr>
          <w:sz w:val="46"/>
        </w:rPr>
      </w:pPr>
    </w:p>
    <w:p>
      <w:pPr>
        <w:tabs>
          <w:tab w:val="left" w:pos="2315"/>
        </w:tabs>
        <w:spacing w:before="1" w:line="585" w:lineRule="auto"/>
        <w:ind w:left="1033" w:right="1046" w:hanging="15"/>
        <w:jc w:val="left"/>
        <w:rPr>
          <w:spacing w:val="-11"/>
          <w:sz w:val="32"/>
        </w:rPr>
      </w:pPr>
      <w:r>
        <w:rPr>
          <w:sz w:val="32"/>
        </w:rPr>
        <w:t>招标代理机构：</w:t>
      </w:r>
      <w:r>
        <w:rPr>
          <w:sz w:val="32"/>
          <w:u w:val="single"/>
          <w:lang w:val="en-US"/>
        </w:rPr>
        <w:t>江苏德通工程咨询有限公司</w:t>
      </w:r>
      <w:r>
        <w:rPr>
          <w:spacing w:val="-39"/>
          <w:sz w:val="32"/>
        </w:rPr>
        <w:t>（盖章</w:t>
      </w:r>
      <w:r>
        <w:rPr>
          <w:spacing w:val="-11"/>
          <w:sz w:val="32"/>
        </w:rPr>
        <w:t xml:space="preserve">） </w:t>
      </w:r>
    </w:p>
    <w:p>
      <w:pPr>
        <w:tabs>
          <w:tab w:val="left" w:pos="2315"/>
        </w:tabs>
        <w:spacing w:before="1" w:line="585" w:lineRule="auto"/>
        <w:ind w:left="1033" w:right="1046" w:hanging="15"/>
        <w:jc w:val="left"/>
        <w:rPr>
          <w:sz w:val="32"/>
        </w:rPr>
      </w:pPr>
      <w:r>
        <w:rPr>
          <w:sz w:val="32"/>
        </w:rPr>
        <w:t>日</w:t>
      </w:r>
      <w:r>
        <w:rPr>
          <w:sz w:val="32"/>
        </w:rPr>
        <w:tab/>
      </w:r>
      <w:r>
        <w:rPr>
          <w:sz w:val="32"/>
        </w:rPr>
        <w:t>期：</w:t>
      </w:r>
      <w:r>
        <w:rPr>
          <w:spacing w:val="-1"/>
          <w:sz w:val="32"/>
        </w:rPr>
        <w:t xml:space="preserve"> </w:t>
      </w:r>
      <w:r>
        <w:rPr>
          <w:sz w:val="32"/>
        </w:rPr>
        <w:t>202</w:t>
      </w:r>
      <w:r>
        <w:rPr>
          <w:rFonts w:hint="default"/>
          <w:sz w:val="32"/>
          <w:lang w:val="en-US"/>
        </w:rPr>
        <w:t>1</w:t>
      </w:r>
      <w:r>
        <w:rPr>
          <w:spacing w:val="-80"/>
          <w:sz w:val="32"/>
        </w:rPr>
        <w:t xml:space="preserve"> </w:t>
      </w:r>
      <w:r>
        <w:rPr>
          <w:sz w:val="32"/>
        </w:rPr>
        <w:t>年</w:t>
      </w:r>
      <w:r>
        <w:rPr>
          <w:rFonts w:hint="default"/>
          <w:sz w:val="32"/>
          <w:lang w:val="en-US"/>
        </w:rPr>
        <w:t xml:space="preserve"> </w:t>
      </w:r>
      <w:r>
        <w:rPr>
          <w:spacing w:val="-81"/>
          <w:sz w:val="32"/>
        </w:rPr>
        <w:t xml:space="preserve"> </w:t>
      </w:r>
      <w:r>
        <w:rPr>
          <w:rFonts w:hint="default"/>
          <w:sz w:val="32"/>
          <w:lang w:val="en-US"/>
        </w:rPr>
        <w:t xml:space="preserve">9 </w:t>
      </w:r>
      <w:r>
        <w:rPr>
          <w:sz w:val="32"/>
        </w:rPr>
        <w:t>月</w:t>
      </w:r>
    </w:p>
    <w:p>
      <w:pPr>
        <w:spacing w:after="0" w:line="585" w:lineRule="auto"/>
        <w:jc w:val="left"/>
        <w:rPr>
          <w:sz w:val="32"/>
        </w:rPr>
        <w:sectPr>
          <w:type w:val="continuous"/>
          <w:pgSz w:w="11910" w:h="16840"/>
          <w:pgMar w:top="1580" w:right="580" w:bottom="280" w:left="740" w:header="720" w:footer="720" w:gutter="0"/>
          <w:cols w:space="720" w:num="1"/>
        </w:sectPr>
      </w:pPr>
    </w:p>
    <w:p>
      <w:pPr>
        <w:spacing w:before="36"/>
        <w:ind w:left="0" w:right="932" w:firstLine="0"/>
        <w:jc w:val="center"/>
        <w:rPr>
          <w:sz w:val="36"/>
        </w:rPr>
      </w:pPr>
      <w:r>
        <w:rPr>
          <w:sz w:val="36"/>
        </w:rPr>
        <w:t>不见面开标须知</w:t>
      </w:r>
    </w:p>
    <w:p>
      <w:pPr>
        <w:pStyle w:val="6"/>
        <w:spacing w:before="239"/>
        <w:rPr>
          <w:b w:val="0"/>
          <w:bCs w:val="0"/>
          <w:sz w:val="24"/>
          <w:szCs w:val="24"/>
        </w:rPr>
      </w:pPr>
      <w:r>
        <w:rPr>
          <w:b w:val="0"/>
          <w:bCs w:val="0"/>
          <w:sz w:val="24"/>
          <w:szCs w:val="24"/>
        </w:rPr>
        <w:t>各潜在投标单位：</w:t>
      </w:r>
    </w:p>
    <w:p>
      <w:pPr>
        <w:pStyle w:val="6"/>
        <w:spacing w:before="159" w:line="364" w:lineRule="auto"/>
        <w:ind w:left="235" w:leftChars="0" w:right="1038" w:rightChars="472" w:firstLine="1060" w:firstLineChars="0"/>
        <w:rPr>
          <w:b w:val="0"/>
          <w:bCs w:val="0"/>
          <w:sz w:val="24"/>
          <w:szCs w:val="24"/>
        </w:rPr>
      </w:pPr>
      <w:r>
        <w:rPr>
          <w:b w:val="0"/>
          <w:bCs w:val="0"/>
          <w:sz w:val="24"/>
          <w:szCs w:val="24"/>
        </w:rPr>
        <w:t>1、根据《国务院办公厅转发国家发展改革委关于深化公共资源交易平台整合共享指</w:t>
      </w:r>
      <w:r>
        <w:rPr>
          <w:b w:val="0"/>
          <w:bCs w:val="0"/>
          <w:spacing w:val="-4"/>
          <w:sz w:val="24"/>
          <w:szCs w:val="24"/>
        </w:rPr>
        <w:t>导意见的通知》</w:t>
      </w:r>
      <w:r>
        <w:rPr>
          <w:b w:val="0"/>
          <w:bCs w:val="0"/>
          <w:spacing w:val="-3"/>
          <w:sz w:val="24"/>
          <w:szCs w:val="24"/>
        </w:rPr>
        <w:t>（</w:t>
      </w:r>
      <w:r>
        <w:rPr>
          <w:b w:val="0"/>
          <w:bCs w:val="0"/>
          <w:spacing w:val="-4"/>
          <w:sz w:val="24"/>
          <w:szCs w:val="24"/>
        </w:rPr>
        <w:t>国办函〔</w:t>
      </w:r>
      <w:r>
        <w:rPr>
          <w:b w:val="0"/>
          <w:bCs w:val="0"/>
          <w:sz w:val="24"/>
          <w:szCs w:val="24"/>
        </w:rPr>
        <w:t>2019</w:t>
      </w:r>
      <w:r>
        <w:rPr>
          <w:b w:val="0"/>
          <w:bCs w:val="0"/>
          <w:spacing w:val="-12"/>
          <w:sz w:val="24"/>
          <w:szCs w:val="24"/>
        </w:rPr>
        <w:t>〕</w:t>
      </w:r>
      <w:r>
        <w:rPr>
          <w:b w:val="0"/>
          <w:bCs w:val="0"/>
          <w:sz w:val="24"/>
          <w:szCs w:val="24"/>
        </w:rPr>
        <w:t>41</w:t>
      </w:r>
      <w:r>
        <w:rPr>
          <w:b w:val="0"/>
          <w:bCs w:val="0"/>
          <w:spacing w:val="-30"/>
          <w:sz w:val="24"/>
          <w:szCs w:val="24"/>
        </w:rPr>
        <w:t xml:space="preserve"> 号</w:t>
      </w:r>
      <w:r>
        <w:rPr>
          <w:b w:val="0"/>
          <w:bCs w:val="0"/>
          <w:spacing w:val="-12"/>
          <w:sz w:val="24"/>
          <w:szCs w:val="24"/>
        </w:rPr>
        <w:t>）</w:t>
      </w:r>
      <w:r>
        <w:rPr>
          <w:b w:val="0"/>
          <w:bCs w:val="0"/>
          <w:spacing w:val="-5"/>
          <w:sz w:val="24"/>
          <w:szCs w:val="24"/>
        </w:rPr>
        <w:t>、国家发改委发布《关于积极应对疫情创新做好</w:t>
      </w:r>
      <w:r>
        <w:rPr>
          <w:b w:val="0"/>
          <w:bCs w:val="0"/>
          <w:spacing w:val="-3"/>
          <w:sz w:val="24"/>
          <w:szCs w:val="24"/>
        </w:rPr>
        <w:t>招投标工作保障经济平稳运行的通知》等文件精神，全面逐步推行不见面投标开标等招投</w:t>
      </w:r>
      <w:r>
        <w:rPr>
          <w:b w:val="0"/>
          <w:bCs w:val="0"/>
          <w:spacing w:val="-6"/>
          <w:sz w:val="24"/>
          <w:szCs w:val="24"/>
        </w:rPr>
        <w:t>标活动。结合当前疫情防控要求，本项目开标方式为不见面纸质文件开标。开标当日，投</w:t>
      </w:r>
      <w:r>
        <w:rPr>
          <w:b w:val="0"/>
          <w:bCs w:val="0"/>
          <w:sz w:val="24"/>
          <w:szCs w:val="24"/>
        </w:rPr>
        <w:t>标人无需到达开标现场，仅需在任意地点通过 PC</w:t>
      </w:r>
      <w:r>
        <w:rPr>
          <w:b w:val="0"/>
          <w:bCs w:val="0"/>
          <w:spacing w:val="-8"/>
          <w:sz w:val="24"/>
          <w:szCs w:val="24"/>
        </w:rPr>
        <w:t xml:space="preserve"> 端或移动端的“腾讯会议”及相应的配套硬件设备参加开标会议。</w:t>
      </w:r>
    </w:p>
    <w:p>
      <w:pPr>
        <w:pStyle w:val="6"/>
        <w:spacing w:line="364" w:lineRule="auto"/>
        <w:ind w:left="235" w:leftChars="0" w:right="1038" w:rightChars="472" w:firstLine="1060" w:firstLineChars="0"/>
        <w:rPr>
          <w:b w:val="0"/>
          <w:bCs w:val="0"/>
          <w:sz w:val="24"/>
          <w:szCs w:val="24"/>
        </w:rPr>
      </w:pPr>
      <w:r>
        <w:rPr>
          <w:b w:val="0"/>
          <w:bCs w:val="0"/>
          <w:sz w:val="24"/>
          <w:szCs w:val="24"/>
        </w:rPr>
        <w:t>参加会议的方法（必选）：电脑或智能手机可以搜索下载并安装“腾讯会议”，注册</w:t>
      </w:r>
      <w:r>
        <w:rPr>
          <w:b w:val="0"/>
          <w:bCs w:val="0"/>
          <w:w w:val="95"/>
          <w:sz w:val="24"/>
          <w:szCs w:val="24"/>
        </w:rPr>
        <w:t>完成后点击“加入会议”，输入会议号“</w:t>
      </w:r>
      <w:r>
        <w:rPr>
          <w:rFonts w:hint="eastAsia"/>
          <w:b w:val="0"/>
          <w:bCs w:val="0"/>
          <w:color w:val="auto"/>
          <w:w w:val="95"/>
          <w:sz w:val="24"/>
          <w:szCs w:val="24"/>
          <w:u w:val="single"/>
          <w:lang w:val="en-US" w:eastAsia="zh-CN"/>
        </w:rPr>
        <w:t>330 441 572</w:t>
      </w:r>
      <w:r>
        <w:rPr>
          <w:b w:val="0"/>
          <w:bCs w:val="0"/>
          <w:w w:val="95"/>
          <w:sz w:val="24"/>
          <w:szCs w:val="24"/>
        </w:rPr>
        <w:t xml:space="preserve">”，“您的姓名”按“单位简称+授权  </w:t>
      </w:r>
      <w:r>
        <w:rPr>
          <w:b w:val="0"/>
          <w:bCs w:val="0"/>
          <w:sz w:val="24"/>
          <w:szCs w:val="24"/>
        </w:rPr>
        <w:t>委托人姓名”格式填写，然后点击“加入会议”。会议系统将在投标截止时间前 10 分钟开放。</w:t>
      </w:r>
    </w:p>
    <w:p>
      <w:pPr>
        <w:pStyle w:val="6"/>
        <w:spacing w:line="305" w:lineRule="exact"/>
        <w:ind w:left="704"/>
        <w:rPr>
          <w:b w:val="0"/>
          <w:bCs w:val="0"/>
          <w:sz w:val="24"/>
          <w:szCs w:val="24"/>
        </w:rPr>
      </w:pPr>
      <w:r>
        <w:rPr>
          <w:b w:val="0"/>
          <w:bCs w:val="0"/>
          <w:sz w:val="24"/>
          <w:szCs w:val="24"/>
        </w:rPr>
        <w:t>2、因本项目采用不见面纸质开标模式，故招标人特别说明如下：</w:t>
      </w:r>
    </w:p>
    <w:p>
      <w:pPr>
        <w:pStyle w:val="21"/>
        <w:numPr>
          <w:ilvl w:val="0"/>
          <w:numId w:val="0"/>
        </w:numPr>
        <w:tabs>
          <w:tab w:val="left" w:pos="1125"/>
        </w:tabs>
        <w:spacing w:before="156" w:after="0" w:line="364" w:lineRule="auto"/>
        <w:ind w:left="442" w:leftChars="201" w:right="1154" w:rightChars="0" w:firstLine="259" w:firstLineChars="108"/>
        <w:jc w:val="both"/>
        <w:rPr>
          <w:b/>
          <w:bCs/>
          <w:sz w:val="24"/>
          <w:szCs w:val="24"/>
        </w:rPr>
      </w:pPr>
      <w:r>
        <w:rPr>
          <w:rFonts w:hint="default"/>
          <w:b w:val="0"/>
          <w:bCs w:val="0"/>
          <w:sz w:val="24"/>
          <w:szCs w:val="24"/>
          <w:lang w:val="en-US"/>
        </w:rPr>
        <w:t xml:space="preserve">2.1 </w:t>
      </w:r>
      <w:r>
        <w:rPr>
          <w:b w:val="0"/>
          <w:bCs w:val="0"/>
          <w:sz w:val="24"/>
          <w:szCs w:val="24"/>
        </w:rPr>
        <w:t>投标人投标文件的编制和递交，应依照招标文件的规定进行。如未按招标文件要</w:t>
      </w:r>
      <w:r>
        <w:rPr>
          <w:b w:val="0"/>
          <w:bCs w:val="0"/>
          <w:spacing w:val="-5"/>
          <w:sz w:val="24"/>
          <w:szCs w:val="24"/>
        </w:rPr>
        <w:t>求编制、递交投标文件，将可能导致废标，其后果由投标人自负。</w:t>
      </w:r>
      <w:r>
        <w:rPr>
          <w:b/>
          <w:bCs/>
          <w:spacing w:val="-3"/>
          <w:sz w:val="24"/>
          <w:szCs w:val="24"/>
        </w:rPr>
        <w:t>特别说明：由于本项目</w:t>
      </w:r>
      <w:r>
        <w:rPr>
          <w:b/>
          <w:bCs/>
          <w:spacing w:val="-7"/>
          <w:sz w:val="24"/>
          <w:szCs w:val="24"/>
        </w:rPr>
        <w:t>时间紧、任务重，又恰逢防控新型冠状病毒肺炎疫情期，因某种原因无法在规定的时间内</w:t>
      </w:r>
      <w:r>
        <w:rPr>
          <w:b/>
          <w:bCs/>
          <w:spacing w:val="-11"/>
          <w:w w:val="95"/>
          <w:sz w:val="24"/>
          <w:szCs w:val="24"/>
        </w:rPr>
        <w:t xml:space="preserve">递交投标文件的，视同放弃此次投标机会，不得向招标人、监管部门、招标代理机构等所   </w:t>
      </w:r>
      <w:r>
        <w:rPr>
          <w:b/>
          <w:bCs/>
          <w:spacing w:val="-11"/>
          <w:sz w:val="24"/>
          <w:szCs w:val="24"/>
        </w:rPr>
        <w:t>有相关部门追责。</w:t>
      </w:r>
    </w:p>
    <w:p>
      <w:pPr>
        <w:pStyle w:val="6"/>
        <w:numPr>
          <w:ilvl w:val="0"/>
          <w:numId w:val="0"/>
        </w:numPr>
        <w:tabs>
          <w:tab w:val="left" w:pos="1125"/>
        </w:tabs>
        <w:spacing w:before="0" w:after="0" w:line="362" w:lineRule="auto"/>
        <w:ind w:left="442" w:leftChars="201" w:right="1193" w:rightChars="0" w:firstLine="257" w:firstLineChars="108"/>
        <w:jc w:val="both"/>
        <w:rPr>
          <w:b w:val="0"/>
          <w:bCs w:val="0"/>
          <w:sz w:val="24"/>
          <w:szCs w:val="24"/>
        </w:rPr>
      </w:pPr>
      <w:r>
        <w:rPr>
          <w:rFonts w:hint="default"/>
          <w:b w:val="0"/>
          <w:bCs w:val="0"/>
          <w:spacing w:val="-1"/>
          <w:sz w:val="24"/>
          <w:szCs w:val="24"/>
          <w:lang w:val="en-US"/>
        </w:rPr>
        <w:t xml:space="preserve">2.2 </w:t>
      </w:r>
      <w:r>
        <w:rPr>
          <w:b w:val="0"/>
          <w:bCs w:val="0"/>
          <w:spacing w:val="-1"/>
          <w:sz w:val="24"/>
          <w:szCs w:val="24"/>
        </w:rPr>
        <w:t>开标当日，投标人提交纸质投标文件后可离开，不需要参加开标现场，开标会议</w:t>
      </w:r>
      <w:r>
        <w:rPr>
          <w:b w:val="0"/>
          <w:bCs w:val="0"/>
          <w:spacing w:val="-12"/>
          <w:sz w:val="24"/>
          <w:szCs w:val="24"/>
        </w:rPr>
        <w:t xml:space="preserve">视频按第 </w:t>
      </w:r>
      <w:r>
        <w:rPr>
          <w:b w:val="0"/>
          <w:bCs w:val="0"/>
          <w:sz w:val="24"/>
          <w:szCs w:val="24"/>
        </w:rPr>
        <w:t>1</w:t>
      </w:r>
      <w:r>
        <w:rPr>
          <w:b w:val="0"/>
          <w:bCs w:val="0"/>
          <w:spacing w:val="-9"/>
          <w:sz w:val="24"/>
          <w:szCs w:val="24"/>
        </w:rPr>
        <w:t xml:space="preserve"> 条方法进行。</w:t>
      </w:r>
    </w:p>
    <w:p>
      <w:pPr>
        <w:pStyle w:val="6"/>
        <w:numPr>
          <w:ilvl w:val="0"/>
          <w:numId w:val="0"/>
        </w:numPr>
        <w:tabs>
          <w:tab w:val="left" w:pos="1125"/>
        </w:tabs>
        <w:spacing w:before="1" w:after="0" w:line="364" w:lineRule="auto"/>
        <w:ind w:left="442" w:leftChars="201" w:right="1154" w:rightChars="0" w:firstLine="237" w:firstLineChars="108"/>
        <w:jc w:val="both"/>
        <w:rPr>
          <w:b w:val="0"/>
          <w:bCs w:val="0"/>
          <w:sz w:val="24"/>
          <w:szCs w:val="24"/>
        </w:rPr>
      </w:pPr>
      <w:r>
        <w:rPr>
          <w:rFonts w:hint="default"/>
          <w:b w:val="0"/>
          <w:bCs w:val="0"/>
          <w:spacing w:val="-10"/>
          <w:sz w:val="24"/>
          <w:szCs w:val="24"/>
          <w:lang w:val="en-US"/>
        </w:rPr>
        <w:t xml:space="preserve">2.3 </w:t>
      </w:r>
      <w:r>
        <w:rPr>
          <w:b w:val="0"/>
          <w:bCs w:val="0"/>
          <w:spacing w:val="-10"/>
          <w:sz w:val="24"/>
          <w:szCs w:val="24"/>
        </w:rPr>
        <w:t xml:space="preserve">开标时间前 </w:t>
      </w:r>
      <w:r>
        <w:rPr>
          <w:b w:val="0"/>
          <w:bCs w:val="0"/>
          <w:sz w:val="24"/>
          <w:szCs w:val="24"/>
        </w:rPr>
        <w:t>10</w:t>
      </w:r>
      <w:r>
        <w:rPr>
          <w:b w:val="0"/>
          <w:bCs w:val="0"/>
          <w:spacing w:val="-13"/>
          <w:sz w:val="24"/>
          <w:szCs w:val="24"/>
        </w:rPr>
        <w:t xml:space="preserve"> 分钟，招标人、招标代理机构提前进入开标会议系统，播放测试音</w:t>
      </w:r>
      <w:r>
        <w:rPr>
          <w:b w:val="0"/>
          <w:bCs w:val="0"/>
          <w:spacing w:val="-6"/>
          <w:sz w:val="24"/>
          <w:szCs w:val="24"/>
        </w:rPr>
        <w:t>频，各投标人的授权委托人或法人代表于规定时间内进入开标会议系统收听观看实时音视</w:t>
      </w:r>
      <w:r>
        <w:rPr>
          <w:b w:val="0"/>
          <w:bCs w:val="0"/>
          <w:spacing w:val="-3"/>
          <w:sz w:val="24"/>
          <w:szCs w:val="24"/>
        </w:rPr>
        <w:t>频交互并及时在讨论组中反馈，未按时加入开标会议系统的或未能在开标会议系统内全程</w:t>
      </w:r>
      <w:r>
        <w:rPr>
          <w:b w:val="0"/>
          <w:bCs w:val="0"/>
          <w:spacing w:val="-5"/>
          <w:sz w:val="24"/>
          <w:szCs w:val="24"/>
        </w:rPr>
        <w:t>参与交互的，视为放弃交互和放弃对开标全过程提疑的权利，投标人无法看到唱标、开标</w:t>
      </w:r>
      <w:r>
        <w:rPr>
          <w:b w:val="0"/>
          <w:bCs w:val="0"/>
          <w:sz w:val="24"/>
          <w:szCs w:val="24"/>
        </w:rPr>
        <w:t>结果等实时情况，导致的一切后果由投标人承担。</w:t>
      </w:r>
    </w:p>
    <w:p>
      <w:pPr>
        <w:pStyle w:val="6"/>
        <w:numPr>
          <w:ilvl w:val="0"/>
          <w:numId w:val="0"/>
        </w:numPr>
        <w:tabs>
          <w:tab w:val="left" w:pos="1125"/>
        </w:tabs>
        <w:spacing w:before="0" w:after="0" w:line="364" w:lineRule="auto"/>
        <w:ind w:left="442" w:leftChars="201" w:right="1154" w:rightChars="0" w:firstLine="259" w:firstLineChars="108"/>
        <w:jc w:val="both"/>
        <w:rPr>
          <w:b w:val="0"/>
          <w:bCs w:val="0"/>
          <w:sz w:val="24"/>
          <w:szCs w:val="24"/>
        </w:rPr>
      </w:pPr>
      <w:r>
        <w:rPr>
          <w:rFonts w:hint="default"/>
          <w:b w:val="0"/>
          <w:bCs w:val="0"/>
          <w:sz w:val="24"/>
          <w:szCs w:val="24"/>
          <w:lang w:val="en-US"/>
        </w:rPr>
        <w:t>2.4</w:t>
      </w:r>
      <w:r>
        <w:rPr>
          <w:b w:val="0"/>
          <w:bCs w:val="0"/>
          <w:sz w:val="24"/>
          <w:szCs w:val="24"/>
        </w:rPr>
        <w:t>开标全过程中，各投标人参与远程交互的授权委托人或法人代表应始终为同一个</w:t>
      </w:r>
      <w:r>
        <w:rPr>
          <w:b w:val="0"/>
          <w:bCs w:val="0"/>
          <w:spacing w:val="-6"/>
          <w:sz w:val="24"/>
          <w:szCs w:val="24"/>
        </w:rPr>
        <w:t>人，中途不得更换，在废标、澄清、提疑等特殊情况下需要交互时，投标人一端参与交互</w:t>
      </w:r>
    </w:p>
    <w:p>
      <w:pPr>
        <w:spacing w:after="0" w:line="364" w:lineRule="auto"/>
        <w:ind w:left="442" w:leftChars="201" w:firstLine="259" w:firstLineChars="108"/>
        <w:jc w:val="both"/>
        <w:rPr>
          <w:b w:val="0"/>
          <w:bCs w:val="0"/>
          <w:sz w:val="24"/>
          <w:szCs w:val="24"/>
        </w:rPr>
        <w:sectPr>
          <w:footerReference r:id="rId5" w:type="default"/>
          <w:pgSz w:w="12240" w:h="15840"/>
          <w:pgMar w:top="1400" w:right="300" w:bottom="920" w:left="1220" w:header="0" w:footer="720" w:gutter="0"/>
          <w:pgNumType w:fmt="decimal" w:start="1"/>
          <w:cols w:space="720" w:num="1"/>
        </w:sectPr>
      </w:pPr>
    </w:p>
    <w:p>
      <w:pPr>
        <w:pStyle w:val="6"/>
        <w:spacing w:before="56" w:line="362" w:lineRule="auto"/>
        <w:ind w:left="442" w:leftChars="201" w:right="1105" w:firstLine="259" w:firstLineChars="108"/>
        <w:rPr>
          <w:b w:val="0"/>
          <w:bCs w:val="0"/>
          <w:sz w:val="24"/>
          <w:szCs w:val="24"/>
        </w:rPr>
      </w:pPr>
      <w:r>
        <w:rPr>
          <w:b w:val="0"/>
          <w:bCs w:val="0"/>
          <w:sz w:val="24"/>
          <w:szCs w:val="24"/>
        </w:rPr>
        <w:t>的人员将均被视为是投标人的授权委托人或法人代表，投标人不得以不承认交互人员的资格或身份等为借口抵赖推脱，投标人自行承担随意更换人员所导致的一切后果。</w:t>
      </w:r>
    </w:p>
    <w:p>
      <w:pPr>
        <w:pStyle w:val="6"/>
        <w:numPr>
          <w:ilvl w:val="0"/>
          <w:numId w:val="0"/>
        </w:numPr>
        <w:tabs>
          <w:tab w:val="left" w:pos="1125"/>
        </w:tabs>
        <w:spacing w:before="5" w:after="0" w:line="364" w:lineRule="auto"/>
        <w:ind w:left="442" w:leftChars="201" w:right="1154" w:rightChars="0" w:firstLine="259" w:firstLineChars="108"/>
        <w:jc w:val="both"/>
        <w:rPr>
          <w:b w:val="0"/>
          <w:bCs w:val="0"/>
          <w:sz w:val="24"/>
          <w:szCs w:val="24"/>
        </w:rPr>
      </w:pPr>
      <w:r>
        <w:rPr>
          <w:rFonts w:hint="default"/>
          <w:b w:val="0"/>
          <w:bCs w:val="0"/>
          <w:sz w:val="24"/>
          <w:szCs w:val="24"/>
          <w:lang w:val="en-US"/>
        </w:rPr>
        <w:t xml:space="preserve">2.5 </w:t>
      </w:r>
      <w:r>
        <w:rPr>
          <w:b w:val="0"/>
          <w:bCs w:val="0"/>
          <w:sz w:val="24"/>
          <w:szCs w:val="24"/>
        </w:rPr>
        <w:t>为顺利实现本项目开评标的远程交互，建议投标人配置能够实现远程音视频通话</w:t>
      </w:r>
      <w:r>
        <w:rPr>
          <w:b w:val="0"/>
          <w:bCs w:val="0"/>
          <w:spacing w:val="-5"/>
          <w:sz w:val="24"/>
          <w:szCs w:val="24"/>
        </w:rPr>
        <w:t>的高配置笔记本电脑、进入开标会议后确保网络通畅、稳定，为保证交互效果，建议投标</w:t>
      </w:r>
      <w:r>
        <w:rPr>
          <w:b w:val="0"/>
          <w:bCs w:val="0"/>
          <w:spacing w:val="-3"/>
          <w:sz w:val="24"/>
          <w:szCs w:val="24"/>
        </w:rPr>
        <w:t>人选择封闭安静的地点参与远程交互。因投标人自身软硬件配备不齐全或发生故障等问题</w:t>
      </w:r>
      <w:r>
        <w:rPr>
          <w:b w:val="0"/>
          <w:bCs w:val="0"/>
          <w:sz w:val="24"/>
          <w:szCs w:val="24"/>
        </w:rPr>
        <w:t>而导致在交互过程中出现不稳定或中断等情况的，由投标人自身承担一切后果。</w:t>
      </w:r>
    </w:p>
    <w:p>
      <w:pPr>
        <w:pStyle w:val="6"/>
        <w:spacing w:line="364" w:lineRule="auto"/>
        <w:ind w:left="442" w:leftChars="201" w:right="1253" w:firstLine="259" w:firstLineChars="108"/>
        <w:rPr>
          <w:b w:val="0"/>
          <w:bCs w:val="0"/>
          <w:sz w:val="24"/>
          <w:szCs w:val="24"/>
        </w:rPr>
      </w:pPr>
      <w:r>
        <w:rPr>
          <w:b w:val="0"/>
          <w:bCs w:val="0"/>
          <w:sz w:val="24"/>
          <w:szCs w:val="24"/>
        </w:rPr>
        <w:t>3、友情提醒：投标人如对上述腾讯会议软件等有疑问的，请尽早和软件公司的服务人员或其他专业人员联系，他们会根据投标人要求，提供必要的培训和技术支持。</w:t>
      </w:r>
    </w:p>
    <w:p>
      <w:pPr>
        <w:pStyle w:val="5"/>
        <w:spacing w:line="306" w:lineRule="exact"/>
        <w:rPr>
          <w:b/>
          <w:bCs/>
          <w:sz w:val="24"/>
          <w:szCs w:val="24"/>
        </w:rPr>
      </w:pPr>
      <w:r>
        <w:rPr>
          <w:b/>
          <w:bCs/>
          <w:sz w:val="24"/>
          <w:szCs w:val="24"/>
        </w:rPr>
        <w:t>腾讯客服联系方式：0755-83765566</w:t>
      </w:r>
    </w:p>
    <w:p>
      <w:pPr>
        <w:pStyle w:val="2"/>
        <w:spacing w:before="2"/>
        <w:rPr>
          <w:b/>
          <w:bCs/>
          <w:sz w:val="24"/>
          <w:szCs w:val="24"/>
        </w:rPr>
      </w:pPr>
    </w:p>
    <w:p>
      <w:pPr>
        <w:pStyle w:val="5"/>
        <w:tabs>
          <w:tab w:val="left" w:pos="6246"/>
        </w:tabs>
        <w:rPr>
          <w:rFonts w:hint="default" w:eastAsia="宋体"/>
          <w:b/>
          <w:bCs/>
          <w:sz w:val="24"/>
          <w:szCs w:val="24"/>
          <w:lang w:val="en-US" w:eastAsia="zh-CN"/>
        </w:rPr>
      </w:pPr>
      <w:r>
        <w:rPr>
          <w:b/>
          <w:bCs/>
          <w:sz w:val="24"/>
          <w:szCs w:val="24"/>
        </w:rPr>
        <w:t>招标代理业务技术支持联系人：</w:t>
      </w:r>
      <w:r>
        <w:rPr>
          <w:rFonts w:hint="eastAsia"/>
          <w:b/>
          <w:bCs/>
          <w:sz w:val="24"/>
          <w:szCs w:val="24"/>
          <w:lang w:eastAsia="zh-CN"/>
        </w:rPr>
        <w:t>易晗</w:t>
      </w:r>
      <w:r>
        <w:rPr>
          <w:b/>
          <w:bCs/>
          <w:sz w:val="24"/>
          <w:szCs w:val="24"/>
        </w:rPr>
        <w:tab/>
      </w:r>
      <w:r>
        <w:rPr>
          <w:b/>
          <w:bCs/>
          <w:sz w:val="24"/>
          <w:szCs w:val="24"/>
        </w:rPr>
        <w:t>联系电话：</w:t>
      </w:r>
      <w:r>
        <w:rPr>
          <w:rFonts w:hint="eastAsia"/>
          <w:b/>
          <w:bCs/>
          <w:sz w:val="24"/>
          <w:szCs w:val="24"/>
          <w:lang w:val="en-US" w:eastAsia="zh-CN"/>
        </w:rPr>
        <w:t>15358270067</w:t>
      </w:r>
    </w:p>
    <w:p>
      <w:pPr>
        <w:pStyle w:val="2"/>
        <w:rPr>
          <w:b/>
          <w:sz w:val="24"/>
        </w:rPr>
      </w:pPr>
    </w:p>
    <w:p>
      <w:pPr>
        <w:pStyle w:val="2"/>
        <w:spacing w:before="3"/>
        <w:rPr>
          <w:b/>
          <w:sz w:val="14"/>
        </w:rPr>
      </w:pPr>
    </w:p>
    <w:p>
      <w:pPr>
        <w:spacing w:before="38"/>
        <w:ind w:left="410" w:right="571" w:firstLine="0"/>
        <w:jc w:val="center"/>
        <w:rPr>
          <w:b/>
          <w:sz w:val="44"/>
        </w:rPr>
      </w:pPr>
    </w:p>
    <w:p>
      <w:pPr>
        <w:spacing w:before="38"/>
        <w:ind w:left="410" w:right="571" w:firstLine="0"/>
        <w:jc w:val="center"/>
        <w:rPr>
          <w:b/>
          <w:sz w:val="44"/>
        </w:rPr>
      </w:pPr>
    </w:p>
    <w:p>
      <w:pPr>
        <w:spacing w:before="38"/>
        <w:ind w:left="410" w:right="571" w:firstLine="0"/>
        <w:jc w:val="center"/>
        <w:rPr>
          <w:b/>
          <w:sz w:val="44"/>
        </w:rPr>
      </w:pPr>
    </w:p>
    <w:p>
      <w:pPr>
        <w:spacing w:before="38"/>
        <w:ind w:left="410" w:right="571" w:firstLine="0"/>
        <w:jc w:val="center"/>
        <w:rPr>
          <w:b/>
          <w:sz w:val="44"/>
        </w:rPr>
      </w:pPr>
    </w:p>
    <w:p>
      <w:pPr>
        <w:spacing w:before="38"/>
        <w:ind w:left="410" w:right="571" w:firstLine="0"/>
        <w:jc w:val="center"/>
        <w:rPr>
          <w:b/>
          <w:sz w:val="44"/>
        </w:rPr>
      </w:pPr>
    </w:p>
    <w:p>
      <w:pPr>
        <w:spacing w:before="38"/>
        <w:ind w:left="410" w:right="571" w:firstLine="0"/>
        <w:jc w:val="center"/>
        <w:rPr>
          <w:b/>
          <w:sz w:val="44"/>
        </w:rPr>
      </w:pPr>
    </w:p>
    <w:p>
      <w:pPr>
        <w:spacing w:before="38"/>
        <w:ind w:left="410" w:right="571" w:firstLine="0"/>
        <w:jc w:val="center"/>
        <w:rPr>
          <w:b/>
          <w:sz w:val="44"/>
        </w:rPr>
      </w:pPr>
    </w:p>
    <w:p>
      <w:pPr>
        <w:spacing w:before="38"/>
        <w:ind w:left="410" w:right="571" w:firstLine="0"/>
        <w:jc w:val="center"/>
        <w:rPr>
          <w:b/>
          <w:sz w:val="44"/>
        </w:rPr>
      </w:pPr>
    </w:p>
    <w:p>
      <w:pPr>
        <w:spacing w:before="38"/>
        <w:ind w:left="410" w:right="571" w:firstLine="0"/>
        <w:jc w:val="center"/>
        <w:rPr>
          <w:b/>
          <w:sz w:val="44"/>
        </w:rPr>
      </w:pPr>
    </w:p>
    <w:p>
      <w:pPr>
        <w:spacing w:before="38"/>
        <w:ind w:left="410" w:right="571" w:firstLine="0"/>
        <w:jc w:val="center"/>
        <w:rPr>
          <w:b/>
          <w:sz w:val="44"/>
        </w:rPr>
      </w:pPr>
    </w:p>
    <w:p>
      <w:pPr>
        <w:spacing w:before="38"/>
        <w:ind w:left="410" w:right="571" w:firstLine="0"/>
        <w:jc w:val="center"/>
        <w:rPr>
          <w:b/>
          <w:sz w:val="44"/>
        </w:rPr>
      </w:pPr>
    </w:p>
    <w:p>
      <w:pPr>
        <w:spacing w:before="38"/>
        <w:ind w:left="410" w:right="571" w:firstLine="0"/>
        <w:jc w:val="center"/>
        <w:rPr>
          <w:b/>
          <w:sz w:val="44"/>
        </w:rPr>
      </w:pPr>
    </w:p>
    <w:p>
      <w:pPr>
        <w:spacing w:line="360" w:lineRule="auto"/>
        <w:jc w:val="center"/>
        <w:rPr>
          <w:rFonts w:hint="eastAsia"/>
          <w:color w:val="000000"/>
          <w:sz w:val="48"/>
          <w:szCs w:val="48"/>
          <w:highlight w:val="white"/>
        </w:rPr>
      </w:pPr>
      <w:r>
        <w:rPr>
          <w:rFonts w:hint="eastAsia"/>
          <w:color w:val="000000"/>
          <w:sz w:val="48"/>
          <w:szCs w:val="48"/>
          <w:highlight w:val="white"/>
        </w:rPr>
        <w:t>目  录</w:t>
      </w:r>
    </w:p>
    <w:sdt>
      <w:sdtPr>
        <w:rPr>
          <w:rFonts w:ascii="宋体" w:hAnsi="宋体" w:eastAsia="宋体" w:cs="宋体"/>
          <w:sz w:val="21"/>
          <w:szCs w:val="22"/>
          <w:lang w:val="zh-CN" w:eastAsia="zh-CN" w:bidi="zh-CN"/>
        </w:rPr>
        <w:id w:val="147457050"/>
        <w15:color w:val="DBDBDB"/>
        <w:docPartObj>
          <w:docPartGallery w:val="Table of Contents"/>
          <w:docPartUnique/>
        </w:docPartObj>
      </w:sdtPr>
      <w:sdtEndPr>
        <w:rPr>
          <w:rFonts w:ascii="宋体" w:hAnsi="宋体" w:eastAsia="宋体" w:cs="宋体"/>
          <w:sz w:val="21"/>
          <w:szCs w:val="21"/>
          <w:lang w:val="zh-CN" w:eastAsia="zh-CN" w:bidi="zh-CN"/>
        </w:rPr>
      </w:sdtEndPr>
      <w:sdtContent>
        <w:p>
          <w:pPr>
            <w:spacing w:before="0" w:beforeLines="0" w:after="0" w:afterLines="0" w:line="240" w:lineRule="auto"/>
            <w:ind w:left="0" w:leftChars="0" w:right="0" w:rightChars="0" w:firstLine="0" w:firstLineChars="0"/>
            <w:jc w:val="center"/>
          </w:pPr>
        </w:p>
        <w:p>
          <w:pPr>
            <w:pStyle w:val="25"/>
            <w:tabs>
              <w:tab w:val="right" w:leader="dot" w:pos="10590"/>
            </w:tabs>
          </w:pPr>
          <w:r>
            <w:fldChar w:fldCharType="begin"/>
          </w:r>
          <w:r>
            <w:instrText xml:space="preserve">TOC \o "1-1" \h \u </w:instrText>
          </w:r>
          <w:r>
            <w:fldChar w:fldCharType="separate"/>
          </w:r>
          <w:r>
            <w:fldChar w:fldCharType="begin"/>
          </w:r>
          <w:r>
            <w:instrText xml:space="preserve"> HYPERLINK \l _Toc17317 </w:instrText>
          </w:r>
          <w:r>
            <w:fldChar w:fldCharType="separate"/>
          </w:r>
          <w:r>
            <w:t>第一章 招标公告</w:t>
          </w:r>
          <w:r>
            <w:tab/>
          </w:r>
          <w:r>
            <w:fldChar w:fldCharType="begin"/>
          </w:r>
          <w:r>
            <w:instrText xml:space="preserve"> PAGEREF _Toc17317 \h </w:instrText>
          </w:r>
          <w:r>
            <w:fldChar w:fldCharType="separate"/>
          </w:r>
          <w:r>
            <w:t>4</w:t>
          </w:r>
          <w:r>
            <w:fldChar w:fldCharType="end"/>
          </w:r>
          <w:r>
            <w:fldChar w:fldCharType="end"/>
          </w:r>
        </w:p>
        <w:p>
          <w:pPr>
            <w:pStyle w:val="25"/>
            <w:tabs>
              <w:tab w:val="right" w:pos="2000"/>
              <w:tab w:val="right" w:leader="dot" w:pos="10590"/>
            </w:tabs>
          </w:pPr>
          <w:r>
            <w:fldChar w:fldCharType="begin"/>
          </w:r>
          <w:r>
            <w:instrText xml:space="preserve"> HYPERLINK \l _Toc6817 </w:instrText>
          </w:r>
          <w:r>
            <w:fldChar w:fldCharType="separate"/>
          </w:r>
          <w:r>
            <w:t>第二章</w:t>
          </w:r>
          <w:r>
            <w:tab/>
          </w:r>
          <w:r>
            <w:t>投标人须知</w:t>
          </w:r>
          <w:r>
            <w:tab/>
          </w:r>
          <w:r>
            <w:fldChar w:fldCharType="begin"/>
          </w:r>
          <w:r>
            <w:instrText xml:space="preserve"> PAGEREF _Toc6817 \h </w:instrText>
          </w:r>
          <w:r>
            <w:fldChar w:fldCharType="separate"/>
          </w:r>
          <w:r>
            <w:t>7</w:t>
          </w:r>
          <w:r>
            <w:fldChar w:fldCharType="end"/>
          </w:r>
          <w:r>
            <w:fldChar w:fldCharType="end"/>
          </w:r>
        </w:p>
        <w:p>
          <w:pPr>
            <w:pStyle w:val="25"/>
            <w:tabs>
              <w:tab w:val="right" w:leader="dot" w:pos="10590"/>
            </w:tabs>
          </w:pPr>
          <w:r>
            <w:fldChar w:fldCharType="begin"/>
          </w:r>
          <w:r>
            <w:instrText xml:space="preserve"> HYPERLINK \l _Toc32128 </w:instrText>
          </w:r>
          <w:r>
            <w:fldChar w:fldCharType="separate"/>
          </w:r>
          <w:r>
            <w:t>第三章 评标办法（综合评分法）</w:t>
          </w:r>
          <w:r>
            <w:tab/>
          </w:r>
          <w:r>
            <w:fldChar w:fldCharType="begin"/>
          </w:r>
          <w:r>
            <w:instrText xml:space="preserve"> PAGEREF _Toc32128 \h </w:instrText>
          </w:r>
          <w:r>
            <w:fldChar w:fldCharType="separate"/>
          </w:r>
          <w:r>
            <w:t>24</w:t>
          </w:r>
          <w:r>
            <w:fldChar w:fldCharType="end"/>
          </w:r>
          <w:r>
            <w:fldChar w:fldCharType="end"/>
          </w:r>
        </w:p>
        <w:p>
          <w:pPr>
            <w:pStyle w:val="25"/>
            <w:tabs>
              <w:tab w:val="right" w:leader="dot" w:pos="10590"/>
            </w:tabs>
          </w:pPr>
          <w:r>
            <w:fldChar w:fldCharType="begin"/>
          </w:r>
          <w:r>
            <w:instrText xml:space="preserve"> HYPERLINK \l _Toc19292 </w:instrText>
          </w:r>
          <w:r>
            <w:fldChar w:fldCharType="separate"/>
          </w:r>
          <w:r>
            <w:t>第四章 合同条款及格式</w:t>
          </w:r>
          <w:r>
            <w:tab/>
          </w:r>
          <w:r>
            <w:fldChar w:fldCharType="begin"/>
          </w:r>
          <w:r>
            <w:instrText xml:space="preserve"> PAGEREF _Toc19292 \h </w:instrText>
          </w:r>
          <w:r>
            <w:fldChar w:fldCharType="separate"/>
          </w:r>
          <w:r>
            <w:t>29</w:t>
          </w:r>
          <w:r>
            <w:fldChar w:fldCharType="end"/>
          </w:r>
          <w:r>
            <w:fldChar w:fldCharType="end"/>
          </w:r>
        </w:p>
        <w:p>
          <w:pPr>
            <w:pStyle w:val="25"/>
            <w:tabs>
              <w:tab w:val="right" w:leader="dot" w:pos="10590"/>
            </w:tabs>
          </w:pPr>
          <w:r>
            <w:fldChar w:fldCharType="begin"/>
          </w:r>
          <w:r>
            <w:instrText xml:space="preserve"> HYPERLINK \l _Toc13458 </w:instrText>
          </w:r>
          <w:r>
            <w:fldChar w:fldCharType="separate"/>
          </w:r>
          <w:r>
            <w:t>第五章 采购需求</w:t>
          </w:r>
          <w:r>
            <w:tab/>
          </w:r>
          <w:r>
            <w:fldChar w:fldCharType="begin"/>
          </w:r>
          <w:r>
            <w:instrText xml:space="preserve"> PAGEREF _Toc13458 \h </w:instrText>
          </w:r>
          <w:r>
            <w:fldChar w:fldCharType="separate"/>
          </w:r>
          <w:r>
            <w:t>35</w:t>
          </w:r>
          <w:r>
            <w:fldChar w:fldCharType="end"/>
          </w:r>
          <w:r>
            <w:fldChar w:fldCharType="end"/>
          </w:r>
        </w:p>
        <w:p>
          <w:pPr>
            <w:pStyle w:val="25"/>
            <w:tabs>
              <w:tab w:val="right" w:leader="dot" w:pos="10590"/>
            </w:tabs>
          </w:pPr>
          <w:r>
            <w:fldChar w:fldCharType="begin"/>
          </w:r>
          <w:r>
            <w:instrText xml:space="preserve"> HYPERLINK \l _Toc7686 </w:instrText>
          </w:r>
          <w:r>
            <w:fldChar w:fldCharType="separate"/>
          </w:r>
          <w:r>
            <w:t>第六章 投标文件格式</w:t>
          </w:r>
          <w:r>
            <w:tab/>
          </w:r>
          <w:r>
            <w:fldChar w:fldCharType="begin"/>
          </w:r>
          <w:r>
            <w:instrText xml:space="preserve"> PAGEREF _Toc7686 \h </w:instrText>
          </w:r>
          <w:r>
            <w:fldChar w:fldCharType="separate"/>
          </w:r>
          <w:r>
            <w:t>37</w:t>
          </w:r>
          <w:r>
            <w:fldChar w:fldCharType="end"/>
          </w:r>
          <w:r>
            <w:fldChar w:fldCharType="end"/>
          </w:r>
        </w:p>
        <w:p>
          <w:pPr>
            <w:pStyle w:val="25"/>
            <w:tabs>
              <w:tab w:val="right" w:leader="dot" w:pos="10590"/>
            </w:tabs>
          </w:pPr>
        </w:p>
        <w:p>
          <w:pPr>
            <w:pStyle w:val="14"/>
          </w:pPr>
          <w:r>
            <w:fldChar w:fldCharType="end"/>
          </w:r>
        </w:p>
      </w:sdtContent>
    </w:sdt>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pPr>
    </w:p>
    <w:p>
      <w:pPr>
        <w:spacing w:before="38"/>
        <w:ind w:left="410" w:right="571" w:firstLine="0"/>
        <w:jc w:val="center"/>
        <w:outlineLvl w:val="0"/>
        <w:rPr>
          <w:b/>
          <w:sz w:val="44"/>
        </w:rPr>
      </w:pPr>
      <w:bookmarkStart w:id="0" w:name="_Toc17317"/>
      <w:r>
        <w:rPr>
          <w:b/>
          <w:sz w:val="44"/>
        </w:rPr>
        <w:t>第一章 招标公告</w:t>
      </w:r>
      <w:bookmarkEnd w:id="0"/>
    </w:p>
    <w:p>
      <w:pPr>
        <w:pStyle w:val="2"/>
        <w:spacing w:before="10"/>
        <w:rPr>
          <w:b/>
          <w:sz w:val="37"/>
        </w:rPr>
      </w:pPr>
    </w:p>
    <w:p>
      <w:pPr>
        <w:pStyle w:val="2"/>
        <w:numPr>
          <w:ilvl w:val="0"/>
          <w:numId w:val="0"/>
        </w:numPr>
        <w:spacing w:before="72" w:line="410" w:lineRule="auto"/>
        <w:ind w:left="391" w:leftChars="0" w:right="250" w:rightChars="0" w:firstLine="420" w:firstLineChars="200"/>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项目概况：</w:t>
      </w:r>
      <w:r>
        <w:rPr>
          <w:u w:val="single"/>
          <w:lang w:val="en-US"/>
        </w:rPr>
        <w:t>丰华街道渗滤液处理设备项目</w:t>
      </w:r>
      <w:r>
        <w:rPr>
          <w:rFonts w:hint="eastAsia" w:ascii="宋体" w:hAnsi="宋体" w:eastAsia="宋体" w:cs="宋体"/>
          <w:i w:val="0"/>
          <w:caps w:val="0"/>
          <w:color w:val="000000"/>
          <w:spacing w:val="0"/>
          <w:sz w:val="21"/>
          <w:szCs w:val="21"/>
          <w:shd w:val="clear" w:fill="FFFFFF"/>
        </w:rPr>
        <w:t>的潜在投标人应在大丰公共资源交易平台(http://221.231.122.12/dfhy/)获取招标文件，并于2021年</w:t>
      </w:r>
      <w:r>
        <w:rPr>
          <w:rFonts w:hint="eastAsia" w:cs="宋体"/>
          <w:i w:val="0"/>
          <w:caps w:val="0"/>
          <w:color w:val="000000"/>
          <w:spacing w:val="0"/>
          <w:sz w:val="21"/>
          <w:szCs w:val="21"/>
          <w:shd w:val="clear" w:fill="FFFFFF"/>
          <w:lang w:val="en-US" w:eastAsia="zh-CN"/>
        </w:rPr>
        <w:t>10</w:t>
      </w:r>
      <w:r>
        <w:rPr>
          <w:rFonts w:hint="eastAsia" w:ascii="宋体" w:hAnsi="宋体" w:eastAsia="宋体" w:cs="宋体"/>
          <w:i w:val="0"/>
          <w:caps w:val="0"/>
          <w:color w:val="000000"/>
          <w:spacing w:val="0"/>
          <w:sz w:val="21"/>
          <w:szCs w:val="21"/>
          <w:shd w:val="clear" w:fill="FFFFFF"/>
        </w:rPr>
        <w:t>月</w:t>
      </w:r>
      <w:r>
        <w:rPr>
          <w:rFonts w:hint="eastAsia" w:cs="宋体"/>
          <w:i w:val="0"/>
          <w:caps w:val="0"/>
          <w:color w:val="000000"/>
          <w:spacing w:val="0"/>
          <w:sz w:val="21"/>
          <w:szCs w:val="21"/>
          <w:shd w:val="clear" w:fill="FFFFFF"/>
          <w:lang w:val="en-US" w:eastAsia="zh-CN"/>
        </w:rPr>
        <w:t>29</w:t>
      </w:r>
      <w:r>
        <w:rPr>
          <w:rFonts w:hint="eastAsia" w:ascii="宋体" w:hAnsi="宋体" w:eastAsia="宋体" w:cs="宋体"/>
          <w:i w:val="0"/>
          <w:caps w:val="0"/>
          <w:color w:val="000000"/>
          <w:spacing w:val="0"/>
          <w:sz w:val="21"/>
          <w:szCs w:val="21"/>
          <w:shd w:val="clear" w:fill="FFFFFF"/>
        </w:rPr>
        <w:t>日</w:t>
      </w:r>
      <w:r>
        <w:rPr>
          <w:rFonts w:hint="eastAsia" w:cs="宋体"/>
          <w:i w:val="0"/>
          <w:caps w:val="0"/>
          <w:color w:val="000000"/>
          <w:spacing w:val="0"/>
          <w:sz w:val="21"/>
          <w:szCs w:val="21"/>
          <w:shd w:val="clear" w:fill="FFFFFF"/>
          <w:lang w:val="en-US" w:eastAsia="zh-CN"/>
        </w:rPr>
        <w:t>上午9</w:t>
      </w:r>
      <w:r>
        <w:rPr>
          <w:rFonts w:hint="eastAsia" w:ascii="宋体" w:hAnsi="宋体" w:eastAsia="宋体" w:cs="宋体"/>
          <w:i w:val="0"/>
          <w:caps w:val="0"/>
          <w:color w:val="000000"/>
          <w:spacing w:val="0"/>
          <w:sz w:val="21"/>
          <w:szCs w:val="21"/>
          <w:shd w:val="clear" w:fill="FFFFFF"/>
        </w:rPr>
        <w:t>时00分</w:t>
      </w:r>
      <w:r>
        <w:rPr>
          <w:rFonts w:hint="eastAsia" w:cs="宋体"/>
          <w:i w:val="0"/>
          <w:caps w:val="0"/>
          <w:color w:val="000000"/>
          <w:spacing w:val="0"/>
          <w:sz w:val="21"/>
          <w:szCs w:val="21"/>
          <w:shd w:val="clear" w:fill="FFFFFF"/>
          <w:lang w:val="en-US" w:eastAsia="zh-CN"/>
        </w:rPr>
        <w:t>00秒</w:t>
      </w:r>
      <w:r>
        <w:rPr>
          <w:rFonts w:hint="eastAsia" w:ascii="宋体" w:hAnsi="宋体" w:eastAsia="宋体" w:cs="宋体"/>
          <w:i w:val="0"/>
          <w:caps w:val="0"/>
          <w:color w:val="000000"/>
          <w:spacing w:val="0"/>
          <w:sz w:val="21"/>
          <w:szCs w:val="21"/>
          <w:shd w:val="clear" w:fill="FFFFFF"/>
        </w:rPr>
        <w:t>（北京时间）前递交投标文件。</w:t>
      </w:r>
    </w:p>
    <w:p>
      <w:pPr>
        <w:pStyle w:val="2"/>
        <w:numPr>
          <w:ilvl w:val="0"/>
          <w:numId w:val="0"/>
        </w:numPr>
        <w:spacing w:before="72" w:line="410" w:lineRule="auto"/>
        <w:ind w:left="391" w:leftChars="0" w:right="250" w:rightChars="0" w:firstLine="422" w:firstLineChars="200"/>
        <w:rPr>
          <w:rFonts w:hint="eastAsia" w:eastAsia="宋体"/>
          <w:b/>
          <w:lang w:val="en-US" w:eastAsia="zh-CN"/>
        </w:rPr>
      </w:pPr>
      <w:r>
        <w:rPr>
          <w:rFonts w:hint="eastAsia"/>
          <w:b/>
          <w:lang w:eastAsia="zh-CN"/>
        </w:rPr>
        <w:t>一</w:t>
      </w:r>
      <w:r>
        <w:rPr>
          <w:b/>
        </w:rPr>
        <w:t>、项目</w:t>
      </w:r>
      <w:r>
        <w:rPr>
          <w:rFonts w:hint="eastAsia"/>
          <w:b/>
          <w:lang w:eastAsia="zh-CN"/>
        </w:rPr>
        <w:t>基本情况</w:t>
      </w:r>
    </w:p>
    <w:p>
      <w:pPr>
        <w:pStyle w:val="2"/>
        <w:spacing w:line="268" w:lineRule="exact"/>
        <w:ind w:left="872"/>
        <w:rPr>
          <w:rFonts w:hint="default"/>
          <w:lang w:val="en-US"/>
        </w:rPr>
      </w:pPr>
      <w:r>
        <w:t>1、项目名称：</w:t>
      </w:r>
      <w:r>
        <w:rPr>
          <w:u w:val="single"/>
          <w:lang w:val="en-US"/>
        </w:rPr>
        <w:t>丰华街道渗滤液处理设备项目</w:t>
      </w:r>
    </w:p>
    <w:p>
      <w:pPr>
        <w:pStyle w:val="2"/>
        <w:spacing w:before="5"/>
        <w:rPr>
          <w:sz w:val="9"/>
        </w:rPr>
      </w:pPr>
    </w:p>
    <w:p>
      <w:pPr>
        <w:pStyle w:val="2"/>
        <w:spacing w:before="71"/>
        <w:ind w:left="872"/>
      </w:pPr>
      <w:r>
        <w:t>2、项目编号：</w:t>
      </w:r>
      <w:r>
        <w:rPr>
          <w:u w:val="single"/>
        </w:rPr>
        <w:t>DFCG20210279</w:t>
      </w:r>
    </w:p>
    <w:p>
      <w:pPr>
        <w:pStyle w:val="2"/>
        <w:spacing w:before="5"/>
        <w:rPr>
          <w:sz w:val="9"/>
        </w:rPr>
      </w:pPr>
    </w:p>
    <w:p>
      <w:pPr>
        <w:pStyle w:val="2"/>
        <w:spacing w:before="72"/>
        <w:ind w:left="875"/>
      </w:pPr>
      <w:r>
        <w:t>3、招标方式：</w:t>
      </w:r>
      <w:r>
        <w:rPr>
          <w:u w:val="single"/>
        </w:rPr>
        <w:t>公开招标</w:t>
      </w:r>
    </w:p>
    <w:p>
      <w:pPr>
        <w:pStyle w:val="2"/>
        <w:spacing w:before="2"/>
        <w:rPr>
          <w:sz w:val="9"/>
        </w:rPr>
      </w:pPr>
    </w:p>
    <w:p>
      <w:pPr>
        <w:pStyle w:val="2"/>
        <w:spacing w:before="72"/>
        <w:ind w:left="875"/>
        <w:rPr>
          <w:rFonts w:hint="eastAsia" w:eastAsia="宋体"/>
          <w:lang w:val="en-US" w:eastAsia="zh-CN"/>
        </w:rPr>
      </w:pPr>
      <w:r>
        <w:t>4、交货地点：</w:t>
      </w:r>
      <w:r>
        <w:rPr>
          <w:u w:val="single"/>
        </w:rPr>
        <w:t>大丰</w:t>
      </w:r>
      <w:r>
        <w:rPr>
          <w:rFonts w:hint="eastAsia"/>
          <w:u w:val="single"/>
          <w:lang w:eastAsia="zh-CN"/>
        </w:rPr>
        <w:t>丰华街道</w:t>
      </w:r>
    </w:p>
    <w:p>
      <w:pPr>
        <w:pStyle w:val="2"/>
        <w:spacing w:before="5"/>
        <w:rPr>
          <w:sz w:val="9"/>
        </w:rPr>
      </w:pPr>
    </w:p>
    <w:p>
      <w:pPr>
        <w:pStyle w:val="2"/>
        <w:spacing w:before="71"/>
        <w:ind w:left="875"/>
      </w:pPr>
      <w:r>
        <w:rPr>
          <w:spacing w:val="-1"/>
        </w:rPr>
        <w:t>5</w:t>
      </w:r>
      <w:r>
        <w:rPr>
          <w:spacing w:val="-3"/>
        </w:rPr>
        <w:t>、采购内容：</w:t>
      </w:r>
      <w:r>
        <w:rPr>
          <w:spacing w:val="-3"/>
          <w:u w:val="single"/>
        </w:rPr>
        <w:t>垃圾渗滤液处理项目设备采购、包装、运输保险、安装布置就位、检测验收、调试、</w:t>
      </w:r>
    </w:p>
    <w:p>
      <w:pPr>
        <w:pStyle w:val="2"/>
        <w:spacing w:before="5"/>
        <w:rPr>
          <w:sz w:val="9"/>
        </w:rPr>
      </w:pPr>
    </w:p>
    <w:p>
      <w:pPr>
        <w:pStyle w:val="2"/>
        <w:spacing w:before="72"/>
        <w:ind w:left="392"/>
      </w:pPr>
      <w:r>
        <w:rPr>
          <w:spacing w:val="-6"/>
          <w:u w:val="single"/>
        </w:rPr>
        <w:t>运行出水合格、质保期内免费提供设备运行所必须的备品备件和专用设备等，还包括提供各项资料、售前</w:t>
      </w:r>
    </w:p>
    <w:p>
      <w:pPr>
        <w:pStyle w:val="2"/>
        <w:spacing w:before="2"/>
        <w:rPr>
          <w:sz w:val="9"/>
        </w:rPr>
      </w:pPr>
    </w:p>
    <w:p>
      <w:pPr>
        <w:pStyle w:val="2"/>
        <w:spacing w:before="72"/>
        <w:ind w:left="392"/>
        <w:rPr>
          <w:u w:val="single"/>
        </w:rPr>
      </w:pPr>
      <w:r>
        <w:rPr>
          <w:u w:val="single"/>
        </w:rPr>
        <w:t>售后服务、维修、保养等伴随服务，具体详见本项目招标文件采购需求。</w:t>
      </w:r>
    </w:p>
    <w:tbl>
      <w:tblPr>
        <w:tblStyle w:val="15"/>
        <w:tblW w:w="0" w:type="auto"/>
        <w:tblInd w:w="6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6523"/>
        <w:gridCol w:w="1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14" w:type="dxa"/>
          </w:tcPr>
          <w:p>
            <w:pPr>
              <w:pStyle w:val="22"/>
              <w:spacing w:before="10"/>
              <w:jc w:val="left"/>
              <w:rPr>
                <w:sz w:val="15"/>
              </w:rPr>
            </w:pPr>
          </w:p>
          <w:p>
            <w:pPr>
              <w:pStyle w:val="22"/>
              <w:ind w:left="228" w:right="216"/>
              <w:rPr>
                <w:sz w:val="21"/>
              </w:rPr>
            </w:pPr>
            <w:r>
              <w:rPr>
                <w:sz w:val="21"/>
              </w:rPr>
              <w:t>编号</w:t>
            </w:r>
          </w:p>
        </w:tc>
        <w:tc>
          <w:tcPr>
            <w:tcW w:w="6523" w:type="dxa"/>
          </w:tcPr>
          <w:p>
            <w:pPr>
              <w:pStyle w:val="22"/>
              <w:spacing w:before="10"/>
              <w:jc w:val="left"/>
              <w:rPr>
                <w:sz w:val="15"/>
              </w:rPr>
            </w:pPr>
          </w:p>
          <w:p>
            <w:pPr>
              <w:pStyle w:val="22"/>
              <w:ind w:left="2823" w:right="2810"/>
              <w:rPr>
                <w:sz w:val="21"/>
              </w:rPr>
            </w:pPr>
            <w:r>
              <w:rPr>
                <w:sz w:val="21"/>
              </w:rPr>
              <w:t>采购内容</w:t>
            </w:r>
          </w:p>
        </w:tc>
        <w:tc>
          <w:tcPr>
            <w:tcW w:w="1699" w:type="dxa"/>
          </w:tcPr>
          <w:p>
            <w:pPr>
              <w:pStyle w:val="22"/>
              <w:spacing w:before="10"/>
              <w:jc w:val="left"/>
              <w:rPr>
                <w:sz w:val="15"/>
              </w:rPr>
            </w:pPr>
          </w:p>
          <w:p>
            <w:pPr>
              <w:pStyle w:val="22"/>
              <w:ind w:right="414"/>
              <w:jc w:val="right"/>
              <w:rPr>
                <w:sz w:val="21"/>
              </w:rPr>
            </w:pPr>
            <w:r>
              <w:rPr>
                <w:sz w:val="21"/>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914" w:type="dxa"/>
          </w:tcPr>
          <w:p>
            <w:pPr>
              <w:pStyle w:val="22"/>
              <w:jc w:val="left"/>
              <w:rPr>
                <w:sz w:val="20"/>
              </w:rPr>
            </w:pPr>
          </w:p>
          <w:p>
            <w:pPr>
              <w:pStyle w:val="22"/>
              <w:jc w:val="left"/>
              <w:rPr>
                <w:sz w:val="20"/>
              </w:rPr>
            </w:pPr>
          </w:p>
          <w:p>
            <w:pPr>
              <w:pStyle w:val="22"/>
              <w:spacing w:before="143"/>
              <w:ind w:left="12"/>
              <w:rPr>
                <w:sz w:val="21"/>
              </w:rPr>
            </w:pPr>
            <w:r>
              <w:rPr>
                <w:w w:val="100"/>
                <w:sz w:val="21"/>
              </w:rPr>
              <w:t>1</w:t>
            </w:r>
          </w:p>
        </w:tc>
        <w:tc>
          <w:tcPr>
            <w:tcW w:w="6523" w:type="dxa"/>
          </w:tcPr>
          <w:p>
            <w:pPr>
              <w:pStyle w:val="22"/>
              <w:spacing w:before="2" w:line="480" w:lineRule="exact"/>
              <w:ind w:left="108" w:right="90"/>
              <w:jc w:val="both"/>
              <w:rPr>
                <w:sz w:val="21"/>
              </w:rPr>
            </w:pPr>
            <w:r>
              <w:rPr>
                <w:sz w:val="21"/>
              </w:rPr>
              <w:t>垃圾渗滤液设备采购、包装、运输保险、安装布置就位、检测验收、调试、质保期内免费提供设备运行所必须的备品备件和专用设备等， 还包括提供各项资料、售前售后服务、维修、保养等伴随服务。</w:t>
            </w:r>
          </w:p>
        </w:tc>
        <w:tc>
          <w:tcPr>
            <w:tcW w:w="1699" w:type="dxa"/>
          </w:tcPr>
          <w:p>
            <w:pPr>
              <w:pStyle w:val="22"/>
              <w:jc w:val="left"/>
              <w:rPr>
                <w:sz w:val="22"/>
              </w:rPr>
            </w:pPr>
          </w:p>
          <w:p>
            <w:pPr>
              <w:pStyle w:val="22"/>
              <w:spacing w:before="2"/>
              <w:jc w:val="left"/>
              <w:rPr>
                <w:sz w:val="29"/>
              </w:rPr>
            </w:pPr>
          </w:p>
          <w:p>
            <w:pPr>
              <w:pStyle w:val="22"/>
              <w:ind w:right="440"/>
              <w:jc w:val="right"/>
              <w:rPr>
                <w:sz w:val="21"/>
              </w:rPr>
            </w:pPr>
            <w:r>
              <w:rPr>
                <w:rFonts w:hint="eastAsia" w:ascii="Times New Roman"/>
                <w:sz w:val="21"/>
                <w:u w:val="single"/>
                <w:lang w:val="en-US" w:eastAsia="zh-CN"/>
              </w:rPr>
              <w:t>280</w:t>
            </w:r>
            <w:r>
              <w:rPr>
                <w:rFonts w:ascii="Times New Roman" w:eastAsia="Times New Roman"/>
                <w:sz w:val="21"/>
              </w:rPr>
              <w:t xml:space="preserve"> </w:t>
            </w:r>
            <w:r>
              <w:rPr>
                <w:sz w:val="21"/>
              </w:rPr>
              <w:t>万元</w:t>
            </w:r>
          </w:p>
        </w:tc>
      </w:tr>
    </w:tbl>
    <w:p>
      <w:pPr>
        <w:pStyle w:val="2"/>
        <w:spacing w:before="5"/>
        <w:rPr>
          <w:sz w:val="9"/>
        </w:rPr>
      </w:pPr>
    </w:p>
    <w:p>
      <w:pPr>
        <w:pStyle w:val="2"/>
        <w:spacing w:before="71"/>
        <w:ind w:left="875"/>
        <w:rPr>
          <w:rFonts w:hint="eastAsia" w:eastAsia="宋体"/>
          <w:lang w:val="en-US" w:eastAsia="zh-CN"/>
        </w:rPr>
      </w:pPr>
      <w:r>
        <w:t>6、资金来源：</w:t>
      </w:r>
      <w:r>
        <w:rPr>
          <w:rFonts w:hint="eastAsia"/>
          <w:lang w:eastAsia="zh-CN"/>
        </w:rPr>
        <w:t>财政资金</w:t>
      </w:r>
    </w:p>
    <w:p>
      <w:pPr>
        <w:pStyle w:val="2"/>
        <w:spacing w:before="11"/>
        <w:rPr>
          <w:sz w:val="8"/>
        </w:rPr>
      </w:pPr>
    </w:p>
    <w:p>
      <w:pPr>
        <w:pStyle w:val="2"/>
        <w:spacing w:before="78"/>
        <w:ind w:left="872"/>
      </w:pPr>
      <w:r>
        <w:t>7、采购预算：</w:t>
      </w:r>
      <w:r>
        <w:rPr>
          <w:rFonts w:hint="eastAsia" w:ascii="Times New Roman"/>
          <w:u w:val="single"/>
          <w:lang w:val="en-US" w:eastAsia="zh-CN"/>
        </w:rPr>
        <w:t>280</w:t>
      </w:r>
      <w:r>
        <w:t>万元</w:t>
      </w:r>
    </w:p>
    <w:p>
      <w:pPr>
        <w:pStyle w:val="2"/>
        <w:spacing w:before="190" w:line="410" w:lineRule="auto"/>
        <w:ind w:left="392" w:right="549" w:firstLine="480"/>
      </w:pPr>
      <w:r>
        <w:t>8</w:t>
      </w:r>
      <w:r>
        <w:rPr>
          <w:spacing w:val="-10"/>
        </w:rPr>
        <w:t>、项目完成期限：在招标人发出书面通知后的</w:t>
      </w:r>
      <w:r>
        <w:rPr>
          <w:rFonts w:hint="eastAsia" w:ascii="Times New Roman"/>
          <w:lang w:val="en-US" w:eastAsia="zh-CN"/>
        </w:rPr>
        <w:t>120</w:t>
      </w:r>
      <w:r>
        <w:rPr>
          <w:spacing w:val="-6"/>
        </w:rPr>
        <w:t>日历天内完成所有设备的供货、安装、调试并验收合格。</w:t>
      </w:r>
    </w:p>
    <w:p>
      <w:pPr>
        <w:snapToGrid/>
        <w:spacing w:before="0" w:beforeAutospacing="0" w:after="0" w:afterAutospacing="0" w:line="440" w:lineRule="exact"/>
        <w:ind w:firstLine="843" w:firstLineChars="400"/>
        <w:jc w:val="both"/>
        <w:textAlignment w:val="baseline"/>
        <w:outlineLvl w:val="1"/>
        <w:rPr>
          <w:rStyle w:val="23"/>
          <w:rFonts w:ascii="宋体" w:hAnsi="宋体" w:cs="宋体"/>
          <w:b/>
          <w:bCs/>
          <w:i w:val="0"/>
          <w:caps w:val="0"/>
          <w:color w:val="000000"/>
          <w:spacing w:val="0"/>
          <w:w w:val="100"/>
          <w:kern w:val="2"/>
          <w:sz w:val="21"/>
          <w:szCs w:val="21"/>
          <w:lang w:val="zh-CN" w:eastAsia="zh-CN" w:bidi="ar-SA"/>
        </w:rPr>
      </w:pPr>
      <w:bookmarkStart w:id="1" w:name="_Toc28108"/>
      <w:bookmarkStart w:id="2" w:name="_Toc10664"/>
      <w:r>
        <w:rPr>
          <w:rStyle w:val="23"/>
          <w:rFonts w:ascii="宋体" w:hAnsi="宋体" w:cs="宋体"/>
          <w:b/>
          <w:bCs/>
          <w:i w:val="0"/>
          <w:caps w:val="0"/>
          <w:color w:val="000000"/>
          <w:spacing w:val="0"/>
          <w:w w:val="100"/>
          <w:kern w:val="2"/>
          <w:sz w:val="21"/>
          <w:szCs w:val="21"/>
          <w:lang w:val="en-US" w:eastAsia="zh-CN" w:bidi="ar-SA"/>
        </w:rPr>
        <w:t>二、</w:t>
      </w:r>
      <w:r>
        <w:rPr>
          <w:rStyle w:val="23"/>
          <w:rFonts w:ascii="宋体" w:hAnsi="宋体" w:cs="宋体"/>
          <w:b/>
          <w:bCs/>
          <w:i w:val="0"/>
          <w:caps w:val="0"/>
          <w:color w:val="000000"/>
          <w:spacing w:val="0"/>
          <w:w w:val="100"/>
          <w:kern w:val="2"/>
          <w:sz w:val="21"/>
          <w:szCs w:val="21"/>
          <w:lang w:val="zh-CN" w:eastAsia="zh-CN" w:bidi="ar-SA"/>
        </w:rPr>
        <w:t>申请人的资格要求：</w:t>
      </w:r>
      <w:bookmarkEnd w:id="1"/>
      <w:bookmarkEnd w:id="2"/>
    </w:p>
    <w:p>
      <w:pPr>
        <w:pStyle w:val="2"/>
        <w:spacing w:before="10"/>
        <w:rPr>
          <w:b/>
          <w:sz w:val="14"/>
        </w:rPr>
      </w:pPr>
    </w:p>
    <w:p>
      <w:pPr>
        <w:pStyle w:val="2"/>
        <w:spacing w:line="410" w:lineRule="auto"/>
        <w:ind w:left="392" w:right="547" w:firstLine="419"/>
      </w:pPr>
      <w:r>
        <w:t>1</w:t>
      </w:r>
      <w:r>
        <w:rPr>
          <w:spacing w:val="-3"/>
        </w:rPr>
        <w:t>、投标申请人须在中国境内注册，有独立订立合同能力的独立法人企业，近三年内没有严重违约和</w:t>
      </w:r>
      <w:r>
        <w:rPr>
          <w:spacing w:val="-8"/>
        </w:rPr>
        <w:t>重大质量问题，未处于被责令停业、财产被接管、冻结、破产等状态，未被有关部门暂停投标资格并在暂</w:t>
      </w:r>
      <w:r>
        <w:rPr>
          <w:spacing w:val="-5"/>
        </w:rPr>
        <w:t>停期内的；</w:t>
      </w:r>
    </w:p>
    <w:p>
      <w:pPr>
        <w:pStyle w:val="2"/>
        <w:spacing w:before="16"/>
        <w:ind w:left="812"/>
      </w:pPr>
      <w:r>
        <w:t>2、投标申请人须具备与本招标项目相对应的经营及生产或供货、售后维修保养能力；</w:t>
      </w:r>
    </w:p>
    <w:p>
      <w:pPr>
        <w:pStyle w:val="2"/>
        <w:spacing w:before="6"/>
        <w:rPr>
          <w:sz w:val="16"/>
        </w:rPr>
      </w:pPr>
    </w:p>
    <w:p>
      <w:pPr>
        <w:pStyle w:val="2"/>
        <w:spacing w:line="254" w:lineRule="exact"/>
        <w:ind w:left="812"/>
      </w:pPr>
      <w:r>
        <w:rPr>
          <w:rFonts w:hint="eastAsia"/>
          <w:lang w:val="en-US" w:eastAsia="zh-CN"/>
        </w:rPr>
        <w:t>3</w:t>
      </w:r>
      <w:r>
        <w:rPr>
          <w:spacing w:val="-3"/>
        </w:rPr>
        <w:t>、投标人应保证招标人在使用该采购产品或其任何一部分时不受第三方提出侵犯其专利权、版权、</w:t>
      </w:r>
    </w:p>
    <w:p>
      <w:pPr>
        <w:pStyle w:val="2"/>
        <w:rPr>
          <w:sz w:val="15"/>
        </w:rPr>
      </w:pPr>
    </w:p>
    <w:p>
      <w:pPr>
        <w:pStyle w:val="2"/>
        <w:ind w:left="392"/>
      </w:pPr>
      <w:r>
        <w:t>商标权和设计权等知识产权的起诉。一旦出现侵权，一律由投标人承担全部责任；</w:t>
      </w:r>
    </w:p>
    <w:p>
      <w:pPr>
        <w:pStyle w:val="2"/>
        <w:spacing w:before="7"/>
        <w:rPr>
          <w:sz w:val="18"/>
        </w:rPr>
      </w:pPr>
    </w:p>
    <w:p>
      <w:pPr>
        <w:pStyle w:val="2"/>
        <w:spacing w:line="465" w:lineRule="auto"/>
        <w:ind w:left="392" w:right="552" w:firstLine="419"/>
      </w:pPr>
      <w:r>
        <w:rPr>
          <w:rFonts w:hint="eastAsia"/>
          <w:lang w:val="en-US" w:eastAsia="zh-CN"/>
        </w:rPr>
        <w:t>4</w:t>
      </w:r>
      <w:r>
        <w:t>、投标人具有良好的商业信誉和健全的财务会计制度，有提供优质服务的专业技术能力；</w:t>
      </w:r>
    </w:p>
    <w:p>
      <w:pPr>
        <w:pStyle w:val="2"/>
        <w:spacing w:line="463" w:lineRule="auto"/>
        <w:ind w:left="812" w:right="489"/>
        <w:rPr>
          <w:spacing w:val="-6"/>
        </w:rPr>
      </w:pPr>
      <w:r>
        <w:rPr>
          <w:rFonts w:hint="eastAsia"/>
          <w:lang w:val="en-US" w:eastAsia="zh-CN"/>
        </w:rPr>
        <w:t>5</w:t>
      </w:r>
      <w:r>
        <w:rPr>
          <w:spacing w:val="-6"/>
        </w:rPr>
        <w:t>、单位负责人为同一人或者存在直接控股、管理关系的不同供应商，不得同时参加本项目采购活动；</w:t>
      </w:r>
    </w:p>
    <w:p>
      <w:pPr>
        <w:pStyle w:val="2"/>
        <w:spacing w:before="2"/>
        <w:ind w:left="812"/>
      </w:pPr>
      <w:r>
        <w:rPr>
          <w:rFonts w:hint="eastAsia"/>
          <w:lang w:val="en-US" w:eastAsia="zh-CN"/>
        </w:rPr>
        <w:t>6</w:t>
      </w:r>
      <w:r>
        <w:t xml:space="preserve">、投标申请人应当满足《中华人民共和国政府采购法》第 </w:t>
      </w:r>
      <w:r>
        <w:rPr>
          <w:rFonts w:ascii="Times New Roman" w:eastAsia="Times New Roman"/>
        </w:rPr>
        <w:t xml:space="preserve">22 </w:t>
      </w:r>
      <w:r>
        <w:t>条之规定的各项条件</w:t>
      </w:r>
      <w:r>
        <w:rPr>
          <w:rFonts w:hint="eastAsia"/>
          <w:lang w:eastAsia="zh-CN"/>
        </w:rPr>
        <w:t>（投标时提供书面申明函，格式自拟）</w:t>
      </w:r>
      <w:r>
        <w:t>；</w:t>
      </w:r>
    </w:p>
    <w:p>
      <w:pPr>
        <w:pStyle w:val="2"/>
        <w:spacing w:before="2"/>
        <w:ind w:left="812"/>
      </w:pPr>
    </w:p>
    <w:p>
      <w:pPr>
        <w:pStyle w:val="2"/>
        <w:spacing w:before="2"/>
        <w:ind w:left="812"/>
        <w:rPr>
          <w:rFonts w:hint="eastAsia"/>
        </w:rPr>
      </w:pPr>
      <w:r>
        <w:rPr>
          <w:rFonts w:hint="eastAsia"/>
          <w:lang w:val="en-US" w:eastAsia="zh-CN"/>
        </w:rPr>
        <w:t>7、</w:t>
      </w:r>
      <w:r>
        <w:rPr>
          <w:rFonts w:hint="eastAsia"/>
        </w:rPr>
        <w:t>未被“信用中国”网站（www.creditchina.gov.cn)、“中国政府采购网”（www.ccgp.gov.cn)、</w:t>
      </w:r>
    </w:p>
    <w:p>
      <w:pPr>
        <w:pStyle w:val="2"/>
        <w:spacing w:before="2"/>
        <w:ind w:left="812"/>
        <w:rPr>
          <w:rFonts w:hint="eastAsia"/>
        </w:rPr>
      </w:pPr>
      <w:r>
        <w:rPr>
          <w:rFonts w:hint="eastAsia"/>
        </w:rPr>
        <w:t>“信用江苏”、“信用中国（江苏盐城）”等网站列入失信被执行人、重大税收违法案件当事人名单、政</w:t>
      </w:r>
    </w:p>
    <w:p>
      <w:pPr>
        <w:pStyle w:val="2"/>
        <w:spacing w:before="2"/>
        <w:ind w:left="812"/>
        <w:rPr>
          <w:rFonts w:hint="eastAsia"/>
        </w:rPr>
      </w:pPr>
      <w:r>
        <w:rPr>
          <w:rFonts w:hint="eastAsia"/>
        </w:rPr>
        <w:t>府采购严重失信行为记录名单。在一次招投标活动中，投标人或者中标候选人因正被列为失信被执行人，</w:t>
      </w:r>
    </w:p>
    <w:p>
      <w:pPr>
        <w:pStyle w:val="2"/>
        <w:spacing w:before="2"/>
        <w:ind w:left="812"/>
        <w:rPr>
          <w:rFonts w:hint="eastAsia"/>
        </w:rPr>
      </w:pPr>
      <w:r>
        <w:rPr>
          <w:rFonts w:hint="eastAsia"/>
        </w:rPr>
        <w:t>导致其资格审查不通过或者被取消中标候选人资格、中标人资格的，不因其之后失信信息被撤销或更正而</w:t>
      </w:r>
    </w:p>
    <w:p>
      <w:pPr>
        <w:pStyle w:val="2"/>
        <w:spacing w:before="2"/>
        <w:ind w:left="812"/>
        <w:rPr>
          <w:rFonts w:hint="eastAsia"/>
        </w:rPr>
      </w:pPr>
      <w:r>
        <w:rPr>
          <w:rFonts w:hint="eastAsia"/>
        </w:rPr>
        <w:t>改变已经作出的决定，以投标截止日期当日查询的记录为准。</w:t>
      </w:r>
    </w:p>
    <w:p>
      <w:pPr>
        <w:pStyle w:val="2"/>
        <w:spacing w:before="5"/>
        <w:rPr>
          <w:sz w:val="19"/>
        </w:rPr>
      </w:pPr>
    </w:p>
    <w:p>
      <w:pPr>
        <w:pStyle w:val="2"/>
        <w:spacing w:before="1"/>
        <w:ind w:left="812"/>
      </w:pPr>
      <w:r>
        <w:rPr>
          <w:rFonts w:hint="eastAsia"/>
          <w:lang w:val="en-US" w:eastAsia="zh-CN"/>
        </w:rPr>
        <w:t>8</w:t>
      </w:r>
      <w:r>
        <w:t xml:space="preserve">、本次招标 </w:t>
      </w:r>
      <w:r>
        <w:rPr>
          <w:u w:val="single"/>
        </w:rPr>
        <w:t>不接受</w:t>
      </w:r>
      <w:r>
        <w:t xml:space="preserve"> 联合体投标；</w:t>
      </w:r>
    </w:p>
    <w:p>
      <w:pPr>
        <w:pStyle w:val="2"/>
        <w:spacing w:before="8"/>
        <w:rPr>
          <w:sz w:val="19"/>
        </w:rPr>
      </w:pPr>
    </w:p>
    <w:p>
      <w:pPr>
        <w:numPr>
          <w:ilvl w:val="0"/>
          <w:numId w:val="0"/>
        </w:numPr>
        <w:spacing w:before="0" w:line="410" w:lineRule="auto"/>
        <w:ind w:left="811" w:leftChars="0" w:right="690" w:rightChars="0"/>
        <w:jc w:val="left"/>
        <w:rPr>
          <w:rFonts w:ascii="宋体" w:hAnsi="宋体" w:eastAsia="宋体" w:cs="宋体"/>
          <w:sz w:val="21"/>
          <w:szCs w:val="21"/>
          <w:lang w:val="zh-CN" w:eastAsia="zh-CN" w:bidi="zh-CN"/>
        </w:rPr>
      </w:pPr>
      <w:r>
        <w:rPr>
          <w:rFonts w:hint="eastAsia"/>
          <w:sz w:val="21"/>
          <w:lang w:val="en-US" w:eastAsia="zh-CN"/>
        </w:rPr>
        <w:t>9</w:t>
      </w:r>
      <w:r>
        <w:t>、</w:t>
      </w:r>
      <w:r>
        <w:rPr>
          <w:sz w:val="21"/>
        </w:rPr>
        <w:t>符合相关法律、法规规定的其</w:t>
      </w:r>
      <w:r>
        <w:rPr>
          <w:rFonts w:hint="eastAsia"/>
          <w:sz w:val="21"/>
          <w:lang w:eastAsia="zh-CN"/>
        </w:rPr>
        <w:t>他要求。</w:t>
      </w:r>
    </w:p>
    <w:p>
      <w:pPr>
        <w:numPr>
          <w:ilvl w:val="0"/>
          <w:numId w:val="0"/>
        </w:numPr>
        <w:spacing w:before="0" w:line="410" w:lineRule="auto"/>
        <w:ind w:left="811" w:leftChars="0" w:right="6513" w:rightChars="0"/>
        <w:jc w:val="left"/>
        <w:rPr>
          <w:b/>
          <w:sz w:val="21"/>
        </w:rPr>
      </w:pPr>
      <w:r>
        <w:rPr>
          <w:rFonts w:hint="eastAsia"/>
          <w:b/>
          <w:sz w:val="21"/>
          <w:lang w:eastAsia="zh-CN"/>
        </w:rPr>
        <w:t>三</w:t>
      </w:r>
      <w:r>
        <w:rPr>
          <w:b/>
          <w:sz w:val="21"/>
        </w:rPr>
        <w:t>、</w:t>
      </w:r>
      <w:r>
        <w:rPr>
          <w:rFonts w:hint="eastAsia" w:ascii="宋体" w:hAnsi="宋体" w:eastAsia="宋体" w:cs="宋体"/>
          <w:b/>
          <w:i w:val="0"/>
          <w:caps w:val="0"/>
          <w:color w:val="000000"/>
          <w:spacing w:val="0"/>
          <w:sz w:val="21"/>
          <w:szCs w:val="21"/>
          <w:shd w:val="clear" w:fill="FFFFFF"/>
        </w:rPr>
        <w:t>获取招标文件</w:t>
      </w:r>
    </w:p>
    <w:p>
      <w:pPr>
        <w:pStyle w:val="14"/>
        <w:ind w:left="458" w:leftChars="208" w:firstLine="417" w:firstLineChars="199"/>
        <w:rPr>
          <w:rFonts w:hint="default"/>
          <w:b w:val="0"/>
          <w:bCs w:val="0"/>
          <w:lang w:val="en-US" w:eastAsia="zh-CN"/>
        </w:rPr>
      </w:pPr>
      <w:r>
        <w:rPr>
          <w:rStyle w:val="23"/>
          <w:rFonts w:hint="eastAsia" w:cs="宋体"/>
          <w:b w:val="0"/>
          <w:bCs w:val="0"/>
          <w:i w:val="0"/>
          <w:caps w:val="0"/>
          <w:color w:val="000000"/>
          <w:spacing w:val="0"/>
          <w:w w:val="100"/>
          <w:kern w:val="2"/>
          <w:sz w:val="21"/>
          <w:szCs w:val="21"/>
          <w:lang w:val="en-US" w:eastAsia="zh-CN" w:bidi="ar-SA"/>
        </w:rPr>
        <w:t>1、各潜在投标人采用网上方式报名及下载招标文件，具体步骤如下：</w:t>
      </w:r>
    </w:p>
    <w:p>
      <w:pPr>
        <w:snapToGrid/>
        <w:spacing w:before="0" w:beforeAutospacing="0" w:after="0" w:afterAutospacing="0" w:line="440" w:lineRule="exact"/>
        <w:ind w:left="458" w:leftChars="208" w:firstLine="417" w:firstLineChars="199"/>
        <w:jc w:val="both"/>
        <w:textAlignment w:val="baseline"/>
        <w:rPr>
          <w:rStyle w:val="23"/>
          <w:rFonts w:ascii="宋体" w:hAnsi="宋体"/>
          <w:b w:val="0"/>
          <w:i w:val="0"/>
          <w:caps w:val="0"/>
          <w:color w:val="000000"/>
          <w:spacing w:val="0"/>
          <w:w w:val="100"/>
          <w:kern w:val="2"/>
          <w:sz w:val="21"/>
          <w:szCs w:val="21"/>
          <w:lang w:val="zh-CN" w:eastAsia="zh-CN" w:bidi="ar-SA"/>
        </w:rPr>
      </w:pPr>
      <w:r>
        <w:rPr>
          <w:rStyle w:val="23"/>
          <w:rFonts w:hint="eastAsia" w:ascii="宋体" w:hAnsi="宋体"/>
          <w:b w:val="0"/>
          <w:i w:val="0"/>
          <w:caps w:val="0"/>
          <w:color w:val="000000"/>
          <w:spacing w:val="0"/>
          <w:w w:val="100"/>
          <w:kern w:val="2"/>
          <w:sz w:val="21"/>
          <w:szCs w:val="21"/>
          <w:lang w:val="en-US" w:eastAsia="zh-CN" w:bidi="ar-SA"/>
        </w:rPr>
        <w:t>（1）</w:t>
      </w:r>
      <w:r>
        <w:rPr>
          <w:rStyle w:val="23"/>
          <w:rFonts w:ascii="宋体" w:hAnsi="宋体"/>
          <w:b w:val="0"/>
          <w:i w:val="0"/>
          <w:caps w:val="0"/>
          <w:color w:val="000000"/>
          <w:spacing w:val="0"/>
          <w:w w:val="100"/>
          <w:kern w:val="2"/>
          <w:sz w:val="21"/>
          <w:szCs w:val="21"/>
          <w:lang w:val="zh-CN" w:eastAsia="zh-CN" w:bidi="ar-SA"/>
        </w:rPr>
        <w:t>各潜在投标人（供应商）下载采购类项目网上报名操作指南（网站主页下载http://ggzy.dafeng.gov.cn/dfweb/InfoDetail/?InfoID=8a98b92b-4bd3-4d80-afcf-ddb1d664dfbf&amp;CategoryNum=029）；</w:t>
      </w:r>
    </w:p>
    <w:p>
      <w:pPr>
        <w:snapToGrid/>
        <w:spacing w:before="0" w:beforeAutospacing="0" w:after="0" w:afterAutospacing="0" w:line="440" w:lineRule="exact"/>
        <w:ind w:left="458" w:leftChars="208" w:firstLine="417" w:firstLineChars="199"/>
        <w:jc w:val="both"/>
        <w:textAlignment w:val="baseline"/>
        <w:rPr>
          <w:rStyle w:val="23"/>
          <w:rFonts w:ascii="宋体" w:hAnsi="宋体"/>
          <w:b w:val="0"/>
          <w:i w:val="0"/>
          <w:caps w:val="0"/>
          <w:color w:val="000000"/>
          <w:spacing w:val="0"/>
          <w:w w:val="100"/>
          <w:kern w:val="2"/>
          <w:sz w:val="21"/>
          <w:szCs w:val="21"/>
          <w:lang w:val="zh-CN" w:eastAsia="zh-CN" w:bidi="ar-SA"/>
        </w:rPr>
      </w:pPr>
      <w:r>
        <w:rPr>
          <w:rStyle w:val="23"/>
          <w:rFonts w:hint="eastAsia" w:ascii="宋体" w:hAnsi="宋体"/>
          <w:b w:val="0"/>
          <w:i w:val="0"/>
          <w:caps w:val="0"/>
          <w:color w:val="000000"/>
          <w:spacing w:val="0"/>
          <w:w w:val="100"/>
          <w:kern w:val="2"/>
          <w:sz w:val="21"/>
          <w:szCs w:val="21"/>
          <w:lang w:val="zh-CN" w:eastAsia="zh-CN" w:bidi="ar-SA"/>
        </w:rPr>
        <w:t>（</w:t>
      </w:r>
      <w:r>
        <w:rPr>
          <w:rStyle w:val="23"/>
          <w:rFonts w:hint="eastAsia" w:ascii="宋体" w:hAnsi="宋体"/>
          <w:b w:val="0"/>
          <w:i w:val="0"/>
          <w:caps w:val="0"/>
          <w:color w:val="000000"/>
          <w:spacing w:val="0"/>
          <w:w w:val="100"/>
          <w:kern w:val="2"/>
          <w:sz w:val="21"/>
          <w:szCs w:val="21"/>
          <w:lang w:val="en-US" w:eastAsia="zh-CN" w:bidi="ar-SA"/>
        </w:rPr>
        <w:t>2</w:t>
      </w:r>
      <w:r>
        <w:rPr>
          <w:rStyle w:val="23"/>
          <w:rFonts w:hint="eastAsia" w:ascii="宋体" w:hAnsi="宋体"/>
          <w:b w:val="0"/>
          <w:i w:val="0"/>
          <w:caps w:val="0"/>
          <w:color w:val="000000"/>
          <w:spacing w:val="0"/>
          <w:w w:val="100"/>
          <w:kern w:val="2"/>
          <w:sz w:val="21"/>
          <w:szCs w:val="21"/>
          <w:lang w:val="zh-CN" w:eastAsia="zh-CN" w:bidi="ar-SA"/>
        </w:rPr>
        <w:t>）</w:t>
      </w:r>
      <w:r>
        <w:rPr>
          <w:rStyle w:val="23"/>
          <w:rFonts w:ascii="宋体" w:hAnsi="宋体"/>
          <w:b w:val="0"/>
          <w:i w:val="0"/>
          <w:caps w:val="0"/>
          <w:color w:val="000000"/>
          <w:spacing w:val="0"/>
          <w:w w:val="100"/>
          <w:kern w:val="2"/>
          <w:sz w:val="21"/>
          <w:szCs w:val="21"/>
          <w:lang w:val="zh-CN" w:eastAsia="zh-CN" w:bidi="ar-SA"/>
        </w:rPr>
        <w:t>各潜在投标人（供应商）根据网上报名操作指南进行操作，仔细阅读采购类项目网上报名操作指南，认真掌握操作方法(请牢记登录名和密码)，确保信息准确无误，如填报错误,后果由投标单位自行承担；</w:t>
      </w:r>
    </w:p>
    <w:p>
      <w:pPr>
        <w:snapToGrid/>
        <w:spacing w:before="0" w:beforeAutospacing="0" w:after="0" w:afterAutospacing="0" w:line="440" w:lineRule="exact"/>
        <w:ind w:left="458" w:leftChars="208" w:firstLine="417" w:firstLineChars="199"/>
        <w:jc w:val="both"/>
        <w:textAlignment w:val="baseline"/>
        <w:rPr>
          <w:rStyle w:val="23"/>
          <w:rFonts w:ascii="宋体" w:hAnsi="宋体"/>
          <w:b w:val="0"/>
          <w:i w:val="0"/>
          <w:caps w:val="0"/>
          <w:color w:val="000000"/>
          <w:spacing w:val="0"/>
          <w:w w:val="100"/>
          <w:kern w:val="2"/>
          <w:sz w:val="21"/>
          <w:szCs w:val="21"/>
          <w:lang w:val="zh-CN" w:eastAsia="zh-CN" w:bidi="ar-SA"/>
        </w:rPr>
      </w:pPr>
      <w:r>
        <w:rPr>
          <w:rStyle w:val="23"/>
          <w:rFonts w:hint="eastAsia" w:ascii="宋体" w:hAnsi="宋体"/>
          <w:b w:val="0"/>
          <w:i w:val="0"/>
          <w:caps w:val="0"/>
          <w:color w:val="000000"/>
          <w:spacing w:val="0"/>
          <w:w w:val="100"/>
          <w:kern w:val="2"/>
          <w:sz w:val="21"/>
          <w:szCs w:val="21"/>
          <w:lang w:val="zh-CN" w:eastAsia="zh-CN" w:bidi="ar-SA"/>
        </w:rPr>
        <w:t>（</w:t>
      </w:r>
      <w:r>
        <w:rPr>
          <w:rStyle w:val="23"/>
          <w:rFonts w:hint="eastAsia" w:ascii="宋体" w:hAnsi="宋体"/>
          <w:b w:val="0"/>
          <w:i w:val="0"/>
          <w:caps w:val="0"/>
          <w:color w:val="000000"/>
          <w:spacing w:val="0"/>
          <w:w w:val="100"/>
          <w:kern w:val="2"/>
          <w:sz w:val="21"/>
          <w:szCs w:val="21"/>
          <w:lang w:val="en-US" w:eastAsia="zh-CN" w:bidi="ar-SA"/>
        </w:rPr>
        <w:t>3</w:t>
      </w:r>
      <w:r>
        <w:rPr>
          <w:rStyle w:val="23"/>
          <w:rFonts w:hint="eastAsia" w:ascii="宋体" w:hAnsi="宋体"/>
          <w:b w:val="0"/>
          <w:i w:val="0"/>
          <w:caps w:val="0"/>
          <w:color w:val="000000"/>
          <w:spacing w:val="0"/>
          <w:w w:val="100"/>
          <w:kern w:val="2"/>
          <w:sz w:val="21"/>
          <w:szCs w:val="21"/>
          <w:lang w:val="zh-CN" w:eastAsia="zh-CN" w:bidi="ar-SA"/>
        </w:rPr>
        <w:t>）各潜在投标人（供应商）下载招标文件后，报名视为成功。若未在报名系统下载招标文件，视为未报名</w:t>
      </w:r>
      <w:r>
        <w:rPr>
          <w:rStyle w:val="23"/>
          <w:rFonts w:ascii="宋体" w:hAnsi="宋体"/>
          <w:b w:val="0"/>
          <w:i w:val="0"/>
          <w:caps w:val="0"/>
          <w:color w:val="000000"/>
          <w:spacing w:val="0"/>
          <w:w w:val="100"/>
          <w:kern w:val="2"/>
          <w:sz w:val="21"/>
          <w:szCs w:val="21"/>
          <w:lang w:val="zh-CN" w:eastAsia="zh-CN" w:bidi="ar-SA"/>
        </w:rPr>
        <w:t>；</w:t>
      </w:r>
    </w:p>
    <w:p>
      <w:pPr>
        <w:snapToGrid/>
        <w:spacing w:before="0" w:beforeAutospacing="0" w:after="0" w:afterAutospacing="0" w:line="440" w:lineRule="exact"/>
        <w:ind w:left="458" w:leftChars="208" w:firstLine="417" w:firstLineChars="199"/>
        <w:jc w:val="both"/>
        <w:textAlignment w:val="baseline"/>
        <w:rPr>
          <w:rStyle w:val="23"/>
          <w:rFonts w:hint="default" w:ascii="宋体" w:hAnsi="宋体"/>
          <w:b w:val="0"/>
          <w:i w:val="0"/>
          <w:caps w:val="0"/>
          <w:color w:val="000000"/>
          <w:spacing w:val="0"/>
          <w:w w:val="100"/>
          <w:kern w:val="2"/>
          <w:sz w:val="21"/>
          <w:szCs w:val="21"/>
          <w:lang w:val="en-US" w:eastAsia="zh-CN" w:bidi="ar-SA"/>
        </w:rPr>
      </w:pPr>
      <w:r>
        <w:rPr>
          <w:rStyle w:val="23"/>
          <w:rFonts w:hint="eastAsia" w:ascii="宋体" w:hAnsi="宋体"/>
          <w:b w:val="0"/>
          <w:i w:val="0"/>
          <w:caps w:val="0"/>
          <w:color w:val="000000"/>
          <w:spacing w:val="0"/>
          <w:w w:val="100"/>
          <w:kern w:val="2"/>
          <w:sz w:val="21"/>
          <w:szCs w:val="21"/>
          <w:lang w:val="zh-CN" w:eastAsia="zh-CN" w:bidi="ar-SA"/>
        </w:rPr>
        <w:t>（</w:t>
      </w:r>
      <w:r>
        <w:rPr>
          <w:rStyle w:val="23"/>
          <w:rFonts w:hint="eastAsia" w:ascii="宋体" w:hAnsi="宋体"/>
          <w:b w:val="0"/>
          <w:i w:val="0"/>
          <w:caps w:val="0"/>
          <w:color w:val="000000"/>
          <w:spacing w:val="0"/>
          <w:w w:val="100"/>
          <w:kern w:val="2"/>
          <w:sz w:val="21"/>
          <w:szCs w:val="21"/>
          <w:lang w:val="en-US" w:eastAsia="zh-CN" w:bidi="ar-SA"/>
        </w:rPr>
        <w:t>4</w:t>
      </w:r>
      <w:r>
        <w:rPr>
          <w:rStyle w:val="23"/>
          <w:rFonts w:hint="eastAsia" w:ascii="宋体" w:hAnsi="宋体"/>
          <w:b w:val="0"/>
          <w:i w:val="0"/>
          <w:caps w:val="0"/>
          <w:color w:val="000000"/>
          <w:spacing w:val="0"/>
          <w:w w:val="100"/>
          <w:kern w:val="2"/>
          <w:sz w:val="21"/>
          <w:szCs w:val="21"/>
          <w:lang w:val="zh-CN" w:eastAsia="zh-CN" w:bidi="ar-SA"/>
        </w:rPr>
        <w:t>）登录大丰公共资源交易平台</w:t>
      </w:r>
      <w:r>
        <w:rPr>
          <w:rStyle w:val="23"/>
          <w:rFonts w:hint="eastAsia" w:ascii="宋体" w:hAnsi="宋体"/>
          <w:b w:val="0"/>
          <w:i w:val="0"/>
          <w:caps w:val="0"/>
          <w:color w:val="000000"/>
          <w:spacing w:val="0"/>
          <w:w w:val="100"/>
          <w:kern w:val="2"/>
          <w:sz w:val="21"/>
          <w:szCs w:val="21"/>
          <w:lang w:val="en-US" w:eastAsia="zh-CN" w:bidi="ar-SA"/>
        </w:rPr>
        <w:t>-点击查看“招投标常见问题”，或者拨打0515-83927018，或者加入QQ群（问题解决群）：384422310</w:t>
      </w:r>
      <w:r>
        <w:rPr>
          <w:rStyle w:val="23"/>
          <w:rFonts w:hint="eastAsia" w:ascii="宋体" w:hAnsi="宋体"/>
          <w:b w:val="0"/>
          <w:i w:val="0"/>
          <w:caps w:val="0"/>
          <w:color w:val="000000"/>
          <w:spacing w:val="0"/>
          <w:w w:val="100"/>
          <w:kern w:val="2"/>
          <w:sz w:val="21"/>
          <w:szCs w:val="21"/>
          <w:lang w:val="zh-CN" w:eastAsia="zh-CN" w:bidi="ar-SA"/>
        </w:rPr>
        <w:t>；</w:t>
      </w:r>
    </w:p>
    <w:p>
      <w:pPr>
        <w:snapToGrid/>
        <w:spacing w:before="0" w:beforeAutospacing="0" w:after="0" w:afterAutospacing="0" w:line="440" w:lineRule="exact"/>
        <w:ind w:left="458" w:leftChars="208" w:firstLine="417" w:firstLineChars="199"/>
        <w:jc w:val="both"/>
        <w:textAlignment w:val="baseline"/>
        <w:rPr>
          <w:rStyle w:val="23"/>
          <w:rFonts w:ascii="宋体" w:hAnsi="宋体"/>
          <w:b w:val="0"/>
          <w:i w:val="0"/>
          <w:caps w:val="0"/>
          <w:color w:val="000000"/>
          <w:spacing w:val="0"/>
          <w:w w:val="100"/>
          <w:kern w:val="2"/>
          <w:sz w:val="21"/>
          <w:szCs w:val="21"/>
          <w:lang w:val="zh-CN" w:eastAsia="zh-CN" w:bidi="ar-SA"/>
        </w:rPr>
      </w:pPr>
      <w:r>
        <w:rPr>
          <w:rStyle w:val="23"/>
          <w:rFonts w:hint="eastAsia"/>
          <w:b w:val="0"/>
          <w:i w:val="0"/>
          <w:caps w:val="0"/>
          <w:color w:val="000000"/>
          <w:spacing w:val="0"/>
          <w:w w:val="100"/>
          <w:kern w:val="2"/>
          <w:sz w:val="21"/>
          <w:szCs w:val="21"/>
          <w:lang w:val="en-US" w:eastAsia="zh-CN" w:bidi="ar-SA"/>
        </w:rPr>
        <w:t>2、请各投标申请人于</w:t>
      </w:r>
      <w:r>
        <w:rPr>
          <w:rStyle w:val="23"/>
          <w:rFonts w:ascii="宋体" w:hAnsi="宋体"/>
          <w:b w:val="0"/>
          <w:i w:val="0"/>
          <w:caps w:val="0"/>
          <w:color w:val="000000"/>
          <w:spacing w:val="0"/>
          <w:w w:val="100"/>
          <w:kern w:val="2"/>
          <w:sz w:val="21"/>
          <w:szCs w:val="21"/>
          <w:lang w:val="en-US" w:eastAsia="zh-CN" w:bidi="ar-SA"/>
        </w:rPr>
        <w:t>2021</w:t>
      </w:r>
      <w:r>
        <w:rPr>
          <w:rStyle w:val="23"/>
          <w:rFonts w:ascii="宋体" w:hAnsi="宋体"/>
          <w:b w:val="0"/>
          <w:i w:val="0"/>
          <w:caps w:val="0"/>
          <w:color w:val="000000"/>
          <w:spacing w:val="0"/>
          <w:w w:val="100"/>
          <w:kern w:val="2"/>
          <w:sz w:val="21"/>
          <w:szCs w:val="21"/>
          <w:lang w:val="zh-CN" w:eastAsia="zh-CN" w:bidi="ar-SA"/>
        </w:rPr>
        <w:t>年</w:t>
      </w:r>
      <w:r>
        <w:rPr>
          <w:rStyle w:val="23"/>
          <w:rFonts w:hint="eastAsia"/>
          <w:b w:val="0"/>
          <w:i w:val="0"/>
          <w:caps w:val="0"/>
          <w:color w:val="000000"/>
          <w:spacing w:val="0"/>
          <w:w w:val="100"/>
          <w:kern w:val="2"/>
          <w:sz w:val="21"/>
          <w:szCs w:val="21"/>
          <w:lang w:val="en-US" w:eastAsia="zh-CN" w:bidi="ar-SA"/>
        </w:rPr>
        <w:t>9</w:t>
      </w:r>
      <w:r>
        <w:rPr>
          <w:rStyle w:val="23"/>
          <w:rFonts w:ascii="宋体" w:hAnsi="宋体"/>
          <w:b w:val="0"/>
          <w:i w:val="0"/>
          <w:caps w:val="0"/>
          <w:color w:val="000000"/>
          <w:spacing w:val="0"/>
          <w:w w:val="100"/>
          <w:kern w:val="2"/>
          <w:sz w:val="21"/>
          <w:szCs w:val="21"/>
          <w:lang w:val="zh-CN" w:eastAsia="zh-CN" w:bidi="ar-SA"/>
        </w:rPr>
        <w:t>月</w:t>
      </w:r>
      <w:r>
        <w:rPr>
          <w:rStyle w:val="23"/>
          <w:rFonts w:hint="eastAsia"/>
          <w:b w:val="0"/>
          <w:i w:val="0"/>
          <w:caps w:val="0"/>
          <w:color w:val="000000"/>
          <w:spacing w:val="0"/>
          <w:w w:val="100"/>
          <w:kern w:val="2"/>
          <w:sz w:val="21"/>
          <w:szCs w:val="21"/>
          <w:lang w:val="en-US" w:eastAsia="zh-CN" w:bidi="ar-SA"/>
        </w:rPr>
        <w:t>29</w:t>
      </w:r>
      <w:r>
        <w:rPr>
          <w:rStyle w:val="23"/>
          <w:rFonts w:ascii="宋体" w:hAnsi="宋体"/>
          <w:b w:val="0"/>
          <w:i w:val="0"/>
          <w:caps w:val="0"/>
          <w:color w:val="000000"/>
          <w:spacing w:val="0"/>
          <w:w w:val="100"/>
          <w:kern w:val="2"/>
          <w:sz w:val="21"/>
          <w:szCs w:val="21"/>
          <w:lang w:val="en-US" w:eastAsia="zh-CN" w:bidi="ar-SA"/>
        </w:rPr>
        <w:t>日</w:t>
      </w:r>
      <w:r>
        <w:rPr>
          <w:rStyle w:val="23"/>
          <w:rFonts w:ascii="宋体" w:hAnsi="宋体"/>
          <w:b w:val="0"/>
          <w:i w:val="0"/>
          <w:caps w:val="0"/>
          <w:color w:val="000000"/>
          <w:spacing w:val="0"/>
          <w:w w:val="100"/>
          <w:kern w:val="2"/>
          <w:sz w:val="21"/>
          <w:szCs w:val="21"/>
          <w:lang w:val="zh-CN" w:eastAsia="zh-CN" w:bidi="ar-SA"/>
        </w:rPr>
        <w:t>至</w:t>
      </w:r>
      <w:r>
        <w:rPr>
          <w:rStyle w:val="23"/>
          <w:rFonts w:ascii="宋体" w:hAnsi="宋体"/>
          <w:b w:val="0"/>
          <w:i w:val="0"/>
          <w:caps w:val="0"/>
          <w:color w:val="000000"/>
          <w:spacing w:val="0"/>
          <w:w w:val="100"/>
          <w:kern w:val="2"/>
          <w:sz w:val="21"/>
          <w:szCs w:val="21"/>
          <w:lang w:val="en-US" w:eastAsia="zh-CN" w:bidi="ar-SA"/>
        </w:rPr>
        <w:t>2021</w:t>
      </w:r>
      <w:r>
        <w:rPr>
          <w:rStyle w:val="23"/>
          <w:rFonts w:ascii="宋体" w:hAnsi="宋体"/>
          <w:b w:val="0"/>
          <w:i w:val="0"/>
          <w:caps w:val="0"/>
          <w:color w:val="000000"/>
          <w:spacing w:val="0"/>
          <w:w w:val="100"/>
          <w:kern w:val="2"/>
          <w:sz w:val="21"/>
          <w:szCs w:val="21"/>
          <w:lang w:val="zh-CN" w:eastAsia="zh-CN" w:bidi="ar-SA"/>
        </w:rPr>
        <w:t>年</w:t>
      </w:r>
      <w:r>
        <w:rPr>
          <w:rStyle w:val="23"/>
          <w:rFonts w:hint="eastAsia"/>
          <w:b w:val="0"/>
          <w:i w:val="0"/>
          <w:caps w:val="0"/>
          <w:color w:val="000000"/>
          <w:spacing w:val="0"/>
          <w:w w:val="100"/>
          <w:kern w:val="2"/>
          <w:sz w:val="21"/>
          <w:szCs w:val="21"/>
          <w:lang w:val="en-US" w:eastAsia="zh-CN" w:bidi="ar-SA"/>
        </w:rPr>
        <w:t>10</w:t>
      </w:r>
      <w:r>
        <w:rPr>
          <w:rStyle w:val="23"/>
          <w:rFonts w:ascii="宋体" w:hAnsi="宋体"/>
          <w:b w:val="0"/>
          <w:i w:val="0"/>
          <w:caps w:val="0"/>
          <w:color w:val="000000"/>
          <w:spacing w:val="0"/>
          <w:w w:val="100"/>
          <w:kern w:val="2"/>
          <w:sz w:val="21"/>
          <w:szCs w:val="21"/>
          <w:lang w:val="zh-CN" w:eastAsia="zh-CN" w:bidi="ar-SA"/>
        </w:rPr>
        <w:t>月</w:t>
      </w:r>
      <w:r>
        <w:rPr>
          <w:rStyle w:val="23"/>
          <w:rFonts w:hint="eastAsia"/>
          <w:b w:val="0"/>
          <w:i w:val="0"/>
          <w:caps w:val="0"/>
          <w:color w:val="000000"/>
          <w:spacing w:val="0"/>
          <w:w w:val="100"/>
          <w:kern w:val="2"/>
          <w:sz w:val="21"/>
          <w:szCs w:val="21"/>
          <w:lang w:val="en-US" w:eastAsia="zh-CN" w:bidi="ar-SA"/>
        </w:rPr>
        <w:t>12</w:t>
      </w:r>
      <w:r>
        <w:rPr>
          <w:rStyle w:val="23"/>
          <w:rFonts w:ascii="宋体" w:hAnsi="宋体"/>
          <w:b w:val="0"/>
          <w:i w:val="0"/>
          <w:caps w:val="0"/>
          <w:color w:val="000000"/>
          <w:spacing w:val="0"/>
          <w:w w:val="100"/>
          <w:kern w:val="2"/>
          <w:sz w:val="21"/>
          <w:szCs w:val="21"/>
          <w:lang w:val="en-US" w:eastAsia="zh-CN" w:bidi="ar-SA"/>
        </w:rPr>
        <w:t>日</w:t>
      </w:r>
      <w:r>
        <w:rPr>
          <w:rStyle w:val="23"/>
          <w:rFonts w:hint="eastAsia" w:ascii="宋体" w:hAnsi="宋体"/>
          <w:b w:val="0"/>
          <w:i w:val="0"/>
          <w:caps w:val="0"/>
          <w:color w:val="000000"/>
          <w:spacing w:val="0"/>
          <w:w w:val="100"/>
          <w:kern w:val="2"/>
          <w:sz w:val="21"/>
          <w:szCs w:val="21"/>
          <w:lang w:val="en-US" w:eastAsia="zh-CN" w:bidi="ar-SA"/>
        </w:rPr>
        <w:t>进行网上报名及下载招标文件，如在规定时间内未下载招标文件，由此引起的责任自负。</w:t>
      </w:r>
    </w:p>
    <w:p>
      <w:pPr>
        <w:numPr>
          <w:ilvl w:val="0"/>
          <w:numId w:val="0"/>
        </w:numPr>
        <w:snapToGrid/>
        <w:spacing w:before="0" w:beforeAutospacing="0" w:after="0" w:afterAutospacing="0" w:line="440" w:lineRule="exact"/>
        <w:ind w:right="0" w:rightChars="0" w:firstLine="422" w:firstLineChars="200"/>
        <w:jc w:val="both"/>
        <w:textAlignment w:val="baseline"/>
        <w:outlineLvl w:val="1"/>
        <w:rPr>
          <w:rStyle w:val="23"/>
          <w:rFonts w:hint="eastAsia" w:ascii="宋体" w:hAnsi="宋体" w:cs="宋体"/>
          <w:b/>
          <w:bCs/>
          <w:i w:val="0"/>
          <w:caps w:val="0"/>
          <w:color w:val="000000"/>
          <w:spacing w:val="0"/>
          <w:w w:val="100"/>
          <w:kern w:val="2"/>
          <w:sz w:val="21"/>
          <w:szCs w:val="21"/>
          <w:lang w:val="zh-CN" w:eastAsia="zh-CN" w:bidi="ar-SA"/>
        </w:rPr>
      </w:pPr>
      <w:bookmarkStart w:id="3" w:name="_Toc11350"/>
      <w:bookmarkStart w:id="4" w:name="_Toc662"/>
      <w:r>
        <w:rPr>
          <w:rStyle w:val="23"/>
          <w:rFonts w:hint="eastAsia" w:cs="宋体"/>
          <w:b/>
          <w:bCs/>
          <w:i w:val="0"/>
          <w:caps w:val="0"/>
          <w:color w:val="000000"/>
          <w:spacing w:val="0"/>
          <w:w w:val="100"/>
          <w:kern w:val="2"/>
          <w:sz w:val="21"/>
          <w:szCs w:val="21"/>
          <w:lang w:val="en-US" w:eastAsia="zh-CN" w:bidi="ar-SA"/>
        </w:rPr>
        <w:t xml:space="preserve">四、 </w:t>
      </w:r>
      <w:r>
        <w:rPr>
          <w:rStyle w:val="23"/>
          <w:rFonts w:hint="eastAsia" w:ascii="宋体" w:hAnsi="宋体" w:cs="宋体"/>
          <w:b/>
          <w:bCs/>
          <w:i w:val="0"/>
          <w:caps w:val="0"/>
          <w:color w:val="000000"/>
          <w:spacing w:val="0"/>
          <w:w w:val="100"/>
          <w:kern w:val="2"/>
          <w:sz w:val="21"/>
          <w:szCs w:val="21"/>
          <w:lang w:val="zh-CN" w:eastAsia="zh-CN" w:bidi="ar-SA"/>
        </w:rPr>
        <w:t>提交投标文件截止时间、开标时间和地点</w:t>
      </w:r>
      <w:bookmarkEnd w:id="3"/>
      <w:bookmarkEnd w:id="4"/>
    </w:p>
    <w:p>
      <w:pPr>
        <w:pStyle w:val="14"/>
        <w:numPr>
          <w:ilvl w:val="0"/>
          <w:numId w:val="0"/>
        </w:numPr>
        <w:ind w:left="438" w:leftChars="199" w:firstLine="441" w:firstLineChars="210"/>
        <w:rPr>
          <w:rFonts w:hint="default"/>
          <w:lang w:val="en-US" w:eastAsia="zh-CN"/>
        </w:rPr>
      </w:pPr>
      <w:r>
        <w:rPr>
          <w:rFonts w:hint="eastAsia"/>
          <w:lang w:val="en-US" w:eastAsia="zh-CN"/>
        </w:rPr>
        <w:t xml:space="preserve">    4.1投标文件提交开始及截止时间：</w:t>
      </w:r>
    </w:p>
    <w:p>
      <w:pPr>
        <w:snapToGrid/>
        <w:spacing w:before="0" w:beforeAutospacing="0" w:after="0" w:afterAutospacing="0" w:line="440" w:lineRule="exact"/>
        <w:ind w:left="438" w:leftChars="199" w:firstLine="441" w:firstLineChars="210"/>
        <w:jc w:val="both"/>
        <w:textAlignment w:val="baseline"/>
        <w:rPr>
          <w:rStyle w:val="23"/>
          <w:rFonts w:hint="eastAsia" w:ascii="宋体" w:hAnsi="宋体" w:eastAsia="宋体"/>
          <w:b w:val="0"/>
          <w:i w:val="0"/>
          <w:caps w:val="0"/>
          <w:color w:val="000000"/>
          <w:spacing w:val="0"/>
          <w:w w:val="100"/>
          <w:kern w:val="2"/>
          <w:sz w:val="21"/>
          <w:szCs w:val="21"/>
          <w:u w:val="single" w:color="auto"/>
          <w:lang w:val="en-US" w:eastAsia="zh-CN" w:bidi="ar-SA"/>
        </w:rPr>
      </w:pPr>
      <w:r>
        <w:rPr>
          <w:rStyle w:val="23"/>
          <w:rFonts w:hint="eastAsia" w:ascii="宋体" w:hAnsi="宋体"/>
          <w:b w:val="0"/>
          <w:i w:val="0"/>
          <w:caps w:val="0"/>
          <w:color w:val="000000"/>
          <w:spacing w:val="0"/>
          <w:w w:val="100"/>
          <w:kern w:val="2"/>
          <w:sz w:val="21"/>
          <w:szCs w:val="21"/>
          <w:lang w:val="zh-CN" w:eastAsia="zh-CN" w:bidi="ar-SA"/>
        </w:rPr>
        <w:t>纸质</w:t>
      </w:r>
      <w:r>
        <w:rPr>
          <w:rStyle w:val="23"/>
          <w:rFonts w:ascii="宋体" w:hAnsi="宋体"/>
          <w:b w:val="0"/>
          <w:i w:val="0"/>
          <w:caps w:val="0"/>
          <w:color w:val="000000"/>
          <w:spacing w:val="0"/>
          <w:w w:val="100"/>
          <w:kern w:val="2"/>
          <w:sz w:val="21"/>
          <w:szCs w:val="21"/>
          <w:lang w:val="zh-CN" w:eastAsia="zh-CN" w:bidi="ar-SA"/>
        </w:rPr>
        <w:t>投标</w:t>
      </w:r>
      <w:r>
        <w:rPr>
          <w:rStyle w:val="23"/>
          <w:rFonts w:ascii="宋体" w:hAnsi="宋体"/>
          <w:b w:val="0"/>
          <w:i w:val="0"/>
          <w:caps w:val="0"/>
          <w:color w:val="000000"/>
          <w:spacing w:val="0"/>
          <w:w w:val="100"/>
          <w:kern w:val="2"/>
          <w:sz w:val="21"/>
          <w:szCs w:val="21"/>
          <w:lang w:val="en-US" w:eastAsia="zh-CN" w:bidi="ar-SA"/>
        </w:rPr>
        <w:t>文件递交</w:t>
      </w:r>
      <w:r>
        <w:rPr>
          <w:rStyle w:val="23"/>
          <w:rFonts w:ascii="宋体" w:hAnsi="宋体"/>
          <w:b w:val="0"/>
          <w:i w:val="0"/>
          <w:caps w:val="0"/>
          <w:color w:val="000000"/>
          <w:spacing w:val="0"/>
          <w:w w:val="100"/>
          <w:kern w:val="2"/>
          <w:sz w:val="21"/>
          <w:szCs w:val="21"/>
          <w:lang w:val="zh-CN" w:eastAsia="zh-CN" w:bidi="ar-SA"/>
        </w:rPr>
        <w:t>时间：</w:t>
      </w:r>
      <w:r>
        <w:rPr>
          <w:rStyle w:val="23"/>
          <w:rFonts w:ascii="宋体" w:hAnsi="宋体"/>
          <w:b w:val="0"/>
          <w:i w:val="0"/>
          <w:caps w:val="0"/>
          <w:color w:val="000000"/>
          <w:spacing w:val="0"/>
          <w:w w:val="100"/>
          <w:kern w:val="2"/>
          <w:sz w:val="21"/>
          <w:szCs w:val="21"/>
          <w:u w:val="single" w:color="auto"/>
          <w:lang w:val="en-US" w:eastAsia="zh-CN" w:bidi="ar-SA"/>
        </w:rPr>
        <w:t>2021</w:t>
      </w:r>
      <w:r>
        <w:rPr>
          <w:rStyle w:val="23"/>
          <w:rFonts w:ascii="宋体" w:hAnsi="宋体"/>
          <w:b w:val="0"/>
          <w:i w:val="0"/>
          <w:caps w:val="0"/>
          <w:color w:val="000000"/>
          <w:spacing w:val="0"/>
          <w:w w:val="100"/>
          <w:kern w:val="2"/>
          <w:sz w:val="21"/>
          <w:szCs w:val="21"/>
          <w:u w:val="single" w:color="auto"/>
          <w:lang w:val="zh-CN" w:eastAsia="zh-CN" w:bidi="ar-SA"/>
        </w:rPr>
        <w:t>年</w:t>
      </w:r>
      <w:r>
        <w:rPr>
          <w:rStyle w:val="23"/>
          <w:rFonts w:hint="eastAsia"/>
          <w:b w:val="0"/>
          <w:i w:val="0"/>
          <w:caps w:val="0"/>
          <w:color w:val="000000"/>
          <w:spacing w:val="0"/>
          <w:w w:val="100"/>
          <w:kern w:val="2"/>
          <w:sz w:val="21"/>
          <w:szCs w:val="21"/>
          <w:u w:val="single" w:color="auto"/>
          <w:lang w:val="en-US" w:eastAsia="zh-CN" w:bidi="ar-SA"/>
        </w:rPr>
        <w:t>10</w:t>
      </w:r>
      <w:r>
        <w:rPr>
          <w:rStyle w:val="23"/>
          <w:rFonts w:ascii="宋体" w:hAnsi="宋体"/>
          <w:b w:val="0"/>
          <w:i w:val="0"/>
          <w:caps w:val="0"/>
          <w:color w:val="000000"/>
          <w:spacing w:val="0"/>
          <w:w w:val="100"/>
          <w:kern w:val="2"/>
          <w:sz w:val="21"/>
          <w:szCs w:val="21"/>
          <w:u w:val="single" w:color="auto"/>
          <w:lang w:val="zh-CN" w:eastAsia="zh-CN" w:bidi="ar-SA"/>
        </w:rPr>
        <w:t>月</w:t>
      </w:r>
      <w:r>
        <w:rPr>
          <w:rStyle w:val="23"/>
          <w:rFonts w:hint="eastAsia"/>
          <w:b w:val="0"/>
          <w:i w:val="0"/>
          <w:caps w:val="0"/>
          <w:color w:val="000000"/>
          <w:spacing w:val="0"/>
          <w:w w:val="100"/>
          <w:kern w:val="2"/>
          <w:sz w:val="21"/>
          <w:szCs w:val="21"/>
          <w:u w:val="single" w:color="auto"/>
          <w:lang w:val="en-US" w:eastAsia="zh-CN" w:bidi="ar-SA"/>
        </w:rPr>
        <w:t>29</w:t>
      </w:r>
      <w:r>
        <w:rPr>
          <w:rStyle w:val="23"/>
          <w:rFonts w:ascii="宋体" w:hAnsi="宋体"/>
          <w:b w:val="0"/>
          <w:i w:val="0"/>
          <w:caps w:val="0"/>
          <w:color w:val="000000"/>
          <w:spacing w:val="0"/>
          <w:w w:val="100"/>
          <w:kern w:val="2"/>
          <w:sz w:val="21"/>
          <w:szCs w:val="21"/>
          <w:u w:val="single" w:color="auto"/>
          <w:lang w:val="zh-CN" w:eastAsia="zh-CN" w:bidi="ar-SA"/>
        </w:rPr>
        <w:t>日</w:t>
      </w:r>
      <w:r>
        <w:rPr>
          <w:rStyle w:val="23"/>
          <w:rFonts w:hint="eastAsia"/>
          <w:b w:val="0"/>
          <w:i w:val="0"/>
          <w:caps w:val="0"/>
          <w:color w:val="000000"/>
          <w:spacing w:val="0"/>
          <w:w w:val="100"/>
          <w:kern w:val="2"/>
          <w:sz w:val="21"/>
          <w:szCs w:val="21"/>
          <w:u w:val="single" w:color="auto"/>
          <w:lang w:val="en-US" w:eastAsia="zh-CN" w:bidi="ar-SA"/>
        </w:rPr>
        <w:t>08</w:t>
      </w:r>
      <w:r>
        <w:rPr>
          <w:rStyle w:val="23"/>
          <w:rFonts w:hint="eastAsia" w:ascii="宋体" w:hAnsi="宋体"/>
          <w:b w:val="0"/>
          <w:i w:val="0"/>
          <w:caps w:val="0"/>
          <w:color w:val="000000"/>
          <w:spacing w:val="0"/>
          <w:w w:val="100"/>
          <w:kern w:val="2"/>
          <w:sz w:val="21"/>
          <w:szCs w:val="21"/>
          <w:u w:val="single" w:color="auto"/>
          <w:lang w:val="en-US" w:eastAsia="zh-CN" w:bidi="ar-SA"/>
        </w:rPr>
        <w:t>时</w:t>
      </w:r>
      <w:r>
        <w:rPr>
          <w:rStyle w:val="23"/>
          <w:rFonts w:hint="eastAsia"/>
          <w:b w:val="0"/>
          <w:i w:val="0"/>
          <w:caps w:val="0"/>
          <w:color w:val="000000"/>
          <w:spacing w:val="0"/>
          <w:w w:val="100"/>
          <w:kern w:val="2"/>
          <w:sz w:val="21"/>
          <w:szCs w:val="21"/>
          <w:u w:val="single" w:color="auto"/>
          <w:lang w:val="en-US" w:eastAsia="zh-CN" w:bidi="ar-SA"/>
        </w:rPr>
        <w:t>30</w:t>
      </w:r>
      <w:r>
        <w:rPr>
          <w:rStyle w:val="23"/>
          <w:rFonts w:hint="eastAsia" w:ascii="宋体" w:hAnsi="宋体"/>
          <w:b w:val="0"/>
          <w:i w:val="0"/>
          <w:caps w:val="0"/>
          <w:color w:val="000000"/>
          <w:spacing w:val="0"/>
          <w:w w:val="100"/>
          <w:kern w:val="2"/>
          <w:sz w:val="21"/>
          <w:szCs w:val="21"/>
          <w:u w:val="single" w:color="auto"/>
          <w:lang w:val="en-US" w:eastAsia="zh-CN" w:bidi="ar-SA"/>
        </w:rPr>
        <w:t>分</w:t>
      </w:r>
      <w:r>
        <w:rPr>
          <w:rStyle w:val="23"/>
          <w:rFonts w:hint="default" w:ascii="宋体" w:hAnsi="宋体"/>
          <w:b w:val="0"/>
          <w:i w:val="0"/>
          <w:caps w:val="0"/>
          <w:color w:val="000000"/>
          <w:spacing w:val="0"/>
          <w:w w:val="100"/>
          <w:kern w:val="2"/>
          <w:sz w:val="21"/>
          <w:szCs w:val="21"/>
          <w:u w:val="single" w:color="auto"/>
          <w:lang w:val="en-US" w:eastAsia="zh-CN" w:bidi="ar-SA"/>
        </w:rPr>
        <w:t>00</w:t>
      </w:r>
      <w:r>
        <w:rPr>
          <w:rStyle w:val="23"/>
          <w:rFonts w:hint="eastAsia" w:ascii="宋体" w:hAnsi="宋体"/>
          <w:b w:val="0"/>
          <w:i w:val="0"/>
          <w:caps w:val="0"/>
          <w:color w:val="000000"/>
          <w:spacing w:val="0"/>
          <w:w w:val="100"/>
          <w:kern w:val="2"/>
          <w:sz w:val="21"/>
          <w:szCs w:val="21"/>
          <w:u w:val="single" w:color="auto"/>
          <w:lang w:val="en-US" w:eastAsia="zh-CN" w:bidi="ar-SA"/>
        </w:rPr>
        <w:t>秒</w:t>
      </w:r>
      <w:r>
        <w:rPr>
          <w:rStyle w:val="23"/>
          <w:rFonts w:hint="default" w:ascii="宋体" w:hAnsi="宋体"/>
          <w:b w:val="0"/>
          <w:i w:val="0"/>
          <w:caps w:val="0"/>
          <w:color w:val="000000"/>
          <w:spacing w:val="0"/>
          <w:w w:val="100"/>
          <w:kern w:val="2"/>
          <w:sz w:val="21"/>
          <w:szCs w:val="21"/>
          <w:u w:val="single" w:color="auto"/>
          <w:lang w:val="en-US" w:eastAsia="zh-CN" w:bidi="ar-SA"/>
        </w:rPr>
        <w:t>-</w:t>
      </w:r>
      <w:r>
        <w:rPr>
          <w:rStyle w:val="23"/>
          <w:rFonts w:ascii="宋体" w:hAnsi="宋体"/>
          <w:b w:val="0"/>
          <w:i w:val="0"/>
          <w:caps w:val="0"/>
          <w:color w:val="000000"/>
          <w:spacing w:val="0"/>
          <w:w w:val="100"/>
          <w:kern w:val="2"/>
          <w:sz w:val="21"/>
          <w:szCs w:val="21"/>
          <w:u w:val="single" w:color="auto"/>
          <w:lang w:val="en-US" w:eastAsia="zh-CN" w:bidi="ar-SA"/>
        </w:rPr>
        <w:t>2021</w:t>
      </w:r>
      <w:r>
        <w:rPr>
          <w:rStyle w:val="23"/>
          <w:rFonts w:ascii="宋体" w:hAnsi="宋体"/>
          <w:b w:val="0"/>
          <w:i w:val="0"/>
          <w:caps w:val="0"/>
          <w:color w:val="000000"/>
          <w:spacing w:val="0"/>
          <w:w w:val="100"/>
          <w:kern w:val="2"/>
          <w:sz w:val="21"/>
          <w:szCs w:val="21"/>
          <w:u w:val="single" w:color="auto"/>
          <w:lang w:val="zh-CN" w:eastAsia="zh-CN" w:bidi="ar-SA"/>
        </w:rPr>
        <w:t>年</w:t>
      </w:r>
      <w:r>
        <w:rPr>
          <w:rStyle w:val="23"/>
          <w:rFonts w:hint="eastAsia"/>
          <w:b w:val="0"/>
          <w:i w:val="0"/>
          <w:caps w:val="0"/>
          <w:color w:val="000000"/>
          <w:spacing w:val="0"/>
          <w:w w:val="100"/>
          <w:kern w:val="2"/>
          <w:sz w:val="21"/>
          <w:szCs w:val="21"/>
          <w:u w:val="single" w:color="auto"/>
          <w:lang w:val="en-US" w:eastAsia="zh-CN" w:bidi="ar-SA"/>
        </w:rPr>
        <w:t>10</w:t>
      </w:r>
      <w:r>
        <w:rPr>
          <w:rStyle w:val="23"/>
          <w:rFonts w:ascii="宋体" w:hAnsi="宋体"/>
          <w:b w:val="0"/>
          <w:i w:val="0"/>
          <w:caps w:val="0"/>
          <w:color w:val="000000"/>
          <w:spacing w:val="0"/>
          <w:w w:val="100"/>
          <w:kern w:val="2"/>
          <w:sz w:val="21"/>
          <w:szCs w:val="21"/>
          <w:u w:val="single" w:color="auto"/>
          <w:lang w:val="zh-CN" w:eastAsia="zh-CN" w:bidi="ar-SA"/>
        </w:rPr>
        <w:t>月</w:t>
      </w:r>
      <w:r>
        <w:rPr>
          <w:rStyle w:val="23"/>
          <w:rFonts w:hint="eastAsia"/>
          <w:b w:val="0"/>
          <w:i w:val="0"/>
          <w:caps w:val="0"/>
          <w:color w:val="000000"/>
          <w:spacing w:val="0"/>
          <w:w w:val="100"/>
          <w:kern w:val="2"/>
          <w:sz w:val="21"/>
          <w:szCs w:val="21"/>
          <w:u w:val="single" w:color="auto"/>
          <w:lang w:val="en-US" w:eastAsia="zh-CN" w:bidi="ar-SA"/>
        </w:rPr>
        <w:t>29</w:t>
      </w:r>
      <w:r>
        <w:rPr>
          <w:rStyle w:val="23"/>
          <w:rFonts w:ascii="宋体" w:hAnsi="宋体"/>
          <w:b w:val="0"/>
          <w:i w:val="0"/>
          <w:caps w:val="0"/>
          <w:color w:val="000000"/>
          <w:spacing w:val="0"/>
          <w:w w:val="100"/>
          <w:kern w:val="2"/>
          <w:sz w:val="21"/>
          <w:szCs w:val="21"/>
          <w:u w:val="single" w:color="auto"/>
          <w:lang w:val="zh-CN" w:eastAsia="zh-CN" w:bidi="ar-SA"/>
        </w:rPr>
        <w:t>日</w:t>
      </w:r>
      <w:r>
        <w:rPr>
          <w:rStyle w:val="23"/>
          <w:rFonts w:hint="eastAsia"/>
          <w:b w:val="0"/>
          <w:i w:val="0"/>
          <w:caps w:val="0"/>
          <w:color w:val="000000"/>
          <w:spacing w:val="0"/>
          <w:w w:val="100"/>
          <w:kern w:val="2"/>
          <w:sz w:val="21"/>
          <w:szCs w:val="21"/>
          <w:u w:val="single" w:color="auto"/>
          <w:lang w:val="en-US" w:eastAsia="zh-CN" w:bidi="ar-SA"/>
        </w:rPr>
        <w:t>09</w:t>
      </w:r>
      <w:r>
        <w:rPr>
          <w:rStyle w:val="23"/>
          <w:rFonts w:hint="eastAsia" w:ascii="宋体" w:hAnsi="宋体"/>
          <w:b w:val="0"/>
          <w:i w:val="0"/>
          <w:caps w:val="0"/>
          <w:color w:val="000000"/>
          <w:spacing w:val="0"/>
          <w:w w:val="100"/>
          <w:kern w:val="2"/>
          <w:sz w:val="21"/>
          <w:szCs w:val="21"/>
          <w:u w:val="single" w:color="auto"/>
          <w:lang w:val="en-US" w:eastAsia="zh-CN" w:bidi="ar-SA"/>
        </w:rPr>
        <w:t>时</w:t>
      </w:r>
      <w:r>
        <w:rPr>
          <w:rStyle w:val="23"/>
          <w:rFonts w:hint="default" w:ascii="宋体" w:hAnsi="宋体"/>
          <w:b w:val="0"/>
          <w:i w:val="0"/>
          <w:caps w:val="0"/>
          <w:color w:val="000000"/>
          <w:spacing w:val="0"/>
          <w:w w:val="100"/>
          <w:kern w:val="2"/>
          <w:sz w:val="21"/>
          <w:szCs w:val="21"/>
          <w:u w:val="single" w:color="auto"/>
          <w:lang w:val="en-US" w:eastAsia="zh-CN" w:bidi="ar-SA"/>
        </w:rPr>
        <w:t>00</w:t>
      </w:r>
      <w:r>
        <w:rPr>
          <w:rStyle w:val="23"/>
          <w:rFonts w:hint="eastAsia" w:ascii="宋体" w:hAnsi="宋体"/>
          <w:b w:val="0"/>
          <w:i w:val="0"/>
          <w:caps w:val="0"/>
          <w:color w:val="000000"/>
          <w:spacing w:val="0"/>
          <w:w w:val="100"/>
          <w:kern w:val="2"/>
          <w:sz w:val="21"/>
          <w:szCs w:val="21"/>
          <w:u w:val="single" w:color="auto"/>
          <w:lang w:val="en-US" w:eastAsia="zh-CN" w:bidi="ar-SA"/>
        </w:rPr>
        <w:t>分</w:t>
      </w:r>
      <w:r>
        <w:rPr>
          <w:rStyle w:val="23"/>
          <w:rFonts w:hint="default" w:ascii="宋体" w:hAnsi="宋体"/>
          <w:b w:val="0"/>
          <w:i w:val="0"/>
          <w:caps w:val="0"/>
          <w:color w:val="000000"/>
          <w:spacing w:val="0"/>
          <w:w w:val="100"/>
          <w:kern w:val="2"/>
          <w:sz w:val="21"/>
          <w:szCs w:val="21"/>
          <w:u w:val="single" w:color="auto"/>
          <w:lang w:val="en-US" w:eastAsia="zh-CN" w:bidi="ar-SA"/>
        </w:rPr>
        <w:t>00</w:t>
      </w:r>
      <w:r>
        <w:rPr>
          <w:rStyle w:val="23"/>
          <w:rFonts w:hint="eastAsia" w:ascii="宋体" w:hAnsi="宋体"/>
          <w:b w:val="0"/>
          <w:i w:val="0"/>
          <w:caps w:val="0"/>
          <w:color w:val="000000"/>
          <w:spacing w:val="0"/>
          <w:w w:val="100"/>
          <w:kern w:val="2"/>
          <w:sz w:val="21"/>
          <w:szCs w:val="21"/>
          <w:u w:val="single" w:color="auto"/>
          <w:lang w:val="en-US" w:eastAsia="zh-CN" w:bidi="ar-SA"/>
        </w:rPr>
        <w:t>秒。</w:t>
      </w:r>
    </w:p>
    <w:p>
      <w:pPr>
        <w:snapToGrid/>
        <w:spacing w:before="0" w:beforeAutospacing="0" w:after="0" w:afterAutospacing="0" w:line="440" w:lineRule="exact"/>
        <w:ind w:left="438" w:leftChars="199" w:firstLine="441" w:firstLineChars="210"/>
        <w:jc w:val="both"/>
        <w:textAlignment w:val="baseline"/>
        <w:rPr>
          <w:rFonts w:hint="default"/>
          <w:lang w:val="en-US" w:eastAsia="zh-CN"/>
        </w:rPr>
      </w:pPr>
      <w:r>
        <w:rPr>
          <w:rStyle w:val="23"/>
          <w:rFonts w:hint="eastAsia" w:ascii="宋体" w:hAnsi="宋体"/>
          <w:b w:val="0"/>
          <w:i w:val="0"/>
          <w:caps w:val="0"/>
          <w:color w:val="000000"/>
          <w:spacing w:val="0"/>
          <w:w w:val="100"/>
          <w:kern w:val="2"/>
          <w:sz w:val="21"/>
          <w:szCs w:val="21"/>
          <w:lang w:val="en-US" w:eastAsia="zh-CN" w:bidi="ar-SA"/>
        </w:rPr>
        <w:t>纸质</w:t>
      </w:r>
      <w:r>
        <w:rPr>
          <w:rStyle w:val="23"/>
          <w:rFonts w:ascii="宋体" w:hAnsi="宋体"/>
          <w:b w:val="0"/>
          <w:i w:val="0"/>
          <w:caps w:val="0"/>
          <w:color w:val="000000"/>
          <w:spacing w:val="0"/>
          <w:w w:val="100"/>
          <w:kern w:val="2"/>
          <w:sz w:val="21"/>
          <w:szCs w:val="21"/>
          <w:lang w:val="zh-CN" w:eastAsia="zh-CN" w:bidi="ar-SA"/>
        </w:rPr>
        <w:t>投标截止时间即开标时间：</w:t>
      </w:r>
      <w:r>
        <w:rPr>
          <w:rStyle w:val="23"/>
          <w:rFonts w:ascii="宋体" w:hAnsi="宋体"/>
          <w:b w:val="0"/>
          <w:i w:val="0"/>
          <w:caps w:val="0"/>
          <w:color w:val="000000"/>
          <w:spacing w:val="0"/>
          <w:w w:val="100"/>
          <w:kern w:val="2"/>
          <w:sz w:val="21"/>
          <w:szCs w:val="21"/>
          <w:u w:val="single" w:color="auto"/>
          <w:lang w:val="en-US" w:eastAsia="zh-CN" w:bidi="ar-SA"/>
        </w:rPr>
        <w:t>2021</w:t>
      </w:r>
      <w:r>
        <w:rPr>
          <w:rStyle w:val="23"/>
          <w:rFonts w:ascii="宋体" w:hAnsi="宋体"/>
          <w:b w:val="0"/>
          <w:i w:val="0"/>
          <w:caps w:val="0"/>
          <w:color w:val="000000"/>
          <w:spacing w:val="0"/>
          <w:w w:val="100"/>
          <w:kern w:val="2"/>
          <w:sz w:val="21"/>
          <w:szCs w:val="21"/>
          <w:u w:val="single" w:color="auto"/>
          <w:lang w:val="zh-CN" w:eastAsia="zh-CN" w:bidi="ar-SA"/>
        </w:rPr>
        <w:t>年</w:t>
      </w:r>
      <w:r>
        <w:rPr>
          <w:rStyle w:val="23"/>
          <w:rFonts w:hint="eastAsia"/>
          <w:b w:val="0"/>
          <w:i w:val="0"/>
          <w:caps w:val="0"/>
          <w:color w:val="000000"/>
          <w:spacing w:val="0"/>
          <w:w w:val="100"/>
          <w:kern w:val="2"/>
          <w:sz w:val="21"/>
          <w:szCs w:val="21"/>
          <w:u w:val="single" w:color="auto"/>
          <w:lang w:val="en-US" w:eastAsia="zh-CN" w:bidi="ar-SA"/>
        </w:rPr>
        <w:t>10</w:t>
      </w:r>
      <w:r>
        <w:rPr>
          <w:rStyle w:val="23"/>
          <w:rFonts w:ascii="宋体" w:hAnsi="宋体"/>
          <w:b w:val="0"/>
          <w:i w:val="0"/>
          <w:caps w:val="0"/>
          <w:color w:val="000000"/>
          <w:spacing w:val="0"/>
          <w:w w:val="100"/>
          <w:kern w:val="2"/>
          <w:sz w:val="21"/>
          <w:szCs w:val="21"/>
          <w:u w:val="single" w:color="auto"/>
          <w:lang w:val="zh-CN" w:eastAsia="zh-CN" w:bidi="ar-SA"/>
        </w:rPr>
        <w:t>月</w:t>
      </w:r>
      <w:r>
        <w:rPr>
          <w:rStyle w:val="23"/>
          <w:rFonts w:hint="eastAsia"/>
          <w:b w:val="0"/>
          <w:i w:val="0"/>
          <w:caps w:val="0"/>
          <w:color w:val="000000"/>
          <w:spacing w:val="0"/>
          <w:w w:val="100"/>
          <w:kern w:val="2"/>
          <w:sz w:val="21"/>
          <w:szCs w:val="21"/>
          <w:u w:val="single" w:color="auto"/>
          <w:lang w:val="en-US" w:eastAsia="zh-CN" w:bidi="ar-SA"/>
        </w:rPr>
        <w:t>29</w:t>
      </w:r>
      <w:r>
        <w:rPr>
          <w:rStyle w:val="23"/>
          <w:rFonts w:ascii="宋体" w:hAnsi="宋体"/>
          <w:b w:val="0"/>
          <w:i w:val="0"/>
          <w:caps w:val="0"/>
          <w:color w:val="000000"/>
          <w:spacing w:val="0"/>
          <w:w w:val="100"/>
          <w:kern w:val="2"/>
          <w:sz w:val="21"/>
          <w:szCs w:val="21"/>
          <w:u w:val="single" w:color="auto"/>
          <w:lang w:val="zh-CN" w:eastAsia="zh-CN" w:bidi="ar-SA"/>
        </w:rPr>
        <w:t>日</w:t>
      </w:r>
      <w:r>
        <w:rPr>
          <w:rStyle w:val="23"/>
          <w:rFonts w:hint="eastAsia"/>
          <w:b w:val="0"/>
          <w:i w:val="0"/>
          <w:caps w:val="0"/>
          <w:color w:val="000000"/>
          <w:spacing w:val="0"/>
          <w:w w:val="100"/>
          <w:kern w:val="2"/>
          <w:sz w:val="21"/>
          <w:szCs w:val="21"/>
          <w:u w:val="single" w:color="auto"/>
          <w:lang w:val="en-US" w:eastAsia="zh-CN" w:bidi="ar-SA"/>
        </w:rPr>
        <w:t>09</w:t>
      </w:r>
      <w:r>
        <w:rPr>
          <w:rStyle w:val="23"/>
          <w:rFonts w:hint="eastAsia" w:ascii="宋体" w:hAnsi="宋体"/>
          <w:b w:val="0"/>
          <w:i w:val="0"/>
          <w:caps w:val="0"/>
          <w:color w:val="000000"/>
          <w:spacing w:val="0"/>
          <w:w w:val="100"/>
          <w:kern w:val="2"/>
          <w:sz w:val="21"/>
          <w:szCs w:val="21"/>
          <w:u w:val="single" w:color="auto"/>
          <w:lang w:val="en-US" w:eastAsia="zh-CN" w:bidi="ar-SA"/>
        </w:rPr>
        <w:t>时</w:t>
      </w:r>
      <w:r>
        <w:rPr>
          <w:rStyle w:val="23"/>
          <w:rFonts w:hint="default" w:ascii="宋体" w:hAnsi="宋体"/>
          <w:b w:val="0"/>
          <w:i w:val="0"/>
          <w:caps w:val="0"/>
          <w:color w:val="000000"/>
          <w:spacing w:val="0"/>
          <w:w w:val="100"/>
          <w:kern w:val="2"/>
          <w:sz w:val="21"/>
          <w:szCs w:val="21"/>
          <w:u w:val="single" w:color="auto"/>
          <w:lang w:val="en-US" w:eastAsia="zh-CN" w:bidi="ar-SA"/>
        </w:rPr>
        <w:t>00</w:t>
      </w:r>
      <w:r>
        <w:rPr>
          <w:rStyle w:val="23"/>
          <w:rFonts w:hint="eastAsia" w:ascii="宋体" w:hAnsi="宋体"/>
          <w:b w:val="0"/>
          <w:i w:val="0"/>
          <w:caps w:val="0"/>
          <w:color w:val="000000"/>
          <w:spacing w:val="0"/>
          <w:w w:val="100"/>
          <w:kern w:val="2"/>
          <w:sz w:val="21"/>
          <w:szCs w:val="21"/>
          <w:u w:val="single" w:color="auto"/>
          <w:lang w:val="en-US" w:eastAsia="zh-CN" w:bidi="ar-SA"/>
        </w:rPr>
        <w:t>分</w:t>
      </w:r>
      <w:r>
        <w:rPr>
          <w:rStyle w:val="23"/>
          <w:rFonts w:hint="default" w:ascii="宋体" w:hAnsi="宋体"/>
          <w:b w:val="0"/>
          <w:i w:val="0"/>
          <w:caps w:val="0"/>
          <w:color w:val="000000"/>
          <w:spacing w:val="0"/>
          <w:w w:val="100"/>
          <w:kern w:val="2"/>
          <w:sz w:val="21"/>
          <w:szCs w:val="21"/>
          <w:u w:val="single" w:color="auto"/>
          <w:lang w:val="en-US" w:eastAsia="zh-CN" w:bidi="ar-SA"/>
        </w:rPr>
        <w:t>00</w:t>
      </w:r>
      <w:r>
        <w:rPr>
          <w:rStyle w:val="23"/>
          <w:rFonts w:hint="eastAsia" w:ascii="宋体" w:hAnsi="宋体"/>
          <w:b w:val="0"/>
          <w:i w:val="0"/>
          <w:caps w:val="0"/>
          <w:color w:val="000000"/>
          <w:spacing w:val="0"/>
          <w:w w:val="100"/>
          <w:kern w:val="2"/>
          <w:sz w:val="21"/>
          <w:szCs w:val="21"/>
          <w:u w:val="single" w:color="auto"/>
          <w:lang w:val="en-US" w:eastAsia="zh-CN" w:bidi="ar-SA"/>
        </w:rPr>
        <w:t>秒</w:t>
      </w:r>
      <w:r>
        <w:rPr>
          <w:rStyle w:val="23"/>
          <w:rFonts w:hint="eastAsia" w:ascii="宋体" w:hAnsi="宋体"/>
          <w:b w:val="0"/>
          <w:i w:val="0"/>
          <w:caps w:val="0"/>
          <w:color w:val="000000"/>
          <w:spacing w:val="0"/>
          <w:w w:val="100"/>
          <w:kern w:val="2"/>
          <w:sz w:val="21"/>
          <w:szCs w:val="21"/>
          <w:lang w:val="en-US" w:eastAsia="zh-CN" w:bidi="ar-SA"/>
        </w:rPr>
        <w:t>。</w:t>
      </w:r>
      <w:r>
        <w:rPr>
          <w:rStyle w:val="23"/>
          <w:rFonts w:ascii="宋体" w:hAnsi="宋体"/>
          <w:b w:val="0"/>
          <w:i w:val="0"/>
          <w:caps w:val="0"/>
          <w:color w:val="000000"/>
          <w:spacing w:val="0"/>
          <w:w w:val="100"/>
          <w:kern w:val="2"/>
          <w:sz w:val="21"/>
          <w:szCs w:val="21"/>
          <w:lang w:val="zh-CN" w:eastAsia="zh-CN" w:bidi="ar-SA"/>
        </w:rPr>
        <w:t>逾期</w:t>
      </w:r>
      <w:r>
        <w:rPr>
          <w:rStyle w:val="23"/>
          <w:rFonts w:hint="eastAsia" w:ascii="宋体" w:hAnsi="宋体"/>
          <w:b w:val="0"/>
          <w:i w:val="0"/>
          <w:caps w:val="0"/>
          <w:color w:val="000000"/>
          <w:spacing w:val="0"/>
          <w:w w:val="100"/>
          <w:kern w:val="2"/>
          <w:sz w:val="21"/>
          <w:szCs w:val="21"/>
          <w:lang w:val="zh-CN" w:eastAsia="zh-CN" w:bidi="ar-SA"/>
        </w:rPr>
        <w:t>提交的文件拒绝接受</w:t>
      </w:r>
      <w:r>
        <w:rPr>
          <w:rStyle w:val="23"/>
          <w:rFonts w:ascii="宋体" w:hAnsi="宋体"/>
          <w:b w:val="0"/>
          <w:i w:val="0"/>
          <w:caps w:val="0"/>
          <w:color w:val="000000"/>
          <w:spacing w:val="0"/>
          <w:w w:val="100"/>
          <w:kern w:val="2"/>
          <w:sz w:val="21"/>
          <w:szCs w:val="21"/>
          <w:lang w:val="zh-CN" w:eastAsia="zh-CN" w:bidi="ar-SA"/>
        </w:rPr>
        <w:t>。</w:t>
      </w:r>
    </w:p>
    <w:p>
      <w:pPr>
        <w:snapToGrid/>
        <w:spacing w:before="0" w:beforeAutospacing="0" w:after="0" w:afterAutospacing="0" w:line="440" w:lineRule="exact"/>
        <w:ind w:left="438" w:leftChars="199" w:firstLine="441" w:firstLineChars="210"/>
        <w:jc w:val="both"/>
        <w:textAlignment w:val="baseline"/>
        <w:rPr>
          <w:rStyle w:val="23"/>
          <w:rFonts w:hint="eastAsia" w:ascii="宋体" w:hAnsi="宋体"/>
          <w:b w:val="0"/>
          <w:i w:val="0"/>
          <w:caps w:val="0"/>
          <w:color w:val="000000"/>
          <w:spacing w:val="0"/>
          <w:w w:val="100"/>
          <w:kern w:val="2"/>
          <w:sz w:val="21"/>
          <w:szCs w:val="21"/>
          <w:lang w:val="zh-CN" w:eastAsia="zh-CN" w:bidi="ar-SA"/>
        </w:rPr>
      </w:pPr>
      <w:r>
        <w:rPr>
          <w:rStyle w:val="23"/>
          <w:rFonts w:hint="eastAsia" w:ascii="宋体" w:hAnsi="宋体"/>
          <w:b w:val="0"/>
          <w:i w:val="0"/>
          <w:caps w:val="0"/>
          <w:color w:val="000000"/>
          <w:spacing w:val="0"/>
          <w:w w:val="100"/>
          <w:kern w:val="2"/>
          <w:sz w:val="21"/>
          <w:szCs w:val="21"/>
          <w:lang w:val="en-US" w:eastAsia="zh-CN" w:bidi="ar-SA"/>
        </w:rPr>
        <w:t>纸质</w:t>
      </w:r>
      <w:r>
        <w:rPr>
          <w:rStyle w:val="23"/>
          <w:rFonts w:ascii="宋体" w:hAnsi="宋体"/>
          <w:b w:val="0"/>
          <w:i w:val="0"/>
          <w:caps w:val="0"/>
          <w:color w:val="000000"/>
          <w:spacing w:val="0"/>
          <w:w w:val="100"/>
          <w:kern w:val="2"/>
          <w:sz w:val="21"/>
          <w:szCs w:val="21"/>
          <w:lang w:val="zh-CN" w:eastAsia="zh-CN" w:bidi="ar-SA"/>
        </w:rPr>
        <w:t>投标文件提交地点：</w:t>
      </w:r>
      <w:r>
        <w:rPr>
          <w:rStyle w:val="23"/>
          <w:rFonts w:hint="eastAsia" w:ascii="宋体" w:hAnsi="宋体"/>
          <w:b w:val="0"/>
          <w:i w:val="0"/>
          <w:caps w:val="0"/>
          <w:color w:val="000000"/>
          <w:spacing w:val="0"/>
          <w:w w:val="100"/>
          <w:kern w:val="2"/>
          <w:sz w:val="21"/>
          <w:szCs w:val="21"/>
          <w:lang w:val="zh-CN" w:eastAsia="zh-CN" w:bidi="ar-SA"/>
        </w:rPr>
        <w:t>接收地点改为盐城市大丰区丰华国际大厦二楼西侧大厅（盐城市大丰区飞达路100号，北门进，右侧自动扶梯上）。</w:t>
      </w:r>
    </w:p>
    <w:p>
      <w:pPr>
        <w:snapToGrid/>
        <w:spacing w:before="0" w:beforeAutospacing="0" w:after="0" w:afterAutospacing="0" w:line="440" w:lineRule="exact"/>
        <w:ind w:left="438" w:leftChars="199" w:firstLine="441" w:firstLineChars="210"/>
        <w:jc w:val="both"/>
        <w:textAlignment w:val="baseline"/>
        <w:rPr>
          <w:rStyle w:val="23"/>
          <w:rFonts w:hint="eastAsia" w:ascii="宋体" w:hAnsi="宋体"/>
          <w:b w:val="0"/>
          <w:i w:val="0"/>
          <w:caps w:val="0"/>
          <w:color w:val="000000"/>
          <w:spacing w:val="0"/>
          <w:w w:val="100"/>
          <w:kern w:val="2"/>
          <w:sz w:val="21"/>
          <w:szCs w:val="21"/>
          <w:lang w:val="en-US" w:eastAsia="zh-CN" w:bidi="ar-SA"/>
        </w:rPr>
      </w:pPr>
      <w:r>
        <w:rPr>
          <w:rStyle w:val="23"/>
          <w:rFonts w:hint="eastAsia" w:ascii="宋体" w:hAnsi="宋体"/>
          <w:b w:val="0"/>
          <w:i w:val="0"/>
          <w:caps w:val="0"/>
          <w:color w:val="000000"/>
          <w:spacing w:val="0"/>
          <w:w w:val="100"/>
          <w:kern w:val="2"/>
          <w:sz w:val="21"/>
          <w:szCs w:val="21"/>
          <w:lang w:val="en-US" w:eastAsia="zh-CN" w:bidi="ar-SA"/>
        </w:rPr>
        <w:t>4.2</w:t>
      </w:r>
      <w:r>
        <w:rPr>
          <w:rStyle w:val="23"/>
          <w:rFonts w:hint="eastAsia" w:ascii="宋体" w:hAnsi="宋体"/>
          <w:b w:val="0"/>
          <w:i w:val="0"/>
          <w:caps w:val="0"/>
          <w:color w:val="000000"/>
          <w:spacing w:val="0"/>
          <w:w w:val="100"/>
          <w:kern w:val="2"/>
          <w:sz w:val="21"/>
          <w:szCs w:val="21"/>
          <w:lang w:val="zh-CN" w:eastAsia="zh-CN" w:bidi="ar-SA"/>
        </w:rPr>
        <w:t>开标时间：</w:t>
      </w:r>
      <w:r>
        <w:rPr>
          <w:rStyle w:val="23"/>
          <w:rFonts w:ascii="宋体" w:hAnsi="宋体"/>
          <w:b w:val="0"/>
          <w:i w:val="0"/>
          <w:caps w:val="0"/>
          <w:color w:val="000000"/>
          <w:spacing w:val="0"/>
          <w:w w:val="100"/>
          <w:kern w:val="2"/>
          <w:sz w:val="21"/>
          <w:szCs w:val="21"/>
          <w:u w:val="single" w:color="auto"/>
          <w:lang w:val="en-US" w:eastAsia="zh-CN" w:bidi="ar-SA"/>
        </w:rPr>
        <w:t>2021</w:t>
      </w:r>
      <w:r>
        <w:rPr>
          <w:rStyle w:val="23"/>
          <w:rFonts w:ascii="宋体" w:hAnsi="宋体"/>
          <w:b w:val="0"/>
          <w:i w:val="0"/>
          <w:caps w:val="0"/>
          <w:color w:val="000000"/>
          <w:spacing w:val="0"/>
          <w:w w:val="100"/>
          <w:kern w:val="2"/>
          <w:sz w:val="21"/>
          <w:szCs w:val="21"/>
          <w:u w:val="single" w:color="auto"/>
          <w:lang w:val="zh-CN" w:eastAsia="zh-CN" w:bidi="ar-SA"/>
        </w:rPr>
        <w:t>年</w:t>
      </w:r>
      <w:r>
        <w:rPr>
          <w:rStyle w:val="23"/>
          <w:rFonts w:hint="eastAsia"/>
          <w:b w:val="0"/>
          <w:i w:val="0"/>
          <w:caps w:val="0"/>
          <w:color w:val="000000"/>
          <w:spacing w:val="0"/>
          <w:w w:val="100"/>
          <w:kern w:val="2"/>
          <w:sz w:val="21"/>
          <w:szCs w:val="21"/>
          <w:u w:val="single" w:color="auto"/>
          <w:lang w:val="en-US" w:eastAsia="zh-CN" w:bidi="ar-SA"/>
        </w:rPr>
        <w:t>10</w:t>
      </w:r>
      <w:r>
        <w:rPr>
          <w:rStyle w:val="23"/>
          <w:rFonts w:ascii="宋体" w:hAnsi="宋体"/>
          <w:b w:val="0"/>
          <w:i w:val="0"/>
          <w:caps w:val="0"/>
          <w:color w:val="000000"/>
          <w:spacing w:val="0"/>
          <w:w w:val="100"/>
          <w:kern w:val="2"/>
          <w:sz w:val="21"/>
          <w:szCs w:val="21"/>
          <w:u w:val="single" w:color="auto"/>
          <w:lang w:val="zh-CN" w:eastAsia="zh-CN" w:bidi="ar-SA"/>
        </w:rPr>
        <w:t>月</w:t>
      </w:r>
      <w:r>
        <w:rPr>
          <w:rStyle w:val="23"/>
          <w:rFonts w:hint="eastAsia"/>
          <w:b w:val="0"/>
          <w:i w:val="0"/>
          <w:caps w:val="0"/>
          <w:color w:val="000000"/>
          <w:spacing w:val="0"/>
          <w:w w:val="100"/>
          <w:kern w:val="2"/>
          <w:sz w:val="21"/>
          <w:szCs w:val="21"/>
          <w:u w:val="single" w:color="auto"/>
          <w:lang w:val="en-US" w:eastAsia="zh-CN" w:bidi="ar-SA"/>
        </w:rPr>
        <w:t>29</w:t>
      </w:r>
      <w:r>
        <w:rPr>
          <w:rStyle w:val="23"/>
          <w:rFonts w:ascii="宋体" w:hAnsi="宋体"/>
          <w:b w:val="0"/>
          <w:i w:val="0"/>
          <w:caps w:val="0"/>
          <w:color w:val="000000"/>
          <w:spacing w:val="0"/>
          <w:w w:val="100"/>
          <w:kern w:val="2"/>
          <w:sz w:val="21"/>
          <w:szCs w:val="21"/>
          <w:u w:val="single" w:color="auto"/>
          <w:lang w:val="zh-CN" w:eastAsia="zh-CN" w:bidi="ar-SA"/>
        </w:rPr>
        <w:t>日</w:t>
      </w:r>
      <w:r>
        <w:rPr>
          <w:rStyle w:val="23"/>
          <w:rFonts w:hint="eastAsia"/>
          <w:b w:val="0"/>
          <w:i w:val="0"/>
          <w:caps w:val="0"/>
          <w:color w:val="000000"/>
          <w:spacing w:val="0"/>
          <w:w w:val="100"/>
          <w:kern w:val="2"/>
          <w:sz w:val="21"/>
          <w:szCs w:val="21"/>
          <w:u w:val="single" w:color="auto"/>
          <w:lang w:val="en-US" w:eastAsia="zh-CN" w:bidi="ar-SA"/>
        </w:rPr>
        <w:t>09</w:t>
      </w:r>
      <w:r>
        <w:rPr>
          <w:rStyle w:val="23"/>
          <w:rFonts w:hint="eastAsia" w:ascii="宋体" w:hAnsi="宋体"/>
          <w:b w:val="0"/>
          <w:i w:val="0"/>
          <w:caps w:val="0"/>
          <w:color w:val="000000"/>
          <w:spacing w:val="0"/>
          <w:w w:val="100"/>
          <w:kern w:val="2"/>
          <w:sz w:val="21"/>
          <w:szCs w:val="21"/>
          <w:u w:val="single" w:color="auto"/>
          <w:lang w:val="en-US" w:eastAsia="zh-CN" w:bidi="ar-SA"/>
        </w:rPr>
        <w:t>时</w:t>
      </w:r>
      <w:r>
        <w:rPr>
          <w:rStyle w:val="23"/>
          <w:rFonts w:hint="default" w:ascii="宋体" w:hAnsi="宋体"/>
          <w:b w:val="0"/>
          <w:i w:val="0"/>
          <w:caps w:val="0"/>
          <w:color w:val="000000"/>
          <w:spacing w:val="0"/>
          <w:w w:val="100"/>
          <w:kern w:val="2"/>
          <w:sz w:val="21"/>
          <w:szCs w:val="21"/>
          <w:u w:val="single" w:color="auto"/>
          <w:lang w:val="en-US" w:eastAsia="zh-CN" w:bidi="ar-SA"/>
        </w:rPr>
        <w:t>00</w:t>
      </w:r>
      <w:r>
        <w:rPr>
          <w:rStyle w:val="23"/>
          <w:rFonts w:hint="eastAsia" w:ascii="宋体" w:hAnsi="宋体"/>
          <w:b w:val="0"/>
          <w:i w:val="0"/>
          <w:caps w:val="0"/>
          <w:color w:val="000000"/>
          <w:spacing w:val="0"/>
          <w:w w:val="100"/>
          <w:kern w:val="2"/>
          <w:sz w:val="21"/>
          <w:szCs w:val="21"/>
          <w:u w:val="single" w:color="auto"/>
          <w:lang w:val="en-US" w:eastAsia="zh-CN" w:bidi="ar-SA"/>
        </w:rPr>
        <w:t>分</w:t>
      </w:r>
      <w:r>
        <w:rPr>
          <w:rStyle w:val="23"/>
          <w:rFonts w:hint="default" w:ascii="宋体" w:hAnsi="宋体"/>
          <w:b w:val="0"/>
          <w:i w:val="0"/>
          <w:caps w:val="0"/>
          <w:color w:val="000000"/>
          <w:spacing w:val="0"/>
          <w:w w:val="100"/>
          <w:kern w:val="2"/>
          <w:sz w:val="21"/>
          <w:szCs w:val="21"/>
          <w:u w:val="single" w:color="auto"/>
          <w:lang w:val="en-US" w:eastAsia="zh-CN" w:bidi="ar-SA"/>
        </w:rPr>
        <w:t>00</w:t>
      </w:r>
      <w:r>
        <w:rPr>
          <w:rStyle w:val="23"/>
          <w:rFonts w:hint="eastAsia" w:ascii="宋体" w:hAnsi="宋体"/>
          <w:b w:val="0"/>
          <w:i w:val="0"/>
          <w:caps w:val="0"/>
          <w:color w:val="000000"/>
          <w:spacing w:val="0"/>
          <w:w w:val="100"/>
          <w:kern w:val="2"/>
          <w:sz w:val="21"/>
          <w:szCs w:val="21"/>
          <w:u w:val="single" w:color="auto"/>
          <w:lang w:val="en-US" w:eastAsia="zh-CN" w:bidi="ar-SA"/>
        </w:rPr>
        <w:t>秒。</w:t>
      </w:r>
    </w:p>
    <w:p>
      <w:pPr>
        <w:snapToGrid/>
        <w:spacing w:before="0" w:beforeAutospacing="0" w:after="0" w:afterAutospacing="0" w:line="440" w:lineRule="exact"/>
        <w:ind w:left="438" w:leftChars="199" w:firstLine="441" w:firstLineChars="210"/>
        <w:jc w:val="both"/>
        <w:textAlignment w:val="baseline"/>
        <w:rPr>
          <w:rStyle w:val="23"/>
          <w:rFonts w:hint="eastAsia" w:ascii="宋体" w:hAnsi="宋体"/>
          <w:b w:val="0"/>
          <w:i w:val="0"/>
          <w:caps w:val="0"/>
          <w:color w:val="000000"/>
          <w:spacing w:val="0"/>
          <w:w w:val="100"/>
          <w:kern w:val="2"/>
          <w:sz w:val="21"/>
          <w:szCs w:val="21"/>
          <w:lang w:val="en-US" w:eastAsia="zh-CN" w:bidi="ar-SA"/>
        </w:rPr>
      </w:pPr>
      <w:r>
        <w:rPr>
          <w:rStyle w:val="23"/>
          <w:rFonts w:hint="eastAsia" w:ascii="宋体" w:hAnsi="宋体"/>
          <w:b w:val="0"/>
          <w:i w:val="0"/>
          <w:caps w:val="0"/>
          <w:color w:val="000000"/>
          <w:spacing w:val="0"/>
          <w:w w:val="100"/>
          <w:kern w:val="2"/>
          <w:sz w:val="21"/>
          <w:szCs w:val="21"/>
          <w:lang w:val="en-US" w:eastAsia="zh-CN" w:bidi="ar-SA"/>
        </w:rPr>
        <w:t>4.3开标地点：盐城市大丰区丰华国际大厦四楼开标</w:t>
      </w:r>
      <w:r>
        <w:rPr>
          <w:rStyle w:val="23"/>
          <w:rFonts w:hint="eastAsia"/>
          <w:b w:val="0"/>
          <w:i w:val="0"/>
          <w:caps w:val="0"/>
          <w:color w:val="000000"/>
          <w:spacing w:val="0"/>
          <w:w w:val="100"/>
          <w:kern w:val="2"/>
          <w:sz w:val="21"/>
          <w:szCs w:val="21"/>
          <w:lang w:val="en-US" w:eastAsia="zh-CN" w:bidi="ar-SA"/>
        </w:rPr>
        <w:t>二</w:t>
      </w:r>
      <w:r>
        <w:rPr>
          <w:rStyle w:val="23"/>
          <w:rFonts w:hint="eastAsia" w:ascii="宋体" w:hAnsi="宋体"/>
          <w:b w:val="0"/>
          <w:i w:val="0"/>
          <w:caps w:val="0"/>
          <w:color w:val="000000"/>
          <w:spacing w:val="0"/>
          <w:w w:val="100"/>
          <w:kern w:val="2"/>
          <w:sz w:val="21"/>
          <w:szCs w:val="21"/>
          <w:lang w:val="en-US" w:eastAsia="zh-CN" w:bidi="ar-SA"/>
        </w:rPr>
        <w:t>室（盐城市大丰区丰华路与飞达路交叉西150米）。</w:t>
      </w:r>
    </w:p>
    <w:p>
      <w:pPr>
        <w:snapToGrid/>
        <w:spacing w:before="0" w:beforeAutospacing="0" w:after="0" w:afterAutospacing="0" w:line="440" w:lineRule="exact"/>
        <w:ind w:left="438" w:leftChars="199" w:firstLine="441" w:firstLineChars="210"/>
        <w:jc w:val="both"/>
        <w:textAlignment w:val="baseline"/>
        <w:rPr>
          <w:rFonts w:hint="eastAsia" w:ascii="宋体" w:hAnsi="宋体" w:eastAsia="宋体" w:cs="宋体"/>
          <w:i w:val="0"/>
          <w:caps w:val="0"/>
          <w:color w:val="000000"/>
          <w:spacing w:val="0"/>
          <w:kern w:val="0"/>
          <w:sz w:val="21"/>
          <w:szCs w:val="21"/>
          <w:shd w:val="clear" w:fill="FFFFFF"/>
          <w:lang w:val="en-US" w:eastAsia="zh-CN" w:bidi="ar"/>
        </w:rPr>
      </w:pPr>
      <w:r>
        <w:rPr>
          <w:rStyle w:val="23"/>
          <w:rFonts w:hint="eastAsia" w:ascii="宋体" w:hAnsi="宋体"/>
          <w:b w:val="0"/>
          <w:i w:val="0"/>
          <w:caps w:val="0"/>
          <w:color w:val="000000"/>
          <w:spacing w:val="0"/>
          <w:w w:val="100"/>
          <w:kern w:val="2"/>
          <w:sz w:val="21"/>
          <w:szCs w:val="21"/>
          <w:lang w:val="en-US" w:eastAsia="zh-CN" w:bidi="ar-SA"/>
        </w:rPr>
        <w:t xml:space="preserve">4.4根据《国务院办公厅转发国家发展改革委关于深化公共资源交易平台整合共享指导意见的通知》（国办函〔2019〕 41 号）、国家发改委发布《关于积极应对疫情创新做好招投标工作保障经济平稳运行的通知》等文件精神，全面逐步推行不见面投标开标等招投标活动。结合当前疫情防控要求，本项目开标方式更改为不见面纸质文件开标。开标当日，投标人无需到达开标现场，仅需在任意地点通过 PC 端或移动端的“腾讯会议”及相应的配套硬件设备参加开标会议。参加开标会议的方法详见招标文件。 </w:t>
      </w:r>
    </w:p>
    <w:p>
      <w:pPr>
        <w:pStyle w:val="14"/>
        <w:ind w:firstLine="422" w:firstLineChars="200"/>
        <w:outlineLvl w:val="1"/>
        <w:rPr>
          <w:rStyle w:val="23"/>
          <w:rFonts w:ascii="宋体" w:hAnsi="宋体" w:cs="宋体"/>
          <w:b/>
          <w:bCs/>
          <w:i w:val="0"/>
          <w:caps w:val="0"/>
          <w:color w:val="000000"/>
          <w:spacing w:val="0"/>
          <w:w w:val="100"/>
          <w:kern w:val="2"/>
          <w:sz w:val="21"/>
          <w:szCs w:val="21"/>
          <w:lang w:val="zh-CN" w:eastAsia="zh-CN" w:bidi="ar-SA"/>
        </w:rPr>
      </w:pPr>
      <w:bookmarkStart w:id="5" w:name="_Toc14972"/>
      <w:bookmarkStart w:id="6" w:name="_Toc29980"/>
      <w:r>
        <w:rPr>
          <w:rStyle w:val="23"/>
          <w:rFonts w:ascii="宋体" w:hAnsi="宋体" w:cs="宋体"/>
          <w:b/>
          <w:bCs/>
          <w:i w:val="0"/>
          <w:caps w:val="0"/>
          <w:color w:val="000000"/>
          <w:spacing w:val="0"/>
          <w:w w:val="100"/>
          <w:kern w:val="2"/>
          <w:sz w:val="21"/>
          <w:szCs w:val="21"/>
          <w:lang w:val="zh-CN" w:eastAsia="zh-CN" w:bidi="ar-SA"/>
        </w:rPr>
        <w:t>五、公告期限</w:t>
      </w:r>
      <w:bookmarkEnd w:id="5"/>
      <w:bookmarkEnd w:id="6"/>
    </w:p>
    <w:p>
      <w:pPr>
        <w:snapToGrid/>
        <w:spacing w:before="0" w:beforeAutospacing="0" w:after="0" w:afterAutospacing="0" w:line="440" w:lineRule="exact"/>
        <w:ind w:firstLine="420" w:firstLineChars="200"/>
        <w:jc w:val="both"/>
        <w:textAlignment w:val="baseline"/>
        <w:rPr>
          <w:rStyle w:val="23"/>
          <w:rFonts w:ascii="宋体" w:hAnsi="宋体"/>
          <w:b w:val="0"/>
          <w:i w:val="0"/>
          <w:caps w:val="0"/>
          <w:color w:val="000000"/>
          <w:spacing w:val="0"/>
          <w:w w:val="100"/>
          <w:kern w:val="2"/>
          <w:sz w:val="21"/>
          <w:szCs w:val="21"/>
          <w:lang w:val="zh-CN" w:eastAsia="zh-CN" w:bidi="ar-SA"/>
        </w:rPr>
      </w:pPr>
      <w:r>
        <w:rPr>
          <w:rStyle w:val="23"/>
          <w:rFonts w:ascii="宋体" w:hAnsi="宋体"/>
          <w:b w:val="0"/>
          <w:i w:val="0"/>
          <w:caps w:val="0"/>
          <w:color w:val="000000"/>
          <w:spacing w:val="0"/>
          <w:w w:val="100"/>
          <w:kern w:val="2"/>
          <w:sz w:val="21"/>
          <w:szCs w:val="21"/>
          <w:lang w:val="zh-CN" w:eastAsia="zh-CN" w:bidi="ar-SA"/>
        </w:rPr>
        <w:t>自本公吿发布之日起5个工作日。</w:t>
      </w:r>
    </w:p>
    <w:p>
      <w:pPr>
        <w:snapToGrid/>
        <w:spacing w:before="0" w:beforeAutospacing="0" w:after="0" w:afterAutospacing="0" w:line="440" w:lineRule="exact"/>
        <w:ind w:firstLine="422" w:firstLineChars="200"/>
        <w:jc w:val="both"/>
        <w:textAlignment w:val="baseline"/>
        <w:outlineLvl w:val="1"/>
        <w:rPr>
          <w:rStyle w:val="23"/>
          <w:rFonts w:ascii="宋体" w:hAnsi="宋体" w:cs="宋体"/>
          <w:b/>
          <w:bCs/>
          <w:i w:val="0"/>
          <w:caps w:val="0"/>
          <w:color w:val="000000"/>
          <w:spacing w:val="0"/>
          <w:w w:val="100"/>
          <w:kern w:val="2"/>
          <w:sz w:val="21"/>
          <w:szCs w:val="21"/>
          <w:lang w:val="zh-CN" w:eastAsia="zh-CN" w:bidi="ar-SA"/>
        </w:rPr>
      </w:pPr>
      <w:bookmarkStart w:id="7" w:name="_Toc21018"/>
      <w:bookmarkStart w:id="8" w:name="_Toc24011"/>
      <w:r>
        <w:rPr>
          <w:rStyle w:val="23"/>
          <w:rFonts w:ascii="宋体" w:hAnsi="宋体" w:cs="宋体"/>
          <w:b/>
          <w:bCs/>
          <w:i w:val="0"/>
          <w:caps w:val="0"/>
          <w:color w:val="000000"/>
          <w:spacing w:val="0"/>
          <w:w w:val="100"/>
          <w:kern w:val="2"/>
          <w:sz w:val="21"/>
          <w:szCs w:val="21"/>
          <w:lang w:val="en-US" w:eastAsia="zh-CN" w:bidi="ar-SA"/>
        </w:rPr>
        <w:t>六、</w:t>
      </w:r>
      <w:r>
        <w:rPr>
          <w:rStyle w:val="23"/>
          <w:rFonts w:ascii="宋体" w:hAnsi="宋体" w:cs="宋体"/>
          <w:b/>
          <w:bCs/>
          <w:i w:val="0"/>
          <w:caps w:val="0"/>
          <w:color w:val="000000"/>
          <w:spacing w:val="0"/>
          <w:w w:val="100"/>
          <w:kern w:val="2"/>
          <w:sz w:val="21"/>
          <w:szCs w:val="21"/>
          <w:lang w:val="zh-CN" w:eastAsia="zh-CN" w:bidi="ar-SA"/>
        </w:rPr>
        <w:t>其他补充事宜</w:t>
      </w:r>
      <w:bookmarkEnd w:id="7"/>
      <w:bookmarkEnd w:id="8"/>
    </w:p>
    <w:p>
      <w:pPr>
        <w:numPr>
          <w:ilvl w:val="0"/>
          <w:numId w:val="1"/>
        </w:numPr>
        <w:snapToGrid/>
        <w:spacing w:before="0" w:beforeAutospacing="0" w:after="0" w:afterAutospacing="0" w:line="440" w:lineRule="exact"/>
        <w:ind w:left="0" w:leftChars="0" w:firstLine="422" w:firstLineChars="200"/>
        <w:jc w:val="both"/>
        <w:textAlignment w:val="baseline"/>
        <w:rPr>
          <w:rStyle w:val="23"/>
          <w:rFonts w:ascii="宋体" w:hAnsi="宋体" w:cs="宋体"/>
          <w:b/>
          <w:bCs/>
          <w:i w:val="0"/>
          <w:caps w:val="0"/>
          <w:color w:val="000000"/>
          <w:spacing w:val="0"/>
          <w:w w:val="100"/>
          <w:kern w:val="2"/>
          <w:sz w:val="21"/>
          <w:szCs w:val="21"/>
          <w:lang w:val="zh-CN" w:eastAsia="zh-CN" w:bidi="ar-SA"/>
        </w:rPr>
      </w:pPr>
      <w:r>
        <w:rPr>
          <w:rStyle w:val="23"/>
          <w:rFonts w:ascii="宋体" w:hAnsi="宋体" w:cs="宋体"/>
          <w:b/>
          <w:bCs/>
          <w:i w:val="0"/>
          <w:caps w:val="0"/>
          <w:color w:val="000000"/>
          <w:spacing w:val="0"/>
          <w:w w:val="100"/>
          <w:kern w:val="2"/>
          <w:sz w:val="21"/>
          <w:szCs w:val="21"/>
          <w:lang w:val="en-US" w:eastAsia="zh-CN" w:bidi="ar-SA"/>
        </w:rPr>
        <w:t>评标办法：综合评分法</w:t>
      </w:r>
    </w:p>
    <w:p>
      <w:pPr>
        <w:numPr>
          <w:ilvl w:val="0"/>
          <w:numId w:val="1"/>
        </w:numPr>
        <w:snapToGrid/>
        <w:spacing w:before="0" w:beforeAutospacing="0" w:after="0" w:afterAutospacing="0" w:line="440" w:lineRule="exact"/>
        <w:ind w:left="0" w:leftChars="0" w:firstLine="420" w:firstLineChars="200"/>
        <w:jc w:val="both"/>
        <w:textAlignment w:val="baseline"/>
        <w:rPr>
          <w:rFonts w:hint="eastAsia"/>
          <w:lang w:val="en-US" w:eastAsia="zh-CN"/>
        </w:rPr>
      </w:pPr>
      <w:r>
        <w:rPr>
          <w:rStyle w:val="23"/>
          <w:rFonts w:hint="eastAsia" w:ascii="宋体" w:hAnsi="宋体"/>
          <w:b w:val="0"/>
          <w:i w:val="0"/>
          <w:caps w:val="0"/>
          <w:color w:val="000000"/>
          <w:spacing w:val="0"/>
          <w:w w:val="100"/>
          <w:kern w:val="2"/>
          <w:sz w:val="21"/>
          <w:szCs w:val="21"/>
          <w:lang w:val="en-US" w:eastAsia="zh-CN" w:bidi="ar-SA"/>
        </w:rPr>
        <w:t>投标前请关注大丰公共资源交易平台的“政府采购”——“最高限价”和“答疑补充”栏目。及时了解到项目的“最高限价”和“答疑补充”等情况。</w:t>
      </w:r>
    </w:p>
    <w:p>
      <w:pPr>
        <w:pStyle w:val="14"/>
        <w:rPr>
          <w:rFonts w:hint="eastAsia"/>
          <w:lang w:val="en-US" w:eastAsia="zh-CN"/>
        </w:rPr>
      </w:pPr>
    </w:p>
    <w:p>
      <w:pPr>
        <w:pStyle w:val="14"/>
        <w:numPr>
          <w:ilvl w:val="0"/>
          <w:numId w:val="0"/>
        </w:numPr>
        <w:ind w:leftChars="200"/>
        <w:outlineLvl w:val="1"/>
        <w:rPr>
          <w:rStyle w:val="23"/>
          <w:rFonts w:ascii="宋体" w:hAnsi="宋体"/>
          <w:b w:val="0"/>
          <w:i w:val="0"/>
          <w:caps w:val="0"/>
          <w:color w:val="000000"/>
          <w:spacing w:val="0"/>
          <w:w w:val="100"/>
          <w:kern w:val="2"/>
          <w:sz w:val="21"/>
          <w:szCs w:val="21"/>
          <w:lang w:val="zh-CN" w:eastAsia="zh-CN" w:bidi="ar-SA"/>
        </w:rPr>
      </w:pPr>
      <w:bookmarkStart w:id="9" w:name="_Toc4735"/>
      <w:bookmarkStart w:id="10" w:name="_Toc21284"/>
      <w:r>
        <w:rPr>
          <w:rStyle w:val="23"/>
          <w:rFonts w:ascii="宋体" w:hAnsi="宋体" w:cs="宋体"/>
          <w:b/>
          <w:bCs/>
          <w:i w:val="0"/>
          <w:caps w:val="0"/>
          <w:color w:val="000000"/>
          <w:spacing w:val="0"/>
          <w:w w:val="100"/>
          <w:kern w:val="2"/>
          <w:sz w:val="21"/>
          <w:szCs w:val="21"/>
          <w:lang w:val="en-US" w:eastAsia="zh-CN" w:bidi="ar-SA"/>
        </w:rPr>
        <w:t>七</w:t>
      </w:r>
      <w:r>
        <w:rPr>
          <w:rStyle w:val="23"/>
          <w:rFonts w:ascii="宋体" w:hAnsi="宋体" w:cs="宋体"/>
          <w:b/>
          <w:bCs/>
          <w:i w:val="0"/>
          <w:caps w:val="0"/>
          <w:color w:val="000000"/>
          <w:spacing w:val="0"/>
          <w:w w:val="100"/>
          <w:kern w:val="2"/>
          <w:sz w:val="21"/>
          <w:szCs w:val="21"/>
          <w:lang w:val="zh-CN" w:eastAsia="zh-CN" w:bidi="ar-SA"/>
        </w:rPr>
        <w:t>、</w:t>
      </w:r>
      <w:r>
        <w:rPr>
          <w:rStyle w:val="23"/>
          <w:rFonts w:ascii="宋体" w:hAnsi="宋体" w:cs="宋体"/>
          <w:b/>
          <w:bCs/>
          <w:i w:val="0"/>
          <w:caps w:val="0"/>
          <w:color w:val="000000"/>
          <w:spacing w:val="0"/>
          <w:w w:val="100"/>
          <w:kern w:val="2"/>
          <w:sz w:val="21"/>
          <w:szCs w:val="21"/>
          <w:lang w:val="en-US" w:eastAsia="zh-CN" w:bidi="ar-SA"/>
        </w:rPr>
        <w:t>对</w:t>
      </w:r>
      <w:r>
        <w:rPr>
          <w:rStyle w:val="23"/>
          <w:rFonts w:ascii="宋体" w:hAnsi="宋体" w:cs="宋体"/>
          <w:b/>
          <w:bCs/>
          <w:i w:val="0"/>
          <w:caps w:val="0"/>
          <w:color w:val="000000"/>
          <w:spacing w:val="0"/>
          <w:w w:val="100"/>
          <w:kern w:val="2"/>
          <w:sz w:val="21"/>
          <w:szCs w:val="21"/>
          <w:lang w:val="zh-CN" w:eastAsia="zh-CN" w:bidi="ar-SA"/>
        </w:rPr>
        <w:t>本次招标提出询问，请按以下方式联系。</w:t>
      </w:r>
      <w:bookmarkEnd w:id="9"/>
      <w:bookmarkEnd w:id="10"/>
    </w:p>
    <w:p>
      <w:pPr>
        <w:snapToGrid/>
        <w:spacing w:before="0" w:beforeAutospacing="0" w:after="0" w:afterAutospacing="0" w:line="440" w:lineRule="exact"/>
        <w:ind w:firstLine="630" w:firstLineChars="300"/>
        <w:jc w:val="both"/>
        <w:textAlignment w:val="baseline"/>
        <w:outlineLvl w:val="2"/>
        <w:rPr>
          <w:rStyle w:val="23"/>
          <w:rFonts w:ascii="宋体" w:hAnsi="宋体"/>
          <w:b w:val="0"/>
          <w:i w:val="0"/>
          <w:caps w:val="0"/>
          <w:color w:val="000000"/>
          <w:spacing w:val="0"/>
          <w:w w:val="100"/>
          <w:kern w:val="2"/>
          <w:sz w:val="21"/>
          <w:szCs w:val="21"/>
          <w:lang w:val="zh-CN" w:eastAsia="zh-CN" w:bidi="ar-SA"/>
        </w:rPr>
      </w:pPr>
      <w:bookmarkStart w:id="11" w:name="_Toc11260"/>
      <w:r>
        <w:rPr>
          <w:rStyle w:val="23"/>
          <w:rFonts w:ascii="宋体" w:hAnsi="宋体"/>
          <w:b w:val="0"/>
          <w:i w:val="0"/>
          <w:caps w:val="0"/>
          <w:color w:val="000000"/>
          <w:spacing w:val="0"/>
          <w:w w:val="100"/>
          <w:kern w:val="2"/>
          <w:sz w:val="21"/>
          <w:szCs w:val="21"/>
          <w:lang w:val="en-US" w:eastAsia="zh-CN" w:bidi="ar-SA"/>
        </w:rPr>
        <w:t>1、</w:t>
      </w:r>
      <w:r>
        <w:rPr>
          <w:rStyle w:val="23"/>
          <w:rFonts w:ascii="宋体" w:hAnsi="宋体"/>
          <w:b w:val="0"/>
          <w:i w:val="0"/>
          <w:caps w:val="0"/>
          <w:color w:val="000000"/>
          <w:spacing w:val="0"/>
          <w:w w:val="100"/>
          <w:kern w:val="2"/>
          <w:sz w:val="21"/>
          <w:szCs w:val="21"/>
          <w:lang w:val="zh-CN" w:eastAsia="zh-CN" w:bidi="ar-SA"/>
        </w:rPr>
        <w:t>釆购人信息</w:t>
      </w:r>
      <w:bookmarkEnd w:id="11"/>
    </w:p>
    <w:p>
      <w:pPr>
        <w:pStyle w:val="2"/>
        <w:spacing w:before="12"/>
        <w:rPr>
          <w:sz w:val="14"/>
        </w:rPr>
      </w:pPr>
    </w:p>
    <w:p>
      <w:pPr>
        <w:pStyle w:val="2"/>
        <w:ind w:left="872"/>
        <w:rPr>
          <w:rFonts w:hint="default"/>
          <w:lang w:val="en-US"/>
        </w:rPr>
      </w:pPr>
      <w:r>
        <w:t>招 标 人：</w:t>
      </w:r>
      <w:r>
        <w:rPr>
          <w:u w:val="single"/>
          <w:lang w:val="en-US"/>
        </w:rPr>
        <w:t>盐城市大丰区人民政府丰华街道办事处</w:t>
      </w:r>
    </w:p>
    <w:p>
      <w:pPr>
        <w:pStyle w:val="2"/>
        <w:spacing w:before="5"/>
        <w:rPr>
          <w:sz w:val="9"/>
        </w:rPr>
      </w:pPr>
    </w:p>
    <w:p>
      <w:pPr>
        <w:pStyle w:val="2"/>
        <w:spacing w:before="72"/>
        <w:ind w:left="872"/>
      </w:pPr>
      <w:r>
        <w:t>联系地址：</w:t>
      </w:r>
      <w:r>
        <w:rPr>
          <w:u w:val="single"/>
          <w:lang w:val="en-US"/>
        </w:rPr>
        <w:t>盐城市大丰区人民政府丰华街道</w:t>
      </w:r>
    </w:p>
    <w:p>
      <w:pPr>
        <w:spacing w:after="0"/>
      </w:pPr>
    </w:p>
    <w:p>
      <w:pPr>
        <w:pStyle w:val="2"/>
        <w:spacing w:before="59"/>
        <w:ind w:left="872"/>
      </w:pPr>
      <w:r>
        <w:t>联 系 人：</w:t>
      </w:r>
      <w:r>
        <w:rPr>
          <w:rFonts w:hint="eastAsia"/>
          <w:u w:val="single"/>
          <w:lang w:eastAsia="zh-CN"/>
        </w:rPr>
        <w:t>顾</w:t>
      </w:r>
      <w:r>
        <w:rPr>
          <w:u w:val="single"/>
        </w:rPr>
        <w:t>先生</w:t>
      </w:r>
    </w:p>
    <w:p>
      <w:pPr>
        <w:pStyle w:val="2"/>
        <w:spacing w:before="5"/>
        <w:rPr>
          <w:sz w:val="9"/>
        </w:rPr>
      </w:pPr>
    </w:p>
    <w:p>
      <w:pPr>
        <w:pStyle w:val="2"/>
        <w:spacing w:before="71"/>
        <w:ind w:left="872"/>
        <w:rPr>
          <w:rFonts w:hint="default" w:eastAsia="宋体"/>
          <w:lang w:val="en-US" w:eastAsia="zh-CN"/>
        </w:rPr>
      </w:pPr>
      <w:r>
        <w:t>联系电话：</w:t>
      </w:r>
      <w:r>
        <w:rPr>
          <w:rFonts w:hint="eastAsia"/>
          <w:u w:val="single"/>
          <w:lang w:val="en-US" w:eastAsia="zh-CN"/>
        </w:rPr>
        <w:t>13651589509</w:t>
      </w:r>
    </w:p>
    <w:p>
      <w:pPr>
        <w:pStyle w:val="2"/>
        <w:spacing w:before="3"/>
        <w:rPr>
          <w:sz w:val="9"/>
        </w:rPr>
      </w:pPr>
    </w:p>
    <w:p>
      <w:pPr>
        <w:snapToGrid/>
        <w:spacing w:before="0" w:beforeAutospacing="0" w:after="0" w:afterAutospacing="0" w:line="440" w:lineRule="exact"/>
        <w:ind w:firstLine="630" w:firstLineChars="300"/>
        <w:jc w:val="both"/>
        <w:textAlignment w:val="baseline"/>
        <w:outlineLvl w:val="2"/>
        <w:rPr>
          <w:rStyle w:val="23"/>
          <w:rFonts w:ascii="宋体" w:hAnsi="宋体"/>
          <w:b w:val="0"/>
          <w:i w:val="0"/>
          <w:caps w:val="0"/>
          <w:color w:val="000000"/>
          <w:spacing w:val="0"/>
          <w:w w:val="100"/>
          <w:kern w:val="2"/>
          <w:sz w:val="21"/>
          <w:szCs w:val="21"/>
          <w:lang w:val="zh-CN" w:eastAsia="zh-CN" w:bidi="ar-SA"/>
        </w:rPr>
      </w:pPr>
      <w:bookmarkStart w:id="12" w:name="_Toc15922"/>
      <w:r>
        <w:rPr>
          <w:rStyle w:val="23"/>
          <w:rFonts w:ascii="宋体" w:hAnsi="宋体"/>
          <w:b w:val="0"/>
          <w:i w:val="0"/>
          <w:caps w:val="0"/>
          <w:color w:val="000000"/>
          <w:spacing w:val="0"/>
          <w:w w:val="100"/>
          <w:kern w:val="2"/>
          <w:sz w:val="21"/>
          <w:szCs w:val="21"/>
          <w:lang w:val="en-US" w:eastAsia="zh-CN" w:bidi="ar-SA"/>
        </w:rPr>
        <w:t>2、</w:t>
      </w:r>
      <w:r>
        <w:rPr>
          <w:rStyle w:val="23"/>
          <w:rFonts w:ascii="宋体" w:hAnsi="宋体"/>
          <w:b w:val="0"/>
          <w:i w:val="0"/>
          <w:caps w:val="0"/>
          <w:color w:val="000000"/>
          <w:spacing w:val="0"/>
          <w:w w:val="100"/>
          <w:kern w:val="2"/>
          <w:sz w:val="21"/>
          <w:szCs w:val="21"/>
          <w:lang w:val="zh-CN" w:eastAsia="zh-CN" w:bidi="ar-SA"/>
        </w:rPr>
        <w:t>采购代理机构信息</w:t>
      </w:r>
      <w:bookmarkEnd w:id="12"/>
    </w:p>
    <w:p>
      <w:pPr>
        <w:pStyle w:val="2"/>
        <w:spacing w:before="72" w:line="410" w:lineRule="auto"/>
        <w:ind w:right="4500" w:firstLine="840" w:firstLineChars="400"/>
        <w:rPr>
          <w:rFonts w:hint="default"/>
          <w:lang w:val="en-US"/>
        </w:rPr>
      </w:pPr>
      <w:r>
        <w:t>招标代理：</w:t>
      </w:r>
      <w:r>
        <w:rPr>
          <w:u w:val="single"/>
          <w:lang w:val="en-US"/>
        </w:rPr>
        <w:t>江苏德通工程咨询有限公司</w:t>
      </w:r>
    </w:p>
    <w:p>
      <w:pPr>
        <w:pStyle w:val="2"/>
        <w:spacing w:before="1"/>
        <w:ind w:left="872"/>
        <w:rPr>
          <w:rFonts w:hint="default" w:eastAsia="宋体"/>
          <w:lang w:val="en-US" w:eastAsia="zh-CN"/>
        </w:rPr>
      </w:pPr>
      <w:r>
        <w:t>联系地址：</w:t>
      </w:r>
      <w:r>
        <w:rPr>
          <w:rFonts w:hint="eastAsia"/>
          <w:u w:val="single"/>
          <w:lang w:eastAsia="zh-CN"/>
        </w:rPr>
        <w:t>盐城市大丰区金融大厦</w:t>
      </w:r>
      <w:r>
        <w:rPr>
          <w:rFonts w:hint="eastAsia"/>
          <w:u w:val="single"/>
          <w:lang w:val="en-US" w:eastAsia="zh-CN"/>
        </w:rPr>
        <w:t>1609室</w:t>
      </w:r>
    </w:p>
    <w:p>
      <w:pPr>
        <w:pStyle w:val="2"/>
        <w:spacing w:before="2"/>
        <w:rPr>
          <w:sz w:val="9"/>
        </w:rPr>
      </w:pPr>
    </w:p>
    <w:p>
      <w:pPr>
        <w:pStyle w:val="2"/>
        <w:spacing w:before="72"/>
        <w:ind w:left="875"/>
        <w:rPr>
          <w:rFonts w:hint="eastAsia" w:eastAsia="宋体"/>
          <w:lang w:eastAsia="zh-CN"/>
        </w:rPr>
      </w:pPr>
      <w:r>
        <w:t>联 系 人：</w:t>
      </w:r>
      <w:r>
        <w:rPr>
          <w:rFonts w:hint="eastAsia"/>
          <w:u w:val="single"/>
          <w:lang w:eastAsia="zh-CN"/>
        </w:rPr>
        <w:t>易晗</w:t>
      </w:r>
    </w:p>
    <w:p>
      <w:pPr>
        <w:pStyle w:val="2"/>
        <w:spacing w:before="5"/>
        <w:rPr>
          <w:sz w:val="9"/>
        </w:rPr>
      </w:pPr>
    </w:p>
    <w:p>
      <w:pPr>
        <w:pStyle w:val="2"/>
        <w:spacing w:before="71"/>
        <w:ind w:left="875"/>
        <w:rPr>
          <w:rFonts w:hint="default" w:eastAsia="宋体"/>
          <w:lang w:val="en-US" w:eastAsia="zh-CN"/>
        </w:rPr>
        <w:sectPr>
          <w:pgSz w:w="11910" w:h="16840"/>
          <w:pgMar w:top="1520" w:right="580" w:bottom="1660" w:left="740" w:header="0" w:footer="1399" w:gutter="0"/>
          <w:pgNumType w:fmt="decimal"/>
          <w:cols w:space="720" w:num="1"/>
        </w:sectPr>
      </w:pPr>
      <w:r>
        <w:t>联系电话：</w:t>
      </w:r>
      <w:r>
        <w:rPr>
          <w:rFonts w:hint="eastAsia"/>
          <w:u w:val="single"/>
          <w:lang w:val="en-US" w:eastAsia="zh-CN"/>
        </w:rPr>
        <w:t>15358270067</w:t>
      </w:r>
    </w:p>
    <w:p>
      <w:pPr>
        <w:pStyle w:val="2"/>
        <w:spacing w:before="3"/>
        <w:rPr>
          <w:sz w:val="14"/>
        </w:rPr>
      </w:pPr>
    </w:p>
    <w:p>
      <w:pPr>
        <w:pStyle w:val="3"/>
        <w:tabs>
          <w:tab w:val="left" w:pos="1765"/>
        </w:tabs>
        <w:ind w:left="0" w:right="161"/>
        <w:outlineLvl w:val="0"/>
      </w:pPr>
      <w:bookmarkStart w:id="13" w:name="_Toc6817"/>
      <w:r>
        <w:t>第二章</w:t>
      </w:r>
      <w:r>
        <w:tab/>
      </w:r>
      <w:r>
        <w:t>投标人须知</w:t>
      </w:r>
      <w:bookmarkEnd w:id="13"/>
    </w:p>
    <w:p>
      <w:pPr>
        <w:pStyle w:val="2"/>
        <w:rPr>
          <w:b/>
          <w:sz w:val="38"/>
        </w:rPr>
      </w:pPr>
    </w:p>
    <w:p>
      <w:pPr>
        <w:pStyle w:val="4"/>
        <w:ind w:left="408" w:right="571"/>
      </w:pPr>
      <w:r>
        <w:t>投标人须知前附表</w:t>
      </w:r>
    </w:p>
    <w:p>
      <w:pPr>
        <w:pStyle w:val="2"/>
        <w:spacing w:before="10"/>
        <w:rPr>
          <w:b/>
          <w:sz w:val="22"/>
        </w:rPr>
      </w:pPr>
    </w:p>
    <w:tbl>
      <w:tblPr>
        <w:tblStyle w:val="15"/>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2458"/>
        <w:gridCol w:w="6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044" w:type="dxa"/>
          </w:tcPr>
          <w:p>
            <w:pPr>
              <w:pStyle w:val="22"/>
              <w:spacing w:before="176"/>
              <w:ind w:left="184" w:right="177"/>
              <w:rPr>
                <w:b/>
                <w:sz w:val="21"/>
              </w:rPr>
            </w:pPr>
            <w:r>
              <w:rPr>
                <w:b/>
                <w:sz w:val="21"/>
              </w:rPr>
              <w:t>条款号</w:t>
            </w:r>
          </w:p>
        </w:tc>
        <w:tc>
          <w:tcPr>
            <w:tcW w:w="2458" w:type="dxa"/>
          </w:tcPr>
          <w:p>
            <w:pPr>
              <w:pStyle w:val="22"/>
              <w:spacing w:before="176"/>
              <w:ind w:left="650"/>
              <w:jc w:val="left"/>
              <w:rPr>
                <w:b/>
                <w:sz w:val="21"/>
              </w:rPr>
            </w:pPr>
            <w:r>
              <w:rPr>
                <w:b/>
                <w:sz w:val="21"/>
              </w:rPr>
              <w:t>条 款 名 称</w:t>
            </w:r>
          </w:p>
        </w:tc>
        <w:tc>
          <w:tcPr>
            <w:tcW w:w="6017" w:type="dxa"/>
          </w:tcPr>
          <w:p>
            <w:pPr>
              <w:pStyle w:val="22"/>
              <w:spacing w:before="176"/>
              <w:ind w:left="2409" w:right="2396"/>
              <w:rPr>
                <w:b/>
                <w:sz w:val="21"/>
              </w:rPr>
            </w:pPr>
            <w:r>
              <w:rPr>
                <w:b/>
                <w:sz w:val="21"/>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44" w:type="dxa"/>
          </w:tcPr>
          <w:p>
            <w:pPr>
              <w:pStyle w:val="22"/>
              <w:spacing w:before="156"/>
              <w:ind w:left="184" w:right="172"/>
              <w:rPr>
                <w:rFonts w:ascii="Times New Roman"/>
                <w:sz w:val="21"/>
              </w:rPr>
            </w:pPr>
            <w:r>
              <w:rPr>
                <w:rFonts w:ascii="Times New Roman"/>
                <w:sz w:val="21"/>
              </w:rPr>
              <w:t>1.1.2</w:t>
            </w:r>
          </w:p>
        </w:tc>
        <w:tc>
          <w:tcPr>
            <w:tcW w:w="2458" w:type="dxa"/>
          </w:tcPr>
          <w:p>
            <w:pPr>
              <w:pStyle w:val="22"/>
              <w:spacing w:before="142"/>
              <w:ind w:left="107"/>
              <w:jc w:val="left"/>
              <w:rPr>
                <w:sz w:val="21"/>
              </w:rPr>
            </w:pPr>
            <w:r>
              <w:rPr>
                <w:sz w:val="21"/>
              </w:rPr>
              <w:t>招标人</w:t>
            </w:r>
          </w:p>
        </w:tc>
        <w:tc>
          <w:tcPr>
            <w:tcW w:w="6017" w:type="dxa"/>
          </w:tcPr>
          <w:p>
            <w:pPr>
              <w:pStyle w:val="22"/>
              <w:spacing w:before="126"/>
              <w:ind w:left="109"/>
              <w:jc w:val="left"/>
              <w:rPr>
                <w:rFonts w:hint="default"/>
                <w:sz w:val="21"/>
                <w:lang w:val="en-US"/>
              </w:rPr>
            </w:pPr>
            <w:r>
              <w:rPr>
                <w:sz w:val="21"/>
                <w:lang w:val="en-US"/>
              </w:rPr>
              <w:t>盐城市大丰区人民政府丰华街道办事处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44" w:type="dxa"/>
          </w:tcPr>
          <w:p>
            <w:pPr>
              <w:pStyle w:val="22"/>
              <w:spacing w:before="156"/>
              <w:ind w:left="184" w:right="172"/>
              <w:rPr>
                <w:rFonts w:ascii="Times New Roman"/>
                <w:sz w:val="21"/>
              </w:rPr>
            </w:pPr>
            <w:r>
              <w:rPr>
                <w:rFonts w:ascii="Times New Roman"/>
                <w:sz w:val="21"/>
              </w:rPr>
              <w:t>1.1.3</w:t>
            </w:r>
          </w:p>
        </w:tc>
        <w:tc>
          <w:tcPr>
            <w:tcW w:w="2458" w:type="dxa"/>
          </w:tcPr>
          <w:p>
            <w:pPr>
              <w:pStyle w:val="22"/>
              <w:spacing w:before="142"/>
              <w:ind w:left="107"/>
              <w:jc w:val="left"/>
              <w:rPr>
                <w:sz w:val="21"/>
              </w:rPr>
            </w:pPr>
            <w:r>
              <w:rPr>
                <w:sz w:val="21"/>
              </w:rPr>
              <w:t>招标代理机构</w:t>
            </w:r>
          </w:p>
        </w:tc>
        <w:tc>
          <w:tcPr>
            <w:tcW w:w="6017" w:type="dxa"/>
          </w:tcPr>
          <w:p>
            <w:pPr>
              <w:pStyle w:val="22"/>
              <w:spacing w:before="123"/>
              <w:ind w:left="109"/>
              <w:jc w:val="left"/>
              <w:rPr>
                <w:rFonts w:hint="default"/>
                <w:sz w:val="21"/>
                <w:lang w:val="en-US"/>
              </w:rPr>
            </w:pPr>
            <w:r>
              <w:rPr>
                <w:sz w:val="21"/>
                <w:lang w:val="en-US"/>
              </w:rPr>
              <w:t>江苏德通工程咨询有限公司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044" w:type="dxa"/>
          </w:tcPr>
          <w:p>
            <w:pPr>
              <w:pStyle w:val="22"/>
              <w:spacing w:before="9"/>
              <w:jc w:val="left"/>
              <w:rPr>
                <w:b/>
                <w:sz w:val="24"/>
              </w:rPr>
            </w:pPr>
          </w:p>
          <w:p>
            <w:pPr>
              <w:pStyle w:val="22"/>
              <w:spacing w:before="1"/>
              <w:ind w:left="184" w:right="172"/>
              <w:rPr>
                <w:rFonts w:ascii="Times New Roman"/>
                <w:sz w:val="21"/>
              </w:rPr>
            </w:pPr>
            <w:r>
              <w:rPr>
                <w:rFonts w:ascii="Times New Roman"/>
                <w:sz w:val="21"/>
              </w:rPr>
              <w:t>1.1.4</w:t>
            </w:r>
          </w:p>
        </w:tc>
        <w:tc>
          <w:tcPr>
            <w:tcW w:w="2458" w:type="dxa"/>
          </w:tcPr>
          <w:p>
            <w:pPr>
              <w:pStyle w:val="22"/>
              <w:spacing w:before="8"/>
              <w:jc w:val="left"/>
              <w:rPr>
                <w:b/>
                <w:sz w:val="23"/>
              </w:rPr>
            </w:pPr>
          </w:p>
          <w:p>
            <w:pPr>
              <w:pStyle w:val="22"/>
              <w:ind w:left="107"/>
              <w:jc w:val="left"/>
              <w:rPr>
                <w:sz w:val="21"/>
              </w:rPr>
            </w:pPr>
            <w:r>
              <w:rPr>
                <w:sz w:val="21"/>
              </w:rPr>
              <w:t>项目名称</w:t>
            </w:r>
          </w:p>
        </w:tc>
        <w:tc>
          <w:tcPr>
            <w:tcW w:w="6017" w:type="dxa"/>
          </w:tcPr>
          <w:p>
            <w:pPr>
              <w:pStyle w:val="22"/>
              <w:spacing w:before="113" w:line="264" w:lineRule="exact"/>
              <w:ind w:left="109"/>
              <w:jc w:val="left"/>
              <w:rPr>
                <w:rFonts w:hint="default"/>
                <w:sz w:val="21"/>
                <w:lang w:val="en-US"/>
              </w:rPr>
            </w:pPr>
            <w:r>
              <w:rPr>
                <w:sz w:val="21"/>
                <w:lang w:val="en-US"/>
              </w:rPr>
              <w:t>丰华街道渗滤液处理设备项目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44" w:type="dxa"/>
          </w:tcPr>
          <w:p>
            <w:pPr>
              <w:pStyle w:val="22"/>
              <w:spacing w:before="156"/>
              <w:ind w:left="184" w:right="172"/>
              <w:rPr>
                <w:rFonts w:ascii="Times New Roman"/>
                <w:sz w:val="21"/>
              </w:rPr>
            </w:pPr>
            <w:r>
              <w:rPr>
                <w:rFonts w:ascii="Times New Roman"/>
                <w:sz w:val="21"/>
              </w:rPr>
              <w:t>1.2.1</w:t>
            </w:r>
          </w:p>
        </w:tc>
        <w:tc>
          <w:tcPr>
            <w:tcW w:w="2458" w:type="dxa"/>
          </w:tcPr>
          <w:p>
            <w:pPr>
              <w:pStyle w:val="22"/>
              <w:spacing w:before="142"/>
              <w:ind w:left="107"/>
              <w:jc w:val="left"/>
              <w:rPr>
                <w:sz w:val="21"/>
              </w:rPr>
            </w:pPr>
            <w:r>
              <w:rPr>
                <w:sz w:val="21"/>
              </w:rPr>
              <w:t>资金来源</w:t>
            </w:r>
          </w:p>
        </w:tc>
        <w:tc>
          <w:tcPr>
            <w:tcW w:w="6017" w:type="dxa"/>
          </w:tcPr>
          <w:p>
            <w:pPr>
              <w:pStyle w:val="22"/>
              <w:spacing w:before="126"/>
              <w:ind w:left="109"/>
              <w:jc w:val="left"/>
              <w:rPr>
                <w:rFonts w:hint="eastAsia" w:eastAsia="宋体"/>
                <w:sz w:val="21"/>
                <w:lang w:eastAsia="zh-CN"/>
              </w:rPr>
            </w:pPr>
            <w:r>
              <w:rPr>
                <w:rFonts w:hint="eastAsia"/>
                <w:sz w:val="21"/>
                <w:lang w:eastAsia="zh-CN"/>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44" w:type="dxa"/>
          </w:tcPr>
          <w:p>
            <w:pPr>
              <w:pStyle w:val="22"/>
              <w:spacing w:before="156"/>
              <w:ind w:left="184" w:right="172"/>
              <w:rPr>
                <w:rFonts w:ascii="Times New Roman"/>
                <w:sz w:val="21"/>
              </w:rPr>
            </w:pPr>
            <w:r>
              <w:rPr>
                <w:rFonts w:ascii="Times New Roman"/>
                <w:sz w:val="21"/>
              </w:rPr>
              <w:t>1.2.2</w:t>
            </w:r>
          </w:p>
        </w:tc>
        <w:tc>
          <w:tcPr>
            <w:tcW w:w="2458" w:type="dxa"/>
          </w:tcPr>
          <w:p>
            <w:pPr>
              <w:pStyle w:val="22"/>
              <w:spacing w:before="142"/>
              <w:ind w:left="107"/>
              <w:jc w:val="left"/>
              <w:rPr>
                <w:sz w:val="21"/>
              </w:rPr>
            </w:pPr>
            <w:r>
              <w:rPr>
                <w:sz w:val="21"/>
              </w:rPr>
              <w:t>出资比例</w:t>
            </w:r>
          </w:p>
        </w:tc>
        <w:tc>
          <w:tcPr>
            <w:tcW w:w="6017" w:type="dxa"/>
          </w:tcPr>
          <w:p>
            <w:pPr>
              <w:pStyle w:val="22"/>
              <w:spacing w:before="137"/>
              <w:ind w:left="109"/>
              <w:jc w:val="left"/>
              <w:rPr>
                <w:rFonts w:ascii="Times New Roman"/>
                <w:sz w:val="21"/>
              </w:rPr>
            </w:pPr>
            <w:r>
              <w:rPr>
                <w:rFonts w:ascii="Times New Roman"/>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44" w:type="dxa"/>
          </w:tcPr>
          <w:p>
            <w:pPr>
              <w:pStyle w:val="22"/>
              <w:spacing w:before="156"/>
              <w:ind w:left="184" w:right="172"/>
              <w:rPr>
                <w:rFonts w:ascii="Times New Roman"/>
                <w:sz w:val="21"/>
              </w:rPr>
            </w:pPr>
            <w:r>
              <w:rPr>
                <w:rFonts w:ascii="Times New Roman"/>
                <w:sz w:val="21"/>
              </w:rPr>
              <w:t>1.2.3</w:t>
            </w:r>
          </w:p>
        </w:tc>
        <w:tc>
          <w:tcPr>
            <w:tcW w:w="2458" w:type="dxa"/>
          </w:tcPr>
          <w:p>
            <w:pPr>
              <w:pStyle w:val="22"/>
              <w:spacing w:before="142"/>
              <w:ind w:left="107"/>
              <w:jc w:val="left"/>
              <w:rPr>
                <w:sz w:val="21"/>
              </w:rPr>
            </w:pPr>
            <w:r>
              <w:rPr>
                <w:sz w:val="21"/>
              </w:rPr>
              <w:t>资金落实情况</w:t>
            </w:r>
          </w:p>
        </w:tc>
        <w:tc>
          <w:tcPr>
            <w:tcW w:w="6017" w:type="dxa"/>
          </w:tcPr>
          <w:p>
            <w:pPr>
              <w:pStyle w:val="22"/>
              <w:spacing w:before="125"/>
              <w:ind w:left="109"/>
              <w:jc w:val="left"/>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1044" w:type="dxa"/>
          </w:tcPr>
          <w:p>
            <w:pPr>
              <w:pStyle w:val="22"/>
              <w:jc w:val="left"/>
              <w:rPr>
                <w:b/>
                <w:sz w:val="22"/>
              </w:rPr>
            </w:pPr>
          </w:p>
          <w:p>
            <w:pPr>
              <w:pStyle w:val="22"/>
              <w:spacing w:before="4"/>
              <w:jc w:val="left"/>
              <w:rPr>
                <w:b/>
                <w:sz w:val="32"/>
              </w:rPr>
            </w:pPr>
          </w:p>
          <w:p>
            <w:pPr>
              <w:pStyle w:val="22"/>
              <w:ind w:left="184" w:right="172"/>
              <w:rPr>
                <w:rFonts w:ascii="Times New Roman"/>
                <w:sz w:val="21"/>
              </w:rPr>
            </w:pPr>
            <w:r>
              <w:rPr>
                <w:rFonts w:ascii="Times New Roman"/>
                <w:sz w:val="21"/>
              </w:rPr>
              <w:t>1.3.1</w:t>
            </w:r>
          </w:p>
        </w:tc>
        <w:tc>
          <w:tcPr>
            <w:tcW w:w="2458" w:type="dxa"/>
          </w:tcPr>
          <w:p>
            <w:pPr>
              <w:pStyle w:val="22"/>
              <w:jc w:val="left"/>
              <w:rPr>
                <w:b/>
                <w:sz w:val="20"/>
              </w:rPr>
            </w:pPr>
          </w:p>
          <w:p>
            <w:pPr>
              <w:pStyle w:val="22"/>
              <w:jc w:val="left"/>
              <w:rPr>
                <w:b/>
                <w:sz w:val="20"/>
              </w:rPr>
            </w:pPr>
          </w:p>
          <w:p>
            <w:pPr>
              <w:pStyle w:val="22"/>
              <w:spacing w:before="170"/>
              <w:ind w:left="107"/>
              <w:jc w:val="left"/>
              <w:rPr>
                <w:sz w:val="21"/>
              </w:rPr>
            </w:pPr>
            <w:r>
              <w:rPr>
                <w:sz w:val="21"/>
              </w:rPr>
              <w:t>采购内容</w:t>
            </w:r>
          </w:p>
        </w:tc>
        <w:tc>
          <w:tcPr>
            <w:tcW w:w="6017" w:type="dxa"/>
          </w:tcPr>
          <w:p>
            <w:pPr>
              <w:pStyle w:val="22"/>
              <w:spacing w:before="94" w:line="338" w:lineRule="auto"/>
              <w:ind w:left="109" w:right="89"/>
              <w:jc w:val="both"/>
              <w:rPr>
                <w:sz w:val="21"/>
              </w:rPr>
            </w:pPr>
            <w:r>
              <w:rPr>
                <w:spacing w:val="-9"/>
                <w:sz w:val="21"/>
              </w:rPr>
              <w:t>垃圾渗滤液设备采购、包装、运输保险、安装布置就位、检测验</w:t>
            </w:r>
            <w:r>
              <w:rPr>
                <w:spacing w:val="-12"/>
                <w:sz w:val="21"/>
              </w:rPr>
              <w:t>收、调试、质保期内免费提供设备运行所必须的备品备件和专用</w:t>
            </w:r>
            <w:r>
              <w:rPr>
                <w:spacing w:val="-11"/>
                <w:sz w:val="21"/>
              </w:rPr>
              <w:t>设备等，还包括提供各项资料、售前售后服务、维修、保养等伴</w:t>
            </w:r>
          </w:p>
          <w:p>
            <w:pPr>
              <w:pStyle w:val="22"/>
              <w:spacing w:before="2" w:line="264" w:lineRule="exact"/>
              <w:ind w:left="109"/>
              <w:jc w:val="left"/>
              <w:rPr>
                <w:sz w:val="21"/>
              </w:rPr>
            </w:pPr>
            <w:r>
              <w:rPr>
                <w:sz w:val="21"/>
              </w:rPr>
              <w:t>随服务。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044" w:type="dxa"/>
          </w:tcPr>
          <w:p>
            <w:pPr>
              <w:pStyle w:val="22"/>
              <w:spacing w:before="9"/>
              <w:jc w:val="left"/>
              <w:rPr>
                <w:b/>
                <w:sz w:val="24"/>
              </w:rPr>
            </w:pPr>
          </w:p>
          <w:p>
            <w:pPr>
              <w:pStyle w:val="22"/>
              <w:spacing w:before="1"/>
              <w:ind w:left="184" w:right="172"/>
              <w:rPr>
                <w:rFonts w:ascii="Times New Roman"/>
                <w:sz w:val="21"/>
              </w:rPr>
            </w:pPr>
            <w:r>
              <w:rPr>
                <w:rFonts w:ascii="Times New Roman"/>
                <w:sz w:val="21"/>
              </w:rPr>
              <w:t>1.3.2</w:t>
            </w:r>
          </w:p>
        </w:tc>
        <w:tc>
          <w:tcPr>
            <w:tcW w:w="2458" w:type="dxa"/>
          </w:tcPr>
          <w:p>
            <w:pPr>
              <w:pStyle w:val="22"/>
              <w:spacing w:before="8"/>
              <w:jc w:val="left"/>
              <w:rPr>
                <w:b/>
                <w:sz w:val="23"/>
              </w:rPr>
            </w:pPr>
          </w:p>
          <w:p>
            <w:pPr>
              <w:pStyle w:val="22"/>
              <w:ind w:left="107"/>
              <w:jc w:val="left"/>
              <w:rPr>
                <w:sz w:val="21"/>
              </w:rPr>
            </w:pPr>
            <w:r>
              <w:rPr>
                <w:sz w:val="21"/>
              </w:rPr>
              <w:t>项目完成期限</w:t>
            </w:r>
          </w:p>
        </w:tc>
        <w:tc>
          <w:tcPr>
            <w:tcW w:w="6017" w:type="dxa"/>
          </w:tcPr>
          <w:p>
            <w:pPr>
              <w:pStyle w:val="22"/>
              <w:spacing w:before="94"/>
              <w:ind w:left="109"/>
              <w:jc w:val="left"/>
              <w:rPr>
                <w:sz w:val="21"/>
              </w:rPr>
            </w:pPr>
            <w:r>
              <w:rPr>
                <w:sz w:val="21"/>
              </w:rPr>
              <w:t xml:space="preserve">在招标人发出书面通知后的 </w:t>
            </w:r>
            <w:r>
              <w:rPr>
                <w:rFonts w:hint="eastAsia" w:ascii="Times New Roman"/>
                <w:sz w:val="21"/>
                <w:u w:val="single"/>
                <w:lang w:val="en-US" w:eastAsia="zh-CN"/>
              </w:rPr>
              <w:t>120</w:t>
            </w:r>
            <w:r>
              <w:rPr>
                <w:rFonts w:ascii="Times New Roman" w:eastAsia="Times New Roman"/>
                <w:sz w:val="21"/>
              </w:rPr>
              <w:t xml:space="preserve"> </w:t>
            </w:r>
            <w:r>
              <w:rPr>
                <w:sz w:val="21"/>
              </w:rPr>
              <w:t>日历天内完成所有设备的供货、安装、调试并验收合格。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44" w:type="dxa"/>
          </w:tcPr>
          <w:p>
            <w:pPr>
              <w:pStyle w:val="22"/>
              <w:spacing w:before="192"/>
              <w:ind w:left="184" w:right="172"/>
              <w:rPr>
                <w:rFonts w:ascii="Times New Roman"/>
                <w:sz w:val="21"/>
              </w:rPr>
            </w:pPr>
            <w:r>
              <w:rPr>
                <w:rFonts w:ascii="Times New Roman"/>
                <w:sz w:val="21"/>
              </w:rPr>
              <w:t>1.3.3</w:t>
            </w:r>
          </w:p>
        </w:tc>
        <w:tc>
          <w:tcPr>
            <w:tcW w:w="2458" w:type="dxa"/>
          </w:tcPr>
          <w:p>
            <w:pPr>
              <w:pStyle w:val="22"/>
              <w:spacing w:before="178"/>
              <w:ind w:left="107"/>
              <w:jc w:val="left"/>
              <w:rPr>
                <w:sz w:val="21"/>
              </w:rPr>
            </w:pPr>
            <w:r>
              <w:rPr>
                <w:sz w:val="21"/>
              </w:rPr>
              <w:t>交货地点</w:t>
            </w:r>
          </w:p>
        </w:tc>
        <w:tc>
          <w:tcPr>
            <w:tcW w:w="6017" w:type="dxa"/>
          </w:tcPr>
          <w:p>
            <w:pPr>
              <w:pStyle w:val="22"/>
              <w:spacing w:before="159"/>
              <w:ind w:left="109"/>
              <w:jc w:val="left"/>
              <w:rPr>
                <w:sz w:val="21"/>
              </w:rPr>
            </w:pPr>
            <w:r>
              <w:rPr>
                <w:sz w:val="21"/>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8" w:hRule="atLeast"/>
        </w:trPr>
        <w:tc>
          <w:tcPr>
            <w:tcW w:w="1044" w:type="dxa"/>
          </w:tcPr>
          <w:p>
            <w:pPr>
              <w:pStyle w:val="22"/>
              <w:jc w:val="left"/>
              <w:rPr>
                <w:b/>
                <w:sz w:val="22"/>
              </w:rPr>
            </w:pPr>
          </w:p>
          <w:p>
            <w:pPr>
              <w:pStyle w:val="22"/>
              <w:jc w:val="left"/>
              <w:rPr>
                <w:b/>
                <w:sz w:val="22"/>
              </w:rPr>
            </w:pPr>
          </w:p>
          <w:p>
            <w:pPr>
              <w:pStyle w:val="22"/>
              <w:jc w:val="left"/>
              <w:rPr>
                <w:b/>
                <w:sz w:val="22"/>
              </w:rPr>
            </w:pPr>
          </w:p>
          <w:p>
            <w:pPr>
              <w:pStyle w:val="22"/>
              <w:jc w:val="left"/>
              <w:rPr>
                <w:b/>
                <w:sz w:val="22"/>
              </w:rPr>
            </w:pPr>
          </w:p>
          <w:p>
            <w:pPr>
              <w:pStyle w:val="22"/>
              <w:spacing w:before="7"/>
              <w:jc w:val="left"/>
              <w:rPr>
                <w:b/>
                <w:sz w:val="25"/>
              </w:rPr>
            </w:pPr>
          </w:p>
          <w:p>
            <w:pPr>
              <w:pStyle w:val="22"/>
              <w:ind w:left="184" w:right="172"/>
              <w:rPr>
                <w:rFonts w:ascii="Times New Roman"/>
                <w:sz w:val="21"/>
              </w:rPr>
            </w:pPr>
            <w:r>
              <w:rPr>
                <w:rFonts w:ascii="Times New Roman"/>
                <w:sz w:val="21"/>
              </w:rPr>
              <w:t>1.3.4</w:t>
            </w:r>
          </w:p>
        </w:tc>
        <w:tc>
          <w:tcPr>
            <w:tcW w:w="2458" w:type="dxa"/>
          </w:tcPr>
          <w:p>
            <w:pPr>
              <w:pStyle w:val="22"/>
              <w:jc w:val="left"/>
              <w:rPr>
                <w:b/>
                <w:sz w:val="20"/>
              </w:rPr>
            </w:pPr>
          </w:p>
          <w:p>
            <w:pPr>
              <w:pStyle w:val="22"/>
              <w:jc w:val="left"/>
              <w:rPr>
                <w:b/>
                <w:sz w:val="20"/>
              </w:rPr>
            </w:pPr>
          </w:p>
          <w:p>
            <w:pPr>
              <w:pStyle w:val="22"/>
              <w:jc w:val="left"/>
              <w:rPr>
                <w:b/>
                <w:sz w:val="20"/>
              </w:rPr>
            </w:pPr>
          </w:p>
          <w:p>
            <w:pPr>
              <w:pStyle w:val="22"/>
              <w:jc w:val="left"/>
              <w:rPr>
                <w:b/>
                <w:sz w:val="20"/>
              </w:rPr>
            </w:pPr>
          </w:p>
          <w:p>
            <w:pPr>
              <w:pStyle w:val="22"/>
              <w:jc w:val="left"/>
              <w:rPr>
                <w:b/>
                <w:sz w:val="20"/>
              </w:rPr>
            </w:pPr>
          </w:p>
          <w:p>
            <w:pPr>
              <w:pStyle w:val="22"/>
              <w:spacing w:before="159"/>
              <w:ind w:left="107"/>
              <w:jc w:val="left"/>
              <w:rPr>
                <w:sz w:val="21"/>
              </w:rPr>
            </w:pPr>
            <w:r>
              <w:rPr>
                <w:sz w:val="21"/>
              </w:rPr>
              <w:t>质量要求及验收标准</w:t>
            </w:r>
          </w:p>
        </w:tc>
        <w:tc>
          <w:tcPr>
            <w:tcW w:w="6017" w:type="dxa"/>
          </w:tcPr>
          <w:p>
            <w:pPr>
              <w:pStyle w:val="22"/>
              <w:spacing w:before="94" w:line="338" w:lineRule="auto"/>
              <w:ind w:left="109" w:right="10"/>
              <w:jc w:val="left"/>
              <w:rPr>
                <w:sz w:val="21"/>
              </w:rPr>
            </w:pPr>
            <w:r>
              <w:rPr>
                <w:spacing w:val="-9"/>
                <w:sz w:val="21"/>
              </w:rPr>
              <w:t>相关质量验收规范合格标准，招标人或项目所在地质量技术监督</w:t>
            </w:r>
            <w:r>
              <w:rPr>
                <w:sz w:val="21"/>
              </w:rPr>
              <w:t>部门或招标人委托的第三方检测机构可能对中标人的所供产品</w:t>
            </w:r>
            <w:r>
              <w:rPr>
                <w:spacing w:val="-10"/>
                <w:sz w:val="21"/>
              </w:rPr>
              <w:t>进行抽检，如抽检不合格导致的费用损失由中标人承担，所有返</w:t>
            </w:r>
            <w:r>
              <w:rPr>
                <w:spacing w:val="-5"/>
                <w:sz w:val="21"/>
              </w:rPr>
              <w:t xml:space="preserve">工、拆除、更换等费用均由中标人承担，给招标人造成损失的， </w:t>
            </w:r>
            <w:r>
              <w:rPr>
                <w:spacing w:val="-4"/>
                <w:sz w:val="21"/>
              </w:rPr>
              <w:t>招标人将依法追偿。</w:t>
            </w:r>
          </w:p>
          <w:p>
            <w:pPr>
              <w:pStyle w:val="22"/>
              <w:spacing w:before="2"/>
              <w:ind w:left="109"/>
              <w:jc w:val="left"/>
              <w:rPr>
                <w:sz w:val="21"/>
              </w:rPr>
            </w:pPr>
            <w:r>
              <w:rPr>
                <w:sz w:val="21"/>
              </w:rPr>
              <w:t>验收执行标准：国家或行业最新标准、招标文件各项技术参数指</w:t>
            </w:r>
          </w:p>
          <w:p>
            <w:pPr>
              <w:pStyle w:val="22"/>
              <w:spacing w:before="1" w:line="380" w:lineRule="atLeast"/>
              <w:ind w:left="109" w:right="10"/>
              <w:jc w:val="left"/>
              <w:rPr>
                <w:sz w:val="21"/>
              </w:rPr>
            </w:pPr>
            <w:r>
              <w:rPr>
                <w:sz w:val="21"/>
              </w:rPr>
              <w:t>标、投标文件投标承诺所达到的各项技术参数指标（招标文件、投标文件、国家或行业标准不一致处以最高标准执行）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44" w:type="dxa"/>
          </w:tcPr>
          <w:p>
            <w:pPr>
              <w:pStyle w:val="22"/>
              <w:spacing w:before="154"/>
              <w:ind w:left="184" w:right="172"/>
              <w:rPr>
                <w:rFonts w:ascii="Times New Roman"/>
                <w:sz w:val="21"/>
              </w:rPr>
            </w:pPr>
            <w:r>
              <w:rPr>
                <w:rFonts w:ascii="Times New Roman"/>
                <w:sz w:val="21"/>
              </w:rPr>
              <w:t>1.4.1</w:t>
            </w:r>
          </w:p>
        </w:tc>
        <w:tc>
          <w:tcPr>
            <w:tcW w:w="2458" w:type="dxa"/>
          </w:tcPr>
          <w:p>
            <w:pPr>
              <w:pStyle w:val="22"/>
              <w:spacing w:before="140"/>
              <w:ind w:left="107"/>
              <w:jc w:val="left"/>
              <w:rPr>
                <w:sz w:val="21"/>
              </w:rPr>
            </w:pPr>
            <w:r>
              <w:rPr>
                <w:sz w:val="21"/>
              </w:rPr>
              <w:t>投标人资格要求</w:t>
            </w:r>
          </w:p>
        </w:tc>
        <w:tc>
          <w:tcPr>
            <w:tcW w:w="6017" w:type="dxa"/>
          </w:tcPr>
          <w:p>
            <w:pPr>
              <w:pStyle w:val="22"/>
              <w:spacing w:before="128"/>
              <w:ind w:left="109"/>
              <w:jc w:val="left"/>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44" w:type="dxa"/>
          </w:tcPr>
          <w:p>
            <w:pPr>
              <w:pStyle w:val="22"/>
              <w:spacing w:before="156"/>
              <w:ind w:left="184" w:right="172"/>
              <w:rPr>
                <w:rFonts w:ascii="Times New Roman"/>
                <w:sz w:val="21"/>
              </w:rPr>
            </w:pPr>
            <w:r>
              <w:rPr>
                <w:rFonts w:ascii="Times New Roman"/>
                <w:sz w:val="21"/>
              </w:rPr>
              <w:t>1.4.2</w:t>
            </w:r>
          </w:p>
        </w:tc>
        <w:tc>
          <w:tcPr>
            <w:tcW w:w="2458" w:type="dxa"/>
          </w:tcPr>
          <w:p>
            <w:pPr>
              <w:pStyle w:val="22"/>
              <w:spacing w:before="142"/>
              <w:ind w:left="107"/>
              <w:jc w:val="left"/>
              <w:rPr>
                <w:sz w:val="21"/>
              </w:rPr>
            </w:pPr>
            <w:r>
              <w:rPr>
                <w:sz w:val="21"/>
              </w:rPr>
              <w:t>是否接受联合体投标</w:t>
            </w:r>
          </w:p>
        </w:tc>
        <w:tc>
          <w:tcPr>
            <w:tcW w:w="6017" w:type="dxa"/>
          </w:tcPr>
          <w:p>
            <w:pPr>
              <w:pStyle w:val="22"/>
              <w:spacing w:before="128"/>
              <w:ind w:left="109"/>
              <w:jc w:val="left"/>
              <w:rPr>
                <w:sz w:val="21"/>
              </w:rPr>
            </w:pPr>
            <w:r>
              <w:rPr>
                <w:sz w:val="21"/>
              </w:rPr>
              <w:t>不接受</w:t>
            </w:r>
          </w:p>
        </w:tc>
      </w:tr>
    </w:tbl>
    <w:p>
      <w:pPr>
        <w:spacing w:after="0"/>
        <w:jc w:val="left"/>
        <w:rPr>
          <w:sz w:val="21"/>
        </w:rPr>
        <w:sectPr>
          <w:pgSz w:w="11910" w:h="16840"/>
          <w:pgMar w:top="1580" w:right="580" w:bottom="1660" w:left="740" w:header="0" w:footer="1399" w:gutter="0"/>
          <w:pgNumType w:fmt="decimal"/>
          <w:cols w:space="720" w:num="1"/>
        </w:sectPr>
      </w:pPr>
    </w:p>
    <w:tbl>
      <w:tblPr>
        <w:tblStyle w:val="15"/>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2458"/>
        <w:gridCol w:w="6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044" w:type="dxa"/>
          </w:tcPr>
          <w:p>
            <w:pPr>
              <w:pStyle w:val="22"/>
              <w:spacing w:before="3"/>
              <w:jc w:val="left"/>
              <w:rPr>
                <w:b/>
                <w:sz w:val="20"/>
              </w:rPr>
            </w:pPr>
          </w:p>
          <w:p>
            <w:pPr>
              <w:pStyle w:val="22"/>
              <w:ind w:left="184" w:right="172"/>
              <w:rPr>
                <w:rFonts w:ascii="Times New Roman"/>
                <w:sz w:val="21"/>
              </w:rPr>
            </w:pPr>
            <w:r>
              <w:rPr>
                <w:rFonts w:ascii="Times New Roman"/>
                <w:sz w:val="21"/>
              </w:rPr>
              <w:t>1.9.1</w:t>
            </w:r>
          </w:p>
        </w:tc>
        <w:tc>
          <w:tcPr>
            <w:tcW w:w="2458" w:type="dxa"/>
          </w:tcPr>
          <w:p>
            <w:pPr>
              <w:pStyle w:val="22"/>
              <w:spacing w:before="2"/>
              <w:jc w:val="left"/>
              <w:rPr>
                <w:b/>
                <w:sz w:val="19"/>
              </w:rPr>
            </w:pPr>
          </w:p>
          <w:p>
            <w:pPr>
              <w:pStyle w:val="22"/>
              <w:ind w:left="107"/>
              <w:jc w:val="left"/>
              <w:rPr>
                <w:sz w:val="21"/>
              </w:rPr>
            </w:pPr>
            <w:r>
              <w:rPr>
                <w:sz w:val="21"/>
              </w:rPr>
              <w:t>踏勘现场</w:t>
            </w:r>
          </w:p>
        </w:tc>
        <w:tc>
          <w:tcPr>
            <w:tcW w:w="6017" w:type="dxa"/>
          </w:tcPr>
          <w:p>
            <w:pPr>
              <w:pStyle w:val="22"/>
              <w:jc w:val="left"/>
              <w:rPr>
                <w:b/>
                <w:sz w:val="18"/>
              </w:rPr>
            </w:pPr>
          </w:p>
          <w:p>
            <w:pPr>
              <w:pStyle w:val="22"/>
              <w:ind w:left="109"/>
              <w:jc w:val="left"/>
              <w:rPr>
                <w:sz w:val="21"/>
              </w:rPr>
            </w:pPr>
            <w:r>
              <w:rPr>
                <w:sz w:val="21"/>
              </w:rPr>
              <w:t>由意向投标人自行组织，充分了解实际使用环境及特点。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44" w:type="dxa"/>
          </w:tcPr>
          <w:p>
            <w:pPr>
              <w:pStyle w:val="22"/>
              <w:spacing w:before="159"/>
              <w:ind w:left="184" w:right="172"/>
              <w:rPr>
                <w:rFonts w:ascii="Times New Roman"/>
                <w:sz w:val="21"/>
              </w:rPr>
            </w:pPr>
            <w:r>
              <w:rPr>
                <w:rFonts w:ascii="Times New Roman"/>
                <w:sz w:val="21"/>
              </w:rPr>
              <w:t>1.10</w:t>
            </w:r>
          </w:p>
        </w:tc>
        <w:tc>
          <w:tcPr>
            <w:tcW w:w="2458" w:type="dxa"/>
          </w:tcPr>
          <w:p>
            <w:pPr>
              <w:pStyle w:val="22"/>
              <w:spacing w:before="145"/>
              <w:ind w:left="107"/>
              <w:jc w:val="left"/>
              <w:rPr>
                <w:sz w:val="21"/>
              </w:rPr>
            </w:pPr>
            <w:r>
              <w:rPr>
                <w:sz w:val="21"/>
              </w:rPr>
              <w:t>投标预备会</w:t>
            </w:r>
          </w:p>
        </w:tc>
        <w:tc>
          <w:tcPr>
            <w:tcW w:w="6017" w:type="dxa"/>
          </w:tcPr>
          <w:p>
            <w:pPr>
              <w:pStyle w:val="22"/>
              <w:spacing w:before="110"/>
              <w:ind w:left="107"/>
              <w:jc w:val="left"/>
              <w:rPr>
                <w:sz w:val="21"/>
              </w:rPr>
            </w:pPr>
            <w:r>
              <w:rPr>
                <w:spacing w:val="-209"/>
                <w:w w:val="100"/>
                <w:position w:val="2"/>
                <w:sz w:val="21"/>
              </w:rPr>
              <w:t>√</w:t>
            </w:r>
            <w:r>
              <w:rPr>
                <w:w w:val="100"/>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44" w:type="dxa"/>
          </w:tcPr>
          <w:p>
            <w:pPr>
              <w:pStyle w:val="22"/>
              <w:spacing w:before="156"/>
              <w:ind w:left="184" w:right="175"/>
              <w:rPr>
                <w:rFonts w:ascii="Times New Roman"/>
                <w:sz w:val="21"/>
              </w:rPr>
            </w:pPr>
            <w:r>
              <w:rPr>
                <w:rFonts w:ascii="Times New Roman"/>
                <w:sz w:val="21"/>
              </w:rPr>
              <w:t>1.11</w:t>
            </w:r>
          </w:p>
        </w:tc>
        <w:tc>
          <w:tcPr>
            <w:tcW w:w="2458" w:type="dxa"/>
          </w:tcPr>
          <w:p>
            <w:pPr>
              <w:pStyle w:val="22"/>
              <w:spacing w:before="142"/>
              <w:ind w:left="107"/>
              <w:jc w:val="left"/>
              <w:rPr>
                <w:sz w:val="21"/>
              </w:rPr>
            </w:pPr>
            <w:r>
              <w:rPr>
                <w:sz w:val="21"/>
              </w:rPr>
              <w:t>偏离</w:t>
            </w:r>
          </w:p>
        </w:tc>
        <w:tc>
          <w:tcPr>
            <w:tcW w:w="6017" w:type="dxa"/>
          </w:tcPr>
          <w:p>
            <w:pPr>
              <w:pStyle w:val="22"/>
              <w:spacing w:before="128"/>
              <w:ind w:left="109"/>
              <w:jc w:val="left"/>
              <w:rPr>
                <w:sz w:val="21"/>
              </w:rPr>
            </w:pPr>
            <w:r>
              <w:rPr>
                <w:sz w:val="21"/>
              </w:rPr>
              <w:t>详见招标文件相关条款。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44" w:type="dxa"/>
          </w:tcPr>
          <w:p>
            <w:pPr>
              <w:pStyle w:val="22"/>
              <w:spacing w:before="5"/>
              <w:jc w:val="left"/>
              <w:rPr>
                <w:b/>
                <w:sz w:val="29"/>
              </w:rPr>
            </w:pPr>
          </w:p>
          <w:p>
            <w:pPr>
              <w:pStyle w:val="22"/>
              <w:ind w:left="184" w:right="172"/>
              <w:rPr>
                <w:rFonts w:ascii="Times New Roman"/>
                <w:sz w:val="21"/>
              </w:rPr>
            </w:pPr>
            <w:r>
              <w:rPr>
                <w:rFonts w:ascii="Times New Roman"/>
                <w:sz w:val="21"/>
              </w:rPr>
              <w:t>2.1.1</w:t>
            </w:r>
          </w:p>
        </w:tc>
        <w:tc>
          <w:tcPr>
            <w:tcW w:w="2458" w:type="dxa"/>
          </w:tcPr>
          <w:p>
            <w:pPr>
              <w:pStyle w:val="22"/>
              <w:spacing w:before="3" w:line="440" w:lineRule="exact"/>
              <w:ind w:left="107" w:right="91"/>
              <w:jc w:val="left"/>
              <w:rPr>
                <w:sz w:val="21"/>
              </w:rPr>
            </w:pPr>
            <w:r>
              <w:rPr>
                <w:sz w:val="21"/>
              </w:rPr>
              <w:t>构成招标文件的其它材料</w:t>
            </w:r>
          </w:p>
        </w:tc>
        <w:tc>
          <w:tcPr>
            <w:tcW w:w="6017" w:type="dxa"/>
          </w:tcPr>
          <w:p>
            <w:pPr>
              <w:pStyle w:val="22"/>
              <w:spacing w:before="5"/>
              <w:jc w:val="left"/>
              <w:rPr>
                <w:b/>
                <w:sz w:val="27"/>
              </w:rPr>
            </w:pPr>
          </w:p>
          <w:p>
            <w:pPr>
              <w:pStyle w:val="22"/>
              <w:ind w:left="109"/>
              <w:jc w:val="left"/>
              <w:rPr>
                <w:sz w:val="21"/>
              </w:rPr>
            </w:pPr>
            <w:r>
              <w:rPr>
                <w:w w:val="10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044" w:type="dxa"/>
          </w:tcPr>
          <w:p>
            <w:pPr>
              <w:pStyle w:val="22"/>
              <w:spacing w:before="3"/>
              <w:jc w:val="left"/>
              <w:rPr>
                <w:b/>
                <w:sz w:val="29"/>
              </w:rPr>
            </w:pPr>
          </w:p>
          <w:p>
            <w:pPr>
              <w:pStyle w:val="22"/>
              <w:ind w:left="184" w:right="172"/>
              <w:rPr>
                <w:rFonts w:ascii="Times New Roman"/>
                <w:sz w:val="21"/>
              </w:rPr>
            </w:pPr>
            <w:r>
              <w:rPr>
                <w:rFonts w:ascii="Times New Roman"/>
                <w:sz w:val="21"/>
              </w:rPr>
              <w:t>2.2.1</w:t>
            </w:r>
          </w:p>
        </w:tc>
        <w:tc>
          <w:tcPr>
            <w:tcW w:w="2458" w:type="dxa"/>
          </w:tcPr>
          <w:p>
            <w:pPr>
              <w:pStyle w:val="22"/>
              <w:spacing w:before="140"/>
              <w:ind w:left="107"/>
              <w:jc w:val="left"/>
              <w:rPr>
                <w:sz w:val="21"/>
              </w:rPr>
            </w:pPr>
            <w:r>
              <w:rPr>
                <w:sz w:val="21"/>
              </w:rPr>
              <w:t>招标人要求澄清招标文</w:t>
            </w:r>
          </w:p>
          <w:p>
            <w:pPr>
              <w:pStyle w:val="22"/>
              <w:spacing w:before="172"/>
              <w:ind w:left="107"/>
              <w:jc w:val="left"/>
              <w:rPr>
                <w:sz w:val="21"/>
              </w:rPr>
            </w:pPr>
            <w:r>
              <w:rPr>
                <w:sz w:val="21"/>
              </w:rPr>
              <w:t>件截止时间</w:t>
            </w:r>
          </w:p>
        </w:tc>
        <w:tc>
          <w:tcPr>
            <w:tcW w:w="6017" w:type="dxa"/>
          </w:tcPr>
          <w:p>
            <w:pPr>
              <w:pStyle w:val="22"/>
              <w:jc w:val="left"/>
              <w:rPr>
                <w:b/>
                <w:sz w:val="27"/>
              </w:rPr>
            </w:pPr>
          </w:p>
          <w:p>
            <w:pPr>
              <w:pStyle w:val="22"/>
              <w:ind w:left="109"/>
              <w:jc w:val="left"/>
              <w:rPr>
                <w:sz w:val="21"/>
              </w:rPr>
            </w:pPr>
            <w:r>
              <w:rPr>
                <w:sz w:val="21"/>
              </w:rPr>
              <w:t>202</w:t>
            </w:r>
            <w:r>
              <w:rPr>
                <w:rFonts w:hint="eastAsia"/>
                <w:sz w:val="21"/>
                <w:lang w:val="en-US" w:eastAsia="zh-CN"/>
              </w:rPr>
              <w:t>1</w:t>
            </w:r>
            <w:r>
              <w:rPr>
                <w:sz w:val="21"/>
              </w:rPr>
              <w:t>年</w:t>
            </w:r>
            <w:r>
              <w:rPr>
                <w:rFonts w:hint="eastAsia"/>
                <w:sz w:val="21"/>
                <w:lang w:val="en-US" w:eastAsia="zh-CN"/>
              </w:rPr>
              <w:t>10</w:t>
            </w:r>
            <w:r>
              <w:rPr>
                <w:sz w:val="21"/>
              </w:rPr>
              <w:t>月</w:t>
            </w:r>
            <w:r>
              <w:rPr>
                <w:rFonts w:hint="eastAsia"/>
                <w:sz w:val="21"/>
                <w:lang w:val="en-US" w:eastAsia="zh-CN"/>
              </w:rPr>
              <w:t>13</w:t>
            </w:r>
            <w:r>
              <w:rPr>
                <w:sz w:val="21"/>
              </w:rPr>
              <w:t>日 18 时前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44" w:type="dxa"/>
          </w:tcPr>
          <w:p>
            <w:pPr>
              <w:pStyle w:val="22"/>
              <w:spacing w:before="5"/>
              <w:jc w:val="left"/>
              <w:rPr>
                <w:b/>
                <w:sz w:val="29"/>
              </w:rPr>
            </w:pPr>
          </w:p>
          <w:p>
            <w:pPr>
              <w:pStyle w:val="22"/>
              <w:ind w:left="184" w:right="172"/>
              <w:rPr>
                <w:rFonts w:ascii="Times New Roman"/>
                <w:sz w:val="21"/>
              </w:rPr>
            </w:pPr>
            <w:r>
              <w:rPr>
                <w:rFonts w:ascii="Times New Roman"/>
                <w:sz w:val="21"/>
              </w:rPr>
              <w:t>2.2.3</w:t>
            </w:r>
          </w:p>
        </w:tc>
        <w:tc>
          <w:tcPr>
            <w:tcW w:w="2458" w:type="dxa"/>
          </w:tcPr>
          <w:p>
            <w:pPr>
              <w:pStyle w:val="22"/>
              <w:spacing w:before="142"/>
              <w:ind w:left="107"/>
              <w:jc w:val="left"/>
              <w:rPr>
                <w:sz w:val="21"/>
              </w:rPr>
            </w:pPr>
            <w:r>
              <w:rPr>
                <w:sz w:val="21"/>
              </w:rPr>
              <w:t>投标人确认收到招标文</w:t>
            </w:r>
          </w:p>
          <w:p>
            <w:pPr>
              <w:pStyle w:val="22"/>
              <w:spacing w:before="173"/>
              <w:ind w:left="107"/>
              <w:jc w:val="left"/>
              <w:rPr>
                <w:sz w:val="21"/>
              </w:rPr>
            </w:pPr>
            <w:r>
              <w:rPr>
                <w:sz w:val="21"/>
              </w:rPr>
              <w:t>件澄清时间</w:t>
            </w:r>
          </w:p>
        </w:tc>
        <w:tc>
          <w:tcPr>
            <w:tcW w:w="6017" w:type="dxa"/>
          </w:tcPr>
          <w:p>
            <w:pPr>
              <w:pStyle w:val="22"/>
              <w:spacing w:before="3"/>
              <w:jc w:val="left"/>
              <w:rPr>
                <w:b/>
                <w:sz w:val="27"/>
              </w:rPr>
            </w:pPr>
          </w:p>
          <w:p>
            <w:pPr>
              <w:pStyle w:val="22"/>
              <w:ind w:left="109"/>
              <w:jc w:val="left"/>
              <w:rPr>
                <w:sz w:val="21"/>
              </w:rPr>
            </w:pPr>
            <w:r>
              <w:rPr>
                <w:sz w:val="21"/>
              </w:rPr>
              <w:t>投标人自行网上查询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44" w:type="dxa"/>
          </w:tcPr>
          <w:p>
            <w:pPr>
              <w:pStyle w:val="22"/>
              <w:spacing w:before="5"/>
              <w:jc w:val="left"/>
              <w:rPr>
                <w:b/>
                <w:sz w:val="29"/>
              </w:rPr>
            </w:pPr>
          </w:p>
          <w:p>
            <w:pPr>
              <w:pStyle w:val="22"/>
              <w:ind w:left="184" w:right="172"/>
              <w:rPr>
                <w:rFonts w:ascii="Times New Roman"/>
                <w:sz w:val="21"/>
              </w:rPr>
            </w:pPr>
            <w:r>
              <w:rPr>
                <w:rFonts w:ascii="Times New Roman"/>
                <w:sz w:val="21"/>
              </w:rPr>
              <w:t>2.3.2</w:t>
            </w:r>
          </w:p>
        </w:tc>
        <w:tc>
          <w:tcPr>
            <w:tcW w:w="2458" w:type="dxa"/>
          </w:tcPr>
          <w:p>
            <w:pPr>
              <w:pStyle w:val="22"/>
              <w:spacing w:line="440" w:lineRule="exact"/>
              <w:ind w:left="107" w:right="91"/>
              <w:jc w:val="left"/>
              <w:rPr>
                <w:sz w:val="21"/>
              </w:rPr>
            </w:pPr>
            <w:r>
              <w:rPr>
                <w:sz w:val="21"/>
              </w:rPr>
              <w:t>投标人确认收到招标文件修改时间</w:t>
            </w:r>
          </w:p>
        </w:tc>
        <w:tc>
          <w:tcPr>
            <w:tcW w:w="6017" w:type="dxa"/>
          </w:tcPr>
          <w:p>
            <w:pPr>
              <w:pStyle w:val="22"/>
              <w:spacing w:before="3"/>
              <w:jc w:val="left"/>
              <w:rPr>
                <w:b/>
                <w:sz w:val="27"/>
              </w:rPr>
            </w:pPr>
          </w:p>
          <w:p>
            <w:pPr>
              <w:pStyle w:val="22"/>
              <w:ind w:left="109"/>
              <w:jc w:val="left"/>
              <w:rPr>
                <w:sz w:val="21"/>
              </w:rPr>
            </w:pPr>
            <w:r>
              <w:rPr>
                <w:sz w:val="21"/>
              </w:rPr>
              <w:t>投标人自行网上查询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044" w:type="dxa"/>
          </w:tcPr>
          <w:p>
            <w:pPr>
              <w:pStyle w:val="22"/>
              <w:spacing w:before="3"/>
              <w:jc w:val="left"/>
              <w:rPr>
                <w:b/>
                <w:sz w:val="26"/>
              </w:rPr>
            </w:pPr>
          </w:p>
          <w:p>
            <w:pPr>
              <w:pStyle w:val="22"/>
              <w:ind w:left="184" w:right="172"/>
              <w:rPr>
                <w:rFonts w:ascii="Times New Roman"/>
                <w:sz w:val="21"/>
              </w:rPr>
            </w:pPr>
            <w:r>
              <w:rPr>
                <w:rFonts w:ascii="Times New Roman"/>
                <w:sz w:val="21"/>
              </w:rPr>
              <w:t>3.1.1</w:t>
            </w:r>
          </w:p>
        </w:tc>
        <w:tc>
          <w:tcPr>
            <w:tcW w:w="2458" w:type="dxa"/>
          </w:tcPr>
          <w:p>
            <w:pPr>
              <w:pStyle w:val="22"/>
              <w:spacing w:before="2"/>
              <w:jc w:val="left"/>
              <w:rPr>
                <w:b/>
                <w:sz w:val="25"/>
              </w:rPr>
            </w:pPr>
          </w:p>
          <w:p>
            <w:pPr>
              <w:pStyle w:val="22"/>
              <w:ind w:left="107"/>
              <w:jc w:val="left"/>
              <w:rPr>
                <w:sz w:val="21"/>
              </w:rPr>
            </w:pPr>
            <w:r>
              <w:rPr>
                <w:sz w:val="21"/>
              </w:rPr>
              <w:t>投标文件的组成</w:t>
            </w:r>
          </w:p>
        </w:tc>
        <w:tc>
          <w:tcPr>
            <w:tcW w:w="6017" w:type="dxa"/>
          </w:tcPr>
          <w:p>
            <w:pPr>
              <w:pStyle w:val="22"/>
              <w:spacing w:before="109"/>
              <w:ind w:left="109"/>
              <w:jc w:val="left"/>
              <w:rPr>
                <w:sz w:val="21"/>
              </w:rPr>
            </w:pPr>
            <w:r>
              <w:rPr>
                <w:sz w:val="21"/>
              </w:rPr>
              <w:t>投标文件一般包括资信文件、商务文件、技术文件等，详见投标</w:t>
            </w:r>
          </w:p>
          <w:p>
            <w:pPr>
              <w:pStyle w:val="22"/>
              <w:spacing w:before="131"/>
              <w:ind w:left="109"/>
              <w:jc w:val="left"/>
              <w:rPr>
                <w:sz w:val="21"/>
              </w:rPr>
            </w:pPr>
            <w:r>
              <w:rPr>
                <w:sz w:val="21"/>
              </w:rPr>
              <w:t xml:space="preserve">人须知 </w:t>
            </w:r>
            <w:r>
              <w:rPr>
                <w:rFonts w:ascii="Times New Roman" w:eastAsia="Times New Roman"/>
                <w:sz w:val="21"/>
              </w:rPr>
              <w:t xml:space="preserve">3.1 </w:t>
            </w:r>
            <w:r>
              <w:rPr>
                <w:sz w:val="21"/>
              </w:rPr>
              <w:t>投标文件的组成。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044" w:type="dxa"/>
          </w:tcPr>
          <w:p>
            <w:pPr>
              <w:pStyle w:val="22"/>
              <w:spacing w:before="197"/>
              <w:ind w:left="184" w:right="172"/>
              <w:rPr>
                <w:rFonts w:ascii="Times New Roman"/>
                <w:sz w:val="21"/>
              </w:rPr>
            </w:pPr>
            <w:r>
              <w:rPr>
                <w:rFonts w:ascii="Times New Roman"/>
                <w:sz w:val="21"/>
              </w:rPr>
              <w:t>3.1.3</w:t>
            </w:r>
          </w:p>
        </w:tc>
        <w:tc>
          <w:tcPr>
            <w:tcW w:w="2458" w:type="dxa"/>
          </w:tcPr>
          <w:p>
            <w:pPr>
              <w:pStyle w:val="22"/>
              <w:spacing w:before="3"/>
              <w:jc w:val="left"/>
              <w:rPr>
                <w:b/>
                <w:sz w:val="14"/>
              </w:rPr>
            </w:pPr>
          </w:p>
          <w:p>
            <w:pPr>
              <w:pStyle w:val="22"/>
              <w:spacing w:before="1"/>
              <w:ind w:left="107"/>
              <w:jc w:val="left"/>
              <w:rPr>
                <w:sz w:val="21"/>
              </w:rPr>
            </w:pPr>
            <w:r>
              <w:rPr>
                <w:sz w:val="21"/>
              </w:rPr>
              <w:t>须提交核验的原件材料</w:t>
            </w:r>
          </w:p>
        </w:tc>
        <w:tc>
          <w:tcPr>
            <w:tcW w:w="6017" w:type="dxa"/>
          </w:tcPr>
          <w:p>
            <w:pPr>
              <w:pStyle w:val="22"/>
              <w:spacing w:before="183"/>
              <w:ind w:left="109"/>
              <w:jc w:val="left"/>
              <w:rPr>
                <w:sz w:val="21"/>
              </w:rPr>
            </w:pPr>
            <w:r>
              <w:rPr>
                <w:sz w:val="21"/>
              </w:rPr>
              <w:t xml:space="preserve">详见投标人须知 </w:t>
            </w:r>
            <w:r>
              <w:rPr>
                <w:rFonts w:ascii="Times New Roman" w:eastAsia="Times New Roman"/>
                <w:sz w:val="21"/>
              </w:rPr>
              <w:t xml:space="preserve">3.1 </w:t>
            </w:r>
            <w:r>
              <w:rPr>
                <w:sz w:val="21"/>
              </w:rPr>
              <w:t>投标文件的组成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0" w:hRule="atLeast"/>
        </w:trPr>
        <w:tc>
          <w:tcPr>
            <w:tcW w:w="1044" w:type="dxa"/>
          </w:tcPr>
          <w:p>
            <w:pPr>
              <w:pStyle w:val="22"/>
              <w:jc w:val="left"/>
              <w:rPr>
                <w:b/>
                <w:sz w:val="22"/>
              </w:rPr>
            </w:pPr>
          </w:p>
          <w:p>
            <w:pPr>
              <w:pStyle w:val="22"/>
              <w:jc w:val="left"/>
              <w:rPr>
                <w:b/>
                <w:sz w:val="22"/>
              </w:rPr>
            </w:pPr>
          </w:p>
          <w:p>
            <w:pPr>
              <w:pStyle w:val="22"/>
              <w:jc w:val="left"/>
              <w:rPr>
                <w:b/>
                <w:sz w:val="22"/>
              </w:rPr>
            </w:pPr>
          </w:p>
          <w:p>
            <w:pPr>
              <w:pStyle w:val="22"/>
              <w:jc w:val="left"/>
              <w:rPr>
                <w:b/>
                <w:sz w:val="22"/>
              </w:rPr>
            </w:pPr>
          </w:p>
          <w:p>
            <w:pPr>
              <w:pStyle w:val="22"/>
              <w:jc w:val="left"/>
              <w:rPr>
                <w:b/>
                <w:sz w:val="22"/>
              </w:rPr>
            </w:pPr>
          </w:p>
          <w:p>
            <w:pPr>
              <w:pStyle w:val="22"/>
              <w:jc w:val="left"/>
              <w:rPr>
                <w:b/>
                <w:sz w:val="22"/>
              </w:rPr>
            </w:pPr>
          </w:p>
          <w:p>
            <w:pPr>
              <w:pStyle w:val="22"/>
              <w:jc w:val="left"/>
              <w:rPr>
                <w:b/>
                <w:sz w:val="22"/>
              </w:rPr>
            </w:pPr>
          </w:p>
          <w:p>
            <w:pPr>
              <w:pStyle w:val="22"/>
              <w:jc w:val="left"/>
              <w:rPr>
                <w:b/>
                <w:sz w:val="22"/>
              </w:rPr>
            </w:pPr>
          </w:p>
          <w:p>
            <w:pPr>
              <w:pStyle w:val="22"/>
              <w:jc w:val="left"/>
              <w:rPr>
                <w:b/>
                <w:sz w:val="22"/>
              </w:rPr>
            </w:pPr>
          </w:p>
          <w:p>
            <w:pPr>
              <w:pStyle w:val="22"/>
              <w:jc w:val="left"/>
              <w:rPr>
                <w:b/>
                <w:sz w:val="22"/>
              </w:rPr>
            </w:pPr>
          </w:p>
          <w:p>
            <w:pPr>
              <w:pStyle w:val="22"/>
              <w:spacing w:before="11"/>
              <w:jc w:val="left"/>
              <w:rPr>
                <w:b/>
                <w:sz w:val="24"/>
              </w:rPr>
            </w:pPr>
          </w:p>
          <w:p>
            <w:pPr>
              <w:pStyle w:val="22"/>
              <w:ind w:left="184" w:right="172"/>
              <w:rPr>
                <w:rFonts w:ascii="Times New Roman"/>
                <w:sz w:val="21"/>
              </w:rPr>
            </w:pPr>
            <w:r>
              <w:rPr>
                <w:rFonts w:ascii="Times New Roman"/>
                <w:sz w:val="21"/>
              </w:rPr>
              <w:t>3.2.2</w:t>
            </w:r>
          </w:p>
        </w:tc>
        <w:tc>
          <w:tcPr>
            <w:tcW w:w="2458" w:type="dxa"/>
          </w:tcPr>
          <w:p>
            <w:pPr>
              <w:pStyle w:val="22"/>
              <w:jc w:val="left"/>
              <w:rPr>
                <w:b/>
                <w:sz w:val="20"/>
              </w:rPr>
            </w:pPr>
          </w:p>
          <w:p>
            <w:pPr>
              <w:pStyle w:val="22"/>
              <w:jc w:val="left"/>
              <w:rPr>
                <w:b/>
                <w:sz w:val="20"/>
              </w:rPr>
            </w:pPr>
          </w:p>
          <w:p>
            <w:pPr>
              <w:pStyle w:val="22"/>
              <w:jc w:val="left"/>
              <w:rPr>
                <w:b/>
                <w:sz w:val="20"/>
              </w:rPr>
            </w:pPr>
          </w:p>
          <w:p>
            <w:pPr>
              <w:pStyle w:val="22"/>
              <w:jc w:val="left"/>
              <w:rPr>
                <w:b/>
                <w:sz w:val="20"/>
              </w:rPr>
            </w:pPr>
          </w:p>
          <w:p>
            <w:pPr>
              <w:pStyle w:val="22"/>
              <w:jc w:val="left"/>
              <w:rPr>
                <w:b/>
                <w:sz w:val="20"/>
              </w:rPr>
            </w:pPr>
          </w:p>
          <w:p>
            <w:pPr>
              <w:pStyle w:val="22"/>
              <w:jc w:val="left"/>
              <w:rPr>
                <w:b/>
                <w:sz w:val="20"/>
              </w:rPr>
            </w:pPr>
          </w:p>
          <w:p>
            <w:pPr>
              <w:pStyle w:val="22"/>
              <w:jc w:val="left"/>
              <w:rPr>
                <w:b/>
                <w:sz w:val="20"/>
              </w:rPr>
            </w:pPr>
          </w:p>
          <w:p>
            <w:pPr>
              <w:pStyle w:val="22"/>
              <w:jc w:val="left"/>
              <w:rPr>
                <w:b/>
                <w:sz w:val="20"/>
              </w:rPr>
            </w:pPr>
          </w:p>
          <w:p>
            <w:pPr>
              <w:pStyle w:val="22"/>
              <w:jc w:val="left"/>
              <w:rPr>
                <w:b/>
                <w:sz w:val="20"/>
              </w:rPr>
            </w:pPr>
          </w:p>
          <w:p>
            <w:pPr>
              <w:pStyle w:val="22"/>
              <w:jc w:val="left"/>
              <w:rPr>
                <w:b/>
                <w:sz w:val="20"/>
              </w:rPr>
            </w:pPr>
          </w:p>
          <w:p>
            <w:pPr>
              <w:pStyle w:val="22"/>
              <w:jc w:val="left"/>
              <w:rPr>
                <w:b/>
                <w:sz w:val="20"/>
              </w:rPr>
            </w:pPr>
          </w:p>
          <w:p>
            <w:pPr>
              <w:pStyle w:val="22"/>
              <w:spacing w:before="9"/>
              <w:jc w:val="left"/>
              <w:rPr>
                <w:b/>
                <w:sz w:val="23"/>
              </w:rPr>
            </w:pPr>
          </w:p>
          <w:p>
            <w:pPr>
              <w:pStyle w:val="22"/>
              <w:spacing w:before="1"/>
              <w:ind w:left="107"/>
              <w:jc w:val="left"/>
              <w:rPr>
                <w:sz w:val="21"/>
              </w:rPr>
            </w:pPr>
            <w:r>
              <w:rPr>
                <w:sz w:val="21"/>
              </w:rPr>
              <w:t>投标报价要求</w:t>
            </w:r>
          </w:p>
        </w:tc>
        <w:tc>
          <w:tcPr>
            <w:tcW w:w="6017" w:type="dxa"/>
          </w:tcPr>
          <w:p>
            <w:pPr>
              <w:pStyle w:val="22"/>
              <w:spacing w:before="109" w:line="357" w:lineRule="auto"/>
              <w:ind w:left="109" w:right="-15"/>
              <w:jc w:val="left"/>
              <w:rPr>
                <w:sz w:val="21"/>
              </w:rPr>
            </w:pPr>
            <w:r>
              <w:rPr>
                <w:spacing w:val="-6"/>
                <w:sz w:val="21"/>
              </w:rPr>
              <w:t>投标报价应包括完成本项目实施期间所必须的方案深化设计、货</w:t>
            </w:r>
            <w:r>
              <w:rPr>
                <w:spacing w:val="-4"/>
                <w:sz w:val="21"/>
              </w:rPr>
              <w:t>款、加工制造、标准附件、备品备件、专用工具、包装、运输、</w:t>
            </w:r>
            <w:r>
              <w:rPr>
                <w:spacing w:val="-9"/>
                <w:sz w:val="21"/>
              </w:rPr>
              <w:t>装卸、安装、检测【包括海关</w:t>
            </w:r>
            <w:r>
              <w:rPr>
                <w:spacing w:val="-3"/>
                <w:sz w:val="21"/>
              </w:rPr>
              <w:t>（如采用进口件</w:t>
            </w:r>
            <w:r>
              <w:rPr>
                <w:spacing w:val="-15"/>
                <w:sz w:val="21"/>
              </w:rPr>
              <w:t>）</w:t>
            </w:r>
            <w:r>
              <w:rPr>
                <w:spacing w:val="-7"/>
                <w:sz w:val="21"/>
              </w:rPr>
              <w:t>、商检、技术质</w:t>
            </w:r>
            <w:r>
              <w:rPr>
                <w:spacing w:val="-8"/>
                <w:sz w:val="21"/>
              </w:rPr>
              <w:t>量监督局检测费用和验收费用、进口件的海关验货等</w:t>
            </w:r>
            <w:r>
              <w:rPr>
                <w:spacing w:val="-48"/>
                <w:sz w:val="21"/>
              </w:rPr>
              <w:t>）</w:t>
            </w:r>
            <w:r>
              <w:rPr>
                <w:spacing w:val="-20"/>
                <w:sz w:val="21"/>
              </w:rPr>
              <w:t>】、调试、</w:t>
            </w:r>
            <w:r>
              <w:rPr>
                <w:spacing w:val="-13"/>
                <w:sz w:val="21"/>
              </w:rPr>
              <w:t>试运行直至验收合格、保修、保险、利润、税费【主要进口部件</w:t>
            </w:r>
            <w:r>
              <w:rPr>
                <w:spacing w:val="-11"/>
                <w:sz w:val="21"/>
              </w:rPr>
              <w:t>及零件进口关税款</w:t>
            </w:r>
            <w:r>
              <w:rPr>
                <w:sz w:val="21"/>
              </w:rPr>
              <w:t>（</w:t>
            </w:r>
            <w:r>
              <w:rPr>
                <w:spacing w:val="-3"/>
                <w:sz w:val="21"/>
              </w:rPr>
              <w:t>如有</w:t>
            </w:r>
            <w:r>
              <w:rPr>
                <w:spacing w:val="-41"/>
                <w:sz w:val="21"/>
              </w:rPr>
              <w:t>）</w:t>
            </w:r>
            <w:r>
              <w:rPr>
                <w:spacing w:val="-3"/>
                <w:sz w:val="21"/>
              </w:rPr>
              <w:t>及中国政府根据现行税法对卖方征收</w:t>
            </w:r>
            <w:r>
              <w:rPr>
                <w:spacing w:val="-13"/>
                <w:sz w:val="21"/>
              </w:rPr>
              <w:t xml:space="preserve">的与本合同有关的一切税费，本项目需提供税率为 </w:t>
            </w:r>
            <w:r>
              <w:rPr>
                <w:rFonts w:ascii="Times New Roman" w:eastAsia="Times New Roman"/>
                <w:sz w:val="21"/>
              </w:rPr>
              <w:t>13%</w:t>
            </w:r>
            <w:r>
              <w:rPr>
                <w:spacing w:val="-2"/>
                <w:sz w:val="21"/>
              </w:rPr>
              <w:t>的增值税</w:t>
            </w:r>
            <w:r>
              <w:rPr>
                <w:spacing w:val="-11"/>
                <w:sz w:val="21"/>
              </w:rPr>
              <w:t>专用发票】、风险费、售后服务、资金成本、垃圾清运、成品保</w:t>
            </w:r>
            <w:r>
              <w:rPr>
                <w:spacing w:val="-12"/>
                <w:sz w:val="21"/>
              </w:rPr>
              <w:t>护、特殊条件施工增加费用、质保期内的所有检测及免费提供设</w:t>
            </w:r>
            <w:r>
              <w:rPr>
                <w:spacing w:val="-11"/>
                <w:sz w:val="21"/>
              </w:rPr>
              <w:t>备运行所必须的备品备件和专用工具费、施工期间配合协调费用</w:t>
            </w:r>
            <w:r>
              <w:rPr>
                <w:spacing w:val="-13"/>
                <w:sz w:val="21"/>
              </w:rPr>
              <w:t>及管理费、人员培训、售后服务、企业管理费、不</w:t>
            </w:r>
            <w:r>
              <w:rPr>
                <w:spacing w:val="-15"/>
                <w:sz w:val="21"/>
              </w:rPr>
              <w:t>可预见费</w:t>
            </w:r>
            <w:r>
              <w:rPr>
                <w:spacing w:val="-3"/>
                <w:sz w:val="21"/>
              </w:rPr>
              <w:t>（</w:t>
            </w:r>
            <w:r>
              <w:rPr>
                <w:spacing w:val="-6"/>
                <w:sz w:val="21"/>
              </w:rPr>
              <w:t>应充分考虑所有风险、责任等</w:t>
            </w:r>
            <w:r>
              <w:rPr>
                <w:spacing w:val="-27"/>
                <w:sz w:val="21"/>
              </w:rPr>
              <w:t>）</w:t>
            </w:r>
            <w:r>
              <w:rPr>
                <w:spacing w:val="-3"/>
                <w:sz w:val="21"/>
              </w:rPr>
              <w:t>等所需的为完成本项</w:t>
            </w:r>
            <w:r>
              <w:rPr>
                <w:spacing w:val="-8"/>
                <w:sz w:val="21"/>
              </w:rPr>
              <w:t>目交付采购人使用的全部费用的价格体现。投标所报单价为最终</w:t>
            </w:r>
            <w:r>
              <w:rPr>
                <w:spacing w:val="-11"/>
                <w:sz w:val="21"/>
              </w:rPr>
              <w:t>结算单价，因特殊原因并经买卖双方协商同意，投标人不得再要</w:t>
            </w:r>
            <w:r>
              <w:rPr>
                <w:spacing w:val="-12"/>
                <w:sz w:val="21"/>
              </w:rPr>
              <w:t>求追加任何费用。同时，除非合同条款中另有规定，否则，投标</w:t>
            </w:r>
          </w:p>
          <w:p>
            <w:pPr>
              <w:pStyle w:val="22"/>
              <w:spacing w:line="255" w:lineRule="exact"/>
              <w:ind w:left="109"/>
              <w:jc w:val="left"/>
              <w:rPr>
                <w:sz w:val="21"/>
              </w:rPr>
            </w:pPr>
            <w:r>
              <w:rPr>
                <w:sz w:val="21"/>
              </w:rPr>
              <w:t>单位所报单价在合同实施期间不因市场变化因素而变动。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44" w:type="dxa"/>
          </w:tcPr>
          <w:p>
            <w:pPr>
              <w:pStyle w:val="22"/>
              <w:spacing w:before="156"/>
              <w:ind w:left="184" w:right="172"/>
              <w:rPr>
                <w:rFonts w:ascii="Times New Roman"/>
                <w:sz w:val="21"/>
              </w:rPr>
            </w:pPr>
            <w:r>
              <w:rPr>
                <w:rFonts w:ascii="Times New Roman"/>
                <w:sz w:val="21"/>
              </w:rPr>
              <w:t>3.2.3</w:t>
            </w:r>
          </w:p>
        </w:tc>
        <w:tc>
          <w:tcPr>
            <w:tcW w:w="2458" w:type="dxa"/>
          </w:tcPr>
          <w:p>
            <w:pPr>
              <w:pStyle w:val="22"/>
              <w:spacing w:before="142"/>
              <w:ind w:left="107"/>
              <w:jc w:val="left"/>
              <w:rPr>
                <w:sz w:val="21"/>
              </w:rPr>
            </w:pPr>
            <w:r>
              <w:rPr>
                <w:sz w:val="21"/>
              </w:rPr>
              <w:t>最高投标限价</w:t>
            </w:r>
          </w:p>
        </w:tc>
        <w:tc>
          <w:tcPr>
            <w:tcW w:w="6017" w:type="dxa"/>
          </w:tcPr>
          <w:p>
            <w:pPr>
              <w:pStyle w:val="22"/>
              <w:spacing w:before="142"/>
              <w:ind w:left="109"/>
              <w:jc w:val="left"/>
              <w:rPr>
                <w:sz w:val="21"/>
              </w:rPr>
            </w:pPr>
            <w:r>
              <w:rPr>
                <w:sz w:val="21"/>
              </w:rPr>
              <w:t>详见招标公告</w:t>
            </w:r>
          </w:p>
        </w:tc>
      </w:tr>
    </w:tbl>
    <w:p>
      <w:pPr>
        <w:spacing w:after="0"/>
        <w:jc w:val="left"/>
        <w:rPr>
          <w:sz w:val="21"/>
        </w:rPr>
        <w:sectPr>
          <w:pgSz w:w="11910" w:h="16840"/>
          <w:pgMar w:top="1420" w:right="580" w:bottom="1580" w:left="740" w:header="0" w:footer="1399" w:gutter="0"/>
          <w:pgNumType w:fmt="decimal"/>
          <w:cols w:space="720" w:num="1"/>
        </w:sectPr>
      </w:pPr>
    </w:p>
    <w:tbl>
      <w:tblPr>
        <w:tblStyle w:val="15"/>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2458"/>
        <w:gridCol w:w="6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44" w:type="dxa"/>
          </w:tcPr>
          <w:p>
            <w:pPr>
              <w:pStyle w:val="22"/>
              <w:spacing w:before="156"/>
              <w:ind w:left="184" w:right="172"/>
              <w:rPr>
                <w:rFonts w:ascii="Times New Roman"/>
                <w:sz w:val="21"/>
              </w:rPr>
            </w:pPr>
            <w:r>
              <w:rPr>
                <w:rFonts w:ascii="Times New Roman"/>
                <w:sz w:val="21"/>
              </w:rPr>
              <w:t>3.3.1</w:t>
            </w:r>
          </w:p>
        </w:tc>
        <w:tc>
          <w:tcPr>
            <w:tcW w:w="2458" w:type="dxa"/>
          </w:tcPr>
          <w:p>
            <w:pPr>
              <w:pStyle w:val="22"/>
              <w:spacing w:before="142"/>
              <w:ind w:left="107"/>
              <w:jc w:val="left"/>
              <w:rPr>
                <w:sz w:val="21"/>
              </w:rPr>
            </w:pPr>
            <w:r>
              <w:rPr>
                <w:sz w:val="21"/>
              </w:rPr>
              <w:t>投标有效期</w:t>
            </w:r>
          </w:p>
        </w:tc>
        <w:tc>
          <w:tcPr>
            <w:tcW w:w="6017" w:type="dxa"/>
          </w:tcPr>
          <w:p>
            <w:pPr>
              <w:pStyle w:val="22"/>
              <w:spacing w:before="142"/>
              <w:ind w:left="109"/>
              <w:jc w:val="left"/>
              <w:rPr>
                <w:sz w:val="21"/>
              </w:rPr>
            </w:pPr>
            <w:r>
              <w:rPr>
                <w:rFonts w:ascii="Times New Roman" w:eastAsia="Times New Roman"/>
                <w:sz w:val="21"/>
                <w:u w:val="single"/>
              </w:rPr>
              <w:t>45</w:t>
            </w:r>
            <w:r>
              <w:rPr>
                <w:rFonts w:ascii="Times New Roman" w:eastAsia="Times New Roman"/>
                <w:sz w:val="21"/>
              </w:rPr>
              <w:t xml:space="preserve"> </w:t>
            </w:r>
            <w:r>
              <w:rPr>
                <w:sz w:val="21"/>
              </w:rPr>
              <w:t>日（从投标截止之日算起）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44" w:type="dxa"/>
          </w:tcPr>
          <w:p>
            <w:pPr>
              <w:pStyle w:val="22"/>
              <w:spacing w:before="5"/>
              <w:jc w:val="left"/>
              <w:rPr>
                <w:b/>
                <w:sz w:val="29"/>
              </w:rPr>
            </w:pPr>
          </w:p>
          <w:p>
            <w:pPr>
              <w:pStyle w:val="22"/>
              <w:ind w:left="184" w:right="172"/>
              <w:rPr>
                <w:rFonts w:ascii="Times New Roman"/>
                <w:sz w:val="21"/>
              </w:rPr>
            </w:pPr>
            <w:r>
              <w:rPr>
                <w:rFonts w:ascii="Times New Roman"/>
                <w:sz w:val="21"/>
              </w:rPr>
              <w:t>3.6</w:t>
            </w:r>
          </w:p>
        </w:tc>
        <w:tc>
          <w:tcPr>
            <w:tcW w:w="2458" w:type="dxa"/>
          </w:tcPr>
          <w:p>
            <w:pPr>
              <w:pStyle w:val="22"/>
              <w:spacing w:before="142"/>
              <w:ind w:left="107"/>
              <w:jc w:val="left"/>
              <w:rPr>
                <w:sz w:val="21"/>
              </w:rPr>
            </w:pPr>
            <w:r>
              <w:rPr>
                <w:sz w:val="21"/>
              </w:rPr>
              <w:t>是否允许递交备选</w:t>
            </w:r>
          </w:p>
          <w:p>
            <w:pPr>
              <w:pStyle w:val="22"/>
              <w:spacing w:before="173"/>
              <w:ind w:left="107"/>
              <w:jc w:val="left"/>
              <w:rPr>
                <w:sz w:val="21"/>
              </w:rPr>
            </w:pPr>
            <w:r>
              <w:rPr>
                <w:sz w:val="21"/>
              </w:rPr>
              <w:t>投标方案</w:t>
            </w:r>
          </w:p>
        </w:tc>
        <w:tc>
          <w:tcPr>
            <w:tcW w:w="6017" w:type="dxa"/>
          </w:tcPr>
          <w:p>
            <w:pPr>
              <w:pStyle w:val="22"/>
              <w:spacing w:before="122"/>
              <w:ind w:left="107"/>
              <w:jc w:val="left"/>
              <w:rPr>
                <w:sz w:val="21"/>
              </w:rPr>
            </w:pPr>
            <w:r>
              <w:rPr>
                <w:spacing w:val="-209"/>
                <w:w w:val="100"/>
                <w:position w:val="2"/>
                <w:sz w:val="21"/>
              </w:rPr>
              <w:t>√</w:t>
            </w:r>
            <w:r>
              <w:rPr>
                <w:w w:val="100"/>
                <w:sz w:val="21"/>
              </w:rPr>
              <w:t>□不允许</w:t>
            </w:r>
          </w:p>
          <w:p>
            <w:pPr>
              <w:pStyle w:val="22"/>
              <w:spacing w:before="173"/>
              <w:ind w:left="109"/>
              <w:jc w:val="left"/>
              <w:rPr>
                <w:sz w:val="21"/>
              </w:rPr>
            </w:pPr>
            <w:r>
              <w:rPr>
                <w:sz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044" w:type="dxa"/>
          </w:tcPr>
          <w:p>
            <w:pPr>
              <w:pStyle w:val="22"/>
              <w:jc w:val="left"/>
              <w:rPr>
                <w:b/>
                <w:sz w:val="22"/>
              </w:rPr>
            </w:pPr>
          </w:p>
          <w:p>
            <w:pPr>
              <w:pStyle w:val="22"/>
              <w:spacing w:before="6"/>
              <w:jc w:val="left"/>
              <w:rPr>
                <w:b/>
                <w:sz w:val="24"/>
              </w:rPr>
            </w:pPr>
          </w:p>
          <w:p>
            <w:pPr>
              <w:pStyle w:val="22"/>
              <w:ind w:left="184" w:right="172"/>
              <w:rPr>
                <w:rFonts w:ascii="Times New Roman"/>
                <w:sz w:val="21"/>
              </w:rPr>
            </w:pPr>
            <w:r>
              <w:rPr>
                <w:rFonts w:ascii="Times New Roman"/>
                <w:sz w:val="21"/>
              </w:rPr>
              <w:t>3.</w:t>
            </w:r>
            <w:r>
              <w:rPr>
                <w:rFonts w:hint="eastAsia" w:ascii="Times New Roman"/>
                <w:sz w:val="21"/>
                <w:lang w:val="en-US" w:eastAsia="zh-CN"/>
              </w:rPr>
              <w:t>6</w:t>
            </w:r>
            <w:r>
              <w:rPr>
                <w:rFonts w:ascii="Times New Roman"/>
                <w:sz w:val="21"/>
              </w:rPr>
              <w:t>.3</w:t>
            </w:r>
          </w:p>
        </w:tc>
        <w:tc>
          <w:tcPr>
            <w:tcW w:w="2458" w:type="dxa"/>
          </w:tcPr>
          <w:p>
            <w:pPr>
              <w:pStyle w:val="22"/>
              <w:jc w:val="left"/>
              <w:rPr>
                <w:b/>
                <w:sz w:val="20"/>
              </w:rPr>
            </w:pPr>
          </w:p>
          <w:p>
            <w:pPr>
              <w:pStyle w:val="22"/>
              <w:spacing w:before="5"/>
              <w:jc w:val="left"/>
              <w:rPr>
                <w:b/>
                <w:sz w:val="25"/>
              </w:rPr>
            </w:pPr>
          </w:p>
          <w:p>
            <w:pPr>
              <w:pStyle w:val="22"/>
              <w:ind w:left="107"/>
              <w:jc w:val="left"/>
              <w:rPr>
                <w:sz w:val="21"/>
              </w:rPr>
            </w:pPr>
            <w:r>
              <w:rPr>
                <w:sz w:val="21"/>
              </w:rPr>
              <w:t>投标文件数量</w:t>
            </w:r>
          </w:p>
        </w:tc>
        <w:tc>
          <w:tcPr>
            <w:tcW w:w="6017" w:type="dxa"/>
          </w:tcPr>
          <w:p>
            <w:pPr>
              <w:pStyle w:val="22"/>
              <w:spacing w:before="142" w:line="391" w:lineRule="auto"/>
              <w:ind w:left="109" w:right="62"/>
              <w:jc w:val="left"/>
              <w:rPr>
                <w:sz w:val="21"/>
              </w:rPr>
            </w:pPr>
            <w:r>
              <w:rPr>
                <w:spacing w:val="1"/>
                <w:sz w:val="21"/>
              </w:rPr>
              <w:t>一式五份，正本一份，副本四份</w:t>
            </w:r>
            <w:r>
              <w:rPr>
                <w:sz w:val="21"/>
              </w:rPr>
              <w:t>（</w:t>
            </w:r>
            <w:r>
              <w:rPr>
                <w:spacing w:val="3"/>
                <w:sz w:val="21"/>
              </w:rPr>
              <w:t xml:space="preserve">投标文件的全部内容以 </w:t>
            </w:r>
            <w:r>
              <w:rPr>
                <w:sz w:val="21"/>
              </w:rPr>
              <w:t xml:space="preserve">PDF </w:t>
            </w:r>
            <w:r>
              <w:rPr>
                <w:spacing w:val="-6"/>
                <w:sz w:val="21"/>
              </w:rPr>
              <w:t xml:space="preserve">文档形式拷贝到投标人自备的 </w:t>
            </w:r>
            <w:r>
              <w:rPr>
                <w:sz w:val="21"/>
              </w:rPr>
              <w:t>U</w:t>
            </w:r>
            <w:r>
              <w:rPr>
                <w:spacing w:val="-17"/>
                <w:sz w:val="21"/>
              </w:rPr>
              <w:t xml:space="preserve"> 盘中</w:t>
            </w:r>
            <w:r>
              <w:rPr>
                <w:sz w:val="21"/>
              </w:rPr>
              <w:t>，U</w:t>
            </w:r>
            <w:r>
              <w:rPr>
                <w:spacing w:val="-8"/>
                <w:sz w:val="21"/>
              </w:rPr>
              <w:t xml:space="preserve"> 盘单独用信封包封后，</w:t>
            </w:r>
          </w:p>
          <w:p>
            <w:pPr>
              <w:pStyle w:val="22"/>
              <w:spacing w:before="4"/>
              <w:ind w:left="109"/>
              <w:jc w:val="left"/>
              <w:rPr>
                <w:sz w:val="21"/>
              </w:rPr>
            </w:pPr>
            <w:r>
              <w:rPr>
                <w:sz w:val="21"/>
              </w:rPr>
              <w:t>在信封面上加盖投标人公章,密封在投标文件中）。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044" w:type="dxa"/>
          </w:tcPr>
          <w:p>
            <w:pPr>
              <w:pStyle w:val="22"/>
              <w:jc w:val="left"/>
              <w:rPr>
                <w:b/>
                <w:sz w:val="22"/>
              </w:rPr>
            </w:pPr>
          </w:p>
          <w:p>
            <w:pPr>
              <w:pStyle w:val="22"/>
              <w:spacing w:before="4"/>
              <w:jc w:val="left"/>
              <w:rPr>
                <w:b/>
                <w:sz w:val="29"/>
              </w:rPr>
            </w:pPr>
          </w:p>
          <w:p>
            <w:pPr>
              <w:pStyle w:val="22"/>
              <w:ind w:left="184" w:right="172"/>
              <w:rPr>
                <w:rFonts w:ascii="Times New Roman"/>
                <w:sz w:val="21"/>
              </w:rPr>
            </w:pPr>
            <w:r>
              <w:rPr>
                <w:rFonts w:ascii="Times New Roman"/>
                <w:sz w:val="21"/>
              </w:rPr>
              <w:t>3.</w:t>
            </w:r>
            <w:r>
              <w:rPr>
                <w:rFonts w:hint="eastAsia" w:ascii="Times New Roman"/>
                <w:sz w:val="21"/>
                <w:lang w:val="en-US" w:eastAsia="zh-CN"/>
              </w:rPr>
              <w:t>6</w:t>
            </w:r>
            <w:r>
              <w:rPr>
                <w:rFonts w:ascii="Times New Roman"/>
                <w:sz w:val="21"/>
              </w:rPr>
              <w:t>.4</w:t>
            </w:r>
          </w:p>
        </w:tc>
        <w:tc>
          <w:tcPr>
            <w:tcW w:w="2458" w:type="dxa"/>
          </w:tcPr>
          <w:p>
            <w:pPr>
              <w:pStyle w:val="22"/>
              <w:jc w:val="left"/>
              <w:rPr>
                <w:b/>
                <w:sz w:val="20"/>
              </w:rPr>
            </w:pPr>
          </w:p>
          <w:p>
            <w:pPr>
              <w:pStyle w:val="22"/>
              <w:spacing w:before="9"/>
              <w:jc w:val="left"/>
              <w:rPr>
                <w:b/>
                <w:sz w:val="28"/>
              </w:rPr>
            </w:pPr>
          </w:p>
          <w:p>
            <w:pPr>
              <w:pStyle w:val="22"/>
              <w:spacing w:before="1"/>
              <w:ind w:left="107"/>
              <w:jc w:val="left"/>
              <w:rPr>
                <w:sz w:val="21"/>
              </w:rPr>
            </w:pPr>
            <w:r>
              <w:rPr>
                <w:sz w:val="21"/>
              </w:rPr>
              <w:t>投标文件装订要求</w:t>
            </w:r>
          </w:p>
        </w:tc>
        <w:tc>
          <w:tcPr>
            <w:tcW w:w="6017" w:type="dxa"/>
          </w:tcPr>
          <w:p>
            <w:pPr>
              <w:pStyle w:val="22"/>
              <w:spacing w:line="360" w:lineRule="exact"/>
              <w:ind w:left="109" w:right="89"/>
              <w:jc w:val="both"/>
              <w:rPr>
                <w:b/>
                <w:sz w:val="21"/>
              </w:rPr>
            </w:pPr>
            <w:r>
              <w:rPr>
                <w:spacing w:val="-9"/>
                <w:sz w:val="21"/>
              </w:rPr>
              <w:t>投标人应密封封装投标文件，密封袋包装封面上应注明投标人名</w:t>
            </w:r>
            <w:r>
              <w:rPr>
                <w:spacing w:val="-11"/>
                <w:sz w:val="21"/>
              </w:rPr>
              <w:t>称、投标项目名称、项目编号、“开标时启封”字样，并加盖投</w:t>
            </w:r>
            <w:r>
              <w:rPr>
                <w:spacing w:val="-14"/>
                <w:sz w:val="21"/>
              </w:rPr>
              <w:t>标人公章。</w:t>
            </w:r>
            <w:r>
              <w:rPr>
                <w:b/>
                <w:spacing w:val="-7"/>
                <w:sz w:val="21"/>
              </w:rPr>
              <w:t>投标文件不得采用活页夹、拉杆夹、夹杆夹等可拆换</w:t>
            </w:r>
            <w:r>
              <w:rPr>
                <w:b/>
                <w:sz w:val="21"/>
              </w:rPr>
              <w:t>内页的装订形式。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044" w:type="dxa"/>
          </w:tcPr>
          <w:p>
            <w:pPr>
              <w:pStyle w:val="22"/>
              <w:jc w:val="left"/>
              <w:rPr>
                <w:b/>
                <w:sz w:val="22"/>
              </w:rPr>
            </w:pPr>
          </w:p>
          <w:p>
            <w:pPr>
              <w:pStyle w:val="22"/>
              <w:spacing w:before="141"/>
              <w:ind w:left="184" w:right="172"/>
              <w:rPr>
                <w:rFonts w:ascii="Times New Roman"/>
                <w:sz w:val="21"/>
              </w:rPr>
            </w:pPr>
            <w:r>
              <w:rPr>
                <w:rFonts w:ascii="Times New Roman"/>
                <w:sz w:val="21"/>
              </w:rPr>
              <w:t>4.2.1</w:t>
            </w:r>
          </w:p>
        </w:tc>
        <w:tc>
          <w:tcPr>
            <w:tcW w:w="2458" w:type="dxa"/>
          </w:tcPr>
          <w:p>
            <w:pPr>
              <w:pStyle w:val="22"/>
              <w:spacing w:before="10"/>
              <w:jc w:val="left"/>
              <w:rPr>
                <w:b/>
                <w:sz w:val="19"/>
              </w:rPr>
            </w:pPr>
          </w:p>
          <w:p>
            <w:pPr>
              <w:pStyle w:val="22"/>
              <w:spacing w:line="338" w:lineRule="auto"/>
              <w:ind w:left="107" w:right="655"/>
              <w:jc w:val="left"/>
              <w:rPr>
                <w:sz w:val="21"/>
              </w:rPr>
            </w:pPr>
            <w:r>
              <w:rPr>
                <w:sz w:val="21"/>
              </w:rPr>
              <w:t>投标文件递交截止时间和地点</w:t>
            </w:r>
          </w:p>
        </w:tc>
        <w:tc>
          <w:tcPr>
            <w:tcW w:w="6017" w:type="dxa"/>
          </w:tcPr>
          <w:p>
            <w:pPr>
              <w:pStyle w:val="22"/>
              <w:spacing w:before="25" w:line="420" w:lineRule="exact"/>
              <w:ind w:left="109" w:right="89"/>
              <w:jc w:val="both"/>
              <w:rPr>
                <w:sz w:val="21"/>
              </w:rPr>
            </w:pPr>
            <w:r>
              <w:rPr>
                <w:rStyle w:val="23"/>
                <w:rFonts w:ascii="宋体" w:hAnsi="宋体"/>
                <w:b w:val="0"/>
                <w:i w:val="0"/>
                <w:caps w:val="0"/>
                <w:color w:val="000000"/>
                <w:spacing w:val="0"/>
                <w:w w:val="100"/>
                <w:kern w:val="2"/>
                <w:sz w:val="21"/>
                <w:szCs w:val="24"/>
                <w:lang w:val="en-US" w:eastAsia="zh-CN" w:bidi="ar-SA"/>
              </w:rPr>
              <w:t>时间：详见招标公告地点：详见招标公告，逾期送达或者未送达指定地点的投标文件，招标人不予受理</w:t>
            </w:r>
            <w:r>
              <w:rPr>
                <w:rStyle w:val="23"/>
                <w:rFonts w:hint="eastAsia"/>
                <w:b w:val="0"/>
                <w:i w:val="0"/>
                <w:caps w:val="0"/>
                <w:color w:val="000000"/>
                <w:spacing w:val="0"/>
                <w:w w:val="100"/>
                <w:kern w:val="2"/>
                <w:sz w:val="21"/>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1044" w:type="dxa"/>
          </w:tcPr>
          <w:p>
            <w:pPr>
              <w:pStyle w:val="22"/>
              <w:spacing w:before="12"/>
              <w:jc w:val="left"/>
              <w:rPr>
                <w:b/>
                <w:sz w:val="30"/>
              </w:rPr>
            </w:pPr>
          </w:p>
          <w:p>
            <w:pPr>
              <w:pStyle w:val="22"/>
              <w:ind w:left="184" w:right="172"/>
              <w:rPr>
                <w:rFonts w:ascii="Times New Roman"/>
                <w:sz w:val="21"/>
              </w:rPr>
            </w:pPr>
            <w:r>
              <w:rPr>
                <w:rFonts w:ascii="Times New Roman"/>
                <w:sz w:val="21"/>
              </w:rPr>
              <w:t>4.2.3</w:t>
            </w:r>
          </w:p>
        </w:tc>
        <w:tc>
          <w:tcPr>
            <w:tcW w:w="2458" w:type="dxa"/>
          </w:tcPr>
          <w:p>
            <w:pPr>
              <w:pStyle w:val="22"/>
              <w:spacing w:before="4"/>
              <w:jc w:val="left"/>
              <w:rPr>
                <w:b/>
                <w:sz w:val="28"/>
              </w:rPr>
            </w:pPr>
          </w:p>
          <w:p>
            <w:pPr>
              <w:pStyle w:val="22"/>
              <w:ind w:left="107"/>
              <w:jc w:val="left"/>
              <w:rPr>
                <w:sz w:val="21"/>
              </w:rPr>
            </w:pPr>
            <w:r>
              <w:rPr>
                <w:sz w:val="21"/>
              </w:rPr>
              <w:t>是否退还投标文件</w:t>
            </w:r>
          </w:p>
        </w:tc>
        <w:tc>
          <w:tcPr>
            <w:tcW w:w="6017" w:type="dxa"/>
          </w:tcPr>
          <w:p>
            <w:pPr>
              <w:pStyle w:val="22"/>
              <w:spacing w:before="9"/>
              <w:jc w:val="left"/>
              <w:rPr>
                <w:b/>
                <w:sz w:val="27"/>
              </w:rPr>
            </w:pPr>
          </w:p>
          <w:p>
            <w:pPr>
              <w:pStyle w:val="22"/>
              <w:ind w:left="107"/>
              <w:jc w:val="left"/>
              <w:rPr>
                <w:sz w:val="21"/>
              </w:rPr>
            </w:pPr>
            <w:r>
              <w:rPr>
                <w:spacing w:val="-209"/>
                <w:w w:val="100"/>
                <w:position w:val="2"/>
                <w:sz w:val="21"/>
              </w:rPr>
              <w:t>√</w:t>
            </w:r>
            <w:r>
              <w:rPr>
                <w:spacing w:val="-3"/>
                <w:w w:val="100"/>
                <w:sz w:val="21"/>
              </w:rPr>
              <w:t>□否，除相关原件外。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044" w:type="dxa"/>
          </w:tcPr>
          <w:p>
            <w:pPr>
              <w:pStyle w:val="22"/>
              <w:jc w:val="left"/>
              <w:rPr>
                <w:b/>
                <w:sz w:val="22"/>
              </w:rPr>
            </w:pPr>
          </w:p>
          <w:p>
            <w:pPr>
              <w:pStyle w:val="22"/>
              <w:spacing w:before="141"/>
              <w:ind w:left="184" w:right="172"/>
              <w:rPr>
                <w:rFonts w:ascii="Times New Roman"/>
                <w:sz w:val="21"/>
              </w:rPr>
            </w:pPr>
            <w:r>
              <w:rPr>
                <w:rFonts w:ascii="Times New Roman"/>
                <w:sz w:val="21"/>
              </w:rPr>
              <w:t>5.1</w:t>
            </w:r>
          </w:p>
        </w:tc>
        <w:tc>
          <w:tcPr>
            <w:tcW w:w="2458" w:type="dxa"/>
          </w:tcPr>
          <w:p>
            <w:pPr>
              <w:pStyle w:val="22"/>
              <w:ind w:left="107"/>
              <w:jc w:val="left"/>
              <w:rPr>
                <w:sz w:val="21"/>
              </w:rPr>
            </w:pPr>
          </w:p>
          <w:p>
            <w:pPr>
              <w:pStyle w:val="22"/>
              <w:ind w:left="107"/>
              <w:jc w:val="left"/>
              <w:rPr>
                <w:sz w:val="21"/>
              </w:rPr>
            </w:pPr>
            <w:r>
              <w:rPr>
                <w:sz w:val="21"/>
              </w:rPr>
              <w:t>开标时间和地点</w:t>
            </w:r>
          </w:p>
        </w:tc>
        <w:tc>
          <w:tcPr>
            <w:tcW w:w="6017" w:type="dxa"/>
          </w:tcPr>
          <w:p>
            <w:pPr>
              <w:pStyle w:val="22"/>
              <w:ind w:left="107"/>
              <w:jc w:val="left"/>
              <w:rPr>
                <w:sz w:val="21"/>
                <w:lang w:val="en-US" w:eastAsia="zh-CN"/>
              </w:rPr>
            </w:pPr>
          </w:p>
          <w:p>
            <w:pPr>
              <w:pStyle w:val="22"/>
              <w:ind w:left="107"/>
              <w:jc w:val="left"/>
              <w:rPr>
                <w:sz w:val="21"/>
              </w:rPr>
            </w:pPr>
            <w:r>
              <w:rPr>
                <w:sz w:val="21"/>
                <w:lang w:val="en-US" w:eastAsia="zh-CN"/>
              </w:rPr>
              <w:t>开标时间：同投标截止时间开标地点：本项采用不见面开标</w:t>
            </w:r>
            <w:r>
              <w:rPr>
                <w:rFonts w:hint="eastAsia"/>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1044" w:type="dxa"/>
          </w:tcPr>
          <w:p>
            <w:pPr>
              <w:pStyle w:val="22"/>
              <w:spacing w:before="12"/>
              <w:jc w:val="left"/>
              <w:rPr>
                <w:b/>
                <w:sz w:val="30"/>
              </w:rPr>
            </w:pPr>
          </w:p>
          <w:p>
            <w:pPr>
              <w:pStyle w:val="22"/>
              <w:ind w:left="184" w:right="172"/>
              <w:rPr>
                <w:rFonts w:ascii="Times New Roman"/>
                <w:sz w:val="21"/>
              </w:rPr>
            </w:pPr>
            <w:r>
              <w:rPr>
                <w:rFonts w:ascii="Times New Roman"/>
                <w:sz w:val="21"/>
              </w:rPr>
              <w:t>8.1</w:t>
            </w:r>
          </w:p>
        </w:tc>
        <w:tc>
          <w:tcPr>
            <w:tcW w:w="2458" w:type="dxa"/>
          </w:tcPr>
          <w:p>
            <w:pPr>
              <w:pStyle w:val="22"/>
              <w:spacing w:before="62" w:line="380" w:lineRule="atLeast"/>
              <w:ind w:left="107" w:right="91"/>
              <w:jc w:val="left"/>
              <w:rPr>
                <w:sz w:val="21"/>
              </w:rPr>
            </w:pPr>
            <w:r>
              <w:rPr>
                <w:sz w:val="21"/>
              </w:rPr>
              <w:t>是否授权评标委员会确定中标人</w:t>
            </w:r>
          </w:p>
        </w:tc>
        <w:tc>
          <w:tcPr>
            <w:tcW w:w="6017" w:type="dxa"/>
          </w:tcPr>
          <w:p>
            <w:pPr>
              <w:pStyle w:val="22"/>
              <w:spacing w:before="176"/>
              <w:ind w:left="109"/>
              <w:jc w:val="left"/>
              <w:rPr>
                <w:sz w:val="21"/>
              </w:rPr>
            </w:pPr>
            <w:r>
              <w:rPr>
                <w:sz w:val="21"/>
              </w:rPr>
              <w:t>□是</w:t>
            </w:r>
          </w:p>
          <w:p>
            <w:pPr>
              <w:pStyle w:val="22"/>
              <w:spacing w:before="71"/>
              <w:ind w:left="107"/>
              <w:jc w:val="left"/>
              <w:rPr>
                <w:sz w:val="21"/>
              </w:rPr>
            </w:pPr>
            <w:r>
              <w:rPr>
                <w:spacing w:val="-209"/>
                <w:w w:val="100"/>
                <w:position w:val="2"/>
                <w:sz w:val="21"/>
              </w:rPr>
              <w:t>√</w:t>
            </w:r>
            <w:r>
              <w:rPr>
                <w:spacing w:val="-1"/>
                <w:w w:val="100"/>
                <w:sz w:val="21"/>
              </w:rPr>
              <w:t>□否，推荐</w:t>
            </w:r>
            <w:r>
              <w:rPr>
                <w:spacing w:val="-53"/>
                <w:sz w:val="21"/>
              </w:rPr>
              <w:t xml:space="preserve"> </w:t>
            </w:r>
            <w:r>
              <w:rPr>
                <w:rFonts w:ascii="Times New Roman" w:hAnsi="Times New Roman" w:eastAsia="Times New Roman"/>
                <w:w w:val="100"/>
                <w:sz w:val="21"/>
              </w:rPr>
              <w:t>1</w:t>
            </w:r>
            <w:r>
              <w:rPr>
                <w:rFonts w:ascii="Times New Roman" w:hAnsi="Times New Roman" w:eastAsia="Times New Roman"/>
                <w:spacing w:val="-4"/>
                <w:w w:val="100"/>
                <w:sz w:val="21"/>
              </w:rPr>
              <w:t>-</w:t>
            </w:r>
            <w:r>
              <w:rPr>
                <w:rFonts w:ascii="Times New Roman" w:hAnsi="Times New Roman" w:eastAsia="Times New Roman"/>
                <w:w w:val="100"/>
                <w:sz w:val="21"/>
              </w:rPr>
              <w:t>3</w:t>
            </w:r>
            <w:r>
              <w:rPr>
                <w:rFonts w:ascii="Times New Roman" w:hAnsi="Times New Roman" w:eastAsia="Times New Roman"/>
                <w:sz w:val="21"/>
              </w:rPr>
              <w:t xml:space="preserve"> </w:t>
            </w:r>
            <w:r>
              <w:rPr>
                <w:spacing w:val="-3"/>
                <w:w w:val="100"/>
                <w:sz w:val="21"/>
              </w:rPr>
              <w:t>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1044" w:type="dxa"/>
          </w:tcPr>
          <w:p>
            <w:pPr>
              <w:pStyle w:val="22"/>
              <w:jc w:val="left"/>
              <w:rPr>
                <w:b/>
                <w:sz w:val="22"/>
              </w:rPr>
            </w:pPr>
          </w:p>
          <w:p>
            <w:pPr>
              <w:pStyle w:val="22"/>
              <w:jc w:val="left"/>
              <w:rPr>
                <w:b/>
                <w:sz w:val="22"/>
              </w:rPr>
            </w:pPr>
          </w:p>
          <w:p>
            <w:pPr>
              <w:pStyle w:val="22"/>
              <w:spacing w:before="9"/>
              <w:jc w:val="left"/>
              <w:rPr>
                <w:b/>
                <w:sz w:val="16"/>
              </w:rPr>
            </w:pPr>
          </w:p>
          <w:p>
            <w:pPr>
              <w:pStyle w:val="22"/>
              <w:ind w:left="184" w:right="172"/>
              <w:rPr>
                <w:rFonts w:ascii="Times New Roman"/>
                <w:sz w:val="21"/>
              </w:rPr>
            </w:pPr>
            <w:r>
              <w:rPr>
                <w:rFonts w:ascii="Times New Roman"/>
                <w:sz w:val="21"/>
              </w:rPr>
              <w:t>8.3</w:t>
            </w:r>
          </w:p>
        </w:tc>
        <w:tc>
          <w:tcPr>
            <w:tcW w:w="2458" w:type="dxa"/>
          </w:tcPr>
          <w:p>
            <w:pPr>
              <w:pStyle w:val="22"/>
              <w:jc w:val="left"/>
              <w:rPr>
                <w:b/>
                <w:sz w:val="20"/>
              </w:rPr>
            </w:pPr>
          </w:p>
          <w:p>
            <w:pPr>
              <w:pStyle w:val="22"/>
              <w:jc w:val="left"/>
              <w:rPr>
                <w:b/>
                <w:sz w:val="20"/>
              </w:rPr>
            </w:pPr>
          </w:p>
          <w:p>
            <w:pPr>
              <w:pStyle w:val="22"/>
              <w:spacing w:before="1"/>
              <w:jc w:val="left"/>
              <w:rPr>
                <w:b/>
                <w:sz w:val="18"/>
              </w:rPr>
            </w:pPr>
          </w:p>
          <w:p>
            <w:pPr>
              <w:pStyle w:val="22"/>
              <w:spacing w:before="1"/>
              <w:ind w:left="107"/>
              <w:jc w:val="left"/>
              <w:rPr>
                <w:sz w:val="21"/>
              </w:rPr>
            </w:pPr>
            <w:r>
              <w:rPr>
                <w:sz w:val="21"/>
              </w:rPr>
              <w:t>履约保证金</w:t>
            </w:r>
          </w:p>
        </w:tc>
        <w:tc>
          <w:tcPr>
            <w:tcW w:w="6017" w:type="dxa"/>
          </w:tcPr>
          <w:p>
            <w:pPr>
              <w:pStyle w:val="22"/>
              <w:spacing w:line="420" w:lineRule="atLeast"/>
              <w:ind w:left="109" w:right="89"/>
              <w:jc w:val="left"/>
              <w:rPr>
                <w:u w:val="single"/>
              </w:rPr>
            </w:pPr>
            <w:r>
              <w:rPr>
                <w:rStyle w:val="23"/>
                <w:rFonts w:ascii="宋体" w:hAnsi="宋体" w:cs="宋体"/>
                <w:b w:val="0"/>
                <w:bCs/>
                <w:i w:val="0"/>
                <w:caps w:val="0"/>
                <w:color w:val="000000"/>
                <w:spacing w:val="0"/>
                <w:w w:val="100"/>
                <w:kern w:val="2"/>
                <w:sz w:val="21"/>
                <w:szCs w:val="21"/>
                <w:lang w:val="en-US" w:eastAsia="zh-CN" w:bidi="ar-SA"/>
              </w:rPr>
              <w:t>履约保证金的形式：</w:t>
            </w:r>
            <w:r>
              <w:rPr>
                <w:rStyle w:val="23"/>
                <w:rFonts w:ascii="宋体" w:hAnsi="宋体" w:cs="宋体"/>
                <w:b w:val="0"/>
                <w:bCs/>
                <w:i w:val="0"/>
                <w:caps w:val="0"/>
                <w:color w:val="000000"/>
                <w:spacing w:val="0"/>
                <w:w w:val="100"/>
                <w:kern w:val="2"/>
                <w:sz w:val="21"/>
                <w:szCs w:val="21"/>
                <w:u w:val="single" w:color="000000"/>
                <w:lang w:val="en-US" w:eastAsia="zh-CN" w:bidi="ar-SA"/>
              </w:rPr>
              <w:t>银行转帐、电汇、网汇、保函等</w:t>
            </w:r>
            <w:r>
              <w:rPr>
                <w:rStyle w:val="23"/>
                <w:rFonts w:ascii="宋体" w:hAnsi="宋体" w:cs="宋体"/>
                <w:b w:val="0"/>
                <w:bCs/>
                <w:i w:val="0"/>
                <w:caps w:val="0"/>
                <w:color w:val="000000"/>
                <w:spacing w:val="0"/>
                <w:w w:val="100"/>
                <w:kern w:val="2"/>
                <w:sz w:val="21"/>
                <w:szCs w:val="21"/>
                <w:lang w:val="en-US" w:eastAsia="zh-CN" w:bidi="ar-SA"/>
              </w:rPr>
              <w:t>。履约保证金的金额：</w:t>
            </w:r>
            <w:r>
              <w:rPr>
                <w:rStyle w:val="23"/>
                <w:rFonts w:ascii="宋体" w:hAnsi="宋体" w:cs="宋体"/>
                <w:b w:val="0"/>
                <w:bCs/>
                <w:i w:val="0"/>
                <w:caps w:val="0"/>
                <w:color w:val="000000"/>
                <w:spacing w:val="0"/>
                <w:w w:val="100"/>
                <w:kern w:val="2"/>
                <w:sz w:val="21"/>
                <w:szCs w:val="21"/>
                <w:u w:val="single" w:color="000000"/>
                <w:lang w:val="en-US" w:eastAsia="zh-CN" w:bidi="ar-SA"/>
              </w:rPr>
              <w:t>中标价款的10%</w:t>
            </w:r>
            <w:r>
              <w:rPr>
                <w:rStyle w:val="23"/>
                <w:rFonts w:ascii="宋体" w:hAnsi="宋体" w:cs="宋体"/>
                <w:b w:val="0"/>
                <w:bCs/>
                <w:i w:val="0"/>
                <w:caps w:val="0"/>
                <w:color w:val="000000"/>
                <w:spacing w:val="0"/>
                <w:w w:val="100"/>
                <w:kern w:val="2"/>
                <w:sz w:val="21"/>
                <w:szCs w:val="21"/>
                <w:lang w:val="en-US" w:eastAsia="zh-CN" w:bidi="ar-SA"/>
              </w:rPr>
              <w:t>。</w:t>
            </w:r>
            <w:r>
              <w:rPr>
                <w:rStyle w:val="23"/>
                <w:rFonts w:ascii="宋体" w:hAnsi="宋体"/>
                <w:b w:val="0"/>
                <w:i w:val="0"/>
                <w:caps w:val="0"/>
                <w:color w:val="000000"/>
                <w:spacing w:val="0"/>
                <w:w w:val="100"/>
                <w:kern w:val="2"/>
                <w:sz w:val="21"/>
                <w:szCs w:val="21"/>
                <w:lang w:val="en-US" w:eastAsia="zh-CN" w:bidi="ar-SA"/>
              </w:rPr>
              <w:t>履约保证金的退还：</w:t>
            </w:r>
            <w:r>
              <w:rPr>
                <w:u w:val="single"/>
              </w:rPr>
              <w:t>完成所有项目经验收合格且运行出水合格一个月无质量问题后无息退还。</w:t>
            </w:r>
          </w:p>
          <w:p>
            <w:pPr>
              <w:pStyle w:val="22"/>
              <w:spacing w:line="420" w:lineRule="atLeast"/>
              <w:ind w:left="109" w:right="89"/>
              <w:jc w:val="left"/>
              <w:rPr>
                <w:rFonts w:hint="eastAsia" w:eastAsia="宋体"/>
                <w:u w:val="single"/>
                <w:lang w:eastAsia="zh-CN"/>
              </w:rPr>
            </w:pPr>
            <w:r>
              <w:rPr>
                <w:rFonts w:hint="eastAsia"/>
                <w:u w:val="single"/>
                <w:lang w:eastAsia="zh-CN"/>
              </w:rPr>
              <w:t>采购人应当对</w:t>
            </w:r>
            <w:r>
              <w:rPr>
                <w:rFonts w:hint="eastAsia"/>
                <w:u w:val="single"/>
              </w:rPr>
              <w:t>“提供信用中国（江苏盐城）备案的第三方信用报告AA评级及以上政府采购供应商免收履约保证金或降低履约保证金缴纳比例”</w:t>
            </w:r>
            <w:r>
              <w:rPr>
                <w:rFonts w:hint="eastAsia"/>
                <w:u w:val="single"/>
                <w:lang w:eastAsia="zh-CN"/>
              </w:rPr>
              <w:t>。</w:t>
            </w:r>
          </w:p>
        </w:tc>
      </w:tr>
    </w:tbl>
    <w:p>
      <w:pPr>
        <w:spacing w:after="0" w:line="420" w:lineRule="atLeast"/>
        <w:jc w:val="left"/>
        <w:rPr>
          <w:sz w:val="21"/>
        </w:rPr>
        <w:sectPr>
          <w:pgSz w:w="11910" w:h="16840"/>
          <w:pgMar w:top="1420" w:right="580" w:bottom="1580" w:left="740" w:header="0" w:footer="1399" w:gutter="0"/>
          <w:pgNumType w:fmt="decimal"/>
          <w:cols w:space="720" w:num="1"/>
        </w:sectPr>
      </w:pPr>
    </w:p>
    <w:tbl>
      <w:tblPr>
        <w:tblStyle w:val="15"/>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2458"/>
        <w:gridCol w:w="6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9" w:hRule="atLeast"/>
        </w:trPr>
        <w:tc>
          <w:tcPr>
            <w:tcW w:w="1044" w:type="dxa"/>
          </w:tcPr>
          <w:p>
            <w:pPr>
              <w:pStyle w:val="22"/>
              <w:jc w:val="left"/>
              <w:rPr>
                <w:b/>
                <w:sz w:val="22"/>
              </w:rPr>
            </w:pPr>
          </w:p>
          <w:p>
            <w:pPr>
              <w:pStyle w:val="22"/>
              <w:jc w:val="left"/>
              <w:rPr>
                <w:b/>
                <w:sz w:val="22"/>
              </w:rPr>
            </w:pPr>
          </w:p>
          <w:p>
            <w:pPr>
              <w:pStyle w:val="22"/>
              <w:jc w:val="left"/>
              <w:rPr>
                <w:b/>
                <w:sz w:val="22"/>
              </w:rPr>
            </w:pPr>
          </w:p>
          <w:p>
            <w:pPr>
              <w:pStyle w:val="22"/>
              <w:jc w:val="left"/>
              <w:rPr>
                <w:b/>
                <w:sz w:val="22"/>
              </w:rPr>
            </w:pPr>
          </w:p>
          <w:p>
            <w:pPr>
              <w:pStyle w:val="22"/>
              <w:jc w:val="left"/>
              <w:rPr>
                <w:b/>
                <w:sz w:val="22"/>
              </w:rPr>
            </w:pPr>
          </w:p>
          <w:p>
            <w:pPr>
              <w:pStyle w:val="22"/>
              <w:jc w:val="left"/>
              <w:rPr>
                <w:b/>
                <w:sz w:val="22"/>
              </w:rPr>
            </w:pPr>
          </w:p>
          <w:p>
            <w:pPr>
              <w:pStyle w:val="22"/>
              <w:jc w:val="left"/>
              <w:rPr>
                <w:b/>
                <w:sz w:val="22"/>
              </w:rPr>
            </w:pPr>
          </w:p>
          <w:p>
            <w:pPr>
              <w:pStyle w:val="22"/>
              <w:jc w:val="left"/>
              <w:rPr>
                <w:b/>
                <w:sz w:val="22"/>
              </w:rPr>
            </w:pPr>
          </w:p>
          <w:p>
            <w:pPr>
              <w:pStyle w:val="22"/>
              <w:spacing w:before="143"/>
              <w:ind w:left="184" w:right="175"/>
              <w:rPr>
                <w:rFonts w:ascii="Times New Roman"/>
                <w:sz w:val="21"/>
              </w:rPr>
            </w:pPr>
            <w:r>
              <w:rPr>
                <w:rFonts w:ascii="Times New Roman"/>
                <w:sz w:val="21"/>
              </w:rPr>
              <w:t>11</w:t>
            </w:r>
          </w:p>
        </w:tc>
        <w:tc>
          <w:tcPr>
            <w:tcW w:w="2458" w:type="dxa"/>
          </w:tcPr>
          <w:p>
            <w:pPr>
              <w:pStyle w:val="22"/>
              <w:jc w:val="left"/>
              <w:rPr>
                <w:b/>
                <w:sz w:val="20"/>
              </w:rPr>
            </w:pPr>
          </w:p>
          <w:p>
            <w:pPr>
              <w:pStyle w:val="22"/>
              <w:jc w:val="left"/>
              <w:rPr>
                <w:b/>
                <w:sz w:val="20"/>
              </w:rPr>
            </w:pPr>
          </w:p>
          <w:p>
            <w:pPr>
              <w:pStyle w:val="22"/>
              <w:jc w:val="left"/>
              <w:rPr>
                <w:b/>
                <w:sz w:val="20"/>
              </w:rPr>
            </w:pPr>
          </w:p>
          <w:p>
            <w:pPr>
              <w:pStyle w:val="22"/>
              <w:jc w:val="left"/>
              <w:rPr>
                <w:b/>
                <w:sz w:val="20"/>
              </w:rPr>
            </w:pPr>
          </w:p>
          <w:p>
            <w:pPr>
              <w:pStyle w:val="22"/>
              <w:jc w:val="left"/>
              <w:rPr>
                <w:b/>
                <w:sz w:val="20"/>
              </w:rPr>
            </w:pPr>
          </w:p>
          <w:p>
            <w:pPr>
              <w:pStyle w:val="22"/>
              <w:jc w:val="left"/>
              <w:rPr>
                <w:b/>
                <w:sz w:val="20"/>
              </w:rPr>
            </w:pPr>
          </w:p>
          <w:p>
            <w:pPr>
              <w:pStyle w:val="22"/>
              <w:jc w:val="left"/>
              <w:rPr>
                <w:b/>
                <w:sz w:val="20"/>
              </w:rPr>
            </w:pPr>
          </w:p>
          <w:p>
            <w:pPr>
              <w:pStyle w:val="22"/>
              <w:jc w:val="left"/>
              <w:rPr>
                <w:b/>
                <w:sz w:val="20"/>
              </w:rPr>
            </w:pPr>
          </w:p>
          <w:p>
            <w:pPr>
              <w:pStyle w:val="22"/>
              <w:spacing w:before="7"/>
              <w:jc w:val="left"/>
              <w:rPr>
                <w:b/>
                <w:sz w:val="24"/>
              </w:rPr>
            </w:pPr>
          </w:p>
          <w:p>
            <w:pPr>
              <w:pStyle w:val="22"/>
              <w:ind w:left="107"/>
              <w:jc w:val="left"/>
              <w:rPr>
                <w:sz w:val="21"/>
              </w:rPr>
            </w:pPr>
            <w:r>
              <w:rPr>
                <w:sz w:val="21"/>
              </w:rPr>
              <w:t>付款方式</w:t>
            </w:r>
          </w:p>
        </w:tc>
        <w:tc>
          <w:tcPr>
            <w:tcW w:w="6017" w:type="dxa"/>
          </w:tcPr>
          <w:p>
            <w:pPr>
              <w:pStyle w:val="22"/>
              <w:spacing w:before="142" w:line="396" w:lineRule="auto"/>
              <w:ind w:left="109" w:right="-15"/>
              <w:jc w:val="left"/>
              <w:rPr>
                <w:sz w:val="21"/>
              </w:rPr>
            </w:pPr>
            <w:r>
              <w:rPr>
                <w:spacing w:val="-13"/>
                <w:sz w:val="21"/>
              </w:rPr>
              <w:t xml:space="preserve">付款方式：合同签订后支付合同价款的 </w:t>
            </w:r>
            <w:r>
              <w:rPr>
                <w:rFonts w:hint="eastAsia" w:ascii="Times New Roman"/>
                <w:sz w:val="21"/>
                <w:lang w:val="en-US" w:eastAsia="zh-CN"/>
              </w:rPr>
              <w:t>3</w:t>
            </w:r>
            <w:r>
              <w:rPr>
                <w:rFonts w:ascii="Times New Roman" w:eastAsia="Times New Roman"/>
                <w:sz w:val="21"/>
              </w:rPr>
              <w:t>0%</w:t>
            </w:r>
            <w:r>
              <w:rPr>
                <w:spacing w:val="-23"/>
                <w:sz w:val="21"/>
              </w:rPr>
              <w:t>作为预付款</w:t>
            </w:r>
            <w:r>
              <w:rPr>
                <w:sz w:val="21"/>
              </w:rPr>
              <w:t>（</w:t>
            </w:r>
            <w:r>
              <w:rPr>
                <w:spacing w:val="-3"/>
                <w:sz w:val="21"/>
              </w:rPr>
              <w:t xml:space="preserve">付款前， </w:t>
            </w:r>
            <w:r>
              <w:rPr>
                <w:sz w:val="21"/>
              </w:rPr>
              <w:t>供应商必须向采购人提供由供应商开户银行出具的以采购方为</w:t>
            </w:r>
            <w:r>
              <w:rPr>
                <w:spacing w:val="-3"/>
                <w:sz w:val="21"/>
              </w:rPr>
              <w:t>受益人的预付款银行保函，金额须与采购人支付的预付款等额， 办理保函的费用由供应商承担</w:t>
            </w:r>
            <w:r>
              <w:rPr>
                <w:spacing w:val="-40"/>
                <w:sz w:val="21"/>
              </w:rPr>
              <w:t>）</w:t>
            </w:r>
            <w:r>
              <w:rPr>
                <w:spacing w:val="-8"/>
                <w:sz w:val="21"/>
              </w:rPr>
              <w:t>，所有货物到达采购人指定地点</w:t>
            </w:r>
            <w:r>
              <w:rPr>
                <w:spacing w:val="-7"/>
                <w:sz w:val="21"/>
              </w:rPr>
              <w:t xml:space="preserve">经初步验收合格后付至实际到场货物价款的 </w:t>
            </w:r>
            <w:r>
              <w:rPr>
                <w:rFonts w:ascii="Times New Roman" w:eastAsia="Times New Roman"/>
                <w:sz w:val="21"/>
              </w:rPr>
              <w:t>50%(</w:t>
            </w:r>
            <w:r>
              <w:rPr>
                <w:spacing w:val="-17"/>
                <w:sz w:val="21"/>
              </w:rPr>
              <w:t xml:space="preserve">含 </w:t>
            </w:r>
            <w:r>
              <w:rPr>
                <w:rFonts w:ascii="Times New Roman" w:eastAsia="Times New Roman"/>
                <w:sz w:val="21"/>
              </w:rPr>
              <w:t>10%</w:t>
            </w:r>
            <w:r>
              <w:rPr>
                <w:spacing w:val="-2"/>
                <w:sz w:val="21"/>
              </w:rPr>
              <w:t>的预付款</w:t>
            </w:r>
            <w:r>
              <w:rPr>
                <w:rFonts w:ascii="Times New Roman" w:eastAsia="Times New Roman"/>
                <w:spacing w:val="-2"/>
                <w:sz w:val="21"/>
              </w:rPr>
              <w:t>)</w:t>
            </w:r>
            <w:r>
              <w:rPr>
                <w:spacing w:val="-2"/>
                <w:sz w:val="21"/>
              </w:rPr>
              <w:t>并退还预付款保函，项目安装调试完毕经采购人验收合格后</w:t>
            </w:r>
            <w:r>
              <w:rPr>
                <w:spacing w:val="-7"/>
                <w:sz w:val="21"/>
              </w:rPr>
              <w:t xml:space="preserve">付至实际到场货物价款的 </w:t>
            </w:r>
            <w:r>
              <w:rPr>
                <w:rFonts w:ascii="Times New Roman" w:eastAsia="Times New Roman"/>
                <w:spacing w:val="-13"/>
                <w:sz w:val="21"/>
              </w:rPr>
              <w:t>70%</w:t>
            </w:r>
            <w:r>
              <w:rPr>
                <w:spacing w:val="-9"/>
                <w:sz w:val="21"/>
              </w:rPr>
              <w:t>；项目安装调试完毕验收合格、运</w:t>
            </w:r>
            <w:r>
              <w:rPr>
                <w:spacing w:val="-8"/>
                <w:sz w:val="21"/>
              </w:rPr>
              <w:t xml:space="preserve">行后满一年付至实际到场货物价款的 </w:t>
            </w:r>
            <w:r>
              <w:rPr>
                <w:rFonts w:ascii="Times New Roman" w:eastAsia="Times New Roman"/>
                <w:spacing w:val="-13"/>
                <w:sz w:val="21"/>
              </w:rPr>
              <w:t>85%</w:t>
            </w:r>
            <w:r>
              <w:rPr>
                <w:spacing w:val="-9"/>
                <w:sz w:val="21"/>
              </w:rPr>
              <w:t>，余款作为质保金，质</w:t>
            </w:r>
            <w:r>
              <w:rPr>
                <w:spacing w:val="-13"/>
                <w:sz w:val="21"/>
              </w:rPr>
              <w:t>保期满后且无质量问题结清</w:t>
            </w:r>
            <w:r>
              <w:rPr>
                <w:spacing w:val="-3"/>
                <w:sz w:val="21"/>
              </w:rPr>
              <w:t>（按以上进度付款无任何利息补偿</w:t>
            </w:r>
            <w:r>
              <w:rPr>
                <w:spacing w:val="-94"/>
                <w:sz w:val="21"/>
              </w:rPr>
              <w:t>）</w:t>
            </w:r>
            <w:r>
              <w:rPr>
                <w:sz w:val="21"/>
              </w:rPr>
              <w:t>。</w:t>
            </w:r>
            <w:r>
              <w:rPr>
                <w:spacing w:val="-8"/>
                <w:sz w:val="21"/>
              </w:rPr>
              <w:t>招标人保留适度调整采购需求的权利，本项目最终按实际到场货</w:t>
            </w:r>
          </w:p>
          <w:p>
            <w:pPr>
              <w:pStyle w:val="22"/>
              <w:spacing w:before="32"/>
              <w:ind w:left="109"/>
              <w:jc w:val="left"/>
              <w:rPr>
                <w:sz w:val="21"/>
              </w:rPr>
            </w:pPr>
            <w:r>
              <w:rPr>
                <w:sz w:val="21"/>
              </w:rPr>
              <w:t>物（设备）数量、中标人的投标单价结算。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1044" w:type="dxa"/>
          </w:tcPr>
          <w:p>
            <w:pPr>
              <w:pStyle w:val="22"/>
              <w:spacing w:before="8"/>
              <w:jc w:val="left"/>
              <w:rPr>
                <w:b/>
                <w:sz w:val="32"/>
              </w:rPr>
            </w:pPr>
          </w:p>
          <w:p>
            <w:pPr>
              <w:pStyle w:val="22"/>
              <w:ind w:left="184" w:right="177"/>
              <w:rPr>
                <w:rFonts w:ascii="Times New Roman"/>
                <w:sz w:val="21"/>
              </w:rPr>
            </w:pPr>
            <w:r>
              <w:rPr>
                <w:rFonts w:ascii="Times New Roman"/>
                <w:sz w:val="21"/>
              </w:rPr>
              <w:t>12</w:t>
            </w:r>
          </w:p>
        </w:tc>
        <w:tc>
          <w:tcPr>
            <w:tcW w:w="2458" w:type="dxa"/>
          </w:tcPr>
          <w:p>
            <w:pPr>
              <w:pStyle w:val="22"/>
              <w:jc w:val="left"/>
              <w:rPr>
                <w:b/>
                <w:sz w:val="20"/>
              </w:rPr>
            </w:pPr>
          </w:p>
          <w:p>
            <w:pPr>
              <w:pStyle w:val="22"/>
              <w:spacing w:before="128"/>
              <w:ind w:left="107"/>
              <w:jc w:val="left"/>
              <w:rPr>
                <w:sz w:val="21"/>
              </w:rPr>
            </w:pPr>
            <w:r>
              <w:rPr>
                <w:sz w:val="21"/>
              </w:rPr>
              <w:t>质量保证期限</w:t>
            </w:r>
          </w:p>
        </w:tc>
        <w:tc>
          <w:tcPr>
            <w:tcW w:w="6017" w:type="dxa"/>
          </w:tcPr>
          <w:p>
            <w:pPr>
              <w:ind w:right="-59" w:rightChars="-27" w:firstLine="374" w:firstLineChars="193"/>
              <w:rPr>
                <w:sz w:val="21"/>
              </w:rPr>
            </w:pPr>
            <w:r>
              <w:rPr>
                <w:rFonts w:hint="eastAsia" w:ascii="宋体" w:hAnsi="宋体" w:eastAsia="宋体" w:cs="宋体"/>
                <w:spacing w:val="-8"/>
                <w:sz w:val="21"/>
                <w:szCs w:val="22"/>
                <w:lang w:val="zh-CN" w:eastAsia="zh-CN" w:bidi="zh-CN"/>
              </w:rPr>
              <w:t>卖方提供设备质保期为货到现场后的18个月或设备验收合格之日起12个月，先到为准</w:t>
            </w:r>
            <w:r>
              <w:rPr>
                <w:rFonts w:ascii="宋体" w:hAnsi="宋体" w:eastAsia="宋体" w:cs="宋体"/>
                <w:spacing w:val="-8"/>
                <w:sz w:val="21"/>
                <w:szCs w:val="22"/>
                <w:lang w:val="zh-CN" w:eastAsia="zh-CN" w:bidi="zh-CN"/>
              </w:rPr>
              <w:t>。在质量保证期内，若产品出现由于不合理设计、材料或加工等原因引起的任何缺陷、故障、非正常磨损损坏等，</w:t>
            </w:r>
            <w:r>
              <w:rPr>
                <w:rFonts w:hint="eastAsia" w:ascii="宋体" w:hAnsi="宋体" w:eastAsia="宋体" w:cs="宋体"/>
                <w:spacing w:val="-8"/>
                <w:sz w:val="21"/>
                <w:szCs w:val="22"/>
                <w:lang w:val="zh-CN" w:eastAsia="zh-CN" w:bidi="zh-CN"/>
              </w:rPr>
              <w:t>卖方</w:t>
            </w:r>
            <w:r>
              <w:rPr>
                <w:rFonts w:ascii="宋体" w:hAnsi="宋体" w:eastAsia="宋体" w:cs="宋体"/>
                <w:spacing w:val="-8"/>
                <w:sz w:val="21"/>
                <w:szCs w:val="22"/>
                <w:lang w:val="zh-CN" w:eastAsia="zh-CN" w:bidi="zh-CN"/>
              </w:rPr>
              <w:t>将及时自费到现场免费修复或</w:t>
            </w:r>
            <w:r>
              <w:rPr>
                <w:rFonts w:hint="eastAsia" w:ascii="宋体" w:hAnsi="宋体" w:eastAsia="宋体" w:cs="宋体"/>
                <w:spacing w:val="-8"/>
                <w:sz w:val="21"/>
                <w:szCs w:val="22"/>
                <w:lang w:val="zh-CN" w:eastAsia="zh-CN" w:bidi="zh-CN"/>
              </w:rPr>
              <w:t>更</w:t>
            </w:r>
            <w:r>
              <w:rPr>
                <w:rFonts w:ascii="宋体" w:hAnsi="宋体" w:eastAsia="宋体" w:cs="宋体"/>
                <w:spacing w:val="-8"/>
                <w:sz w:val="21"/>
                <w:szCs w:val="22"/>
                <w:lang w:val="zh-CN" w:eastAsia="zh-CN" w:bidi="zh-CN"/>
              </w:rPr>
              <w:t>换</w:t>
            </w:r>
            <w:r>
              <w:rPr>
                <w:rFonts w:hint="eastAsia" w:ascii="宋体" w:hAnsi="宋体" w:eastAsia="宋体" w:cs="宋体"/>
                <w:spacing w:val="-8"/>
                <w:sz w:val="21"/>
                <w:szCs w:val="22"/>
                <w:lang w:val="zh-CN" w:eastAsia="zh-CN" w:bidi="zh-CN"/>
              </w:rPr>
              <w:t>，直至设备能正常运行</w:t>
            </w:r>
            <w:r>
              <w:rPr>
                <w:rFonts w:ascii="宋体" w:hAnsi="宋体" w:eastAsia="宋体" w:cs="宋体"/>
                <w:spacing w:val="-8"/>
                <w:sz w:val="21"/>
                <w:szCs w:val="22"/>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1044" w:type="dxa"/>
            <w:vAlign w:val="center"/>
          </w:tcPr>
          <w:p>
            <w:pPr>
              <w:snapToGrid/>
              <w:spacing w:before="0" w:beforeAutospacing="0" w:after="0" w:afterAutospacing="0" w:line="240" w:lineRule="auto"/>
              <w:ind w:left="0" w:leftChars="0" w:right="0" w:rightChars="0"/>
              <w:jc w:val="center"/>
              <w:textAlignment w:val="baseline"/>
              <w:rPr>
                <w:rFonts w:hint="default" w:ascii="Times New Roman"/>
                <w:sz w:val="21"/>
                <w:lang w:val="en-US"/>
              </w:rPr>
            </w:pPr>
            <w:r>
              <w:rPr>
                <w:rStyle w:val="23"/>
                <w:rFonts w:ascii="宋体" w:hAnsi="宋体"/>
                <w:b w:val="0"/>
                <w:i w:val="0"/>
                <w:caps w:val="0"/>
                <w:color w:val="000000"/>
                <w:spacing w:val="0"/>
                <w:w w:val="100"/>
                <w:kern w:val="2"/>
                <w:sz w:val="21"/>
                <w:szCs w:val="24"/>
                <w:lang w:val="en-US" w:eastAsia="zh-CN" w:bidi="ar-SA"/>
              </w:rPr>
              <w:t>1</w:t>
            </w:r>
            <w:r>
              <w:rPr>
                <w:rStyle w:val="23"/>
                <w:rFonts w:hint="eastAsia"/>
                <w:b w:val="0"/>
                <w:i w:val="0"/>
                <w:caps w:val="0"/>
                <w:color w:val="000000"/>
                <w:spacing w:val="0"/>
                <w:w w:val="100"/>
                <w:kern w:val="2"/>
                <w:sz w:val="21"/>
                <w:szCs w:val="24"/>
                <w:lang w:val="en-US" w:eastAsia="zh-CN" w:bidi="ar-SA"/>
              </w:rPr>
              <w:t>3</w:t>
            </w:r>
          </w:p>
        </w:tc>
        <w:tc>
          <w:tcPr>
            <w:tcW w:w="2458" w:type="dxa"/>
            <w:vAlign w:val="center"/>
          </w:tcPr>
          <w:p>
            <w:pPr>
              <w:snapToGrid/>
              <w:spacing w:before="0" w:beforeAutospacing="0" w:after="0" w:afterAutospacing="0" w:line="240" w:lineRule="auto"/>
              <w:ind w:left="0" w:leftChars="0" w:right="0" w:rightChars="0"/>
              <w:jc w:val="both"/>
              <w:textAlignment w:val="baseline"/>
              <w:rPr>
                <w:sz w:val="21"/>
              </w:rPr>
            </w:pPr>
            <w:r>
              <w:rPr>
                <w:rStyle w:val="23"/>
                <w:rFonts w:ascii="宋体" w:hAnsi="宋体"/>
                <w:b w:val="0"/>
                <w:i w:val="0"/>
                <w:caps w:val="0"/>
                <w:color w:val="000000"/>
                <w:spacing w:val="0"/>
                <w:w w:val="100"/>
                <w:kern w:val="2"/>
                <w:sz w:val="21"/>
                <w:szCs w:val="24"/>
                <w:lang w:val="en-US" w:eastAsia="zh-CN" w:bidi="ar-SA"/>
              </w:rPr>
              <w:t>收费标准</w:t>
            </w:r>
          </w:p>
        </w:tc>
        <w:tc>
          <w:tcPr>
            <w:tcW w:w="6017" w:type="dxa"/>
            <w:vAlign w:val="center"/>
          </w:tcPr>
          <w:p>
            <w:pPr>
              <w:snapToGrid/>
              <w:spacing w:before="0" w:beforeAutospacing="0" w:after="0" w:afterAutospacing="0" w:line="240" w:lineRule="auto"/>
              <w:ind w:left="0" w:leftChars="0" w:right="0" w:rightChars="0"/>
              <w:jc w:val="both"/>
              <w:textAlignment w:val="baseline"/>
              <w:rPr>
                <w:sz w:val="21"/>
              </w:rPr>
            </w:pPr>
            <w:r>
              <w:rPr>
                <w:rStyle w:val="23"/>
                <w:rFonts w:ascii="宋体" w:hAnsi="宋体"/>
                <w:b w:val="0"/>
                <w:i w:val="0"/>
                <w:caps w:val="0"/>
                <w:color w:val="000000"/>
                <w:spacing w:val="0"/>
                <w:w w:val="100"/>
                <w:kern w:val="2"/>
                <w:sz w:val="21"/>
                <w:szCs w:val="24"/>
                <w:lang w:val="en-US" w:eastAsia="zh-CN" w:bidi="ar-SA"/>
              </w:rPr>
              <w:t>本项目招标代理费</w:t>
            </w:r>
            <w:r>
              <w:rPr>
                <w:rStyle w:val="23"/>
                <w:rFonts w:hint="eastAsia"/>
                <w:b w:val="0"/>
                <w:i w:val="0"/>
                <w:caps w:val="0"/>
                <w:color w:val="000000"/>
                <w:spacing w:val="0"/>
                <w:w w:val="100"/>
                <w:kern w:val="2"/>
                <w:sz w:val="21"/>
                <w:szCs w:val="24"/>
                <w:lang w:val="en-US" w:eastAsia="zh-CN" w:bidi="ar-SA"/>
              </w:rPr>
              <w:t>参照</w:t>
            </w:r>
            <w:r>
              <w:rPr>
                <w:rStyle w:val="23"/>
                <w:rFonts w:ascii="宋体" w:hAnsi="宋体"/>
                <w:b w:val="0"/>
                <w:i w:val="0"/>
                <w:caps w:val="0"/>
                <w:color w:val="000000"/>
                <w:spacing w:val="0"/>
                <w:w w:val="100"/>
                <w:kern w:val="2"/>
                <w:sz w:val="21"/>
                <w:szCs w:val="24"/>
                <w:lang w:val="en-US" w:eastAsia="zh-CN" w:bidi="ar-SA"/>
              </w:rPr>
              <w:t>国家计委计价格【2011】534号规定货物类标准</w:t>
            </w:r>
            <w:r>
              <w:rPr>
                <w:rStyle w:val="23"/>
                <w:rFonts w:hint="eastAsia"/>
                <w:b w:val="0"/>
                <w:i w:val="0"/>
                <w:caps w:val="0"/>
                <w:color w:val="000000"/>
                <w:spacing w:val="0"/>
                <w:w w:val="100"/>
                <w:kern w:val="2"/>
                <w:sz w:val="21"/>
                <w:szCs w:val="24"/>
                <w:lang w:val="en-US" w:eastAsia="zh-CN" w:bidi="ar-SA"/>
              </w:rPr>
              <w:t>40%</w:t>
            </w:r>
            <w:r>
              <w:rPr>
                <w:rStyle w:val="23"/>
                <w:rFonts w:ascii="宋体" w:hAnsi="宋体"/>
                <w:b w:val="0"/>
                <w:i w:val="0"/>
                <w:caps w:val="0"/>
                <w:color w:val="000000"/>
                <w:spacing w:val="0"/>
                <w:w w:val="100"/>
                <w:kern w:val="2"/>
                <w:sz w:val="21"/>
                <w:szCs w:val="24"/>
                <w:lang w:val="en-US" w:eastAsia="zh-CN" w:bidi="ar-SA"/>
              </w:rPr>
              <w:t>缴纳</w:t>
            </w:r>
            <w:r>
              <w:rPr>
                <w:rStyle w:val="23"/>
                <w:rFonts w:hint="eastAsia"/>
                <w:b w:val="0"/>
                <w:i w:val="0"/>
                <w:caps w:val="0"/>
                <w:color w:val="000000"/>
                <w:spacing w:val="0"/>
                <w:w w:val="100"/>
                <w:kern w:val="2"/>
                <w:sz w:val="21"/>
                <w:szCs w:val="24"/>
                <w:lang w:val="en-US" w:eastAsia="zh-CN" w:bidi="ar-SA"/>
              </w:rPr>
              <w:t>，项目结算时向采购人收取。</w:t>
            </w:r>
          </w:p>
        </w:tc>
      </w:tr>
    </w:tbl>
    <w:p>
      <w:pPr>
        <w:pStyle w:val="2"/>
        <w:spacing w:before="2"/>
        <w:rPr>
          <w:b/>
          <w:sz w:val="8"/>
        </w:rPr>
      </w:pPr>
    </w:p>
    <w:p>
      <w:pPr>
        <w:pStyle w:val="6"/>
        <w:spacing w:before="71"/>
      </w:pPr>
      <w:r>
        <w:t>特别提醒：</w:t>
      </w:r>
    </w:p>
    <w:p>
      <w:pPr>
        <w:pStyle w:val="2"/>
        <w:spacing w:before="6"/>
        <w:rPr>
          <w:b/>
          <w:sz w:val="16"/>
        </w:rPr>
      </w:pPr>
    </w:p>
    <w:p>
      <w:pPr>
        <w:spacing w:before="0" w:line="427" w:lineRule="auto"/>
        <w:ind w:left="392" w:right="552" w:firstLine="422"/>
        <w:jc w:val="both"/>
        <w:rPr>
          <w:b/>
          <w:sz w:val="21"/>
        </w:rPr>
      </w:pPr>
      <w:r>
        <w:rPr>
          <w:b/>
          <w:spacing w:val="-27"/>
          <w:sz w:val="21"/>
        </w:rPr>
        <w:t xml:space="preserve">招 标 人 会 根 据 招 标 需 要 ， 可 能 会 不 定 期 在 大 丰 公 共 资 源 交 易 平 台 </w:t>
      </w:r>
      <w:r>
        <w:rPr>
          <w:b/>
          <w:sz w:val="21"/>
        </w:rPr>
        <w:t>（</w:t>
      </w:r>
      <w:r>
        <w:rPr>
          <w:b/>
          <w:spacing w:val="-15"/>
          <w:sz w:val="21"/>
        </w:rPr>
        <w:t xml:space="preserve"> 网 址 ： </w:t>
      </w:r>
      <w:r>
        <w:fldChar w:fldCharType="begin"/>
      </w:r>
      <w:r>
        <w:instrText xml:space="preserve"> HYPERLINK "http://ggzy.dafeng.gov.cn/dfweb/" \h </w:instrText>
      </w:r>
      <w:r>
        <w:fldChar w:fldCharType="separate"/>
      </w:r>
      <w:r>
        <w:rPr>
          <w:rFonts w:ascii="Times New Roman" w:eastAsia="Times New Roman"/>
          <w:b/>
          <w:spacing w:val="-1"/>
          <w:sz w:val="21"/>
        </w:rPr>
        <w:t>http://ggzy.dafeng.gov.cn/dfweb/</w:t>
      </w:r>
      <w:r>
        <w:rPr>
          <w:rFonts w:ascii="Times New Roman" w:eastAsia="Times New Roman"/>
          <w:b/>
          <w:spacing w:val="-1"/>
          <w:sz w:val="21"/>
        </w:rPr>
        <w:fldChar w:fldCharType="end"/>
      </w:r>
      <w:r>
        <w:rPr>
          <w:b/>
          <w:spacing w:val="-1"/>
          <w:sz w:val="21"/>
        </w:rPr>
        <w:t>）</w:t>
      </w:r>
      <w:r>
        <w:rPr>
          <w:b/>
          <w:spacing w:val="-3"/>
          <w:sz w:val="21"/>
        </w:rPr>
        <w:t>发布该项目补充答疑等澄清修改文件，请各投标人投标截止时间前每天自行网上查询，未能及时查阅响应而影响投标的，结果由投标人负责。</w:t>
      </w:r>
    </w:p>
    <w:p>
      <w:pPr>
        <w:spacing w:after="0" w:line="427" w:lineRule="auto"/>
        <w:jc w:val="both"/>
        <w:rPr>
          <w:sz w:val="21"/>
        </w:rPr>
        <w:sectPr>
          <w:footerReference r:id="rId6" w:type="default"/>
          <w:pgSz w:w="11910" w:h="16840"/>
          <w:pgMar w:top="1420" w:right="580" w:bottom="1580" w:left="740" w:header="0" w:footer="1399" w:gutter="0"/>
          <w:pgNumType w:fmt="decimal"/>
          <w:cols w:space="720" w:num="1"/>
        </w:sectPr>
      </w:pPr>
    </w:p>
    <w:p>
      <w:pPr>
        <w:pStyle w:val="2"/>
        <w:spacing w:before="5"/>
        <w:rPr>
          <w:b/>
          <w:sz w:val="20"/>
        </w:rPr>
      </w:pPr>
    </w:p>
    <w:p>
      <w:pPr>
        <w:pStyle w:val="21"/>
        <w:numPr>
          <w:ilvl w:val="0"/>
          <w:numId w:val="2"/>
        </w:numPr>
        <w:tabs>
          <w:tab w:val="left" w:pos="977"/>
        </w:tabs>
        <w:spacing w:before="79" w:after="0" w:line="240" w:lineRule="auto"/>
        <w:ind w:left="977" w:right="0" w:hanging="162"/>
        <w:jc w:val="left"/>
        <w:rPr>
          <w:b/>
          <w:sz w:val="19"/>
        </w:rPr>
      </w:pPr>
      <w:r>
        <w:rPr>
          <w:b/>
          <w:sz w:val="21"/>
        </w:rPr>
        <w:t>总则</w:t>
      </w:r>
    </w:p>
    <w:p>
      <w:pPr>
        <w:pStyle w:val="21"/>
        <w:numPr>
          <w:ilvl w:val="1"/>
          <w:numId w:val="2"/>
        </w:numPr>
        <w:tabs>
          <w:tab w:val="left" w:pos="1183"/>
        </w:tabs>
        <w:spacing w:before="189" w:after="0" w:line="240" w:lineRule="auto"/>
        <w:ind w:left="1182" w:right="0" w:hanging="371"/>
        <w:jc w:val="left"/>
        <w:rPr>
          <w:rFonts w:ascii="Times New Roman" w:eastAsia="Times New Roman"/>
          <w:sz w:val="21"/>
        </w:rPr>
      </w:pPr>
      <w:r>
        <w:rPr>
          <w:rFonts w:hint="eastAsia" w:ascii="黑体" w:eastAsia="黑体"/>
          <w:spacing w:val="-3"/>
          <w:sz w:val="21"/>
        </w:rPr>
        <w:t>项目概况</w:t>
      </w:r>
    </w:p>
    <w:p>
      <w:pPr>
        <w:pStyle w:val="21"/>
        <w:numPr>
          <w:ilvl w:val="2"/>
          <w:numId w:val="2"/>
        </w:numPr>
        <w:tabs>
          <w:tab w:val="left" w:pos="1286"/>
        </w:tabs>
        <w:spacing w:before="192" w:after="0" w:line="240" w:lineRule="auto"/>
        <w:ind w:left="1354" w:leftChars="0" w:right="0" w:hanging="474" w:firstLineChars="0"/>
        <w:jc w:val="left"/>
        <w:rPr>
          <w:rFonts w:ascii="Times New Roman" w:eastAsia="Times New Roman"/>
          <w:sz w:val="21"/>
        </w:rPr>
      </w:pPr>
      <w:r>
        <w:rPr>
          <w:spacing w:val="-3"/>
          <w:sz w:val="21"/>
        </w:rPr>
        <w:t>根据有关法律、法规和规章的规定，本招标项目已具备招标条件，现对本项目货物进行招标。</w:t>
      </w:r>
    </w:p>
    <w:p>
      <w:pPr>
        <w:pStyle w:val="21"/>
        <w:numPr>
          <w:ilvl w:val="2"/>
          <w:numId w:val="2"/>
        </w:numPr>
        <w:tabs>
          <w:tab w:val="left" w:pos="1286"/>
        </w:tabs>
        <w:spacing w:before="191" w:after="0" w:line="240" w:lineRule="auto"/>
        <w:ind w:left="1354" w:leftChars="0" w:right="0" w:hanging="474" w:firstLineChars="0"/>
        <w:jc w:val="left"/>
        <w:rPr>
          <w:rFonts w:ascii="Times New Roman" w:eastAsia="Times New Roman"/>
          <w:sz w:val="21"/>
        </w:rPr>
      </w:pPr>
      <w:r>
        <w:rPr>
          <w:spacing w:val="-3"/>
          <w:sz w:val="21"/>
        </w:rPr>
        <w:t>本招标项目招标人：见投标人须知前附表。</w:t>
      </w:r>
    </w:p>
    <w:p>
      <w:pPr>
        <w:pStyle w:val="21"/>
        <w:numPr>
          <w:ilvl w:val="2"/>
          <w:numId w:val="2"/>
        </w:numPr>
        <w:tabs>
          <w:tab w:val="left" w:pos="1286"/>
        </w:tabs>
        <w:spacing w:before="190" w:after="0" w:line="240" w:lineRule="auto"/>
        <w:ind w:left="1354" w:leftChars="0" w:right="0" w:hanging="474" w:firstLineChars="0"/>
        <w:jc w:val="left"/>
        <w:rPr>
          <w:rFonts w:ascii="Times New Roman" w:eastAsia="Times New Roman"/>
          <w:sz w:val="21"/>
        </w:rPr>
      </w:pPr>
      <w:r>
        <w:rPr>
          <w:spacing w:val="-3"/>
          <w:sz w:val="21"/>
        </w:rPr>
        <w:t>本招标项目招标代理机构：见投标人须知前附表。</w:t>
      </w:r>
    </w:p>
    <w:p>
      <w:pPr>
        <w:pStyle w:val="21"/>
        <w:numPr>
          <w:ilvl w:val="2"/>
          <w:numId w:val="2"/>
        </w:numPr>
        <w:tabs>
          <w:tab w:val="left" w:pos="1286"/>
        </w:tabs>
        <w:spacing w:before="191" w:after="0" w:line="240" w:lineRule="auto"/>
        <w:ind w:left="1354" w:leftChars="0" w:right="0" w:hanging="474" w:firstLineChars="0"/>
        <w:jc w:val="left"/>
        <w:rPr>
          <w:rFonts w:ascii="Times New Roman" w:eastAsia="Times New Roman"/>
          <w:sz w:val="21"/>
        </w:rPr>
      </w:pPr>
      <w:r>
        <w:rPr>
          <w:spacing w:val="-3"/>
          <w:sz w:val="21"/>
        </w:rPr>
        <w:t>本招标项目名称：见投标人须知前附表。</w:t>
      </w:r>
    </w:p>
    <w:p>
      <w:pPr>
        <w:pStyle w:val="21"/>
        <w:numPr>
          <w:ilvl w:val="1"/>
          <w:numId w:val="2"/>
        </w:numPr>
        <w:tabs>
          <w:tab w:val="left" w:pos="1183"/>
        </w:tabs>
        <w:spacing w:before="192" w:after="0" w:line="240" w:lineRule="auto"/>
        <w:ind w:left="1182" w:right="0" w:hanging="371"/>
        <w:jc w:val="left"/>
        <w:rPr>
          <w:rFonts w:ascii="Times New Roman" w:eastAsia="Times New Roman"/>
          <w:sz w:val="21"/>
        </w:rPr>
      </w:pPr>
      <w:r>
        <w:rPr>
          <w:rFonts w:hint="eastAsia" w:ascii="黑体" w:eastAsia="黑体"/>
          <w:spacing w:val="-3"/>
          <w:sz w:val="21"/>
        </w:rPr>
        <w:t>资金来源和落实情况</w:t>
      </w:r>
    </w:p>
    <w:p>
      <w:pPr>
        <w:pStyle w:val="21"/>
        <w:numPr>
          <w:ilvl w:val="2"/>
          <w:numId w:val="2"/>
        </w:numPr>
        <w:tabs>
          <w:tab w:val="left" w:pos="1286"/>
        </w:tabs>
        <w:spacing w:before="190" w:after="0" w:line="240" w:lineRule="auto"/>
        <w:ind w:left="1354" w:leftChars="0" w:right="0" w:hanging="474" w:firstLineChars="0"/>
        <w:jc w:val="left"/>
        <w:rPr>
          <w:rFonts w:ascii="Times New Roman" w:eastAsia="Times New Roman"/>
          <w:sz w:val="21"/>
        </w:rPr>
      </w:pPr>
      <w:r>
        <w:rPr>
          <w:spacing w:val="-3"/>
          <w:sz w:val="21"/>
        </w:rPr>
        <w:t>本招标项目的资金来源：见投标人须知前附表。</w:t>
      </w:r>
    </w:p>
    <w:p>
      <w:pPr>
        <w:pStyle w:val="21"/>
        <w:numPr>
          <w:ilvl w:val="2"/>
          <w:numId w:val="2"/>
        </w:numPr>
        <w:tabs>
          <w:tab w:val="left" w:pos="1286"/>
        </w:tabs>
        <w:spacing w:before="191" w:after="0" w:line="240" w:lineRule="auto"/>
        <w:ind w:left="1354" w:leftChars="0" w:right="0" w:hanging="474" w:firstLineChars="0"/>
        <w:jc w:val="left"/>
        <w:rPr>
          <w:rFonts w:ascii="Times New Roman" w:eastAsia="Times New Roman"/>
          <w:sz w:val="21"/>
        </w:rPr>
      </w:pPr>
      <w:r>
        <w:rPr>
          <w:spacing w:val="-3"/>
          <w:sz w:val="21"/>
        </w:rPr>
        <w:t>本招标项目的出资比例：见投标人须知前附表。</w:t>
      </w:r>
    </w:p>
    <w:p>
      <w:pPr>
        <w:pStyle w:val="21"/>
        <w:numPr>
          <w:ilvl w:val="2"/>
          <w:numId w:val="2"/>
        </w:numPr>
        <w:tabs>
          <w:tab w:val="left" w:pos="1286"/>
        </w:tabs>
        <w:spacing w:before="192" w:after="0" w:line="240" w:lineRule="auto"/>
        <w:ind w:left="1354" w:leftChars="0" w:right="0" w:hanging="474" w:firstLineChars="0"/>
        <w:jc w:val="left"/>
        <w:rPr>
          <w:rFonts w:ascii="Times New Roman" w:eastAsia="Times New Roman"/>
          <w:sz w:val="21"/>
        </w:rPr>
      </w:pPr>
      <w:r>
        <w:rPr>
          <w:spacing w:val="-3"/>
          <w:sz w:val="21"/>
        </w:rPr>
        <w:t>本招标项目的资金落实情况：见投标人须知前附表。</w:t>
      </w:r>
    </w:p>
    <w:p>
      <w:pPr>
        <w:pStyle w:val="21"/>
        <w:numPr>
          <w:ilvl w:val="1"/>
          <w:numId w:val="2"/>
        </w:numPr>
        <w:tabs>
          <w:tab w:val="left" w:pos="1130"/>
        </w:tabs>
        <w:spacing w:before="189" w:after="0" w:line="240" w:lineRule="auto"/>
        <w:ind w:left="1129" w:right="0" w:hanging="318"/>
        <w:jc w:val="left"/>
        <w:rPr>
          <w:rFonts w:ascii="Times New Roman" w:eastAsia="Times New Roman"/>
          <w:sz w:val="21"/>
        </w:rPr>
      </w:pPr>
      <w:r>
        <w:rPr>
          <w:rFonts w:hint="eastAsia" w:ascii="黑体" w:eastAsia="黑体"/>
          <w:spacing w:val="-3"/>
          <w:sz w:val="21"/>
        </w:rPr>
        <w:t>采购内容、项目完成期限、交货或服务地点和质量要求</w:t>
      </w:r>
    </w:p>
    <w:p>
      <w:pPr>
        <w:pStyle w:val="21"/>
        <w:numPr>
          <w:ilvl w:val="2"/>
          <w:numId w:val="2"/>
        </w:numPr>
        <w:tabs>
          <w:tab w:val="left" w:pos="1286"/>
        </w:tabs>
        <w:spacing w:before="192" w:after="0" w:line="240" w:lineRule="auto"/>
        <w:ind w:left="1354" w:leftChars="0" w:right="0" w:hanging="474" w:firstLineChars="0"/>
        <w:jc w:val="left"/>
        <w:rPr>
          <w:rFonts w:ascii="Times New Roman" w:eastAsia="Times New Roman"/>
          <w:sz w:val="21"/>
        </w:rPr>
      </w:pPr>
      <w:r>
        <w:rPr>
          <w:spacing w:val="-3"/>
          <w:sz w:val="21"/>
        </w:rPr>
        <w:t>本次采购内容：见投标人须知前附表。</w:t>
      </w:r>
    </w:p>
    <w:p>
      <w:pPr>
        <w:pStyle w:val="21"/>
        <w:numPr>
          <w:ilvl w:val="2"/>
          <w:numId w:val="2"/>
        </w:numPr>
        <w:tabs>
          <w:tab w:val="left" w:pos="1286"/>
        </w:tabs>
        <w:spacing w:before="192" w:after="0" w:line="240" w:lineRule="auto"/>
        <w:ind w:left="1354" w:leftChars="0" w:right="0" w:hanging="474" w:firstLineChars="0"/>
        <w:jc w:val="left"/>
        <w:rPr>
          <w:rFonts w:ascii="Times New Roman" w:eastAsia="Times New Roman"/>
          <w:sz w:val="21"/>
        </w:rPr>
      </w:pPr>
      <w:r>
        <w:rPr>
          <w:spacing w:val="-3"/>
          <w:sz w:val="21"/>
        </w:rPr>
        <w:t>本招标项目的项目完成期限：见投标人须知前附表。</w:t>
      </w:r>
    </w:p>
    <w:p>
      <w:pPr>
        <w:pStyle w:val="21"/>
        <w:numPr>
          <w:ilvl w:val="2"/>
          <w:numId w:val="2"/>
        </w:numPr>
        <w:tabs>
          <w:tab w:val="left" w:pos="1286"/>
        </w:tabs>
        <w:spacing w:before="189" w:after="0" w:line="240" w:lineRule="auto"/>
        <w:ind w:left="1354" w:leftChars="0" w:right="0" w:hanging="474" w:firstLineChars="0"/>
        <w:jc w:val="left"/>
        <w:rPr>
          <w:rFonts w:ascii="Times New Roman" w:eastAsia="Times New Roman"/>
          <w:sz w:val="21"/>
        </w:rPr>
      </w:pPr>
      <w:r>
        <w:rPr>
          <w:spacing w:val="-3"/>
          <w:sz w:val="21"/>
        </w:rPr>
        <w:t>本招标项目的交货或服务地点：见投标人须知前附表。</w:t>
      </w:r>
    </w:p>
    <w:p>
      <w:pPr>
        <w:pStyle w:val="21"/>
        <w:numPr>
          <w:ilvl w:val="2"/>
          <w:numId w:val="2"/>
        </w:numPr>
        <w:tabs>
          <w:tab w:val="left" w:pos="1286"/>
        </w:tabs>
        <w:spacing w:before="192" w:after="0" w:line="240" w:lineRule="auto"/>
        <w:ind w:left="1354" w:leftChars="0" w:right="0" w:hanging="474" w:firstLineChars="0"/>
        <w:jc w:val="left"/>
        <w:rPr>
          <w:rFonts w:ascii="Times New Roman" w:eastAsia="Times New Roman"/>
          <w:sz w:val="21"/>
        </w:rPr>
      </w:pPr>
      <w:r>
        <w:rPr>
          <w:spacing w:val="-3"/>
          <w:sz w:val="21"/>
        </w:rPr>
        <w:t>本招标项目的质量要求及验收标准：见投标人须知前附表。</w:t>
      </w:r>
    </w:p>
    <w:p>
      <w:pPr>
        <w:pStyle w:val="21"/>
        <w:numPr>
          <w:ilvl w:val="2"/>
          <w:numId w:val="2"/>
        </w:numPr>
        <w:tabs>
          <w:tab w:val="left" w:pos="1286"/>
        </w:tabs>
        <w:spacing w:before="192" w:after="0" w:line="240" w:lineRule="auto"/>
        <w:ind w:left="1354" w:leftChars="0" w:right="0" w:hanging="474" w:firstLineChars="0"/>
        <w:jc w:val="left"/>
        <w:rPr>
          <w:rFonts w:ascii="Times New Roman" w:eastAsia="Times New Roman"/>
          <w:sz w:val="21"/>
        </w:rPr>
      </w:pPr>
      <w:r>
        <w:rPr>
          <w:spacing w:val="-3"/>
          <w:sz w:val="21"/>
        </w:rPr>
        <w:t>参考拟推荐品牌：见投标人须知前附表。</w:t>
      </w:r>
    </w:p>
    <w:p>
      <w:pPr>
        <w:pStyle w:val="21"/>
        <w:numPr>
          <w:ilvl w:val="1"/>
          <w:numId w:val="2"/>
        </w:numPr>
        <w:tabs>
          <w:tab w:val="left" w:pos="1183"/>
        </w:tabs>
        <w:spacing w:before="189" w:after="0" w:line="240" w:lineRule="auto"/>
        <w:ind w:left="1182" w:right="0" w:hanging="371"/>
        <w:jc w:val="left"/>
        <w:rPr>
          <w:rFonts w:ascii="Times New Roman" w:eastAsia="Times New Roman"/>
          <w:sz w:val="21"/>
        </w:rPr>
      </w:pPr>
      <w:r>
        <w:rPr>
          <w:rFonts w:hint="eastAsia" w:ascii="黑体" w:eastAsia="黑体"/>
          <w:spacing w:val="-3"/>
          <w:sz w:val="21"/>
        </w:rPr>
        <w:t>投标人资格要求</w:t>
      </w:r>
    </w:p>
    <w:p>
      <w:pPr>
        <w:pStyle w:val="21"/>
        <w:numPr>
          <w:ilvl w:val="2"/>
          <w:numId w:val="2"/>
        </w:numPr>
        <w:tabs>
          <w:tab w:val="left" w:pos="1339"/>
        </w:tabs>
        <w:spacing w:before="192" w:after="0" w:line="240" w:lineRule="auto"/>
        <w:ind w:left="1407" w:leftChars="0" w:right="0" w:hanging="527" w:firstLineChars="0"/>
        <w:jc w:val="left"/>
        <w:rPr>
          <w:rFonts w:ascii="Times New Roman" w:eastAsia="Times New Roman"/>
          <w:sz w:val="21"/>
        </w:rPr>
      </w:pPr>
      <w:r>
        <w:rPr>
          <w:spacing w:val="-3"/>
          <w:sz w:val="21"/>
        </w:rPr>
        <w:t>投标人应具备的资格要求见投标人须知前附表。</w:t>
      </w:r>
    </w:p>
    <w:p>
      <w:pPr>
        <w:pStyle w:val="21"/>
        <w:numPr>
          <w:ilvl w:val="2"/>
          <w:numId w:val="2"/>
        </w:numPr>
        <w:tabs>
          <w:tab w:val="left" w:pos="1339"/>
        </w:tabs>
        <w:spacing w:before="192" w:after="0" w:line="240" w:lineRule="auto"/>
        <w:ind w:left="1407" w:leftChars="0" w:right="0" w:hanging="527" w:firstLineChars="0"/>
        <w:jc w:val="left"/>
        <w:rPr>
          <w:rFonts w:ascii="Times New Roman" w:eastAsia="Times New Roman"/>
          <w:sz w:val="21"/>
        </w:rPr>
      </w:pPr>
      <w:r>
        <w:rPr>
          <w:spacing w:val="-3"/>
          <w:sz w:val="21"/>
        </w:rPr>
        <w:t>本项目不接受联合体投标。</w:t>
      </w:r>
    </w:p>
    <w:p>
      <w:pPr>
        <w:pStyle w:val="21"/>
        <w:numPr>
          <w:ilvl w:val="2"/>
          <w:numId w:val="2"/>
        </w:numPr>
        <w:tabs>
          <w:tab w:val="left" w:pos="1339"/>
        </w:tabs>
        <w:spacing w:before="189" w:after="0" w:line="240" w:lineRule="auto"/>
        <w:ind w:left="1407" w:leftChars="0" w:right="0" w:hanging="527" w:firstLineChars="0"/>
        <w:jc w:val="left"/>
        <w:rPr>
          <w:rFonts w:ascii="Times New Roman" w:eastAsia="Times New Roman"/>
          <w:sz w:val="21"/>
        </w:rPr>
      </w:pPr>
      <w:r>
        <w:rPr>
          <w:spacing w:val="-3"/>
          <w:sz w:val="21"/>
        </w:rPr>
        <w:t>投标人不得存在下列情形之一：</w:t>
      </w:r>
    </w:p>
    <w:p>
      <w:pPr>
        <w:pStyle w:val="21"/>
        <w:numPr>
          <w:ilvl w:val="0"/>
          <w:numId w:val="3"/>
        </w:numPr>
        <w:tabs>
          <w:tab w:val="left" w:pos="1342"/>
        </w:tabs>
        <w:spacing w:before="192" w:after="0" w:line="240" w:lineRule="auto"/>
        <w:ind w:left="1341" w:right="0" w:hanging="530"/>
        <w:jc w:val="left"/>
        <w:rPr>
          <w:sz w:val="21"/>
        </w:rPr>
      </w:pPr>
      <w:r>
        <w:rPr>
          <w:spacing w:val="-3"/>
          <w:sz w:val="21"/>
        </w:rPr>
        <w:t>为招标人的附属机构</w:t>
      </w:r>
      <w:r>
        <w:rPr>
          <w:sz w:val="21"/>
        </w:rPr>
        <w:t>（</w:t>
      </w:r>
      <w:r>
        <w:rPr>
          <w:spacing w:val="-2"/>
          <w:sz w:val="21"/>
        </w:rPr>
        <w:t>单位</w:t>
      </w:r>
      <w:r>
        <w:rPr>
          <w:sz w:val="21"/>
        </w:rPr>
        <w:t>）；</w:t>
      </w:r>
    </w:p>
    <w:p>
      <w:pPr>
        <w:pStyle w:val="2"/>
        <w:spacing w:before="12"/>
        <w:rPr>
          <w:sz w:val="14"/>
        </w:rPr>
      </w:pPr>
    </w:p>
    <w:p>
      <w:pPr>
        <w:pStyle w:val="21"/>
        <w:numPr>
          <w:ilvl w:val="0"/>
          <w:numId w:val="3"/>
        </w:numPr>
        <w:tabs>
          <w:tab w:val="left" w:pos="1342"/>
        </w:tabs>
        <w:spacing w:before="0" w:after="0" w:line="240" w:lineRule="auto"/>
        <w:ind w:left="1341" w:right="0" w:hanging="530"/>
        <w:jc w:val="left"/>
        <w:rPr>
          <w:sz w:val="21"/>
        </w:rPr>
      </w:pPr>
      <w:r>
        <w:rPr>
          <w:spacing w:val="-3"/>
          <w:sz w:val="21"/>
        </w:rPr>
        <w:t>为本标段提供招标代理服务的；</w:t>
      </w:r>
    </w:p>
    <w:p>
      <w:pPr>
        <w:pStyle w:val="2"/>
        <w:spacing w:before="10"/>
        <w:rPr>
          <w:sz w:val="14"/>
        </w:rPr>
      </w:pPr>
    </w:p>
    <w:p>
      <w:pPr>
        <w:pStyle w:val="21"/>
        <w:numPr>
          <w:ilvl w:val="0"/>
          <w:numId w:val="3"/>
        </w:numPr>
        <w:tabs>
          <w:tab w:val="left" w:pos="1342"/>
        </w:tabs>
        <w:spacing w:before="0" w:after="0" w:line="240" w:lineRule="auto"/>
        <w:ind w:left="1341" w:right="0" w:hanging="530"/>
        <w:jc w:val="left"/>
        <w:rPr>
          <w:sz w:val="21"/>
        </w:rPr>
      </w:pPr>
      <w:r>
        <w:rPr>
          <w:spacing w:val="-3"/>
          <w:sz w:val="21"/>
        </w:rPr>
        <w:t>与本标段的招标代理机构的单位负责人为同一个人的；</w:t>
      </w:r>
    </w:p>
    <w:p>
      <w:pPr>
        <w:pStyle w:val="2"/>
        <w:spacing w:before="12"/>
        <w:rPr>
          <w:sz w:val="14"/>
        </w:rPr>
      </w:pPr>
    </w:p>
    <w:p>
      <w:pPr>
        <w:pStyle w:val="21"/>
        <w:numPr>
          <w:ilvl w:val="0"/>
          <w:numId w:val="3"/>
        </w:numPr>
        <w:tabs>
          <w:tab w:val="left" w:pos="1342"/>
        </w:tabs>
        <w:spacing w:before="0" w:after="0" w:line="240" w:lineRule="auto"/>
        <w:ind w:left="1341" w:right="0" w:hanging="530"/>
        <w:jc w:val="left"/>
        <w:rPr>
          <w:sz w:val="21"/>
        </w:rPr>
      </w:pPr>
      <w:r>
        <w:rPr>
          <w:spacing w:val="-3"/>
          <w:sz w:val="21"/>
        </w:rPr>
        <w:t>与本标段的招标代理机构相互控股或参股的；</w:t>
      </w:r>
    </w:p>
    <w:p>
      <w:pPr>
        <w:pStyle w:val="2"/>
        <w:rPr>
          <w:sz w:val="15"/>
        </w:rPr>
      </w:pPr>
    </w:p>
    <w:p>
      <w:pPr>
        <w:pStyle w:val="21"/>
        <w:numPr>
          <w:ilvl w:val="0"/>
          <w:numId w:val="3"/>
        </w:numPr>
        <w:tabs>
          <w:tab w:val="left" w:pos="1342"/>
        </w:tabs>
        <w:spacing w:before="0" w:after="0" w:line="240" w:lineRule="auto"/>
        <w:ind w:left="1341" w:right="0" w:hanging="530"/>
        <w:jc w:val="left"/>
        <w:rPr>
          <w:sz w:val="21"/>
        </w:rPr>
      </w:pPr>
      <w:r>
        <w:rPr>
          <w:spacing w:val="-3"/>
          <w:sz w:val="21"/>
        </w:rPr>
        <w:t>与本标段的其他申请人的单位负责人为同一个人的；</w:t>
      </w:r>
    </w:p>
    <w:p>
      <w:pPr>
        <w:pStyle w:val="2"/>
        <w:spacing w:before="10"/>
        <w:rPr>
          <w:sz w:val="14"/>
        </w:rPr>
      </w:pPr>
    </w:p>
    <w:p>
      <w:pPr>
        <w:pStyle w:val="21"/>
        <w:numPr>
          <w:ilvl w:val="0"/>
          <w:numId w:val="3"/>
        </w:numPr>
        <w:tabs>
          <w:tab w:val="left" w:pos="1342"/>
        </w:tabs>
        <w:spacing w:before="0" w:after="0" w:line="240" w:lineRule="auto"/>
        <w:ind w:left="1341" w:right="0" w:hanging="530"/>
        <w:jc w:val="left"/>
        <w:rPr>
          <w:sz w:val="21"/>
        </w:rPr>
      </w:pPr>
      <w:r>
        <w:rPr>
          <w:spacing w:val="-3"/>
          <w:sz w:val="21"/>
        </w:rPr>
        <w:t>与本标段的其他申请人之间存在控股、管理关系或母公司、全资子公司关系的；</w:t>
      </w:r>
    </w:p>
    <w:p>
      <w:pPr>
        <w:pStyle w:val="2"/>
        <w:spacing w:before="12"/>
        <w:rPr>
          <w:sz w:val="14"/>
        </w:rPr>
      </w:pPr>
    </w:p>
    <w:p>
      <w:pPr>
        <w:pStyle w:val="21"/>
        <w:numPr>
          <w:ilvl w:val="0"/>
          <w:numId w:val="3"/>
        </w:numPr>
        <w:tabs>
          <w:tab w:val="left" w:pos="1342"/>
        </w:tabs>
        <w:spacing w:before="0" w:after="0" w:line="240" w:lineRule="auto"/>
        <w:ind w:left="1341" w:right="0" w:hanging="530"/>
        <w:jc w:val="left"/>
        <w:rPr>
          <w:sz w:val="21"/>
        </w:rPr>
      </w:pPr>
      <w:r>
        <w:rPr>
          <w:spacing w:val="-3"/>
          <w:sz w:val="21"/>
        </w:rPr>
        <w:t>法律法规规定的其他情形。</w:t>
      </w:r>
    </w:p>
    <w:p>
      <w:pPr>
        <w:spacing w:after="0" w:line="240" w:lineRule="auto"/>
        <w:jc w:val="left"/>
        <w:rPr>
          <w:sz w:val="21"/>
        </w:rPr>
        <w:sectPr>
          <w:pgSz w:w="11910" w:h="16840"/>
          <w:pgMar w:top="1580" w:right="580" w:bottom="1660" w:left="740" w:header="0" w:footer="1399" w:gutter="0"/>
          <w:pgNumType w:fmt="decimal"/>
          <w:cols w:space="720" w:num="1"/>
        </w:sectPr>
      </w:pPr>
    </w:p>
    <w:p>
      <w:pPr>
        <w:pStyle w:val="21"/>
        <w:numPr>
          <w:ilvl w:val="1"/>
          <w:numId w:val="2"/>
        </w:numPr>
        <w:tabs>
          <w:tab w:val="left" w:pos="1183"/>
        </w:tabs>
        <w:spacing w:before="59" w:after="0" w:line="240" w:lineRule="auto"/>
        <w:ind w:left="1182" w:right="0" w:hanging="371"/>
        <w:jc w:val="left"/>
        <w:rPr>
          <w:rFonts w:ascii="Times New Roman" w:eastAsia="Times New Roman"/>
          <w:sz w:val="21"/>
        </w:rPr>
      </w:pPr>
      <w:r>
        <w:rPr>
          <w:rFonts w:hint="eastAsia" w:ascii="黑体" w:eastAsia="黑体"/>
          <w:spacing w:val="-3"/>
          <w:sz w:val="21"/>
        </w:rPr>
        <w:t>费用承担</w:t>
      </w:r>
    </w:p>
    <w:p>
      <w:pPr>
        <w:pStyle w:val="2"/>
        <w:spacing w:before="192"/>
        <w:ind w:left="812"/>
      </w:pPr>
      <w:r>
        <w:t>投标人准备和参加投标活动发生的费用自理。</w:t>
      </w:r>
    </w:p>
    <w:p>
      <w:pPr>
        <w:pStyle w:val="2"/>
        <w:spacing w:before="10"/>
        <w:rPr>
          <w:sz w:val="14"/>
        </w:rPr>
      </w:pPr>
    </w:p>
    <w:p>
      <w:pPr>
        <w:pStyle w:val="21"/>
        <w:numPr>
          <w:ilvl w:val="1"/>
          <w:numId w:val="2"/>
        </w:numPr>
        <w:tabs>
          <w:tab w:val="left" w:pos="1183"/>
        </w:tabs>
        <w:spacing w:before="0" w:after="0" w:line="240" w:lineRule="auto"/>
        <w:ind w:left="1182" w:right="0" w:hanging="371"/>
        <w:jc w:val="left"/>
        <w:rPr>
          <w:rFonts w:ascii="Times New Roman" w:eastAsia="Times New Roman"/>
          <w:sz w:val="21"/>
        </w:rPr>
      </w:pPr>
      <w:r>
        <w:rPr>
          <w:rFonts w:hint="eastAsia" w:ascii="黑体" w:eastAsia="黑体"/>
          <w:spacing w:val="-2"/>
          <w:sz w:val="21"/>
        </w:rPr>
        <w:t>保密</w:t>
      </w:r>
    </w:p>
    <w:p>
      <w:pPr>
        <w:pStyle w:val="2"/>
        <w:spacing w:before="191" w:line="410" w:lineRule="auto"/>
        <w:ind w:left="392" w:right="523" w:firstLine="419"/>
      </w:pPr>
      <w:r>
        <w:t>参与招标投标活动的各方应对招标文件和投标文件中的商业和技术等秘密保密，违者应对由此造成的后果承担法律责任。</w:t>
      </w:r>
    </w:p>
    <w:p>
      <w:pPr>
        <w:pStyle w:val="21"/>
        <w:numPr>
          <w:ilvl w:val="1"/>
          <w:numId w:val="2"/>
        </w:numPr>
        <w:tabs>
          <w:tab w:val="left" w:pos="1183"/>
        </w:tabs>
        <w:spacing w:before="0" w:after="0" w:line="268" w:lineRule="exact"/>
        <w:ind w:left="1182" w:right="0" w:hanging="371"/>
        <w:jc w:val="left"/>
        <w:rPr>
          <w:rFonts w:ascii="Times New Roman" w:eastAsia="Times New Roman"/>
          <w:sz w:val="21"/>
        </w:rPr>
      </w:pPr>
      <w:r>
        <w:rPr>
          <w:rFonts w:hint="eastAsia" w:ascii="黑体" w:eastAsia="黑体"/>
          <w:spacing w:val="-3"/>
          <w:sz w:val="21"/>
        </w:rPr>
        <w:t>语言文字</w:t>
      </w:r>
    </w:p>
    <w:p>
      <w:pPr>
        <w:pStyle w:val="2"/>
        <w:spacing w:before="192"/>
        <w:ind w:left="812"/>
      </w:pPr>
      <w:r>
        <w:t>除专用术语外，与招标投标有关的语言均使用中文。必要时专用术语应附有中文注释。</w:t>
      </w:r>
    </w:p>
    <w:p>
      <w:pPr>
        <w:pStyle w:val="2"/>
        <w:spacing w:before="12"/>
        <w:rPr>
          <w:sz w:val="14"/>
        </w:rPr>
      </w:pPr>
    </w:p>
    <w:p>
      <w:pPr>
        <w:pStyle w:val="21"/>
        <w:numPr>
          <w:ilvl w:val="1"/>
          <w:numId w:val="2"/>
        </w:numPr>
        <w:tabs>
          <w:tab w:val="left" w:pos="1183"/>
        </w:tabs>
        <w:spacing w:before="0" w:after="0" w:line="240" w:lineRule="auto"/>
        <w:ind w:left="1182" w:right="0" w:hanging="371"/>
        <w:jc w:val="left"/>
        <w:rPr>
          <w:rFonts w:ascii="Times New Roman" w:eastAsia="Times New Roman"/>
          <w:sz w:val="21"/>
        </w:rPr>
      </w:pPr>
      <w:r>
        <w:rPr>
          <w:rFonts w:hint="eastAsia" w:ascii="黑体" w:eastAsia="黑体"/>
          <w:spacing w:val="-3"/>
          <w:sz w:val="21"/>
        </w:rPr>
        <w:t>计量单位</w:t>
      </w:r>
    </w:p>
    <w:p>
      <w:pPr>
        <w:pStyle w:val="2"/>
        <w:spacing w:before="190"/>
        <w:ind w:left="812"/>
      </w:pPr>
      <w:r>
        <w:t>所有计量均采用中华人民共和国法定计量单位。</w:t>
      </w:r>
    </w:p>
    <w:p>
      <w:pPr>
        <w:pStyle w:val="2"/>
        <w:spacing w:before="12"/>
        <w:rPr>
          <w:sz w:val="14"/>
        </w:rPr>
      </w:pPr>
    </w:p>
    <w:p>
      <w:pPr>
        <w:pStyle w:val="21"/>
        <w:numPr>
          <w:ilvl w:val="1"/>
          <w:numId w:val="2"/>
        </w:numPr>
        <w:tabs>
          <w:tab w:val="left" w:pos="1183"/>
        </w:tabs>
        <w:spacing w:before="0" w:after="0" w:line="240" w:lineRule="auto"/>
        <w:ind w:left="1182" w:right="0" w:hanging="371"/>
        <w:jc w:val="left"/>
        <w:rPr>
          <w:rFonts w:ascii="Times New Roman" w:eastAsia="Times New Roman"/>
          <w:sz w:val="21"/>
        </w:rPr>
      </w:pPr>
      <w:r>
        <w:rPr>
          <w:rFonts w:hint="eastAsia" w:ascii="黑体" w:eastAsia="黑体"/>
          <w:spacing w:val="-3"/>
          <w:sz w:val="21"/>
        </w:rPr>
        <w:t>踏勘现场</w:t>
      </w:r>
    </w:p>
    <w:p>
      <w:pPr>
        <w:pStyle w:val="21"/>
        <w:numPr>
          <w:ilvl w:val="2"/>
          <w:numId w:val="2"/>
        </w:numPr>
        <w:tabs>
          <w:tab w:val="left" w:pos="1342"/>
        </w:tabs>
        <w:spacing w:before="192" w:after="0" w:line="408" w:lineRule="auto"/>
        <w:ind w:left="461" w:leftChars="0" w:right="631" w:firstLine="419" w:firstLineChars="0"/>
        <w:jc w:val="left"/>
        <w:rPr>
          <w:sz w:val="19"/>
        </w:rPr>
      </w:pPr>
      <w:r>
        <w:rPr>
          <w:spacing w:val="-3"/>
          <w:sz w:val="21"/>
        </w:rPr>
        <w:t>招标人不组织投标人踏勘现场，投标人可以自行对项目现场和周围环境进行勘察，以获取编制投标文件和签署合同所需的所有资料。</w:t>
      </w:r>
    </w:p>
    <w:p>
      <w:pPr>
        <w:pStyle w:val="21"/>
        <w:numPr>
          <w:ilvl w:val="2"/>
          <w:numId w:val="2"/>
        </w:numPr>
        <w:tabs>
          <w:tab w:val="left" w:pos="1445"/>
        </w:tabs>
        <w:spacing w:before="4" w:after="0" w:line="240" w:lineRule="auto"/>
        <w:ind w:left="1513" w:leftChars="0" w:right="0" w:hanging="633" w:firstLineChars="0"/>
        <w:jc w:val="left"/>
        <w:rPr>
          <w:sz w:val="21"/>
        </w:rPr>
      </w:pPr>
      <w:r>
        <w:rPr>
          <w:spacing w:val="-3"/>
          <w:sz w:val="21"/>
        </w:rPr>
        <w:t>投标人踏勘现场发生的费用自理。</w:t>
      </w:r>
    </w:p>
    <w:p>
      <w:pPr>
        <w:pStyle w:val="2"/>
        <w:rPr>
          <w:sz w:val="15"/>
        </w:rPr>
      </w:pPr>
    </w:p>
    <w:p>
      <w:pPr>
        <w:pStyle w:val="21"/>
        <w:numPr>
          <w:ilvl w:val="2"/>
          <w:numId w:val="2"/>
        </w:numPr>
        <w:tabs>
          <w:tab w:val="left" w:pos="1445"/>
        </w:tabs>
        <w:spacing w:before="0" w:after="0" w:line="240" w:lineRule="auto"/>
        <w:ind w:left="1513" w:leftChars="0" w:right="0" w:hanging="633" w:firstLineChars="0"/>
        <w:jc w:val="left"/>
        <w:rPr>
          <w:sz w:val="21"/>
        </w:rPr>
      </w:pPr>
      <w:r>
        <w:rPr>
          <w:spacing w:val="-3"/>
          <w:sz w:val="21"/>
        </w:rPr>
        <w:t>除招标人的原因外，投标人自行负责在踏勘现场中所发生的人员伤亡和财产损失。</w:t>
      </w:r>
    </w:p>
    <w:p>
      <w:pPr>
        <w:pStyle w:val="2"/>
        <w:spacing w:before="10"/>
        <w:rPr>
          <w:sz w:val="14"/>
        </w:rPr>
      </w:pPr>
    </w:p>
    <w:p>
      <w:pPr>
        <w:pStyle w:val="21"/>
        <w:numPr>
          <w:ilvl w:val="2"/>
          <w:numId w:val="2"/>
        </w:numPr>
        <w:tabs>
          <w:tab w:val="left" w:pos="1445"/>
        </w:tabs>
        <w:spacing w:before="0" w:after="0" w:line="410" w:lineRule="auto"/>
        <w:ind w:left="461" w:leftChars="0" w:right="547" w:firstLine="419" w:firstLineChars="0"/>
        <w:jc w:val="left"/>
        <w:rPr>
          <w:sz w:val="21"/>
        </w:rPr>
      </w:pPr>
      <w:r>
        <w:rPr>
          <w:spacing w:val="-4"/>
          <w:sz w:val="21"/>
        </w:rPr>
        <w:t>招标人向投标人提供的有关服务现场的资料和数据是招标人现有的能使投标人利用的资料。招</w:t>
      </w:r>
      <w:r>
        <w:rPr>
          <w:spacing w:val="-3"/>
          <w:sz w:val="21"/>
        </w:rPr>
        <w:t>标人对投标人由此而做出的推论、理解和结论概不负责。</w:t>
      </w:r>
    </w:p>
    <w:p>
      <w:pPr>
        <w:pStyle w:val="21"/>
        <w:numPr>
          <w:ilvl w:val="1"/>
          <w:numId w:val="2"/>
        </w:numPr>
        <w:tabs>
          <w:tab w:val="left" w:pos="1286"/>
        </w:tabs>
        <w:spacing w:before="1" w:after="0" w:line="240" w:lineRule="auto"/>
        <w:ind w:left="1285" w:right="0" w:hanging="474"/>
        <w:jc w:val="left"/>
        <w:rPr>
          <w:rFonts w:ascii="Times New Roman" w:eastAsia="Times New Roman"/>
          <w:sz w:val="21"/>
        </w:rPr>
      </w:pPr>
      <w:r>
        <w:rPr>
          <w:rFonts w:hint="eastAsia" w:ascii="黑体" w:eastAsia="黑体"/>
          <w:spacing w:val="-3"/>
          <w:sz w:val="21"/>
        </w:rPr>
        <w:t>投标预备会</w:t>
      </w:r>
    </w:p>
    <w:p>
      <w:pPr>
        <w:pStyle w:val="2"/>
        <w:spacing w:before="190"/>
        <w:ind w:left="812"/>
      </w:pPr>
      <w:r>
        <w:t>本项目不召开投标预备会。</w:t>
      </w:r>
    </w:p>
    <w:p>
      <w:pPr>
        <w:pStyle w:val="2"/>
        <w:spacing w:before="12"/>
        <w:rPr>
          <w:sz w:val="14"/>
        </w:rPr>
      </w:pPr>
    </w:p>
    <w:p>
      <w:pPr>
        <w:pStyle w:val="21"/>
        <w:numPr>
          <w:ilvl w:val="1"/>
          <w:numId w:val="2"/>
        </w:numPr>
        <w:tabs>
          <w:tab w:val="left" w:pos="1279"/>
        </w:tabs>
        <w:spacing w:before="0" w:after="0" w:line="240" w:lineRule="auto"/>
        <w:ind w:left="1278" w:right="0" w:hanging="467"/>
        <w:jc w:val="left"/>
        <w:rPr>
          <w:rFonts w:ascii="Times New Roman" w:eastAsia="Times New Roman"/>
          <w:sz w:val="21"/>
        </w:rPr>
      </w:pPr>
      <w:r>
        <w:rPr>
          <w:rFonts w:hint="eastAsia" w:ascii="黑体" w:eastAsia="黑体"/>
          <w:sz w:val="21"/>
        </w:rPr>
        <w:t>偏离</w:t>
      </w:r>
    </w:p>
    <w:p>
      <w:pPr>
        <w:pStyle w:val="2"/>
        <w:spacing w:before="192" w:line="408" w:lineRule="auto"/>
        <w:ind w:left="392" w:right="524" w:firstLine="419"/>
      </w:pPr>
      <w:r>
        <w:t>投标人须知前附表允许投标文件偏离招标文件某些要求的，偏离应当符合招标文件规定的偏离范围和幅度。</w:t>
      </w:r>
    </w:p>
    <w:p>
      <w:pPr>
        <w:pStyle w:val="21"/>
        <w:numPr>
          <w:ilvl w:val="1"/>
          <w:numId w:val="2"/>
        </w:numPr>
        <w:tabs>
          <w:tab w:val="left" w:pos="1286"/>
        </w:tabs>
        <w:spacing w:before="4" w:after="0" w:line="240" w:lineRule="auto"/>
        <w:ind w:left="1285" w:right="0" w:hanging="474"/>
        <w:jc w:val="left"/>
        <w:rPr>
          <w:rFonts w:ascii="Times New Roman" w:eastAsia="Times New Roman"/>
          <w:sz w:val="21"/>
        </w:rPr>
      </w:pPr>
      <w:r>
        <w:rPr>
          <w:rFonts w:hint="eastAsia" w:ascii="黑体" w:eastAsia="黑体"/>
          <w:spacing w:val="-3"/>
          <w:sz w:val="21"/>
        </w:rPr>
        <w:t>转包与分包</w:t>
      </w:r>
    </w:p>
    <w:p>
      <w:pPr>
        <w:pStyle w:val="2"/>
        <w:spacing w:before="192"/>
        <w:ind w:left="812"/>
      </w:pPr>
      <w:r>
        <w:t>本项目不允许转包及分包。</w:t>
      </w:r>
    </w:p>
    <w:p>
      <w:pPr>
        <w:pStyle w:val="2"/>
        <w:spacing w:before="10"/>
        <w:rPr>
          <w:sz w:val="14"/>
        </w:rPr>
      </w:pPr>
    </w:p>
    <w:p>
      <w:pPr>
        <w:pStyle w:val="21"/>
        <w:numPr>
          <w:ilvl w:val="1"/>
          <w:numId w:val="2"/>
        </w:numPr>
        <w:tabs>
          <w:tab w:val="left" w:pos="1286"/>
        </w:tabs>
        <w:spacing w:before="0" w:after="0" w:line="240" w:lineRule="auto"/>
        <w:ind w:left="1285" w:right="0" w:hanging="474"/>
        <w:jc w:val="left"/>
        <w:rPr>
          <w:rFonts w:ascii="Times New Roman" w:eastAsia="Times New Roman"/>
          <w:sz w:val="21"/>
        </w:rPr>
      </w:pPr>
      <w:r>
        <w:rPr>
          <w:rFonts w:hint="eastAsia" w:ascii="黑体" w:eastAsia="黑体"/>
          <w:spacing w:val="-3"/>
          <w:sz w:val="21"/>
        </w:rPr>
        <w:t>特别说明：</w:t>
      </w:r>
    </w:p>
    <w:p>
      <w:pPr>
        <w:pStyle w:val="2"/>
        <w:spacing w:before="191" w:line="410" w:lineRule="auto"/>
        <w:ind w:left="392" w:right="549" w:firstLine="419"/>
      </w:pPr>
      <w:r>
        <w:t>▲</w:t>
      </w:r>
      <w:r>
        <w:rPr>
          <w:rFonts w:ascii="Times New Roman" w:hAnsi="Times New Roman" w:eastAsia="Times New Roman"/>
        </w:rPr>
        <w:t xml:space="preserve">1. </w:t>
      </w:r>
      <w:r>
        <w:rPr>
          <w:spacing w:val="-7"/>
        </w:rPr>
        <w:t>法定代表人为同一个人的两个及两个以上的法人、母公司、全资子公司及其控股公司，都不得在</w:t>
      </w:r>
      <w:r>
        <w:rPr>
          <w:spacing w:val="-5"/>
        </w:rPr>
        <w:t>同一货物招标中同时投标。</w:t>
      </w:r>
    </w:p>
    <w:p>
      <w:pPr>
        <w:pStyle w:val="2"/>
        <w:spacing w:line="410" w:lineRule="auto"/>
        <w:ind w:left="392" w:right="547" w:firstLine="419"/>
      </w:pPr>
      <w:r>
        <w:t>▲</w:t>
      </w:r>
      <w:r>
        <w:rPr>
          <w:rFonts w:ascii="Times New Roman" w:hAnsi="Times New Roman" w:eastAsia="Times New Roman"/>
        </w:rPr>
        <w:t>2.</w:t>
      </w:r>
      <w:r>
        <w:t>投标人投标所使用的采购项目实施人员必须为本法人员工（或必须为本法人或控股公司正式员工）。</w:t>
      </w:r>
    </w:p>
    <w:p>
      <w:pPr>
        <w:pStyle w:val="2"/>
        <w:spacing w:before="1"/>
        <w:ind w:left="812"/>
      </w:pPr>
      <w:r>
        <w:t>▲</w:t>
      </w:r>
      <w:r>
        <w:rPr>
          <w:rFonts w:ascii="Times New Roman" w:hAnsi="Times New Roman" w:eastAsia="Times New Roman"/>
        </w:rPr>
        <w:t>3.</w:t>
      </w:r>
      <w:r>
        <w:t>投标人应仔细阅读招标文件的所有内容，按照招标文件的要求提交投标文件，并对所提供的全部</w:t>
      </w:r>
    </w:p>
    <w:p>
      <w:pPr>
        <w:spacing w:after="0"/>
        <w:sectPr>
          <w:pgSz w:w="11910" w:h="16840"/>
          <w:pgMar w:top="1520" w:right="580" w:bottom="1660" w:left="740" w:header="0" w:footer="1399" w:gutter="0"/>
          <w:pgNumType w:fmt="decimal"/>
          <w:cols w:space="720" w:num="1"/>
        </w:sectPr>
      </w:pPr>
    </w:p>
    <w:p>
      <w:pPr>
        <w:pStyle w:val="2"/>
        <w:spacing w:before="59"/>
        <w:ind w:left="392"/>
      </w:pPr>
      <w:r>
        <w:t>资料的真实性承担法律责任。</w:t>
      </w:r>
    </w:p>
    <w:p>
      <w:pPr>
        <w:pStyle w:val="2"/>
        <w:spacing w:before="12"/>
        <w:rPr>
          <w:sz w:val="14"/>
        </w:rPr>
      </w:pPr>
    </w:p>
    <w:p>
      <w:pPr>
        <w:pStyle w:val="2"/>
        <w:spacing w:line="410" w:lineRule="auto"/>
        <w:ind w:left="392" w:right="547" w:firstLine="419"/>
        <w:jc w:val="both"/>
      </w:pPr>
      <w:r>
        <w:t>▲</w:t>
      </w:r>
      <w:r>
        <w:rPr>
          <w:rFonts w:ascii="Times New Roman" w:hAnsi="Times New Roman" w:eastAsia="Times New Roman"/>
        </w:rPr>
        <w:t>4.</w:t>
      </w:r>
      <w:r>
        <w:rPr>
          <w:spacing w:val="-3"/>
        </w:rPr>
        <w:t>投标人在投标活动中提供任何虚假材料</w:t>
      </w:r>
      <w:r>
        <w:rPr>
          <w:rFonts w:ascii="Times New Roman" w:hAnsi="Times New Roman" w:eastAsia="Times New Roman"/>
          <w:spacing w:val="-3"/>
        </w:rPr>
        <w:t>,</w:t>
      </w:r>
      <w:r>
        <w:rPr>
          <w:spacing w:val="-11"/>
        </w:rPr>
        <w:t>其投标无效，并报监管部门查处；中标后发现的</w:t>
      </w:r>
      <w:r>
        <w:rPr>
          <w:rFonts w:ascii="Times New Roman" w:hAnsi="Times New Roman" w:eastAsia="Times New Roman"/>
          <w:spacing w:val="-3"/>
        </w:rPr>
        <w:t>,</w:t>
      </w:r>
      <w:r>
        <w:rPr>
          <w:spacing w:val="-2"/>
        </w:rPr>
        <w:t>中标人须</w:t>
      </w:r>
      <w:r>
        <w:rPr>
          <w:spacing w:val="-4"/>
        </w:rPr>
        <w:t xml:space="preserve">依照《中华人民共和国消费者权益保护法》第 </w:t>
      </w:r>
      <w:r>
        <w:rPr>
          <w:rFonts w:ascii="Times New Roman" w:hAnsi="Times New Roman" w:eastAsia="Times New Roman"/>
        </w:rPr>
        <w:t xml:space="preserve">49 </w:t>
      </w:r>
      <w:r>
        <w:rPr>
          <w:spacing w:val="-4"/>
        </w:rPr>
        <w:t>条之规定双倍赔偿采购人，且民事赔偿并不免除违法投</w:t>
      </w:r>
      <w:r>
        <w:rPr>
          <w:spacing w:val="-3"/>
        </w:rPr>
        <w:t>标人的行政与刑事责任</w:t>
      </w:r>
    </w:p>
    <w:p>
      <w:pPr>
        <w:pStyle w:val="6"/>
        <w:numPr>
          <w:ilvl w:val="0"/>
          <w:numId w:val="2"/>
        </w:numPr>
        <w:tabs>
          <w:tab w:val="left" w:pos="993"/>
        </w:tabs>
        <w:spacing w:before="0" w:after="0" w:line="269" w:lineRule="exact"/>
        <w:ind w:left="992" w:right="0" w:hanging="178"/>
        <w:jc w:val="left"/>
        <w:rPr>
          <w:rFonts w:ascii="Arial" w:eastAsia="Arial"/>
          <w:sz w:val="19"/>
        </w:rPr>
      </w:pPr>
      <w:r>
        <w:t>招标文件</w:t>
      </w:r>
    </w:p>
    <w:p>
      <w:pPr>
        <w:pStyle w:val="21"/>
        <w:numPr>
          <w:ilvl w:val="1"/>
          <w:numId w:val="2"/>
        </w:numPr>
        <w:tabs>
          <w:tab w:val="left" w:pos="1183"/>
        </w:tabs>
        <w:spacing w:before="190" w:after="0" w:line="240" w:lineRule="auto"/>
        <w:ind w:left="1182" w:right="0" w:hanging="371"/>
        <w:jc w:val="left"/>
        <w:rPr>
          <w:rFonts w:ascii="Times New Roman" w:eastAsia="Times New Roman"/>
          <w:sz w:val="21"/>
        </w:rPr>
      </w:pPr>
      <w:r>
        <w:rPr>
          <w:rFonts w:hint="eastAsia" w:ascii="黑体" w:eastAsia="黑体"/>
          <w:spacing w:val="-3"/>
          <w:sz w:val="21"/>
        </w:rPr>
        <w:t>招标文件组成</w:t>
      </w:r>
    </w:p>
    <w:p>
      <w:pPr>
        <w:pStyle w:val="21"/>
        <w:numPr>
          <w:ilvl w:val="2"/>
          <w:numId w:val="2"/>
        </w:numPr>
        <w:tabs>
          <w:tab w:val="left" w:pos="1339"/>
        </w:tabs>
        <w:spacing w:before="192" w:after="0" w:line="240" w:lineRule="auto"/>
        <w:ind w:left="1407" w:leftChars="0" w:right="0" w:hanging="527" w:firstLineChars="0"/>
        <w:jc w:val="left"/>
        <w:rPr>
          <w:rFonts w:ascii="Times New Roman" w:eastAsia="Times New Roman"/>
          <w:sz w:val="21"/>
        </w:rPr>
      </w:pPr>
      <w:r>
        <w:rPr>
          <w:spacing w:val="-3"/>
          <w:sz w:val="21"/>
        </w:rPr>
        <w:t>本招标文件包括：</w:t>
      </w:r>
    </w:p>
    <w:p>
      <w:pPr>
        <w:pStyle w:val="21"/>
        <w:numPr>
          <w:ilvl w:val="0"/>
          <w:numId w:val="4"/>
        </w:numPr>
        <w:tabs>
          <w:tab w:val="left" w:pos="1342"/>
        </w:tabs>
        <w:spacing w:before="191" w:after="0" w:line="240" w:lineRule="auto"/>
        <w:ind w:left="1341" w:right="0" w:hanging="530"/>
        <w:jc w:val="left"/>
        <w:rPr>
          <w:sz w:val="21"/>
        </w:rPr>
      </w:pPr>
      <w:r>
        <w:rPr>
          <w:spacing w:val="-3"/>
          <w:sz w:val="21"/>
        </w:rPr>
        <w:t>招标公告；</w:t>
      </w:r>
    </w:p>
    <w:p>
      <w:pPr>
        <w:pStyle w:val="21"/>
        <w:numPr>
          <w:ilvl w:val="0"/>
          <w:numId w:val="4"/>
        </w:numPr>
        <w:tabs>
          <w:tab w:val="left" w:pos="1342"/>
        </w:tabs>
        <w:spacing w:before="190" w:after="0" w:line="240" w:lineRule="auto"/>
        <w:ind w:left="1341" w:right="0" w:hanging="530"/>
        <w:jc w:val="left"/>
        <w:rPr>
          <w:sz w:val="21"/>
        </w:rPr>
      </w:pPr>
      <w:r>
        <w:rPr>
          <w:spacing w:val="-3"/>
          <w:sz w:val="21"/>
        </w:rPr>
        <w:t>投标人须知；</w:t>
      </w:r>
    </w:p>
    <w:p>
      <w:pPr>
        <w:pStyle w:val="21"/>
        <w:numPr>
          <w:ilvl w:val="0"/>
          <w:numId w:val="4"/>
        </w:numPr>
        <w:tabs>
          <w:tab w:val="left" w:pos="1342"/>
        </w:tabs>
        <w:spacing w:before="191" w:after="0" w:line="240" w:lineRule="auto"/>
        <w:ind w:left="1341" w:right="0" w:hanging="530"/>
        <w:jc w:val="left"/>
        <w:rPr>
          <w:sz w:val="21"/>
        </w:rPr>
      </w:pPr>
      <w:r>
        <w:rPr>
          <w:spacing w:val="-3"/>
          <w:sz w:val="21"/>
        </w:rPr>
        <w:t>评标办法；</w:t>
      </w:r>
    </w:p>
    <w:p>
      <w:pPr>
        <w:pStyle w:val="21"/>
        <w:numPr>
          <w:ilvl w:val="0"/>
          <w:numId w:val="4"/>
        </w:numPr>
        <w:tabs>
          <w:tab w:val="left" w:pos="1342"/>
        </w:tabs>
        <w:spacing w:before="192" w:after="0" w:line="240" w:lineRule="auto"/>
        <w:ind w:left="1341" w:right="0" w:hanging="530"/>
        <w:jc w:val="left"/>
        <w:rPr>
          <w:sz w:val="21"/>
        </w:rPr>
      </w:pPr>
      <w:r>
        <w:rPr>
          <w:spacing w:val="-3"/>
          <w:sz w:val="21"/>
        </w:rPr>
        <w:t>合同条款及格式；</w:t>
      </w:r>
    </w:p>
    <w:p>
      <w:pPr>
        <w:pStyle w:val="21"/>
        <w:numPr>
          <w:ilvl w:val="0"/>
          <w:numId w:val="4"/>
        </w:numPr>
        <w:tabs>
          <w:tab w:val="left" w:pos="1342"/>
        </w:tabs>
        <w:spacing w:before="189" w:after="0" w:line="240" w:lineRule="auto"/>
        <w:ind w:left="1341" w:right="0" w:hanging="530"/>
        <w:jc w:val="left"/>
        <w:rPr>
          <w:sz w:val="21"/>
        </w:rPr>
      </w:pPr>
      <w:r>
        <w:rPr>
          <w:spacing w:val="-3"/>
          <w:sz w:val="21"/>
        </w:rPr>
        <w:t>采购需求；</w:t>
      </w:r>
    </w:p>
    <w:p>
      <w:pPr>
        <w:pStyle w:val="21"/>
        <w:numPr>
          <w:ilvl w:val="0"/>
          <w:numId w:val="4"/>
        </w:numPr>
        <w:tabs>
          <w:tab w:val="left" w:pos="1342"/>
        </w:tabs>
        <w:spacing w:before="192" w:after="0" w:line="240" w:lineRule="auto"/>
        <w:ind w:left="1341" w:right="0" w:hanging="530"/>
        <w:jc w:val="left"/>
        <w:rPr>
          <w:sz w:val="21"/>
        </w:rPr>
      </w:pPr>
      <w:r>
        <w:rPr>
          <w:spacing w:val="-3"/>
          <w:sz w:val="21"/>
        </w:rPr>
        <w:t>投标文件格式；</w:t>
      </w:r>
    </w:p>
    <w:p>
      <w:pPr>
        <w:pStyle w:val="21"/>
        <w:numPr>
          <w:ilvl w:val="0"/>
          <w:numId w:val="4"/>
        </w:numPr>
        <w:tabs>
          <w:tab w:val="left" w:pos="1342"/>
        </w:tabs>
        <w:spacing w:before="192" w:after="0" w:line="240" w:lineRule="auto"/>
        <w:ind w:left="1341" w:right="0" w:hanging="530"/>
        <w:jc w:val="left"/>
        <w:rPr>
          <w:sz w:val="21"/>
        </w:rPr>
      </w:pPr>
      <w:r>
        <w:rPr>
          <w:spacing w:val="-3"/>
          <w:sz w:val="21"/>
        </w:rPr>
        <w:t>投标人须知前附表规定的其他材料。</w:t>
      </w:r>
    </w:p>
    <w:p>
      <w:pPr>
        <w:pStyle w:val="21"/>
        <w:numPr>
          <w:ilvl w:val="2"/>
          <w:numId w:val="2"/>
        </w:numPr>
        <w:tabs>
          <w:tab w:val="left" w:pos="1293"/>
        </w:tabs>
        <w:spacing w:before="189" w:after="0" w:line="410" w:lineRule="auto"/>
        <w:ind w:left="461" w:leftChars="0" w:right="547" w:firstLine="419" w:firstLineChars="0"/>
        <w:jc w:val="left"/>
        <w:rPr>
          <w:rFonts w:ascii="Times New Roman" w:eastAsia="Times New Roman"/>
          <w:sz w:val="21"/>
        </w:rPr>
      </w:pPr>
      <w:r>
        <w:rPr>
          <w:spacing w:val="-9"/>
          <w:sz w:val="21"/>
        </w:rPr>
        <w:t xml:space="preserve">根据本章第 </w:t>
      </w:r>
      <w:r>
        <w:rPr>
          <w:rFonts w:ascii="Times New Roman" w:eastAsia="Times New Roman"/>
          <w:sz w:val="21"/>
        </w:rPr>
        <w:t>2.2</w:t>
      </w:r>
      <w:r>
        <w:rPr>
          <w:rFonts w:ascii="Times New Roman" w:eastAsia="Times New Roman"/>
          <w:spacing w:val="16"/>
          <w:sz w:val="21"/>
        </w:rPr>
        <w:t xml:space="preserve"> </w:t>
      </w:r>
      <w:r>
        <w:rPr>
          <w:spacing w:val="-11"/>
          <w:sz w:val="21"/>
        </w:rPr>
        <w:t xml:space="preserve">款和第 </w:t>
      </w:r>
      <w:r>
        <w:rPr>
          <w:rFonts w:ascii="Times New Roman" w:eastAsia="Times New Roman"/>
          <w:sz w:val="21"/>
        </w:rPr>
        <w:t>2.3</w:t>
      </w:r>
      <w:r>
        <w:rPr>
          <w:rFonts w:ascii="Times New Roman" w:eastAsia="Times New Roman"/>
          <w:spacing w:val="16"/>
          <w:sz w:val="21"/>
        </w:rPr>
        <w:t xml:space="preserve"> </w:t>
      </w:r>
      <w:r>
        <w:rPr>
          <w:spacing w:val="-3"/>
          <w:sz w:val="21"/>
        </w:rPr>
        <w:t>款对招标文件所作的澄清、修改，构成招标文件的组成部分。当招标文件相互之间发生矛盾时，以后发出的文件为准。</w:t>
      </w:r>
    </w:p>
    <w:p>
      <w:pPr>
        <w:pStyle w:val="21"/>
        <w:numPr>
          <w:ilvl w:val="1"/>
          <w:numId w:val="2"/>
        </w:numPr>
        <w:tabs>
          <w:tab w:val="left" w:pos="1183"/>
        </w:tabs>
        <w:spacing w:before="2" w:after="0" w:line="240" w:lineRule="auto"/>
        <w:ind w:left="1182" w:right="0" w:hanging="371"/>
        <w:jc w:val="left"/>
        <w:rPr>
          <w:rFonts w:ascii="Times New Roman" w:eastAsia="Times New Roman"/>
          <w:sz w:val="21"/>
        </w:rPr>
      </w:pPr>
      <w:r>
        <w:rPr>
          <w:rFonts w:hint="eastAsia" w:ascii="黑体" w:eastAsia="黑体"/>
          <w:spacing w:val="-3"/>
          <w:sz w:val="21"/>
        </w:rPr>
        <w:t>招标文件的澄清</w:t>
      </w:r>
    </w:p>
    <w:p>
      <w:pPr>
        <w:pStyle w:val="21"/>
        <w:numPr>
          <w:ilvl w:val="0"/>
          <w:numId w:val="5"/>
        </w:numPr>
        <w:tabs>
          <w:tab w:val="left" w:pos="952"/>
        </w:tabs>
        <w:spacing w:before="0" w:after="0" w:line="427" w:lineRule="auto"/>
        <w:ind w:left="224" w:right="1051" w:firstLine="412"/>
        <w:jc w:val="left"/>
        <w:rPr>
          <w:sz w:val="21"/>
        </w:rPr>
      </w:pPr>
      <w:r>
        <w:rPr>
          <w:rFonts w:ascii="宋体" w:hAnsi="宋体" w:eastAsia="宋体" w:cs="宋体"/>
          <w:spacing w:val="-3"/>
          <w:sz w:val="21"/>
          <w:szCs w:val="21"/>
          <w:lang w:val="zh-CN" w:eastAsia="zh-CN" w:bidi="zh-CN"/>
        </w:rPr>
        <w:t>投标人应仔细阅读和检查招标文件的全部内容。如发现缺页或附件不全，应及时向招标人提出</w:t>
      </w:r>
      <w:r>
        <w:rPr>
          <w:spacing w:val="-5"/>
          <w:w w:val="95"/>
          <w:sz w:val="21"/>
        </w:rPr>
        <w:t xml:space="preserve">，   </w:t>
      </w:r>
      <w:r>
        <w:rPr>
          <w:spacing w:val="-5"/>
          <w:sz w:val="21"/>
        </w:rPr>
        <w:t>以便补齐。如有疑问，应在投标人须知前附表规定的时间前以书面形式（包括信函、电报、传真等可以有形地表现所载内容的形式，下同）</w:t>
      </w:r>
      <w:r>
        <w:rPr>
          <w:spacing w:val="-8"/>
          <w:sz w:val="21"/>
        </w:rPr>
        <w:t xml:space="preserve">，要求招标人对招标文件予以澄清，招标人应当在 </w:t>
      </w:r>
      <w:r>
        <w:rPr>
          <w:sz w:val="21"/>
        </w:rPr>
        <w:t>3</w:t>
      </w:r>
      <w:r>
        <w:rPr>
          <w:spacing w:val="-12"/>
          <w:sz w:val="21"/>
        </w:rPr>
        <w:t xml:space="preserve"> 个工作日 内对供应商依法提出的询问作出答复。</w:t>
      </w:r>
    </w:p>
    <w:p>
      <w:pPr>
        <w:pStyle w:val="21"/>
        <w:numPr>
          <w:ilvl w:val="0"/>
          <w:numId w:val="5"/>
        </w:numPr>
        <w:tabs>
          <w:tab w:val="left" w:pos="952"/>
        </w:tabs>
        <w:spacing w:before="124" w:after="0" w:line="427" w:lineRule="auto"/>
        <w:ind w:left="224" w:right="1157" w:firstLine="412"/>
        <w:jc w:val="left"/>
        <w:rPr>
          <w:sz w:val="21"/>
        </w:rPr>
      </w:pPr>
      <w:r>
        <w:rPr>
          <w:spacing w:val="-3"/>
          <w:sz w:val="21"/>
        </w:rPr>
        <w:t xml:space="preserve">招标文件的澄清将在投标人须知前附表规定的投标截止时间 </w:t>
      </w:r>
      <w:r>
        <w:rPr>
          <w:sz w:val="21"/>
        </w:rPr>
        <w:t>15</w:t>
      </w:r>
      <w:r>
        <w:rPr>
          <w:spacing w:val="-14"/>
          <w:sz w:val="21"/>
        </w:rPr>
        <w:t xml:space="preserve"> 天前以“补充答疑”的形式在大丰公共资源交易平台（</w:t>
      </w:r>
      <w:r>
        <w:fldChar w:fldCharType="begin"/>
      </w:r>
      <w:r>
        <w:instrText xml:space="preserve"> HYPERLINK "http://www.dafeng.gov.cn/" \h </w:instrText>
      </w:r>
      <w:r>
        <w:fldChar w:fldCharType="separate"/>
      </w:r>
      <w:r>
        <w:rPr>
          <w:spacing w:val="-14"/>
          <w:sz w:val="21"/>
        </w:rPr>
        <w:t>http://www.dafeng.gov.cn</w:t>
      </w:r>
      <w:r>
        <w:rPr>
          <w:spacing w:val="-14"/>
          <w:sz w:val="21"/>
        </w:rPr>
        <w:fldChar w:fldCharType="end"/>
      </w:r>
      <w:r>
        <w:rPr>
          <w:spacing w:val="-14"/>
          <w:sz w:val="21"/>
        </w:rPr>
        <w:t>/ggzy)上公开发布，但不指明澄清问题的来源。如</w:t>
      </w:r>
      <w:r>
        <w:rPr>
          <w:spacing w:val="-17"/>
          <w:sz w:val="21"/>
        </w:rPr>
        <w:t xml:space="preserve">果澄清发出的时间距投标截止时间不足 </w:t>
      </w:r>
      <w:r>
        <w:rPr>
          <w:sz w:val="21"/>
        </w:rPr>
        <w:t>15</w:t>
      </w:r>
      <w:r>
        <w:rPr>
          <w:spacing w:val="-9"/>
          <w:sz w:val="21"/>
        </w:rPr>
        <w:t xml:space="preserve"> 天，且澄清内容影响投标文件编制的，相应延长投标截止时间。</w:t>
      </w:r>
    </w:p>
    <w:p>
      <w:pPr>
        <w:pStyle w:val="21"/>
        <w:numPr>
          <w:ilvl w:val="0"/>
          <w:numId w:val="5"/>
        </w:numPr>
        <w:tabs>
          <w:tab w:val="left" w:pos="952"/>
        </w:tabs>
        <w:spacing w:before="125" w:after="0" w:line="240" w:lineRule="auto"/>
        <w:ind w:left="952" w:right="0" w:hanging="315"/>
        <w:jc w:val="left"/>
        <w:rPr>
          <w:sz w:val="21"/>
        </w:rPr>
      </w:pPr>
      <w:r>
        <w:rPr>
          <w:spacing w:val="-7"/>
          <w:sz w:val="21"/>
        </w:rPr>
        <w:t xml:space="preserve">在投标截止时间 </w:t>
      </w:r>
      <w:r>
        <w:rPr>
          <w:sz w:val="21"/>
        </w:rPr>
        <w:t>15</w:t>
      </w:r>
      <w:r>
        <w:rPr>
          <w:spacing w:val="-8"/>
          <w:sz w:val="21"/>
        </w:rPr>
        <w:t xml:space="preserve"> 天前，招标人可以以“补充答疑”的形式在大丰公共资源交易平台</w:t>
      </w:r>
    </w:p>
    <w:p>
      <w:pPr>
        <w:pStyle w:val="2"/>
        <w:spacing w:before="5"/>
        <w:rPr>
          <w:sz w:val="16"/>
        </w:rPr>
      </w:pPr>
    </w:p>
    <w:p>
      <w:pPr>
        <w:pStyle w:val="2"/>
        <w:spacing w:before="1" w:line="427" w:lineRule="auto"/>
        <w:ind w:left="224" w:right="1254"/>
      </w:pPr>
      <w:r>
        <w:rPr>
          <w:rFonts w:ascii="宋体" w:hAnsi="宋体" w:eastAsia="宋体" w:cs="宋体"/>
          <w:spacing w:val="-14"/>
          <w:kern w:val="2"/>
          <w:sz w:val="21"/>
          <w:szCs w:val="24"/>
          <w:lang w:val="zh-CN" w:eastAsia="zh-CN" w:bidi="zh-CN"/>
        </w:rPr>
        <w:t>（</w:t>
      </w:r>
      <w:r>
        <w:rPr>
          <w:rFonts w:ascii="宋体" w:hAnsi="宋体" w:eastAsia="宋体" w:cs="宋体"/>
          <w:spacing w:val="-14"/>
          <w:kern w:val="2"/>
          <w:sz w:val="21"/>
          <w:szCs w:val="24"/>
          <w:lang w:val="zh-CN" w:eastAsia="zh-CN" w:bidi="zh-CN"/>
        </w:rPr>
        <w:fldChar w:fldCharType="begin"/>
      </w:r>
      <w:r>
        <w:rPr>
          <w:rFonts w:ascii="宋体" w:hAnsi="宋体" w:eastAsia="宋体" w:cs="宋体"/>
          <w:spacing w:val="-14"/>
          <w:kern w:val="2"/>
          <w:sz w:val="21"/>
          <w:szCs w:val="24"/>
          <w:lang w:val="zh-CN" w:eastAsia="zh-CN" w:bidi="zh-CN"/>
        </w:rPr>
        <w:instrText xml:space="preserve"> HYPERLINK "http://www.dafeng.gov.cn/" \h </w:instrText>
      </w:r>
      <w:r>
        <w:rPr>
          <w:rFonts w:ascii="宋体" w:hAnsi="宋体" w:eastAsia="宋体" w:cs="宋体"/>
          <w:spacing w:val="-14"/>
          <w:kern w:val="2"/>
          <w:sz w:val="21"/>
          <w:szCs w:val="24"/>
          <w:lang w:val="zh-CN" w:eastAsia="zh-CN" w:bidi="zh-CN"/>
        </w:rPr>
        <w:fldChar w:fldCharType="separate"/>
      </w:r>
      <w:r>
        <w:rPr>
          <w:rFonts w:ascii="宋体" w:hAnsi="宋体" w:eastAsia="宋体" w:cs="宋体"/>
          <w:spacing w:val="-14"/>
          <w:kern w:val="2"/>
          <w:sz w:val="21"/>
          <w:szCs w:val="24"/>
          <w:lang w:val="zh-CN" w:eastAsia="zh-CN" w:bidi="zh-CN"/>
        </w:rPr>
        <w:t>http://www.dafeng.gov.cn</w:t>
      </w:r>
      <w:r>
        <w:rPr>
          <w:rFonts w:ascii="宋体" w:hAnsi="宋体" w:eastAsia="宋体" w:cs="宋体"/>
          <w:spacing w:val="-14"/>
          <w:kern w:val="2"/>
          <w:sz w:val="21"/>
          <w:szCs w:val="24"/>
          <w:lang w:val="zh-CN" w:eastAsia="zh-CN" w:bidi="zh-CN"/>
        </w:rPr>
        <w:fldChar w:fldCharType="end"/>
      </w:r>
      <w:r>
        <w:rPr>
          <w:rFonts w:ascii="宋体" w:hAnsi="宋体" w:eastAsia="宋体" w:cs="宋体"/>
          <w:spacing w:val="-14"/>
          <w:kern w:val="2"/>
          <w:sz w:val="21"/>
          <w:szCs w:val="24"/>
          <w:lang w:val="zh-CN" w:eastAsia="zh-CN" w:bidi="zh-CN"/>
        </w:rPr>
        <w:t xml:space="preserve">/ggzy)上修改招标文件。如果修改招标文件的时间距投标截止时间不足 </w:t>
      </w:r>
      <w:r>
        <w:t>15</w:t>
      </w:r>
      <w:r>
        <w:rPr>
          <w:spacing w:val="-8"/>
        </w:rPr>
        <w:t xml:space="preserve"> 天，且修改内容影响投标文件编制的，相应延长投标截止时间。</w:t>
      </w:r>
    </w:p>
    <w:p>
      <w:pPr>
        <w:pStyle w:val="21"/>
        <w:numPr>
          <w:ilvl w:val="0"/>
          <w:numId w:val="5"/>
        </w:numPr>
        <w:tabs>
          <w:tab w:val="left" w:pos="859"/>
        </w:tabs>
        <w:spacing w:before="2" w:after="0" w:line="427" w:lineRule="auto"/>
        <w:ind w:left="224" w:right="1157" w:firstLine="420"/>
        <w:jc w:val="left"/>
        <w:rPr>
          <w:sz w:val="21"/>
        </w:rPr>
      </w:pPr>
      <w:r>
        <w:rPr>
          <w:sz w:val="21"/>
        </w:rPr>
        <w:t>招标文件澄清、答复、修改、补充的内容为招标文件的组成部分。当招标文件与招标文件的答复、澄清、修改、补充通知就同一内容的表述不一致时，以最后发出的书面文件为准。</w:t>
      </w:r>
    </w:p>
    <w:p>
      <w:pPr>
        <w:pStyle w:val="21"/>
        <w:numPr>
          <w:ilvl w:val="0"/>
          <w:numId w:val="5"/>
        </w:numPr>
        <w:tabs>
          <w:tab w:val="left" w:pos="859"/>
        </w:tabs>
        <w:spacing w:before="2" w:after="0" w:line="427" w:lineRule="auto"/>
        <w:ind w:left="224" w:right="1157" w:firstLine="420"/>
        <w:jc w:val="left"/>
        <w:rPr>
          <w:rStyle w:val="23"/>
          <w:rFonts w:ascii="宋体" w:hAnsi="宋体" w:eastAsia="宋体" w:cs="宋体"/>
          <w:b/>
          <w:bCs/>
          <w:i w:val="0"/>
          <w:caps w:val="0"/>
          <w:color w:val="000000"/>
          <w:spacing w:val="0"/>
          <w:w w:val="100"/>
          <w:kern w:val="2"/>
          <w:sz w:val="32"/>
          <w:szCs w:val="20"/>
          <w:lang w:val="en-US" w:eastAsia="zh-CN" w:bidi="ar-SA"/>
        </w:rPr>
      </w:pPr>
      <w:r>
        <w:rPr>
          <w:sz w:val="21"/>
        </w:rPr>
        <w:t>招标文件的澄清、答复、修改或补充都应该通过法定形式发布，采购人非通过本机构，不得擅自澄清、答复、修改或补充招标文件</w:t>
      </w:r>
      <w:r>
        <w:rPr>
          <w:rFonts w:hint="eastAsia"/>
          <w:sz w:val="21"/>
          <w:lang w:eastAsia="zh-CN"/>
        </w:rPr>
        <w:t>。</w:t>
      </w:r>
    </w:p>
    <w:p>
      <w:pPr>
        <w:pStyle w:val="2"/>
        <w:spacing w:before="12"/>
        <w:rPr>
          <w:sz w:val="14"/>
        </w:rPr>
      </w:pPr>
    </w:p>
    <w:p>
      <w:pPr>
        <w:pStyle w:val="6"/>
        <w:numPr>
          <w:ilvl w:val="0"/>
          <w:numId w:val="2"/>
        </w:numPr>
        <w:tabs>
          <w:tab w:val="left" w:pos="993"/>
        </w:tabs>
        <w:spacing w:before="0" w:after="0" w:line="240" w:lineRule="auto"/>
        <w:ind w:left="992" w:right="0" w:hanging="178"/>
        <w:jc w:val="left"/>
        <w:rPr>
          <w:rFonts w:ascii="Arial" w:eastAsia="Arial"/>
          <w:sz w:val="19"/>
        </w:rPr>
      </w:pPr>
      <w:r>
        <w:t>投标文件</w:t>
      </w:r>
    </w:p>
    <w:p>
      <w:pPr>
        <w:pStyle w:val="21"/>
        <w:numPr>
          <w:ilvl w:val="1"/>
          <w:numId w:val="2"/>
        </w:numPr>
        <w:tabs>
          <w:tab w:val="left" w:pos="1183"/>
        </w:tabs>
        <w:spacing w:before="190" w:after="0" w:line="240" w:lineRule="auto"/>
        <w:ind w:left="1182" w:right="0" w:hanging="371"/>
        <w:jc w:val="left"/>
        <w:rPr>
          <w:rFonts w:ascii="Times New Roman" w:eastAsia="Times New Roman"/>
          <w:sz w:val="21"/>
        </w:rPr>
      </w:pPr>
      <w:r>
        <w:rPr>
          <w:rFonts w:hint="eastAsia" w:ascii="黑体" w:eastAsia="黑体"/>
          <w:spacing w:val="-3"/>
          <w:sz w:val="21"/>
        </w:rPr>
        <w:t>投标文件的组成</w:t>
      </w:r>
    </w:p>
    <w:p>
      <w:pPr>
        <w:pStyle w:val="6"/>
        <w:numPr>
          <w:ilvl w:val="2"/>
          <w:numId w:val="2"/>
        </w:numPr>
        <w:tabs>
          <w:tab w:val="left" w:pos="1288"/>
        </w:tabs>
        <w:spacing w:before="191" w:after="0" w:line="240" w:lineRule="auto"/>
        <w:ind w:left="1356" w:leftChars="0" w:right="0" w:hanging="473" w:firstLineChars="0"/>
        <w:jc w:val="left"/>
        <w:rPr>
          <w:rFonts w:ascii="Times New Roman" w:eastAsia="Times New Roman"/>
        </w:rPr>
      </w:pPr>
      <w:r>
        <w:rPr>
          <w:spacing w:val="-3"/>
        </w:rPr>
        <w:t>投标文件包括资信文件、商务文件、技术文件及开标一览表</w:t>
      </w:r>
    </w:p>
    <w:p>
      <w:pPr>
        <w:pStyle w:val="21"/>
        <w:numPr>
          <w:ilvl w:val="0"/>
          <w:numId w:val="6"/>
        </w:numPr>
        <w:tabs>
          <w:tab w:val="left" w:pos="1345"/>
        </w:tabs>
        <w:spacing w:before="192" w:after="0" w:line="408" w:lineRule="auto"/>
        <w:ind w:left="392" w:right="549" w:firstLine="419"/>
        <w:jc w:val="left"/>
        <w:rPr>
          <w:sz w:val="19"/>
        </w:rPr>
      </w:pPr>
      <w:r>
        <w:rPr>
          <w:b/>
          <w:sz w:val="21"/>
        </w:rPr>
        <w:t>资信文件</w:t>
      </w:r>
      <w:r>
        <w:rPr>
          <w:sz w:val="21"/>
        </w:rPr>
        <w:t>：主要包括下述材料原件和复印件（复印件须装订在投标文件中，原件须同投标文件</w:t>
      </w:r>
      <w:r>
        <w:rPr>
          <w:spacing w:val="-3"/>
          <w:sz w:val="21"/>
        </w:rPr>
        <w:t>一并密封提交，不需装订</w:t>
      </w:r>
      <w:r>
        <w:rPr>
          <w:sz w:val="21"/>
        </w:rPr>
        <w:t>）：</w:t>
      </w:r>
    </w:p>
    <w:p>
      <w:pPr>
        <w:pStyle w:val="2"/>
        <w:numPr>
          <w:ilvl w:val="0"/>
          <w:numId w:val="7"/>
        </w:numPr>
        <w:spacing w:before="2" w:line="360" w:lineRule="auto"/>
        <w:ind w:left="812" w:right="469" w:rightChars="213"/>
        <w:rPr>
          <w:rFonts w:hint="eastAsia"/>
          <w:lang w:eastAsia="zh-CN"/>
        </w:rPr>
      </w:pPr>
      <w:r>
        <w:t>企业营业执照（副本）；</w:t>
      </w:r>
      <w:r>
        <w:rPr>
          <w:rFonts w:hint="eastAsia"/>
          <w:lang w:eastAsia="zh-CN"/>
        </w:rPr>
        <w:t>可提供有二维码并加盖投标人公章的复印件视同原件，扫描二维码不能正确读取有关数据或无法读取的不予认可；</w:t>
      </w:r>
    </w:p>
    <w:p>
      <w:pPr>
        <w:pStyle w:val="2"/>
        <w:numPr>
          <w:ilvl w:val="0"/>
          <w:numId w:val="0"/>
        </w:numPr>
        <w:spacing w:before="2" w:line="360" w:lineRule="auto"/>
        <w:ind w:right="0" w:rightChars="0" w:firstLine="840" w:firstLineChars="400"/>
        <w:rPr>
          <w:rFonts w:hint="eastAsia" w:eastAsia="宋体"/>
          <w:lang w:val="en-US" w:eastAsia="zh-CN"/>
        </w:rPr>
      </w:pPr>
      <w:r>
        <w:rPr>
          <w:rFonts w:hint="eastAsia"/>
          <w:lang w:val="en-US" w:eastAsia="zh-CN"/>
        </w:rPr>
        <w:t>b：</w:t>
      </w:r>
      <w:r>
        <w:rPr>
          <w:rFonts w:hint="eastAsia"/>
          <w:lang w:eastAsia="zh-CN"/>
        </w:rPr>
        <w:t>投标人满足《中华人民共和国政府采购法》第</w:t>
      </w:r>
      <w:r>
        <w:rPr>
          <w:rFonts w:hint="eastAsia"/>
          <w:lang w:val="en-US" w:eastAsia="zh-CN"/>
        </w:rPr>
        <w:t>22条规定的各项条件的书面申明（格式自拟）</w:t>
      </w:r>
      <w:r>
        <w:rPr>
          <w:rFonts w:hint="eastAsia"/>
          <w:lang w:eastAsia="zh-CN"/>
        </w:rPr>
        <w:t>；</w:t>
      </w:r>
    </w:p>
    <w:p>
      <w:pPr>
        <w:pStyle w:val="2"/>
        <w:numPr>
          <w:ilvl w:val="0"/>
          <w:numId w:val="0"/>
        </w:numPr>
        <w:spacing w:before="2" w:line="360" w:lineRule="auto"/>
        <w:ind w:right="29" w:rightChars="13" w:firstLine="843" w:firstLineChars="400"/>
        <w:rPr>
          <w:rFonts w:hint="eastAsia" w:eastAsia="宋体"/>
          <w:lang w:val="en-US" w:eastAsia="zh-CN"/>
        </w:rPr>
      </w:pPr>
      <w:r>
        <w:rPr>
          <w:rFonts w:hint="eastAsia"/>
          <w:b/>
          <w:bCs/>
          <w:lang w:val="en-US" w:eastAsia="zh-CN"/>
        </w:rPr>
        <w:t>c</w:t>
      </w:r>
      <w:r>
        <w:rPr>
          <w:rFonts w:hint="eastAsia"/>
          <w:lang w:val="en-US" w:eastAsia="zh-CN"/>
        </w:rPr>
        <w:t>、投标人</w:t>
      </w:r>
      <w:r>
        <w:rPr>
          <w:rFonts w:hint="eastAsia"/>
        </w:rPr>
        <w:t>未被“信用中国”网站（www.creditchina.gov.cn)、“中国政府采购网（www.ccgp.gov.cn)、“信用江苏”、“信用中国（江苏盐城）”等网站列入失信被执行人、重大税收违法案件当事人名单、政府采购严</w:t>
      </w:r>
      <w:r>
        <w:rPr>
          <w:rFonts w:hint="eastAsia"/>
          <w:lang w:val="en-US" w:eastAsia="zh-CN"/>
        </w:rPr>
        <w:t xml:space="preserve">      </w:t>
      </w:r>
      <w:r>
        <w:rPr>
          <w:rFonts w:hint="eastAsia"/>
        </w:rPr>
        <w:t>重失信行为记录名单</w:t>
      </w:r>
      <w:r>
        <w:rPr>
          <w:rFonts w:hint="eastAsia"/>
          <w:lang w:eastAsia="zh-CN"/>
        </w:rPr>
        <w:t>的书面申明（格式自拟）</w:t>
      </w:r>
    </w:p>
    <w:p>
      <w:pPr>
        <w:pStyle w:val="2"/>
        <w:spacing w:before="33" w:line="410" w:lineRule="auto"/>
        <w:ind w:left="392" w:right="547" w:firstLine="419"/>
        <w:jc w:val="both"/>
      </w:pPr>
      <w:r>
        <w:rPr>
          <w:spacing w:val="-6"/>
        </w:rPr>
        <w:t>注：以上资料须提供原件供评标委员会审查，未提供原件的资格审查不予通过，确有特殊原因无法提</w:t>
      </w:r>
      <w:r>
        <w:rPr>
          <w:spacing w:val="-8"/>
        </w:rPr>
        <w:t>供原件的，复印件必须经原发证部门确认或提供公证件，否则按无效投标文件处理，投标人也可提供带可</w:t>
      </w:r>
      <w:r>
        <w:rPr>
          <w:spacing w:val="-5"/>
        </w:rPr>
        <w:t>识别二维码并加盖投标人公章的相关证书复印件视同原件。</w:t>
      </w:r>
    </w:p>
    <w:p>
      <w:pPr>
        <w:pStyle w:val="21"/>
        <w:numPr>
          <w:ilvl w:val="0"/>
          <w:numId w:val="6"/>
        </w:numPr>
        <w:tabs>
          <w:tab w:val="left" w:pos="1342"/>
        </w:tabs>
        <w:spacing w:before="0" w:after="0" w:line="269" w:lineRule="exact"/>
        <w:ind w:left="1341" w:right="0" w:hanging="530"/>
        <w:jc w:val="left"/>
        <w:rPr>
          <w:sz w:val="19"/>
        </w:rPr>
      </w:pPr>
      <w:r>
        <w:rPr>
          <w:b/>
          <w:sz w:val="21"/>
        </w:rPr>
        <w:t>商务文件</w:t>
      </w:r>
      <w:r>
        <w:rPr>
          <w:spacing w:val="-3"/>
          <w:sz w:val="21"/>
        </w:rPr>
        <w:t>应包括如下内容：</w:t>
      </w:r>
    </w:p>
    <w:p>
      <w:pPr>
        <w:pStyle w:val="2"/>
        <w:spacing w:before="3"/>
        <w:rPr>
          <w:sz w:val="16"/>
        </w:rPr>
      </w:pPr>
    </w:p>
    <w:p>
      <w:pPr>
        <w:pStyle w:val="2"/>
        <w:ind w:left="812"/>
      </w:pPr>
      <w:r>
        <w:rPr>
          <w:rFonts w:ascii="Times New Roman" w:eastAsia="Times New Roman"/>
          <w:spacing w:val="-1"/>
        </w:rPr>
        <w:t>a</w:t>
      </w:r>
      <w:r>
        <w:rPr>
          <w:spacing w:val="-3"/>
        </w:rPr>
        <w:t>、投标人的法定代表人身份证明书；</w:t>
      </w:r>
    </w:p>
    <w:p>
      <w:pPr>
        <w:pStyle w:val="2"/>
        <w:spacing w:before="6"/>
        <w:rPr>
          <w:sz w:val="16"/>
        </w:rPr>
      </w:pPr>
    </w:p>
    <w:p>
      <w:pPr>
        <w:pStyle w:val="2"/>
        <w:spacing w:line="427" w:lineRule="auto"/>
        <w:ind w:left="812" w:right="5313"/>
      </w:pPr>
      <w:r>
        <w:rPr>
          <w:rFonts w:ascii="Times New Roman" w:eastAsia="Times New Roman"/>
        </w:rPr>
        <w:t>b</w:t>
      </w:r>
      <w:r>
        <w:t>、投标人的法定代表人授权委托书</w:t>
      </w:r>
      <w:r>
        <w:rPr>
          <w:rFonts w:ascii="Times New Roman" w:eastAsia="Times New Roman"/>
        </w:rPr>
        <w:t>(</w:t>
      </w:r>
      <w:r>
        <w:t>如有授权</w:t>
      </w:r>
      <w:r>
        <w:rPr>
          <w:rFonts w:ascii="Times New Roman" w:eastAsia="Times New Roman"/>
        </w:rPr>
        <w:t>)</w:t>
      </w:r>
      <w:r>
        <w:t xml:space="preserve">； </w:t>
      </w:r>
      <w:r>
        <w:rPr>
          <w:rFonts w:ascii="Times New Roman" w:eastAsia="Times New Roman"/>
        </w:rPr>
        <w:t>c</w:t>
      </w:r>
      <w:r>
        <w:t>、投标函；</w:t>
      </w:r>
    </w:p>
    <w:p>
      <w:pPr>
        <w:pStyle w:val="2"/>
        <w:spacing w:before="3" w:line="427" w:lineRule="auto"/>
        <w:ind w:left="812" w:right="7773"/>
        <w:jc w:val="both"/>
      </w:pPr>
      <w:r>
        <w:rPr>
          <w:rFonts w:ascii="Times New Roman" w:eastAsia="Times New Roman"/>
        </w:rPr>
        <w:t>d</w:t>
      </w:r>
      <w:r>
        <w:t xml:space="preserve">、诚信投标承诺书； </w:t>
      </w:r>
      <w:r>
        <w:rPr>
          <w:rFonts w:ascii="Times New Roman" w:eastAsia="Times New Roman"/>
        </w:rPr>
        <w:t>e</w:t>
      </w:r>
      <w:r>
        <w:t xml:space="preserve">、投标报价明细表； </w:t>
      </w:r>
      <w:r>
        <w:rPr>
          <w:rFonts w:ascii="Times New Roman" w:eastAsia="Times New Roman"/>
        </w:rPr>
        <w:t>f</w:t>
      </w:r>
      <w:r>
        <w:t xml:space="preserve">、商务条款偏离表； </w:t>
      </w:r>
      <w:r>
        <w:rPr>
          <w:rFonts w:ascii="Times New Roman" w:eastAsia="Times New Roman"/>
        </w:rPr>
        <w:t>g</w:t>
      </w:r>
      <w:r>
        <w:t>、交货一览表；</w:t>
      </w:r>
    </w:p>
    <w:p>
      <w:pPr>
        <w:pStyle w:val="2"/>
        <w:spacing w:before="4"/>
        <w:ind w:left="812"/>
      </w:pPr>
      <w:r>
        <w:rPr>
          <w:rFonts w:ascii="Times New Roman" w:eastAsia="Times New Roman"/>
        </w:rPr>
        <w:t>h</w:t>
      </w:r>
      <w:r>
        <w:t>、投标人根据评标办法认为应该提供的其它资料。</w:t>
      </w:r>
    </w:p>
    <w:p>
      <w:pPr>
        <w:pStyle w:val="21"/>
        <w:numPr>
          <w:ilvl w:val="0"/>
          <w:numId w:val="6"/>
        </w:numPr>
        <w:tabs>
          <w:tab w:val="left" w:pos="1345"/>
        </w:tabs>
        <w:spacing w:before="194" w:after="0" w:line="240" w:lineRule="auto"/>
        <w:ind w:left="1344" w:right="0" w:hanging="530"/>
        <w:jc w:val="left"/>
        <w:rPr>
          <w:sz w:val="19"/>
        </w:rPr>
      </w:pPr>
      <w:r>
        <w:rPr>
          <w:b/>
          <w:sz w:val="21"/>
        </w:rPr>
        <w:t>技术文件</w:t>
      </w:r>
      <w:r>
        <w:rPr>
          <w:spacing w:val="-3"/>
          <w:sz w:val="21"/>
        </w:rPr>
        <w:t>应包括如下内容：</w:t>
      </w:r>
    </w:p>
    <w:p>
      <w:pPr>
        <w:pStyle w:val="2"/>
        <w:spacing w:before="189"/>
        <w:ind w:left="812"/>
      </w:pPr>
      <w:r>
        <w:t>内容由投标人根据招标文件及招标文件采购需求及评标办法自行编制。</w:t>
      </w:r>
    </w:p>
    <w:p>
      <w:pPr>
        <w:pStyle w:val="2"/>
        <w:rPr>
          <w:sz w:val="15"/>
        </w:rPr>
      </w:pPr>
    </w:p>
    <w:p>
      <w:pPr>
        <w:pStyle w:val="6"/>
        <w:numPr>
          <w:ilvl w:val="0"/>
          <w:numId w:val="6"/>
        </w:numPr>
        <w:tabs>
          <w:tab w:val="left" w:pos="1345"/>
        </w:tabs>
        <w:spacing w:before="0" w:after="0" w:line="240" w:lineRule="auto"/>
        <w:ind w:left="1344" w:right="0" w:hanging="530"/>
        <w:jc w:val="left"/>
        <w:rPr>
          <w:sz w:val="19"/>
        </w:rPr>
      </w:pPr>
      <w:r>
        <w:rPr>
          <w:spacing w:val="-1"/>
        </w:rPr>
        <w:t>开标一览表的要求</w:t>
      </w:r>
    </w:p>
    <w:p>
      <w:pPr>
        <w:pStyle w:val="2"/>
        <w:spacing w:before="192"/>
        <w:ind w:left="812"/>
      </w:pPr>
      <w:r>
        <w:t>开标一览表密封袋里须附【法定代表人身份证明书】或（授权委托代理人的身份证复印件及授权委托</w:t>
      </w:r>
    </w:p>
    <w:p>
      <w:pPr>
        <w:spacing w:after="0"/>
        <w:sectPr>
          <w:pgSz w:w="11910" w:h="16840"/>
          <w:pgMar w:top="1520" w:right="580" w:bottom="1660" w:left="740" w:header="0" w:footer="1399" w:gutter="0"/>
          <w:pgNumType w:fmt="decimal"/>
          <w:cols w:space="720" w:num="1"/>
        </w:sectPr>
      </w:pPr>
    </w:p>
    <w:p>
      <w:pPr>
        <w:pStyle w:val="2"/>
        <w:spacing w:before="59"/>
        <w:ind w:left="392"/>
      </w:pPr>
      <w:r>
        <w:t>书）</w:t>
      </w:r>
    </w:p>
    <w:p>
      <w:pPr>
        <w:pStyle w:val="2"/>
        <w:spacing w:before="12"/>
        <w:rPr>
          <w:sz w:val="14"/>
        </w:rPr>
      </w:pPr>
    </w:p>
    <w:p>
      <w:pPr>
        <w:pStyle w:val="21"/>
        <w:numPr>
          <w:ilvl w:val="2"/>
          <w:numId w:val="2"/>
        </w:numPr>
        <w:tabs>
          <w:tab w:val="left" w:pos="1341"/>
        </w:tabs>
        <w:spacing w:before="0" w:after="0" w:line="408" w:lineRule="auto"/>
        <w:ind w:left="461" w:leftChars="0" w:right="547" w:firstLine="419" w:firstLineChars="0"/>
        <w:jc w:val="left"/>
        <w:rPr>
          <w:rFonts w:ascii="Times New Roman" w:hAnsi="Times New Roman" w:eastAsia="Times New Roman"/>
          <w:sz w:val="21"/>
        </w:rPr>
      </w:pPr>
      <w:r>
        <w:rPr>
          <w:sz w:val="21"/>
        </w:rPr>
        <w:t>第六章“投标文件格式”要求提供相关证明材料的复印件作为附件的，投标人应按要求在投标</w:t>
      </w:r>
      <w:r>
        <w:rPr>
          <w:spacing w:val="-3"/>
          <w:sz w:val="21"/>
        </w:rPr>
        <w:t>文件中提供相应材料，否则不予认可。</w:t>
      </w:r>
    </w:p>
    <w:p>
      <w:pPr>
        <w:pStyle w:val="21"/>
        <w:numPr>
          <w:ilvl w:val="1"/>
          <w:numId w:val="2"/>
        </w:numPr>
        <w:tabs>
          <w:tab w:val="left" w:pos="1183"/>
        </w:tabs>
        <w:spacing w:before="5" w:after="0" w:line="240" w:lineRule="auto"/>
        <w:ind w:left="1182" w:right="0" w:hanging="371"/>
        <w:jc w:val="left"/>
        <w:rPr>
          <w:rFonts w:ascii="Times New Roman" w:eastAsia="Times New Roman"/>
          <w:sz w:val="21"/>
        </w:rPr>
      </w:pPr>
      <w:r>
        <w:rPr>
          <w:rFonts w:hint="eastAsia" w:ascii="黑体" w:eastAsia="黑体"/>
          <w:spacing w:val="-3"/>
          <w:sz w:val="21"/>
        </w:rPr>
        <w:t>投标报价</w:t>
      </w:r>
    </w:p>
    <w:p>
      <w:pPr>
        <w:pStyle w:val="21"/>
        <w:numPr>
          <w:ilvl w:val="2"/>
          <w:numId w:val="2"/>
        </w:numPr>
        <w:tabs>
          <w:tab w:val="left" w:pos="1286"/>
        </w:tabs>
        <w:spacing w:before="192" w:after="0" w:line="410" w:lineRule="auto"/>
        <w:ind w:left="461" w:leftChars="0" w:right="547" w:firstLine="419" w:firstLineChars="0"/>
        <w:jc w:val="both"/>
        <w:rPr>
          <w:rFonts w:ascii="Times New Roman" w:eastAsia="Times New Roman"/>
          <w:sz w:val="21"/>
        </w:rPr>
      </w:pPr>
      <w:r>
        <w:rPr>
          <w:spacing w:val="-7"/>
          <w:sz w:val="21"/>
        </w:rPr>
        <w:t>投标报价应包括完成本项目实施期间所必须的方案深化设计、货款、加工制造、标准附件、备品</w:t>
      </w:r>
      <w:r>
        <w:rPr>
          <w:spacing w:val="-5"/>
          <w:sz w:val="21"/>
        </w:rPr>
        <w:t>备件、专用工具、包装、运输、装卸、安装、检测【包括海关</w:t>
      </w:r>
      <w:r>
        <w:rPr>
          <w:sz w:val="21"/>
        </w:rPr>
        <w:t>（</w:t>
      </w:r>
      <w:r>
        <w:rPr>
          <w:spacing w:val="-3"/>
          <w:sz w:val="21"/>
        </w:rPr>
        <w:t>如采用进口件）、商检、技术质量监督局检测费用和验收费用、进口件的海关验货等</w:t>
      </w:r>
      <w:r>
        <w:rPr>
          <w:spacing w:val="-5"/>
          <w:sz w:val="21"/>
        </w:rPr>
        <w:t>）】、调试、试运行直至验收合格、保修、保险、利润、税费</w:t>
      </w:r>
    </w:p>
    <w:p>
      <w:pPr>
        <w:pStyle w:val="2"/>
        <w:spacing w:line="410" w:lineRule="auto"/>
        <w:ind w:left="392" w:right="444"/>
      </w:pPr>
      <w:r>
        <w:rPr>
          <w:spacing w:val="-4"/>
        </w:rPr>
        <w:t>【主要进口部件及零件进口关税款</w:t>
      </w:r>
      <w:r>
        <w:rPr>
          <w:spacing w:val="-3"/>
        </w:rPr>
        <w:t>（</w:t>
      </w:r>
      <w:r>
        <w:t>如有</w:t>
      </w:r>
      <w:r>
        <w:rPr>
          <w:spacing w:val="-15"/>
        </w:rPr>
        <w:t>）</w:t>
      </w:r>
      <w:r>
        <w:rPr>
          <w:spacing w:val="-3"/>
        </w:rPr>
        <w:t>及中国政府根据现行税法对卖方征收的与本合同有关的一切税</w:t>
      </w:r>
      <w:r>
        <w:rPr>
          <w:spacing w:val="-8"/>
        </w:rPr>
        <w:t xml:space="preserve">费，本项目需提供税率为 </w:t>
      </w:r>
      <w:r>
        <w:rPr>
          <w:rFonts w:ascii="Times New Roman" w:eastAsia="Times New Roman"/>
        </w:rPr>
        <w:t>13%</w:t>
      </w:r>
      <w:r>
        <w:rPr>
          <w:spacing w:val="-12"/>
        </w:rPr>
        <w:t>的增值税专用发票】、风险费、售后服务、资金成本、垃圾清运、成品保护、</w:t>
      </w:r>
      <w:r>
        <w:rPr>
          <w:spacing w:val="-8"/>
        </w:rPr>
        <w:t>特殊条件施工增加费用、质保期内的所有检测及免费提供设备运行所必须的备品备件和专用工具费、施工</w:t>
      </w:r>
      <w:r>
        <w:rPr>
          <w:spacing w:val="-5"/>
        </w:rPr>
        <w:t>期间配合协调费用及管理费、人员培训、售后服务、企业管理费、不可预见费</w:t>
      </w:r>
      <w:r>
        <w:t>（</w:t>
      </w:r>
      <w:r>
        <w:rPr>
          <w:spacing w:val="-3"/>
        </w:rPr>
        <w:t>应充分考虑</w:t>
      </w:r>
      <w:r>
        <w:rPr>
          <w:spacing w:val="-4"/>
        </w:rPr>
        <w:t>所有风险、责任等</w:t>
      </w:r>
      <w:r>
        <w:rPr>
          <w:spacing w:val="-8"/>
        </w:rPr>
        <w:t>）</w:t>
      </w:r>
      <w:r>
        <w:rPr>
          <w:spacing w:val="-4"/>
        </w:rPr>
        <w:t>等所需的为完成本项目交付采购人使用的全部费用的价格体现。投标所报单价为最终</w:t>
      </w:r>
      <w:r>
        <w:rPr>
          <w:spacing w:val="-6"/>
        </w:rPr>
        <w:t>结算单价，因特殊原因并经买卖双方协商同意，投标人不得再要求追加任何费用。同时，除非合同条款中</w:t>
      </w:r>
      <w:r>
        <w:rPr>
          <w:spacing w:val="-4"/>
        </w:rPr>
        <w:t>另有规定，否则，投标单位所报单价在合同实施期间不因市场变化因素而变动。</w:t>
      </w:r>
    </w:p>
    <w:p>
      <w:pPr>
        <w:pStyle w:val="2"/>
        <w:spacing w:line="410" w:lineRule="auto"/>
        <w:ind w:left="392" w:right="547" w:firstLine="419"/>
        <w:jc w:val="both"/>
      </w:pPr>
      <w:r>
        <w:rPr>
          <w:spacing w:val="-6"/>
        </w:rPr>
        <w:t>投标人所报价格包含为保证本项目的正常运行所必须的设备、配件等，未列入的清单或技术参数</w:t>
      </w:r>
      <w:r>
        <w:t>（若</w:t>
      </w:r>
      <w:r>
        <w:rPr>
          <w:spacing w:val="-2"/>
        </w:rPr>
        <w:t>有缺失项</w:t>
      </w:r>
      <w:r>
        <w:rPr>
          <w:spacing w:val="-8"/>
        </w:rPr>
        <w:t>）</w:t>
      </w:r>
      <w:r>
        <w:rPr>
          <w:spacing w:val="-5"/>
        </w:rPr>
        <w:t>投标人须自行补充完整，采购人认为参加本项目投标的潜在供应商应是具有足够经验、供货能</w:t>
      </w:r>
      <w:r>
        <w:rPr>
          <w:spacing w:val="-7"/>
        </w:rPr>
        <w:t>力，采购文件提供的清单、技术要求仅是对采购设备的不完整描述，采购人在验收时要求成交供应商所供设备具有完整性与成套性，整体设备要求运行可靠，采购文件中所提及技术参数投标人所供设备必须满足或优于。投标人因自身原因考虑不周并不影响合同的履行及最终质量的验收，招标人不因投标人投标时考</w:t>
      </w:r>
      <w:r>
        <w:rPr>
          <w:spacing w:val="-5"/>
        </w:rPr>
        <w:t>虑不周而额外补偿任何费用。</w:t>
      </w:r>
    </w:p>
    <w:p>
      <w:pPr>
        <w:pStyle w:val="21"/>
        <w:numPr>
          <w:ilvl w:val="2"/>
          <w:numId w:val="2"/>
        </w:numPr>
        <w:tabs>
          <w:tab w:val="left" w:pos="1286"/>
        </w:tabs>
        <w:spacing w:before="13" w:after="0" w:line="240" w:lineRule="auto"/>
        <w:ind w:left="1354" w:leftChars="0" w:right="0" w:hanging="474" w:firstLineChars="0"/>
        <w:jc w:val="left"/>
        <w:rPr>
          <w:rFonts w:ascii="Times New Roman" w:eastAsia="Times New Roman"/>
          <w:sz w:val="21"/>
        </w:rPr>
      </w:pPr>
      <w:r>
        <w:rPr>
          <w:spacing w:val="-3"/>
          <w:sz w:val="21"/>
        </w:rPr>
        <w:t>投标人按投标人须知前附表的具体规定进行报价。</w:t>
      </w:r>
    </w:p>
    <w:p>
      <w:pPr>
        <w:pStyle w:val="2"/>
        <w:spacing w:before="6"/>
        <w:rPr>
          <w:sz w:val="16"/>
        </w:rPr>
      </w:pPr>
    </w:p>
    <w:p>
      <w:pPr>
        <w:pStyle w:val="2"/>
        <w:spacing w:line="427" w:lineRule="auto"/>
        <w:ind w:left="392" w:right="547" w:firstLine="419"/>
      </w:pPr>
      <w:r>
        <w:rPr>
          <w:spacing w:val="-5"/>
        </w:rPr>
        <w:t>招标人在项目实施时根据需要对中标人所供不同批次的货物进行随机抽检，若发生检测不合格，则该</w:t>
      </w:r>
      <w:r>
        <w:rPr>
          <w:spacing w:val="-4"/>
        </w:rPr>
        <w:t>批所供货物均按不合格处理，由此产生的各项损失由中标人承担。</w:t>
      </w:r>
    </w:p>
    <w:p>
      <w:pPr>
        <w:pStyle w:val="2"/>
        <w:spacing w:before="2" w:line="427" w:lineRule="auto"/>
        <w:ind w:left="392" w:right="523" w:firstLine="419"/>
      </w:pPr>
      <w:r>
        <w:t>招标人要求投标人在投标报价时将相关部门的各项检测费用计入相应的投标单价及合价内，招标人在货款结算时不另行支付该项费用。</w:t>
      </w:r>
    </w:p>
    <w:p>
      <w:pPr>
        <w:pStyle w:val="2"/>
        <w:spacing w:before="2"/>
        <w:ind w:left="812"/>
      </w:pPr>
      <w:r>
        <w:t>投标人应对招标文件内所要采购的全部内容进行报价，只投其中部分内容者，其标书将被拒绝。</w:t>
      </w:r>
    </w:p>
    <w:p>
      <w:pPr>
        <w:pStyle w:val="2"/>
        <w:spacing w:before="2"/>
        <w:rPr>
          <w:sz w:val="15"/>
        </w:rPr>
      </w:pPr>
    </w:p>
    <w:p>
      <w:pPr>
        <w:pStyle w:val="21"/>
        <w:numPr>
          <w:ilvl w:val="2"/>
          <w:numId w:val="2"/>
        </w:numPr>
        <w:tabs>
          <w:tab w:val="left" w:pos="1286"/>
        </w:tabs>
        <w:spacing w:before="0" w:after="0" w:line="410" w:lineRule="auto"/>
        <w:ind w:left="461" w:leftChars="0" w:right="549" w:firstLine="419" w:firstLineChars="0"/>
        <w:jc w:val="left"/>
        <w:rPr>
          <w:rFonts w:ascii="Times New Roman" w:eastAsia="Times New Roman"/>
          <w:sz w:val="21"/>
        </w:rPr>
      </w:pPr>
      <w:r>
        <w:rPr>
          <w:spacing w:val="-8"/>
          <w:sz w:val="21"/>
        </w:rPr>
        <w:t>招标人设有最高投标限价的，投标人的投标报价不得超过最高投标限价，最高投标限价见投标人</w:t>
      </w:r>
      <w:r>
        <w:rPr>
          <w:spacing w:val="-5"/>
          <w:sz w:val="21"/>
        </w:rPr>
        <w:t>须知前附表。</w:t>
      </w:r>
    </w:p>
    <w:p>
      <w:pPr>
        <w:pStyle w:val="21"/>
        <w:numPr>
          <w:ilvl w:val="2"/>
          <w:numId w:val="2"/>
        </w:numPr>
        <w:tabs>
          <w:tab w:val="left" w:pos="1286"/>
        </w:tabs>
        <w:spacing w:before="2" w:after="0" w:line="240" w:lineRule="auto"/>
        <w:ind w:left="1354" w:leftChars="0" w:right="0" w:hanging="474" w:firstLineChars="0"/>
        <w:jc w:val="left"/>
        <w:rPr>
          <w:rFonts w:ascii="Times New Roman" w:eastAsia="Times New Roman"/>
          <w:sz w:val="21"/>
        </w:rPr>
      </w:pPr>
      <w:r>
        <w:rPr>
          <w:spacing w:val="-2"/>
          <w:sz w:val="21"/>
        </w:rPr>
        <w:t>计价方式</w:t>
      </w:r>
    </w:p>
    <w:p>
      <w:pPr>
        <w:spacing w:after="0" w:line="240" w:lineRule="auto"/>
        <w:jc w:val="left"/>
        <w:rPr>
          <w:rFonts w:ascii="Times New Roman" w:eastAsia="Times New Roman"/>
          <w:sz w:val="21"/>
        </w:rPr>
        <w:sectPr>
          <w:pgSz w:w="11910" w:h="16840"/>
          <w:pgMar w:top="1520" w:right="580" w:bottom="1660" w:left="740" w:header="0" w:footer="1399" w:gutter="0"/>
          <w:pgNumType w:fmt="decimal"/>
          <w:cols w:space="720" w:num="1"/>
        </w:sectPr>
      </w:pPr>
    </w:p>
    <w:p>
      <w:pPr>
        <w:pStyle w:val="2"/>
        <w:spacing w:before="59" w:line="410" w:lineRule="auto"/>
        <w:ind w:left="812" w:right="444"/>
      </w:pPr>
      <w:r>
        <w:rPr>
          <w:spacing w:val="-10"/>
        </w:rPr>
        <w:t>投标所报单价为最终结算单价，因特殊原因并经买卖双方协商同意，投标人不得再要求追加任何费用。</w:t>
      </w:r>
      <w:r>
        <w:rPr>
          <w:spacing w:val="-7"/>
        </w:rPr>
        <w:t>投标人投标前应先到项目现场踏勘以充分了解项目实施地点位置、情况、道路、储存空间、装卸限制</w:t>
      </w:r>
    </w:p>
    <w:p>
      <w:pPr>
        <w:pStyle w:val="2"/>
        <w:spacing w:line="410" w:lineRule="auto"/>
        <w:ind w:left="392" w:right="547"/>
      </w:pPr>
      <w:r>
        <w:rPr>
          <w:spacing w:val="-5"/>
        </w:rPr>
        <w:t>以及任何其他足以影响承包价的情况，任何因忽视或误解实际情况而导致的索赔或供货期延长申请将不被批准。</w:t>
      </w:r>
    </w:p>
    <w:p>
      <w:pPr>
        <w:pStyle w:val="21"/>
        <w:numPr>
          <w:ilvl w:val="1"/>
          <w:numId w:val="2"/>
        </w:numPr>
        <w:tabs>
          <w:tab w:val="left" w:pos="1183"/>
        </w:tabs>
        <w:spacing w:before="0" w:after="0" w:line="240" w:lineRule="auto"/>
        <w:ind w:left="1182" w:right="0" w:hanging="371"/>
        <w:jc w:val="both"/>
        <w:rPr>
          <w:rFonts w:ascii="Times New Roman" w:eastAsia="Times New Roman"/>
          <w:sz w:val="21"/>
        </w:rPr>
      </w:pPr>
      <w:r>
        <w:rPr>
          <w:rFonts w:hint="eastAsia" w:ascii="黑体" w:eastAsia="黑体"/>
          <w:spacing w:val="-3"/>
          <w:sz w:val="21"/>
        </w:rPr>
        <w:t>投标有效期</w:t>
      </w:r>
    </w:p>
    <w:p>
      <w:pPr>
        <w:pStyle w:val="21"/>
        <w:numPr>
          <w:ilvl w:val="2"/>
          <w:numId w:val="2"/>
        </w:numPr>
        <w:tabs>
          <w:tab w:val="left" w:pos="1339"/>
        </w:tabs>
        <w:spacing w:before="190" w:after="0" w:line="240" w:lineRule="auto"/>
        <w:ind w:left="1407" w:leftChars="0" w:right="0" w:hanging="527" w:firstLineChars="0"/>
        <w:jc w:val="both"/>
        <w:rPr>
          <w:rFonts w:ascii="Times New Roman" w:eastAsia="Times New Roman"/>
          <w:sz w:val="21"/>
        </w:rPr>
      </w:pPr>
      <w:r>
        <w:rPr>
          <w:spacing w:val="-8"/>
          <w:sz w:val="21"/>
        </w:rPr>
        <w:t xml:space="preserve">在投标人须知前附表第 </w:t>
      </w:r>
      <w:r>
        <w:rPr>
          <w:rFonts w:ascii="Times New Roman" w:eastAsia="Times New Roman"/>
          <w:sz w:val="21"/>
        </w:rPr>
        <w:t>3.3.1</w:t>
      </w:r>
      <w:r>
        <w:rPr>
          <w:rFonts w:ascii="Times New Roman" w:eastAsia="Times New Roman"/>
          <w:spacing w:val="4"/>
          <w:sz w:val="21"/>
        </w:rPr>
        <w:t xml:space="preserve"> </w:t>
      </w:r>
      <w:r>
        <w:rPr>
          <w:spacing w:val="-3"/>
          <w:sz w:val="21"/>
        </w:rPr>
        <w:t>条规定的投标有效期内，投标人不得要求撤销或修改其投标文件。</w:t>
      </w:r>
    </w:p>
    <w:p>
      <w:pPr>
        <w:pStyle w:val="21"/>
        <w:numPr>
          <w:ilvl w:val="2"/>
          <w:numId w:val="2"/>
        </w:numPr>
        <w:tabs>
          <w:tab w:val="left" w:pos="1286"/>
        </w:tabs>
        <w:spacing w:before="192" w:after="0" w:line="410" w:lineRule="auto"/>
        <w:ind w:left="461" w:leftChars="0" w:right="547" w:firstLine="419" w:firstLineChars="0"/>
        <w:jc w:val="both"/>
        <w:rPr>
          <w:rFonts w:ascii="Times New Roman" w:eastAsia="Times New Roman"/>
          <w:sz w:val="21"/>
        </w:rPr>
      </w:pPr>
      <w:r>
        <w:rPr>
          <w:spacing w:val="-7"/>
          <w:sz w:val="21"/>
        </w:rPr>
        <w:t>出现特殊情况需要延长投标有效期的，招标人应通知所有投标人延长投标有效期。投标人同意延长的，应相应延长其投标保证金的有效期，但不得要求或被允许修改或撤销其投标文件；投标人拒绝延长</w:t>
      </w:r>
      <w:r>
        <w:rPr>
          <w:spacing w:val="-5"/>
          <w:sz w:val="21"/>
        </w:rPr>
        <w:t>的，其投标失效，但投标人有权收回其投标保证金。</w:t>
      </w:r>
    </w:p>
    <w:p>
      <w:pPr>
        <w:pStyle w:val="21"/>
        <w:numPr>
          <w:ilvl w:val="1"/>
          <w:numId w:val="2"/>
        </w:numPr>
        <w:tabs>
          <w:tab w:val="left" w:pos="1183"/>
        </w:tabs>
        <w:spacing w:before="192" w:after="0" w:line="240" w:lineRule="auto"/>
        <w:ind w:left="1182" w:right="0" w:hanging="371"/>
        <w:jc w:val="left"/>
        <w:rPr>
          <w:rFonts w:ascii="Times New Roman" w:eastAsia="Times New Roman"/>
          <w:sz w:val="21"/>
        </w:rPr>
      </w:pPr>
      <w:r>
        <w:rPr>
          <w:rFonts w:hint="eastAsia" w:ascii="黑体" w:eastAsia="黑体"/>
          <w:spacing w:val="-3"/>
          <w:sz w:val="21"/>
        </w:rPr>
        <w:t>资格审查资料</w:t>
      </w:r>
    </w:p>
    <w:p>
      <w:pPr>
        <w:pStyle w:val="2"/>
        <w:spacing w:before="189"/>
        <w:ind w:left="812"/>
      </w:pPr>
      <w:r>
        <w:t xml:space="preserve">投标人在编制投标文件时，应按照本章 </w:t>
      </w:r>
      <w:r>
        <w:rPr>
          <w:rFonts w:ascii="Times New Roman" w:eastAsia="Times New Roman"/>
        </w:rPr>
        <w:t xml:space="preserve">3.1 </w:t>
      </w:r>
      <w:r>
        <w:t>的要求提供资料。</w:t>
      </w:r>
    </w:p>
    <w:p>
      <w:pPr>
        <w:pStyle w:val="21"/>
        <w:numPr>
          <w:ilvl w:val="1"/>
          <w:numId w:val="2"/>
        </w:numPr>
        <w:tabs>
          <w:tab w:val="left" w:pos="1183"/>
        </w:tabs>
        <w:spacing w:before="192" w:after="0" w:line="240" w:lineRule="auto"/>
        <w:ind w:left="1182" w:right="0" w:hanging="371"/>
        <w:jc w:val="left"/>
        <w:rPr>
          <w:rFonts w:ascii="Times New Roman" w:eastAsia="Times New Roman"/>
          <w:sz w:val="21"/>
        </w:rPr>
      </w:pPr>
      <w:r>
        <w:rPr>
          <w:rFonts w:hint="eastAsia" w:ascii="黑体" w:eastAsia="黑体"/>
          <w:spacing w:val="-3"/>
          <w:sz w:val="21"/>
        </w:rPr>
        <w:t>备选投标方案</w:t>
      </w:r>
    </w:p>
    <w:p>
      <w:pPr>
        <w:pStyle w:val="2"/>
        <w:spacing w:before="192"/>
        <w:ind w:left="812"/>
      </w:pPr>
      <w:r>
        <w:t>除投标人须知前附表另有规定外，投标人不得提交备选投标方案。</w:t>
      </w:r>
    </w:p>
    <w:p>
      <w:pPr>
        <w:pStyle w:val="2"/>
        <w:spacing w:before="9"/>
        <w:rPr>
          <w:sz w:val="14"/>
        </w:rPr>
      </w:pPr>
    </w:p>
    <w:p>
      <w:pPr>
        <w:pStyle w:val="21"/>
        <w:numPr>
          <w:ilvl w:val="1"/>
          <w:numId w:val="2"/>
        </w:numPr>
        <w:tabs>
          <w:tab w:val="left" w:pos="1183"/>
        </w:tabs>
        <w:spacing w:before="1" w:after="0" w:line="240" w:lineRule="auto"/>
        <w:ind w:left="1182" w:right="0" w:hanging="371"/>
        <w:jc w:val="left"/>
        <w:rPr>
          <w:rFonts w:ascii="Times New Roman" w:eastAsia="Times New Roman"/>
          <w:sz w:val="21"/>
        </w:rPr>
      </w:pPr>
      <w:r>
        <w:rPr>
          <w:rFonts w:hint="eastAsia" w:ascii="黑体" w:eastAsia="黑体"/>
          <w:spacing w:val="-3"/>
          <w:sz w:val="21"/>
        </w:rPr>
        <w:t>投标文件的编制</w:t>
      </w:r>
    </w:p>
    <w:p>
      <w:pPr>
        <w:pStyle w:val="21"/>
        <w:numPr>
          <w:ilvl w:val="2"/>
          <w:numId w:val="2"/>
        </w:numPr>
        <w:tabs>
          <w:tab w:val="left" w:pos="1341"/>
        </w:tabs>
        <w:spacing w:before="191" w:after="0" w:line="410" w:lineRule="auto"/>
        <w:ind w:left="461" w:leftChars="0" w:right="547" w:firstLine="419" w:firstLineChars="0"/>
        <w:jc w:val="left"/>
        <w:rPr>
          <w:rFonts w:ascii="Times New Roman" w:hAnsi="Times New Roman" w:eastAsia="Times New Roman"/>
          <w:sz w:val="21"/>
        </w:rPr>
      </w:pPr>
      <w:r>
        <w:rPr>
          <w:sz w:val="21"/>
        </w:rPr>
        <w:t>投标文件应按“投标文件格式”进行编写，如有必要，可以增加附页，作为投标文件的组成部分。</w:t>
      </w:r>
    </w:p>
    <w:p>
      <w:pPr>
        <w:pStyle w:val="21"/>
        <w:numPr>
          <w:ilvl w:val="2"/>
          <w:numId w:val="2"/>
        </w:numPr>
        <w:tabs>
          <w:tab w:val="left" w:pos="1339"/>
        </w:tabs>
        <w:spacing w:before="0" w:after="0" w:line="410" w:lineRule="auto"/>
        <w:ind w:left="461" w:leftChars="0" w:right="444" w:firstLine="419" w:firstLineChars="0"/>
        <w:jc w:val="left"/>
        <w:rPr>
          <w:rFonts w:ascii="Times New Roman" w:eastAsia="Times New Roman"/>
          <w:sz w:val="21"/>
        </w:rPr>
      </w:pPr>
      <w:r>
        <w:rPr>
          <w:spacing w:val="-5"/>
          <w:sz w:val="21"/>
        </w:rPr>
        <w:t>投标文件应用不褪色的材料书写或打印，并由投标人的法定代表人或其委托代理人签字或盖章。</w:t>
      </w:r>
      <w:r>
        <w:rPr>
          <w:spacing w:val="-7"/>
          <w:sz w:val="21"/>
        </w:rPr>
        <w:t>委托代理人签字的，投标文件应附法定代表人签署的授权委托书。投标文件应尽量避免涂改、行间插字或</w:t>
      </w:r>
      <w:r>
        <w:rPr>
          <w:spacing w:val="-5"/>
          <w:sz w:val="21"/>
        </w:rPr>
        <w:t>删除。如果出现上述情况，改动之处应加盖单位章或由投标人的法定代表人或其授权的代理人签字确认。</w:t>
      </w:r>
    </w:p>
    <w:p>
      <w:pPr>
        <w:pStyle w:val="21"/>
        <w:numPr>
          <w:ilvl w:val="2"/>
          <w:numId w:val="2"/>
        </w:numPr>
        <w:tabs>
          <w:tab w:val="left" w:pos="1339"/>
        </w:tabs>
        <w:spacing w:before="0" w:after="0" w:line="410" w:lineRule="auto"/>
        <w:ind w:left="461" w:leftChars="0" w:right="441" w:firstLine="419" w:firstLineChars="0"/>
        <w:jc w:val="left"/>
        <w:rPr>
          <w:rFonts w:ascii="Times New Roman" w:hAnsi="Times New Roman" w:eastAsia="Times New Roman"/>
          <w:sz w:val="21"/>
        </w:rPr>
      </w:pPr>
      <w:r>
        <w:rPr>
          <w:spacing w:val="-6"/>
          <w:sz w:val="21"/>
        </w:rPr>
        <w:t xml:space="preserve">投标文件正本一份，副本份数见投标人须知前附表。正本和副本的封面上应清楚地标记“正本” </w:t>
      </w:r>
      <w:r>
        <w:rPr>
          <w:spacing w:val="-4"/>
          <w:sz w:val="21"/>
        </w:rPr>
        <w:t>或“副本”的字样。当副本和正本不一致时，以正本为准。</w:t>
      </w:r>
    </w:p>
    <w:p>
      <w:pPr>
        <w:pStyle w:val="21"/>
        <w:numPr>
          <w:ilvl w:val="2"/>
          <w:numId w:val="2"/>
        </w:numPr>
        <w:tabs>
          <w:tab w:val="left" w:pos="1339"/>
        </w:tabs>
        <w:spacing w:before="1" w:after="0" w:line="408" w:lineRule="auto"/>
        <w:ind w:left="881" w:leftChars="0" w:right="444" w:firstLine="0" w:firstLineChars="0"/>
        <w:jc w:val="left"/>
        <w:rPr>
          <w:rFonts w:ascii="Times New Roman" w:eastAsia="Times New Roman"/>
          <w:sz w:val="21"/>
        </w:rPr>
      </w:pPr>
      <w:r>
        <w:rPr>
          <w:spacing w:val="-5"/>
          <w:sz w:val="21"/>
        </w:rPr>
        <w:t>投标文件的正本与副本应分别装订成册，并编制目录，具体装订要求见投标人须知前附表规定。</w:t>
      </w:r>
      <w:r>
        <w:rPr>
          <w:spacing w:val="-4"/>
          <w:sz w:val="21"/>
        </w:rPr>
        <w:t>对违反上述规定者将按无效标书处理。</w:t>
      </w:r>
    </w:p>
    <w:p>
      <w:pPr>
        <w:pStyle w:val="6"/>
        <w:numPr>
          <w:ilvl w:val="0"/>
          <w:numId w:val="2"/>
        </w:numPr>
        <w:tabs>
          <w:tab w:val="left" w:pos="993"/>
        </w:tabs>
        <w:spacing w:before="4" w:after="0" w:line="240" w:lineRule="auto"/>
        <w:ind w:left="992" w:right="0" w:hanging="178"/>
        <w:jc w:val="left"/>
        <w:rPr>
          <w:rFonts w:ascii="Arial" w:eastAsia="Arial"/>
          <w:sz w:val="19"/>
        </w:rPr>
      </w:pPr>
      <w:r>
        <w:t>投标</w:t>
      </w:r>
    </w:p>
    <w:p>
      <w:pPr>
        <w:pStyle w:val="21"/>
        <w:numPr>
          <w:ilvl w:val="1"/>
          <w:numId w:val="2"/>
        </w:numPr>
        <w:tabs>
          <w:tab w:val="left" w:pos="1183"/>
        </w:tabs>
        <w:spacing w:before="192" w:after="0" w:line="240" w:lineRule="auto"/>
        <w:ind w:left="1182" w:right="0" w:hanging="371"/>
        <w:jc w:val="left"/>
        <w:rPr>
          <w:rFonts w:ascii="Times New Roman" w:eastAsia="Times New Roman"/>
          <w:sz w:val="21"/>
        </w:rPr>
      </w:pPr>
      <w:r>
        <w:rPr>
          <w:rFonts w:hint="eastAsia" w:ascii="黑体" w:eastAsia="黑体"/>
          <w:spacing w:val="-3"/>
          <w:sz w:val="21"/>
        </w:rPr>
        <w:t>投标文件的密封和标记</w:t>
      </w:r>
    </w:p>
    <w:p>
      <w:pPr>
        <w:pStyle w:val="21"/>
        <w:numPr>
          <w:ilvl w:val="2"/>
          <w:numId w:val="2"/>
        </w:numPr>
        <w:tabs>
          <w:tab w:val="left" w:pos="1341"/>
        </w:tabs>
        <w:spacing w:before="189" w:after="0" w:line="410" w:lineRule="auto"/>
        <w:ind w:left="461" w:leftChars="0" w:right="547" w:firstLine="419" w:firstLineChars="0"/>
        <w:jc w:val="both"/>
        <w:rPr>
          <w:rFonts w:ascii="Times New Roman" w:hAnsi="Times New Roman" w:eastAsia="Times New Roman"/>
          <w:sz w:val="21"/>
        </w:rPr>
      </w:pPr>
      <w:r>
        <w:rPr>
          <w:sz w:val="21"/>
        </w:rPr>
        <w:t>投标文件应清楚地标记“正本”、“副本”字样，并包装密封提交；封套上分别写明投标人名</w:t>
      </w:r>
      <w:r>
        <w:rPr>
          <w:spacing w:val="-5"/>
          <w:sz w:val="21"/>
        </w:rPr>
        <w:t>称、投标项目名称、项目编号、“开标时启封”字样，并加盖投标人公章。封袋大小、数量由投标人根据</w:t>
      </w:r>
      <w:r>
        <w:rPr>
          <w:spacing w:val="-4"/>
          <w:sz w:val="21"/>
        </w:rPr>
        <w:t>需要自行制作。</w:t>
      </w:r>
    </w:p>
    <w:p>
      <w:pPr>
        <w:pStyle w:val="21"/>
        <w:numPr>
          <w:ilvl w:val="1"/>
          <w:numId w:val="2"/>
        </w:numPr>
        <w:tabs>
          <w:tab w:val="left" w:pos="1183"/>
        </w:tabs>
        <w:spacing w:before="0" w:after="0" w:line="269" w:lineRule="exact"/>
        <w:ind w:left="1182" w:right="0" w:hanging="371"/>
        <w:jc w:val="left"/>
        <w:rPr>
          <w:rFonts w:ascii="Times New Roman" w:eastAsia="Times New Roman"/>
          <w:sz w:val="21"/>
        </w:rPr>
      </w:pPr>
      <w:r>
        <w:rPr>
          <w:rFonts w:hint="eastAsia" w:ascii="黑体" w:eastAsia="黑体"/>
          <w:spacing w:val="-3"/>
          <w:sz w:val="21"/>
        </w:rPr>
        <w:t>投标文件的递交</w:t>
      </w:r>
    </w:p>
    <w:p>
      <w:pPr>
        <w:pStyle w:val="21"/>
        <w:numPr>
          <w:ilvl w:val="2"/>
          <w:numId w:val="2"/>
        </w:numPr>
        <w:tabs>
          <w:tab w:val="left" w:pos="1339"/>
        </w:tabs>
        <w:spacing w:before="192" w:after="0" w:line="240" w:lineRule="auto"/>
        <w:ind w:left="1407" w:leftChars="0" w:right="0" w:hanging="527" w:firstLineChars="0"/>
        <w:jc w:val="left"/>
        <w:rPr>
          <w:rFonts w:ascii="Times New Roman" w:eastAsia="Times New Roman"/>
          <w:sz w:val="21"/>
        </w:rPr>
      </w:pPr>
      <w:r>
        <w:rPr>
          <w:spacing w:val="-3"/>
          <w:sz w:val="21"/>
        </w:rPr>
        <w:t>投标人应在投标人须知前附表规定的投标截止时间前递交投标文件。</w:t>
      </w:r>
    </w:p>
    <w:p>
      <w:pPr>
        <w:pStyle w:val="21"/>
        <w:numPr>
          <w:ilvl w:val="2"/>
          <w:numId w:val="2"/>
        </w:numPr>
        <w:tabs>
          <w:tab w:val="left" w:pos="1339"/>
        </w:tabs>
        <w:spacing w:before="191" w:after="0" w:line="240" w:lineRule="auto"/>
        <w:ind w:left="1407" w:leftChars="0" w:right="0" w:hanging="527" w:firstLineChars="0"/>
        <w:jc w:val="left"/>
        <w:rPr>
          <w:rFonts w:ascii="Times New Roman" w:eastAsia="Times New Roman"/>
          <w:sz w:val="21"/>
        </w:rPr>
      </w:pPr>
      <w:r>
        <w:rPr>
          <w:spacing w:val="-3"/>
          <w:sz w:val="21"/>
        </w:rPr>
        <w:t>投标人递交投标文件的地点：见</w:t>
      </w:r>
      <w:r>
        <w:rPr>
          <w:rFonts w:hint="eastAsia"/>
          <w:spacing w:val="-3"/>
          <w:sz w:val="21"/>
          <w:lang w:eastAsia="zh-CN"/>
        </w:rPr>
        <w:t>招标公告</w:t>
      </w:r>
      <w:r>
        <w:rPr>
          <w:spacing w:val="-3"/>
          <w:sz w:val="21"/>
        </w:rPr>
        <w:t>。</w:t>
      </w:r>
    </w:p>
    <w:p>
      <w:pPr>
        <w:pStyle w:val="21"/>
        <w:numPr>
          <w:ilvl w:val="2"/>
          <w:numId w:val="2"/>
        </w:numPr>
        <w:tabs>
          <w:tab w:val="left" w:pos="1339"/>
        </w:tabs>
        <w:spacing w:before="190" w:after="0" w:line="240" w:lineRule="auto"/>
        <w:ind w:left="1407" w:leftChars="0" w:right="0" w:hanging="527" w:firstLineChars="0"/>
        <w:jc w:val="left"/>
        <w:rPr>
          <w:rFonts w:ascii="Times New Roman" w:eastAsia="Times New Roman"/>
          <w:sz w:val="21"/>
        </w:rPr>
      </w:pPr>
      <w:r>
        <w:rPr>
          <w:spacing w:val="-3"/>
          <w:sz w:val="21"/>
        </w:rPr>
        <w:t>除投标人须知前附表另有规定外，投标人所递交的投标文件不予退还。</w:t>
      </w:r>
    </w:p>
    <w:p>
      <w:pPr>
        <w:pStyle w:val="21"/>
        <w:numPr>
          <w:ilvl w:val="1"/>
          <w:numId w:val="2"/>
        </w:numPr>
        <w:tabs>
          <w:tab w:val="left" w:pos="1183"/>
        </w:tabs>
        <w:spacing w:before="191" w:after="0" w:line="240" w:lineRule="auto"/>
        <w:ind w:left="1182" w:right="0" w:hanging="371"/>
        <w:jc w:val="left"/>
        <w:rPr>
          <w:rFonts w:ascii="Times New Roman" w:eastAsia="Times New Roman"/>
          <w:sz w:val="21"/>
        </w:rPr>
      </w:pPr>
      <w:r>
        <w:rPr>
          <w:rFonts w:hint="eastAsia" w:ascii="黑体" w:eastAsia="黑体"/>
          <w:spacing w:val="-3"/>
          <w:sz w:val="21"/>
        </w:rPr>
        <w:t>投标文件的修改与撤回</w:t>
      </w:r>
    </w:p>
    <w:p>
      <w:pPr>
        <w:pStyle w:val="21"/>
        <w:numPr>
          <w:ilvl w:val="2"/>
          <w:numId w:val="2"/>
        </w:numPr>
        <w:tabs>
          <w:tab w:val="left" w:pos="1341"/>
        </w:tabs>
        <w:spacing w:before="192" w:after="0" w:line="408" w:lineRule="auto"/>
        <w:ind w:left="461" w:leftChars="0" w:right="547" w:firstLine="419" w:firstLineChars="0"/>
        <w:jc w:val="both"/>
        <w:rPr>
          <w:rFonts w:ascii="Times New Roman" w:eastAsia="Times New Roman"/>
          <w:sz w:val="21"/>
        </w:rPr>
      </w:pPr>
      <w:r>
        <w:rPr>
          <w:sz w:val="21"/>
        </w:rPr>
        <w:t>在投标人须知前附表</w:t>
      </w:r>
      <w:r>
        <w:rPr>
          <w:rFonts w:hint="eastAsia"/>
          <w:sz w:val="21"/>
          <w:lang w:val="en-US" w:eastAsia="zh-CN"/>
        </w:rPr>
        <w:t>4.2.1</w:t>
      </w:r>
      <w:r>
        <w:rPr>
          <w:sz w:val="21"/>
        </w:rPr>
        <w:t>规定的投标截止时间前，投标人可以修改或撤回已递交的投标文件，但应</w:t>
      </w:r>
      <w:r>
        <w:rPr>
          <w:spacing w:val="-3"/>
          <w:sz w:val="21"/>
        </w:rPr>
        <w:t>以书面形式通知招标人。</w:t>
      </w:r>
    </w:p>
    <w:p>
      <w:pPr>
        <w:pStyle w:val="21"/>
        <w:numPr>
          <w:ilvl w:val="2"/>
          <w:numId w:val="2"/>
        </w:numPr>
        <w:tabs>
          <w:tab w:val="left" w:pos="1339"/>
        </w:tabs>
        <w:spacing w:before="5" w:after="0" w:line="410" w:lineRule="auto"/>
        <w:ind w:left="461" w:leftChars="0" w:right="547" w:firstLine="419" w:firstLineChars="0"/>
        <w:jc w:val="both"/>
        <w:rPr>
          <w:rFonts w:ascii="Times New Roman" w:eastAsia="Times New Roman"/>
          <w:sz w:val="21"/>
        </w:rPr>
      </w:pPr>
      <w:r>
        <w:rPr>
          <w:spacing w:val="-5"/>
          <w:sz w:val="21"/>
        </w:rPr>
        <w:t xml:space="preserve">投标人修改或撤回已递交投标文件的书面通知应按照本章第 </w:t>
      </w:r>
      <w:r>
        <w:rPr>
          <w:rFonts w:ascii="Times New Roman" w:eastAsia="Times New Roman"/>
          <w:sz w:val="21"/>
        </w:rPr>
        <w:t>3.</w:t>
      </w:r>
      <w:r>
        <w:rPr>
          <w:rFonts w:hint="eastAsia" w:ascii="Times New Roman"/>
          <w:sz w:val="21"/>
          <w:lang w:val="en-US" w:eastAsia="zh-CN"/>
        </w:rPr>
        <w:t>6</w:t>
      </w:r>
      <w:r>
        <w:rPr>
          <w:rFonts w:ascii="Times New Roman" w:eastAsia="Times New Roman"/>
          <w:sz w:val="21"/>
        </w:rPr>
        <w:t>.2</w:t>
      </w:r>
      <w:r>
        <w:rPr>
          <w:rFonts w:ascii="Times New Roman" w:eastAsia="Times New Roman"/>
          <w:spacing w:val="25"/>
          <w:sz w:val="21"/>
        </w:rPr>
        <w:t xml:space="preserve"> </w:t>
      </w:r>
      <w:r>
        <w:rPr>
          <w:spacing w:val="-11"/>
          <w:sz w:val="21"/>
        </w:rPr>
        <w:t>项的要求签字或盖章。招标人</w:t>
      </w:r>
      <w:r>
        <w:rPr>
          <w:spacing w:val="-6"/>
          <w:sz w:val="21"/>
        </w:rPr>
        <w:t>收到书面通知后，向投标人出具签收凭证。</w:t>
      </w:r>
    </w:p>
    <w:p>
      <w:pPr>
        <w:pStyle w:val="21"/>
        <w:numPr>
          <w:ilvl w:val="2"/>
          <w:numId w:val="2"/>
        </w:numPr>
        <w:tabs>
          <w:tab w:val="left" w:pos="1339"/>
        </w:tabs>
        <w:spacing w:before="59" w:after="0" w:line="410" w:lineRule="auto"/>
        <w:ind w:left="461" w:leftChars="0" w:right="446" w:firstLine="419" w:firstLineChars="0"/>
        <w:jc w:val="left"/>
        <w:rPr>
          <w:rFonts w:ascii="Times New Roman" w:hAnsi="Times New Roman" w:eastAsia="Times New Roman"/>
          <w:sz w:val="21"/>
        </w:rPr>
      </w:pPr>
      <w:r>
        <w:rPr>
          <w:spacing w:val="-9"/>
          <w:sz w:val="21"/>
        </w:rPr>
        <w:t xml:space="preserve">修改的内容为投标文件的组成部分。修改的投标文件应按照本章第 </w:t>
      </w:r>
      <w:r>
        <w:rPr>
          <w:rFonts w:ascii="Times New Roman" w:hAnsi="Times New Roman" w:eastAsia="Times New Roman"/>
          <w:sz w:val="21"/>
        </w:rPr>
        <w:t>3</w:t>
      </w:r>
      <w:r>
        <w:rPr>
          <w:rFonts w:ascii="Times New Roman" w:hAnsi="Times New Roman" w:eastAsia="Times New Roman"/>
          <w:spacing w:val="13"/>
          <w:sz w:val="21"/>
        </w:rPr>
        <w:t xml:space="preserve"> </w:t>
      </w:r>
      <w:r>
        <w:rPr>
          <w:spacing w:val="-29"/>
          <w:sz w:val="21"/>
        </w:rPr>
        <w:t xml:space="preserve">条、第 </w:t>
      </w:r>
      <w:r>
        <w:rPr>
          <w:rFonts w:ascii="Times New Roman" w:hAnsi="Times New Roman" w:eastAsia="Times New Roman"/>
          <w:sz w:val="21"/>
        </w:rPr>
        <w:t>4</w:t>
      </w:r>
      <w:r>
        <w:rPr>
          <w:rFonts w:ascii="Times New Roman" w:hAnsi="Times New Roman" w:eastAsia="Times New Roman"/>
          <w:spacing w:val="13"/>
          <w:sz w:val="21"/>
        </w:rPr>
        <w:t xml:space="preserve"> </w:t>
      </w:r>
      <w:r>
        <w:rPr>
          <w:spacing w:val="-3"/>
          <w:sz w:val="21"/>
        </w:rPr>
        <w:t>条规定进行编制、密封、标记和递交，并标明“修改”字样。</w:t>
      </w:r>
    </w:p>
    <w:p>
      <w:pPr>
        <w:pStyle w:val="21"/>
        <w:numPr>
          <w:ilvl w:val="1"/>
          <w:numId w:val="2"/>
        </w:numPr>
        <w:tabs>
          <w:tab w:val="left" w:pos="1183"/>
        </w:tabs>
        <w:spacing w:before="0" w:after="0" w:line="268" w:lineRule="exact"/>
        <w:ind w:left="1182" w:right="0" w:hanging="371"/>
        <w:jc w:val="left"/>
        <w:rPr>
          <w:rFonts w:ascii="Times New Roman" w:eastAsia="Times New Roman"/>
          <w:sz w:val="21"/>
        </w:rPr>
      </w:pPr>
      <w:r>
        <w:rPr>
          <w:rFonts w:hint="eastAsia" w:ascii="黑体" w:eastAsia="黑体"/>
          <w:spacing w:val="-3"/>
          <w:sz w:val="21"/>
        </w:rPr>
        <w:t>不予接收的投标文件</w:t>
      </w:r>
    </w:p>
    <w:p>
      <w:pPr>
        <w:pStyle w:val="21"/>
        <w:numPr>
          <w:ilvl w:val="2"/>
          <w:numId w:val="2"/>
        </w:numPr>
        <w:tabs>
          <w:tab w:val="left" w:pos="1286"/>
        </w:tabs>
        <w:spacing w:before="192" w:after="0" w:line="240" w:lineRule="auto"/>
        <w:ind w:left="1354" w:leftChars="0" w:right="0" w:hanging="474" w:firstLineChars="0"/>
        <w:jc w:val="left"/>
        <w:rPr>
          <w:rFonts w:ascii="Times New Roman" w:eastAsia="Times New Roman"/>
          <w:sz w:val="21"/>
        </w:rPr>
      </w:pPr>
      <w:r>
        <w:rPr>
          <w:spacing w:val="-12"/>
          <w:sz w:val="21"/>
        </w:rPr>
        <w:t xml:space="preserve">未按本章第 </w:t>
      </w:r>
      <w:r>
        <w:rPr>
          <w:rFonts w:ascii="Times New Roman" w:eastAsia="Times New Roman"/>
          <w:sz w:val="21"/>
        </w:rPr>
        <w:t xml:space="preserve">4.1.1 </w:t>
      </w:r>
      <w:r>
        <w:rPr>
          <w:spacing w:val="-3"/>
          <w:sz w:val="21"/>
        </w:rPr>
        <w:t>款规定密封的投标文件，招标人有权不予接收。</w:t>
      </w:r>
    </w:p>
    <w:p>
      <w:pPr>
        <w:pStyle w:val="21"/>
        <w:numPr>
          <w:ilvl w:val="2"/>
          <w:numId w:val="2"/>
        </w:numPr>
        <w:tabs>
          <w:tab w:val="left" w:pos="1286"/>
        </w:tabs>
        <w:spacing w:before="190" w:after="0" w:line="410" w:lineRule="auto"/>
        <w:ind w:left="461" w:leftChars="0" w:right="472" w:firstLine="419" w:firstLineChars="0"/>
        <w:jc w:val="left"/>
        <w:rPr>
          <w:rFonts w:ascii="Times New Roman" w:eastAsia="Times New Roman"/>
          <w:sz w:val="21"/>
        </w:rPr>
      </w:pPr>
      <w:r>
        <w:rPr>
          <w:spacing w:val="-3"/>
          <w:sz w:val="21"/>
        </w:rPr>
        <w:t>逾期送达或者未送达指定地点的投标文件，招标人不予接收；对在争议时间点接收的投标文件， 后被认定逾期送达的，视同不予接收。</w:t>
      </w:r>
    </w:p>
    <w:p>
      <w:pPr>
        <w:pStyle w:val="6"/>
        <w:numPr>
          <w:ilvl w:val="0"/>
          <w:numId w:val="2"/>
        </w:numPr>
        <w:tabs>
          <w:tab w:val="left" w:pos="993"/>
        </w:tabs>
        <w:spacing w:before="1" w:after="0" w:line="240" w:lineRule="auto"/>
        <w:ind w:left="992" w:right="0" w:hanging="178"/>
        <w:jc w:val="left"/>
        <w:rPr>
          <w:rFonts w:ascii="Arial" w:eastAsia="Arial"/>
          <w:sz w:val="19"/>
        </w:rPr>
      </w:pPr>
      <w:r>
        <w:t>开标</w:t>
      </w:r>
    </w:p>
    <w:p>
      <w:pPr>
        <w:pStyle w:val="21"/>
        <w:numPr>
          <w:ilvl w:val="1"/>
          <w:numId w:val="2"/>
        </w:numPr>
        <w:tabs>
          <w:tab w:val="left" w:pos="1183"/>
        </w:tabs>
        <w:spacing w:before="190" w:after="0" w:line="240" w:lineRule="auto"/>
        <w:ind w:left="1182" w:right="0" w:hanging="371"/>
        <w:jc w:val="left"/>
        <w:rPr>
          <w:rFonts w:ascii="Times New Roman" w:eastAsia="Times New Roman"/>
          <w:sz w:val="21"/>
        </w:rPr>
      </w:pPr>
      <w:r>
        <w:rPr>
          <w:rFonts w:hint="eastAsia" w:ascii="黑体" w:eastAsia="黑体"/>
          <w:spacing w:val="-3"/>
          <w:sz w:val="21"/>
        </w:rPr>
        <w:t>开标时间和地点</w:t>
      </w:r>
    </w:p>
    <w:p>
      <w:pPr>
        <w:pStyle w:val="21"/>
        <w:numPr>
          <w:ilvl w:val="2"/>
          <w:numId w:val="2"/>
        </w:numPr>
        <w:tabs>
          <w:tab w:val="left" w:pos="1447"/>
        </w:tabs>
        <w:spacing w:before="165" w:after="0" w:line="357" w:lineRule="auto"/>
        <w:ind w:left="461" w:leftChars="0" w:right="547" w:firstLine="419" w:firstLineChars="0"/>
        <w:jc w:val="both"/>
        <w:rPr>
          <w:color w:val="auto"/>
          <w:sz w:val="21"/>
        </w:rPr>
      </w:pPr>
      <w:r>
        <w:rPr>
          <w:color w:val="auto"/>
          <w:spacing w:val="4"/>
          <w:sz w:val="21"/>
        </w:rPr>
        <w:t xml:space="preserve">招标人在本章第 </w:t>
      </w:r>
      <w:r>
        <w:rPr>
          <w:color w:val="auto"/>
          <w:sz w:val="21"/>
        </w:rPr>
        <w:t>4.2.1 项规定的投标截止时间（开标时间）和投标人须知前附表规定的地点</w:t>
      </w:r>
      <w:r>
        <w:rPr>
          <w:color w:val="auto"/>
          <w:spacing w:val="-6"/>
          <w:sz w:val="21"/>
        </w:rPr>
        <w:t xml:space="preserve">公开开标。开标时，投标人不需出现在开标现场，仅需在任意地点通过 </w:t>
      </w:r>
      <w:r>
        <w:rPr>
          <w:color w:val="auto"/>
          <w:sz w:val="21"/>
        </w:rPr>
        <w:t>PC</w:t>
      </w:r>
      <w:r>
        <w:rPr>
          <w:color w:val="auto"/>
          <w:spacing w:val="-2"/>
          <w:sz w:val="21"/>
        </w:rPr>
        <w:t xml:space="preserve"> 端或移动端的“腾讯会议”及</w:t>
      </w:r>
      <w:r>
        <w:rPr>
          <w:color w:val="auto"/>
          <w:spacing w:val="-3"/>
          <w:sz w:val="21"/>
        </w:rPr>
        <w:t>相应的配套硬件设备参加开标会议。</w:t>
      </w:r>
    </w:p>
    <w:p>
      <w:pPr>
        <w:pStyle w:val="21"/>
        <w:numPr>
          <w:ilvl w:val="2"/>
          <w:numId w:val="2"/>
        </w:numPr>
        <w:tabs>
          <w:tab w:val="left" w:pos="1445"/>
        </w:tabs>
        <w:spacing w:before="19" w:after="0" w:line="240" w:lineRule="auto"/>
        <w:ind w:left="1513" w:leftChars="0" w:right="0" w:hanging="633" w:firstLineChars="0"/>
        <w:jc w:val="both"/>
        <w:rPr>
          <w:color w:val="auto"/>
          <w:sz w:val="21"/>
        </w:rPr>
      </w:pPr>
      <w:r>
        <w:rPr>
          <w:color w:val="auto"/>
          <w:spacing w:val="-3"/>
          <w:sz w:val="21"/>
        </w:rPr>
        <w:t>参加开标会议的方法：</w:t>
      </w:r>
    </w:p>
    <w:p>
      <w:pPr>
        <w:pStyle w:val="21"/>
        <w:numPr>
          <w:ilvl w:val="0"/>
          <w:numId w:val="8"/>
        </w:numPr>
        <w:tabs>
          <w:tab w:val="left" w:pos="1342"/>
        </w:tabs>
        <w:spacing w:before="151" w:after="0" w:line="240" w:lineRule="auto"/>
        <w:ind w:left="1341" w:right="0" w:hanging="530"/>
        <w:jc w:val="left"/>
        <w:rPr>
          <w:color w:val="auto"/>
          <w:sz w:val="21"/>
        </w:rPr>
      </w:pPr>
      <w:r>
        <w:rPr>
          <w:color w:val="auto"/>
          <w:spacing w:val="-3"/>
          <w:sz w:val="21"/>
        </w:rPr>
        <w:t>投标人投标截止时间前须通过电脑或智能手机搜索下载并安装“腾讯会议”，完成注册。</w:t>
      </w:r>
    </w:p>
    <w:p>
      <w:pPr>
        <w:pStyle w:val="21"/>
        <w:numPr>
          <w:ilvl w:val="0"/>
          <w:numId w:val="8"/>
        </w:numPr>
        <w:tabs>
          <w:tab w:val="left" w:pos="1345"/>
        </w:tabs>
        <w:spacing w:before="148" w:after="0" w:line="240" w:lineRule="auto"/>
        <w:ind w:left="1344" w:right="0" w:hanging="533"/>
        <w:jc w:val="both"/>
        <w:rPr>
          <w:color w:val="auto"/>
          <w:sz w:val="21"/>
        </w:rPr>
      </w:pPr>
      <w:r>
        <w:rPr>
          <w:color w:val="auto"/>
          <w:spacing w:val="1"/>
          <w:sz w:val="21"/>
        </w:rPr>
        <w:t xml:space="preserve">投标截止时间前 </w:t>
      </w:r>
      <w:r>
        <w:rPr>
          <w:color w:val="auto"/>
          <w:sz w:val="21"/>
        </w:rPr>
        <w:t>10 分钟，招标代理工作人员将开启会议系统，各投标人登入腾讯会议后点击</w:t>
      </w:r>
    </w:p>
    <w:p>
      <w:pPr>
        <w:pStyle w:val="2"/>
        <w:spacing w:before="130" w:line="360" w:lineRule="auto"/>
        <w:ind w:left="392" w:right="528"/>
        <w:jc w:val="both"/>
        <w:rPr>
          <w:color w:val="auto"/>
        </w:rPr>
      </w:pPr>
      <w:r>
        <w:rPr>
          <w:color w:val="auto"/>
        </w:rPr>
        <w:t>“加入会议”，输入会议号“</w:t>
      </w:r>
      <w:r>
        <w:rPr>
          <w:rFonts w:hint="eastAsia"/>
          <w:color w:val="auto"/>
          <w:u w:val="single"/>
          <w:lang w:val="en-US" w:eastAsia="zh-CN"/>
        </w:rPr>
        <w:t>330 441 572</w:t>
      </w:r>
      <w:r>
        <w:rPr>
          <w:color w:val="auto"/>
        </w:rPr>
        <w:t>”，“您的姓名”按“单位简称+授权委托人姓名”格式填写， 然后点击“加入会议”。</w:t>
      </w:r>
    </w:p>
    <w:p>
      <w:pPr>
        <w:pStyle w:val="21"/>
        <w:numPr>
          <w:ilvl w:val="2"/>
          <w:numId w:val="2"/>
        </w:numPr>
        <w:tabs>
          <w:tab w:val="left" w:pos="1445"/>
        </w:tabs>
        <w:spacing w:before="16" w:after="0" w:line="240" w:lineRule="auto"/>
        <w:ind w:left="1513" w:leftChars="0" w:right="0" w:hanging="633" w:firstLineChars="0"/>
        <w:jc w:val="both"/>
        <w:rPr>
          <w:color w:val="auto"/>
          <w:sz w:val="21"/>
        </w:rPr>
      </w:pPr>
      <w:r>
        <w:rPr>
          <w:color w:val="auto"/>
          <w:spacing w:val="-3"/>
          <w:sz w:val="21"/>
        </w:rPr>
        <w:t>因本项目采用不见面开标模式，故招标人特别说明如下：</w:t>
      </w:r>
    </w:p>
    <w:p>
      <w:pPr>
        <w:pStyle w:val="21"/>
        <w:numPr>
          <w:ilvl w:val="0"/>
          <w:numId w:val="9"/>
        </w:numPr>
        <w:tabs>
          <w:tab w:val="left" w:pos="1345"/>
        </w:tabs>
        <w:spacing w:before="148" w:after="0" w:line="357" w:lineRule="auto"/>
        <w:ind w:left="392" w:right="525" w:firstLine="419"/>
        <w:jc w:val="both"/>
        <w:rPr>
          <w:color w:val="auto"/>
          <w:sz w:val="21"/>
        </w:rPr>
      </w:pPr>
      <w:r>
        <w:rPr>
          <w:color w:val="auto"/>
          <w:sz w:val="21"/>
        </w:rPr>
        <w:t>投标人投标文件的编制和递交，应依照招标文件的规定进行。如未按招标文件要求编制、递交投标文件，将可能导致废标， 其后果由投标人自负。特别说明：由于本项目时间紧、任务重，又恰逢防</w:t>
      </w:r>
      <w:r>
        <w:rPr>
          <w:color w:val="auto"/>
          <w:spacing w:val="-3"/>
          <w:sz w:val="21"/>
        </w:rPr>
        <w:t>控新型冠状病毒肺炎疫情期，因某种原因无法在规定的时间内递交投标文件的，视同放弃此次投标机会， 不得向招标人、监管部门、招标代理机构等所有相关部门追责。</w:t>
      </w:r>
    </w:p>
    <w:p>
      <w:pPr>
        <w:pStyle w:val="21"/>
        <w:numPr>
          <w:ilvl w:val="0"/>
          <w:numId w:val="9"/>
        </w:numPr>
        <w:tabs>
          <w:tab w:val="left" w:pos="1345"/>
        </w:tabs>
        <w:spacing w:before="16" w:after="0" w:line="357" w:lineRule="auto"/>
        <w:ind w:left="392" w:right="547" w:firstLine="419"/>
        <w:jc w:val="both"/>
        <w:rPr>
          <w:color w:val="auto"/>
          <w:sz w:val="21"/>
        </w:rPr>
      </w:pPr>
      <w:r>
        <w:rPr>
          <w:color w:val="auto"/>
          <w:spacing w:val="5"/>
          <w:sz w:val="21"/>
        </w:rPr>
        <w:t xml:space="preserve">开标时间前 </w:t>
      </w:r>
      <w:r>
        <w:rPr>
          <w:color w:val="auto"/>
          <w:sz w:val="21"/>
        </w:rPr>
        <w:t>10 分钟，招标人、招标代理机构提前进入开标会议系统，播放测试音频，各投标人的授权委托人或法人代表于规定时间内进入开标会议系统收听观看实时音视频交互并及时在讨论组中</w:t>
      </w:r>
      <w:r>
        <w:rPr>
          <w:color w:val="auto"/>
          <w:spacing w:val="-5"/>
          <w:sz w:val="21"/>
        </w:rPr>
        <w:t>反馈，未按时加入开标会议系统的或未能在开标会议系统内全程参与交互的，视为放弃交互和放弃对开标</w:t>
      </w:r>
      <w:r>
        <w:rPr>
          <w:color w:val="auto"/>
          <w:spacing w:val="-4"/>
          <w:sz w:val="21"/>
        </w:rPr>
        <w:t>全过程提疑的权利，投标人无法看到唱标等实时情况，导致的一切后果由投标人承担。</w:t>
      </w:r>
    </w:p>
    <w:p>
      <w:pPr>
        <w:pStyle w:val="21"/>
        <w:numPr>
          <w:ilvl w:val="0"/>
          <w:numId w:val="9"/>
        </w:numPr>
        <w:tabs>
          <w:tab w:val="left" w:pos="1345"/>
        </w:tabs>
        <w:spacing w:before="17" w:after="0" w:line="357" w:lineRule="auto"/>
        <w:ind w:left="392" w:right="547" w:firstLine="419"/>
        <w:jc w:val="both"/>
        <w:rPr>
          <w:color w:val="auto"/>
          <w:sz w:val="21"/>
        </w:rPr>
      </w:pPr>
      <w:r>
        <w:rPr>
          <w:color w:val="auto"/>
          <w:sz w:val="21"/>
        </w:rPr>
        <w:t>开标全过程中，各投标人参与远程交互的授权委托人或法人代表应始终为同一个人，中途不得</w:t>
      </w:r>
      <w:r>
        <w:rPr>
          <w:color w:val="auto"/>
          <w:spacing w:val="-6"/>
          <w:sz w:val="21"/>
        </w:rPr>
        <w:t>更换，在废标、澄清、提疑等特殊情况下需要交互时，投标人一端参与交互的人员将均被视为是投标人的授权委托人或法人代表，投标人不得以不承认交互人员的资格或身份等为借口抵赖推脱，投标人自行承担</w:t>
      </w:r>
      <w:r>
        <w:rPr>
          <w:color w:val="auto"/>
          <w:spacing w:val="-4"/>
          <w:sz w:val="21"/>
        </w:rPr>
        <w:t>随意更换人员所导致的一切后果。</w:t>
      </w:r>
    </w:p>
    <w:p>
      <w:pPr>
        <w:pStyle w:val="21"/>
        <w:numPr>
          <w:ilvl w:val="0"/>
          <w:numId w:val="9"/>
        </w:numPr>
        <w:tabs>
          <w:tab w:val="left" w:pos="1345"/>
        </w:tabs>
        <w:spacing w:before="16" w:after="0" w:line="357" w:lineRule="auto"/>
        <w:ind w:left="392" w:right="549" w:firstLine="419"/>
        <w:jc w:val="both"/>
        <w:rPr>
          <w:color w:val="auto"/>
          <w:sz w:val="21"/>
        </w:rPr>
      </w:pPr>
      <w:r>
        <w:rPr>
          <w:color w:val="auto"/>
          <w:sz w:val="21"/>
        </w:rPr>
        <w:t>为顺利实现本项目开评标的远程交互，建议投标人配置能够实现远程音视频通话的高配置笔记</w:t>
      </w:r>
      <w:r>
        <w:rPr>
          <w:color w:val="auto"/>
          <w:spacing w:val="-1"/>
          <w:sz w:val="21"/>
        </w:rPr>
        <w:t>本电脑或手机， 进入开标会议后确保网络通畅、稳定，为保证交互效果，建议投标人选择封闭安静的地</w:t>
      </w:r>
    </w:p>
    <w:p>
      <w:pPr>
        <w:spacing w:after="0" w:line="357" w:lineRule="auto"/>
        <w:jc w:val="both"/>
        <w:rPr>
          <w:color w:val="auto"/>
          <w:sz w:val="21"/>
        </w:rPr>
        <w:sectPr>
          <w:pgSz w:w="11910" w:h="16840"/>
          <w:pgMar w:top="1520" w:right="580" w:bottom="1660" w:left="740" w:header="0" w:footer="1399" w:gutter="0"/>
          <w:pgNumType w:fmt="decimal"/>
          <w:cols w:space="720" w:num="1"/>
        </w:sectPr>
      </w:pPr>
    </w:p>
    <w:p>
      <w:pPr>
        <w:pStyle w:val="2"/>
        <w:spacing w:before="51" w:line="360" w:lineRule="auto"/>
        <w:ind w:left="392" w:right="547"/>
        <w:rPr>
          <w:color w:val="auto"/>
        </w:rPr>
      </w:pPr>
      <w:r>
        <w:rPr>
          <w:color w:val="auto"/>
          <w:spacing w:val="-6"/>
        </w:rPr>
        <w:t>点参与远程交互。因投标人自身软硬件配备不齐全或发生故障等问题而导致在交互过程中出现不稳定或中</w:t>
      </w:r>
      <w:r>
        <w:rPr>
          <w:color w:val="auto"/>
          <w:spacing w:val="-4"/>
        </w:rPr>
        <w:t>断等情况的，由投标人自身承担一切后果。</w:t>
      </w:r>
    </w:p>
    <w:p>
      <w:pPr>
        <w:pStyle w:val="21"/>
        <w:numPr>
          <w:ilvl w:val="0"/>
          <w:numId w:val="9"/>
        </w:numPr>
        <w:tabs>
          <w:tab w:val="left" w:pos="1345"/>
        </w:tabs>
        <w:spacing w:before="14" w:after="0" w:line="357" w:lineRule="auto"/>
        <w:ind w:left="392" w:right="552" w:firstLine="419"/>
        <w:jc w:val="left"/>
        <w:rPr>
          <w:color w:val="auto"/>
          <w:sz w:val="21"/>
        </w:rPr>
      </w:pPr>
      <w:r>
        <w:rPr>
          <w:color w:val="auto"/>
          <w:sz w:val="21"/>
        </w:rPr>
        <w:t>友情提醒：投标人如对上述腾讯会议软件等有疑问的，请尽早和软件公司的服务人员或其他专</w:t>
      </w:r>
      <w:r>
        <w:rPr>
          <w:color w:val="auto"/>
          <w:spacing w:val="-3"/>
          <w:sz w:val="21"/>
        </w:rPr>
        <w:t>业人员联系，他们会根据投标人要求，提供必要的培训和技术支持。</w:t>
      </w:r>
    </w:p>
    <w:p>
      <w:pPr>
        <w:spacing w:before="19"/>
        <w:ind w:left="815" w:right="0" w:firstLine="0"/>
        <w:jc w:val="left"/>
        <w:rPr>
          <w:b/>
          <w:color w:val="auto"/>
          <w:sz w:val="21"/>
        </w:rPr>
      </w:pPr>
      <w:r>
        <w:rPr>
          <w:b/>
          <w:color w:val="auto"/>
          <w:sz w:val="21"/>
        </w:rPr>
        <w:t>腾讯客服联系方式： 0755-83765566</w:t>
      </w:r>
    </w:p>
    <w:p>
      <w:pPr>
        <w:tabs>
          <w:tab w:val="left" w:pos="4928"/>
        </w:tabs>
        <w:spacing w:before="151"/>
        <w:ind w:left="815" w:right="0" w:firstLine="0"/>
        <w:jc w:val="left"/>
        <w:rPr>
          <w:rFonts w:hint="default" w:eastAsia="宋体"/>
          <w:b/>
          <w:color w:val="auto"/>
          <w:sz w:val="21"/>
          <w:lang w:val="en-US" w:eastAsia="zh-CN"/>
        </w:rPr>
      </w:pPr>
      <w:r>
        <w:rPr>
          <w:b/>
          <w:color w:val="auto"/>
          <w:sz w:val="21"/>
        </w:rPr>
        <w:t>招标代理业务技术</w:t>
      </w:r>
      <w:r>
        <w:rPr>
          <w:b/>
          <w:color w:val="auto"/>
          <w:spacing w:val="-3"/>
          <w:sz w:val="21"/>
        </w:rPr>
        <w:t>支</w:t>
      </w:r>
      <w:r>
        <w:rPr>
          <w:b/>
          <w:color w:val="auto"/>
          <w:sz w:val="21"/>
        </w:rPr>
        <w:t>持</w:t>
      </w:r>
      <w:r>
        <w:rPr>
          <w:b/>
          <w:color w:val="auto"/>
          <w:spacing w:val="-3"/>
          <w:sz w:val="21"/>
        </w:rPr>
        <w:t>联</w:t>
      </w:r>
      <w:r>
        <w:rPr>
          <w:b/>
          <w:color w:val="auto"/>
          <w:sz w:val="21"/>
        </w:rPr>
        <w:t>系人：</w:t>
      </w:r>
      <w:r>
        <w:rPr>
          <w:rFonts w:hint="eastAsia"/>
          <w:b/>
          <w:color w:val="auto"/>
          <w:sz w:val="21"/>
          <w:lang w:eastAsia="zh-CN"/>
        </w:rPr>
        <w:t>易晗</w:t>
      </w:r>
      <w:r>
        <w:rPr>
          <w:b/>
          <w:color w:val="auto"/>
          <w:sz w:val="21"/>
        </w:rPr>
        <w:tab/>
      </w:r>
      <w:r>
        <w:rPr>
          <w:b/>
          <w:color w:val="auto"/>
          <w:spacing w:val="-3"/>
          <w:sz w:val="21"/>
        </w:rPr>
        <w:t>联</w:t>
      </w:r>
      <w:r>
        <w:rPr>
          <w:b/>
          <w:color w:val="auto"/>
          <w:sz w:val="21"/>
        </w:rPr>
        <w:t>系</w:t>
      </w:r>
      <w:r>
        <w:rPr>
          <w:b/>
          <w:color w:val="auto"/>
          <w:spacing w:val="-3"/>
          <w:sz w:val="21"/>
        </w:rPr>
        <w:t>电</w:t>
      </w:r>
      <w:r>
        <w:rPr>
          <w:b/>
          <w:color w:val="auto"/>
          <w:sz w:val="21"/>
        </w:rPr>
        <w:t>话：</w:t>
      </w:r>
      <w:r>
        <w:rPr>
          <w:b/>
          <w:color w:val="auto"/>
          <w:spacing w:val="-1"/>
          <w:sz w:val="21"/>
        </w:rPr>
        <w:t xml:space="preserve"> </w:t>
      </w:r>
      <w:r>
        <w:rPr>
          <w:rFonts w:hint="eastAsia"/>
          <w:b/>
          <w:color w:val="auto"/>
          <w:sz w:val="21"/>
          <w:lang w:val="en-US" w:eastAsia="zh-CN"/>
        </w:rPr>
        <w:t>15358270067</w:t>
      </w:r>
    </w:p>
    <w:p>
      <w:pPr>
        <w:pStyle w:val="2"/>
        <w:spacing w:before="4"/>
        <w:rPr>
          <w:b/>
          <w:sz w:val="15"/>
        </w:rPr>
      </w:pPr>
    </w:p>
    <w:p>
      <w:pPr>
        <w:pStyle w:val="21"/>
        <w:numPr>
          <w:ilvl w:val="1"/>
          <w:numId w:val="2"/>
        </w:numPr>
        <w:tabs>
          <w:tab w:val="left" w:pos="1183"/>
        </w:tabs>
        <w:spacing w:before="0" w:after="0" w:line="240" w:lineRule="auto"/>
        <w:ind w:left="1182" w:right="0" w:hanging="371"/>
        <w:jc w:val="left"/>
        <w:rPr>
          <w:rFonts w:ascii="Times New Roman" w:eastAsia="Times New Roman"/>
          <w:sz w:val="21"/>
        </w:rPr>
      </w:pPr>
      <w:r>
        <w:rPr>
          <w:rFonts w:hint="eastAsia" w:ascii="黑体" w:eastAsia="黑体"/>
          <w:spacing w:val="-3"/>
          <w:sz w:val="21"/>
        </w:rPr>
        <w:t>开标程序</w:t>
      </w:r>
    </w:p>
    <w:p>
      <w:pPr>
        <w:pStyle w:val="21"/>
        <w:numPr>
          <w:ilvl w:val="2"/>
          <w:numId w:val="2"/>
        </w:numPr>
        <w:tabs>
          <w:tab w:val="left" w:pos="1339"/>
        </w:tabs>
        <w:spacing w:before="192" w:after="0" w:line="240" w:lineRule="auto"/>
        <w:ind w:left="1407" w:leftChars="0" w:right="0" w:hanging="527" w:firstLineChars="0"/>
        <w:jc w:val="left"/>
        <w:rPr>
          <w:rFonts w:ascii="Times New Roman" w:eastAsia="Times New Roman"/>
          <w:sz w:val="21"/>
        </w:rPr>
      </w:pPr>
      <w:r>
        <w:rPr>
          <w:spacing w:val="-3"/>
          <w:sz w:val="21"/>
        </w:rPr>
        <w:t>主持人按下列程序进行开标：</w:t>
      </w:r>
    </w:p>
    <w:p>
      <w:pPr>
        <w:pStyle w:val="21"/>
        <w:numPr>
          <w:ilvl w:val="0"/>
          <w:numId w:val="10"/>
        </w:numPr>
        <w:tabs>
          <w:tab w:val="left" w:pos="1342"/>
        </w:tabs>
        <w:spacing w:before="192" w:after="0" w:line="240" w:lineRule="auto"/>
        <w:ind w:left="1341" w:right="0" w:hanging="530"/>
        <w:jc w:val="left"/>
        <w:rPr>
          <w:sz w:val="21"/>
        </w:rPr>
      </w:pPr>
      <w:r>
        <w:rPr>
          <w:spacing w:val="-3"/>
          <w:sz w:val="21"/>
        </w:rPr>
        <w:t>宣布开标纪律；</w:t>
      </w:r>
    </w:p>
    <w:p>
      <w:pPr>
        <w:pStyle w:val="21"/>
        <w:numPr>
          <w:ilvl w:val="0"/>
          <w:numId w:val="10"/>
        </w:numPr>
        <w:tabs>
          <w:tab w:val="left" w:pos="1342"/>
        </w:tabs>
        <w:spacing w:before="189" w:after="0" w:line="240" w:lineRule="auto"/>
        <w:ind w:left="1341" w:right="0" w:hanging="530"/>
        <w:jc w:val="left"/>
        <w:rPr>
          <w:sz w:val="21"/>
        </w:rPr>
      </w:pPr>
      <w:r>
        <w:rPr>
          <w:spacing w:val="-3"/>
          <w:sz w:val="21"/>
        </w:rPr>
        <w:t>公布在投标截止时间前递交投标文件的投标人名称；</w:t>
      </w:r>
    </w:p>
    <w:p>
      <w:pPr>
        <w:pStyle w:val="21"/>
        <w:numPr>
          <w:ilvl w:val="0"/>
          <w:numId w:val="10"/>
        </w:numPr>
        <w:tabs>
          <w:tab w:val="left" w:pos="1342"/>
        </w:tabs>
        <w:spacing w:before="192" w:after="0" w:line="240" w:lineRule="auto"/>
        <w:ind w:left="1341" w:right="0" w:hanging="530"/>
        <w:jc w:val="left"/>
        <w:rPr>
          <w:sz w:val="21"/>
        </w:rPr>
      </w:pPr>
      <w:r>
        <w:rPr>
          <w:spacing w:val="-3"/>
          <w:sz w:val="21"/>
        </w:rPr>
        <w:t>宣布相关参会人员姓名；</w:t>
      </w:r>
    </w:p>
    <w:p>
      <w:pPr>
        <w:pStyle w:val="21"/>
        <w:numPr>
          <w:ilvl w:val="0"/>
          <w:numId w:val="10"/>
        </w:numPr>
        <w:tabs>
          <w:tab w:val="left" w:pos="1342"/>
        </w:tabs>
        <w:spacing w:before="191" w:after="0" w:line="240" w:lineRule="auto"/>
        <w:ind w:left="1341" w:right="0" w:hanging="530"/>
        <w:jc w:val="left"/>
        <w:rPr>
          <w:sz w:val="21"/>
        </w:rPr>
      </w:pPr>
      <w:r>
        <w:rPr>
          <w:spacing w:val="-3"/>
          <w:sz w:val="21"/>
        </w:rPr>
        <w:t>检查投标文件的密封情况；</w:t>
      </w:r>
    </w:p>
    <w:p>
      <w:pPr>
        <w:pStyle w:val="21"/>
        <w:numPr>
          <w:ilvl w:val="0"/>
          <w:numId w:val="10"/>
        </w:numPr>
        <w:tabs>
          <w:tab w:val="left" w:pos="1342"/>
        </w:tabs>
        <w:spacing w:before="190" w:after="0" w:line="240" w:lineRule="auto"/>
        <w:ind w:left="1341" w:right="0" w:hanging="530"/>
        <w:jc w:val="left"/>
        <w:rPr>
          <w:sz w:val="21"/>
        </w:rPr>
      </w:pPr>
      <w:r>
        <w:rPr>
          <w:spacing w:val="-3"/>
          <w:sz w:val="21"/>
        </w:rPr>
        <w:t>拆封投标文件并唱标；</w:t>
      </w:r>
    </w:p>
    <w:p>
      <w:pPr>
        <w:pStyle w:val="21"/>
        <w:numPr>
          <w:ilvl w:val="0"/>
          <w:numId w:val="10"/>
        </w:numPr>
        <w:tabs>
          <w:tab w:val="left" w:pos="1342"/>
        </w:tabs>
        <w:spacing w:before="191" w:after="0" w:line="240" w:lineRule="auto"/>
        <w:ind w:left="1341" w:right="0" w:hanging="530"/>
        <w:jc w:val="left"/>
        <w:rPr>
          <w:sz w:val="21"/>
        </w:rPr>
      </w:pPr>
      <w:r>
        <w:rPr>
          <w:spacing w:val="-3"/>
          <w:sz w:val="21"/>
        </w:rPr>
        <w:t>当众开标、唱标，并记录在案；</w:t>
      </w:r>
    </w:p>
    <w:p>
      <w:pPr>
        <w:pStyle w:val="21"/>
        <w:numPr>
          <w:ilvl w:val="0"/>
          <w:numId w:val="10"/>
        </w:numPr>
        <w:tabs>
          <w:tab w:val="left" w:pos="1342"/>
        </w:tabs>
        <w:spacing w:before="192" w:after="0" w:line="240" w:lineRule="auto"/>
        <w:ind w:left="1341" w:right="0" w:hanging="530"/>
        <w:jc w:val="left"/>
        <w:rPr>
          <w:sz w:val="21"/>
        </w:rPr>
      </w:pPr>
      <w:r>
        <w:rPr>
          <w:spacing w:val="-3"/>
          <w:sz w:val="21"/>
        </w:rPr>
        <w:t>开标结束。</w:t>
      </w:r>
    </w:p>
    <w:p>
      <w:pPr>
        <w:pStyle w:val="21"/>
        <w:numPr>
          <w:ilvl w:val="2"/>
          <w:numId w:val="2"/>
        </w:numPr>
        <w:tabs>
          <w:tab w:val="left" w:pos="1286"/>
        </w:tabs>
        <w:spacing w:before="189" w:after="0" w:line="410" w:lineRule="auto"/>
        <w:ind w:left="461" w:leftChars="0" w:right="472" w:firstLine="419" w:firstLineChars="0"/>
        <w:jc w:val="left"/>
        <w:rPr>
          <w:rFonts w:ascii="Times New Roman" w:eastAsia="Times New Roman"/>
          <w:sz w:val="21"/>
        </w:rPr>
      </w:pPr>
      <w:r>
        <w:rPr>
          <w:spacing w:val="-3"/>
          <w:sz w:val="21"/>
        </w:rPr>
        <w:t>投标人对开标有异议的，应当在开标会议系统内提出，招标人应当当场作出答复，并作好记录。</w:t>
      </w:r>
    </w:p>
    <w:p>
      <w:pPr>
        <w:pStyle w:val="6"/>
        <w:numPr>
          <w:ilvl w:val="0"/>
          <w:numId w:val="2"/>
        </w:numPr>
        <w:tabs>
          <w:tab w:val="left" w:pos="993"/>
        </w:tabs>
        <w:spacing w:before="2" w:after="0" w:line="240" w:lineRule="auto"/>
        <w:ind w:left="992" w:right="0" w:hanging="178"/>
        <w:jc w:val="left"/>
        <w:rPr>
          <w:rFonts w:ascii="Arial" w:eastAsia="Arial"/>
          <w:sz w:val="19"/>
        </w:rPr>
      </w:pPr>
      <w:r>
        <w:t>评标</w:t>
      </w:r>
    </w:p>
    <w:p>
      <w:pPr>
        <w:pStyle w:val="21"/>
        <w:numPr>
          <w:ilvl w:val="1"/>
          <w:numId w:val="2"/>
        </w:numPr>
        <w:tabs>
          <w:tab w:val="left" w:pos="1183"/>
        </w:tabs>
        <w:spacing w:before="189" w:after="0" w:line="240" w:lineRule="auto"/>
        <w:ind w:left="1182" w:right="0" w:hanging="371"/>
        <w:jc w:val="left"/>
        <w:rPr>
          <w:rFonts w:ascii="Times New Roman" w:eastAsia="Times New Roman"/>
          <w:sz w:val="21"/>
        </w:rPr>
      </w:pPr>
      <w:r>
        <w:rPr>
          <w:rFonts w:hint="eastAsia" w:ascii="黑体" w:eastAsia="黑体"/>
          <w:spacing w:val="-3"/>
          <w:sz w:val="21"/>
        </w:rPr>
        <w:t>评标委员会</w:t>
      </w:r>
    </w:p>
    <w:p>
      <w:pPr>
        <w:pStyle w:val="21"/>
        <w:numPr>
          <w:ilvl w:val="2"/>
          <w:numId w:val="2"/>
        </w:numPr>
        <w:tabs>
          <w:tab w:val="left" w:pos="1339"/>
        </w:tabs>
        <w:spacing w:before="192" w:after="0" w:line="240" w:lineRule="auto"/>
        <w:ind w:left="1407" w:leftChars="0" w:right="0" w:hanging="527" w:firstLineChars="0"/>
        <w:jc w:val="left"/>
        <w:rPr>
          <w:rFonts w:ascii="Times New Roman" w:eastAsia="Times New Roman"/>
          <w:sz w:val="21"/>
        </w:rPr>
      </w:pPr>
      <w:r>
        <w:rPr>
          <w:spacing w:val="-3"/>
          <w:sz w:val="21"/>
        </w:rPr>
        <w:t>评标由招标人依法组建的评标委员会负责。</w:t>
      </w:r>
    </w:p>
    <w:p>
      <w:pPr>
        <w:pStyle w:val="21"/>
        <w:numPr>
          <w:ilvl w:val="2"/>
          <w:numId w:val="2"/>
        </w:numPr>
        <w:tabs>
          <w:tab w:val="left" w:pos="1339"/>
        </w:tabs>
        <w:spacing w:before="192" w:after="0" w:line="240" w:lineRule="auto"/>
        <w:ind w:left="1407" w:leftChars="0" w:right="0" w:hanging="527" w:firstLineChars="0"/>
        <w:jc w:val="left"/>
        <w:rPr>
          <w:rFonts w:ascii="Times New Roman" w:eastAsia="Times New Roman"/>
          <w:sz w:val="21"/>
        </w:rPr>
      </w:pPr>
      <w:r>
        <w:rPr>
          <w:spacing w:val="-3"/>
          <w:sz w:val="21"/>
        </w:rPr>
        <w:t>评标委员会成员有下列情形之一的，应当回避：</w:t>
      </w:r>
    </w:p>
    <w:p>
      <w:pPr>
        <w:pStyle w:val="21"/>
        <w:numPr>
          <w:ilvl w:val="0"/>
          <w:numId w:val="5"/>
        </w:numPr>
        <w:tabs>
          <w:tab w:val="left" w:pos="1342"/>
        </w:tabs>
        <w:spacing w:before="189" w:after="0" w:line="240" w:lineRule="auto"/>
        <w:ind w:left="1341" w:right="0" w:hanging="530"/>
        <w:jc w:val="left"/>
        <w:rPr>
          <w:sz w:val="21"/>
        </w:rPr>
      </w:pPr>
      <w:r>
        <w:rPr>
          <w:spacing w:val="-3"/>
          <w:sz w:val="21"/>
        </w:rPr>
        <w:t>投标人或投标人主要负责人的近亲属；</w:t>
      </w:r>
    </w:p>
    <w:p>
      <w:pPr>
        <w:pStyle w:val="21"/>
        <w:numPr>
          <w:ilvl w:val="0"/>
          <w:numId w:val="5"/>
        </w:numPr>
        <w:tabs>
          <w:tab w:val="left" w:pos="1342"/>
        </w:tabs>
        <w:spacing w:before="192" w:after="0" w:line="240" w:lineRule="auto"/>
        <w:ind w:left="1341" w:right="0" w:hanging="530"/>
        <w:jc w:val="left"/>
        <w:rPr>
          <w:sz w:val="21"/>
        </w:rPr>
      </w:pPr>
      <w:r>
        <w:rPr>
          <w:spacing w:val="-3"/>
          <w:sz w:val="21"/>
        </w:rPr>
        <w:t>项目主管部门或者行政监督部门的人员；</w:t>
      </w:r>
    </w:p>
    <w:p>
      <w:pPr>
        <w:pStyle w:val="21"/>
        <w:numPr>
          <w:ilvl w:val="0"/>
          <w:numId w:val="5"/>
        </w:numPr>
        <w:tabs>
          <w:tab w:val="left" w:pos="1342"/>
        </w:tabs>
        <w:spacing w:before="191" w:after="0" w:line="240" w:lineRule="auto"/>
        <w:ind w:left="1341" w:right="0" w:hanging="530"/>
        <w:jc w:val="left"/>
        <w:rPr>
          <w:sz w:val="21"/>
        </w:rPr>
      </w:pPr>
      <w:r>
        <w:rPr>
          <w:spacing w:val="-3"/>
          <w:sz w:val="21"/>
        </w:rPr>
        <w:t>与投标人有经济利益关系；</w:t>
      </w:r>
    </w:p>
    <w:p>
      <w:pPr>
        <w:pStyle w:val="21"/>
        <w:numPr>
          <w:ilvl w:val="0"/>
          <w:numId w:val="5"/>
        </w:numPr>
        <w:tabs>
          <w:tab w:val="left" w:pos="1342"/>
        </w:tabs>
        <w:spacing w:before="190" w:after="0" w:line="410" w:lineRule="auto"/>
        <w:ind w:left="392" w:right="441" w:firstLine="419"/>
        <w:jc w:val="left"/>
        <w:rPr>
          <w:sz w:val="21"/>
        </w:rPr>
      </w:pPr>
      <w:r>
        <w:rPr>
          <w:spacing w:val="-5"/>
          <w:sz w:val="21"/>
        </w:rPr>
        <w:t xml:space="preserve">曾因在招标、评标以及其他与招标投标有关活动中从事违法行为而受过行政处罚或刑事处罚的， </w:t>
      </w:r>
      <w:r>
        <w:rPr>
          <w:spacing w:val="-4"/>
          <w:sz w:val="21"/>
        </w:rPr>
        <w:t>且在处罚期内。</w:t>
      </w:r>
    </w:p>
    <w:p>
      <w:pPr>
        <w:pStyle w:val="21"/>
        <w:numPr>
          <w:ilvl w:val="1"/>
          <w:numId w:val="2"/>
        </w:numPr>
        <w:tabs>
          <w:tab w:val="left" w:pos="1183"/>
        </w:tabs>
        <w:spacing w:before="1" w:after="0" w:line="240" w:lineRule="auto"/>
        <w:ind w:left="1182" w:right="0" w:hanging="371"/>
        <w:jc w:val="left"/>
        <w:rPr>
          <w:rFonts w:ascii="Times New Roman" w:eastAsia="Times New Roman"/>
          <w:sz w:val="21"/>
        </w:rPr>
      </w:pPr>
      <w:r>
        <w:rPr>
          <w:rFonts w:hint="eastAsia" w:ascii="黑体" w:eastAsia="黑体"/>
          <w:spacing w:val="-3"/>
          <w:sz w:val="21"/>
        </w:rPr>
        <w:t>评标原则</w:t>
      </w:r>
    </w:p>
    <w:p>
      <w:pPr>
        <w:pStyle w:val="2"/>
        <w:spacing w:before="190"/>
        <w:ind w:left="812"/>
      </w:pPr>
      <w:r>
        <w:t>评标活动遵循公平、公正、科学和择优的原则。</w:t>
      </w:r>
    </w:p>
    <w:p>
      <w:pPr>
        <w:pStyle w:val="2"/>
        <w:spacing w:before="12"/>
        <w:rPr>
          <w:sz w:val="14"/>
        </w:rPr>
      </w:pPr>
    </w:p>
    <w:p>
      <w:pPr>
        <w:pStyle w:val="21"/>
        <w:numPr>
          <w:ilvl w:val="1"/>
          <w:numId w:val="2"/>
        </w:numPr>
        <w:tabs>
          <w:tab w:val="left" w:pos="1183"/>
        </w:tabs>
        <w:spacing w:before="0" w:after="0" w:line="240" w:lineRule="auto"/>
        <w:ind w:left="1182" w:right="0" w:hanging="371"/>
        <w:jc w:val="left"/>
        <w:rPr>
          <w:rFonts w:ascii="Times New Roman" w:eastAsia="Times New Roman"/>
          <w:sz w:val="21"/>
        </w:rPr>
      </w:pPr>
      <w:r>
        <w:rPr>
          <w:rFonts w:hint="eastAsia" w:ascii="黑体" w:eastAsia="黑体"/>
          <w:spacing w:val="-2"/>
          <w:sz w:val="21"/>
        </w:rPr>
        <w:t>评标</w:t>
      </w:r>
    </w:p>
    <w:p>
      <w:pPr>
        <w:pStyle w:val="2"/>
        <w:spacing w:before="192"/>
        <w:ind w:left="812"/>
      </w:pPr>
      <w:r>
        <w:t>评标委员会按照第三章“评标办法”规定的方法、评审因素、标准和程序对投标文件进行评审。第三</w:t>
      </w:r>
    </w:p>
    <w:p>
      <w:pPr>
        <w:spacing w:after="0"/>
        <w:sectPr>
          <w:pgSz w:w="11910" w:h="16840"/>
          <w:pgMar w:top="1480" w:right="580" w:bottom="1660" w:left="740" w:header="0" w:footer="1399" w:gutter="0"/>
          <w:pgNumType w:fmt="decimal"/>
          <w:cols w:space="720" w:num="1"/>
        </w:sectPr>
      </w:pPr>
    </w:p>
    <w:p>
      <w:pPr>
        <w:pStyle w:val="2"/>
        <w:spacing w:before="59"/>
        <w:ind w:left="392"/>
      </w:pPr>
      <w:r>
        <w:t>章“评标办法”没有规定的方法、评审因素和标准，不作为评标依据。</w:t>
      </w:r>
    </w:p>
    <w:p>
      <w:pPr>
        <w:pStyle w:val="2"/>
        <w:spacing w:before="12"/>
        <w:rPr>
          <w:sz w:val="14"/>
        </w:rPr>
      </w:pPr>
    </w:p>
    <w:p>
      <w:pPr>
        <w:pStyle w:val="6"/>
        <w:numPr>
          <w:ilvl w:val="1"/>
          <w:numId w:val="2"/>
        </w:numPr>
        <w:tabs>
          <w:tab w:val="left" w:pos="1183"/>
        </w:tabs>
        <w:spacing w:before="0" w:after="0" w:line="240" w:lineRule="auto"/>
        <w:ind w:left="1182" w:right="0" w:hanging="368"/>
        <w:jc w:val="left"/>
        <w:rPr>
          <w:rFonts w:ascii="Times New Roman" w:eastAsia="Times New Roman"/>
        </w:rPr>
      </w:pPr>
      <w:r>
        <w:rPr>
          <w:rFonts w:hint="eastAsia" w:ascii="黑体" w:eastAsia="黑体"/>
          <w:spacing w:val="-1"/>
        </w:rPr>
        <w:t>多个标段推荐中标候选人顺序：</w:t>
      </w:r>
      <w:r>
        <w:rPr>
          <w:rFonts w:ascii="Times New Roman" w:eastAsia="Times New Roman"/>
        </w:rPr>
        <w:t>/</w:t>
      </w:r>
    </w:p>
    <w:p>
      <w:pPr>
        <w:pStyle w:val="21"/>
        <w:numPr>
          <w:ilvl w:val="1"/>
          <w:numId w:val="2"/>
        </w:numPr>
        <w:tabs>
          <w:tab w:val="left" w:pos="1130"/>
        </w:tabs>
        <w:spacing w:before="190" w:after="0" w:line="240" w:lineRule="auto"/>
        <w:ind w:left="1129" w:right="0" w:hanging="318"/>
        <w:jc w:val="left"/>
        <w:rPr>
          <w:rFonts w:ascii="Times New Roman" w:eastAsia="Times New Roman"/>
          <w:sz w:val="21"/>
        </w:rPr>
      </w:pPr>
      <w:r>
        <w:rPr>
          <w:rFonts w:hint="eastAsia" w:ascii="黑体" w:eastAsia="黑体"/>
          <w:spacing w:val="-3"/>
          <w:sz w:val="21"/>
        </w:rPr>
        <w:t>无效标书条款</w:t>
      </w:r>
    </w:p>
    <w:p>
      <w:pPr>
        <w:pStyle w:val="2"/>
        <w:spacing w:before="191" w:line="410" w:lineRule="auto"/>
        <w:ind w:left="392" w:right="547" w:firstLine="419"/>
      </w:pPr>
      <w:r>
        <w:rPr>
          <w:spacing w:val="-6"/>
        </w:rPr>
        <w:t>投标文件有下列情况之一的，属于重大偏差，视为未能对招标文件作出实质性响应，应当作为无效投</w:t>
      </w:r>
      <w:r>
        <w:rPr>
          <w:spacing w:val="-4"/>
        </w:rPr>
        <w:t>标予以否决：</w:t>
      </w:r>
    </w:p>
    <w:p>
      <w:pPr>
        <w:pStyle w:val="14"/>
        <w:keepNext w:val="0"/>
        <w:keepLines w:val="0"/>
        <w:pageBreakBefore w:val="0"/>
        <w:widowControl/>
        <w:numPr>
          <w:ilvl w:val="0"/>
          <w:numId w:val="0"/>
        </w:numPr>
        <w:tabs>
          <w:tab w:val="left" w:pos="220"/>
        </w:tabs>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cs="Times New Roman"/>
          <w:b w:val="0"/>
          <w:i w:val="0"/>
          <w:caps w:val="0"/>
          <w:color w:val="000000"/>
          <w:spacing w:val="0"/>
          <w:w w:val="100"/>
          <w:kern w:val="2"/>
          <w:sz w:val="21"/>
          <w:szCs w:val="24"/>
          <w:lang w:val="en-US" w:eastAsia="zh-CN" w:bidi="ar-SA"/>
        </w:rPr>
        <w:t>（1）</w:t>
      </w:r>
      <w:r>
        <w:rPr>
          <w:rStyle w:val="23"/>
          <w:rFonts w:hint="eastAsia" w:ascii="宋体" w:hAnsi="宋体" w:eastAsia="宋体" w:cs="Times New Roman"/>
          <w:b w:val="0"/>
          <w:i w:val="0"/>
          <w:caps w:val="0"/>
          <w:color w:val="000000"/>
          <w:spacing w:val="0"/>
          <w:w w:val="100"/>
          <w:kern w:val="2"/>
          <w:sz w:val="21"/>
          <w:szCs w:val="24"/>
          <w:lang w:val="en-US" w:eastAsia="zh-CN" w:bidi="ar-SA"/>
        </w:rPr>
        <w:t>投标文件中的投标函未加盖投标人的公章；</w:t>
      </w:r>
    </w:p>
    <w:p>
      <w:pPr>
        <w:pStyle w:val="14"/>
        <w:keepNext w:val="0"/>
        <w:keepLines w:val="0"/>
        <w:pageBreakBefore w:val="0"/>
        <w:widowControl/>
        <w:numPr>
          <w:ilvl w:val="0"/>
          <w:numId w:val="0"/>
        </w:numPr>
        <w:tabs>
          <w:tab w:val="left" w:pos="220"/>
        </w:tabs>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cs="Times New Roman"/>
          <w:b w:val="0"/>
          <w:i w:val="0"/>
          <w:caps w:val="0"/>
          <w:color w:val="000000"/>
          <w:spacing w:val="0"/>
          <w:w w:val="100"/>
          <w:kern w:val="2"/>
          <w:sz w:val="21"/>
          <w:szCs w:val="24"/>
          <w:lang w:val="en-US" w:eastAsia="zh-CN" w:bidi="ar-SA"/>
        </w:rPr>
        <w:t>（2）</w:t>
      </w:r>
      <w:r>
        <w:rPr>
          <w:rStyle w:val="23"/>
          <w:rFonts w:hint="eastAsia" w:ascii="宋体" w:hAnsi="宋体" w:eastAsia="宋体" w:cs="Times New Roman"/>
          <w:b w:val="0"/>
          <w:i w:val="0"/>
          <w:caps w:val="0"/>
          <w:color w:val="000000"/>
          <w:spacing w:val="0"/>
          <w:w w:val="100"/>
          <w:kern w:val="2"/>
          <w:sz w:val="21"/>
          <w:szCs w:val="24"/>
          <w:lang w:val="en-US" w:eastAsia="zh-CN" w:bidi="ar-SA"/>
        </w:rPr>
        <w:t>投标文件中的投标函无企业法定代表人（或企业法定代表人委托代理人）印章（或签字）的；</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ascii="宋体" w:hAnsi="宋体" w:eastAsia="宋体" w:cs="Times New Roman"/>
          <w:b w:val="0"/>
          <w:i w:val="0"/>
          <w:caps w:val="0"/>
          <w:color w:val="000000"/>
          <w:spacing w:val="0"/>
          <w:w w:val="100"/>
          <w:kern w:val="2"/>
          <w:sz w:val="21"/>
          <w:szCs w:val="24"/>
          <w:lang w:val="en-US" w:eastAsia="zh-CN" w:bidi="ar-SA"/>
        </w:rPr>
        <w:t>（3)如投标函由企业法定代表人委托代理人加盖印章（或签字）的，企业法定代表人委托代理人</w:t>
      </w:r>
    </w:p>
    <w:p>
      <w:pPr>
        <w:pStyle w:val="14"/>
        <w:keepNext w:val="0"/>
        <w:keepLines w:val="0"/>
        <w:pageBreakBefore w:val="0"/>
        <w:widowControl/>
        <w:kinsoku/>
        <w:wordWrap/>
        <w:overflowPunct/>
        <w:topLinePunct w:val="0"/>
        <w:autoSpaceDE/>
        <w:autoSpaceDN/>
        <w:bidi w:val="0"/>
        <w:adjustRightInd/>
        <w:snapToGrid/>
        <w:spacing w:line="360" w:lineRule="auto"/>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ascii="宋体" w:hAnsi="宋体" w:eastAsia="宋体" w:cs="Times New Roman"/>
          <w:b w:val="0"/>
          <w:i w:val="0"/>
          <w:caps w:val="0"/>
          <w:color w:val="000000"/>
          <w:spacing w:val="0"/>
          <w:w w:val="100"/>
          <w:kern w:val="2"/>
          <w:sz w:val="21"/>
          <w:szCs w:val="24"/>
          <w:lang w:val="en-US" w:eastAsia="zh-CN" w:bidi="ar-SA"/>
        </w:rPr>
        <w:t>没有合法、有效的委托书（原件）的；</w:t>
      </w:r>
    </w:p>
    <w:p>
      <w:pPr>
        <w:pStyle w:val="14"/>
        <w:keepNext w:val="0"/>
        <w:keepLines w:val="0"/>
        <w:pageBreakBefore w:val="0"/>
        <w:widowControl/>
        <w:numPr>
          <w:ilvl w:val="0"/>
          <w:numId w:val="0"/>
        </w:numPr>
        <w:tabs>
          <w:tab w:val="left" w:pos="220"/>
        </w:tabs>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cs="Times New Roman"/>
          <w:b w:val="0"/>
          <w:i w:val="0"/>
          <w:caps w:val="0"/>
          <w:color w:val="000000"/>
          <w:spacing w:val="0"/>
          <w:w w:val="100"/>
          <w:kern w:val="2"/>
          <w:sz w:val="21"/>
          <w:szCs w:val="24"/>
          <w:lang w:val="en-US" w:eastAsia="zh-CN" w:bidi="ar-SA"/>
        </w:rPr>
        <w:t>（4）</w:t>
      </w:r>
      <w:r>
        <w:rPr>
          <w:rStyle w:val="23"/>
          <w:rFonts w:hint="eastAsia" w:ascii="宋体" w:hAnsi="宋体" w:eastAsia="宋体" w:cs="Times New Roman"/>
          <w:b w:val="0"/>
          <w:i w:val="0"/>
          <w:caps w:val="0"/>
          <w:color w:val="000000"/>
          <w:spacing w:val="0"/>
          <w:w w:val="100"/>
          <w:kern w:val="2"/>
          <w:sz w:val="21"/>
          <w:szCs w:val="24"/>
          <w:lang w:val="en-US" w:eastAsia="zh-CN" w:bidi="ar-SA"/>
        </w:rPr>
        <w:t>投标人资格条件不符合国家有关规定或招标文件要求的；</w:t>
      </w:r>
    </w:p>
    <w:p>
      <w:pPr>
        <w:pStyle w:val="14"/>
        <w:keepNext w:val="0"/>
        <w:keepLines w:val="0"/>
        <w:pageBreakBefore w:val="0"/>
        <w:widowControl/>
        <w:numPr>
          <w:ilvl w:val="0"/>
          <w:numId w:val="0"/>
        </w:numPr>
        <w:tabs>
          <w:tab w:val="left" w:pos="220"/>
        </w:tabs>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cs="Times New Roman"/>
          <w:b w:val="0"/>
          <w:i w:val="0"/>
          <w:caps w:val="0"/>
          <w:color w:val="000000"/>
          <w:spacing w:val="0"/>
          <w:w w:val="100"/>
          <w:kern w:val="2"/>
          <w:sz w:val="21"/>
          <w:szCs w:val="24"/>
          <w:lang w:val="en-US" w:eastAsia="zh-CN" w:bidi="ar-SA"/>
        </w:rPr>
        <w:t>（5）</w:t>
      </w:r>
      <w:r>
        <w:rPr>
          <w:rStyle w:val="23"/>
          <w:rFonts w:hint="eastAsia" w:ascii="宋体" w:hAnsi="宋体" w:eastAsia="宋体" w:cs="Times New Roman"/>
          <w:b w:val="0"/>
          <w:i w:val="0"/>
          <w:caps w:val="0"/>
          <w:color w:val="000000"/>
          <w:spacing w:val="0"/>
          <w:w w:val="100"/>
          <w:kern w:val="2"/>
          <w:sz w:val="21"/>
          <w:szCs w:val="24"/>
          <w:lang w:val="en-US" w:eastAsia="zh-CN" w:bidi="ar-SA"/>
        </w:rPr>
        <w:t>投标文件技术规格中一般参数超出招标文件允许偏离的最大范围或最高项数的；</w:t>
      </w:r>
    </w:p>
    <w:p>
      <w:pPr>
        <w:pStyle w:val="14"/>
        <w:keepNext w:val="0"/>
        <w:keepLines w:val="0"/>
        <w:pageBreakBefore w:val="0"/>
        <w:widowControl/>
        <w:numPr>
          <w:ilvl w:val="0"/>
          <w:numId w:val="0"/>
        </w:numPr>
        <w:tabs>
          <w:tab w:val="left" w:pos="220"/>
        </w:tabs>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cs="Times New Roman"/>
          <w:b w:val="0"/>
          <w:i w:val="0"/>
          <w:caps w:val="0"/>
          <w:color w:val="000000"/>
          <w:spacing w:val="0"/>
          <w:w w:val="100"/>
          <w:kern w:val="2"/>
          <w:sz w:val="21"/>
          <w:szCs w:val="24"/>
          <w:lang w:val="en-US" w:eastAsia="zh-CN" w:bidi="ar-SA"/>
        </w:rPr>
        <w:t>（6）</w:t>
      </w:r>
      <w:r>
        <w:rPr>
          <w:rStyle w:val="23"/>
          <w:rFonts w:hint="eastAsia" w:ascii="宋体" w:hAnsi="宋体" w:eastAsia="宋体" w:cs="Times New Roman"/>
          <w:b w:val="0"/>
          <w:i w:val="0"/>
          <w:caps w:val="0"/>
          <w:color w:val="000000"/>
          <w:spacing w:val="0"/>
          <w:w w:val="100"/>
          <w:kern w:val="2"/>
          <w:sz w:val="21"/>
          <w:szCs w:val="24"/>
          <w:lang w:val="en-US" w:eastAsia="zh-CN" w:bidi="ar-SA"/>
        </w:rPr>
        <w:t>投标报价高于招标文件设定的最高投标限价的；</w:t>
      </w:r>
    </w:p>
    <w:p>
      <w:pPr>
        <w:pStyle w:val="14"/>
        <w:keepNext w:val="0"/>
        <w:keepLines w:val="0"/>
        <w:pageBreakBefore w:val="0"/>
        <w:widowControl/>
        <w:numPr>
          <w:ilvl w:val="0"/>
          <w:numId w:val="0"/>
        </w:numPr>
        <w:tabs>
          <w:tab w:val="left" w:pos="220"/>
        </w:tabs>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cs="Times New Roman"/>
          <w:b w:val="0"/>
          <w:i w:val="0"/>
          <w:caps w:val="0"/>
          <w:color w:val="000000"/>
          <w:spacing w:val="0"/>
          <w:w w:val="100"/>
          <w:kern w:val="2"/>
          <w:sz w:val="21"/>
          <w:szCs w:val="24"/>
          <w:lang w:val="en-US" w:eastAsia="zh-CN" w:bidi="ar-SA"/>
        </w:rPr>
        <w:t>（7）</w:t>
      </w:r>
      <w:r>
        <w:rPr>
          <w:rStyle w:val="23"/>
          <w:rFonts w:hint="eastAsia" w:ascii="宋体" w:hAnsi="宋体" w:eastAsia="宋体" w:cs="Times New Roman"/>
          <w:b w:val="0"/>
          <w:i w:val="0"/>
          <w:caps w:val="0"/>
          <w:color w:val="000000"/>
          <w:spacing w:val="0"/>
          <w:w w:val="100"/>
          <w:kern w:val="2"/>
          <w:sz w:val="21"/>
          <w:szCs w:val="24"/>
          <w:lang w:val="en-US" w:eastAsia="zh-CN" w:bidi="ar-SA"/>
        </w:rPr>
        <w:t>投标文件的组成不符合招标文件要求的；</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ascii="宋体" w:hAnsi="宋体" w:eastAsia="宋体" w:cs="Times New Roman"/>
          <w:b w:val="0"/>
          <w:i w:val="0"/>
          <w:caps w:val="0"/>
          <w:color w:val="000000"/>
          <w:spacing w:val="0"/>
          <w:w w:val="100"/>
          <w:kern w:val="2"/>
          <w:sz w:val="21"/>
          <w:szCs w:val="24"/>
          <w:lang w:val="en-US" w:eastAsia="zh-CN" w:bidi="ar-SA"/>
        </w:rPr>
        <w:t>（</w:t>
      </w:r>
      <w:r>
        <w:rPr>
          <w:rStyle w:val="23"/>
          <w:rFonts w:hint="eastAsia" w:cs="Times New Roman"/>
          <w:b w:val="0"/>
          <w:i w:val="0"/>
          <w:caps w:val="0"/>
          <w:color w:val="000000"/>
          <w:spacing w:val="0"/>
          <w:w w:val="100"/>
          <w:kern w:val="2"/>
          <w:sz w:val="21"/>
          <w:szCs w:val="24"/>
          <w:lang w:val="en-US" w:eastAsia="zh-CN" w:bidi="ar-SA"/>
        </w:rPr>
        <w:t>8</w:t>
      </w:r>
      <w:r>
        <w:rPr>
          <w:rStyle w:val="23"/>
          <w:rFonts w:hint="eastAsia" w:ascii="宋体" w:hAnsi="宋体" w:eastAsia="宋体" w:cs="Times New Roman"/>
          <w:b w:val="0"/>
          <w:i w:val="0"/>
          <w:caps w:val="0"/>
          <w:color w:val="000000"/>
          <w:spacing w:val="0"/>
          <w:w w:val="100"/>
          <w:kern w:val="2"/>
          <w:sz w:val="21"/>
          <w:szCs w:val="24"/>
          <w:lang w:val="en-US" w:eastAsia="zh-CN" w:bidi="ar-SA"/>
        </w:rPr>
        <w:t>)投标人递交两份或多份内容不同的投标文件，或在一份投标文件中对同一招标货物报有两个</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firstLine="210" w:firstLineChars="100"/>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ascii="宋体" w:hAnsi="宋体" w:eastAsia="宋体" w:cs="Times New Roman"/>
          <w:b w:val="0"/>
          <w:i w:val="0"/>
          <w:caps w:val="0"/>
          <w:color w:val="000000"/>
          <w:spacing w:val="0"/>
          <w:w w:val="100"/>
          <w:kern w:val="2"/>
          <w:sz w:val="21"/>
          <w:szCs w:val="24"/>
          <w:lang w:val="en-US" w:eastAsia="zh-CN" w:bidi="ar-SA"/>
        </w:rPr>
        <w:t>或多个报价，且未声明哪一个为最终报价的，按招标文件规定提交备选投标方案的除外；</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ascii="宋体" w:hAnsi="宋体" w:eastAsia="宋体" w:cs="Times New Roman"/>
          <w:b w:val="0"/>
          <w:i w:val="0"/>
          <w:caps w:val="0"/>
          <w:color w:val="000000"/>
          <w:spacing w:val="0"/>
          <w:w w:val="100"/>
          <w:kern w:val="2"/>
          <w:sz w:val="21"/>
          <w:szCs w:val="24"/>
          <w:lang w:val="en-US" w:eastAsia="zh-CN" w:bidi="ar-SA"/>
        </w:rPr>
        <w:t>（</w:t>
      </w:r>
      <w:r>
        <w:rPr>
          <w:rStyle w:val="23"/>
          <w:rFonts w:hint="eastAsia" w:cs="Times New Roman"/>
          <w:b w:val="0"/>
          <w:i w:val="0"/>
          <w:caps w:val="0"/>
          <w:color w:val="000000"/>
          <w:spacing w:val="0"/>
          <w:w w:val="100"/>
          <w:kern w:val="2"/>
          <w:sz w:val="21"/>
          <w:szCs w:val="24"/>
          <w:lang w:val="en-US" w:eastAsia="zh-CN" w:bidi="ar-SA"/>
        </w:rPr>
        <w:t>9</w:t>
      </w:r>
      <w:r>
        <w:rPr>
          <w:rStyle w:val="23"/>
          <w:rFonts w:hint="eastAsia" w:ascii="宋体" w:hAnsi="宋体" w:eastAsia="宋体" w:cs="Times New Roman"/>
          <w:b w:val="0"/>
          <w:i w:val="0"/>
          <w:caps w:val="0"/>
          <w:color w:val="000000"/>
          <w:spacing w:val="0"/>
          <w:w w:val="100"/>
          <w:kern w:val="2"/>
          <w:sz w:val="21"/>
          <w:szCs w:val="24"/>
          <w:lang w:val="en-US" w:eastAsia="zh-CN" w:bidi="ar-SA"/>
        </w:rPr>
        <w:t>)与招标文件提供的货物（设备）清单中的清单数量或规格不相同的；</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ascii="宋体" w:hAnsi="宋体" w:eastAsia="宋体" w:cs="Times New Roman"/>
          <w:b w:val="0"/>
          <w:i w:val="0"/>
          <w:caps w:val="0"/>
          <w:color w:val="000000"/>
          <w:spacing w:val="0"/>
          <w:w w:val="100"/>
          <w:kern w:val="2"/>
          <w:sz w:val="21"/>
          <w:szCs w:val="24"/>
          <w:lang w:val="en-US" w:eastAsia="zh-CN" w:bidi="ar-SA"/>
        </w:rPr>
        <w:t>（1</w:t>
      </w:r>
      <w:r>
        <w:rPr>
          <w:rStyle w:val="23"/>
          <w:rFonts w:hint="eastAsia" w:cs="Times New Roman"/>
          <w:b w:val="0"/>
          <w:i w:val="0"/>
          <w:caps w:val="0"/>
          <w:color w:val="000000"/>
          <w:spacing w:val="0"/>
          <w:w w:val="100"/>
          <w:kern w:val="2"/>
          <w:sz w:val="21"/>
          <w:szCs w:val="24"/>
          <w:lang w:val="en-US" w:eastAsia="zh-CN" w:bidi="ar-SA"/>
        </w:rPr>
        <w:t>0</w:t>
      </w:r>
      <w:r>
        <w:rPr>
          <w:rStyle w:val="23"/>
          <w:rFonts w:hint="eastAsia" w:ascii="宋体" w:hAnsi="宋体" w:eastAsia="宋体" w:cs="Times New Roman"/>
          <w:b w:val="0"/>
          <w:i w:val="0"/>
          <w:caps w:val="0"/>
          <w:color w:val="000000"/>
          <w:spacing w:val="0"/>
          <w:w w:val="100"/>
          <w:kern w:val="2"/>
          <w:sz w:val="21"/>
          <w:szCs w:val="24"/>
          <w:lang w:val="en-US" w:eastAsia="zh-CN" w:bidi="ar-SA"/>
        </w:rPr>
        <w:t>)未按招标文件要求提供的；</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ascii="宋体" w:hAnsi="宋体" w:eastAsia="宋体" w:cs="Times New Roman"/>
          <w:b w:val="0"/>
          <w:i w:val="0"/>
          <w:caps w:val="0"/>
          <w:color w:val="000000"/>
          <w:spacing w:val="0"/>
          <w:w w:val="100"/>
          <w:kern w:val="2"/>
          <w:sz w:val="21"/>
          <w:szCs w:val="24"/>
          <w:lang w:val="en-US" w:eastAsia="zh-CN" w:bidi="ar-SA"/>
        </w:rPr>
        <w:t>（1</w:t>
      </w:r>
      <w:r>
        <w:rPr>
          <w:rStyle w:val="23"/>
          <w:rFonts w:hint="eastAsia" w:cs="Times New Roman"/>
          <w:b w:val="0"/>
          <w:i w:val="0"/>
          <w:caps w:val="0"/>
          <w:color w:val="000000"/>
          <w:spacing w:val="0"/>
          <w:w w:val="100"/>
          <w:kern w:val="2"/>
          <w:sz w:val="21"/>
          <w:szCs w:val="24"/>
          <w:lang w:val="en-US" w:eastAsia="zh-CN" w:bidi="ar-SA"/>
        </w:rPr>
        <w:t>1</w:t>
      </w:r>
      <w:r>
        <w:rPr>
          <w:rStyle w:val="23"/>
          <w:rFonts w:hint="eastAsia" w:ascii="宋体" w:hAnsi="宋体" w:eastAsia="宋体" w:cs="Times New Roman"/>
          <w:b w:val="0"/>
          <w:i w:val="0"/>
          <w:caps w:val="0"/>
          <w:color w:val="000000"/>
          <w:spacing w:val="0"/>
          <w:w w:val="100"/>
          <w:kern w:val="2"/>
          <w:sz w:val="21"/>
          <w:szCs w:val="24"/>
          <w:lang w:val="en-US" w:eastAsia="zh-CN" w:bidi="ar-SA"/>
        </w:rPr>
        <w:t>)投标文件载明的招标项目完成期限超过招标文件规定的期限的，或交货期达不到招标文件</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firstLine="210" w:firstLineChars="100"/>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ascii="宋体" w:hAnsi="宋体" w:eastAsia="宋体" w:cs="Times New Roman"/>
          <w:b w:val="0"/>
          <w:i w:val="0"/>
          <w:caps w:val="0"/>
          <w:color w:val="000000"/>
          <w:spacing w:val="0"/>
          <w:w w:val="100"/>
          <w:kern w:val="2"/>
          <w:sz w:val="21"/>
          <w:szCs w:val="24"/>
          <w:lang w:val="en-US" w:eastAsia="zh-CN" w:bidi="ar-SA"/>
        </w:rPr>
        <w:t>规定期限的要求；</w:t>
      </w:r>
    </w:p>
    <w:p>
      <w:pPr>
        <w:pStyle w:val="14"/>
        <w:keepNext w:val="0"/>
        <w:keepLines w:val="0"/>
        <w:pageBreakBefore w:val="0"/>
        <w:widowControl/>
        <w:numPr>
          <w:ilvl w:val="0"/>
          <w:numId w:val="0"/>
        </w:numPr>
        <w:tabs>
          <w:tab w:val="left" w:pos="220"/>
        </w:tabs>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cs="Times New Roman"/>
          <w:b w:val="0"/>
          <w:i w:val="0"/>
          <w:caps w:val="0"/>
          <w:color w:val="000000"/>
          <w:spacing w:val="0"/>
          <w:w w:val="100"/>
          <w:kern w:val="2"/>
          <w:sz w:val="21"/>
          <w:szCs w:val="24"/>
          <w:lang w:val="en-US" w:eastAsia="zh-CN" w:bidi="ar-SA"/>
        </w:rPr>
        <w:t>（12）</w:t>
      </w:r>
      <w:r>
        <w:rPr>
          <w:rStyle w:val="23"/>
          <w:rFonts w:hint="eastAsia" w:ascii="宋体" w:hAnsi="宋体" w:eastAsia="宋体" w:cs="Times New Roman"/>
          <w:b w:val="0"/>
          <w:i w:val="0"/>
          <w:caps w:val="0"/>
          <w:color w:val="000000"/>
          <w:spacing w:val="0"/>
          <w:w w:val="100"/>
          <w:kern w:val="2"/>
          <w:sz w:val="21"/>
          <w:szCs w:val="24"/>
          <w:lang w:val="en-US" w:eastAsia="zh-CN" w:bidi="ar-SA"/>
        </w:rPr>
        <w:t>明显不符合技术规范、技术标准的要求的；</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ascii="宋体" w:hAnsi="宋体" w:eastAsia="宋体" w:cs="Times New Roman"/>
          <w:b w:val="0"/>
          <w:i w:val="0"/>
          <w:caps w:val="0"/>
          <w:color w:val="000000"/>
          <w:spacing w:val="0"/>
          <w:w w:val="100"/>
          <w:kern w:val="2"/>
          <w:sz w:val="21"/>
          <w:szCs w:val="24"/>
          <w:lang w:val="en-US" w:eastAsia="zh-CN" w:bidi="ar-SA"/>
        </w:rPr>
        <w:t>（1</w:t>
      </w:r>
      <w:r>
        <w:rPr>
          <w:rStyle w:val="23"/>
          <w:rFonts w:hint="eastAsia" w:cs="Times New Roman"/>
          <w:b w:val="0"/>
          <w:i w:val="0"/>
          <w:caps w:val="0"/>
          <w:color w:val="000000"/>
          <w:spacing w:val="0"/>
          <w:w w:val="100"/>
          <w:kern w:val="2"/>
          <w:sz w:val="21"/>
          <w:szCs w:val="24"/>
          <w:lang w:val="en-US" w:eastAsia="zh-CN" w:bidi="ar-SA"/>
        </w:rPr>
        <w:t>3</w:t>
      </w:r>
      <w:r>
        <w:rPr>
          <w:rStyle w:val="23"/>
          <w:rFonts w:hint="eastAsia" w:ascii="宋体" w:hAnsi="宋体" w:eastAsia="宋体" w:cs="Times New Roman"/>
          <w:b w:val="0"/>
          <w:i w:val="0"/>
          <w:caps w:val="0"/>
          <w:color w:val="000000"/>
          <w:spacing w:val="0"/>
          <w:w w:val="100"/>
          <w:kern w:val="2"/>
          <w:sz w:val="21"/>
          <w:szCs w:val="24"/>
          <w:lang w:val="en-US" w:eastAsia="zh-CN" w:bidi="ar-SA"/>
        </w:rPr>
        <w:t>)投标文件载明的货物包装方式、检验标准和方法等不符合招标文件的要求的；</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ascii="宋体" w:hAnsi="宋体" w:eastAsia="宋体" w:cs="Times New Roman"/>
          <w:b w:val="0"/>
          <w:i w:val="0"/>
          <w:caps w:val="0"/>
          <w:color w:val="000000"/>
          <w:spacing w:val="0"/>
          <w:w w:val="100"/>
          <w:kern w:val="2"/>
          <w:sz w:val="21"/>
          <w:szCs w:val="24"/>
          <w:lang w:val="en-US" w:eastAsia="zh-CN" w:bidi="ar-SA"/>
        </w:rPr>
        <w:t>（</w:t>
      </w:r>
      <w:r>
        <w:rPr>
          <w:rStyle w:val="23"/>
          <w:rFonts w:hint="eastAsia" w:cs="Times New Roman"/>
          <w:b w:val="0"/>
          <w:i w:val="0"/>
          <w:caps w:val="0"/>
          <w:color w:val="000000"/>
          <w:spacing w:val="0"/>
          <w:w w:val="100"/>
          <w:kern w:val="2"/>
          <w:sz w:val="21"/>
          <w:szCs w:val="24"/>
          <w:lang w:val="en-US" w:eastAsia="zh-CN" w:bidi="ar-SA"/>
        </w:rPr>
        <w:t>14</w:t>
      </w:r>
      <w:r>
        <w:rPr>
          <w:rStyle w:val="23"/>
          <w:rFonts w:hint="eastAsia" w:ascii="宋体" w:hAnsi="宋体" w:eastAsia="宋体" w:cs="Times New Roman"/>
          <w:b w:val="0"/>
          <w:i w:val="0"/>
          <w:caps w:val="0"/>
          <w:color w:val="000000"/>
          <w:spacing w:val="0"/>
          <w:w w:val="100"/>
          <w:kern w:val="2"/>
          <w:sz w:val="21"/>
          <w:szCs w:val="24"/>
          <w:lang w:val="en-US" w:eastAsia="zh-CN" w:bidi="ar-SA"/>
        </w:rPr>
        <w:t>)投标文件提出的工程验收、计量、价款结算和付款方式不能满足招标文件要求或招标人不</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firstLine="210" w:firstLineChars="100"/>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ascii="宋体" w:hAnsi="宋体" w:eastAsia="宋体" w:cs="Times New Roman"/>
          <w:b w:val="0"/>
          <w:i w:val="0"/>
          <w:caps w:val="0"/>
          <w:color w:val="000000"/>
          <w:spacing w:val="0"/>
          <w:w w:val="100"/>
          <w:kern w:val="2"/>
          <w:sz w:val="21"/>
          <w:szCs w:val="24"/>
          <w:lang w:val="en-US" w:eastAsia="zh-CN" w:bidi="ar-SA"/>
        </w:rPr>
        <w:t>能接受；</w:t>
      </w:r>
    </w:p>
    <w:p>
      <w:pPr>
        <w:pStyle w:val="14"/>
        <w:keepNext w:val="0"/>
        <w:keepLines w:val="0"/>
        <w:pageBreakBefore w:val="0"/>
        <w:widowControl/>
        <w:numPr>
          <w:ilvl w:val="0"/>
          <w:numId w:val="0"/>
        </w:numPr>
        <w:tabs>
          <w:tab w:val="left" w:pos="220"/>
        </w:tabs>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cs="Times New Roman"/>
          <w:b w:val="0"/>
          <w:i w:val="0"/>
          <w:caps w:val="0"/>
          <w:color w:val="000000"/>
          <w:spacing w:val="0"/>
          <w:w w:val="100"/>
          <w:kern w:val="2"/>
          <w:sz w:val="21"/>
          <w:szCs w:val="24"/>
          <w:lang w:val="en-US" w:eastAsia="zh-CN" w:bidi="ar-SA"/>
        </w:rPr>
        <w:t>（15）</w:t>
      </w:r>
      <w:r>
        <w:rPr>
          <w:rStyle w:val="23"/>
          <w:rFonts w:hint="eastAsia" w:ascii="宋体" w:hAnsi="宋体" w:eastAsia="宋体" w:cs="Times New Roman"/>
          <w:b w:val="0"/>
          <w:i w:val="0"/>
          <w:caps w:val="0"/>
          <w:color w:val="000000"/>
          <w:spacing w:val="0"/>
          <w:w w:val="100"/>
          <w:kern w:val="2"/>
          <w:sz w:val="21"/>
          <w:szCs w:val="24"/>
          <w:lang w:val="en-US" w:eastAsia="zh-CN" w:bidi="ar-SA"/>
        </w:rPr>
        <w:t>不同投标人的投标文件出现了评标委员会认为不应当雷同的情况的；</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ascii="宋体" w:hAnsi="宋体" w:eastAsia="宋体" w:cs="Times New Roman"/>
          <w:b w:val="0"/>
          <w:i w:val="0"/>
          <w:caps w:val="0"/>
          <w:color w:val="000000"/>
          <w:spacing w:val="0"/>
          <w:w w:val="100"/>
          <w:kern w:val="2"/>
          <w:sz w:val="21"/>
          <w:szCs w:val="24"/>
          <w:lang w:val="en-US" w:eastAsia="zh-CN" w:bidi="ar-SA"/>
        </w:rPr>
        <w:t>（1</w:t>
      </w:r>
      <w:r>
        <w:rPr>
          <w:rStyle w:val="23"/>
          <w:rFonts w:hint="eastAsia" w:cs="Times New Roman"/>
          <w:b w:val="0"/>
          <w:i w:val="0"/>
          <w:caps w:val="0"/>
          <w:color w:val="000000"/>
          <w:spacing w:val="0"/>
          <w:w w:val="100"/>
          <w:kern w:val="2"/>
          <w:sz w:val="21"/>
          <w:szCs w:val="24"/>
          <w:lang w:val="en-US" w:eastAsia="zh-CN" w:bidi="ar-SA"/>
        </w:rPr>
        <w:t>6</w:t>
      </w:r>
      <w:r>
        <w:rPr>
          <w:rStyle w:val="23"/>
          <w:rFonts w:hint="eastAsia" w:ascii="宋体" w:hAnsi="宋体" w:eastAsia="宋体" w:cs="Times New Roman"/>
          <w:b w:val="0"/>
          <w:i w:val="0"/>
          <w:caps w:val="0"/>
          <w:color w:val="000000"/>
          <w:spacing w:val="0"/>
          <w:w w:val="100"/>
          <w:kern w:val="2"/>
          <w:sz w:val="21"/>
          <w:szCs w:val="24"/>
          <w:lang w:val="en-US" w:eastAsia="zh-CN" w:bidi="ar-SA"/>
        </w:rPr>
        <w:t>)以他人的名义投标、串通投标、以行贿手段谋取中标或者以其他弄虚作假方式投标的；</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200" w:firstLine="438" w:firstLineChars="209"/>
        <w:textAlignment w:val="baseline"/>
        <w:rPr>
          <w:rStyle w:val="23"/>
          <w:rFonts w:hint="eastAsia" w:ascii="宋体" w:hAnsi="宋体" w:eastAsia="宋体" w:cs="Times New Roman"/>
          <w:b w:val="0"/>
          <w:i w:val="0"/>
          <w:caps w:val="0"/>
          <w:color w:val="000000"/>
          <w:spacing w:val="0"/>
          <w:w w:val="100"/>
          <w:kern w:val="2"/>
          <w:sz w:val="21"/>
          <w:szCs w:val="24"/>
          <w:lang w:val="en-US" w:eastAsia="zh-CN" w:bidi="ar-SA"/>
        </w:rPr>
      </w:pPr>
      <w:r>
        <w:rPr>
          <w:rStyle w:val="23"/>
          <w:rFonts w:hint="eastAsia" w:ascii="宋体" w:hAnsi="宋体" w:eastAsia="宋体" w:cs="Times New Roman"/>
          <w:b w:val="0"/>
          <w:i w:val="0"/>
          <w:caps w:val="0"/>
          <w:color w:val="000000"/>
          <w:spacing w:val="0"/>
          <w:w w:val="100"/>
          <w:kern w:val="2"/>
          <w:sz w:val="21"/>
          <w:szCs w:val="24"/>
          <w:lang w:val="en-US" w:eastAsia="zh-CN" w:bidi="ar-SA"/>
        </w:rPr>
        <w:t>除上述条件外，招标人一般不得另行规定无效标条件。特殊情况招标人需要另行规定无效标条件的，应当将调整的无效标条件及其说明事先征求招投标监管机构意见后写入招标文件。凡招标文件未明确的无效标条件，评标委员会不得作为判定无效标的依据，评标委员会也不得以不符合招标文件中规定的其他实质性要求作为判定无效标的依据。</w:t>
      </w:r>
    </w:p>
    <w:p>
      <w:pPr>
        <w:pStyle w:val="2"/>
        <w:spacing w:before="189" w:line="410" w:lineRule="auto"/>
        <w:ind w:left="392" w:right="547" w:firstLine="419"/>
      </w:pPr>
      <w:r>
        <w:rPr>
          <w:spacing w:val="-2"/>
        </w:rPr>
        <w:t>被拒绝的投标文件为无效。</w:t>
      </w:r>
      <w:r>
        <w:rPr>
          <w:spacing w:val="-5"/>
        </w:rPr>
        <w:t>凡招标文件未明确的无效标条件，评标委员会不得作为判定无效标的依据，评标委员会也不得以不符</w:t>
      </w:r>
      <w:r>
        <w:rPr>
          <w:spacing w:val="-4"/>
        </w:rPr>
        <w:t>合招标文件中规定的其他实质性要求作为判定无效标的依据。</w:t>
      </w:r>
    </w:p>
    <w:p>
      <w:pPr>
        <w:spacing w:after="0" w:line="410" w:lineRule="auto"/>
        <w:sectPr>
          <w:footerReference r:id="rId7" w:type="default"/>
          <w:pgSz w:w="11910" w:h="16840"/>
          <w:pgMar w:top="1520" w:right="580" w:bottom="1660" w:left="740" w:header="0" w:footer="1479" w:gutter="0"/>
          <w:pgNumType w:fmt="decimal"/>
          <w:cols w:space="720" w:num="1"/>
        </w:sectPr>
      </w:pPr>
    </w:p>
    <w:p>
      <w:pPr>
        <w:pStyle w:val="21"/>
        <w:numPr>
          <w:ilvl w:val="1"/>
          <w:numId w:val="2"/>
        </w:numPr>
        <w:tabs>
          <w:tab w:val="left" w:pos="1130"/>
        </w:tabs>
        <w:spacing w:before="59" w:after="0" w:line="240" w:lineRule="auto"/>
        <w:ind w:left="1129" w:right="0" w:hanging="318"/>
        <w:jc w:val="left"/>
        <w:rPr>
          <w:rFonts w:ascii="Times New Roman" w:eastAsia="Times New Roman"/>
          <w:sz w:val="21"/>
        </w:rPr>
      </w:pPr>
      <w:r>
        <w:rPr>
          <w:rFonts w:hint="eastAsia" w:ascii="黑体" w:eastAsia="黑体"/>
          <w:spacing w:val="-3"/>
          <w:sz w:val="21"/>
        </w:rPr>
        <w:t>重新招标</w:t>
      </w:r>
    </w:p>
    <w:p>
      <w:pPr>
        <w:pStyle w:val="2"/>
        <w:spacing w:before="192" w:line="410" w:lineRule="auto"/>
        <w:ind w:left="392" w:right="547" w:firstLine="419"/>
        <w:jc w:val="both"/>
      </w:pPr>
      <w:r>
        <w:rPr>
          <w:spacing w:val="-5"/>
        </w:rPr>
        <w:t>依法必须进行招标的项目，提交投标文件的投标人少于三个的，招标人在分析招标失败的原因并采取</w:t>
      </w:r>
      <w:r>
        <w:rPr>
          <w:spacing w:val="-8"/>
        </w:rPr>
        <w:t>相应措施后，应当依法重新招标。重新招标后投标人仍少于三个的，按国家有关规定需要履行审批、核准</w:t>
      </w:r>
      <w:r>
        <w:rPr>
          <w:spacing w:val="-5"/>
        </w:rPr>
        <w:t>手续的依法必须进行招标的项目，报项目审批、核准部门审批、核准后可以不再进行招标。</w:t>
      </w:r>
    </w:p>
    <w:p>
      <w:pPr>
        <w:pStyle w:val="2"/>
        <w:spacing w:line="410" w:lineRule="auto"/>
        <w:ind w:left="392" w:right="525" w:firstLine="419"/>
        <w:jc w:val="both"/>
      </w:pPr>
      <w:r>
        <w:t>依法必须招标的项目评标委员会否决所有投标的，或者评标委员会否决一部分投标后其他有效投标不足三个使得投标明显缺乏竞争，决定否决全部投标的，招标人在分析招标失败的原因并采取相应措施后， 应当重新招标。</w:t>
      </w:r>
    </w:p>
    <w:p>
      <w:pPr>
        <w:pStyle w:val="6"/>
        <w:numPr>
          <w:ilvl w:val="0"/>
          <w:numId w:val="2"/>
        </w:numPr>
        <w:tabs>
          <w:tab w:val="left" w:pos="993"/>
        </w:tabs>
        <w:spacing w:before="0" w:after="0" w:line="269" w:lineRule="exact"/>
        <w:ind w:left="992" w:right="0" w:hanging="178"/>
        <w:jc w:val="left"/>
        <w:rPr>
          <w:rFonts w:ascii="Arial" w:eastAsia="Arial"/>
          <w:sz w:val="19"/>
        </w:rPr>
      </w:pPr>
      <w:r>
        <w:t>评标结果公示</w:t>
      </w:r>
    </w:p>
    <w:p>
      <w:pPr>
        <w:pStyle w:val="2"/>
        <w:spacing w:line="410" w:lineRule="auto"/>
        <w:ind w:left="392" w:right="525" w:firstLine="419"/>
        <w:jc w:val="both"/>
        <w:rPr>
          <w:rFonts w:hint="eastAsia"/>
          <w:lang w:val="en-US" w:eastAsia="zh-CN"/>
        </w:rPr>
      </w:pPr>
      <w:r>
        <w:rPr>
          <w:rFonts w:hint="eastAsia"/>
          <w:lang w:val="en-US" w:eastAsia="zh-CN"/>
        </w:rPr>
        <w:t>7.1采购代理机构应当在评标结束后2个工作日内将评标报告送采购人。采购人应当自收到评标报告之日起5个工作日内，在评标报告确定的中标候选人名单中按顺序确定中标人，中标人确定之日起2个工作日内在与招标公告相同的发布媒介上对评标结果进行公示。</w:t>
      </w:r>
    </w:p>
    <w:p>
      <w:pPr>
        <w:pStyle w:val="2"/>
        <w:spacing w:line="410" w:lineRule="auto"/>
        <w:ind w:left="392" w:right="525" w:firstLine="419"/>
        <w:jc w:val="both"/>
      </w:pPr>
      <w:r>
        <w:rPr>
          <w:rFonts w:hint="eastAsia"/>
          <w:lang w:val="en-US" w:eastAsia="zh-CN"/>
        </w:rPr>
        <w:t>7.2供应商认为中标、成交结果使自己的权益受到损害的，可以在知道或者应知其权益受到损害之日起七个工作日内，以书面形式向采购人提出质疑，采购人应当在收到供应商的书面质疑后七个工作日内作出答复，并以书面形式通知质疑供应商。</w:t>
      </w:r>
    </w:p>
    <w:p>
      <w:pPr>
        <w:pStyle w:val="6"/>
        <w:numPr>
          <w:ilvl w:val="0"/>
          <w:numId w:val="2"/>
        </w:numPr>
        <w:tabs>
          <w:tab w:val="left" w:pos="993"/>
        </w:tabs>
        <w:spacing w:before="0" w:after="0" w:line="268" w:lineRule="exact"/>
        <w:ind w:left="992" w:right="0" w:hanging="178"/>
        <w:jc w:val="left"/>
        <w:rPr>
          <w:rFonts w:ascii="Arial" w:eastAsia="Arial"/>
          <w:sz w:val="19"/>
        </w:rPr>
      </w:pPr>
      <w:r>
        <w:t>合同授予</w:t>
      </w:r>
    </w:p>
    <w:p>
      <w:pPr>
        <w:pStyle w:val="24"/>
        <w:keepLines/>
        <w:widowControl/>
        <w:snapToGrid/>
        <w:spacing w:before="20" w:beforeAutospacing="0" w:after="20" w:afterAutospacing="0" w:line="415" w:lineRule="auto"/>
        <w:ind w:firstLine="597" w:firstLineChars="249"/>
        <w:jc w:val="both"/>
        <w:textAlignment w:val="baseline"/>
        <w:rPr>
          <w:rStyle w:val="23"/>
          <w:rFonts w:ascii="宋体" w:hAnsi="宋体" w:eastAsia="宋体"/>
          <w:b w:val="0"/>
          <w:i w:val="0"/>
          <w:caps w:val="0"/>
          <w:color w:val="000000"/>
          <w:spacing w:val="0"/>
          <w:w w:val="100"/>
          <w:kern w:val="2"/>
          <w:sz w:val="24"/>
          <w:szCs w:val="20"/>
          <w:lang w:val="en-US" w:eastAsia="zh-CN" w:bidi="ar-SA"/>
        </w:rPr>
      </w:pPr>
      <w:r>
        <w:rPr>
          <w:rStyle w:val="23"/>
          <w:rFonts w:ascii="宋体" w:hAnsi="宋体" w:eastAsia="宋体"/>
          <w:b w:val="0"/>
          <w:i w:val="0"/>
          <w:caps w:val="0"/>
          <w:color w:val="000000"/>
          <w:spacing w:val="0"/>
          <w:w w:val="100"/>
          <w:kern w:val="2"/>
          <w:sz w:val="24"/>
          <w:szCs w:val="20"/>
          <w:lang w:val="en-US" w:eastAsia="zh-CN" w:bidi="ar-SA"/>
        </w:rPr>
        <w:t>8.1 定标方式</w:t>
      </w:r>
    </w:p>
    <w:p>
      <w:pPr>
        <w:snapToGrid/>
        <w:spacing w:before="0" w:beforeAutospacing="0" w:after="0" w:afterAutospacing="0" w:line="360" w:lineRule="auto"/>
        <w:ind w:firstLine="420" w:firstLineChars="200"/>
        <w:jc w:val="both"/>
        <w:textAlignment w:val="baseline"/>
        <w:rPr>
          <w:rStyle w:val="23"/>
          <w:rFonts w:ascii="宋体" w:hAnsi="宋体"/>
          <w:b w:val="0"/>
          <w:i w:val="0"/>
          <w:caps w:val="0"/>
          <w:color w:val="000000"/>
          <w:spacing w:val="0"/>
          <w:w w:val="100"/>
          <w:kern w:val="2"/>
          <w:sz w:val="21"/>
          <w:szCs w:val="24"/>
          <w:lang w:val="en-US" w:eastAsia="zh-CN" w:bidi="ar-SA"/>
        </w:rPr>
      </w:pPr>
      <w:r>
        <w:rPr>
          <w:rStyle w:val="23"/>
          <w:rFonts w:ascii="宋体" w:hAnsi="宋体"/>
          <w:b w:val="0"/>
          <w:i w:val="0"/>
          <w:caps w:val="0"/>
          <w:color w:val="000000"/>
          <w:spacing w:val="0"/>
          <w:w w:val="100"/>
          <w:kern w:val="2"/>
          <w:sz w:val="21"/>
          <w:szCs w:val="24"/>
          <w:lang w:val="en-US" w:eastAsia="zh-CN" w:bidi="ar-SA"/>
        </w:rPr>
        <w:t>除投标人须知前附表规定评标委员会直接确定中标人外，招标人依据评标委员会推荐的中标候选人确定中标人，评标委员会推荐中标候选人的人数</w:t>
      </w:r>
      <w:r>
        <w:rPr>
          <w:rStyle w:val="23"/>
          <w:rFonts w:ascii="宋体" w:hAnsi="宋体"/>
          <w:b w:val="0"/>
          <w:i w:val="0"/>
          <w:caps w:val="0"/>
          <w:color w:val="000000"/>
          <w:spacing w:val="0"/>
          <w:w w:val="100"/>
          <w:kern w:val="0"/>
          <w:sz w:val="21"/>
          <w:szCs w:val="21"/>
          <w:lang w:val="en-US" w:eastAsia="zh-CN" w:bidi="ar-SA"/>
        </w:rPr>
        <w:t>不超过3个</w:t>
      </w:r>
      <w:r>
        <w:rPr>
          <w:rStyle w:val="23"/>
          <w:rFonts w:ascii="宋体" w:hAnsi="宋体"/>
          <w:b w:val="0"/>
          <w:i w:val="0"/>
          <w:caps w:val="0"/>
          <w:color w:val="000000"/>
          <w:spacing w:val="0"/>
          <w:w w:val="100"/>
          <w:kern w:val="2"/>
          <w:sz w:val="21"/>
          <w:szCs w:val="24"/>
          <w:lang w:val="en-US" w:eastAsia="zh-CN" w:bidi="ar-SA"/>
        </w:rPr>
        <w:t>。</w:t>
      </w:r>
    </w:p>
    <w:p>
      <w:pPr>
        <w:snapToGrid/>
        <w:spacing w:before="0" w:beforeAutospacing="0" w:after="0" w:afterAutospacing="0" w:line="360" w:lineRule="auto"/>
        <w:ind w:firstLine="420" w:firstLineChars="200"/>
        <w:jc w:val="both"/>
        <w:textAlignment w:val="baseline"/>
        <w:rPr>
          <w:rStyle w:val="23"/>
          <w:rFonts w:ascii="宋体" w:hAnsi="宋体"/>
          <w:b w:val="0"/>
          <w:i w:val="0"/>
          <w:caps w:val="0"/>
          <w:color w:val="000000"/>
          <w:spacing w:val="0"/>
          <w:w w:val="100"/>
          <w:kern w:val="2"/>
          <w:sz w:val="21"/>
          <w:szCs w:val="24"/>
          <w:lang w:val="en-US" w:eastAsia="zh-CN" w:bidi="ar-SA"/>
        </w:rPr>
      </w:pPr>
      <w:r>
        <w:rPr>
          <w:rStyle w:val="23"/>
          <w:rFonts w:ascii="宋体" w:hAnsi="宋体"/>
          <w:b w:val="0"/>
          <w:i w:val="0"/>
          <w:caps w:val="0"/>
          <w:color w:val="000000"/>
          <w:spacing w:val="0"/>
          <w:w w:val="100"/>
          <w:kern w:val="2"/>
          <w:sz w:val="21"/>
          <w:szCs w:val="24"/>
          <w:lang w:val="en-US" w:eastAsia="zh-CN" w:bidi="ar-SA"/>
        </w:rPr>
        <w:t>8.2 中标人公告及中标通知</w:t>
      </w:r>
    </w:p>
    <w:p>
      <w:pPr>
        <w:pStyle w:val="24"/>
        <w:keepLines/>
        <w:widowControl/>
        <w:snapToGrid/>
        <w:spacing w:before="20" w:beforeAutospacing="0" w:after="20" w:afterAutospacing="0" w:line="415" w:lineRule="auto"/>
        <w:ind w:firstLine="522" w:firstLineChars="249"/>
        <w:jc w:val="both"/>
        <w:textAlignment w:val="baseline"/>
        <w:rPr>
          <w:rStyle w:val="23"/>
          <w:rFonts w:hint="eastAsia"/>
          <w:b w:val="0"/>
          <w:i w:val="0"/>
          <w:caps w:val="0"/>
          <w:color w:val="000000"/>
          <w:spacing w:val="0"/>
          <w:w w:val="100"/>
          <w:kern w:val="2"/>
          <w:sz w:val="21"/>
          <w:szCs w:val="24"/>
          <w:lang w:val="en-US" w:eastAsia="zh-CN" w:bidi="ar-SA"/>
        </w:rPr>
      </w:pPr>
      <w:r>
        <w:rPr>
          <w:rStyle w:val="23"/>
          <w:rFonts w:hint="eastAsia"/>
          <w:b w:val="0"/>
          <w:i w:val="0"/>
          <w:caps w:val="0"/>
          <w:color w:val="000000"/>
          <w:spacing w:val="0"/>
          <w:w w:val="100"/>
          <w:kern w:val="2"/>
          <w:sz w:val="21"/>
          <w:szCs w:val="24"/>
          <w:lang w:val="en-US" w:eastAsia="zh-CN" w:bidi="ar-SA"/>
        </w:rPr>
        <w:t>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pPr>
        <w:pStyle w:val="24"/>
        <w:keepLines/>
        <w:widowControl/>
        <w:snapToGrid/>
        <w:spacing w:before="20" w:beforeAutospacing="0" w:after="20" w:afterAutospacing="0" w:line="415" w:lineRule="auto"/>
        <w:ind w:firstLine="117" w:firstLineChars="49"/>
        <w:jc w:val="both"/>
        <w:textAlignment w:val="baseline"/>
        <w:rPr>
          <w:rStyle w:val="23"/>
          <w:rFonts w:ascii="宋体" w:hAnsi="宋体" w:eastAsia="宋体"/>
          <w:b w:val="0"/>
          <w:i w:val="0"/>
          <w:caps w:val="0"/>
          <w:color w:val="000000"/>
          <w:spacing w:val="0"/>
          <w:w w:val="100"/>
          <w:kern w:val="2"/>
          <w:sz w:val="24"/>
          <w:szCs w:val="20"/>
          <w:lang w:val="en-US" w:eastAsia="zh-CN" w:bidi="ar-SA"/>
        </w:rPr>
      </w:pPr>
      <w:r>
        <w:rPr>
          <w:rStyle w:val="23"/>
          <w:rFonts w:ascii="宋体" w:hAnsi="宋体" w:eastAsia="宋体"/>
          <w:b w:val="0"/>
          <w:i w:val="0"/>
          <w:caps w:val="0"/>
          <w:color w:val="000000"/>
          <w:spacing w:val="0"/>
          <w:w w:val="100"/>
          <w:kern w:val="2"/>
          <w:sz w:val="24"/>
          <w:szCs w:val="20"/>
          <w:lang w:val="en-US" w:eastAsia="zh-CN" w:bidi="ar-SA"/>
        </w:rPr>
        <w:t>8.3 履约保证金</w:t>
      </w:r>
    </w:p>
    <w:p>
      <w:pPr>
        <w:snapToGrid/>
        <w:spacing w:before="0" w:beforeAutospacing="0" w:after="0" w:afterAutospacing="0" w:line="360" w:lineRule="auto"/>
        <w:ind w:left="436" w:leftChars="198" w:firstLine="443" w:firstLineChars="211"/>
        <w:jc w:val="both"/>
        <w:textAlignment w:val="baseline"/>
        <w:rPr>
          <w:rStyle w:val="23"/>
          <w:rFonts w:ascii="宋体" w:hAnsi="宋体"/>
          <w:b w:val="0"/>
          <w:i w:val="0"/>
          <w:caps w:val="0"/>
          <w:color w:val="000000"/>
          <w:spacing w:val="0"/>
          <w:w w:val="100"/>
          <w:kern w:val="2"/>
          <w:sz w:val="21"/>
          <w:szCs w:val="24"/>
          <w:lang w:val="en-US" w:eastAsia="zh-CN" w:bidi="ar-SA"/>
        </w:rPr>
      </w:pPr>
      <w:r>
        <w:rPr>
          <w:rStyle w:val="23"/>
          <w:rFonts w:ascii="宋体" w:hAnsi="宋体"/>
          <w:b w:val="0"/>
          <w:i w:val="0"/>
          <w:caps w:val="0"/>
          <w:color w:val="000000"/>
          <w:spacing w:val="0"/>
          <w:w w:val="100"/>
          <w:kern w:val="2"/>
          <w:sz w:val="21"/>
          <w:szCs w:val="24"/>
          <w:lang w:val="en-US" w:eastAsia="zh-CN" w:bidi="ar-SA"/>
        </w:rPr>
        <w:t>8.3.1在签订合同前，中标人应按投标人须知前附表规定的形式和招标文件“合同条款及格式”规定的或者事先经过招标人书面认可的履约保证金格式向招标人提交履约保证金。</w:t>
      </w:r>
    </w:p>
    <w:p>
      <w:pPr>
        <w:snapToGrid/>
        <w:spacing w:before="0" w:beforeAutospacing="0" w:after="0" w:afterAutospacing="0" w:line="360" w:lineRule="auto"/>
        <w:ind w:left="436" w:leftChars="198" w:firstLine="443" w:firstLineChars="211"/>
        <w:jc w:val="both"/>
        <w:textAlignment w:val="baseline"/>
        <w:rPr>
          <w:rStyle w:val="23"/>
          <w:rFonts w:ascii="宋体" w:hAnsi="宋体"/>
          <w:b w:val="0"/>
          <w:i w:val="0"/>
          <w:caps w:val="0"/>
          <w:color w:val="000000"/>
          <w:spacing w:val="0"/>
          <w:w w:val="100"/>
          <w:kern w:val="2"/>
          <w:sz w:val="21"/>
          <w:szCs w:val="24"/>
          <w:lang w:val="en-US" w:eastAsia="zh-CN" w:bidi="ar-SA"/>
        </w:rPr>
      </w:pPr>
      <w:r>
        <w:rPr>
          <w:rStyle w:val="23"/>
          <w:rFonts w:ascii="宋体" w:hAnsi="宋体"/>
          <w:b w:val="0"/>
          <w:i w:val="0"/>
          <w:caps w:val="0"/>
          <w:color w:val="000000"/>
          <w:spacing w:val="0"/>
          <w:w w:val="100"/>
          <w:kern w:val="2"/>
          <w:sz w:val="21"/>
          <w:szCs w:val="24"/>
          <w:lang w:val="en-US" w:eastAsia="zh-CN" w:bidi="ar-SA"/>
        </w:rPr>
        <w:t>8.3.2 中标人不能按本章第8.3.1项要求提交履约保证金的，视为放弃中标，给招标人造成的损失的，中标人还应当予以赔偿。</w:t>
      </w:r>
    </w:p>
    <w:p>
      <w:pPr>
        <w:pStyle w:val="24"/>
        <w:keepLines/>
        <w:widowControl/>
        <w:snapToGrid/>
        <w:spacing w:before="20" w:beforeAutospacing="0" w:after="20" w:afterAutospacing="0" w:line="415" w:lineRule="auto"/>
        <w:ind w:left="436" w:leftChars="198" w:firstLine="506" w:firstLineChars="211"/>
        <w:jc w:val="both"/>
        <w:textAlignment w:val="baseline"/>
        <w:rPr>
          <w:rStyle w:val="23"/>
          <w:rFonts w:ascii="宋体" w:hAnsi="宋体" w:eastAsia="宋体"/>
          <w:b w:val="0"/>
          <w:i w:val="0"/>
          <w:caps w:val="0"/>
          <w:color w:val="000000"/>
          <w:spacing w:val="0"/>
          <w:w w:val="100"/>
          <w:kern w:val="2"/>
          <w:sz w:val="24"/>
          <w:szCs w:val="20"/>
          <w:lang w:val="en-US" w:eastAsia="zh-CN" w:bidi="ar-SA"/>
        </w:rPr>
      </w:pPr>
      <w:r>
        <w:rPr>
          <w:rStyle w:val="23"/>
          <w:rFonts w:ascii="宋体" w:hAnsi="宋体" w:eastAsia="宋体"/>
          <w:b w:val="0"/>
          <w:i w:val="0"/>
          <w:caps w:val="0"/>
          <w:color w:val="000000"/>
          <w:spacing w:val="0"/>
          <w:w w:val="100"/>
          <w:kern w:val="2"/>
          <w:sz w:val="24"/>
          <w:szCs w:val="20"/>
          <w:lang w:val="en-US" w:eastAsia="zh-CN" w:bidi="ar-SA"/>
        </w:rPr>
        <w:t>8.4 签订合同</w:t>
      </w:r>
    </w:p>
    <w:p>
      <w:pPr>
        <w:snapToGrid/>
        <w:spacing w:before="0" w:beforeAutospacing="0" w:after="0" w:afterAutospacing="0" w:line="360" w:lineRule="auto"/>
        <w:ind w:left="436" w:leftChars="198" w:firstLine="443" w:firstLineChars="211"/>
        <w:jc w:val="both"/>
        <w:textAlignment w:val="baseline"/>
        <w:rPr>
          <w:rStyle w:val="23"/>
          <w:rFonts w:ascii="宋体" w:hAnsi="宋体"/>
          <w:b w:val="0"/>
          <w:i w:val="0"/>
          <w:caps w:val="0"/>
          <w:color w:val="000000"/>
          <w:spacing w:val="0"/>
          <w:w w:val="100"/>
          <w:kern w:val="2"/>
          <w:sz w:val="21"/>
          <w:szCs w:val="24"/>
          <w:lang w:val="en-US" w:eastAsia="zh-CN" w:bidi="ar-SA"/>
        </w:rPr>
      </w:pPr>
      <w:r>
        <w:rPr>
          <w:rStyle w:val="23"/>
          <w:rFonts w:ascii="宋体" w:hAnsi="宋体"/>
          <w:b w:val="0"/>
          <w:i w:val="0"/>
          <w:caps w:val="0"/>
          <w:color w:val="000000"/>
          <w:spacing w:val="0"/>
          <w:w w:val="100"/>
          <w:kern w:val="2"/>
          <w:sz w:val="21"/>
          <w:szCs w:val="24"/>
          <w:lang w:val="en-US" w:eastAsia="zh-CN" w:bidi="ar-SA"/>
        </w:rPr>
        <w:t>8.4.1招标人和中标人应当自中标通知书发出之日起</w:t>
      </w:r>
      <w:r>
        <w:rPr>
          <w:rStyle w:val="23"/>
          <w:rFonts w:hint="eastAsia"/>
          <w:b w:val="0"/>
          <w:i w:val="0"/>
          <w:caps w:val="0"/>
          <w:color w:val="000000"/>
          <w:spacing w:val="0"/>
          <w:w w:val="100"/>
          <w:kern w:val="2"/>
          <w:sz w:val="21"/>
          <w:szCs w:val="24"/>
          <w:lang w:val="en-US" w:eastAsia="zh-CN" w:bidi="ar-SA"/>
        </w:rPr>
        <w:t>15</w:t>
      </w:r>
      <w:r>
        <w:rPr>
          <w:rStyle w:val="23"/>
          <w:rFonts w:ascii="宋体" w:hAnsi="宋体"/>
          <w:b w:val="0"/>
          <w:i w:val="0"/>
          <w:caps w:val="0"/>
          <w:color w:val="000000"/>
          <w:spacing w:val="0"/>
          <w:w w:val="100"/>
          <w:kern w:val="2"/>
          <w:sz w:val="21"/>
          <w:szCs w:val="24"/>
          <w:lang w:val="en-US" w:eastAsia="zh-CN" w:bidi="ar-SA"/>
        </w:rPr>
        <w:t>天内，根据招标文件和中标人的投标文件订立书面合同。中标人无正当理由拒签合同的，招标人取消其中标资格；给招标人造成的损失的，中标人还应当予以赔偿。</w:t>
      </w:r>
    </w:p>
    <w:p>
      <w:pPr>
        <w:snapToGrid/>
        <w:spacing w:before="0" w:beforeAutospacing="0" w:after="0" w:afterAutospacing="0" w:line="360" w:lineRule="auto"/>
        <w:ind w:left="436" w:leftChars="198" w:firstLine="443" w:firstLineChars="211"/>
        <w:jc w:val="both"/>
        <w:textAlignment w:val="baseline"/>
        <w:rPr>
          <w:rStyle w:val="23"/>
          <w:rFonts w:ascii="宋体" w:hAnsi="宋体"/>
          <w:b w:val="0"/>
          <w:i w:val="0"/>
          <w:caps w:val="0"/>
          <w:color w:val="000000"/>
          <w:spacing w:val="0"/>
          <w:w w:val="100"/>
          <w:kern w:val="2"/>
          <w:sz w:val="21"/>
          <w:szCs w:val="24"/>
          <w:lang w:val="en-US" w:eastAsia="zh-CN" w:bidi="ar-SA"/>
        </w:rPr>
      </w:pPr>
      <w:r>
        <w:rPr>
          <w:rStyle w:val="23"/>
          <w:rFonts w:ascii="宋体" w:hAnsi="宋体"/>
          <w:b w:val="0"/>
          <w:i w:val="0"/>
          <w:caps w:val="0"/>
          <w:color w:val="000000"/>
          <w:spacing w:val="0"/>
          <w:w w:val="100"/>
          <w:kern w:val="2"/>
          <w:sz w:val="21"/>
          <w:szCs w:val="24"/>
          <w:lang w:val="en-US" w:eastAsia="zh-CN" w:bidi="ar-SA"/>
        </w:rPr>
        <w:t>8.4.2 发出中标通知书后，招标人无正当理由拒签合同的，给中标人造成损失的，还应当赔偿损失。</w:t>
      </w:r>
    </w:p>
    <w:p>
      <w:pPr>
        <w:pStyle w:val="6"/>
        <w:numPr>
          <w:ilvl w:val="0"/>
          <w:numId w:val="2"/>
        </w:numPr>
        <w:tabs>
          <w:tab w:val="left" w:pos="993"/>
        </w:tabs>
        <w:spacing w:before="0" w:after="0" w:line="268" w:lineRule="exact"/>
        <w:ind w:left="992" w:right="0" w:hanging="178"/>
        <w:jc w:val="left"/>
        <w:rPr>
          <w:rFonts w:ascii="Arial" w:eastAsia="Arial"/>
          <w:sz w:val="19"/>
        </w:rPr>
      </w:pPr>
      <w:r>
        <w:t>纪律和监督</w:t>
      </w:r>
    </w:p>
    <w:p>
      <w:pPr>
        <w:pStyle w:val="21"/>
        <w:numPr>
          <w:ilvl w:val="1"/>
          <w:numId w:val="2"/>
        </w:numPr>
        <w:tabs>
          <w:tab w:val="left" w:pos="1183"/>
        </w:tabs>
        <w:spacing w:before="191" w:after="0" w:line="240" w:lineRule="auto"/>
        <w:ind w:left="1182" w:right="0" w:hanging="371"/>
        <w:jc w:val="left"/>
        <w:rPr>
          <w:rFonts w:ascii="Times New Roman" w:eastAsia="Times New Roman"/>
          <w:sz w:val="21"/>
        </w:rPr>
      </w:pPr>
      <w:r>
        <w:rPr>
          <w:rFonts w:hint="eastAsia" w:ascii="黑体" w:eastAsia="黑体"/>
          <w:spacing w:val="-3"/>
          <w:sz w:val="21"/>
        </w:rPr>
        <w:t>对招标人的纪律要求</w:t>
      </w:r>
    </w:p>
    <w:p>
      <w:pPr>
        <w:pStyle w:val="2"/>
        <w:spacing w:before="192" w:line="408" w:lineRule="auto"/>
        <w:ind w:left="392" w:right="547" w:firstLine="419"/>
      </w:pPr>
      <w:r>
        <w:rPr>
          <w:spacing w:val="-5"/>
        </w:rPr>
        <w:t>招标人不得泄露招标投标活动中应当保密的情况和资料，不得与投标人串通损害国家利益、社会公众</w:t>
      </w:r>
      <w:r>
        <w:rPr>
          <w:spacing w:val="-4"/>
        </w:rPr>
        <w:t>利益或者他人合法权益。</w:t>
      </w:r>
    </w:p>
    <w:p>
      <w:pPr>
        <w:pStyle w:val="21"/>
        <w:numPr>
          <w:ilvl w:val="1"/>
          <w:numId w:val="2"/>
        </w:numPr>
        <w:tabs>
          <w:tab w:val="left" w:pos="1183"/>
        </w:tabs>
        <w:spacing w:before="5" w:after="0" w:line="240" w:lineRule="auto"/>
        <w:ind w:left="1182" w:right="0" w:hanging="371"/>
        <w:jc w:val="left"/>
        <w:rPr>
          <w:rFonts w:ascii="Times New Roman" w:eastAsia="Times New Roman"/>
          <w:sz w:val="21"/>
        </w:rPr>
      </w:pPr>
      <w:r>
        <w:rPr>
          <w:rFonts w:hint="eastAsia" w:ascii="黑体" w:eastAsia="黑体"/>
          <w:spacing w:val="-3"/>
          <w:sz w:val="21"/>
        </w:rPr>
        <w:t>对投标人的纪律要求</w:t>
      </w:r>
    </w:p>
    <w:p>
      <w:pPr>
        <w:pStyle w:val="2"/>
        <w:spacing w:before="191" w:line="408" w:lineRule="auto"/>
        <w:ind w:left="392" w:right="525" w:firstLine="419"/>
      </w:pPr>
      <w:r>
        <w:t>投标人不得相互串通投标或者与招标人串通投标，不得向招标人或者评标委员会成员行贿谋取中标， 不得以他人名义投标或者以其他方式弄虚作假骗取中标；投标人不得以任何方式干扰、影响评标工作。</w:t>
      </w:r>
    </w:p>
    <w:p>
      <w:pPr>
        <w:pStyle w:val="21"/>
        <w:numPr>
          <w:ilvl w:val="1"/>
          <w:numId w:val="2"/>
        </w:numPr>
        <w:tabs>
          <w:tab w:val="left" w:pos="1183"/>
        </w:tabs>
        <w:spacing w:before="5" w:after="0" w:line="240" w:lineRule="auto"/>
        <w:ind w:left="1182" w:right="0" w:hanging="371"/>
        <w:jc w:val="left"/>
        <w:rPr>
          <w:rFonts w:ascii="Times New Roman" w:eastAsia="Times New Roman"/>
          <w:sz w:val="21"/>
        </w:rPr>
      </w:pPr>
      <w:r>
        <w:rPr>
          <w:rFonts w:hint="eastAsia" w:ascii="黑体" w:eastAsia="黑体"/>
          <w:spacing w:val="-3"/>
          <w:sz w:val="21"/>
        </w:rPr>
        <w:t>对评标委员会成员的纪律要求</w:t>
      </w:r>
    </w:p>
    <w:p>
      <w:pPr>
        <w:pStyle w:val="2"/>
        <w:spacing w:before="191" w:line="410" w:lineRule="auto"/>
        <w:ind w:left="392" w:right="441" w:firstLine="419"/>
      </w:pPr>
      <w:r>
        <w:rPr>
          <w:spacing w:val="-5"/>
        </w:rPr>
        <w:t>评标委员会成员不得收受他人的财物或者其他好处，不得向他人透漏对投标文件的评审和比较、中标</w:t>
      </w:r>
      <w:r>
        <w:rPr>
          <w:spacing w:val="-10"/>
        </w:rPr>
        <w:t xml:space="preserve">候选人的推荐情况以及评标有关的其他情况。在评标活动中，评标委员会成员应当客观、公正地履行职责， </w:t>
      </w:r>
      <w:r>
        <w:rPr>
          <w:spacing w:val="-5"/>
        </w:rPr>
        <w:t>遵守职业道德，不得擅离职守，影响评标程序正常进行，不得使用</w:t>
      </w:r>
      <w:r>
        <w:rPr>
          <w:rFonts w:ascii="Times New Roman" w:hAnsi="Times New Roman" w:eastAsia="Times New Roman"/>
          <w:spacing w:val="-3"/>
        </w:rPr>
        <w:t>“</w:t>
      </w:r>
      <w:r>
        <w:rPr>
          <w:spacing w:val="-3"/>
        </w:rPr>
        <w:t>评标办法</w:t>
      </w:r>
      <w:r>
        <w:rPr>
          <w:rFonts w:ascii="Times New Roman" w:hAnsi="Times New Roman" w:eastAsia="Times New Roman"/>
        </w:rPr>
        <w:t>”</w:t>
      </w:r>
      <w:r>
        <w:rPr>
          <w:spacing w:val="-3"/>
        </w:rPr>
        <w:t>没有规定的评审因素和标准进行评标。</w:t>
      </w:r>
    </w:p>
    <w:p>
      <w:pPr>
        <w:pStyle w:val="21"/>
        <w:numPr>
          <w:ilvl w:val="1"/>
          <w:numId w:val="2"/>
        </w:numPr>
        <w:tabs>
          <w:tab w:val="left" w:pos="1183"/>
        </w:tabs>
        <w:spacing w:before="0" w:after="0" w:line="267" w:lineRule="exact"/>
        <w:ind w:left="1182" w:right="0" w:hanging="371"/>
        <w:jc w:val="left"/>
        <w:rPr>
          <w:rFonts w:ascii="Times New Roman" w:eastAsia="Times New Roman"/>
          <w:sz w:val="21"/>
        </w:rPr>
      </w:pPr>
      <w:r>
        <w:rPr>
          <w:rFonts w:hint="eastAsia" w:ascii="黑体" w:eastAsia="黑体"/>
          <w:spacing w:val="-3"/>
          <w:sz w:val="21"/>
        </w:rPr>
        <w:t>对与评标活动有关的工作人员的纪律要求</w:t>
      </w:r>
    </w:p>
    <w:p>
      <w:pPr>
        <w:pStyle w:val="2"/>
        <w:spacing w:before="192" w:line="410" w:lineRule="auto"/>
        <w:ind w:left="392" w:right="547" w:firstLine="419"/>
        <w:jc w:val="both"/>
      </w:pPr>
      <w:r>
        <w:rPr>
          <w:spacing w:val="-4"/>
        </w:rPr>
        <w:t>与评标活动有关的工作人员不得收受他人的财物或者其他好处，不得向他人透漏对投标文件的评审和</w:t>
      </w:r>
      <w:r>
        <w:rPr>
          <w:spacing w:val="-7"/>
        </w:rPr>
        <w:t>比较、中标候选人的推荐情况以及评标有关的其他情况。在评标活动中，与评标活动有关的工作人员不得</w:t>
      </w:r>
      <w:r>
        <w:rPr>
          <w:spacing w:val="-5"/>
        </w:rPr>
        <w:t>擅离职守，影响评标程序正常进行。</w:t>
      </w:r>
    </w:p>
    <w:p>
      <w:pPr>
        <w:pStyle w:val="21"/>
        <w:numPr>
          <w:ilvl w:val="1"/>
          <w:numId w:val="2"/>
        </w:numPr>
        <w:tabs>
          <w:tab w:val="left" w:pos="1183"/>
        </w:tabs>
        <w:spacing w:before="0" w:after="0" w:line="269" w:lineRule="exact"/>
        <w:ind w:left="1182" w:right="0" w:hanging="371"/>
        <w:jc w:val="left"/>
        <w:rPr>
          <w:rFonts w:ascii="Times New Roman" w:eastAsia="Times New Roman"/>
          <w:sz w:val="21"/>
        </w:rPr>
      </w:pPr>
      <w:r>
        <w:rPr>
          <w:rFonts w:hint="eastAsia" w:ascii="黑体" w:eastAsia="黑体"/>
          <w:spacing w:val="-2"/>
          <w:sz w:val="21"/>
        </w:rPr>
        <w:t>投诉</w:t>
      </w:r>
    </w:p>
    <w:p>
      <w:pPr>
        <w:pStyle w:val="21"/>
        <w:numPr>
          <w:ilvl w:val="2"/>
          <w:numId w:val="2"/>
        </w:numPr>
        <w:tabs>
          <w:tab w:val="left" w:pos="1286"/>
        </w:tabs>
        <w:spacing w:before="192" w:after="0" w:line="240" w:lineRule="auto"/>
        <w:ind w:left="1354" w:leftChars="0" w:right="0" w:hanging="474" w:firstLineChars="0"/>
        <w:jc w:val="left"/>
        <w:rPr>
          <w:rFonts w:ascii="Times New Roman" w:eastAsia="Times New Roman"/>
          <w:sz w:val="21"/>
        </w:rPr>
      </w:pPr>
      <w:r>
        <w:rPr>
          <w:spacing w:val="-3"/>
          <w:sz w:val="21"/>
        </w:rPr>
        <w:t>本项目的招投标工作在</w:t>
      </w:r>
      <w:r>
        <w:rPr>
          <w:rFonts w:hint="eastAsia"/>
          <w:spacing w:val="-3"/>
          <w:sz w:val="21"/>
          <w:lang w:eastAsia="zh-CN"/>
        </w:rPr>
        <w:t>财政主管部门</w:t>
      </w:r>
      <w:r>
        <w:rPr>
          <w:spacing w:val="-3"/>
          <w:sz w:val="21"/>
        </w:rPr>
        <w:t>的监督下进行，并接受社会监督。</w:t>
      </w:r>
    </w:p>
    <w:p>
      <w:pPr>
        <w:pStyle w:val="21"/>
        <w:numPr>
          <w:ilvl w:val="2"/>
          <w:numId w:val="2"/>
        </w:numPr>
        <w:tabs>
          <w:tab w:val="left" w:pos="1286"/>
        </w:tabs>
        <w:spacing w:before="189" w:after="0" w:line="410" w:lineRule="auto"/>
        <w:ind w:left="461" w:leftChars="0" w:right="549" w:firstLine="419" w:firstLineChars="0"/>
        <w:jc w:val="both"/>
        <w:rPr>
          <w:rFonts w:ascii="Times New Roman" w:eastAsia="Times New Roman"/>
          <w:sz w:val="21"/>
        </w:rPr>
      </w:pPr>
      <w:r>
        <w:rPr>
          <w:spacing w:val="-6"/>
          <w:sz w:val="21"/>
        </w:rPr>
        <w:t>投标人和其他利害关系人如认为本次招标投标活动不符合法律、法规和规章规定的，依法先向招</w:t>
      </w:r>
      <w:r>
        <w:rPr>
          <w:spacing w:val="-7"/>
          <w:sz w:val="21"/>
        </w:rPr>
        <w:t>标人提出质疑，对质疑回复不满意的，向</w:t>
      </w:r>
      <w:r>
        <w:rPr>
          <w:rFonts w:hint="eastAsia"/>
          <w:spacing w:val="-7"/>
          <w:sz w:val="21"/>
          <w:lang w:eastAsia="zh-CN"/>
        </w:rPr>
        <w:t>大丰区财政局</w:t>
      </w:r>
      <w:r>
        <w:rPr>
          <w:spacing w:val="-7"/>
          <w:sz w:val="21"/>
        </w:rPr>
        <w:t>投诉。任何以口头形式提出的询问、质</w:t>
      </w:r>
      <w:r>
        <w:rPr>
          <w:spacing w:val="-5"/>
          <w:sz w:val="21"/>
        </w:rPr>
        <w:t>疑、投诉等，都不予答复。</w:t>
      </w:r>
    </w:p>
    <w:p>
      <w:pPr>
        <w:pStyle w:val="2"/>
        <w:spacing w:line="410" w:lineRule="auto"/>
        <w:ind w:left="392" w:right="552" w:firstLine="419"/>
      </w:pPr>
      <w:r>
        <w:rPr>
          <w:spacing w:val="-6"/>
        </w:rPr>
        <w:t>质疑：投标人对招标活动提出疑义，在开标前若质疑招标文件的相关条款，不得超出质疑期，若超出</w:t>
      </w:r>
      <w:r>
        <w:rPr>
          <w:spacing w:val="-4"/>
        </w:rPr>
        <w:t>质疑期对招标文件提出疑义，招标采购单位将不予受理；</w:t>
      </w:r>
    </w:p>
    <w:p>
      <w:pPr>
        <w:pStyle w:val="14"/>
        <w:ind w:firstLine="840" w:firstLineChars="400"/>
      </w:pPr>
      <w:r>
        <w:t>在评标结束（中标结果公示后）质疑范围为除招标文件以外的招标活动，若在中标结果公示后，对招</w:t>
      </w:r>
    </w:p>
    <w:p>
      <w:pPr>
        <w:pStyle w:val="2"/>
        <w:spacing w:before="59"/>
        <w:ind w:left="392"/>
      </w:pPr>
      <w:r>
        <w:t>标文件提出质疑，招标采购单位将不予受理；</w:t>
      </w:r>
    </w:p>
    <w:p>
      <w:pPr>
        <w:pStyle w:val="2"/>
        <w:spacing w:before="12"/>
        <w:rPr>
          <w:sz w:val="14"/>
        </w:rPr>
      </w:pPr>
    </w:p>
    <w:p>
      <w:pPr>
        <w:pStyle w:val="2"/>
        <w:ind w:left="812"/>
      </w:pPr>
      <w:r>
        <w:t>投诉方面：具体投诉期限及处理办法，请登录大丰公共资源交易平台查阅。</w:t>
      </w:r>
    </w:p>
    <w:p>
      <w:pPr>
        <w:pStyle w:val="2"/>
        <w:spacing w:before="10"/>
        <w:rPr>
          <w:sz w:val="14"/>
        </w:rPr>
      </w:pPr>
    </w:p>
    <w:p>
      <w:pPr>
        <w:pStyle w:val="2"/>
        <w:spacing w:line="410" w:lineRule="auto"/>
        <w:ind w:left="392" w:right="513" w:firstLine="419"/>
      </w:pPr>
      <w:r>
        <w:t>政府采购类项目投诉须先向采购单位（业主）提供质疑，若对采购单位（业主）的答复不满意，再进入投诉程序。</w:t>
      </w:r>
    </w:p>
    <w:p>
      <w:pPr>
        <w:pStyle w:val="2"/>
        <w:spacing w:line="410" w:lineRule="auto"/>
        <w:ind w:left="392" w:right="513" w:firstLine="419"/>
        <w:rPr>
          <w:rFonts w:hint="eastAsia" w:eastAsia="宋体"/>
          <w:b/>
          <w:bCs/>
          <w:lang w:eastAsia="zh-CN"/>
        </w:rPr>
      </w:pPr>
      <w:r>
        <w:rPr>
          <w:rFonts w:hint="eastAsia"/>
          <w:b/>
          <w:bCs/>
        </w:rPr>
        <w:t>质疑供应商应在法定质疑期内</w:t>
      </w:r>
      <w:r>
        <w:rPr>
          <w:rFonts w:hint="eastAsia"/>
          <w:b/>
          <w:bCs/>
          <w:lang w:eastAsia="zh-CN"/>
        </w:rPr>
        <w:t>以书面形式向采购人、采购代理机构</w:t>
      </w:r>
      <w:r>
        <w:rPr>
          <w:rFonts w:hint="eastAsia"/>
          <w:b/>
          <w:bCs/>
        </w:rPr>
        <w:t>一次性提出</w:t>
      </w:r>
      <w:r>
        <w:rPr>
          <w:rFonts w:hint="eastAsia"/>
          <w:b/>
          <w:bCs/>
          <w:lang w:eastAsia="zh-CN"/>
        </w:rPr>
        <w:t>针</w:t>
      </w:r>
      <w:r>
        <w:rPr>
          <w:rFonts w:hint="eastAsia"/>
          <w:b/>
          <w:bCs/>
        </w:rPr>
        <w:t>对同一采购程序环节的质疑</w:t>
      </w:r>
      <w:r>
        <w:rPr>
          <w:rFonts w:hint="eastAsia"/>
          <w:b/>
          <w:bCs/>
          <w:lang w:eastAsia="zh-CN"/>
        </w:rPr>
        <w:t>。</w:t>
      </w:r>
    </w:p>
    <w:p>
      <w:pPr>
        <w:pStyle w:val="6"/>
        <w:numPr>
          <w:ilvl w:val="1"/>
          <w:numId w:val="2"/>
        </w:numPr>
        <w:tabs>
          <w:tab w:val="left" w:pos="1130"/>
        </w:tabs>
        <w:spacing w:before="2" w:after="0" w:line="240" w:lineRule="auto"/>
        <w:ind w:left="1129" w:right="0" w:hanging="315"/>
        <w:jc w:val="left"/>
        <w:rPr>
          <w:rFonts w:ascii="Times New Roman" w:eastAsia="Times New Roman"/>
        </w:rPr>
      </w:pPr>
      <w:r>
        <w:rPr>
          <w:spacing w:val="-1"/>
        </w:rPr>
        <w:t>差别待遇或者歧视待遇现象</w:t>
      </w:r>
    </w:p>
    <w:p>
      <w:pPr>
        <w:pStyle w:val="2"/>
        <w:spacing w:before="189" w:line="410" w:lineRule="auto"/>
        <w:ind w:left="392" w:right="524" w:firstLine="419"/>
      </w:pPr>
      <w:r>
        <w:t>采购人或者采购代理机构有下列情形之一的，属于以不合理的条件对供应商实行差别待遇或者歧视待遇：</w:t>
      </w:r>
    </w:p>
    <w:p>
      <w:pPr>
        <w:pStyle w:val="2"/>
        <w:spacing w:before="1"/>
        <w:ind w:left="812"/>
      </w:pPr>
      <w:r>
        <w:t>（一）就同一采购项目向供应商提供有差别的项目信息；</w:t>
      </w:r>
    </w:p>
    <w:p>
      <w:pPr>
        <w:pStyle w:val="2"/>
        <w:spacing w:before="10"/>
        <w:rPr>
          <w:sz w:val="14"/>
        </w:rPr>
      </w:pPr>
    </w:p>
    <w:p>
      <w:pPr>
        <w:pStyle w:val="2"/>
        <w:spacing w:before="1"/>
        <w:ind w:left="812"/>
      </w:pPr>
      <w:r>
        <w:t>（二）设定的资格、技术、商务条件与采购项目的具体特点和实际需要不相适应或者与合同履行无关；</w:t>
      </w:r>
    </w:p>
    <w:p>
      <w:pPr>
        <w:pStyle w:val="2"/>
        <w:spacing w:before="12"/>
        <w:rPr>
          <w:sz w:val="14"/>
        </w:rPr>
      </w:pPr>
    </w:p>
    <w:p>
      <w:pPr>
        <w:pStyle w:val="2"/>
        <w:ind w:left="812"/>
      </w:pPr>
      <w:r>
        <w:t>（三）采购需求中的技术、服务等要求指向特定供应商、特定产品；</w:t>
      </w:r>
    </w:p>
    <w:p>
      <w:pPr>
        <w:pStyle w:val="2"/>
        <w:spacing w:before="12"/>
        <w:rPr>
          <w:sz w:val="14"/>
        </w:rPr>
      </w:pPr>
    </w:p>
    <w:p>
      <w:pPr>
        <w:pStyle w:val="2"/>
        <w:ind w:left="812"/>
      </w:pPr>
      <w:r>
        <w:t>（四）以特定行政区域或者特定行业的业绩、奖项作为加分条件或者中标、成交条件；</w:t>
      </w:r>
    </w:p>
    <w:p>
      <w:pPr>
        <w:pStyle w:val="2"/>
        <w:spacing w:before="10"/>
        <w:rPr>
          <w:sz w:val="14"/>
        </w:rPr>
      </w:pPr>
    </w:p>
    <w:p>
      <w:pPr>
        <w:pStyle w:val="2"/>
        <w:ind w:left="812"/>
      </w:pPr>
      <w:r>
        <w:t>（五）对供应商采取不同的资格审查或者评审标准；</w:t>
      </w:r>
    </w:p>
    <w:p>
      <w:pPr>
        <w:pStyle w:val="2"/>
        <w:rPr>
          <w:sz w:val="15"/>
        </w:rPr>
      </w:pPr>
    </w:p>
    <w:p>
      <w:pPr>
        <w:pStyle w:val="2"/>
        <w:ind w:left="812"/>
      </w:pPr>
      <w:r>
        <w:t>（六）限定或者指定特定的专利、商标、品牌或者供应商；</w:t>
      </w:r>
    </w:p>
    <w:p>
      <w:pPr>
        <w:pStyle w:val="2"/>
        <w:spacing w:before="12"/>
        <w:rPr>
          <w:sz w:val="14"/>
        </w:rPr>
      </w:pPr>
    </w:p>
    <w:p>
      <w:pPr>
        <w:pStyle w:val="2"/>
        <w:ind w:left="812"/>
      </w:pPr>
      <w:r>
        <w:t>（七）非法限定供应商的所有制形式、组织形式或者所在地；</w:t>
      </w:r>
    </w:p>
    <w:p>
      <w:pPr>
        <w:pStyle w:val="2"/>
        <w:spacing w:before="10"/>
        <w:rPr>
          <w:sz w:val="14"/>
        </w:rPr>
      </w:pPr>
    </w:p>
    <w:p>
      <w:pPr>
        <w:pStyle w:val="2"/>
        <w:spacing w:line="410" w:lineRule="auto"/>
        <w:ind w:left="812" w:right="4725"/>
      </w:pPr>
      <w:r>
        <w:t>（八</w:t>
      </w:r>
      <w:r>
        <w:rPr>
          <w:spacing w:val="-3"/>
        </w:rPr>
        <w:t xml:space="preserve">）以其他不合理条件限制或者排斥潜在供应商。 </w:t>
      </w:r>
      <w:r>
        <w:rPr>
          <w:spacing w:val="-4"/>
        </w:rPr>
        <w:t>若有以上现象，评委将根据本招标文件相关条款执行。</w:t>
      </w:r>
    </w:p>
    <w:p>
      <w:pPr>
        <w:pStyle w:val="6"/>
        <w:numPr>
          <w:ilvl w:val="0"/>
          <w:numId w:val="2"/>
        </w:numPr>
        <w:tabs>
          <w:tab w:val="left" w:pos="1212"/>
        </w:tabs>
        <w:spacing w:before="2" w:after="0" w:line="240" w:lineRule="auto"/>
        <w:ind w:left="1211" w:right="0" w:hanging="397"/>
        <w:jc w:val="left"/>
        <w:rPr>
          <w:rFonts w:ascii="Arial" w:eastAsia="Arial"/>
        </w:rPr>
      </w:pPr>
      <w:r>
        <w:rPr>
          <w:spacing w:val="-1"/>
        </w:rPr>
        <w:t>招标人需要补充的其他内容</w:t>
      </w:r>
    </w:p>
    <w:p>
      <w:pPr>
        <w:pStyle w:val="21"/>
        <w:numPr>
          <w:ilvl w:val="1"/>
          <w:numId w:val="2"/>
        </w:numPr>
        <w:tabs>
          <w:tab w:val="left" w:pos="1236"/>
        </w:tabs>
        <w:spacing w:before="189" w:after="0" w:line="240" w:lineRule="auto"/>
        <w:ind w:left="1235" w:right="0" w:hanging="424"/>
        <w:jc w:val="left"/>
        <w:rPr>
          <w:rFonts w:ascii="Times New Roman" w:eastAsia="Times New Roman"/>
          <w:sz w:val="21"/>
        </w:rPr>
      </w:pPr>
      <w:r>
        <w:rPr>
          <w:spacing w:val="-3"/>
          <w:sz w:val="21"/>
        </w:rPr>
        <w:t>重新招标与不再招标</w:t>
      </w:r>
    </w:p>
    <w:p>
      <w:pPr>
        <w:pStyle w:val="2"/>
        <w:spacing w:before="192"/>
        <w:ind w:left="812"/>
      </w:pPr>
      <w:r>
        <w:rPr>
          <w:rFonts w:ascii="Times New Roman" w:eastAsia="Times New Roman"/>
        </w:rPr>
        <w:t>A</w:t>
      </w:r>
      <w:r>
        <w:t>、重新招标</w:t>
      </w:r>
    </w:p>
    <w:p>
      <w:pPr>
        <w:pStyle w:val="2"/>
        <w:spacing w:before="191"/>
        <w:ind w:left="812"/>
      </w:pPr>
      <w:r>
        <w:t>有下列情形之一的，招标人应当采取改进措施后重新招标：</w:t>
      </w:r>
    </w:p>
    <w:p>
      <w:pPr>
        <w:pStyle w:val="2"/>
        <w:spacing w:before="10"/>
        <w:rPr>
          <w:sz w:val="14"/>
        </w:rPr>
      </w:pPr>
    </w:p>
    <w:p>
      <w:pPr>
        <w:pStyle w:val="21"/>
        <w:numPr>
          <w:ilvl w:val="0"/>
          <w:numId w:val="11"/>
        </w:numPr>
        <w:tabs>
          <w:tab w:val="left" w:pos="1342"/>
        </w:tabs>
        <w:spacing w:before="0" w:after="0" w:line="240" w:lineRule="auto"/>
        <w:ind w:left="1341" w:right="0" w:hanging="530"/>
        <w:jc w:val="left"/>
        <w:rPr>
          <w:sz w:val="21"/>
        </w:rPr>
      </w:pPr>
      <w:r>
        <w:rPr>
          <w:spacing w:val="-7"/>
          <w:sz w:val="21"/>
        </w:rPr>
        <w:t xml:space="preserve">获取招标文件的潜在投标人少于 </w:t>
      </w:r>
      <w:r>
        <w:rPr>
          <w:rFonts w:ascii="Times New Roman" w:eastAsia="Times New Roman"/>
          <w:sz w:val="21"/>
        </w:rPr>
        <w:t xml:space="preserve">3 </w:t>
      </w:r>
      <w:r>
        <w:rPr>
          <w:spacing w:val="-2"/>
          <w:sz w:val="21"/>
        </w:rPr>
        <w:t>个的；</w:t>
      </w:r>
    </w:p>
    <w:p>
      <w:pPr>
        <w:pStyle w:val="21"/>
        <w:numPr>
          <w:ilvl w:val="0"/>
          <w:numId w:val="11"/>
        </w:numPr>
        <w:tabs>
          <w:tab w:val="left" w:pos="1342"/>
        </w:tabs>
        <w:spacing w:before="192" w:after="0" w:line="410" w:lineRule="auto"/>
        <w:ind w:left="812" w:right="5253" w:firstLine="0"/>
        <w:jc w:val="left"/>
        <w:rPr>
          <w:sz w:val="21"/>
        </w:rPr>
      </w:pPr>
      <w:r>
        <w:rPr>
          <w:spacing w:val="-6"/>
          <w:sz w:val="21"/>
        </w:rPr>
        <w:t xml:space="preserve">通过符合性评审的投标申请人少于 </w:t>
      </w:r>
      <w:r>
        <w:rPr>
          <w:rFonts w:ascii="Times New Roman" w:eastAsia="Times New Roman"/>
          <w:sz w:val="21"/>
        </w:rPr>
        <w:t>3</w:t>
      </w:r>
      <w:r>
        <w:rPr>
          <w:rFonts w:ascii="Times New Roman" w:eastAsia="Times New Roman"/>
          <w:spacing w:val="6"/>
          <w:sz w:val="21"/>
        </w:rPr>
        <w:t xml:space="preserve"> </w:t>
      </w:r>
      <w:r>
        <w:rPr>
          <w:spacing w:val="-2"/>
          <w:sz w:val="21"/>
        </w:rPr>
        <w:t>个的。</w:t>
      </w:r>
      <w:r>
        <w:rPr>
          <w:rFonts w:ascii="Times New Roman" w:eastAsia="Times New Roman"/>
          <w:spacing w:val="-2"/>
          <w:sz w:val="21"/>
        </w:rPr>
        <w:t>B</w:t>
      </w:r>
      <w:r>
        <w:rPr>
          <w:spacing w:val="-3"/>
          <w:sz w:val="21"/>
        </w:rPr>
        <w:t>、不再招标</w:t>
      </w:r>
    </w:p>
    <w:p>
      <w:pPr>
        <w:pStyle w:val="2"/>
        <w:spacing w:line="410" w:lineRule="auto"/>
        <w:ind w:left="392" w:right="547" w:firstLine="419"/>
      </w:pPr>
      <w:r>
        <w:rPr>
          <w:spacing w:val="-9"/>
        </w:rPr>
        <w:t xml:space="preserve">重新招标后，仍存在上述 </w:t>
      </w:r>
      <w:r>
        <w:rPr>
          <w:rFonts w:ascii="Times New Roman" w:hAnsi="Times New Roman" w:eastAsia="Times New Roman"/>
        </w:rPr>
        <w:t xml:space="preserve">A </w:t>
      </w:r>
      <w:r>
        <w:rPr>
          <w:spacing w:val="-8"/>
        </w:rPr>
        <w:t>条情形的，属于经相关部门核准后可不再进行招标，招标人可以采取竞争</w:t>
      </w:r>
      <w:r>
        <w:rPr>
          <w:spacing w:val="-5"/>
        </w:rPr>
        <w:t>性谈判方式”、“单一来源采购方式”等条款评审、确定潜在的中标人。</w:t>
      </w:r>
    </w:p>
    <w:p>
      <w:pPr>
        <w:pStyle w:val="3"/>
        <w:spacing w:before="22"/>
        <w:ind w:left="409"/>
        <w:outlineLvl w:val="0"/>
      </w:pPr>
      <w:bookmarkStart w:id="14" w:name="_Toc32128"/>
    </w:p>
    <w:p>
      <w:pPr>
        <w:pStyle w:val="3"/>
        <w:spacing w:before="22"/>
        <w:ind w:left="409"/>
        <w:outlineLvl w:val="0"/>
      </w:pPr>
    </w:p>
    <w:p>
      <w:pPr>
        <w:pStyle w:val="3"/>
        <w:spacing w:before="22"/>
        <w:ind w:left="409"/>
        <w:outlineLvl w:val="0"/>
      </w:pPr>
    </w:p>
    <w:p>
      <w:pPr>
        <w:pStyle w:val="3"/>
        <w:spacing w:before="22"/>
        <w:ind w:left="409"/>
        <w:outlineLvl w:val="0"/>
      </w:pPr>
    </w:p>
    <w:p>
      <w:pPr>
        <w:pStyle w:val="3"/>
        <w:spacing w:before="22"/>
        <w:ind w:left="409"/>
        <w:outlineLvl w:val="0"/>
      </w:pPr>
      <w:r>
        <w:t>第三章 评标办法（综合评分法）</w:t>
      </w:r>
      <w:bookmarkEnd w:id="14"/>
    </w:p>
    <w:p>
      <w:pPr>
        <w:pStyle w:val="2"/>
        <w:rPr>
          <w:b/>
          <w:sz w:val="20"/>
        </w:rPr>
      </w:pPr>
    </w:p>
    <w:p>
      <w:pPr>
        <w:pStyle w:val="2"/>
        <w:spacing w:before="11"/>
        <w:rPr>
          <w:b/>
          <w:sz w:val="19"/>
        </w:rPr>
      </w:pPr>
    </w:p>
    <w:p>
      <w:pPr>
        <w:pStyle w:val="6"/>
        <w:spacing w:before="72"/>
        <w:jc w:val="both"/>
      </w:pPr>
      <w:r>
        <w:t>1 评标方法</w:t>
      </w:r>
    </w:p>
    <w:p>
      <w:pPr>
        <w:pStyle w:val="2"/>
        <w:spacing w:before="6"/>
        <w:rPr>
          <w:b/>
          <w:sz w:val="16"/>
        </w:rPr>
      </w:pPr>
    </w:p>
    <w:p>
      <w:pPr>
        <w:pStyle w:val="2"/>
        <w:spacing w:line="427" w:lineRule="auto"/>
        <w:ind w:left="224" w:right="1193" w:firstLine="482"/>
        <w:jc w:val="both"/>
      </w:pPr>
      <w:r>
        <w:t xml:space="preserve">本次评标采用综合评分法。评标委员会对满足招标文件实质性要求的投标文件，按照本招标文件  </w:t>
      </w:r>
      <w:r>
        <w:rPr>
          <w:w w:val="95"/>
        </w:rPr>
        <w:t xml:space="preserve"> </w:t>
      </w:r>
      <w:r>
        <w:t>规定的评分标准进行打分，并按得分由高到低顺序推荐中标候选人，或根据招标人授权直接确定中标人。综合评分相等时，以投标报价低的优先；投标报价也相等的，由招标人抽签确定。最低报价及任何单项因素的最优均不是中标的必要条件。</w:t>
      </w:r>
    </w:p>
    <w:p>
      <w:pPr>
        <w:pStyle w:val="2"/>
        <w:spacing w:line="410" w:lineRule="auto"/>
        <w:ind w:left="224" w:right="1104" w:firstLine="420"/>
      </w:pPr>
      <w:r>
        <w:t>为进一步贯彻落实《省财政厅关于新 冠肺炎疫情防控期间加大政府采购支持中小微企业力度的通知》（苏财购【2020】19 号）、（盐财购【2020】7 号）文件精神，结合《关于印发中小企业划型标准规定的通知》（工信部联企业【2011】300 号）要求，本项目现对小型和微型企业服务的价格给予10%的扣除，用扣除后的价格参与评审。参加政府采购活动的中小企业如实提供下列的《中小企业声明   函》。</w:t>
      </w:r>
    </w:p>
    <w:p>
      <w:pPr>
        <w:pStyle w:val="6"/>
        <w:spacing w:before="4"/>
        <w:ind w:left="592"/>
        <w:jc w:val="both"/>
      </w:pPr>
      <w:r>
        <w:t>2． 评审标准</w:t>
      </w:r>
    </w:p>
    <w:p>
      <w:pPr>
        <w:pStyle w:val="2"/>
        <w:spacing w:before="6"/>
        <w:rPr>
          <w:b/>
          <w:sz w:val="16"/>
        </w:rPr>
      </w:pPr>
    </w:p>
    <w:p>
      <w:pPr>
        <w:pStyle w:val="21"/>
        <w:numPr>
          <w:ilvl w:val="1"/>
          <w:numId w:val="12"/>
        </w:numPr>
        <w:tabs>
          <w:tab w:val="left" w:pos="919"/>
        </w:tabs>
        <w:spacing w:before="0" w:after="0" w:line="240" w:lineRule="auto"/>
        <w:ind w:left="918" w:right="0" w:hanging="424"/>
        <w:jc w:val="both"/>
        <w:rPr>
          <w:rFonts w:hint="eastAsia" w:ascii="黑体" w:eastAsia="黑体"/>
          <w:sz w:val="21"/>
        </w:rPr>
      </w:pPr>
      <w:r>
        <w:rPr>
          <w:rFonts w:hint="eastAsia" w:ascii="黑体" w:eastAsia="黑体"/>
          <w:spacing w:val="-3"/>
          <w:sz w:val="21"/>
        </w:rPr>
        <w:t>初步评审标准</w:t>
      </w:r>
    </w:p>
    <w:p>
      <w:pPr>
        <w:pStyle w:val="2"/>
        <w:spacing w:before="6"/>
        <w:rPr>
          <w:rFonts w:ascii="黑体"/>
          <w:sz w:val="16"/>
        </w:rPr>
      </w:pPr>
    </w:p>
    <w:p>
      <w:pPr>
        <w:pStyle w:val="21"/>
        <w:numPr>
          <w:ilvl w:val="2"/>
          <w:numId w:val="12"/>
        </w:numPr>
        <w:tabs>
          <w:tab w:val="left" w:pos="1445"/>
        </w:tabs>
        <w:spacing w:before="0" w:after="0" w:line="240" w:lineRule="auto"/>
        <w:ind w:left="1444" w:right="0" w:hanging="633"/>
        <w:jc w:val="left"/>
        <w:rPr>
          <w:sz w:val="21"/>
        </w:rPr>
      </w:pPr>
      <w:r>
        <w:rPr>
          <w:spacing w:val="-3"/>
          <w:sz w:val="21"/>
        </w:rPr>
        <w:t>资质性评审标准：</w:t>
      </w:r>
    </w:p>
    <w:p>
      <w:pPr>
        <w:pStyle w:val="2"/>
        <w:spacing w:before="6"/>
        <w:rPr>
          <w:sz w:val="16"/>
        </w:rPr>
      </w:pPr>
    </w:p>
    <w:p>
      <w:pPr>
        <w:pStyle w:val="6"/>
        <w:spacing w:line="427" w:lineRule="auto"/>
        <w:ind w:left="392" w:right="552" w:firstLine="422"/>
      </w:pPr>
      <w:r>
        <w:rPr>
          <w:spacing w:val="-6"/>
        </w:rPr>
        <w:t>在投标时应按招标文件要求将复印件单独装入密封袋内随投标文件一起递交，资料不全的资格审查不</w:t>
      </w:r>
      <w:r>
        <w:t>予通过。</w:t>
      </w:r>
    </w:p>
    <w:p>
      <w:pPr>
        <w:pStyle w:val="21"/>
        <w:numPr>
          <w:ilvl w:val="2"/>
          <w:numId w:val="12"/>
        </w:numPr>
        <w:tabs>
          <w:tab w:val="left" w:pos="1445"/>
        </w:tabs>
        <w:spacing w:before="2" w:after="0" w:line="427" w:lineRule="auto"/>
        <w:ind w:left="392" w:right="547" w:firstLine="419"/>
        <w:jc w:val="left"/>
        <w:rPr>
          <w:sz w:val="21"/>
        </w:rPr>
      </w:pPr>
      <w:r>
        <w:rPr>
          <w:spacing w:val="-6"/>
          <w:sz w:val="21"/>
        </w:rPr>
        <w:t>符合性评审标准：依据招标文件的规定，从投标文件的有效性、完整性和对招标文件的响应程</w:t>
      </w:r>
      <w:r>
        <w:rPr>
          <w:spacing w:val="-4"/>
          <w:sz w:val="21"/>
        </w:rPr>
        <w:t>度进行审查，以确定是否对招标文件的实质性要求作出响应。</w:t>
      </w:r>
    </w:p>
    <w:p>
      <w:pPr>
        <w:pStyle w:val="2"/>
        <w:spacing w:before="3" w:line="427" w:lineRule="auto"/>
        <w:ind w:left="392" w:right="549" w:firstLine="419"/>
      </w:pPr>
      <w:r>
        <w:rPr>
          <w:spacing w:val="-6"/>
        </w:rPr>
        <w:t>审查标准主要有投标文件签字盖章、投标文件的组成、投标文件及报价唯一、供货期、投标保证金等方面。</w:t>
      </w:r>
    </w:p>
    <w:p>
      <w:pPr>
        <w:pStyle w:val="21"/>
        <w:numPr>
          <w:ilvl w:val="1"/>
          <w:numId w:val="12"/>
        </w:numPr>
        <w:tabs>
          <w:tab w:val="left" w:pos="919"/>
        </w:tabs>
        <w:spacing w:before="2" w:after="0" w:line="240" w:lineRule="auto"/>
        <w:ind w:left="918" w:right="0" w:hanging="424"/>
        <w:jc w:val="left"/>
        <w:rPr>
          <w:sz w:val="21"/>
        </w:rPr>
      </w:pPr>
      <w:r>
        <w:rPr>
          <w:spacing w:val="-3"/>
          <w:sz w:val="21"/>
        </w:rPr>
        <w:t>分值构成与评分标准</w:t>
      </w:r>
    </w:p>
    <w:tbl>
      <w:tblPr>
        <w:tblStyle w:val="1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93"/>
        <w:gridCol w:w="692"/>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autoSpaceDE w:val="0"/>
              <w:autoSpaceDN w:val="0"/>
              <w:adjustRightInd w:val="0"/>
              <w:spacing w:line="240" w:lineRule="auto"/>
              <w:ind w:firstLine="0" w:firstLineChars="0"/>
              <w:rPr>
                <w:rFonts w:hint="eastAsia" w:ascii="宋体" w:hAnsi="宋体" w:cs="仿宋"/>
                <w:kern w:val="0"/>
                <w:sz w:val="18"/>
                <w:szCs w:val="18"/>
              </w:rPr>
            </w:pPr>
            <w:r>
              <w:rPr>
                <w:rFonts w:hint="eastAsia" w:ascii="宋体" w:hAnsi="宋体" w:cs="仿宋"/>
                <w:kern w:val="0"/>
                <w:sz w:val="18"/>
                <w:szCs w:val="18"/>
              </w:rPr>
              <w:t>序号</w:t>
            </w:r>
          </w:p>
        </w:tc>
        <w:tc>
          <w:tcPr>
            <w:tcW w:w="1693" w:type="dxa"/>
            <w:noWrap w:val="0"/>
            <w:vAlign w:val="center"/>
          </w:tcPr>
          <w:p>
            <w:pPr>
              <w:autoSpaceDE w:val="0"/>
              <w:autoSpaceDN w:val="0"/>
              <w:adjustRightInd w:val="0"/>
              <w:spacing w:line="240" w:lineRule="auto"/>
              <w:ind w:firstLine="0" w:firstLineChars="0"/>
              <w:rPr>
                <w:rFonts w:hint="eastAsia" w:ascii="宋体" w:hAnsi="宋体" w:cs="仿宋"/>
                <w:kern w:val="0"/>
                <w:sz w:val="18"/>
                <w:szCs w:val="18"/>
              </w:rPr>
            </w:pPr>
            <w:r>
              <w:rPr>
                <w:rFonts w:hint="eastAsia" w:ascii="宋体" w:hAnsi="宋体" w:cs="仿宋"/>
                <w:kern w:val="0"/>
                <w:sz w:val="18"/>
                <w:szCs w:val="18"/>
              </w:rPr>
              <w:t>评审项目</w:t>
            </w:r>
          </w:p>
        </w:tc>
        <w:tc>
          <w:tcPr>
            <w:tcW w:w="692" w:type="dxa"/>
            <w:noWrap w:val="0"/>
            <w:vAlign w:val="center"/>
          </w:tcPr>
          <w:p>
            <w:pPr>
              <w:autoSpaceDE w:val="0"/>
              <w:autoSpaceDN w:val="0"/>
              <w:adjustRightInd w:val="0"/>
              <w:spacing w:line="240" w:lineRule="auto"/>
              <w:ind w:firstLine="0" w:firstLineChars="0"/>
              <w:rPr>
                <w:rFonts w:hint="eastAsia" w:ascii="宋体" w:hAnsi="宋体" w:cs="仿宋"/>
                <w:kern w:val="0"/>
                <w:sz w:val="18"/>
                <w:szCs w:val="18"/>
              </w:rPr>
            </w:pPr>
            <w:r>
              <w:rPr>
                <w:rFonts w:hint="eastAsia" w:ascii="宋体" w:hAnsi="宋体" w:cs="仿宋"/>
                <w:kern w:val="0"/>
                <w:sz w:val="18"/>
                <w:szCs w:val="18"/>
              </w:rPr>
              <w:t>标准分</w:t>
            </w:r>
          </w:p>
        </w:tc>
        <w:tc>
          <w:tcPr>
            <w:tcW w:w="5958" w:type="dxa"/>
            <w:noWrap w:val="0"/>
            <w:vAlign w:val="center"/>
          </w:tcPr>
          <w:p>
            <w:pPr>
              <w:autoSpaceDE w:val="0"/>
              <w:autoSpaceDN w:val="0"/>
              <w:adjustRightInd w:val="0"/>
              <w:spacing w:line="240" w:lineRule="auto"/>
              <w:ind w:firstLine="0" w:firstLineChars="0"/>
              <w:rPr>
                <w:rFonts w:hint="eastAsia" w:ascii="宋体" w:hAnsi="宋体" w:cs="仿宋"/>
                <w:kern w:val="0"/>
                <w:sz w:val="18"/>
                <w:szCs w:val="18"/>
              </w:rPr>
            </w:pPr>
            <w:r>
              <w:rPr>
                <w:rFonts w:hint="eastAsia" w:ascii="宋体" w:hAnsi="宋体" w:cs="仿宋"/>
                <w:kern w:val="0"/>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gridSpan w:val="4"/>
            <w:noWrap w:val="0"/>
            <w:vAlign w:val="center"/>
          </w:tcPr>
          <w:p>
            <w:pPr>
              <w:autoSpaceDE w:val="0"/>
              <w:autoSpaceDN w:val="0"/>
              <w:adjustRightInd w:val="0"/>
              <w:spacing w:line="240" w:lineRule="auto"/>
              <w:ind w:firstLine="0" w:firstLineChars="0"/>
              <w:rPr>
                <w:rFonts w:hint="default" w:ascii="宋体" w:hAnsi="宋体" w:eastAsia="宋体" w:cs="仿宋"/>
                <w:kern w:val="0"/>
                <w:sz w:val="18"/>
                <w:szCs w:val="18"/>
                <w:lang w:val="en-US" w:eastAsia="zh-CN"/>
              </w:rPr>
            </w:pPr>
            <w:r>
              <w:rPr>
                <w:rFonts w:hint="eastAsia" w:ascii="宋体" w:hAnsi="宋体" w:cs="仿宋"/>
                <w:b/>
                <w:bCs/>
                <w:kern w:val="0"/>
                <w:sz w:val="18"/>
                <w:szCs w:val="18"/>
                <w:lang w:eastAsia="zh-CN"/>
              </w:rPr>
              <w:t>价格分</w:t>
            </w:r>
            <w:r>
              <w:rPr>
                <w:rFonts w:hint="eastAsia" w:ascii="宋体" w:hAnsi="宋体" w:cs="仿宋"/>
                <w:b/>
                <w:bCs/>
                <w:kern w:val="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autoSpaceDE w:val="0"/>
              <w:autoSpaceDN w:val="0"/>
              <w:adjustRightInd w:val="0"/>
              <w:spacing w:line="240" w:lineRule="auto"/>
              <w:ind w:firstLine="0" w:firstLineChars="0"/>
              <w:jc w:val="center"/>
              <w:rPr>
                <w:rFonts w:hint="eastAsia" w:ascii="宋体" w:hAnsi="宋体" w:cs="仿宋"/>
                <w:kern w:val="0"/>
                <w:sz w:val="18"/>
                <w:szCs w:val="18"/>
              </w:rPr>
            </w:pPr>
            <w:r>
              <w:rPr>
                <w:rFonts w:ascii="宋体" w:hAnsi="宋体" w:cs="仿宋"/>
                <w:kern w:val="0"/>
                <w:sz w:val="18"/>
                <w:szCs w:val="18"/>
              </w:rPr>
              <w:t>1</w:t>
            </w:r>
          </w:p>
        </w:tc>
        <w:tc>
          <w:tcPr>
            <w:tcW w:w="1693" w:type="dxa"/>
            <w:noWrap w:val="0"/>
            <w:vAlign w:val="center"/>
          </w:tcPr>
          <w:p>
            <w:pPr>
              <w:autoSpaceDE w:val="0"/>
              <w:autoSpaceDN w:val="0"/>
              <w:adjustRightInd w:val="0"/>
              <w:spacing w:line="240" w:lineRule="auto"/>
              <w:ind w:firstLine="0" w:firstLineChars="0"/>
              <w:rPr>
                <w:rFonts w:hint="eastAsia" w:ascii="宋体" w:hAnsi="宋体" w:cs="仿宋"/>
                <w:kern w:val="0"/>
                <w:sz w:val="18"/>
                <w:szCs w:val="18"/>
              </w:rPr>
            </w:pPr>
            <w:r>
              <w:rPr>
                <w:rFonts w:hint="eastAsia" w:ascii="宋体" w:hAnsi="宋体" w:cs="仿宋"/>
                <w:kern w:val="0"/>
                <w:sz w:val="18"/>
                <w:szCs w:val="18"/>
              </w:rPr>
              <w:t>投标报价</w:t>
            </w:r>
          </w:p>
        </w:tc>
        <w:tc>
          <w:tcPr>
            <w:tcW w:w="692" w:type="dxa"/>
            <w:noWrap w:val="0"/>
            <w:vAlign w:val="center"/>
          </w:tcPr>
          <w:p>
            <w:pPr>
              <w:autoSpaceDE w:val="0"/>
              <w:autoSpaceDN w:val="0"/>
              <w:adjustRightInd w:val="0"/>
              <w:spacing w:line="240" w:lineRule="auto"/>
              <w:ind w:firstLine="0" w:firstLineChars="0"/>
              <w:rPr>
                <w:rFonts w:hint="eastAsia" w:ascii="宋体" w:hAnsi="宋体" w:cs="仿宋"/>
                <w:kern w:val="0"/>
                <w:sz w:val="18"/>
                <w:szCs w:val="18"/>
              </w:rPr>
            </w:pPr>
            <w:r>
              <w:rPr>
                <w:rFonts w:hint="eastAsia" w:ascii="宋体" w:hAnsi="宋体" w:cs="仿宋"/>
                <w:kern w:val="0"/>
                <w:sz w:val="18"/>
                <w:szCs w:val="18"/>
              </w:rPr>
              <w:t>3</w:t>
            </w:r>
            <w:r>
              <w:rPr>
                <w:rFonts w:ascii="宋体" w:hAnsi="宋体" w:cs="仿宋"/>
                <w:kern w:val="0"/>
                <w:sz w:val="18"/>
                <w:szCs w:val="18"/>
              </w:rPr>
              <w:t>0</w:t>
            </w:r>
            <w:r>
              <w:rPr>
                <w:rFonts w:hint="eastAsia" w:ascii="宋体" w:hAnsi="宋体" w:cs="仿宋"/>
                <w:kern w:val="0"/>
                <w:sz w:val="18"/>
                <w:szCs w:val="18"/>
              </w:rPr>
              <w:t>分</w:t>
            </w:r>
          </w:p>
        </w:tc>
        <w:tc>
          <w:tcPr>
            <w:tcW w:w="5958" w:type="dxa"/>
            <w:noWrap w:val="0"/>
            <w:vAlign w:val="center"/>
          </w:tcPr>
          <w:p>
            <w:pPr>
              <w:pStyle w:val="9"/>
              <w:ind w:firstLine="0" w:firstLineChars="0"/>
              <w:rPr>
                <w:rFonts w:hint="eastAsia" w:ascii="宋体" w:hAnsi="宋体" w:cs="仿宋"/>
                <w:kern w:val="0"/>
                <w:sz w:val="18"/>
                <w:szCs w:val="18"/>
              </w:rPr>
            </w:pPr>
            <w:r>
              <w:rPr>
                <w:rFonts w:hint="eastAsia" w:ascii="宋体" w:hAnsi="宋体" w:eastAsia="宋体" w:cs="仿宋"/>
                <w:kern w:val="0"/>
                <w:sz w:val="18"/>
                <w:szCs w:val="18"/>
                <w:lang w:val="en-US" w:eastAsia="zh-CN" w:bidi="ar-SA"/>
              </w:rPr>
              <w:t>以有效投标文件的最低投标价为评标基准价，投标价等于评标基准价的得满分；偏离评标基准价的，得分＝（评标基准价/投标价格）×</w:t>
            </w:r>
            <w:r>
              <w:rPr>
                <w:rFonts w:hint="default" w:ascii="宋体" w:hAnsi="宋体" w:eastAsia="宋体" w:cs="仿宋"/>
                <w:kern w:val="0"/>
                <w:sz w:val="18"/>
                <w:szCs w:val="18"/>
                <w:lang w:val="en-US" w:eastAsia="zh-CN" w:bidi="ar-SA"/>
              </w:rPr>
              <w:t>30</w:t>
            </w:r>
            <w:r>
              <w:rPr>
                <w:rFonts w:hint="eastAsia" w:ascii="宋体" w:hAnsi="宋体" w:eastAsia="宋体" w:cs="仿宋"/>
                <w:kern w:val="0"/>
                <w:sz w:val="18"/>
                <w:szCs w:val="18"/>
                <w:lang w:val="en-US" w:eastAsia="zh-CN" w:bidi="ar-SA"/>
              </w:rPr>
              <w:t>（保留两位小数，第三位四舍五入）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gridSpan w:val="4"/>
            <w:noWrap w:val="0"/>
            <w:vAlign w:val="center"/>
          </w:tcPr>
          <w:p>
            <w:pPr>
              <w:autoSpaceDE w:val="0"/>
              <w:autoSpaceDN w:val="0"/>
              <w:adjustRightInd w:val="0"/>
              <w:spacing w:line="240" w:lineRule="auto"/>
              <w:ind w:firstLine="0" w:firstLineChars="0"/>
              <w:jc w:val="left"/>
              <w:rPr>
                <w:rFonts w:hint="default" w:ascii="宋体" w:hAnsi="宋体" w:eastAsia="宋体" w:cs="仿宋"/>
                <w:kern w:val="0"/>
                <w:sz w:val="18"/>
                <w:szCs w:val="18"/>
                <w:lang w:val="en-US" w:eastAsia="zh-CN"/>
              </w:rPr>
            </w:pPr>
            <w:r>
              <w:rPr>
                <w:rFonts w:hint="eastAsia" w:ascii="宋体" w:hAnsi="宋体" w:cs="仿宋"/>
                <w:b/>
                <w:bCs/>
                <w:kern w:val="0"/>
                <w:sz w:val="18"/>
                <w:szCs w:val="18"/>
                <w:lang w:eastAsia="zh-CN"/>
              </w:rPr>
              <w:t>技术</w:t>
            </w:r>
            <w:r>
              <w:rPr>
                <w:rFonts w:hint="eastAsia" w:ascii="宋体" w:hAnsi="宋体" w:cs="仿宋"/>
                <w:b/>
                <w:bCs/>
                <w:kern w:val="0"/>
                <w:sz w:val="18"/>
                <w:szCs w:val="18"/>
              </w:rPr>
              <w:t>部分</w:t>
            </w:r>
            <w:r>
              <w:rPr>
                <w:rFonts w:hint="eastAsia" w:cs="仿宋"/>
                <w:b/>
                <w:bCs/>
                <w:kern w:val="0"/>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96" w:type="dxa"/>
            <w:noWrap w:val="0"/>
            <w:vAlign w:val="center"/>
          </w:tcPr>
          <w:p>
            <w:pPr>
              <w:autoSpaceDE w:val="0"/>
              <w:autoSpaceDN w:val="0"/>
              <w:adjustRightInd w:val="0"/>
              <w:spacing w:line="240" w:lineRule="auto"/>
              <w:ind w:firstLine="0" w:firstLineChars="0"/>
              <w:jc w:val="center"/>
              <w:rPr>
                <w:rFonts w:hint="eastAsia" w:ascii="宋体" w:hAnsi="宋体" w:eastAsia="宋体" w:cs="仿宋"/>
                <w:kern w:val="0"/>
                <w:sz w:val="18"/>
                <w:szCs w:val="18"/>
                <w:lang w:val="en-US" w:eastAsia="zh-CN"/>
              </w:rPr>
            </w:pPr>
            <w:r>
              <w:rPr>
                <w:rFonts w:hint="eastAsia" w:ascii="宋体" w:hAnsi="宋体" w:cs="仿宋"/>
                <w:kern w:val="0"/>
                <w:sz w:val="18"/>
                <w:szCs w:val="18"/>
                <w:lang w:val="en-US" w:eastAsia="zh-CN"/>
              </w:rPr>
              <w:t>1</w:t>
            </w:r>
          </w:p>
        </w:tc>
        <w:tc>
          <w:tcPr>
            <w:tcW w:w="1693" w:type="dxa"/>
            <w:noWrap w:val="0"/>
            <w:vAlign w:val="center"/>
          </w:tcPr>
          <w:p>
            <w:pPr>
              <w:autoSpaceDE w:val="0"/>
              <w:autoSpaceDN w:val="0"/>
              <w:adjustRightInd w:val="0"/>
              <w:spacing w:line="240" w:lineRule="auto"/>
              <w:ind w:firstLine="0" w:firstLineChars="0"/>
              <w:rPr>
                <w:rFonts w:hint="eastAsia" w:ascii="宋体" w:hAnsi="宋体" w:cs="仿宋"/>
                <w:kern w:val="0"/>
                <w:sz w:val="18"/>
                <w:szCs w:val="18"/>
              </w:rPr>
            </w:pPr>
            <w:r>
              <w:rPr>
                <w:rFonts w:hint="eastAsia" w:ascii="宋体" w:cs="宋体"/>
                <w:sz w:val="18"/>
                <w:szCs w:val="18"/>
              </w:rPr>
              <w:t>对实施方案的评审</w:t>
            </w:r>
          </w:p>
        </w:tc>
        <w:tc>
          <w:tcPr>
            <w:tcW w:w="692" w:type="dxa"/>
            <w:noWrap w:val="0"/>
            <w:vAlign w:val="center"/>
          </w:tcPr>
          <w:p>
            <w:pPr>
              <w:autoSpaceDE w:val="0"/>
              <w:autoSpaceDN w:val="0"/>
              <w:adjustRightInd w:val="0"/>
              <w:spacing w:line="240" w:lineRule="auto"/>
              <w:ind w:firstLine="0" w:firstLineChars="0"/>
              <w:rPr>
                <w:rFonts w:hint="eastAsia" w:ascii="宋体" w:hAnsi="宋体" w:cs="仿宋"/>
                <w:kern w:val="0"/>
                <w:sz w:val="18"/>
                <w:szCs w:val="18"/>
              </w:rPr>
            </w:pPr>
            <w:r>
              <w:rPr>
                <w:rFonts w:hint="eastAsia" w:ascii="宋体" w:hAnsi="宋体"/>
                <w:sz w:val="18"/>
                <w:szCs w:val="18"/>
                <w:lang w:val="en-US" w:eastAsia="zh-CN"/>
              </w:rPr>
              <w:t>15</w:t>
            </w:r>
            <w:r>
              <w:rPr>
                <w:rFonts w:hint="eastAsia" w:ascii="宋体" w:hAnsi="宋体"/>
                <w:sz w:val="18"/>
                <w:szCs w:val="18"/>
              </w:rPr>
              <w:t>分</w:t>
            </w:r>
          </w:p>
        </w:tc>
        <w:tc>
          <w:tcPr>
            <w:tcW w:w="5958" w:type="dxa"/>
            <w:noWrap w:val="0"/>
            <w:vAlign w:val="center"/>
          </w:tcPr>
          <w:p>
            <w:pPr>
              <w:ind w:firstLine="0" w:firstLineChars="0"/>
              <w:rPr>
                <w:rFonts w:hint="default" w:ascii="宋体" w:hAnsi="宋体" w:cs="仿宋"/>
                <w:kern w:val="0"/>
                <w:sz w:val="18"/>
                <w:szCs w:val="18"/>
                <w:lang w:val="en-US"/>
              </w:rPr>
            </w:pPr>
            <w:r>
              <w:rPr>
                <w:rFonts w:hint="eastAsia" w:ascii="宋体" w:hAnsi="宋体" w:eastAsia="宋体" w:cs="宋体"/>
                <w:sz w:val="18"/>
                <w:szCs w:val="18"/>
                <w:lang w:val="zh-CN" w:eastAsia="zh-CN" w:bidi="zh-CN"/>
              </w:rPr>
              <w:t>根据实施方案的技术路线先进型、工艺路线合理性、达标可行性等指标来比较评分</w:t>
            </w:r>
            <w:r>
              <w:rPr>
                <w:rFonts w:hint="eastAsia" w:cs="宋体"/>
                <w:sz w:val="18"/>
                <w:szCs w:val="18"/>
                <w:lang w:val="zh-CN" w:eastAsia="zh-CN" w:bidi="zh-CN"/>
              </w:rPr>
              <w:t>。</w:t>
            </w:r>
            <w:r>
              <w:rPr>
                <w:rFonts w:hint="eastAsia" w:ascii="宋体" w:hAnsi="宋体" w:eastAsia="宋体" w:cs="宋体"/>
                <w:sz w:val="18"/>
                <w:szCs w:val="18"/>
                <w:lang w:val="zh-CN" w:eastAsia="zh-CN" w:bidi="zh-CN"/>
              </w:rPr>
              <w:t>技术方案</w:t>
            </w:r>
            <w:r>
              <w:rPr>
                <w:rFonts w:hint="eastAsia" w:cs="宋体"/>
                <w:sz w:val="18"/>
                <w:szCs w:val="18"/>
                <w:lang w:val="zh-CN" w:eastAsia="zh-CN" w:bidi="zh-CN"/>
              </w:rPr>
              <w:t>达标</w:t>
            </w:r>
            <w:r>
              <w:rPr>
                <w:rFonts w:hint="eastAsia" w:ascii="宋体" w:hAnsi="宋体" w:eastAsia="宋体" w:cs="宋体"/>
                <w:sz w:val="18"/>
                <w:szCs w:val="18"/>
                <w:lang w:val="zh-CN" w:eastAsia="zh-CN" w:bidi="zh-CN"/>
              </w:rPr>
              <w:t>可行、具体、能</w:t>
            </w:r>
            <w:r>
              <w:rPr>
                <w:rFonts w:hint="eastAsia" w:cs="宋体"/>
                <w:sz w:val="18"/>
                <w:szCs w:val="18"/>
                <w:lang w:val="zh-CN" w:eastAsia="zh-CN" w:bidi="zh-CN"/>
              </w:rPr>
              <w:t>与工艺</w:t>
            </w:r>
            <w:r>
              <w:rPr>
                <w:rFonts w:hint="eastAsia" w:ascii="宋体" w:hAnsi="宋体" w:eastAsia="宋体" w:cs="宋体"/>
                <w:sz w:val="18"/>
                <w:szCs w:val="18"/>
                <w:lang w:val="zh-CN" w:eastAsia="zh-CN" w:bidi="zh-CN"/>
              </w:rPr>
              <w:t>结合项目和区域特点具有针对性得</w:t>
            </w:r>
            <w:r>
              <w:rPr>
                <w:rFonts w:hint="eastAsia" w:ascii="宋体" w:hAnsi="宋体" w:eastAsia="宋体" w:cs="宋体"/>
                <w:sz w:val="18"/>
                <w:szCs w:val="18"/>
                <w:lang w:val="en-US" w:eastAsia="zh-CN" w:bidi="zh-CN"/>
              </w:rPr>
              <w:t>12-15</w:t>
            </w:r>
            <w:r>
              <w:rPr>
                <w:rFonts w:hint="eastAsia" w:ascii="宋体" w:hAnsi="宋体" w:eastAsia="宋体" w:cs="宋体"/>
                <w:sz w:val="18"/>
                <w:szCs w:val="18"/>
                <w:lang w:val="zh-CN" w:eastAsia="zh-CN" w:bidi="zh-CN"/>
              </w:rPr>
              <w:t>分，基本可行、</w:t>
            </w:r>
            <w:r>
              <w:rPr>
                <w:rFonts w:hint="eastAsia" w:cs="宋体"/>
                <w:sz w:val="18"/>
                <w:szCs w:val="18"/>
                <w:lang w:val="zh-CN" w:eastAsia="zh-CN" w:bidi="zh-CN"/>
              </w:rPr>
              <w:t>较为有针对性的</w:t>
            </w:r>
            <w:r>
              <w:rPr>
                <w:rFonts w:hint="eastAsia" w:ascii="宋体" w:hAnsi="宋体" w:eastAsia="宋体" w:cs="宋体"/>
                <w:sz w:val="18"/>
                <w:szCs w:val="18"/>
                <w:lang w:val="zh-CN" w:eastAsia="zh-CN" w:bidi="zh-CN"/>
              </w:rPr>
              <w:t>得</w:t>
            </w:r>
            <w:r>
              <w:rPr>
                <w:rFonts w:hint="eastAsia" w:ascii="宋体" w:hAnsi="宋体" w:eastAsia="宋体" w:cs="宋体"/>
                <w:sz w:val="18"/>
                <w:szCs w:val="18"/>
                <w:lang w:val="en-US" w:eastAsia="zh-CN" w:bidi="zh-CN"/>
              </w:rPr>
              <w:t>8-11分</w:t>
            </w:r>
            <w:r>
              <w:rPr>
                <w:rFonts w:hint="eastAsia" w:ascii="宋体" w:hAnsi="宋体" w:eastAsia="宋体" w:cs="宋体"/>
                <w:sz w:val="18"/>
                <w:szCs w:val="18"/>
                <w:lang w:val="zh-CN" w:eastAsia="zh-CN" w:bidi="zh-CN"/>
              </w:rPr>
              <w:t>，可行性差、针对性差得</w:t>
            </w:r>
            <w:r>
              <w:rPr>
                <w:rFonts w:hint="eastAsia" w:cs="宋体"/>
                <w:sz w:val="18"/>
                <w:szCs w:val="18"/>
                <w:lang w:val="en-US" w:eastAsia="zh-CN" w:bidi="zh-CN"/>
              </w:rPr>
              <w:t>0-7</w:t>
            </w:r>
            <w:bookmarkStart w:id="344" w:name="_GoBack"/>
            <w:bookmarkEnd w:id="344"/>
            <w:r>
              <w:rPr>
                <w:rFonts w:hint="eastAsia" w:ascii="宋体" w:hAnsi="宋体" w:eastAsia="宋体" w:cs="宋体"/>
                <w:sz w:val="18"/>
                <w:szCs w:val="18"/>
                <w:lang w:val="zh-CN" w:eastAsia="zh-CN" w:bidi="zh-CN"/>
              </w:rPr>
              <w:t>分</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696" w:type="dxa"/>
            <w:noWrap w:val="0"/>
            <w:vAlign w:val="center"/>
          </w:tcPr>
          <w:p>
            <w:pPr>
              <w:widowControl/>
              <w:ind w:firstLine="0" w:firstLineChars="0"/>
              <w:jc w:val="center"/>
              <w:rPr>
                <w:rFonts w:hint="eastAsia" w:ascii="宋体" w:hAnsi="宋体" w:cs="仿宋"/>
                <w:kern w:val="0"/>
                <w:sz w:val="18"/>
                <w:szCs w:val="18"/>
              </w:rPr>
            </w:pPr>
            <w:r>
              <w:rPr>
                <w:rFonts w:hint="eastAsia" w:ascii="宋体" w:hAnsi="宋体"/>
                <w:bCs/>
                <w:sz w:val="18"/>
                <w:szCs w:val="18"/>
              </w:rPr>
              <w:t>2</w:t>
            </w:r>
          </w:p>
        </w:tc>
        <w:tc>
          <w:tcPr>
            <w:tcW w:w="1693" w:type="dxa"/>
            <w:noWrap w:val="0"/>
            <w:vAlign w:val="center"/>
          </w:tcPr>
          <w:p>
            <w:pPr>
              <w:widowControl/>
              <w:ind w:firstLine="0" w:firstLineChars="0"/>
              <w:jc w:val="center"/>
              <w:rPr>
                <w:rFonts w:hint="eastAsia" w:ascii="宋体" w:hAnsi="宋体" w:cs="仿宋"/>
                <w:kern w:val="0"/>
                <w:sz w:val="18"/>
                <w:szCs w:val="18"/>
              </w:rPr>
            </w:pPr>
            <w:r>
              <w:rPr>
                <w:rFonts w:hint="eastAsia" w:ascii="宋体" w:hAnsi="宋体"/>
                <w:bCs/>
                <w:sz w:val="18"/>
                <w:szCs w:val="18"/>
              </w:rPr>
              <w:t>对设备、材料的选型、性能等的详细参数及说明的评审</w:t>
            </w:r>
          </w:p>
        </w:tc>
        <w:tc>
          <w:tcPr>
            <w:tcW w:w="692" w:type="dxa"/>
            <w:noWrap w:val="0"/>
            <w:vAlign w:val="center"/>
          </w:tcPr>
          <w:p>
            <w:pPr>
              <w:widowControl/>
              <w:ind w:firstLine="0" w:firstLineChars="0"/>
              <w:rPr>
                <w:rFonts w:hint="eastAsia" w:ascii="宋体" w:hAnsi="宋体" w:cs="仿宋"/>
                <w:kern w:val="0"/>
                <w:sz w:val="18"/>
                <w:szCs w:val="18"/>
              </w:rPr>
            </w:pPr>
            <w:r>
              <w:rPr>
                <w:rFonts w:ascii="宋体" w:hAnsi="宋体"/>
                <w:sz w:val="18"/>
                <w:szCs w:val="18"/>
              </w:rPr>
              <w:t>1</w:t>
            </w:r>
            <w:r>
              <w:rPr>
                <w:rFonts w:hint="eastAsia" w:ascii="宋体" w:hAnsi="宋体"/>
                <w:sz w:val="18"/>
                <w:szCs w:val="18"/>
                <w:lang w:val="en-US" w:eastAsia="zh-CN"/>
              </w:rPr>
              <w:t>5</w:t>
            </w:r>
            <w:r>
              <w:rPr>
                <w:rFonts w:ascii="宋体" w:hAnsi="宋体"/>
                <w:sz w:val="18"/>
                <w:szCs w:val="18"/>
              </w:rPr>
              <w:t>分</w:t>
            </w:r>
          </w:p>
        </w:tc>
        <w:tc>
          <w:tcPr>
            <w:tcW w:w="5958" w:type="dxa"/>
            <w:noWrap w:val="0"/>
            <w:vAlign w:val="center"/>
          </w:tcPr>
          <w:p>
            <w:pPr>
              <w:ind w:firstLine="0" w:firstLineChars="0"/>
              <w:rPr>
                <w:rFonts w:hint="eastAsia" w:ascii="宋体" w:hAnsi="宋体"/>
                <w:sz w:val="18"/>
                <w:szCs w:val="18"/>
              </w:rPr>
            </w:pPr>
            <w:r>
              <w:rPr>
                <w:rFonts w:hint="eastAsia" w:ascii="宋体" w:hAnsi="宋体" w:eastAsia="宋体" w:cs="宋体"/>
                <w:sz w:val="18"/>
                <w:szCs w:val="18"/>
                <w:lang w:val="zh-CN" w:eastAsia="zh-CN" w:bidi="zh-CN"/>
              </w:rPr>
              <w:t>根据</w:t>
            </w:r>
            <w:r>
              <w:rPr>
                <w:rFonts w:hint="eastAsia" w:ascii="宋体" w:hAnsi="宋体"/>
                <w:bCs/>
                <w:sz w:val="18"/>
                <w:szCs w:val="18"/>
              </w:rPr>
              <w:t>对设备、材料的选型、性能等的详细参数及说明</w:t>
            </w:r>
            <w:r>
              <w:rPr>
                <w:rFonts w:hint="eastAsia" w:ascii="宋体" w:hAnsi="宋体" w:eastAsia="宋体" w:cs="宋体"/>
                <w:sz w:val="18"/>
                <w:szCs w:val="18"/>
                <w:lang w:val="zh-CN" w:eastAsia="zh-CN" w:bidi="zh-CN"/>
              </w:rPr>
              <w:t>等指标来比较评分</w:t>
            </w:r>
            <w:r>
              <w:rPr>
                <w:rFonts w:hint="eastAsia" w:cs="宋体"/>
                <w:sz w:val="18"/>
                <w:szCs w:val="18"/>
                <w:lang w:val="zh-CN" w:eastAsia="zh-CN" w:bidi="zh-CN"/>
              </w:rPr>
              <w:t>。</w:t>
            </w:r>
            <w:r>
              <w:rPr>
                <w:rFonts w:hint="eastAsia" w:ascii="宋体"/>
                <w:sz w:val="18"/>
                <w:szCs w:val="18"/>
              </w:rPr>
              <w:t>设备、材料</w:t>
            </w:r>
            <w:r>
              <w:rPr>
                <w:rFonts w:hint="eastAsia" w:ascii="宋体" w:hAnsi="宋体"/>
                <w:sz w:val="18"/>
                <w:szCs w:val="18"/>
              </w:rPr>
              <w:t>选型、计算选择优，性能参数配置非常合理，功能完善，得</w:t>
            </w:r>
            <w:r>
              <w:rPr>
                <w:rFonts w:ascii="宋体" w:hAnsi="宋体"/>
                <w:sz w:val="18"/>
                <w:szCs w:val="18"/>
              </w:rPr>
              <w:t>1</w:t>
            </w:r>
            <w:r>
              <w:rPr>
                <w:rFonts w:hint="eastAsia" w:ascii="宋体" w:hAnsi="宋体"/>
                <w:sz w:val="18"/>
                <w:szCs w:val="18"/>
                <w:lang w:val="en-US" w:eastAsia="zh-CN"/>
              </w:rPr>
              <w:t>2</w:t>
            </w:r>
            <w:r>
              <w:rPr>
                <w:rFonts w:ascii="宋体" w:hAnsi="宋体"/>
                <w:sz w:val="18"/>
                <w:szCs w:val="18"/>
              </w:rPr>
              <w:t>-1</w:t>
            </w:r>
            <w:r>
              <w:rPr>
                <w:rFonts w:hint="eastAsia" w:ascii="宋体" w:hAnsi="宋体"/>
                <w:sz w:val="18"/>
                <w:szCs w:val="18"/>
                <w:lang w:val="en-US" w:eastAsia="zh-CN"/>
              </w:rPr>
              <w:t>5</w:t>
            </w:r>
            <w:r>
              <w:rPr>
                <w:rFonts w:ascii="宋体" w:hAnsi="宋体"/>
                <w:sz w:val="18"/>
                <w:szCs w:val="18"/>
              </w:rPr>
              <w:t>分</w:t>
            </w:r>
            <w:r>
              <w:rPr>
                <w:rFonts w:hint="eastAsia" w:ascii="宋体" w:hAnsi="宋体"/>
                <w:sz w:val="18"/>
                <w:szCs w:val="18"/>
              </w:rPr>
              <w:t>；</w:t>
            </w:r>
            <w:r>
              <w:rPr>
                <w:rFonts w:hint="eastAsia" w:ascii="宋体"/>
                <w:sz w:val="18"/>
                <w:szCs w:val="18"/>
              </w:rPr>
              <w:t>设备、材料</w:t>
            </w:r>
            <w:r>
              <w:rPr>
                <w:rFonts w:hint="eastAsia" w:ascii="宋体" w:hAnsi="宋体"/>
                <w:sz w:val="18"/>
                <w:szCs w:val="18"/>
              </w:rPr>
              <w:t>选型、计算选择良好，性能参数配置基本合理，功能较全面，得</w:t>
            </w:r>
            <w:r>
              <w:rPr>
                <w:rFonts w:hint="eastAsia" w:ascii="宋体" w:hAnsi="宋体"/>
                <w:sz w:val="18"/>
                <w:szCs w:val="18"/>
                <w:lang w:val="en-US" w:eastAsia="zh-CN"/>
              </w:rPr>
              <w:t>8-11</w:t>
            </w:r>
            <w:r>
              <w:rPr>
                <w:rFonts w:ascii="宋体" w:hAnsi="宋体"/>
                <w:sz w:val="18"/>
                <w:szCs w:val="18"/>
              </w:rPr>
              <w:t>分</w:t>
            </w:r>
            <w:r>
              <w:rPr>
                <w:rFonts w:hint="eastAsia" w:ascii="宋体" w:hAnsi="宋体"/>
                <w:sz w:val="18"/>
                <w:szCs w:val="18"/>
              </w:rPr>
              <w:t>；</w:t>
            </w:r>
            <w:r>
              <w:rPr>
                <w:rFonts w:hint="eastAsia" w:ascii="宋体"/>
                <w:sz w:val="18"/>
                <w:szCs w:val="18"/>
              </w:rPr>
              <w:t>产品设备、材料</w:t>
            </w:r>
            <w:r>
              <w:rPr>
                <w:rFonts w:hint="eastAsia" w:ascii="宋体" w:hAnsi="宋体"/>
                <w:sz w:val="18"/>
                <w:szCs w:val="18"/>
              </w:rPr>
              <w:t>选型、计算选择一般，性能参数配置一般，功能一般，得</w:t>
            </w:r>
            <w:r>
              <w:rPr>
                <w:rFonts w:hint="eastAsia"/>
                <w:sz w:val="18"/>
                <w:szCs w:val="18"/>
                <w:lang w:val="en-US" w:eastAsia="zh-CN"/>
              </w:rPr>
              <w:t>0-7</w:t>
            </w:r>
            <w:r>
              <w:rPr>
                <w:rFonts w:ascii="宋体" w:hAnsi="宋体"/>
                <w:sz w:val="18"/>
                <w:szCs w:val="18"/>
              </w:rPr>
              <w:t>分</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696" w:type="dxa"/>
            <w:noWrap w:val="0"/>
            <w:vAlign w:val="center"/>
          </w:tcPr>
          <w:p>
            <w:pPr>
              <w:widowControl/>
              <w:ind w:firstLine="0" w:firstLineChars="0"/>
              <w:jc w:val="center"/>
              <w:rPr>
                <w:rFonts w:hint="eastAsia" w:ascii="宋体" w:hAnsi="宋体" w:cs="仿宋"/>
                <w:kern w:val="0"/>
                <w:sz w:val="18"/>
                <w:szCs w:val="18"/>
              </w:rPr>
            </w:pPr>
            <w:r>
              <w:rPr>
                <w:rFonts w:ascii="宋体" w:hAnsi="宋体"/>
                <w:bCs/>
                <w:sz w:val="18"/>
                <w:szCs w:val="18"/>
              </w:rPr>
              <w:t>3</w:t>
            </w:r>
          </w:p>
        </w:tc>
        <w:tc>
          <w:tcPr>
            <w:tcW w:w="1693" w:type="dxa"/>
            <w:noWrap w:val="0"/>
            <w:vAlign w:val="center"/>
          </w:tcPr>
          <w:p>
            <w:pPr>
              <w:widowControl/>
              <w:ind w:firstLine="0" w:firstLineChars="0"/>
              <w:jc w:val="center"/>
              <w:rPr>
                <w:rFonts w:hint="eastAsia" w:ascii="宋体" w:hAnsi="宋体" w:cs="仿宋"/>
                <w:kern w:val="0"/>
                <w:sz w:val="18"/>
                <w:szCs w:val="18"/>
              </w:rPr>
            </w:pPr>
            <w:r>
              <w:rPr>
                <w:rFonts w:hint="eastAsia" w:ascii="宋体" w:hAnsi="宋体"/>
                <w:bCs/>
                <w:sz w:val="18"/>
                <w:szCs w:val="18"/>
              </w:rPr>
              <w:t>拟投入的施工设备、材料、工具，具体项目实施人员、专业技术人员配置情况等的评审</w:t>
            </w:r>
          </w:p>
        </w:tc>
        <w:tc>
          <w:tcPr>
            <w:tcW w:w="692" w:type="dxa"/>
            <w:noWrap w:val="0"/>
            <w:vAlign w:val="center"/>
          </w:tcPr>
          <w:p>
            <w:pPr>
              <w:widowControl/>
              <w:ind w:firstLine="0" w:firstLineChars="0"/>
              <w:rPr>
                <w:rFonts w:hint="eastAsia" w:ascii="宋体" w:hAnsi="宋体" w:cs="仿宋"/>
                <w:kern w:val="0"/>
                <w:sz w:val="18"/>
                <w:szCs w:val="18"/>
              </w:rPr>
            </w:pPr>
            <w:r>
              <w:rPr>
                <w:rFonts w:hint="default"/>
                <w:sz w:val="18"/>
                <w:szCs w:val="18"/>
                <w:lang w:val="en-US" w:eastAsia="zh-CN"/>
              </w:rPr>
              <w:t>15</w:t>
            </w:r>
            <w:r>
              <w:rPr>
                <w:rFonts w:hint="eastAsia" w:ascii="宋体" w:hAnsi="宋体"/>
                <w:sz w:val="18"/>
                <w:szCs w:val="18"/>
              </w:rPr>
              <w:t>分</w:t>
            </w:r>
          </w:p>
        </w:tc>
        <w:tc>
          <w:tcPr>
            <w:tcW w:w="5958" w:type="dxa"/>
            <w:noWrap w:val="0"/>
            <w:vAlign w:val="center"/>
          </w:tcPr>
          <w:p>
            <w:pPr>
              <w:widowControl/>
              <w:adjustRightInd w:val="0"/>
              <w:snapToGrid w:val="0"/>
              <w:ind w:firstLine="0" w:firstLineChars="0"/>
              <w:jc w:val="left"/>
              <w:rPr>
                <w:rFonts w:hint="eastAsia" w:ascii="宋体" w:hAnsi="宋体"/>
                <w:sz w:val="18"/>
                <w:szCs w:val="18"/>
              </w:rPr>
            </w:pPr>
            <w:r>
              <w:rPr>
                <w:rFonts w:hint="eastAsia" w:ascii="宋体" w:hAnsi="宋体" w:eastAsia="宋体" w:cs="宋体"/>
                <w:sz w:val="18"/>
                <w:szCs w:val="18"/>
                <w:lang w:val="zh-CN" w:eastAsia="zh-CN" w:bidi="zh-CN"/>
              </w:rPr>
              <w:t>根据</w:t>
            </w:r>
            <w:r>
              <w:rPr>
                <w:rFonts w:hint="eastAsia" w:ascii="宋体" w:hAnsi="宋体"/>
                <w:bCs/>
                <w:sz w:val="18"/>
                <w:szCs w:val="18"/>
              </w:rPr>
              <w:t>对投入的施工设备、材料、工具，具体项目实施人员、专业技术人员配置情况</w:t>
            </w:r>
            <w:r>
              <w:rPr>
                <w:rFonts w:hint="eastAsia" w:ascii="宋体" w:hAnsi="宋体" w:eastAsia="宋体" w:cs="宋体"/>
                <w:sz w:val="18"/>
                <w:szCs w:val="18"/>
                <w:lang w:val="zh-CN" w:eastAsia="zh-CN" w:bidi="zh-CN"/>
              </w:rPr>
              <w:t>等指标来比较评分</w:t>
            </w:r>
            <w:r>
              <w:rPr>
                <w:rFonts w:hint="eastAsia" w:cs="宋体"/>
                <w:sz w:val="18"/>
                <w:szCs w:val="18"/>
                <w:lang w:val="zh-CN" w:eastAsia="zh-CN" w:bidi="zh-CN"/>
              </w:rPr>
              <w:t>。</w:t>
            </w:r>
            <w:r>
              <w:rPr>
                <w:rFonts w:hint="eastAsia" w:ascii="宋体" w:hAnsi="宋体"/>
                <w:sz w:val="18"/>
                <w:szCs w:val="18"/>
              </w:rPr>
              <w:t>施工</w:t>
            </w:r>
            <w:r>
              <w:rPr>
                <w:rFonts w:hint="eastAsia" w:ascii="宋体"/>
                <w:sz w:val="18"/>
                <w:szCs w:val="18"/>
              </w:rPr>
              <w:t>设备、材料、工具</w:t>
            </w:r>
            <w:r>
              <w:rPr>
                <w:rFonts w:hint="eastAsia" w:ascii="宋体" w:hAnsi="宋体"/>
                <w:sz w:val="18"/>
                <w:szCs w:val="18"/>
              </w:rPr>
              <w:t>配置</w:t>
            </w:r>
            <w:r>
              <w:rPr>
                <w:rFonts w:ascii="宋体" w:hAnsi="宋体"/>
                <w:sz w:val="18"/>
                <w:szCs w:val="18"/>
              </w:rPr>
              <w:t>齐全</w:t>
            </w:r>
            <w:r>
              <w:rPr>
                <w:rFonts w:hint="eastAsia" w:ascii="宋体" w:hAnsi="宋体"/>
                <w:sz w:val="18"/>
                <w:szCs w:val="18"/>
              </w:rPr>
              <w:t>，功能完善、人员配置合理，得</w:t>
            </w:r>
            <w:r>
              <w:rPr>
                <w:rFonts w:hint="default"/>
                <w:sz w:val="18"/>
                <w:szCs w:val="18"/>
                <w:lang w:val="en-US" w:eastAsia="zh-CN"/>
              </w:rPr>
              <w:t>12-15</w:t>
            </w:r>
            <w:r>
              <w:rPr>
                <w:rFonts w:ascii="宋体" w:hAnsi="宋体"/>
                <w:sz w:val="18"/>
                <w:szCs w:val="18"/>
              </w:rPr>
              <w:t>分</w:t>
            </w:r>
            <w:r>
              <w:rPr>
                <w:rFonts w:hint="eastAsia" w:ascii="宋体" w:hAnsi="宋体"/>
                <w:sz w:val="18"/>
                <w:szCs w:val="18"/>
              </w:rPr>
              <w:t>；</w:t>
            </w:r>
          </w:p>
          <w:p>
            <w:pPr>
              <w:widowControl/>
              <w:adjustRightInd w:val="0"/>
              <w:snapToGrid w:val="0"/>
              <w:ind w:firstLine="0" w:firstLineChars="0"/>
              <w:jc w:val="left"/>
              <w:rPr>
                <w:rFonts w:hint="eastAsia" w:ascii="宋体" w:hAnsi="宋体"/>
                <w:sz w:val="18"/>
                <w:szCs w:val="18"/>
              </w:rPr>
            </w:pPr>
            <w:r>
              <w:rPr>
                <w:rFonts w:hint="eastAsia" w:ascii="宋体" w:hAnsi="宋体"/>
                <w:sz w:val="18"/>
                <w:szCs w:val="18"/>
              </w:rPr>
              <w:t>施工</w:t>
            </w:r>
            <w:r>
              <w:rPr>
                <w:rFonts w:hint="eastAsia" w:ascii="宋体"/>
                <w:sz w:val="18"/>
                <w:szCs w:val="18"/>
              </w:rPr>
              <w:t>设备、材料、工具</w:t>
            </w:r>
            <w:r>
              <w:rPr>
                <w:rFonts w:hint="eastAsia" w:ascii="宋体" w:hAnsi="宋体"/>
                <w:sz w:val="18"/>
                <w:szCs w:val="18"/>
              </w:rPr>
              <w:t>配置基本满足施工需求，功能较全面、人员配置基本合理，得</w:t>
            </w:r>
            <w:r>
              <w:rPr>
                <w:rFonts w:hint="default"/>
                <w:sz w:val="18"/>
                <w:szCs w:val="18"/>
                <w:lang w:val="en-US" w:eastAsia="zh-CN"/>
              </w:rPr>
              <w:t>8-11</w:t>
            </w:r>
            <w:r>
              <w:rPr>
                <w:rFonts w:ascii="宋体" w:hAnsi="宋体"/>
                <w:sz w:val="18"/>
                <w:szCs w:val="18"/>
              </w:rPr>
              <w:t>分</w:t>
            </w:r>
            <w:r>
              <w:rPr>
                <w:rFonts w:hint="eastAsia" w:ascii="宋体" w:hAnsi="宋体"/>
                <w:sz w:val="18"/>
                <w:szCs w:val="18"/>
              </w:rPr>
              <w:t>；施工</w:t>
            </w:r>
            <w:r>
              <w:rPr>
                <w:rFonts w:hint="eastAsia" w:ascii="宋体"/>
                <w:sz w:val="18"/>
                <w:szCs w:val="18"/>
              </w:rPr>
              <w:t>设备、材料、工具</w:t>
            </w:r>
            <w:r>
              <w:rPr>
                <w:rFonts w:hint="eastAsia" w:ascii="宋体" w:hAnsi="宋体"/>
                <w:sz w:val="18"/>
                <w:szCs w:val="18"/>
              </w:rPr>
              <w:t>配置一般，功能一般，人员配置一般，得</w:t>
            </w:r>
            <w:r>
              <w:rPr>
                <w:rFonts w:hint="eastAsia"/>
                <w:sz w:val="18"/>
                <w:szCs w:val="18"/>
                <w:lang w:val="en-US" w:eastAsia="zh-CN"/>
              </w:rPr>
              <w:t>0-7</w:t>
            </w:r>
            <w:r>
              <w:rPr>
                <w:rFonts w:ascii="宋体" w:hAnsi="宋体"/>
                <w:sz w:val="18"/>
                <w:szCs w:val="18"/>
              </w:rPr>
              <w:t>分</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696" w:type="dxa"/>
            <w:noWrap w:val="0"/>
            <w:vAlign w:val="center"/>
          </w:tcPr>
          <w:p>
            <w:pPr>
              <w:widowControl/>
              <w:ind w:firstLine="0" w:firstLineChars="0"/>
              <w:jc w:val="center"/>
              <w:rPr>
                <w:rFonts w:hint="eastAsia" w:ascii="宋体" w:hAnsi="宋体" w:cs="仿宋"/>
                <w:kern w:val="0"/>
                <w:sz w:val="18"/>
                <w:szCs w:val="18"/>
              </w:rPr>
            </w:pPr>
            <w:r>
              <w:rPr>
                <w:rFonts w:ascii="宋体" w:hAnsi="宋体"/>
                <w:sz w:val="18"/>
                <w:szCs w:val="18"/>
              </w:rPr>
              <w:t>4</w:t>
            </w:r>
          </w:p>
        </w:tc>
        <w:tc>
          <w:tcPr>
            <w:tcW w:w="1693" w:type="dxa"/>
            <w:noWrap w:val="0"/>
            <w:vAlign w:val="center"/>
          </w:tcPr>
          <w:p>
            <w:pPr>
              <w:ind w:firstLine="0" w:firstLineChars="0"/>
              <w:jc w:val="center"/>
              <w:rPr>
                <w:rFonts w:hint="eastAsia" w:ascii="宋体" w:hAnsi="宋体" w:cs="仿宋"/>
                <w:kern w:val="0"/>
                <w:sz w:val="18"/>
                <w:szCs w:val="18"/>
              </w:rPr>
            </w:pPr>
            <w:r>
              <w:rPr>
                <w:rFonts w:hint="eastAsia" w:ascii="宋体" w:hAnsi="宋体"/>
                <w:spacing w:val="2"/>
                <w:kern w:val="0"/>
                <w:sz w:val="18"/>
                <w:szCs w:val="18"/>
              </w:rPr>
              <w:t>对技术服务、工期、培训、后续服务内容及保证措施、违约承诺的详细描述的评审</w:t>
            </w:r>
          </w:p>
        </w:tc>
        <w:tc>
          <w:tcPr>
            <w:tcW w:w="692" w:type="dxa"/>
            <w:noWrap w:val="0"/>
            <w:vAlign w:val="center"/>
          </w:tcPr>
          <w:p>
            <w:pPr>
              <w:widowControl/>
              <w:ind w:firstLine="0" w:firstLineChars="0"/>
              <w:rPr>
                <w:rFonts w:hint="eastAsia" w:ascii="宋体" w:hAnsi="宋体" w:cs="仿宋"/>
                <w:kern w:val="0"/>
                <w:sz w:val="18"/>
                <w:szCs w:val="18"/>
              </w:rPr>
            </w:pPr>
            <w:r>
              <w:rPr>
                <w:rFonts w:hint="eastAsia" w:ascii="宋体" w:hAnsi="宋体"/>
                <w:sz w:val="18"/>
                <w:szCs w:val="18"/>
                <w:lang w:val="en-US" w:eastAsia="zh-CN"/>
              </w:rPr>
              <w:t>15</w:t>
            </w:r>
            <w:r>
              <w:rPr>
                <w:rFonts w:hint="eastAsia" w:ascii="宋体" w:hAnsi="宋体"/>
                <w:sz w:val="18"/>
                <w:szCs w:val="18"/>
              </w:rPr>
              <w:t>分</w:t>
            </w:r>
          </w:p>
        </w:tc>
        <w:tc>
          <w:tcPr>
            <w:tcW w:w="5958" w:type="dxa"/>
            <w:noWrap w:val="0"/>
            <w:vAlign w:val="center"/>
          </w:tcPr>
          <w:p>
            <w:pPr>
              <w:ind w:firstLine="0" w:firstLineChars="0"/>
              <w:rPr>
                <w:rFonts w:hint="eastAsia" w:ascii="宋体" w:hAnsi="宋体"/>
                <w:sz w:val="18"/>
                <w:szCs w:val="18"/>
              </w:rPr>
            </w:pPr>
            <w:r>
              <w:rPr>
                <w:rFonts w:hint="eastAsia" w:ascii="宋体" w:hAnsi="宋体" w:eastAsia="宋体" w:cs="宋体"/>
                <w:sz w:val="18"/>
                <w:szCs w:val="18"/>
                <w:lang w:val="zh-CN" w:eastAsia="zh-CN" w:bidi="zh-CN"/>
              </w:rPr>
              <w:t>根据</w:t>
            </w:r>
            <w:r>
              <w:rPr>
                <w:rFonts w:hint="eastAsia" w:ascii="宋体" w:hAnsi="宋体"/>
                <w:bCs/>
                <w:sz w:val="18"/>
                <w:szCs w:val="18"/>
              </w:rPr>
              <w:t>对</w:t>
            </w:r>
            <w:r>
              <w:rPr>
                <w:rFonts w:hint="eastAsia" w:ascii="宋体" w:hAnsi="宋体"/>
                <w:spacing w:val="2"/>
                <w:kern w:val="0"/>
                <w:sz w:val="18"/>
                <w:szCs w:val="18"/>
              </w:rPr>
              <w:t>对技术服务、工期、培训、后续服务内容及保证措施、违约承诺的详细描述</w:t>
            </w:r>
            <w:r>
              <w:rPr>
                <w:rFonts w:hint="eastAsia" w:ascii="宋体" w:hAnsi="宋体" w:eastAsia="宋体" w:cs="宋体"/>
                <w:sz w:val="18"/>
                <w:szCs w:val="18"/>
                <w:lang w:val="zh-CN" w:eastAsia="zh-CN" w:bidi="zh-CN"/>
              </w:rPr>
              <w:t>来比较评分</w:t>
            </w:r>
            <w:r>
              <w:rPr>
                <w:rFonts w:hint="eastAsia" w:cs="宋体"/>
                <w:sz w:val="18"/>
                <w:szCs w:val="18"/>
                <w:lang w:val="zh-CN" w:eastAsia="zh-CN" w:bidi="zh-CN"/>
              </w:rPr>
              <w:t>。</w:t>
            </w:r>
            <w:r>
              <w:rPr>
                <w:rFonts w:hint="eastAsia" w:ascii="宋体" w:hAnsi="宋体"/>
                <w:sz w:val="18"/>
                <w:szCs w:val="18"/>
              </w:rPr>
              <w:t>技术服务、工期、培训、售后服务承诺及保障措施优秀，维修时应急响应时间短,质量保证措施具体且合理，有明确的违约责任承诺的得</w:t>
            </w:r>
            <w:r>
              <w:rPr>
                <w:rFonts w:hint="eastAsia" w:ascii="宋体" w:hAnsi="宋体"/>
                <w:sz w:val="18"/>
                <w:szCs w:val="18"/>
                <w:lang w:val="en-US" w:eastAsia="zh-CN"/>
              </w:rPr>
              <w:t>12-15</w:t>
            </w:r>
            <w:r>
              <w:rPr>
                <w:rFonts w:hint="eastAsia" w:ascii="宋体" w:hAnsi="宋体"/>
                <w:sz w:val="18"/>
                <w:szCs w:val="18"/>
              </w:rPr>
              <w:t>分；</w:t>
            </w:r>
          </w:p>
          <w:p>
            <w:pPr>
              <w:ind w:firstLine="0" w:firstLineChars="0"/>
              <w:rPr>
                <w:rFonts w:hint="eastAsia" w:ascii="宋体" w:hAnsi="宋体"/>
                <w:sz w:val="18"/>
                <w:szCs w:val="18"/>
              </w:rPr>
            </w:pPr>
            <w:r>
              <w:rPr>
                <w:rFonts w:hint="eastAsia" w:ascii="宋体" w:hAnsi="宋体"/>
                <w:sz w:val="18"/>
                <w:szCs w:val="18"/>
              </w:rPr>
              <w:t>技术服务、工期、培训、售后服务及保障措施良好，维修时应急响应时间较短,质量保证措施较为具体、合理，有违约责任承诺的得</w:t>
            </w:r>
            <w:r>
              <w:rPr>
                <w:rFonts w:hint="eastAsia" w:ascii="宋体" w:hAnsi="宋体"/>
                <w:sz w:val="18"/>
                <w:szCs w:val="18"/>
                <w:lang w:val="en-US" w:eastAsia="zh-CN"/>
              </w:rPr>
              <w:t>8-11</w:t>
            </w:r>
            <w:r>
              <w:rPr>
                <w:rFonts w:hint="eastAsia" w:ascii="宋体" w:hAnsi="宋体"/>
                <w:sz w:val="18"/>
                <w:szCs w:val="18"/>
              </w:rPr>
              <w:t>分；</w:t>
            </w:r>
          </w:p>
          <w:p>
            <w:pPr>
              <w:ind w:firstLine="0" w:firstLineChars="0"/>
              <w:rPr>
                <w:rFonts w:hint="eastAsia" w:ascii="宋体" w:hAnsi="宋体"/>
                <w:sz w:val="18"/>
                <w:szCs w:val="18"/>
              </w:rPr>
            </w:pPr>
            <w:r>
              <w:rPr>
                <w:rFonts w:hint="eastAsia" w:ascii="宋体" w:hAnsi="宋体"/>
                <w:sz w:val="18"/>
                <w:szCs w:val="18"/>
              </w:rPr>
              <w:t>技术服务、工期、培训、售后服务及保障措施一般，维修时应急响应时间符合要求,质量保证措施较为一般，有违约责任承诺的得</w:t>
            </w:r>
            <w:r>
              <w:rPr>
                <w:rFonts w:hint="eastAsia"/>
                <w:sz w:val="18"/>
                <w:szCs w:val="18"/>
                <w:lang w:val="en-US" w:eastAsia="zh-CN"/>
              </w:rPr>
              <w:t>0-7</w:t>
            </w:r>
            <w:r>
              <w:rPr>
                <w:rFonts w:hint="eastAsia" w:ascii="宋体" w:hAnsi="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039" w:type="dxa"/>
            <w:gridSpan w:val="4"/>
            <w:noWrap w:val="0"/>
            <w:vAlign w:val="center"/>
          </w:tcPr>
          <w:p>
            <w:pPr>
              <w:autoSpaceDE w:val="0"/>
              <w:autoSpaceDN w:val="0"/>
              <w:adjustRightInd w:val="0"/>
              <w:spacing w:line="240" w:lineRule="auto"/>
              <w:ind w:firstLine="0" w:firstLineChars="0"/>
              <w:rPr>
                <w:rFonts w:hint="default" w:eastAsia="宋体"/>
                <w:b/>
                <w:bCs/>
                <w:sz w:val="18"/>
                <w:szCs w:val="18"/>
                <w:lang w:val="en-US" w:eastAsia="zh-CN"/>
              </w:rPr>
            </w:pPr>
            <w:r>
              <w:rPr>
                <w:rFonts w:hint="eastAsia" w:ascii="宋体" w:hAnsi="宋体" w:cs="仿宋"/>
                <w:b/>
                <w:bCs/>
                <w:kern w:val="0"/>
                <w:sz w:val="18"/>
                <w:szCs w:val="18"/>
              </w:rPr>
              <w:t>商务部分</w:t>
            </w:r>
            <w:r>
              <w:rPr>
                <w:rFonts w:hint="eastAsia" w:ascii="宋体" w:hAnsi="宋体" w:cs="仿宋"/>
                <w:b/>
                <w:bCs/>
                <w:kern w:val="0"/>
                <w:sz w:val="18"/>
                <w:szCs w:val="18"/>
                <w:lang w:val="en-US" w:eastAsia="zh-CN"/>
              </w:rPr>
              <w:t>1</w:t>
            </w:r>
            <w:r>
              <w:rPr>
                <w:rFonts w:hint="default" w:cs="仿宋"/>
                <w:b/>
                <w:bCs/>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96" w:type="dxa"/>
            <w:noWrap w:val="0"/>
            <w:vAlign w:val="center"/>
          </w:tcPr>
          <w:p>
            <w:pPr>
              <w:autoSpaceDE w:val="0"/>
              <w:autoSpaceDN w:val="0"/>
              <w:adjustRightInd w:val="0"/>
              <w:spacing w:line="240" w:lineRule="auto"/>
              <w:ind w:firstLine="0" w:firstLineChars="0"/>
              <w:jc w:val="center"/>
              <w:rPr>
                <w:rFonts w:hint="eastAsia" w:ascii="宋体" w:hAnsi="宋体" w:eastAsia="宋体"/>
                <w:sz w:val="18"/>
                <w:szCs w:val="18"/>
                <w:lang w:eastAsia="zh-CN"/>
              </w:rPr>
            </w:pPr>
            <w:r>
              <w:rPr>
                <w:rFonts w:hint="eastAsia" w:ascii="宋体" w:hAnsi="宋体" w:cs="仿宋"/>
                <w:kern w:val="0"/>
                <w:sz w:val="18"/>
                <w:szCs w:val="18"/>
                <w:lang w:val="en-US" w:eastAsia="zh-CN"/>
              </w:rPr>
              <w:t>1</w:t>
            </w:r>
          </w:p>
        </w:tc>
        <w:tc>
          <w:tcPr>
            <w:tcW w:w="1693" w:type="dxa"/>
            <w:noWrap w:val="0"/>
            <w:vAlign w:val="center"/>
          </w:tcPr>
          <w:p>
            <w:pPr>
              <w:autoSpaceDE w:val="0"/>
              <w:autoSpaceDN w:val="0"/>
              <w:adjustRightInd w:val="0"/>
              <w:spacing w:line="240" w:lineRule="auto"/>
              <w:ind w:firstLine="360" w:firstLineChars="200"/>
              <w:rPr>
                <w:rFonts w:hint="eastAsia" w:ascii="宋体" w:hAnsi="宋体" w:cs="仿宋"/>
                <w:kern w:val="0"/>
                <w:sz w:val="18"/>
                <w:szCs w:val="18"/>
              </w:rPr>
            </w:pPr>
            <w:r>
              <w:rPr>
                <w:rFonts w:hint="eastAsia" w:ascii="宋体" w:hAnsi="宋体" w:cs="仿宋"/>
                <w:kern w:val="0"/>
                <w:sz w:val="18"/>
                <w:szCs w:val="18"/>
              </w:rPr>
              <w:t>企业业绩</w:t>
            </w:r>
          </w:p>
        </w:tc>
        <w:tc>
          <w:tcPr>
            <w:tcW w:w="692" w:type="dxa"/>
            <w:noWrap w:val="0"/>
            <w:vAlign w:val="center"/>
          </w:tcPr>
          <w:p>
            <w:pPr>
              <w:autoSpaceDE w:val="0"/>
              <w:autoSpaceDN w:val="0"/>
              <w:adjustRightInd w:val="0"/>
              <w:spacing w:line="240" w:lineRule="auto"/>
              <w:ind w:firstLine="0" w:firstLineChars="0"/>
              <w:rPr>
                <w:rFonts w:hint="eastAsia" w:ascii="宋体" w:hAnsi="宋体"/>
                <w:color w:val="auto"/>
                <w:sz w:val="18"/>
                <w:szCs w:val="18"/>
              </w:rPr>
            </w:pPr>
            <w:r>
              <w:rPr>
                <w:rFonts w:hint="eastAsia" w:ascii="宋体" w:hAnsi="宋体" w:cs="仿宋"/>
                <w:color w:val="auto"/>
                <w:kern w:val="0"/>
                <w:sz w:val="18"/>
                <w:szCs w:val="18"/>
                <w:lang w:val="en-US" w:eastAsia="zh-CN"/>
              </w:rPr>
              <w:t>3</w:t>
            </w:r>
            <w:r>
              <w:rPr>
                <w:rFonts w:hint="eastAsia" w:ascii="宋体" w:hAnsi="宋体" w:cs="仿宋"/>
                <w:color w:val="auto"/>
                <w:kern w:val="0"/>
                <w:sz w:val="18"/>
                <w:szCs w:val="18"/>
              </w:rPr>
              <w:t>分</w:t>
            </w:r>
          </w:p>
        </w:tc>
        <w:tc>
          <w:tcPr>
            <w:tcW w:w="5958" w:type="dxa"/>
            <w:noWrap w:val="0"/>
            <w:vAlign w:val="center"/>
          </w:tcPr>
          <w:p>
            <w:pPr>
              <w:autoSpaceDE w:val="0"/>
              <w:autoSpaceDN w:val="0"/>
              <w:adjustRightInd w:val="0"/>
              <w:spacing w:line="240" w:lineRule="auto"/>
              <w:ind w:firstLine="0" w:firstLineChars="0"/>
              <w:rPr>
                <w:rFonts w:hint="eastAsia"/>
                <w:b/>
                <w:bCs/>
                <w:color w:val="auto"/>
                <w:sz w:val="18"/>
                <w:szCs w:val="18"/>
              </w:rPr>
            </w:pPr>
            <w:r>
              <w:rPr>
                <w:rFonts w:hint="eastAsia" w:ascii="宋体" w:hAnsi="宋体" w:cs="仿宋"/>
                <w:color w:val="auto"/>
                <w:kern w:val="0"/>
                <w:sz w:val="18"/>
                <w:szCs w:val="18"/>
              </w:rPr>
              <w:t>投标人自</w:t>
            </w:r>
            <w:r>
              <w:rPr>
                <w:rFonts w:ascii="宋体" w:hAnsi="宋体" w:cs="宋体"/>
                <w:color w:val="auto"/>
                <w:sz w:val="18"/>
                <w:szCs w:val="18"/>
              </w:rPr>
              <w:t>2018年</w:t>
            </w:r>
            <w:r>
              <w:rPr>
                <w:rFonts w:hint="eastAsia" w:cs="宋体"/>
                <w:color w:val="auto"/>
                <w:sz w:val="18"/>
                <w:szCs w:val="18"/>
                <w:lang w:val="en-US" w:eastAsia="zh-CN"/>
              </w:rPr>
              <w:t>1月1日</w:t>
            </w:r>
            <w:r>
              <w:rPr>
                <w:rFonts w:hint="eastAsia" w:ascii="宋体" w:hAnsi="宋体" w:cs="仿宋"/>
                <w:color w:val="auto"/>
                <w:kern w:val="0"/>
                <w:sz w:val="18"/>
                <w:szCs w:val="18"/>
              </w:rPr>
              <w:t>（以合同签订时间为准）</w:t>
            </w:r>
            <w:r>
              <w:rPr>
                <w:rFonts w:ascii="宋体" w:hAnsi="宋体" w:cs="宋体"/>
                <w:color w:val="auto"/>
                <w:sz w:val="18"/>
                <w:szCs w:val="18"/>
              </w:rPr>
              <w:t>至今</w:t>
            </w:r>
            <w:r>
              <w:rPr>
                <w:rFonts w:hint="eastAsia" w:ascii="宋体" w:hAnsi="宋体" w:cs="宋体"/>
                <w:color w:val="auto"/>
                <w:sz w:val="18"/>
                <w:szCs w:val="18"/>
              </w:rPr>
              <w:t>承担过</w:t>
            </w:r>
            <w:r>
              <w:rPr>
                <w:rFonts w:ascii="宋体" w:hAnsi="宋体" w:cs="宋体"/>
                <w:color w:val="auto"/>
                <w:sz w:val="18"/>
                <w:szCs w:val="18"/>
              </w:rPr>
              <w:t>垃圾渗滤液处理项目</w:t>
            </w:r>
            <w:r>
              <w:rPr>
                <w:rFonts w:hint="eastAsia" w:ascii="宋体" w:hAnsi="宋体" w:cs="仿宋"/>
                <w:color w:val="auto"/>
                <w:kern w:val="0"/>
                <w:sz w:val="18"/>
                <w:szCs w:val="18"/>
              </w:rPr>
              <w:t>，有一项得</w:t>
            </w:r>
            <w:r>
              <w:rPr>
                <w:rFonts w:hint="default" w:ascii="宋体" w:hAnsi="宋体" w:cs="仿宋"/>
                <w:color w:val="auto"/>
                <w:kern w:val="0"/>
                <w:sz w:val="18"/>
                <w:szCs w:val="18"/>
                <w:lang w:val="en-US" w:eastAsia="zh-CN"/>
              </w:rPr>
              <w:t>1</w:t>
            </w:r>
            <w:r>
              <w:rPr>
                <w:rFonts w:hint="eastAsia" w:ascii="宋体" w:hAnsi="宋体" w:cs="仿宋"/>
                <w:color w:val="auto"/>
                <w:kern w:val="0"/>
                <w:sz w:val="18"/>
                <w:szCs w:val="18"/>
              </w:rPr>
              <w:t>分，最高得</w:t>
            </w:r>
            <w:r>
              <w:rPr>
                <w:rFonts w:hint="eastAsia" w:ascii="宋体" w:hAnsi="宋体" w:cs="仿宋"/>
                <w:color w:val="auto"/>
                <w:kern w:val="0"/>
                <w:sz w:val="18"/>
                <w:szCs w:val="18"/>
                <w:lang w:val="en-US" w:eastAsia="zh-CN"/>
              </w:rPr>
              <w:t>3</w:t>
            </w:r>
            <w:r>
              <w:rPr>
                <w:rFonts w:hint="eastAsia" w:ascii="宋体" w:hAnsi="宋体" w:cs="仿宋"/>
                <w:color w:val="auto"/>
                <w:kern w:val="0"/>
                <w:sz w:val="18"/>
                <w:szCs w:val="18"/>
              </w:rPr>
              <w:t>分。</w:t>
            </w:r>
            <w:r>
              <w:rPr>
                <w:rFonts w:hint="eastAsia" w:ascii="宋体" w:hAnsi="宋体"/>
                <w:color w:val="auto"/>
                <w:sz w:val="18"/>
                <w:szCs w:val="18"/>
              </w:rPr>
              <w:t>（</w:t>
            </w:r>
            <w:r>
              <w:rPr>
                <w:rFonts w:ascii="宋体" w:hAnsi="宋体" w:cs="宋体"/>
                <w:color w:val="auto"/>
                <w:sz w:val="18"/>
                <w:szCs w:val="18"/>
              </w:rPr>
              <w:t>投标人需同时提供以下证明材料原件，否则不得分：1.项目合同</w:t>
            </w:r>
            <w:r>
              <w:rPr>
                <w:rFonts w:hint="eastAsia" w:cs="宋体"/>
                <w:color w:val="auto"/>
                <w:sz w:val="18"/>
                <w:szCs w:val="18"/>
                <w:lang w:eastAsia="zh-CN"/>
              </w:rPr>
              <w:t>（</w:t>
            </w:r>
            <w:r>
              <w:rPr>
                <w:rFonts w:hint="eastAsia" w:cs="宋体"/>
                <w:color w:val="auto"/>
                <w:sz w:val="18"/>
                <w:szCs w:val="18"/>
                <w:lang w:val="en-US" w:eastAsia="zh-CN"/>
              </w:rPr>
              <w:t>合同须经政府招投标监管部门备案</w:t>
            </w:r>
            <w:r>
              <w:rPr>
                <w:rFonts w:hint="eastAsia" w:cs="宋体"/>
                <w:color w:val="auto"/>
                <w:sz w:val="18"/>
                <w:szCs w:val="18"/>
                <w:lang w:eastAsia="zh-CN"/>
              </w:rPr>
              <w:t>）</w:t>
            </w:r>
            <w:r>
              <w:rPr>
                <w:rFonts w:ascii="宋体" w:hAnsi="宋体" w:cs="宋体"/>
                <w:color w:val="auto"/>
                <w:sz w:val="18"/>
                <w:szCs w:val="18"/>
              </w:rPr>
              <w:t>；2.中标通知书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696" w:type="dxa"/>
            <w:noWrap w:val="0"/>
            <w:vAlign w:val="center"/>
          </w:tcPr>
          <w:p>
            <w:pPr>
              <w:autoSpaceDE w:val="0"/>
              <w:autoSpaceDN w:val="0"/>
              <w:adjustRightInd w:val="0"/>
              <w:spacing w:line="240" w:lineRule="auto"/>
              <w:ind w:firstLine="0" w:firstLineChars="0"/>
              <w:jc w:val="center"/>
              <w:rPr>
                <w:rFonts w:hint="eastAsia" w:ascii="宋体" w:hAnsi="宋体" w:eastAsia="宋体"/>
                <w:sz w:val="18"/>
                <w:szCs w:val="18"/>
                <w:lang w:eastAsia="zh-CN"/>
              </w:rPr>
            </w:pPr>
            <w:r>
              <w:rPr>
                <w:rFonts w:hint="eastAsia" w:ascii="宋体" w:hAnsi="宋体" w:cs="仿宋"/>
                <w:kern w:val="0"/>
                <w:sz w:val="18"/>
                <w:szCs w:val="18"/>
                <w:lang w:val="en-US" w:eastAsia="zh-CN"/>
              </w:rPr>
              <w:t>2</w:t>
            </w:r>
          </w:p>
        </w:tc>
        <w:tc>
          <w:tcPr>
            <w:tcW w:w="1693" w:type="dxa"/>
            <w:noWrap w:val="0"/>
            <w:vAlign w:val="center"/>
          </w:tcPr>
          <w:p>
            <w:pPr>
              <w:autoSpaceDE w:val="0"/>
              <w:autoSpaceDN w:val="0"/>
              <w:adjustRightInd w:val="0"/>
              <w:spacing w:line="240" w:lineRule="auto"/>
              <w:ind w:firstLine="360" w:firstLineChars="200"/>
              <w:rPr>
                <w:rFonts w:hint="eastAsia" w:ascii="宋体" w:hAnsi="宋体" w:cs="仿宋"/>
                <w:kern w:val="0"/>
                <w:sz w:val="18"/>
                <w:szCs w:val="18"/>
              </w:rPr>
            </w:pPr>
            <w:r>
              <w:rPr>
                <w:rFonts w:hint="eastAsia" w:ascii="宋体" w:hAnsi="宋体" w:cs="仿宋"/>
                <w:kern w:val="0"/>
                <w:sz w:val="18"/>
                <w:szCs w:val="18"/>
              </w:rPr>
              <w:t>企业实力</w:t>
            </w:r>
          </w:p>
        </w:tc>
        <w:tc>
          <w:tcPr>
            <w:tcW w:w="692" w:type="dxa"/>
            <w:noWrap w:val="0"/>
            <w:vAlign w:val="center"/>
          </w:tcPr>
          <w:p>
            <w:pPr>
              <w:autoSpaceDE w:val="0"/>
              <w:autoSpaceDN w:val="0"/>
              <w:adjustRightInd w:val="0"/>
              <w:spacing w:line="240" w:lineRule="auto"/>
              <w:ind w:firstLine="0" w:firstLineChars="0"/>
              <w:rPr>
                <w:rFonts w:hint="eastAsia" w:ascii="宋体" w:hAnsi="宋体"/>
                <w:sz w:val="18"/>
                <w:szCs w:val="18"/>
              </w:rPr>
            </w:pPr>
            <w:r>
              <w:rPr>
                <w:rFonts w:hint="default" w:cs="仿宋"/>
                <w:color w:val="000000"/>
                <w:kern w:val="0"/>
                <w:sz w:val="18"/>
                <w:szCs w:val="18"/>
                <w:lang w:val="en-US" w:eastAsia="zh-CN"/>
              </w:rPr>
              <w:t>3</w:t>
            </w:r>
            <w:r>
              <w:rPr>
                <w:rFonts w:hint="eastAsia" w:ascii="宋体" w:hAnsi="宋体" w:cs="仿宋"/>
                <w:color w:val="000000"/>
                <w:kern w:val="0"/>
                <w:sz w:val="18"/>
                <w:szCs w:val="18"/>
              </w:rPr>
              <w:t>分</w:t>
            </w:r>
          </w:p>
        </w:tc>
        <w:tc>
          <w:tcPr>
            <w:tcW w:w="5958" w:type="dxa"/>
            <w:noWrap w:val="0"/>
            <w:vAlign w:val="center"/>
          </w:tcPr>
          <w:p>
            <w:pPr>
              <w:widowControl w:val="0"/>
              <w:numPr>
                <w:ilvl w:val="0"/>
                <w:numId w:val="13"/>
              </w:numPr>
              <w:ind w:left="0" w:leftChars="0" w:firstLine="0" w:firstLineChars="0"/>
              <w:jc w:val="both"/>
              <w:rPr>
                <w:rFonts w:hint="eastAsia"/>
                <w:b/>
                <w:bCs/>
                <w:sz w:val="18"/>
                <w:szCs w:val="18"/>
              </w:rPr>
            </w:pPr>
            <w:r>
              <w:rPr>
                <w:rFonts w:ascii="宋体" w:hAnsi="宋体" w:cs="仿宋"/>
                <w:kern w:val="0"/>
                <w:sz w:val="18"/>
                <w:szCs w:val="18"/>
              </w:rPr>
              <w:t>1</w:t>
            </w:r>
            <w:r>
              <w:rPr>
                <w:rFonts w:hint="eastAsia" w:ascii="宋体" w:hAnsi="宋体" w:cs="仿宋"/>
                <w:kern w:val="0"/>
                <w:sz w:val="18"/>
                <w:szCs w:val="18"/>
              </w:rPr>
              <w:t>、</w:t>
            </w:r>
            <w:r>
              <w:rPr>
                <w:rFonts w:hint="eastAsia" w:cs="仿宋"/>
                <w:kern w:val="0"/>
                <w:sz w:val="18"/>
                <w:szCs w:val="18"/>
                <w:lang w:eastAsia="zh-CN"/>
              </w:rPr>
              <w:t>投标人</w:t>
            </w:r>
            <w:r>
              <w:rPr>
                <w:rFonts w:hint="eastAsia" w:ascii="宋体" w:hAnsi="宋体" w:cs="仿宋"/>
                <w:kern w:val="0"/>
                <w:sz w:val="18"/>
                <w:szCs w:val="18"/>
              </w:rPr>
              <w:t>具备由国家认证认可监督管理部门批准设立的认证机构颁发且在有效期内的质量管理体系认证证书、环境管理体系认证证书、职业健康安全管理体系认证证书，每提供</w:t>
            </w:r>
            <w:r>
              <w:rPr>
                <w:rFonts w:ascii="宋体" w:hAnsi="宋体" w:cs="仿宋"/>
                <w:kern w:val="0"/>
                <w:sz w:val="18"/>
                <w:szCs w:val="18"/>
              </w:rPr>
              <w:t>1</w:t>
            </w:r>
            <w:r>
              <w:rPr>
                <w:rFonts w:hint="eastAsia" w:ascii="宋体" w:hAnsi="宋体" w:cs="仿宋"/>
                <w:kern w:val="0"/>
                <w:sz w:val="18"/>
                <w:szCs w:val="18"/>
              </w:rPr>
              <w:t>个证书得</w:t>
            </w:r>
            <w:r>
              <w:rPr>
                <w:rFonts w:ascii="宋体" w:hAnsi="宋体" w:cs="仿宋"/>
                <w:kern w:val="0"/>
                <w:sz w:val="18"/>
                <w:szCs w:val="18"/>
              </w:rPr>
              <w:t>1</w:t>
            </w:r>
            <w:r>
              <w:rPr>
                <w:rFonts w:hint="eastAsia" w:ascii="宋体" w:hAnsi="宋体" w:cs="仿宋"/>
                <w:kern w:val="0"/>
                <w:sz w:val="18"/>
                <w:szCs w:val="18"/>
              </w:rPr>
              <w:t>分，本项最高得</w:t>
            </w:r>
            <w:r>
              <w:rPr>
                <w:rFonts w:ascii="宋体" w:hAnsi="宋体" w:cs="仿宋"/>
                <w:kern w:val="0"/>
                <w:sz w:val="18"/>
                <w:szCs w:val="18"/>
              </w:rPr>
              <w:t>3</w:t>
            </w:r>
            <w:r>
              <w:rPr>
                <w:rFonts w:hint="eastAsia" w:ascii="宋体" w:hAnsi="宋体" w:cs="仿宋"/>
                <w:kern w:val="0"/>
                <w:sz w:val="18"/>
                <w:szCs w:val="18"/>
              </w:rPr>
              <w:t>分。（</w:t>
            </w:r>
            <w:r>
              <w:rPr>
                <w:rFonts w:hint="eastAsia" w:ascii="宋体" w:hAnsi="宋体" w:cs="仿宋"/>
                <w:kern w:val="0"/>
                <w:sz w:val="18"/>
                <w:szCs w:val="18"/>
                <w:lang w:val="en-US" w:eastAsia="zh-CN"/>
              </w:rPr>
              <w:t>在国家认证认可监督管理委员会官网公示以及查询，</w:t>
            </w:r>
            <w:r>
              <w:rPr>
                <w:rFonts w:hint="eastAsia" w:cs="仿宋"/>
                <w:kern w:val="0"/>
                <w:sz w:val="18"/>
                <w:szCs w:val="18"/>
                <w:lang w:val="en-US" w:eastAsia="zh-CN"/>
              </w:rPr>
              <w:t>投标人必须递交</w:t>
            </w:r>
            <w:r>
              <w:rPr>
                <w:rFonts w:hint="eastAsia" w:ascii="宋体" w:hAnsi="宋体" w:cs="仿宋"/>
                <w:kern w:val="0"/>
                <w:sz w:val="18"/>
                <w:szCs w:val="18"/>
                <w:lang w:val="en-US" w:eastAsia="zh-CN"/>
              </w:rPr>
              <w:t>查询截图</w:t>
            </w:r>
            <w:r>
              <w:rPr>
                <w:rFonts w:hint="eastAsia" w:cs="仿宋"/>
                <w:kern w:val="0"/>
                <w:sz w:val="18"/>
                <w:szCs w:val="18"/>
                <w:lang w:val="en-US" w:eastAsia="zh-CN"/>
              </w:rPr>
              <w:t>并</w:t>
            </w:r>
            <w:r>
              <w:rPr>
                <w:rFonts w:hint="eastAsia" w:ascii="宋体" w:hAnsi="宋体" w:cs="仿宋"/>
                <w:kern w:val="0"/>
                <w:sz w:val="18"/>
                <w:szCs w:val="18"/>
                <w:lang w:val="en-US" w:eastAsia="zh-CN"/>
              </w:rPr>
              <w:t>加盖投标人公章。</w:t>
            </w:r>
            <w:r>
              <w:rPr>
                <w:rFonts w:hint="eastAsia" w:ascii="宋体" w:hAnsi="宋体" w:cs="仿宋"/>
                <w:kern w:val="0"/>
                <w:sz w:val="18"/>
                <w:szCs w:val="18"/>
              </w:rPr>
              <w:t>）</w:t>
            </w:r>
            <w:r>
              <w:rPr>
                <w:rFonts w:hint="eastAsia" w:ascii="宋体" w:hAnsi="宋体" w:cs="仿宋"/>
                <w:kern w:val="0"/>
                <w:sz w:val="18"/>
                <w:szCs w:val="18"/>
                <w:lang w:eastAsia="zh-CN"/>
              </w:rPr>
              <w:t>（</w:t>
            </w:r>
            <w:r>
              <w:rPr>
                <w:rFonts w:hint="eastAsia" w:ascii="宋体" w:hAnsi="宋体" w:cs="仿宋"/>
                <w:kern w:val="0"/>
                <w:sz w:val="18"/>
                <w:szCs w:val="18"/>
                <w:lang w:val="en-US" w:eastAsia="zh-CN"/>
              </w:rPr>
              <w:t>3分</w:t>
            </w:r>
            <w:r>
              <w:rPr>
                <w:rFonts w:hint="eastAsia" w:ascii="宋体" w:hAnsi="宋体" w:cs="仿宋"/>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696" w:type="dxa"/>
            <w:noWrap w:val="0"/>
            <w:vAlign w:val="center"/>
          </w:tcPr>
          <w:p>
            <w:pPr>
              <w:ind w:left="0" w:leftChars="0" w:firstLine="180" w:firstLineChars="100"/>
              <w:jc w:val="both"/>
              <w:rPr>
                <w:rFonts w:hint="default" w:cs="Arial"/>
                <w:sz w:val="18"/>
                <w:szCs w:val="18"/>
                <w:lang w:val="en-US" w:eastAsia="zh-CN"/>
              </w:rPr>
            </w:pPr>
            <w:r>
              <w:rPr>
                <w:rFonts w:hint="eastAsia" w:cs="Arial"/>
                <w:sz w:val="18"/>
                <w:szCs w:val="18"/>
                <w:lang w:val="en-US" w:eastAsia="zh-CN"/>
              </w:rPr>
              <w:t>3</w:t>
            </w:r>
          </w:p>
        </w:tc>
        <w:tc>
          <w:tcPr>
            <w:tcW w:w="1693" w:type="dxa"/>
            <w:noWrap w:val="0"/>
            <w:vAlign w:val="center"/>
          </w:tcPr>
          <w:p>
            <w:pPr>
              <w:ind w:firstLine="360" w:firstLineChars="200"/>
              <w:jc w:val="both"/>
              <w:rPr>
                <w:rFonts w:hint="eastAsia" w:cs="Arial"/>
                <w:sz w:val="18"/>
                <w:szCs w:val="18"/>
                <w:lang w:val="en-US"/>
              </w:rPr>
            </w:pPr>
            <w:r>
              <w:rPr>
                <w:rFonts w:hint="eastAsia" w:cs="Arial"/>
                <w:sz w:val="18"/>
                <w:szCs w:val="18"/>
                <w:lang w:val="en-US"/>
              </w:rPr>
              <w:t>维保方案</w:t>
            </w:r>
          </w:p>
        </w:tc>
        <w:tc>
          <w:tcPr>
            <w:tcW w:w="692" w:type="dxa"/>
            <w:noWrap w:val="0"/>
            <w:vAlign w:val="center"/>
          </w:tcPr>
          <w:p>
            <w:pPr>
              <w:ind w:left="0" w:leftChars="0" w:firstLine="0" w:firstLineChars="0"/>
              <w:jc w:val="both"/>
              <w:rPr>
                <w:rFonts w:hint="eastAsia" w:cs="Arial"/>
                <w:sz w:val="18"/>
                <w:szCs w:val="18"/>
                <w:lang w:val="en-US" w:eastAsia="zh-CN"/>
              </w:rPr>
            </w:pPr>
            <w:r>
              <w:rPr>
                <w:rFonts w:hint="eastAsia" w:cs="Arial"/>
                <w:sz w:val="18"/>
                <w:szCs w:val="18"/>
                <w:lang w:val="en-US" w:eastAsia="zh-CN"/>
              </w:rPr>
              <w:t>3分</w:t>
            </w:r>
          </w:p>
        </w:tc>
        <w:tc>
          <w:tcPr>
            <w:tcW w:w="5958" w:type="dxa"/>
            <w:noWrap w:val="0"/>
            <w:vAlign w:val="center"/>
          </w:tcPr>
          <w:p>
            <w:pPr>
              <w:ind w:firstLine="360" w:firstLineChars="200"/>
              <w:jc w:val="both"/>
              <w:rPr>
                <w:rFonts w:hint="eastAsia" w:cs="Arial"/>
                <w:sz w:val="18"/>
                <w:szCs w:val="18"/>
                <w:lang w:val="en-US"/>
              </w:rPr>
            </w:pPr>
            <w:r>
              <w:rPr>
                <w:rFonts w:hint="eastAsia" w:cs="Arial"/>
                <w:sz w:val="18"/>
                <w:szCs w:val="18"/>
                <w:lang w:val="en-US"/>
              </w:rPr>
              <w:t>根据投标人对项目的理解，对应招标文件中提出的技术要求，制定详细、可行、可靠的维保方案，由评标委员会</w:t>
            </w:r>
            <w:r>
              <w:rPr>
                <w:rFonts w:hint="eastAsia" w:cs="Arial"/>
                <w:sz w:val="18"/>
                <w:szCs w:val="18"/>
                <w:lang w:val="en-US" w:eastAsia="zh-CN"/>
              </w:rPr>
              <w:t>进行评分，具有针对性能满足质保期、维修响应时间、三包期以外易损件价格、质保期满后维修保养费以及技术支持及设备维护等内容的得3分，较有针对性基本满足质保期、维修响应时间、三包期以外易损件价格、质保期满后维修保养费以及技术支持及设备维护等内容的得2分，未能满足质保期、维修响应时间、三包期以外易损件价格、质保期满后维修保养费以及技术支持及设备维护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96" w:type="dxa"/>
            <w:noWrap w:val="0"/>
            <w:vAlign w:val="center"/>
          </w:tcPr>
          <w:p>
            <w:pPr>
              <w:ind w:left="0" w:leftChars="0" w:firstLine="180" w:firstLineChars="100"/>
              <w:jc w:val="both"/>
              <w:rPr>
                <w:rFonts w:hint="eastAsia" w:ascii="宋体" w:hAnsi="宋体"/>
                <w:sz w:val="18"/>
                <w:szCs w:val="18"/>
              </w:rPr>
            </w:pPr>
            <w:r>
              <w:rPr>
                <w:rFonts w:hint="eastAsia" w:cs="Arial"/>
                <w:sz w:val="18"/>
                <w:szCs w:val="18"/>
                <w:lang w:val="en-US" w:eastAsia="zh-CN"/>
              </w:rPr>
              <w:t>4</w:t>
            </w:r>
          </w:p>
        </w:tc>
        <w:tc>
          <w:tcPr>
            <w:tcW w:w="1693" w:type="dxa"/>
            <w:noWrap w:val="0"/>
            <w:vAlign w:val="center"/>
          </w:tcPr>
          <w:p>
            <w:pPr>
              <w:ind w:firstLine="360" w:firstLineChars="200"/>
              <w:jc w:val="both"/>
              <w:rPr>
                <w:rFonts w:hint="eastAsia" w:ascii="宋体" w:hAnsi="宋体" w:cs="仿宋"/>
                <w:kern w:val="0"/>
                <w:sz w:val="18"/>
                <w:szCs w:val="18"/>
              </w:rPr>
            </w:pPr>
            <w:r>
              <w:rPr>
                <w:rFonts w:hint="eastAsia" w:cs="Arial"/>
                <w:sz w:val="18"/>
                <w:szCs w:val="18"/>
                <w:lang w:val="en-US"/>
              </w:rPr>
              <w:t>诚信投标</w:t>
            </w:r>
          </w:p>
        </w:tc>
        <w:tc>
          <w:tcPr>
            <w:tcW w:w="692" w:type="dxa"/>
            <w:noWrap w:val="0"/>
            <w:vAlign w:val="center"/>
          </w:tcPr>
          <w:p>
            <w:pPr>
              <w:ind w:left="0" w:leftChars="0" w:firstLine="0" w:firstLineChars="0"/>
              <w:jc w:val="both"/>
              <w:rPr>
                <w:rFonts w:hint="eastAsia" w:ascii="宋体" w:hAnsi="宋体"/>
                <w:sz w:val="18"/>
                <w:szCs w:val="18"/>
              </w:rPr>
            </w:pPr>
            <w:r>
              <w:rPr>
                <w:rFonts w:hint="eastAsia" w:cs="Arial"/>
                <w:sz w:val="18"/>
                <w:szCs w:val="18"/>
                <w:lang w:val="en-US" w:eastAsia="zh-CN"/>
              </w:rPr>
              <w:t>1分</w:t>
            </w:r>
          </w:p>
        </w:tc>
        <w:tc>
          <w:tcPr>
            <w:tcW w:w="5958" w:type="dxa"/>
            <w:noWrap w:val="0"/>
            <w:vAlign w:val="center"/>
          </w:tcPr>
          <w:p>
            <w:pPr>
              <w:ind w:firstLine="360" w:firstLineChars="200"/>
              <w:jc w:val="both"/>
              <w:rPr>
                <w:rFonts w:hint="default" w:ascii="宋体" w:hAnsi="宋体" w:cs="仿宋"/>
                <w:kern w:val="0"/>
                <w:sz w:val="18"/>
                <w:szCs w:val="18"/>
                <w:lang w:val="en-US"/>
              </w:rPr>
            </w:pPr>
            <w:r>
              <w:rPr>
                <w:rFonts w:hint="eastAsia" w:cs="Arial"/>
                <w:sz w:val="18"/>
                <w:szCs w:val="18"/>
                <w:lang w:val="en-US"/>
              </w:rPr>
              <w:t>投标人提交签署并盖章《盐城市大丰区政府招标采购供应商承诺书》原件的得1分；没有提供的不得分。</w:t>
            </w:r>
          </w:p>
        </w:tc>
      </w:tr>
    </w:tbl>
    <w:p>
      <w:pPr>
        <w:pStyle w:val="21"/>
        <w:numPr>
          <w:ilvl w:val="1"/>
          <w:numId w:val="12"/>
        </w:numPr>
        <w:tabs>
          <w:tab w:val="left" w:pos="1212"/>
        </w:tabs>
        <w:spacing w:before="3" w:after="0" w:line="427" w:lineRule="auto"/>
        <w:ind w:left="392" w:right="547" w:firstLine="419"/>
        <w:jc w:val="both"/>
        <w:rPr>
          <w:sz w:val="21"/>
        </w:rPr>
      </w:pPr>
      <w:r>
        <w:rPr>
          <w:spacing w:val="-3"/>
          <w:sz w:val="21"/>
        </w:rPr>
        <w:t>评委应记名打分</w:t>
      </w:r>
      <w:r>
        <w:rPr>
          <w:spacing w:val="-8"/>
          <w:sz w:val="21"/>
        </w:rPr>
        <w:t>各项汇总时，每大项记分保留三位小数</w:t>
      </w:r>
      <w:r>
        <w:rPr>
          <w:spacing w:val="-3"/>
          <w:sz w:val="21"/>
        </w:rPr>
        <w:t>（第四位四舍五入</w:t>
      </w:r>
      <w:r>
        <w:rPr>
          <w:sz w:val="21"/>
        </w:rPr>
        <w:t>）</w:t>
      </w:r>
      <w:r>
        <w:rPr>
          <w:spacing w:val="-3"/>
          <w:sz w:val="21"/>
        </w:rPr>
        <w:t>；总得分汇总时保留两位小数（第三位四舍五入）</w:t>
      </w:r>
      <w:r>
        <w:rPr>
          <w:sz w:val="21"/>
        </w:rPr>
        <w:t>。</w:t>
      </w:r>
    </w:p>
    <w:p>
      <w:pPr>
        <w:pStyle w:val="6"/>
        <w:numPr>
          <w:ilvl w:val="0"/>
          <w:numId w:val="14"/>
        </w:numPr>
        <w:tabs>
          <w:tab w:val="left" w:pos="1027"/>
        </w:tabs>
        <w:spacing w:before="56" w:after="0" w:line="240" w:lineRule="auto"/>
        <w:ind w:left="1026" w:right="0" w:hanging="212"/>
        <w:jc w:val="left"/>
      </w:pPr>
      <w:r>
        <w:t>评标程序</w:t>
      </w:r>
    </w:p>
    <w:p>
      <w:pPr>
        <w:pStyle w:val="2"/>
        <w:spacing w:before="6"/>
        <w:rPr>
          <w:b/>
          <w:sz w:val="16"/>
        </w:rPr>
      </w:pPr>
    </w:p>
    <w:p>
      <w:pPr>
        <w:pStyle w:val="21"/>
        <w:numPr>
          <w:ilvl w:val="1"/>
          <w:numId w:val="14"/>
        </w:numPr>
        <w:tabs>
          <w:tab w:val="left" w:pos="1183"/>
        </w:tabs>
        <w:spacing w:before="0" w:after="0" w:line="240" w:lineRule="auto"/>
        <w:ind w:left="1182" w:right="0" w:hanging="371"/>
        <w:jc w:val="left"/>
        <w:rPr>
          <w:rFonts w:hint="eastAsia" w:ascii="黑体" w:eastAsia="黑体"/>
          <w:sz w:val="21"/>
        </w:rPr>
      </w:pPr>
      <w:r>
        <w:rPr>
          <w:rFonts w:hint="eastAsia" w:ascii="黑体" w:eastAsia="黑体"/>
          <w:spacing w:val="-3"/>
          <w:sz w:val="21"/>
        </w:rPr>
        <w:t>评标准备</w:t>
      </w:r>
    </w:p>
    <w:p>
      <w:pPr>
        <w:pStyle w:val="2"/>
        <w:spacing w:before="6"/>
        <w:rPr>
          <w:rFonts w:ascii="黑体"/>
          <w:sz w:val="16"/>
        </w:rPr>
      </w:pPr>
    </w:p>
    <w:p>
      <w:pPr>
        <w:pStyle w:val="21"/>
        <w:numPr>
          <w:ilvl w:val="2"/>
          <w:numId w:val="14"/>
        </w:numPr>
        <w:tabs>
          <w:tab w:val="left" w:pos="1445"/>
        </w:tabs>
        <w:spacing w:before="0" w:after="0" w:line="240" w:lineRule="auto"/>
        <w:ind w:left="1444" w:right="0" w:hanging="633"/>
        <w:jc w:val="left"/>
        <w:rPr>
          <w:sz w:val="21"/>
        </w:rPr>
      </w:pPr>
      <w:r>
        <w:rPr>
          <w:spacing w:val="-3"/>
          <w:sz w:val="21"/>
        </w:rPr>
        <w:t>评标委员会成员到达评标现场时应在签到表上签到</w:t>
      </w:r>
      <w:r>
        <w:rPr>
          <w:sz w:val="21"/>
        </w:rPr>
        <w:t>（</w:t>
      </w:r>
      <w:r>
        <w:rPr>
          <w:spacing w:val="-3"/>
          <w:sz w:val="21"/>
        </w:rPr>
        <w:t>或通过门禁系统签到）以证明其出席。</w:t>
      </w:r>
    </w:p>
    <w:p>
      <w:pPr>
        <w:pStyle w:val="2"/>
        <w:spacing w:before="5"/>
        <w:rPr>
          <w:sz w:val="16"/>
        </w:rPr>
      </w:pPr>
    </w:p>
    <w:p>
      <w:pPr>
        <w:pStyle w:val="21"/>
        <w:numPr>
          <w:ilvl w:val="2"/>
          <w:numId w:val="14"/>
        </w:numPr>
        <w:tabs>
          <w:tab w:val="left" w:pos="1445"/>
        </w:tabs>
        <w:spacing w:before="1" w:after="0" w:line="240" w:lineRule="auto"/>
        <w:ind w:left="1444" w:right="0" w:hanging="633"/>
        <w:jc w:val="left"/>
        <w:rPr>
          <w:sz w:val="21"/>
        </w:rPr>
      </w:pPr>
      <w:r>
        <w:rPr>
          <w:spacing w:val="-3"/>
          <w:sz w:val="21"/>
        </w:rPr>
        <w:t>评标委员会成员首先推选一名评标委员会负责人，负责评标活动的组织领导工作。</w:t>
      </w:r>
    </w:p>
    <w:p>
      <w:pPr>
        <w:pStyle w:val="2"/>
        <w:spacing w:before="5"/>
        <w:rPr>
          <w:sz w:val="16"/>
        </w:rPr>
      </w:pPr>
    </w:p>
    <w:p>
      <w:pPr>
        <w:pStyle w:val="21"/>
        <w:numPr>
          <w:ilvl w:val="2"/>
          <w:numId w:val="14"/>
        </w:numPr>
        <w:tabs>
          <w:tab w:val="left" w:pos="1445"/>
        </w:tabs>
        <w:spacing w:before="1" w:after="0" w:line="427" w:lineRule="auto"/>
        <w:ind w:left="392" w:right="547" w:firstLine="419"/>
        <w:jc w:val="left"/>
        <w:rPr>
          <w:sz w:val="21"/>
        </w:rPr>
      </w:pPr>
      <w:r>
        <w:rPr>
          <w:spacing w:val="-4"/>
          <w:sz w:val="21"/>
        </w:rPr>
        <w:t>招标人或招标代理机构应向评标委员会提供评标所需的信息和数据。评标委员会负责人应组织</w:t>
      </w:r>
      <w:r>
        <w:rPr>
          <w:spacing w:val="-3"/>
          <w:sz w:val="21"/>
        </w:rPr>
        <w:t>评标委员会成员认真研究招标文件，未在招标文件中规定的标准和方法不得作为评标的依据。</w:t>
      </w:r>
    </w:p>
    <w:p>
      <w:pPr>
        <w:pStyle w:val="21"/>
        <w:numPr>
          <w:ilvl w:val="1"/>
          <w:numId w:val="14"/>
        </w:numPr>
        <w:tabs>
          <w:tab w:val="left" w:pos="1183"/>
        </w:tabs>
        <w:spacing w:before="2" w:after="0" w:line="240" w:lineRule="auto"/>
        <w:ind w:left="1182" w:right="0" w:hanging="371"/>
        <w:jc w:val="left"/>
        <w:rPr>
          <w:rFonts w:hint="eastAsia" w:ascii="黑体" w:eastAsia="黑体"/>
          <w:sz w:val="21"/>
        </w:rPr>
      </w:pPr>
      <w:r>
        <w:rPr>
          <w:rFonts w:hint="eastAsia" w:ascii="黑体" w:eastAsia="黑体"/>
          <w:spacing w:val="-3"/>
          <w:sz w:val="21"/>
        </w:rPr>
        <w:t>初步评审</w:t>
      </w:r>
    </w:p>
    <w:p>
      <w:pPr>
        <w:pStyle w:val="2"/>
        <w:spacing w:before="6"/>
        <w:rPr>
          <w:rFonts w:ascii="黑体"/>
          <w:sz w:val="16"/>
        </w:rPr>
      </w:pPr>
    </w:p>
    <w:p>
      <w:pPr>
        <w:pStyle w:val="21"/>
        <w:numPr>
          <w:ilvl w:val="2"/>
          <w:numId w:val="14"/>
        </w:numPr>
        <w:tabs>
          <w:tab w:val="left" w:pos="1392"/>
        </w:tabs>
        <w:spacing w:before="0" w:after="0" w:line="240" w:lineRule="auto"/>
        <w:ind w:left="1391" w:right="0" w:hanging="580"/>
        <w:jc w:val="left"/>
        <w:rPr>
          <w:sz w:val="21"/>
        </w:rPr>
      </w:pPr>
      <w:r>
        <w:rPr>
          <w:spacing w:val="-8"/>
          <w:sz w:val="21"/>
        </w:rPr>
        <w:t xml:space="preserve">评标委员会依据本章第 </w:t>
      </w:r>
      <w:r>
        <w:rPr>
          <w:sz w:val="21"/>
        </w:rPr>
        <w:t>2.1</w:t>
      </w:r>
      <w:r>
        <w:rPr>
          <w:spacing w:val="-3"/>
          <w:sz w:val="21"/>
        </w:rPr>
        <w:t xml:space="preserve"> 款规定的标准对投标文件进行初步评审。</w:t>
      </w:r>
    </w:p>
    <w:p>
      <w:pPr>
        <w:pStyle w:val="2"/>
        <w:spacing w:before="6"/>
        <w:rPr>
          <w:sz w:val="16"/>
        </w:rPr>
      </w:pPr>
    </w:p>
    <w:p>
      <w:pPr>
        <w:pStyle w:val="21"/>
        <w:numPr>
          <w:ilvl w:val="2"/>
          <w:numId w:val="14"/>
        </w:numPr>
        <w:tabs>
          <w:tab w:val="left" w:pos="1401"/>
        </w:tabs>
        <w:spacing w:before="0" w:after="0" w:line="427" w:lineRule="auto"/>
        <w:ind w:left="392" w:right="547" w:firstLine="419"/>
        <w:jc w:val="left"/>
        <w:rPr>
          <w:sz w:val="21"/>
        </w:rPr>
      </w:pPr>
      <w:r>
        <w:rPr>
          <w:spacing w:val="-5"/>
          <w:sz w:val="21"/>
        </w:rPr>
        <w:t xml:space="preserve">投标文件不符合本章第 </w:t>
      </w:r>
      <w:r>
        <w:rPr>
          <w:sz w:val="21"/>
        </w:rPr>
        <w:t>2.1</w:t>
      </w:r>
      <w:r>
        <w:rPr>
          <w:spacing w:val="-6"/>
          <w:sz w:val="21"/>
        </w:rPr>
        <w:t xml:space="preserve"> 款评审标准的，属于重大偏差，视为未能对招标文件作出实质性响</w:t>
      </w:r>
      <w:r>
        <w:rPr>
          <w:spacing w:val="-4"/>
          <w:sz w:val="21"/>
        </w:rPr>
        <w:t>应，应当作为无效投标予以否决。</w:t>
      </w:r>
    </w:p>
    <w:p>
      <w:pPr>
        <w:pStyle w:val="21"/>
        <w:numPr>
          <w:ilvl w:val="2"/>
          <w:numId w:val="14"/>
        </w:numPr>
        <w:tabs>
          <w:tab w:val="left" w:pos="1401"/>
        </w:tabs>
        <w:spacing w:before="2" w:after="0" w:line="427" w:lineRule="auto"/>
        <w:ind w:left="392" w:right="547" w:firstLine="419"/>
        <w:jc w:val="left"/>
        <w:rPr>
          <w:sz w:val="21"/>
        </w:rPr>
      </w:pPr>
      <w:r>
        <w:rPr>
          <w:spacing w:val="-6"/>
          <w:sz w:val="21"/>
        </w:rPr>
        <w:t xml:space="preserve">对照投标人须知 </w:t>
      </w:r>
      <w:r>
        <w:rPr>
          <w:sz w:val="21"/>
        </w:rPr>
        <w:t>6.5</w:t>
      </w:r>
      <w:r>
        <w:rPr>
          <w:spacing w:val="-6"/>
          <w:sz w:val="21"/>
        </w:rPr>
        <w:t xml:space="preserve"> 款，投标文件有上述情况之一，视为未能对招标文件作出实质性响应，凡</w:t>
      </w:r>
      <w:r>
        <w:rPr>
          <w:spacing w:val="-4"/>
          <w:sz w:val="21"/>
        </w:rPr>
        <w:t>招标文件未明确标明无效标条款的，评标委员会不得作为判定无效投标的依据。</w:t>
      </w:r>
    </w:p>
    <w:p>
      <w:pPr>
        <w:pStyle w:val="21"/>
        <w:numPr>
          <w:ilvl w:val="2"/>
          <w:numId w:val="14"/>
        </w:numPr>
        <w:tabs>
          <w:tab w:val="left" w:pos="1445"/>
        </w:tabs>
        <w:spacing w:before="2" w:after="0" w:line="427" w:lineRule="auto"/>
        <w:ind w:left="392" w:right="547" w:firstLine="419"/>
        <w:jc w:val="left"/>
        <w:rPr>
          <w:sz w:val="21"/>
        </w:rPr>
      </w:pPr>
      <w:r>
        <w:rPr>
          <w:spacing w:val="-6"/>
          <w:sz w:val="21"/>
        </w:rPr>
        <w:t>投标报价有算术错误的，评标委员会按以下原则对投标报价进行修正，修正的价格经投标人书</w:t>
      </w:r>
      <w:r>
        <w:rPr>
          <w:spacing w:val="-4"/>
          <w:sz w:val="21"/>
        </w:rPr>
        <w:t>面确认后具有约束力。</w:t>
      </w:r>
    </w:p>
    <w:p>
      <w:pPr>
        <w:pStyle w:val="2"/>
        <w:spacing w:before="2"/>
        <w:ind w:left="812"/>
      </w:pPr>
      <w:r>
        <w:t>(1）投标文件中的大写金额与小写金额不一致的，以大写金额为准；</w:t>
      </w:r>
    </w:p>
    <w:p>
      <w:pPr>
        <w:pStyle w:val="2"/>
        <w:spacing w:before="6"/>
        <w:rPr>
          <w:sz w:val="16"/>
        </w:rPr>
      </w:pPr>
    </w:p>
    <w:p>
      <w:pPr>
        <w:pStyle w:val="2"/>
        <w:spacing w:line="427" w:lineRule="auto"/>
        <w:ind w:left="392" w:right="547" w:firstLine="419"/>
      </w:pPr>
      <w:r>
        <w:rPr>
          <w:spacing w:val="-4"/>
        </w:rPr>
        <w:t>(2）</w:t>
      </w:r>
      <w:r>
        <w:rPr>
          <w:spacing w:val="-5"/>
        </w:rPr>
        <w:t>总价金额与依据单价计算出的结果不一致的，以单价金额为准修正总价，但单价金额小数点有明</w:t>
      </w:r>
      <w:r>
        <w:rPr>
          <w:spacing w:val="-4"/>
        </w:rPr>
        <w:t>显错误的除外。</w:t>
      </w:r>
    </w:p>
    <w:p>
      <w:pPr>
        <w:pStyle w:val="21"/>
        <w:numPr>
          <w:ilvl w:val="2"/>
          <w:numId w:val="14"/>
        </w:numPr>
        <w:tabs>
          <w:tab w:val="left" w:pos="1392"/>
        </w:tabs>
        <w:spacing w:before="2" w:after="0" w:line="240" w:lineRule="auto"/>
        <w:ind w:left="1391" w:right="0" w:hanging="580"/>
        <w:jc w:val="left"/>
        <w:rPr>
          <w:sz w:val="21"/>
        </w:rPr>
      </w:pPr>
      <w:r>
        <w:rPr>
          <w:spacing w:val="-3"/>
          <w:sz w:val="21"/>
        </w:rPr>
        <w:t>只有通过初步评审的投标文件才能进入详细评审。</w:t>
      </w:r>
    </w:p>
    <w:p>
      <w:pPr>
        <w:pStyle w:val="2"/>
        <w:spacing w:before="6"/>
        <w:rPr>
          <w:sz w:val="16"/>
        </w:rPr>
      </w:pPr>
    </w:p>
    <w:p>
      <w:pPr>
        <w:pStyle w:val="21"/>
        <w:numPr>
          <w:ilvl w:val="1"/>
          <w:numId w:val="14"/>
        </w:numPr>
        <w:tabs>
          <w:tab w:val="left" w:pos="1183"/>
        </w:tabs>
        <w:spacing w:before="0" w:after="0" w:line="240" w:lineRule="auto"/>
        <w:ind w:left="1182" w:right="0" w:hanging="371"/>
        <w:jc w:val="left"/>
        <w:rPr>
          <w:rFonts w:hint="eastAsia" w:ascii="黑体" w:eastAsia="黑体"/>
          <w:sz w:val="21"/>
        </w:rPr>
      </w:pPr>
      <w:r>
        <w:rPr>
          <w:rFonts w:hint="eastAsia" w:ascii="黑体" w:eastAsia="黑体"/>
          <w:spacing w:val="-3"/>
          <w:sz w:val="21"/>
        </w:rPr>
        <w:t>详细评审</w:t>
      </w:r>
    </w:p>
    <w:p>
      <w:pPr>
        <w:pStyle w:val="2"/>
        <w:spacing w:before="6"/>
        <w:rPr>
          <w:rFonts w:ascii="黑体"/>
          <w:sz w:val="16"/>
        </w:rPr>
      </w:pPr>
    </w:p>
    <w:p>
      <w:pPr>
        <w:pStyle w:val="21"/>
        <w:numPr>
          <w:ilvl w:val="2"/>
          <w:numId w:val="14"/>
        </w:numPr>
        <w:tabs>
          <w:tab w:val="left" w:pos="1341"/>
        </w:tabs>
        <w:spacing w:before="0" w:after="0" w:line="427" w:lineRule="auto"/>
        <w:ind w:left="392" w:right="547" w:firstLine="419"/>
        <w:jc w:val="left"/>
        <w:rPr>
          <w:rFonts w:ascii="Times New Roman" w:hAnsi="Times New Roman" w:eastAsia="Times New Roman"/>
          <w:sz w:val="21"/>
        </w:rPr>
      </w:pPr>
      <w:r>
        <w:rPr>
          <w:sz w:val="21"/>
        </w:rPr>
        <w:t>在详细评审发现符合“无效标书条款”的，应当作为无效投标予以否决，其投标报价亦不作为</w:t>
      </w:r>
      <w:r>
        <w:rPr>
          <w:spacing w:val="-3"/>
          <w:sz w:val="21"/>
        </w:rPr>
        <w:t>评标基准价的依据。</w:t>
      </w:r>
    </w:p>
    <w:p>
      <w:pPr>
        <w:pStyle w:val="21"/>
        <w:numPr>
          <w:ilvl w:val="2"/>
          <w:numId w:val="14"/>
        </w:numPr>
        <w:tabs>
          <w:tab w:val="left" w:pos="1339"/>
        </w:tabs>
        <w:spacing w:before="2" w:after="0" w:line="240" w:lineRule="auto"/>
        <w:ind w:left="1338" w:right="0" w:hanging="527"/>
        <w:jc w:val="left"/>
        <w:rPr>
          <w:rFonts w:ascii="Times New Roman" w:eastAsia="Times New Roman"/>
          <w:sz w:val="21"/>
        </w:rPr>
      </w:pPr>
      <w:r>
        <w:rPr>
          <w:spacing w:val="-8"/>
          <w:sz w:val="21"/>
        </w:rPr>
        <w:t xml:space="preserve">评标委员会按本章第 </w:t>
      </w:r>
      <w:r>
        <w:rPr>
          <w:rFonts w:ascii="Times New Roman" w:eastAsia="Times New Roman"/>
          <w:sz w:val="21"/>
        </w:rPr>
        <w:t>2.2</w:t>
      </w:r>
      <w:r>
        <w:rPr>
          <w:rFonts w:ascii="Times New Roman" w:eastAsia="Times New Roman"/>
          <w:spacing w:val="-1"/>
          <w:sz w:val="21"/>
        </w:rPr>
        <w:t xml:space="preserve"> </w:t>
      </w:r>
      <w:r>
        <w:rPr>
          <w:spacing w:val="-3"/>
          <w:sz w:val="21"/>
        </w:rPr>
        <w:t>款规定的量化因素和分值进行打分，并计算出综合评估得分。</w:t>
      </w:r>
    </w:p>
    <w:p>
      <w:pPr>
        <w:pStyle w:val="2"/>
        <w:spacing w:before="6"/>
        <w:rPr>
          <w:sz w:val="16"/>
        </w:rPr>
      </w:pPr>
    </w:p>
    <w:p>
      <w:pPr>
        <w:pStyle w:val="21"/>
        <w:numPr>
          <w:ilvl w:val="2"/>
          <w:numId w:val="14"/>
        </w:numPr>
        <w:tabs>
          <w:tab w:val="left" w:pos="1339"/>
        </w:tabs>
        <w:spacing w:before="0" w:after="0" w:line="240" w:lineRule="auto"/>
        <w:ind w:left="1338" w:right="0" w:hanging="527"/>
        <w:jc w:val="left"/>
        <w:rPr>
          <w:rFonts w:ascii="Times New Roman" w:hAnsi="Times New Roman" w:eastAsia="Times New Roman"/>
          <w:sz w:val="21"/>
        </w:rPr>
      </w:pPr>
      <w:r>
        <w:rPr>
          <w:spacing w:val="-3"/>
          <w:sz w:val="21"/>
        </w:rPr>
        <w:t>评分分值计算保留小数点后两位，小数点后第三位“四舍五入”。</w:t>
      </w:r>
    </w:p>
    <w:p>
      <w:pPr>
        <w:pStyle w:val="2"/>
        <w:spacing w:before="6"/>
        <w:rPr>
          <w:sz w:val="16"/>
        </w:rPr>
      </w:pPr>
    </w:p>
    <w:p>
      <w:pPr>
        <w:pStyle w:val="21"/>
        <w:numPr>
          <w:ilvl w:val="1"/>
          <w:numId w:val="14"/>
        </w:numPr>
        <w:tabs>
          <w:tab w:val="left" w:pos="1183"/>
        </w:tabs>
        <w:spacing w:before="0" w:after="0" w:line="240" w:lineRule="auto"/>
        <w:ind w:left="1182" w:right="0" w:hanging="371"/>
        <w:jc w:val="left"/>
        <w:rPr>
          <w:rFonts w:hint="eastAsia" w:ascii="黑体" w:eastAsia="黑体"/>
          <w:sz w:val="21"/>
        </w:rPr>
      </w:pPr>
      <w:r>
        <w:rPr>
          <w:rFonts w:hint="eastAsia" w:ascii="黑体" w:eastAsia="黑体"/>
          <w:spacing w:val="-3"/>
          <w:sz w:val="21"/>
        </w:rPr>
        <w:t>投标文件的澄清和补正</w:t>
      </w:r>
    </w:p>
    <w:p>
      <w:pPr>
        <w:pStyle w:val="2"/>
        <w:spacing w:before="6"/>
        <w:rPr>
          <w:rFonts w:ascii="黑体"/>
          <w:sz w:val="16"/>
        </w:rPr>
      </w:pPr>
    </w:p>
    <w:p>
      <w:pPr>
        <w:pStyle w:val="21"/>
        <w:numPr>
          <w:ilvl w:val="2"/>
          <w:numId w:val="14"/>
        </w:numPr>
        <w:tabs>
          <w:tab w:val="left" w:pos="1445"/>
        </w:tabs>
        <w:spacing w:before="0" w:after="0" w:line="427" w:lineRule="auto"/>
        <w:ind w:left="392" w:right="547" w:firstLine="419"/>
        <w:jc w:val="left"/>
        <w:rPr>
          <w:sz w:val="21"/>
        </w:rPr>
      </w:pPr>
      <w:r>
        <w:rPr>
          <w:spacing w:val="-6"/>
          <w:sz w:val="21"/>
        </w:rPr>
        <w:t>在评标过程中，评标委员会可以书面形式要求投标人对所提交投标文件中不明确的内容进行书</w:t>
      </w:r>
      <w:r>
        <w:rPr>
          <w:spacing w:val="-4"/>
          <w:sz w:val="21"/>
        </w:rPr>
        <w:t>面澄清或说明，或者对细微偏差进行补正。评标委员会不接受投标人主动提出的澄清、说明或补正。</w:t>
      </w:r>
    </w:p>
    <w:p>
      <w:pPr>
        <w:pStyle w:val="21"/>
        <w:numPr>
          <w:ilvl w:val="2"/>
          <w:numId w:val="14"/>
        </w:numPr>
        <w:tabs>
          <w:tab w:val="left" w:pos="1445"/>
        </w:tabs>
        <w:spacing w:before="2" w:after="0" w:line="427" w:lineRule="auto"/>
        <w:ind w:left="392" w:right="549" w:firstLine="419"/>
        <w:jc w:val="left"/>
        <w:rPr>
          <w:sz w:val="21"/>
        </w:rPr>
      </w:pPr>
      <w:r>
        <w:rPr>
          <w:spacing w:val="-4"/>
          <w:sz w:val="21"/>
        </w:rPr>
        <w:t>澄清、说明和补正不得改变投标文件的实质性内容</w:t>
      </w:r>
      <w:r>
        <w:rPr>
          <w:spacing w:val="-3"/>
          <w:sz w:val="21"/>
        </w:rPr>
        <w:t>（算术性错误修正的除外</w:t>
      </w:r>
      <w:r>
        <w:rPr>
          <w:spacing w:val="-8"/>
          <w:sz w:val="21"/>
        </w:rPr>
        <w:t>）</w:t>
      </w:r>
      <w:r>
        <w:rPr>
          <w:spacing w:val="-3"/>
          <w:sz w:val="21"/>
        </w:rPr>
        <w:t>。投标人的书面澄清、说明和补正属于投标文件的组成部分。</w:t>
      </w:r>
    </w:p>
    <w:p>
      <w:pPr>
        <w:pStyle w:val="21"/>
        <w:numPr>
          <w:ilvl w:val="2"/>
          <w:numId w:val="14"/>
        </w:numPr>
        <w:tabs>
          <w:tab w:val="left" w:pos="1445"/>
        </w:tabs>
        <w:spacing w:before="56" w:after="0" w:line="427" w:lineRule="auto"/>
        <w:ind w:left="392" w:right="547" w:firstLine="419"/>
        <w:jc w:val="left"/>
        <w:rPr>
          <w:sz w:val="21"/>
        </w:rPr>
      </w:pPr>
      <w:r>
        <w:rPr>
          <w:spacing w:val="-6"/>
          <w:sz w:val="21"/>
        </w:rPr>
        <w:t>评标委员会对投标人提交的澄清、说明或补正有疑问的，可以要求投标人进一步澄清、说明或补正。</w:t>
      </w:r>
    </w:p>
    <w:p>
      <w:pPr>
        <w:pStyle w:val="21"/>
        <w:numPr>
          <w:ilvl w:val="1"/>
          <w:numId w:val="14"/>
        </w:numPr>
        <w:tabs>
          <w:tab w:val="left" w:pos="1183"/>
        </w:tabs>
        <w:spacing w:before="2" w:after="0" w:line="240" w:lineRule="auto"/>
        <w:ind w:left="1182" w:right="0" w:hanging="371"/>
        <w:jc w:val="left"/>
        <w:rPr>
          <w:rFonts w:hint="eastAsia" w:ascii="黑体" w:eastAsia="黑体"/>
          <w:sz w:val="21"/>
        </w:rPr>
      </w:pPr>
      <w:r>
        <w:rPr>
          <w:rFonts w:hint="eastAsia" w:ascii="黑体" w:eastAsia="黑体"/>
          <w:spacing w:val="-3"/>
          <w:sz w:val="21"/>
        </w:rPr>
        <w:t>推荐中标候选人</w:t>
      </w:r>
    </w:p>
    <w:p>
      <w:pPr>
        <w:pStyle w:val="2"/>
        <w:spacing w:before="6"/>
        <w:rPr>
          <w:rFonts w:ascii="黑体"/>
          <w:sz w:val="16"/>
        </w:rPr>
      </w:pPr>
    </w:p>
    <w:p>
      <w:pPr>
        <w:pStyle w:val="21"/>
        <w:numPr>
          <w:ilvl w:val="2"/>
          <w:numId w:val="14"/>
        </w:numPr>
        <w:tabs>
          <w:tab w:val="left" w:pos="1342"/>
        </w:tabs>
        <w:spacing w:before="0" w:after="0" w:line="240" w:lineRule="auto"/>
        <w:ind w:left="1341" w:right="0" w:hanging="530"/>
        <w:jc w:val="left"/>
        <w:rPr>
          <w:rFonts w:hint="eastAsia" w:ascii="黑体" w:eastAsia="黑体"/>
          <w:sz w:val="19"/>
        </w:rPr>
      </w:pPr>
      <w:r>
        <w:rPr>
          <w:spacing w:val="-3"/>
          <w:sz w:val="21"/>
        </w:rPr>
        <w:t>评标委员会在推荐中标候选人时，应遵照以下原则:</w:t>
      </w:r>
    </w:p>
    <w:p>
      <w:pPr>
        <w:pStyle w:val="2"/>
        <w:spacing w:before="6"/>
        <w:rPr>
          <w:sz w:val="16"/>
        </w:rPr>
      </w:pPr>
    </w:p>
    <w:p>
      <w:pPr>
        <w:pStyle w:val="2"/>
        <w:spacing w:line="427" w:lineRule="auto"/>
        <w:ind w:left="392" w:right="547" w:firstLine="419"/>
      </w:pPr>
      <w:r>
        <w:rPr>
          <w:spacing w:val="-5"/>
        </w:rPr>
        <w:t>评标委员会按照最终得分由高至低的次序排列，并根据投标人须知前附表规定的中标候选人数量，将</w:t>
      </w:r>
      <w:r>
        <w:rPr>
          <w:spacing w:val="-4"/>
        </w:rPr>
        <w:t>排序在前的投标人推荐为中标候选人。</w:t>
      </w:r>
    </w:p>
    <w:p>
      <w:pPr>
        <w:pStyle w:val="2"/>
        <w:spacing w:before="2" w:line="427" w:lineRule="auto"/>
        <w:ind w:left="392" w:right="547" w:firstLine="419"/>
      </w:pPr>
      <w:r>
        <w:rPr>
          <w:spacing w:val="-5"/>
        </w:rPr>
        <w:t>招标人有权在中标公示期间、签约前后等任何环节对相关资料的真实性进行核验，如发现提供虚假资</w:t>
      </w:r>
      <w:r>
        <w:rPr>
          <w:spacing w:val="-4"/>
        </w:rPr>
        <w:t>料采购人将依法取消其中标资格。</w:t>
      </w:r>
    </w:p>
    <w:p>
      <w:pPr>
        <w:pStyle w:val="21"/>
        <w:numPr>
          <w:ilvl w:val="1"/>
          <w:numId w:val="14"/>
        </w:numPr>
        <w:tabs>
          <w:tab w:val="left" w:pos="1183"/>
        </w:tabs>
        <w:spacing w:before="0" w:after="0" w:line="254" w:lineRule="exact"/>
        <w:ind w:left="1182" w:right="0" w:hanging="371"/>
        <w:jc w:val="left"/>
        <w:rPr>
          <w:rFonts w:hint="eastAsia" w:ascii="黑体" w:eastAsia="黑体"/>
          <w:sz w:val="21"/>
        </w:rPr>
      </w:pPr>
      <w:r>
        <w:rPr>
          <w:rFonts w:hint="eastAsia" w:ascii="黑体" w:eastAsia="黑体"/>
          <w:spacing w:val="-3"/>
          <w:sz w:val="21"/>
        </w:rPr>
        <w:t>提交评标报告</w:t>
      </w:r>
    </w:p>
    <w:p>
      <w:pPr>
        <w:pStyle w:val="2"/>
        <w:spacing w:before="192" w:line="408" w:lineRule="auto"/>
        <w:ind w:left="392" w:right="444" w:firstLine="419"/>
      </w:pPr>
      <w:r>
        <w:rPr>
          <w:spacing w:val="-12"/>
        </w:rPr>
        <w:t xml:space="preserve">评标委员会完成评标后，应当向招标人提交书面评标报告。评标报告应当由全体评标委员会成员签字， </w:t>
      </w:r>
      <w:r>
        <w:rPr>
          <w:spacing w:val="-6"/>
        </w:rPr>
        <w:t>并于评标结束时抄送有关行政监督部门。</w:t>
      </w:r>
    </w:p>
    <w:p>
      <w:pPr>
        <w:pStyle w:val="2"/>
        <w:sectPr>
          <w:pgSz w:w="11910" w:h="16840"/>
          <w:pgMar w:top="1540" w:right="580" w:bottom="1660" w:left="740" w:header="0" w:footer="1479" w:gutter="0"/>
          <w:pgNumType w:fmt="decimal"/>
          <w:cols w:space="720" w:num="1"/>
        </w:sectPr>
      </w:pPr>
    </w:p>
    <w:p>
      <w:pPr>
        <w:pStyle w:val="6"/>
        <w:spacing w:before="53" w:line="446" w:lineRule="auto"/>
        <w:ind w:left="392" w:right="645" w:firstLine="480"/>
      </w:pPr>
      <w:r>
        <w:t>根据《中华人民共和国政府采购法实施条例》第九条规定，评委评标前签订评标回避书，作为永久档案存档。</w:t>
      </w:r>
    </w:p>
    <w:p>
      <w:pPr>
        <w:spacing w:before="0"/>
        <w:ind w:left="815" w:right="0" w:firstLine="0"/>
        <w:jc w:val="left"/>
        <w:rPr>
          <w:b/>
          <w:sz w:val="21"/>
        </w:rPr>
      </w:pPr>
      <w:r>
        <w:rPr>
          <w:b/>
          <w:sz w:val="21"/>
        </w:rPr>
        <w:t>评标回避书参考格式：</w:t>
      </w:r>
    </w:p>
    <w:p>
      <w:pPr>
        <w:pStyle w:val="2"/>
        <w:spacing w:before="12"/>
        <w:rPr>
          <w:b/>
          <w:sz w:val="17"/>
        </w:rPr>
      </w:pPr>
    </w:p>
    <w:p>
      <w:pPr>
        <w:spacing w:before="0"/>
        <w:ind w:left="4895" w:right="0" w:firstLine="0"/>
        <w:jc w:val="left"/>
        <w:rPr>
          <w:b/>
          <w:sz w:val="21"/>
        </w:rPr>
      </w:pPr>
      <w:r>
        <w:rPr>
          <w:b/>
          <w:sz w:val="21"/>
        </w:rPr>
        <w:t>评标回避书</w:t>
      </w:r>
    </w:p>
    <w:p>
      <w:pPr>
        <w:pStyle w:val="2"/>
        <w:spacing w:before="12"/>
        <w:rPr>
          <w:b/>
          <w:sz w:val="17"/>
        </w:rPr>
      </w:pPr>
    </w:p>
    <w:p>
      <w:pPr>
        <w:pStyle w:val="2"/>
        <w:spacing w:line="446" w:lineRule="auto"/>
        <w:ind w:left="392" w:right="552" w:firstLine="419"/>
      </w:pPr>
      <w:r>
        <w:rPr>
          <w:spacing w:val="-6"/>
        </w:rPr>
        <w:t>根据《中华人民共和国政府采购法实施条例》第九条规定，在政府采购活动中，采购人员及相关人员</w:t>
      </w:r>
      <w:r>
        <w:rPr>
          <w:spacing w:val="-4"/>
        </w:rPr>
        <w:t>与供应商有下列利害关系之一的，应当回避：</w:t>
      </w:r>
    </w:p>
    <w:p>
      <w:pPr>
        <w:pStyle w:val="2"/>
        <w:ind w:left="1235"/>
      </w:pPr>
      <w:r>
        <w:t>（一）参加采购活动前</w:t>
      </w:r>
      <w:r>
        <w:rPr>
          <w:rFonts w:ascii="Times New Roman" w:eastAsia="Times New Roman"/>
        </w:rPr>
        <w:t>3</w:t>
      </w:r>
      <w:r>
        <w:t>年内与供应商存在劳动关系；</w:t>
      </w:r>
    </w:p>
    <w:p>
      <w:pPr>
        <w:pStyle w:val="2"/>
        <w:rPr>
          <w:sz w:val="18"/>
        </w:rPr>
      </w:pPr>
    </w:p>
    <w:p>
      <w:pPr>
        <w:pStyle w:val="2"/>
        <w:ind w:left="1235"/>
      </w:pPr>
      <w:r>
        <w:t>（二）参加采购活动前</w:t>
      </w:r>
      <w:r>
        <w:rPr>
          <w:rFonts w:ascii="Times New Roman" w:eastAsia="Times New Roman"/>
        </w:rPr>
        <w:t>3</w:t>
      </w:r>
      <w:r>
        <w:t>年内担任供应商的董事、监事；</w:t>
      </w:r>
    </w:p>
    <w:p>
      <w:pPr>
        <w:pStyle w:val="2"/>
        <w:spacing w:before="1"/>
        <w:rPr>
          <w:sz w:val="18"/>
        </w:rPr>
      </w:pPr>
    </w:p>
    <w:p>
      <w:pPr>
        <w:pStyle w:val="2"/>
        <w:spacing w:before="1"/>
        <w:ind w:left="1235"/>
      </w:pPr>
      <w:r>
        <w:t>（三）参加采购活动前</w:t>
      </w:r>
      <w:r>
        <w:rPr>
          <w:rFonts w:ascii="Times New Roman" w:eastAsia="Times New Roman"/>
        </w:rPr>
        <w:t>3</w:t>
      </w:r>
      <w:r>
        <w:t>年内是供应商的控股股东或者实际控制人；</w:t>
      </w:r>
    </w:p>
    <w:p>
      <w:pPr>
        <w:pStyle w:val="2"/>
        <w:spacing w:before="12"/>
        <w:rPr>
          <w:sz w:val="17"/>
        </w:rPr>
      </w:pPr>
    </w:p>
    <w:p>
      <w:pPr>
        <w:pStyle w:val="2"/>
        <w:ind w:left="1201"/>
      </w:pPr>
      <w:r>
        <w:t>（四）与供应商的法定代表人或者负责人有夫妻、直系血亲、三代以内旁系血亲或者近姻亲关系；</w:t>
      </w:r>
    </w:p>
    <w:p>
      <w:pPr>
        <w:pStyle w:val="2"/>
        <w:spacing w:before="12"/>
        <w:rPr>
          <w:sz w:val="17"/>
        </w:rPr>
      </w:pPr>
    </w:p>
    <w:p>
      <w:pPr>
        <w:pStyle w:val="2"/>
        <w:ind w:left="1235"/>
      </w:pPr>
      <w:r>
        <w:t>（五）与供应商有其他可能影响政府采购活动公平、公正进行的关系。</w:t>
      </w:r>
    </w:p>
    <w:p>
      <w:pPr>
        <w:pStyle w:val="2"/>
        <w:rPr>
          <w:sz w:val="20"/>
        </w:rPr>
      </w:pPr>
    </w:p>
    <w:p>
      <w:pPr>
        <w:pStyle w:val="2"/>
        <w:rPr>
          <w:sz w:val="20"/>
        </w:rPr>
      </w:pPr>
    </w:p>
    <w:p>
      <w:pPr>
        <w:pStyle w:val="2"/>
        <w:spacing w:before="2"/>
        <w:rPr>
          <w:sz w:val="17"/>
        </w:rPr>
      </w:pPr>
    </w:p>
    <w:p>
      <w:pPr>
        <w:pStyle w:val="2"/>
        <w:tabs>
          <w:tab w:val="left" w:pos="5538"/>
        </w:tabs>
        <w:ind w:left="812"/>
        <w:rPr>
          <w:rFonts w:ascii="Times New Roman" w:eastAsia="Times New Roman"/>
        </w:rPr>
      </w:pPr>
      <w:r>
        <w:t>本招</w:t>
      </w:r>
      <w:r>
        <w:rPr>
          <w:spacing w:val="-3"/>
        </w:rPr>
        <w:t>标</w:t>
      </w:r>
      <w:r>
        <w:t>项</w:t>
      </w:r>
      <w:r>
        <w:rPr>
          <w:spacing w:val="-3"/>
        </w:rPr>
        <w:t>目</w:t>
      </w:r>
      <w:r>
        <w:t>名</w:t>
      </w:r>
      <w:r>
        <w:rPr>
          <w:spacing w:val="-3"/>
        </w:rPr>
        <w:t>称</w:t>
      </w:r>
      <w:r>
        <w:t>：</w:t>
      </w:r>
      <w:r>
        <w:rPr>
          <w:rFonts w:ascii="Times New Roman" w:eastAsia="Times New Roman"/>
          <w:u w:val="single"/>
        </w:rPr>
        <w:t xml:space="preserve"> </w:t>
      </w:r>
      <w:r>
        <w:rPr>
          <w:rFonts w:ascii="Times New Roman" w:eastAsia="Times New Roman"/>
          <w:u w:val="single"/>
        </w:rPr>
        <w:tab/>
      </w:r>
    </w:p>
    <w:p>
      <w:pPr>
        <w:pStyle w:val="2"/>
        <w:spacing w:before="9"/>
        <w:rPr>
          <w:rFonts w:ascii="Times New Roman"/>
          <w:sz w:val="13"/>
        </w:rPr>
      </w:pPr>
    </w:p>
    <w:p>
      <w:pPr>
        <w:pStyle w:val="2"/>
        <w:spacing w:before="71"/>
        <w:ind w:left="812"/>
      </w:pPr>
      <w:r>
        <w:t>我作为本招标项目的评委，已经获知投标人名称，我对本招标项目评标：</w:t>
      </w:r>
    </w:p>
    <w:p>
      <w:pPr>
        <w:pStyle w:val="2"/>
        <w:spacing w:before="2"/>
        <w:rPr>
          <w:sz w:val="18"/>
        </w:rPr>
      </w:pPr>
    </w:p>
    <w:p>
      <w:pPr>
        <w:pStyle w:val="2"/>
        <w:ind w:left="812"/>
      </w:pPr>
      <w:r>
        <w:rPr>
          <w:spacing w:val="-1"/>
        </w:rPr>
        <w:t>□需要回避</w:t>
      </w:r>
    </w:p>
    <w:p>
      <w:pPr>
        <w:pStyle w:val="2"/>
        <w:rPr>
          <w:sz w:val="18"/>
        </w:rPr>
      </w:pPr>
    </w:p>
    <w:p>
      <w:pPr>
        <w:pStyle w:val="2"/>
        <w:ind w:left="812"/>
      </w:pPr>
      <w:r>
        <w:rPr>
          <w:spacing w:val="-1"/>
        </w:rPr>
        <w:t>□无需回避</w:t>
      </w:r>
    </w:p>
    <w:p>
      <w:pPr>
        <w:pStyle w:val="2"/>
        <w:spacing w:before="12"/>
        <w:rPr>
          <w:sz w:val="17"/>
        </w:rPr>
      </w:pPr>
    </w:p>
    <w:p>
      <w:pPr>
        <w:pStyle w:val="2"/>
        <w:spacing w:line="446" w:lineRule="auto"/>
        <w:ind w:left="5224" w:right="4308"/>
      </w:pPr>
      <w:r>
        <w:t>评委签名： 日期：</w:t>
      </w:r>
    </w:p>
    <w:p>
      <w:pPr>
        <w:spacing w:after="0" w:line="446" w:lineRule="auto"/>
        <w:sectPr>
          <w:footerReference r:id="rId8" w:type="default"/>
          <w:pgSz w:w="11910" w:h="16840"/>
          <w:pgMar w:top="1560" w:right="580" w:bottom="1660" w:left="740" w:header="0" w:footer="1479" w:gutter="0"/>
          <w:pgNumType w:fmt="decimal"/>
          <w:cols w:space="720" w:num="1"/>
        </w:sectPr>
      </w:pPr>
    </w:p>
    <w:p>
      <w:pPr>
        <w:pStyle w:val="3"/>
        <w:spacing w:before="21"/>
        <w:outlineLvl w:val="0"/>
      </w:pPr>
      <w:bookmarkStart w:id="15" w:name="_Toc19292"/>
      <w:r>
        <w:t>第四章 合同条款及格式</w:t>
      </w:r>
      <w:bookmarkEnd w:id="15"/>
    </w:p>
    <w:p>
      <w:pPr>
        <w:pStyle w:val="2"/>
        <w:rPr>
          <w:b/>
          <w:sz w:val="20"/>
        </w:rPr>
      </w:pPr>
    </w:p>
    <w:p>
      <w:pPr>
        <w:pStyle w:val="2"/>
        <w:rPr>
          <w:b/>
          <w:sz w:val="20"/>
        </w:rPr>
      </w:pPr>
    </w:p>
    <w:p>
      <w:pPr>
        <w:pStyle w:val="2"/>
        <w:spacing w:before="8"/>
        <w:rPr>
          <w:b/>
          <w:sz w:val="16"/>
        </w:rPr>
      </w:pPr>
    </w:p>
    <w:p>
      <w:pPr>
        <w:pStyle w:val="2"/>
        <w:spacing w:before="71" w:line="427" w:lineRule="auto"/>
        <w:ind w:left="812" w:right="8717"/>
      </w:pPr>
      <w:r>
        <w:t>项目名称： 项目编号：</w:t>
      </w:r>
    </w:p>
    <w:p>
      <w:pPr>
        <w:pStyle w:val="2"/>
        <w:spacing w:before="2" w:line="427" w:lineRule="auto"/>
        <w:ind w:left="812" w:right="8297"/>
      </w:pPr>
      <w:r>
        <w:t>甲方：（买方） 乙方：（卖方）</w:t>
      </w:r>
    </w:p>
    <w:p>
      <w:pPr>
        <w:pStyle w:val="2"/>
        <w:spacing w:before="2" w:line="427" w:lineRule="auto"/>
        <w:ind w:left="392" w:right="549" w:firstLine="419"/>
      </w:pPr>
      <w:r>
        <w:t>甲、乙双方根据</w:t>
      </w:r>
      <w:r>
        <w:rPr>
          <w:lang w:val="en-US"/>
        </w:rPr>
        <w:t>丰华街道渗滤液处理设备项目</w:t>
      </w:r>
      <w:r>
        <w:t>公开招标的中标结果及中标通知书，签署本合同。</w:t>
      </w:r>
    </w:p>
    <w:p>
      <w:pPr>
        <w:pStyle w:val="6"/>
        <w:spacing w:before="3"/>
      </w:pPr>
      <w:r>
        <w:t>一、货物内容</w:t>
      </w:r>
    </w:p>
    <w:p>
      <w:pPr>
        <w:pStyle w:val="2"/>
        <w:spacing w:before="5"/>
        <w:rPr>
          <w:b/>
          <w:sz w:val="16"/>
        </w:rPr>
      </w:pPr>
    </w:p>
    <w:p>
      <w:pPr>
        <w:pStyle w:val="21"/>
        <w:numPr>
          <w:ilvl w:val="0"/>
          <w:numId w:val="15"/>
        </w:numPr>
        <w:tabs>
          <w:tab w:val="left" w:pos="1130"/>
        </w:tabs>
        <w:spacing w:before="1" w:after="0" w:line="240" w:lineRule="auto"/>
        <w:ind w:left="1129" w:right="0" w:hanging="318"/>
        <w:jc w:val="left"/>
        <w:rPr>
          <w:sz w:val="21"/>
        </w:rPr>
      </w:pPr>
      <w:r>
        <w:rPr>
          <w:spacing w:val="-3"/>
          <w:sz w:val="21"/>
        </w:rPr>
        <w:t>货物名称：</w:t>
      </w:r>
    </w:p>
    <w:p>
      <w:pPr>
        <w:pStyle w:val="2"/>
        <w:spacing w:before="5"/>
        <w:rPr>
          <w:sz w:val="16"/>
        </w:rPr>
      </w:pPr>
    </w:p>
    <w:p>
      <w:pPr>
        <w:pStyle w:val="21"/>
        <w:numPr>
          <w:ilvl w:val="0"/>
          <w:numId w:val="15"/>
        </w:numPr>
        <w:tabs>
          <w:tab w:val="left" w:pos="1130"/>
        </w:tabs>
        <w:spacing w:before="0" w:after="0" w:line="240" w:lineRule="auto"/>
        <w:ind w:left="1129" w:right="0" w:hanging="318"/>
        <w:jc w:val="left"/>
        <w:rPr>
          <w:sz w:val="21"/>
        </w:rPr>
      </w:pPr>
      <w:r>
        <w:rPr>
          <w:spacing w:val="-3"/>
          <w:sz w:val="21"/>
        </w:rPr>
        <w:t>型号规格：</w:t>
      </w:r>
    </w:p>
    <w:p>
      <w:pPr>
        <w:pStyle w:val="2"/>
        <w:spacing w:before="6"/>
        <w:rPr>
          <w:sz w:val="16"/>
        </w:rPr>
      </w:pPr>
    </w:p>
    <w:p>
      <w:pPr>
        <w:pStyle w:val="21"/>
        <w:numPr>
          <w:ilvl w:val="0"/>
          <w:numId w:val="15"/>
        </w:numPr>
        <w:tabs>
          <w:tab w:val="left" w:pos="1130"/>
        </w:tabs>
        <w:spacing w:before="0" w:after="0" w:line="240" w:lineRule="auto"/>
        <w:ind w:left="1129" w:right="0" w:hanging="318"/>
        <w:jc w:val="left"/>
        <w:rPr>
          <w:sz w:val="21"/>
        </w:rPr>
      </w:pPr>
      <w:r>
        <w:rPr>
          <w:spacing w:val="-3"/>
          <w:sz w:val="21"/>
        </w:rPr>
        <w:t>技术参数：</w:t>
      </w:r>
    </w:p>
    <w:p>
      <w:pPr>
        <w:pStyle w:val="2"/>
        <w:spacing w:before="6"/>
        <w:rPr>
          <w:sz w:val="16"/>
        </w:rPr>
      </w:pPr>
    </w:p>
    <w:p>
      <w:pPr>
        <w:pStyle w:val="21"/>
        <w:numPr>
          <w:ilvl w:val="0"/>
          <w:numId w:val="15"/>
        </w:numPr>
        <w:tabs>
          <w:tab w:val="left" w:pos="1130"/>
        </w:tabs>
        <w:spacing w:before="0" w:after="0" w:line="427" w:lineRule="auto"/>
        <w:ind w:left="815" w:right="7982" w:hanging="3"/>
        <w:jc w:val="left"/>
        <w:rPr>
          <w:b/>
          <w:sz w:val="21"/>
        </w:rPr>
      </w:pPr>
      <w:r>
        <w:rPr>
          <w:spacing w:val="-2"/>
          <w:sz w:val="21"/>
        </w:rPr>
        <w:t>数量</w:t>
      </w:r>
      <w:r>
        <w:rPr>
          <w:spacing w:val="-3"/>
          <w:sz w:val="21"/>
        </w:rPr>
        <w:t>（</w:t>
      </w:r>
      <w:r>
        <w:rPr>
          <w:spacing w:val="-2"/>
          <w:sz w:val="21"/>
        </w:rPr>
        <w:t>单位</w:t>
      </w:r>
      <w:r>
        <w:rPr>
          <w:spacing w:val="-8"/>
          <w:sz w:val="21"/>
        </w:rPr>
        <w:t xml:space="preserve">）： </w:t>
      </w:r>
      <w:r>
        <w:rPr>
          <w:b/>
          <w:sz w:val="21"/>
        </w:rPr>
        <w:t>二、合同金额</w:t>
      </w:r>
    </w:p>
    <w:p>
      <w:pPr>
        <w:pStyle w:val="2"/>
        <w:tabs>
          <w:tab w:val="left" w:pos="4592"/>
          <w:tab w:val="left" w:pos="6798"/>
        </w:tabs>
        <w:spacing w:before="2" w:line="427" w:lineRule="auto"/>
        <w:ind w:left="815" w:right="2524" w:hanging="3"/>
        <w:rPr>
          <w:b/>
        </w:rPr>
      </w:pPr>
      <w:r>
        <w:t>本合</w:t>
      </w:r>
      <w:r>
        <w:rPr>
          <w:spacing w:val="-3"/>
        </w:rPr>
        <w:t>同</w:t>
      </w:r>
      <w:r>
        <w:t>金</w:t>
      </w:r>
      <w:r>
        <w:rPr>
          <w:spacing w:val="-3"/>
        </w:rPr>
        <w:t>额</w:t>
      </w:r>
      <w:r>
        <w:t>为</w:t>
      </w:r>
      <w:r>
        <w:rPr>
          <w:spacing w:val="-3"/>
        </w:rPr>
        <w:t>（</w:t>
      </w:r>
      <w:r>
        <w:t>大</w:t>
      </w:r>
      <w:r>
        <w:rPr>
          <w:spacing w:val="-3"/>
        </w:rPr>
        <w:t>写</w:t>
      </w:r>
      <w:r>
        <w:t>）：</w:t>
      </w:r>
      <w:r>
        <w:rPr>
          <w:u w:val="single"/>
        </w:rPr>
        <w:t xml:space="preserve"> </w:t>
      </w:r>
      <w:r>
        <w:rPr>
          <w:u w:val="single"/>
        </w:rPr>
        <w:tab/>
      </w:r>
      <w:r>
        <w:t>元（￥</w:t>
      </w:r>
      <w:r>
        <w:rPr>
          <w:u w:val="single"/>
        </w:rPr>
        <w:t xml:space="preserve"> </w:t>
      </w:r>
      <w:r>
        <w:rPr>
          <w:u w:val="single"/>
        </w:rPr>
        <w:tab/>
      </w:r>
      <w:r>
        <w:rPr>
          <w:spacing w:val="-3"/>
        </w:rPr>
        <w:t>元</w:t>
      </w:r>
      <w:r>
        <w:t>）</w:t>
      </w:r>
      <w:r>
        <w:rPr>
          <w:spacing w:val="-3"/>
        </w:rPr>
        <w:t>人</w:t>
      </w:r>
      <w:r>
        <w:t>民</w:t>
      </w:r>
      <w:r>
        <w:rPr>
          <w:spacing w:val="-3"/>
        </w:rPr>
        <w:t>币</w:t>
      </w:r>
      <w:r>
        <w:rPr>
          <w:spacing w:val="-15"/>
        </w:rPr>
        <w:t>。</w:t>
      </w:r>
      <w:r>
        <w:rPr>
          <w:b/>
        </w:rPr>
        <w:t>三、技术资料</w:t>
      </w:r>
    </w:p>
    <w:p>
      <w:pPr>
        <w:pStyle w:val="21"/>
        <w:numPr>
          <w:ilvl w:val="0"/>
          <w:numId w:val="16"/>
        </w:numPr>
        <w:tabs>
          <w:tab w:val="left" w:pos="1025"/>
        </w:tabs>
        <w:spacing w:before="3" w:after="0" w:line="240" w:lineRule="auto"/>
        <w:ind w:left="1024" w:right="0" w:hanging="213"/>
        <w:jc w:val="left"/>
        <w:rPr>
          <w:sz w:val="21"/>
        </w:rPr>
      </w:pPr>
      <w:r>
        <w:rPr>
          <w:spacing w:val="-3"/>
          <w:sz w:val="21"/>
        </w:rPr>
        <w:t>乙方应按招标文件规定的时间向甲方提供使用货物的有关技术资料。</w:t>
      </w:r>
    </w:p>
    <w:p>
      <w:pPr>
        <w:pStyle w:val="2"/>
        <w:spacing w:before="5"/>
        <w:rPr>
          <w:sz w:val="16"/>
        </w:rPr>
      </w:pPr>
    </w:p>
    <w:p>
      <w:pPr>
        <w:pStyle w:val="21"/>
        <w:numPr>
          <w:ilvl w:val="0"/>
          <w:numId w:val="16"/>
        </w:numPr>
        <w:tabs>
          <w:tab w:val="left" w:pos="1032"/>
        </w:tabs>
        <w:spacing w:before="1" w:after="0" w:line="427" w:lineRule="auto"/>
        <w:ind w:left="395" w:right="547" w:firstLine="420"/>
        <w:jc w:val="both"/>
        <w:rPr>
          <w:sz w:val="21"/>
        </w:rPr>
      </w:pPr>
      <w:r>
        <w:rPr>
          <w:sz w:val="21"/>
        </w:rPr>
        <w:t>没有甲方事先书面同意，乙方不得将由甲方提供的有关合同或任何合同条文、规格、计划、样品或资料提供给与履行本合同无关的任何其他人。即使向履行本合同有关的人员提供，也应注意保密并限</w:t>
      </w:r>
      <w:r>
        <w:rPr>
          <w:spacing w:val="-3"/>
          <w:sz w:val="21"/>
        </w:rPr>
        <w:t>于履行合同的必需范围。</w:t>
      </w:r>
    </w:p>
    <w:p>
      <w:pPr>
        <w:pStyle w:val="6"/>
        <w:spacing w:before="3"/>
      </w:pPr>
      <w:r>
        <w:t>四、知识产权</w:t>
      </w:r>
    </w:p>
    <w:p>
      <w:pPr>
        <w:pStyle w:val="2"/>
        <w:spacing w:before="5"/>
        <w:rPr>
          <w:b/>
          <w:sz w:val="16"/>
        </w:rPr>
      </w:pPr>
    </w:p>
    <w:p>
      <w:pPr>
        <w:pStyle w:val="2"/>
        <w:spacing w:before="1" w:line="427" w:lineRule="auto"/>
        <w:ind w:left="815" w:right="2625" w:hanging="3"/>
        <w:rPr>
          <w:b/>
        </w:rPr>
      </w:pPr>
      <w:r>
        <w:rPr>
          <w:spacing w:val="-3"/>
        </w:rPr>
        <w:t>乙方应保证所提供的货物或其任何一部分均不会侵犯任何第三方的知识产权。</w:t>
      </w:r>
      <w:r>
        <w:rPr>
          <w:b/>
          <w:spacing w:val="-3"/>
        </w:rPr>
        <w:t>五、产权担保</w:t>
      </w:r>
    </w:p>
    <w:p>
      <w:pPr>
        <w:pStyle w:val="2"/>
        <w:spacing w:before="2" w:line="427" w:lineRule="auto"/>
        <w:ind w:left="815" w:right="2414" w:hanging="3"/>
        <w:rPr>
          <w:b/>
        </w:rPr>
      </w:pPr>
      <w:r>
        <w:t>乙方保证所交付的货物的所有权完全属于乙方且无任何抵押、查封等产权瑕疵。</w:t>
      </w:r>
      <w:r>
        <w:rPr>
          <w:b/>
        </w:rPr>
        <w:t>六、履约保证金</w:t>
      </w:r>
    </w:p>
    <w:p>
      <w:pPr>
        <w:pStyle w:val="2"/>
        <w:tabs>
          <w:tab w:val="left" w:pos="3023"/>
        </w:tabs>
        <w:spacing w:before="2"/>
        <w:ind w:left="812"/>
      </w:pPr>
      <w:r>
        <w:t>乙方</w:t>
      </w:r>
      <w:r>
        <w:rPr>
          <w:spacing w:val="-3"/>
        </w:rPr>
        <w:t>交</w:t>
      </w:r>
      <w:r>
        <w:t>纳</w:t>
      </w:r>
      <w:r>
        <w:rPr>
          <w:spacing w:val="-3"/>
        </w:rPr>
        <w:t>人</w:t>
      </w:r>
      <w:r>
        <w:t>民</w:t>
      </w:r>
      <w:r>
        <w:rPr>
          <w:spacing w:val="-3"/>
        </w:rPr>
        <w:t>币</w:t>
      </w:r>
      <w:r>
        <w:rPr>
          <w:spacing w:val="-3"/>
          <w:u w:val="single"/>
        </w:rPr>
        <w:t xml:space="preserve"> </w:t>
      </w:r>
      <w:r>
        <w:rPr>
          <w:spacing w:val="-3"/>
          <w:u w:val="single"/>
        </w:rPr>
        <w:tab/>
      </w:r>
      <w:r>
        <w:rPr>
          <w:spacing w:val="-3"/>
        </w:rPr>
        <w:t>元</w:t>
      </w:r>
      <w:r>
        <w:t>作为</w:t>
      </w:r>
      <w:r>
        <w:rPr>
          <w:spacing w:val="-3"/>
        </w:rPr>
        <w:t>本</w:t>
      </w:r>
      <w:r>
        <w:t>合</w:t>
      </w:r>
      <w:r>
        <w:rPr>
          <w:spacing w:val="-3"/>
        </w:rPr>
        <w:t>同</w:t>
      </w:r>
      <w:r>
        <w:t>的</w:t>
      </w:r>
      <w:r>
        <w:rPr>
          <w:spacing w:val="-3"/>
        </w:rPr>
        <w:t>履</w:t>
      </w:r>
      <w:r>
        <w:t>约</w:t>
      </w:r>
      <w:r>
        <w:rPr>
          <w:spacing w:val="-3"/>
        </w:rPr>
        <w:t>保</w:t>
      </w:r>
      <w:r>
        <w:t>证</w:t>
      </w:r>
      <w:r>
        <w:rPr>
          <w:spacing w:val="-3"/>
        </w:rPr>
        <w:t>金</w:t>
      </w:r>
      <w:r>
        <w:t>。（</w:t>
      </w:r>
      <w:r>
        <w:rPr>
          <w:spacing w:val="-3"/>
        </w:rPr>
        <w:t>参</w:t>
      </w:r>
      <w:r>
        <w:t>照</w:t>
      </w:r>
      <w:r>
        <w:rPr>
          <w:spacing w:val="-3"/>
        </w:rPr>
        <w:t>招</w:t>
      </w:r>
      <w:r>
        <w:t>标</w:t>
      </w:r>
      <w:r>
        <w:rPr>
          <w:spacing w:val="-3"/>
        </w:rPr>
        <w:t>文</w:t>
      </w:r>
      <w:r>
        <w:t>件</w:t>
      </w:r>
      <w:r>
        <w:rPr>
          <w:spacing w:val="-3"/>
        </w:rPr>
        <w:t>前</w:t>
      </w:r>
      <w:r>
        <w:t>附</w:t>
      </w:r>
      <w:r>
        <w:rPr>
          <w:spacing w:val="-3"/>
        </w:rPr>
        <w:t>表</w:t>
      </w:r>
      <w:r>
        <w:t>）</w:t>
      </w:r>
    </w:p>
    <w:p>
      <w:pPr>
        <w:pStyle w:val="2"/>
        <w:spacing w:before="6"/>
        <w:rPr>
          <w:sz w:val="16"/>
        </w:rPr>
      </w:pPr>
    </w:p>
    <w:p>
      <w:pPr>
        <w:pStyle w:val="2"/>
        <w:ind w:left="812"/>
      </w:pPr>
      <w:r>
        <w:t>履约保证金的退还：完成所有项目经验收合格且运行出水合格一个月无质量问题后无息退还。</w:t>
      </w:r>
    </w:p>
    <w:p>
      <w:pPr>
        <w:spacing w:after="0"/>
        <w:sectPr>
          <w:pgSz w:w="11910" w:h="16840"/>
          <w:pgMar w:top="1400" w:right="580" w:bottom="1660" w:left="740" w:header="0" w:footer="1479" w:gutter="0"/>
          <w:pgNumType w:fmt="decimal"/>
          <w:cols w:space="720" w:num="1"/>
        </w:sectPr>
      </w:pPr>
    </w:p>
    <w:p>
      <w:pPr>
        <w:pStyle w:val="6"/>
        <w:spacing w:before="56"/>
      </w:pPr>
      <w:r>
        <w:t>七、转包或分包</w:t>
      </w:r>
    </w:p>
    <w:p>
      <w:pPr>
        <w:pStyle w:val="2"/>
        <w:spacing w:before="6"/>
        <w:rPr>
          <w:b/>
          <w:sz w:val="16"/>
        </w:rPr>
      </w:pPr>
    </w:p>
    <w:p>
      <w:pPr>
        <w:pStyle w:val="21"/>
        <w:numPr>
          <w:ilvl w:val="0"/>
          <w:numId w:val="17"/>
        </w:numPr>
        <w:tabs>
          <w:tab w:val="left" w:pos="1025"/>
        </w:tabs>
        <w:spacing w:before="0" w:after="0" w:line="240" w:lineRule="auto"/>
        <w:ind w:left="1024" w:right="0" w:hanging="213"/>
        <w:jc w:val="left"/>
        <w:rPr>
          <w:sz w:val="21"/>
        </w:rPr>
      </w:pPr>
      <w:r>
        <w:rPr>
          <w:spacing w:val="-3"/>
          <w:sz w:val="21"/>
        </w:rPr>
        <w:t>本合同范围的货物，应由乙方直接供应，不得转让他人供应；</w:t>
      </w:r>
    </w:p>
    <w:p>
      <w:pPr>
        <w:pStyle w:val="2"/>
        <w:spacing w:before="6"/>
        <w:rPr>
          <w:sz w:val="16"/>
        </w:rPr>
      </w:pPr>
    </w:p>
    <w:p>
      <w:pPr>
        <w:pStyle w:val="21"/>
        <w:numPr>
          <w:ilvl w:val="0"/>
          <w:numId w:val="17"/>
        </w:numPr>
        <w:tabs>
          <w:tab w:val="left" w:pos="1025"/>
        </w:tabs>
        <w:spacing w:before="0" w:after="0" w:line="240" w:lineRule="auto"/>
        <w:ind w:left="1024" w:right="0" w:hanging="213"/>
        <w:jc w:val="left"/>
        <w:rPr>
          <w:sz w:val="21"/>
        </w:rPr>
      </w:pPr>
      <w:r>
        <w:rPr>
          <w:spacing w:val="-3"/>
          <w:sz w:val="21"/>
        </w:rPr>
        <w:t>除非得到甲方的书面同意，乙方不得将本合同范围的货物全部或部分分包给他人供应；</w:t>
      </w:r>
    </w:p>
    <w:p>
      <w:pPr>
        <w:pStyle w:val="2"/>
        <w:spacing w:before="5"/>
        <w:rPr>
          <w:sz w:val="16"/>
        </w:rPr>
      </w:pPr>
    </w:p>
    <w:p>
      <w:pPr>
        <w:pStyle w:val="21"/>
        <w:numPr>
          <w:ilvl w:val="0"/>
          <w:numId w:val="17"/>
        </w:numPr>
        <w:tabs>
          <w:tab w:val="left" w:pos="1025"/>
        </w:tabs>
        <w:spacing w:before="1" w:after="0" w:line="427" w:lineRule="auto"/>
        <w:ind w:left="815" w:right="444" w:hanging="3"/>
        <w:jc w:val="left"/>
        <w:rPr>
          <w:b/>
          <w:sz w:val="21"/>
        </w:rPr>
      </w:pPr>
      <w:r>
        <w:rPr>
          <w:spacing w:val="-10"/>
          <w:sz w:val="21"/>
        </w:rPr>
        <w:t>如有转让和未经甲方同意的分包行为，甲方有权解除合同，没收履约保证金并追究乙方的违约责任。</w:t>
      </w:r>
      <w:r>
        <w:rPr>
          <w:b/>
          <w:spacing w:val="-10"/>
          <w:sz w:val="21"/>
        </w:rPr>
        <w:t>八、质保金</w:t>
      </w:r>
    </w:p>
    <w:p>
      <w:pPr>
        <w:tabs>
          <w:tab w:val="left" w:pos="3123"/>
        </w:tabs>
        <w:spacing w:before="2" w:line="427" w:lineRule="auto"/>
        <w:ind w:left="815" w:right="5145" w:hanging="3"/>
        <w:jc w:val="left"/>
        <w:rPr>
          <w:b/>
          <w:sz w:val="21"/>
        </w:rPr>
      </w:pPr>
      <w:r>
        <w:rPr>
          <w:sz w:val="21"/>
        </w:rPr>
        <w:t>1.质</w:t>
      </w:r>
      <w:r>
        <w:rPr>
          <w:spacing w:val="-3"/>
          <w:sz w:val="21"/>
        </w:rPr>
        <w:t>保</w:t>
      </w:r>
      <w:r>
        <w:rPr>
          <w:sz w:val="21"/>
        </w:rPr>
        <w:t>金</w:t>
      </w:r>
      <w:r>
        <w:rPr>
          <w:spacing w:val="-3"/>
          <w:sz w:val="21"/>
        </w:rPr>
        <w:t>为</w:t>
      </w:r>
      <w:r>
        <w:rPr>
          <w:spacing w:val="-3"/>
          <w:sz w:val="21"/>
          <w:u w:val="single"/>
        </w:rPr>
        <w:t xml:space="preserve"> </w:t>
      </w:r>
      <w:r>
        <w:rPr>
          <w:spacing w:val="-3"/>
          <w:sz w:val="21"/>
          <w:u w:val="single"/>
        </w:rPr>
        <w:tab/>
      </w:r>
      <w:r>
        <w:rPr>
          <w:sz w:val="21"/>
        </w:rPr>
        <w:t>。（</w:t>
      </w:r>
      <w:r>
        <w:rPr>
          <w:spacing w:val="-3"/>
          <w:sz w:val="21"/>
        </w:rPr>
        <w:t>参</w:t>
      </w:r>
      <w:r>
        <w:rPr>
          <w:sz w:val="21"/>
        </w:rPr>
        <w:t>照</w:t>
      </w:r>
      <w:r>
        <w:rPr>
          <w:spacing w:val="-3"/>
          <w:sz w:val="21"/>
        </w:rPr>
        <w:t>招</w:t>
      </w:r>
      <w:r>
        <w:rPr>
          <w:sz w:val="21"/>
        </w:rPr>
        <w:t>标</w:t>
      </w:r>
      <w:r>
        <w:rPr>
          <w:spacing w:val="-3"/>
          <w:sz w:val="21"/>
        </w:rPr>
        <w:t>文</w:t>
      </w:r>
      <w:r>
        <w:rPr>
          <w:sz w:val="21"/>
        </w:rPr>
        <w:t>件</w:t>
      </w:r>
      <w:r>
        <w:rPr>
          <w:spacing w:val="-3"/>
          <w:sz w:val="21"/>
        </w:rPr>
        <w:t>付</w:t>
      </w:r>
      <w:r>
        <w:rPr>
          <w:sz w:val="21"/>
        </w:rPr>
        <w:t>款</w:t>
      </w:r>
      <w:r>
        <w:rPr>
          <w:spacing w:val="-14"/>
          <w:sz w:val="21"/>
        </w:rPr>
        <w:t xml:space="preserve">） </w:t>
      </w:r>
      <w:r>
        <w:rPr>
          <w:b/>
          <w:sz w:val="21"/>
        </w:rPr>
        <w:t>九、交货条件：</w:t>
      </w:r>
    </w:p>
    <w:p>
      <w:pPr>
        <w:pStyle w:val="21"/>
        <w:numPr>
          <w:ilvl w:val="0"/>
          <w:numId w:val="18"/>
        </w:numPr>
        <w:tabs>
          <w:tab w:val="left" w:pos="1025"/>
          <w:tab w:val="left" w:pos="4971"/>
        </w:tabs>
        <w:spacing w:before="2" w:after="0" w:line="240" w:lineRule="auto"/>
        <w:ind w:left="1024" w:right="0" w:hanging="213"/>
        <w:jc w:val="left"/>
        <w:rPr>
          <w:sz w:val="21"/>
        </w:rPr>
      </w:pPr>
      <w:r>
        <w:rPr>
          <w:sz w:val="21"/>
        </w:rPr>
        <w:t>交</w:t>
      </w:r>
      <w:r>
        <w:rPr>
          <w:spacing w:val="-3"/>
          <w:sz w:val="21"/>
        </w:rPr>
        <w:t>货</w:t>
      </w:r>
      <w:r>
        <w:rPr>
          <w:sz w:val="21"/>
        </w:rPr>
        <w:t>期</w:t>
      </w:r>
      <w:r>
        <w:rPr>
          <w:spacing w:val="-3"/>
          <w:sz w:val="21"/>
        </w:rPr>
        <w:t>限</w:t>
      </w:r>
      <w:r>
        <w:rPr>
          <w:spacing w:val="-44"/>
          <w:sz w:val="21"/>
        </w:rPr>
        <w:t>：</w:t>
      </w:r>
      <w:r>
        <w:rPr>
          <w:spacing w:val="-3"/>
          <w:sz w:val="21"/>
        </w:rPr>
        <w:t>在</w:t>
      </w:r>
      <w:r>
        <w:rPr>
          <w:sz w:val="21"/>
        </w:rPr>
        <w:t>招</w:t>
      </w:r>
      <w:r>
        <w:rPr>
          <w:spacing w:val="-3"/>
          <w:sz w:val="21"/>
        </w:rPr>
        <w:t>标</w:t>
      </w:r>
      <w:r>
        <w:rPr>
          <w:sz w:val="21"/>
        </w:rPr>
        <w:t>人</w:t>
      </w:r>
      <w:r>
        <w:rPr>
          <w:spacing w:val="-3"/>
          <w:sz w:val="21"/>
        </w:rPr>
        <w:t>发</w:t>
      </w:r>
      <w:r>
        <w:rPr>
          <w:sz w:val="21"/>
        </w:rPr>
        <w:t>出书</w:t>
      </w:r>
      <w:r>
        <w:rPr>
          <w:spacing w:val="-3"/>
          <w:sz w:val="21"/>
        </w:rPr>
        <w:t>面</w:t>
      </w:r>
      <w:r>
        <w:rPr>
          <w:sz w:val="21"/>
        </w:rPr>
        <w:t>通</w:t>
      </w:r>
      <w:r>
        <w:rPr>
          <w:spacing w:val="-3"/>
          <w:sz w:val="21"/>
        </w:rPr>
        <w:t>知</w:t>
      </w:r>
      <w:r>
        <w:rPr>
          <w:sz w:val="21"/>
        </w:rPr>
        <w:t>后</w:t>
      </w:r>
      <w:r>
        <w:rPr>
          <w:spacing w:val="-3"/>
          <w:sz w:val="21"/>
        </w:rPr>
        <w:t>的</w:t>
      </w:r>
      <w:r>
        <w:rPr>
          <w:spacing w:val="-3"/>
          <w:sz w:val="21"/>
          <w:u w:val="single"/>
        </w:rPr>
        <w:t xml:space="preserve"> </w:t>
      </w:r>
      <w:r>
        <w:rPr>
          <w:spacing w:val="-3"/>
          <w:sz w:val="21"/>
          <w:u w:val="single"/>
        </w:rPr>
        <w:tab/>
      </w:r>
      <w:r>
        <w:rPr>
          <w:sz w:val="21"/>
        </w:rPr>
        <w:t>日</w:t>
      </w:r>
      <w:r>
        <w:rPr>
          <w:spacing w:val="-3"/>
          <w:sz w:val="21"/>
        </w:rPr>
        <w:t>历</w:t>
      </w:r>
      <w:r>
        <w:rPr>
          <w:sz w:val="21"/>
        </w:rPr>
        <w:t>天内</w:t>
      </w:r>
      <w:r>
        <w:rPr>
          <w:spacing w:val="-3"/>
          <w:sz w:val="21"/>
        </w:rPr>
        <w:t>完</w:t>
      </w:r>
      <w:r>
        <w:rPr>
          <w:sz w:val="21"/>
        </w:rPr>
        <w:t>成</w:t>
      </w:r>
      <w:r>
        <w:rPr>
          <w:spacing w:val="-3"/>
          <w:sz w:val="21"/>
        </w:rPr>
        <w:t>所</w:t>
      </w:r>
      <w:r>
        <w:rPr>
          <w:sz w:val="21"/>
        </w:rPr>
        <w:t>有</w:t>
      </w:r>
      <w:r>
        <w:rPr>
          <w:spacing w:val="-3"/>
          <w:sz w:val="21"/>
        </w:rPr>
        <w:t>设</w:t>
      </w:r>
      <w:r>
        <w:rPr>
          <w:sz w:val="21"/>
        </w:rPr>
        <w:t>备</w:t>
      </w:r>
      <w:r>
        <w:rPr>
          <w:spacing w:val="-3"/>
          <w:sz w:val="21"/>
        </w:rPr>
        <w:t>的</w:t>
      </w:r>
      <w:r>
        <w:rPr>
          <w:sz w:val="21"/>
        </w:rPr>
        <w:t>供</w:t>
      </w:r>
      <w:r>
        <w:rPr>
          <w:spacing w:val="-3"/>
          <w:sz w:val="21"/>
        </w:rPr>
        <w:t>货</w:t>
      </w:r>
      <w:r>
        <w:rPr>
          <w:spacing w:val="-44"/>
          <w:sz w:val="21"/>
        </w:rPr>
        <w:t>、</w:t>
      </w:r>
      <w:r>
        <w:rPr>
          <w:sz w:val="21"/>
        </w:rPr>
        <w:t>安装</w:t>
      </w:r>
      <w:r>
        <w:rPr>
          <w:spacing w:val="-46"/>
          <w:sz w:val="21"/>
        </w:rPr>
        <w:t>、</w:t>
      </w:r>
      <w:r>
        <w:rPr>
          <w:sz w:val="21"/>
        </w:rPr>
        <w:t>调</w:t>
      </w:r>
      <w:r>
        <w:rPr>
          <w:spacing w:val="-3"/>
          <w:sz w:val="21"/>
        </w:rPr>
        <w:t>试</w:t>
      </w:r>
      <w:r>
        <w:rPr>
          <w:sz w:val="21"/>
        </w:rPr>
        <w:t>并</w:t>
      </w:r>
      <w:r>
        <w:rPr>
          <w:spacing w:val="-3"/>
          <w:sz w:val="21"/>
        </w:rPr>
        <w:t>验</w:t>
      </w:r>
      <w:r>
        <w:rPr>
          <w:sz w:val="21"/>
        </w:rPr>
        <w:t>收</w:t>
      </w:r>
      <w:r>
        <w:rPr>
          <w:spacing w:val="-3"/>
          <w:sz w:val="21"/>
        </w:rPr>
        <w:t>合格</w:t>
      </w:r>
      <w:r>
        <w:rPr>
          <w:sz w:val="21"/>
        </w:rPr>
        <w:t>。</w:t>
      </w:r>
    </w:p>
    <w:p>
      <w:pPr>
        <w:pStyle w:val="2"/>
        <w:spacing w:before="6"/>
        <w:rPr>
          <w:sz w:val="16"/>
        </w:rPr>
      </w:pPr>
    </w:p>
    <w:p>
      <w:pPr>
        <w:pStyle w:val="21"/>
        <w:numPr>
          <w:ilvl w:val="0"/>
          <w:numId w:val="18"/>
        </w:numPr>
        <w:tabs>
          <w:tab w:val="left" w:pos="1025"/>
        </w:tabs>
        <w:spacing w:before="0" w:after="0" w:line="427" w:lineRule="auto"/>
        <w:ind w:left="392" w:right="547" w:firstLine="419"/>
        <w:jc w:val="left"/>
        <w:rPr>
          <w:sz w:val="21"/>
        </w:rPr>
      </w:pPr>
      <w:r>
        <w:rPr>
          <w:spacing w:val="-6"/>
          <w:sz w:val="21"/>
        </w:rPr>
        <w:t>产品的外观、包装、运输应按国家规定或部颁标准执行，如因乙方包装不当以及其它原因造成损坏</w:t>
      </w:r>
      <w:r>
        <w:rPr>
          <w:spacing w:val="-4"/>
          <w:sz w:val="21"/>
        </w:rPr>
        <w:t>或丢失，应由乙方负责修复或补缺。</w:t>
      </w:r>
    </w:p>
    <w:p>
      <w:pPr>
        <w:pStyle w:val="21"/>
        <w:numPr>
          <w:ilvl w:val="0"/>
          <w:numId w:val="18"/>
        </w:numPr>
        <w:tabs>
          <w:tab w:val="left" w:pos="1025"/>
        </w:tabs>
        <w:spacing w:before="2" w:after="0" w:line="427" w:lineRule="auto"/>
        <w:ind w:left="812" w:right="4514" w:firstLine="0"/>
        <w:jc w:val="left"/>
        <w:rPr>
          <w:sz w:val="21"/>
        </w:rPr>
      </w:pPr>
      <w:r>
        <w:rPr>
          <w:spacing w:val="-3"/>
          <w:sz w:val="21"/>
        </w:rPr>
        <w:t>产品交货时，包装完整无破损，还必须提供以下资料： A</w:t>
      </w:r>
      <w:r>
        <w:rPr>
          <w:spacing w:val="-12"/>
          <w:sz w:val="21"/>
        </w:rPr>
        <w:t xml:space="preserve"> 装箱清单</w:t>
      </w:r>
    </w:p>
    <w:p>
      <w:pPr>
        <w:pStyle w:val="2"/>
        <w:spacing w:before="2" w:line="427" w:lineRule="auto"/>
        <w:ind w:left="812" w:right="8294"/>
      </w:pPr>
      <w:r>
        <w:t>B 质检合格文件C 中文标注</w:t>
      </w:r>
    </w:p>
    <w:p>
      <w:pPr>
        <w:pStyle w:val="2"/>
        <w:spacing w:before="2" w:line="427" w:lineRule="auto"/>
        <w:ind w:left="812" w:right="6458"/>
      </w:pPr>
      <w:r>
        <w:t>F</w:t>
      </w:r>
      <w:r>
        <w:rPr>
          <w:spacing w:val="-9"/>
        </w:rPr>
        <w:t xml:space="preserve"> 其它必备材料和必备工具、货物等</w:t>
      </w:r>
      <w:r>
        <w:t>G</w:t>
      </w:r>
      <w:r>
        <w:rPr>
          <w:spacing w:val="-15"/>
        </w:rPr>
        <w:t xml:space="preserve"> 保修单</w:t>
      </w:r>
    </w:p>
    <w:p>
      <w:pPr>
        <w:pStyle w:val="21"/>
        <w:numPr>
          <w:ilvl w:val="0"/>
          <w:numId w:val="18"/>
        </w:numPr>
        <w:tabs>
          <w:tab w:val="left" w:pos="1025"/>
        </w:tabs>
        <w:spacing w:before="3" w:after="0" w:line="427" w:lineRule="auto"/>
        <w:ind w:left="392" w:right="547" w:firstLine="419"/>
        <w:jc w:val="left"/>
        <w:rPr>
          <w:sz w:val="21"/>
        </w:rPr>
      </w:pPr>
      <w:r>
        <w:rPr>
          <w:spacing w:val="-6"/>
          <w:sz w:val="21"/>
        </w:rPr>
        <w:t>交货方式：乙方供应给甲方的货物产品，甲方组织相关部门技术人员对其进行现场清点和检查外观</w:t>
      </w:r>
      <w:r>
        <w:rPr>
          <w:spacing w:val="-4"/>
          <w:sz w:val="21"/>
        </w:rPr>
        <w:t>质量后，乙方负责卸放至甲方现场指定场地，这种清点和检查仅为甲方确认乙方履行合同如期交货。</w:t>
      </w:r>
    </w:p>
    <w:p>
      <w:pPr>
        <w:spacing w:before="2" w:line="427" w:lineRule="auto"/>
        <w:ind w:left="812" w:right="7658" w:firstLine="2"/>
        <w:jc w:val="left"/>
        <w:rPr>
          <w:sz w:val="21"/>
        </w:rPr>
      </w:pPr>
      <w:r>
        <w:rPr>
          <w:b/>
          <w:sz w:val="21"/>
        </w:rPr>
        <w:t xml:space="preserve">十、质量及验收方法： </w:t>
      </w:r>
      <w:r>
        <w:rPr>
          <w:sz w:val="21"/>
        </w:rPr>
        <w:t>1.质量要求</w:t>
      </w:r>
    </w:p>
    <w:p>
      <w:pPr>
        <w:pStyle w:val="21"/>
        <w:numPr>
          <w:ilvl w:val="0"/>
          <w:numId w:val="19"/>
        </w:numPr>
        <w:tabs>
          <w:tab w:val="left" w:pos="1345"/>
        </w:tabs>
        <w:spacing w:before="2" w:after="0" w:line="427" w:lineRule="auto"/>
        <w:ind w:left="392" w:right="552" w:firstLine="419"/>
        <w:jc w:val="left"/>
        <w:rPr>
          <w:sz w:val="21"/>
        </w:rPr>
      </w:pPr>
      <w:r>
        <w:rPr>
          <w:sz w:val="21"/>
        </w:rPr>
        <w:t xml:space="preserve">乙方供货应按照技术清单、技术规范、环境条件要求供应，选择使用寿命长、品质佳的材料， </w:t>
      </w:r>
      <w:r>
        <w:rPr>
          <w:spacing w:val="-3"/>
          <w:sz w:val="21"/>
        </w:rPr>
        <w:t>并需对投标文件涉及到专利负责，保证在任何情况下，不伤害甲方利益。</w:t>
      </w:r>
    </w:p>
    <w:p>
      <w:pPr>
        <w:pStyle w:val="21"/>
        <w:numPr>
          <w:ilvl w:val="0"/>
          <w:numId w:val="19"/>
        </w:numPr>
        <w:tabs>
          <w:tab w:val="left" w:pos="1345"/>
        </w:tabs>
        <w:spacing w:before="2" w:after="0" w:line="427" w:lineRule="auto"/>
        <w:ind w:left="392" w:right="552" w:firstLine="419"/>
        <w:jc w:val="left"/>
        <w:rPr>
          <w:sz w:val="21"/>
        </w:rPr>
      </w:pPr>
      <w:r>
        <w:rPr>
          <w:spacing w:val="-1"/>
          <w:sz w:val="21"/>
        </w:rPr>
        <w:t>材料标准、规范：须完全符合中华人民共和国最新颁布的条例及规范。乙方应根据规范的技术</w:t>
      </w:r>
      <w:r>
        <w:rPr>
          <w:spacing w:val="-3"/>
          <w:sz w:val="21"/>
        </w:rPr>
        <w:t>要求，结合使用功能和国家现行标准规范，需详细列出所供材料设备的产地、规格、数量。</w:t>
      </w:r>
    </w:p>
    <w:p>
      <w:pPr>
        <w:pStyle w:val="21"/>
        <w:numPr>
          <w:ilvl w:val="0"/>
          <w:numId w:val="19"/>
        </w:numPr>
        <w:tabs>
          <w:tab w:val="left" w:pos="1345"/>
        </w:tabs>
        <w:spacing w:before="2" w:after="0" w:line="427" w:lineRule="auto"/>
        <w:ind w:left="392" w:right="552" w:firstLine="419"/>
        <w:jc w:val="left"/>
        <w:rPr>
          <w:sz w:val="21"/>
        </w:rPr>
      </w:pPr>
      <w:r>
        <w:rPr>
          <w:sz w:val="21"/>
        </w:rPr>
        <w:t>乙方在供货时要充分考虑相关验收规范要求，若因乙方原因造成不能通过验收，乙方应承担相</w:t>
      </w:r>
      <w:r>
        <w:rPr>
          <w:spacing w:val="-1"/>
          <w:sz w:val="21"/>
        </w:rPr>
        <w:t>应责任。</w:t>
      </w:r>
    </w:p>
    <w:p>
      <w:pPr>
        <w:pStyle w:val="2"/>
        <w:spacing w:before="2"/>
        <w:ind w:left="812"/>
      </w:pPr>
      <w:r>
        <w:t>2.验收方法</w:t>
      </w:r>
    </w:p>
    <w:p>
      <w:pPr>
        <w:pStyle w:val="2"/>
        <w:spacing w:before="6"/>
        <w:rPr>
          <w:sz w:val="16"/>
        </w:rPr>
      </w:pPr>
    </w:p>
    <w:p>
      <w:pPr>
        <w:pStyle w:val="21"/>
        <w:numPr>
          <w:ilvl w:val="0"/>
          <w:numId w:val="20"/>
        </w:numPr>
        <w:tabs>
          <w:tab w:val="left" w:pos="1345"/>
        </w:tabs>
        <w:spacing w:before="0" w:after="0" w:line="240" w:lineRule="auto"/>
        <w:ind w:left="1344" w:right="0" w:hanging="533"/>
        <w:jc w:val="left"/>
        <w:rPr>
          <w:sz w:val="21"/>
        </w:rPr>
      </w:pPr>
      <w:r>
        <w:rPr>
          <w:sz w:val="21"/>
        </w:rPr>
        <w:t>在交货前，乙方应对货物的质量、规格、性能、数量和重量等进行详细而全面的检验，并出具</w:t>
      </w:r>
    </w:p>
    <w:p>
      <w:pPr>
        <w:spacing w:after="0" w:line="240" w:lineRule="auto"/>
        <w:jc w:val="left"/>
        <w:rPr>
          <w:sz w:val="21"/>
        </w:rPr>
        <w:sectPr>
          <w:pgSz w:w="11910" w:h="16840"/>
          <w:pgMar w:top="1540" w:right="580" w:bottom="1660" w:left="740" w:header="0" w:footer="1479" w:gutter="0"/>
          <w:pgNumType w:fmt="decimal"/>
          <w:cols w:space="720" w:num="1"/>
        </w:sectPr>
      </w:pPr>
    </w:p>
    <w:p>
      <w:pPr>
        <w:pStyle w:val="2"/>
        <w:spacing w:before="56"/>
        <w:ind w:left="392"/>
      </w:pPr>
      <w:r>
        <w:t>一份证明货物符合合同规定的证书。</w:t>
      </w:r>
    </w:p>
    <w:p>
      <w:pPr>
        <w:pStyle w:val="2"/>
        <w:spacing w:before="6"/>
        <w:rPr>
          <w:sz w:val="16"/>
        </w:rPr>
      </w:pPr>
    </w:p>
    <w:p>
      <w:pPr>
        <w:pStyle w:val="21"/>
        <w:numPr>
          <w:ilvl w:val="0"/>
          <w:numId w:val="20"/>
        </w:numPr>
        <w:tabs>
          <w:tab w:val="left" w:pos="1345"/>
        </w:tabs>
        <w:spacing w:before="0" w:after="0" w:line="427" w:lineRule="auto"/>
        <w:ind w:left="392" w:right="552" w:firstLine="419"/>
        <w:jc w:val="left"/>
        <w:rPr>
          <w:sz w:val="21"/>
        </w:rPr>
      </w:pPr>
      <w:r>
        <w:rPr>
          <w:spacing w:val="-1"/>
          <w:sz w:val="21"/>
        </w:rPr>
        <w:t>货物运抵现场后，甲方将对货物的质量、规格、数量和重量进行初步检验。如发现货物的规格</w:t>
      </w:r>
      <w:r>
        <w:rPr>
          <w:spacing w:val="-5"/>
          <w:sz w:val="21"/>
        </w:rPr>
        <w:t xml:space="preserve">或数量或两者都与合同不符，甲方有权在货物运抵现场后 </w:t>
      </w:r>
      <w:r>
        <w:rPr>
          <w:sz w:val="21"/>
        </w:rPr>
        <w:t>90</w:t>
      </w:r>
      <w:r>
        <w:rPr>
          <w:spacing w:val="-8"/>
          <w:sz w:val="21"/>
        </w:rPr>
        <w:t xml:space="preserve"> 天内，根据检验结果向材料乙方提出索赔。</w:t>
      </w:r>
    </w:p>
    <w:p>
      <w:pPr>
        <w:pStyle w:val="21"/>
        <w:numPr>
          <w:ilvl w:val="0"/>
          <w:numId w:val="20"/>
        </w:numPr>
        <w:tabs>
          <w:tab w:val="left" w:pos="1345"/>
        </w:tabs>
        <w:spacing w:before="2" w:after="0" w:line="427" w:lineRule="auto"/>
        <w:ind w:left="392" w:right="552" w:firstLine="419"/>
        <w:jc w:val="left"/>
        <w:rPr>
          <w:sz w:val="21"/>
        </w:rPr>
      </w:pPr>
      <w:r>
        <w:rPr>
          <w:sz w:val="21"/>
        </w:rPr>
        <w:t>如果货物的质量和规格与合同不符，或在规定的质量保证期内证实货物是有缺陷的，包括潜在</w:t>
      </w:r>
      <w:r>
        <w:rPr>
          <w:spacing w:val="-3"/>
          <w:sz w:val="21"/>
        </w:rPr>
        <w:t>的缺陷或使用不符合要求的材料，甲方将有权向乙方提出索赔。</w:t>
      </w:r>
    </w:p>
    <w:p>
      <w:pPr>
        <w:pStyle w:val="21"/>
        <w:numPr>
          <w:ilvl w:val="0"/>
          <w:numId w:val="20"/>
        </w:numPr>
        <w:tabs>
          <w:tab w:val="left" w:pos="1342"/>
        </w:tabs>
        <w:spacing w:before="2" w:after="0" w:line="240" w:lineRule="auto"/>
        <w:ind w:left="1341" w:right="0" w:hanging="530"/>
        <w:jc w:val="left"/>
        <w:rPr>
          <w:sz w:val="21"/>
        </w:rPr>
      </w:pPr>
      <w:r>
        <w:rPr>
          <w:spacing w:val="-3"/>
          <w:sz w:val="21"/>
        </w:rPr>
        <w:t>货物的最终验收完毕，由甲方组织相关单位或检测机构共同负责验收工作。</w:t>
      </w:r>
    </w:p>
    <w:p>
      <w:pPr>
        <w:pStyle w:val="2"/>
        <w:spacing w:before="6"/>
        <w:rPr>
          <w:sz w:val="16"/>
        </w:rPr>
      </w:pPr>
    </w:p>
    <w:p>
      <w:pPr>
        <w:pStyle w:val="21"/>
        <w:numPr>
          <w:ilvl w:val="0"/>
          <w:numId w:val="20"/>
        </w:numPr>
        <w:tabs>
          <w:tab w:val="left" w:pos="1342"/>
        </w:tabs>
        <w:spacing w:before="0" w:after="0" w:line="427" w:lineRule="auto"/>
        <w:ind w:left="815" w:right="4622" w:hanging="3"/>
        <w:jc w:val="left"/>
        <w:rPr>
          <w:b/>
          <w:sz w:val="21"/>
        </w:rPr>
      </w:pPr>
      <w:r>
        <w:rPr>
          <w:spacing w:val="-3"/>
          <w:sz w:val="21"/>
        </w:rPr>
        <w:t>货物的验收标准按招标文件和国家有关标准执行。</w:t>
      </w:r>
      <w:r>
        <w:rPr>
          <w:b/>
          <w:spacing w:val="-3"/>
          <w:sz w:val="21"/>
        </w:rPr>
        <w:t>十一、货款支付</w:t>
      </w:r>
    </w:p>
    <w:p>
      <w:pPr>
        <w:pStyle w:val="21"/>
        <w:numPr>
          <w:ilvl w:val="0"/>
          <w:numId w:val="21"/>
        </w:numPr>
        <w:tabs>
          <w:tab w:val="left" w:pos="1028"/>
        </w:tabs>
        <w:spacing w:before="0" w:after="0" w:line="291" w:lineRule="exact"/>
        <w:ind w:left="1027" w:right="0" w:hanging="213"/>
        <w:jc w:val="left"/>
        <w:rPr>
          <w:sz w:val="28"/>
        </w:rPr>
      </w:pPr>
      <w:r>
        <w:rPr>
          <w:spacing w:val="-3"/>
          <w:sz w:val="21"/>
        </w:rPr>
        <w:t>付款方式：详见招标文件</w:t>
      </w:r>
      <w:r>
        <w:rPr>
          <w:sz w:val="28"/>
        </w:rPr>
        <w:t>。</w:t>
      </w:r>
    </w:p>
    <w:p>
      <w:pPr>
        <w:pStyle w:val="21"/>
        <w:numPr>
          <w:ilvl w:val="0"/>
          <w:numId w:val="21"/>
        </w:numPr>
        <w:tabs>
          <w:tab w:val="left" w:pos="1025"/>
        </w:tabs>
        <w:spacing w:before="191" w:after="0" w:line="427" w:lineRule="auto"/>
        <w:ind w:left="392" w:right="549" w:firstLine="419"/>
        <w:jc w:val="left"/>
        <w:rPr>
          <w:sz w:val="21"/>
        </w:rPr>
      </w:pPr>
      <w:r>
        <w:rPr>
          <w:spacing w:val="-5"/>
          <w:sz w:val="21"/>
        </w:rPr>
        <w:t>招标人保留适度调整采购需求的权利，本项目最终按实际到场货物</w:t>
      </w:r>
      <w:r>
        <w:rPr>
          <w:sz w:val="21"/>
        </w:rPr>
        <w:t>（</w:t>
      </w:r>
      <w:r>
        <w:rPr>
          <w:spacing w:val="-3"/>
          <w:sz w:val="21"/>
        </w:rPr>
        <w:t>设备</w:t>
      </w:r>
      <w:r>
        <w:rPr>
          <w:spacing w:val="-5"/>
          <w:sz w:val="21"/>
        </w:rPr>
        <w:t>）</w:t>
      </w:r>
      <w:r>
        <w:rPr>
          <w:spacing w:val="-4"/>
          <w:sz w:val="21"/>
        </w:rPr>
        <w:t>数量、中标人的投标单</w:t>
      </w:r>
      <w:r>
        <w:rPr>
          <w:spacing w:val="-3"/>
          <w:sz w:val="21"/>
        </w:rPr>
        <w:t>价结算。</w:t>
      </w:r>
    </w:p>
    <w:p>
      <w:pPr>
        <w:pStyle w:val="2"/>
        <w:spacing w:before="2" w:line="427" w:lineRule="auto"/>
        <w:ind w:left="815" w:right="3043"/>
        <w:rPr>
          <w:b/>
        </w:rPr>
      </w:pPr>
      <w:r>
        <w:t>货款一律通过银行非现金结算，结算方式：电汇、转账或承兑汇票支付。</w:t>
      </w:r>
      <w:r>
        <w:rPr>
          <w:b/>
        </w:rPr>
        <w:t>十二、税费</w:t>
      </w:r>
    </w:p>
    <w:p>
      <w:pPr>
        <w:spacing w:before="2" w:line="427" w:lineRule="auto"/>
        <w:ind w:left="750" w:right="5565" w:firstLine="62"/>
        <w:jc w:val="left"/>
        <w:rPr>
          <w:b/>
          <w:sz w:val="21"/>
        </w:rPr>
      </w:pPr>
      <w:r>
        <w:rPr>
          <w:sz w:val="21"/>
        </w:rPr>
        <w:t>本合同执行中相关的一切税费均由乙方负担。</w:t>
      </w:r>
      <w:r>
        <w:rPr>
          <w:b/>
          <w:sz w:val="21"/>
        </w:rPr>
        <w:t>十三、质量保证及售后服务</w:t>
      </w:r>
    </w:p>
    <w:p>
      <w:pPr>
        <w:pStyle w:val="21"/>
        <w:numPr>
          <w:ilvl w:val="0"/>
          <w:numId w:val="22"/>
        </w:numPr>
        <w:tabs>
          <w:tab w:val="left" w:pos="1025"/>
        </w:tabs>
        <w:spacing w:before="3" w:after="0" w:line="427" w:lineRule="auto"/>
        <w:ind w:left="392" w:right="547" w:firstLine="419"/>
        <w:jc w:val="both"/>
        <w:rPr>
          <w:sz w:val="21"/>
        </w:rPr>
      </w:pPr>
      <w:r>
        <w:rPr>
          <w:spacing w:val="-6"/>
          <w:sz w:val="21"/>
        </w:rPr>
        <w:t>乙方应保证所提供的货物是全新、未使用过的、是按招标文件和相关技术标准制造而成的，并完全</w:t>
      </w:r>
      <w:r>
        <w:rPr>
          <w:spacing w:val="-7"/>
          <w:sz w:val="21"/>
        </w:rPr>
        <w:t>符合招标文件规定的质量、规格和性能的要求。在货物质量保证期内，乙方应对由于材料和制造原因产生</w:t>
      </w:r>
      <w:r>
        <w:rPr>
          <w:spacing w:val="-5"/>
          <w:sz w:val="21"/>
        </w:rPr>
        <w:t>的缺陷而发生的任何不足或故障负责。</w:t>
      </w:r>
    </w:p>
    <w:p>
      <w:pPr>
        <w:pStyle w:val="21"/>
        <w:numPr>
          <w:ilvl w:val="0"/>
          <w:numId w:val="22"/>
        </w:numPr>
        <w:tabs>
          <w:tab w:val="left" w:pos="1025"/>
        </w:tabs>
        <w:spacing w:before="3" w:after="0" w:line="427" w:lineRule="auto"/>
        <w:ind w:left="392" w:right="547" w:firstLine="419"/>
        <w:jc w:val="both"/>
        <w:rPr>
          <w:sz w:val="21"/>
        </w:rPr>
      </w:pPr>
      <w:r>
        <w:rPr>
          <w:spacing w:val="-6"/>
          <w:sz w:val="21"/>
        </w:rPr>
        <w:t>根据当地质检部门检验结果，或者在质量保证期内，如果货物的数量、质量或规格与合同不符，或</w:t>
      </w:r>
      <w:r>
        <w:rPr>
          <w:spacing w:val="-7"/>
          <w:sz w:val="21"/>
        </w:rPr>
        <w:t>证实货物是有缺陷的，包括潜在的缺陷或使用不符合要求的材料等，甲方应尽快以书面形式通知乙方，并</w:t>
      </w:r>
      <w:r>
        <w:rPr>
          <w:spacing w:val="-4"/>
          <w:sz w:val="21"/>
        </w:rPr>
        <w:t>提出索赔。</w:t>
      </w:r>
    </w:p>
    <w:p>
      <w:pPr>
        <w:pStyle w:val="21"/>
        <w:numPr>
          <w:ilvl w:val="0"/>
          <w:numId w:val="22"/>
        </w:numPr>
        <w:tabs>
          <w:tab w:val="left" w:pos="1025"/>
        </w:tabs>
        <w:spacing w:before="3" w:after="0" w:line="427" w:lineRule="auto"/>
        <w:ind w:left="392" w:right="441" w:firstLine="419"/>
        <w:jc w:val="left"/>
        <w:rPr>
          <w:sz w:val="21"/>
        </w:rPr>
      </w:pPr>
      <w:r>
        <w:rPr>
          <w:spacing w:val="-8"/>
          <w:sz w:val="21"/>
        </w:rPr>
        <w:t xml:space="preserve">在使用过程中发生任何质量问题，在接到电话后须在 </w:t>
      </w:r>
      <w:r>
        <w:rPr>
          <w:rFonts w:ascii="Times New Roman" w:eastAsia="Times New Roman"/>
          <w:sz w:val="21"/>
        </w:rPr>
        <w:t>12</w:t>
      </w:r>
      <w:r>
        <w:rPr>
          <w:rFonts w:ascii="Times New Roman" w:eastAsia="Times New Roman"/>
          <w:spacing w:val="14"/>
          <w:sz w:val="21"/>
        </w:rPr>
        <w:t xml:space="preserve"> </w:t>
      </w:r>
      <w:r>
        <w:rPr>
          <w:spacing w:val="-5"/>
          <w:sz w:val="21"/>
        </w:rPr>
        <w:t>小时内响应，</w:t>
      </w:r>
      <w:r>
        <w:rPr>
          <w:rFonts w:ascii="Times New Roman" w:eastAsia="Times New Roman"/>
          <w:spacing w:val="-14"/>
          <w:sz w:val="21"/>
        </w:rPr>
        <w:t>24</w:t>
      </w:r>
      <w:r>
        <w:rPr>
          <w:rFonts w:ascii="Times New Roman" w:eastAsia="Times New Roman"/>
          <w:spacing w:val="14"/>
          <w:sz w:val="21"/>
        </w:rPr>
        <w:t xml:space="preserve"> </w:t>
      </w:r>
      <w:r>
        <w:rPr>
          <w:spacing w:val="-3"/>
          <w:sz w:val="21"/>
        </w:rPr>
        <w:t xml:space="preserve">小时内到达现场解决问题， </w:t>
      </w:r>
      <w:r>
        <w:rPr>
          <w:spacing w:val="-6"/>
          <w:sz w:val="21"/>
        </w:rPr>
        <w:t>如果需要更换货物或配件，需保证所换货物或配件不低于原配置，如在规定时间内不能到位的，甲方有权</w:t>
      </w:r>
      <w:r>
        <w:rPr>
          <w:spacing w:val="-4"/>
          <w:sz w:val="21"/>
        </w:rPr>
        <w:t>自行维修或更换，其费用在乙方履约保证金中扣除。</w:t>
      </w:r>
    </w:p>
    <w:p>
      <w:pPr>
        <w:pStyle w:val="21"/>
        <w:numPr>
          <w:ilvl w:val="0"/>
          <w:numId w:val="22"/>
        </w:numPr>
        <w:tabs>
          <w:tab w:val="left" w:pos="1025"/>
          <w:tab w:val="left" w:pos="2915"/>
        </w:tabs>
        <w:spacing w:before="3" w:after="0" w:line="240" w:lineRule="auto"/>
        <w:ind w:left="1024" w:right="0" w:hanging="213"/>
        <w:jc w:val="left"/>
        <w:rPr>
          <w:sz w:val="21"/>
        </w:rPr>
      </w:pPr>
      <w:r>
        <w:rPr>
          <w:sz w:val="21"/>
        </w:rPr>
        <w:t>质</w:t>
      </w:r>
      <w:r>
        <w:rPr>
          <w:spacing w:val="-3"/>
          <w:sz w:val="21"/>
        </w:rPr>
        <w:t>量</w:t>
      </w:r>
      <w:r>
        <w:rPr>
          <w:sz w:val="21"/>
        </w:rPr>
        <w:t>保</w:t>
      </w:r>
      <w:r>
        <w:rPr>
          <w:spacing w:val="-3"/>
          <w:sz w:val="21"/>
        </w:rPr>
        <w:t>证</w:t>
      </w:r>
      <w:r>
        <w:rPr>
          <w:sz w:val="21"/>
        </w:rPr>
        <w:t>期</w:t>
      </w:r>
      <w:r>
        <w:rPr>
          <w:spacing w:val="-3"/>
          <w:sz w:val="21"/>
        </w:rPr>
        <w:t>限</w:t>
      </w:r>
      <w:r>
        <w:rPr>
          <w:sz w:val="21"/>
        </w:rPr>
        <w:t>：</w:t>
      </w:r>
      <w:r>
        <w:rPr>
          <w:sz w:val="21"/>
          <w:u w:val="single"/>
        </w:rPr>
        <w:t xml:space="preserve"> </w:t>
      </w:r>
      <w:r>
        <w:rPr>
          <w:sz w:val="21"/>
          <w:u w:val="single"/>
        </w:rPr>
        <w:tab/>
      </w:r>
      <w:r>
        <w:rPr>
          <w:spacing w:val="-3"/>
          <w:sz w:val="21"/>
        </w:rPr>
        <w:t>年</w:t>
      </w:r>
      <w:r>
        <w:rPr>
          <w:sz w:val="21"/>
        </w:rPr>
        <w:t>，质</w:t>
      </w:r>
      <w:r>
        <w:rPr>
          <w:spacing w:val="-3"/>
          <w:sz w:val="21"/>
        </w:rPr>
        <w:t>保</w:t>
      </w:r>
      <w:r>
        <w:rPr>
          <w:sz w:val="21"/>
        </w:rPr>
        <w:t>期</w:t>
      </w:r>
      <w:r>
        <w:rPr>
          <w:spacing w:val="-3"/>
          <w:sz w:val="21"/>
        </w:rPr>
        <w:t>内</w:t>
      </w:r>
      <w:r>
        <w:rPr>
          <w:sz w:val="21"/>
        </w:rPr>
        <w:t>无</w:t>
      </w:r>
      <w:r>
        <w:rPr>
          <w:spacing w:val="-3"/>
          <w:sz w:val="21"/>
        </w:rPr>
        <w:t>偿</w:t>
      </w:r>
      <w:r>
        <w:rPr>
          <w:sz w:val="21"/>
        </w:rPr>
        <w:t>更</w:t>
      </w:r>
      <w:r>
        <w:rPr>
          <w:spacing w:val="-3"/>
          <w:sz w:val="21"/>
        </w:rPr>
        <w:t>换</w:t>
      </w:r>
      <w:r>
        <w:rPr>
          <w:sz w:val="21"/>
        </w:rPr>
        <w:t>非</w:t>
      </w:r>
      <w:r>
        <w:rPr>
          <w:spacing w:val="-3"/>
          <w:sz w:val="21"/>
        </w:rPr>
        <w:t>人</w:t>
      </w:r>
      <w:r>
        <w:rPr>
          <w:sz w:val="21"/>
        </w:rPr>
        <w:t>为损</w:t>
      </w:r>
      <w:r>
        <w:rPr>
          <w:spacing w:val="-3"/>
          <w:sz w:val="21"/>
        </w:rPr>
        <w:t>坏</w:t>
      </w:r>
      <w:r>
        <w:rPr>
          <w:sz w:val="21"/>
        </w:rPr>
        <w:t>的</w:t>
      </w:r>
      <w:r>
        <w:rPr>
          <w:spacing w:val="-3"/>
          <w:sz w:val="21"/>
        </w:rPr>
        <w:t>配</w:t>
      </w:r>
      <w:r>
        <w:rPr>
          <w:sz w:val="21"/>
        </w:rPr>
        <w:t>件等</w:t>
      </w:r>
    </w:p>
    <w:p>
      <w:pPr>
        <w:pStyle w:val="2"/>
        <w:spacing w:before="6"/>
        <w:rPr>
          <w:sz w:val="16"/>
        </w:rPr>
      </w:pPr>
    </w:p>
    <w:p>
      <w:pPr>
        <w:pStyle w:val="21"/>
        <w:numPr>
          <w:ilvl w:val="0"/>
          <w:numId w:val="22"/>
        </w:numPr>
        <w:tabs>
          <w:tab w:val="left" w:pos="1025"/>
        </w:tabs>
        <w:spacing w:before="0" w:after="0" w:line="240" w:lineRule="auto"/>
        <w:ind w:left="1024" w:right="0" w:hanging="213"/>
        <w:jc w:val="left"/>
        <w:rPr>
          <w:sz w:val="21"/>
        </w:rPr>
      </w:pPr>
      <w:r>
        <w:rPr>
          <w:spacing w:val="-3"/>
          <w:sz w:val="21"/>
        </w:rPr>
        <w:t>根据规定的免费保修时间对所供货物进行保修，在保修期内，乙方不得收取任何费用；</w:t>
      </w:r>
    </w:p>
    <w:p>
      <w:pPr>
        <w:pStyle w:val="2"/>
        <w:spacing w:before="6"/>
        <w:rPr>
          <w:sz w:val="16"/>
        </w:rPr>
      </w:pPr>
    </w:p>
    <w:p>
      <w:pPr>
        <w:pStyle w:val="2"/>
        <w:spacing w:line="427" w:lineRule="auto"/>
        <w:ind w:left="392" w:right="535" w:firstLine="419"/>
      </w:pPr>
      <w:r>
        <w:t>免费保修期满后，乙方对用户货物的维修，只收成本费，并提供终生技术服务（如乙方投标时承诺优于本条标准，则以乙方投标时的承诺为准）。</w:t>
      </w:r>
    </w:p>
    <w:p>
      <w:pPr>
        <w:spacing w:after="0" w:line="427" w:lineRule="auto"/>
        <w:sectPr>
          <w:pgSz w:w="11910" w:h="16840"/>
          <w:pgMar w:top="1540" w:right="580" w:bottom="1660" w:left="740" w:header="0" w:footer="1479" w:gutter="0"/>
          <w:pgNumType w:fmt="decimal"/>
          <w:cols w:space="720" w:num="1"/>
        </w:sectPr>
      </w:pPr>
    </w:p>
    <w:p>
      <w:pPr>
        <w:pStyle w:val="21"/>
        <w:numPr>
          <w:ilvl w:val="0"/>
          <w:numId w:val="22"/>
        </w:numPr>
        <w:tabs>
          <w:tab w:val="left" w:pos="1034"/>
        </w:tabs>
        <w:spacing w:before="56" w:after="0" w:line="427" w:lineRule="auto"/>
        <w:ind w:left="392" w:right="549" w:firstLine="419"/>
        <w:jc w:val="left"/>
        <w:rPr>
          <w:sz w:val="21"/>
        </w:rPr>
      </w:pPr>
      <w:r>
        <w:rPr>
          <w:spacing w:val="6"/>
          <w:sz w:val="21"/>
        </w:rPr>
        <w:t>乙方提供的货物在质保期内因货物本身的质量问题，乙方应负责免费更换。对达不到技术要求</w:t>
      </w:r>
      <w:r>
        <w:rPr>
          <w:spacing w:val="-3"/>
          <w:sz w:val="21"/>
        </w:rPr>
        <w:t>者，根据实际情况，经双方协商，可按以下办法处理：</w:t>
      </w:r>
    </w:p>
    <w:p>
      <w:pPr>
        <w:pStyle w:val="21"/>
        <w:numPr>
          <w:ilvl w:val="0"/>
          <w:numId w:val="23"/>
        </w:numPr>
        <w:tabs>
          <w:tab w:val="left" w:pos="1342"/>
        </w:tabs>
        <w:spacing w:before="2" w:after="0" w:line="240" w:lineRule="auto"/>
        <w:ind w:left="1341" w:right="0" w:hanging="530"/>
        <w:jc w:val="left"/>
        <w:rPr>
          <w:sz w:val="21"/>
        </w:rPr>
      </w:pPr>
      <w:r>
        <w:rPr>
          <w:spacing w:val="-3"/>
          <w:sz w:val="21"/>
        </w:rPr>
        <w:t>更换：由乙方承担所发生的全部费用。</w:t>
      </w:r>
    </w:p>
    <w:p>
      <w:pPr>
        <w:pStyle w:val="2"/>
        <w:spacing w:before="6"/>
        <w:rPr>
          <w:sz w:val="16"/>
        </w:rPr>
      </w:pPr>
    </w:p>
    <w:p>
      <w:pPr>
        <w:pStyle w:val="21"/>
        <w:numPr>
          <w:ilvl w:val="0"/>
          <w:numId w:val="23"/>
        </w:numPr>
        <w:tabs>
          <w:tab w:val="left" w:pos="1342"/>
        </w:tabs>
        <w:spacing w:before="0" w:after="0" w:line="240" w:lineRule="auto"/>
        <w:ind w:left="1341" w:right="0" w:hanging="530"/>
        <w:jc w:val="left"/>
        <w:rPr>
          <w:sz w:val="21"/>
        </w:rPr>
      </w:pPr>
      <w:r>
        <w:rPr>
          <w:spacing w:val="-3"/>
          <w:sz w:val="21"/>
        </w:rPr>
        <w:t>贬值处理：由甲乙双方合议定价。</w:t>
      </w:r>
    </w:p>
    <w:p>
      <w:pPr>
        <w:pStyle w:val="2"/>
        <w:spacing w:before="6"/>
        <w:rPr>
          <w:sz w:val="16"/>
        </w:rPr>
      </w:pPr>
    </w:p>
    <w:p>
      <w:pPr>
        <w:pStyle w:val="21"/>
        <w:numPr>
          <w:ilvl w:val="0"/>
          <w:numId w:val="23"/>
        </w:numPr>
        <w:tabs>
          <w:tab w:val="left" w:pos="1340"/>
        </w:tabs>
        <w:spacing w:before="0" w:after="0" w:line="427" w:lineRule="auto"/>
        <w:ind w:left="392" w:right="547" w:firstLine="419"/>
        <w:jc w:val="left"/>
        <w:rPr>
          <w:sz w:val="21"/>
        </w:rPr>
      </w:pPr>
      <w:r>
        <w:rPr>
          <w:spacing w:val="-5"/>
          <w:sz w:val="21"/>
        </w:rPr>
        <w:t>退货处理：乙方应退还甲方支付的合同款，同时应承担该货物的直接费用</w:t>
      </w:r>
      <w:r>
        <w:rPr>
          <w:spacing w:val="-3"/>
          <w:sz w:val="21"/>
        </w:rPr>
        <w:t>（运输、保险、检验 、货款利息及银行手续费等</w:t>
      </w:r>
      <w:r>
        <w:rPr>
          <w:sz w:val="21"/>
        </w:rPr>
        <w:t>）。</w:t>
      </w:r>
    </w:p>
    <w:p>
      <w:pPr>
        <w:pStyle w:val="21"/>
        <w:numPr>
          <w:ilvl w:val="0"/>
          <w:numId w:val="22"/>
        </w:numPr>
        <w:tabs>
          <w:tab w:val="left" w:pos="1025"/>
        </w:tabs>
        <w:spacing w:before="2" w:after="0" w:line="240" w:lineRule="auto"/>
        <w:ind w:left="1024" w:right="0" w:hanging="213"/>
        <w:jc w:val="left"/>
        <w:rPr>
          <w:sz w:val="21"/>
        </w:rPr>
      </w:pPr>
      <w:r>
        <w:rPr>
          <w:spacing w:val="-3"/>
          <w:sz w:val="21"/>
        </w:rPr>
        <w:t>如甲方使用不当造成货物的毁损，乙方有义务协助维修。</w:t>
      </w:r>
    </w:p>
    <w:p>
      <w:pPr>
        <w:pStyle w:val="2"/>
        <w:spacing w:before="6"/>
        <w:rPr>
          <w:sz w:val="16"/>
        </w:rPr>
      </w:pPr>
    </w:p>
    <w:p>
      <w:pPr>
        <w:pStyle w:val="21"/>
        <w:numPr>
          <w:ilvl w:val="0"/>
          <w:numId w:val="22"/>
        </w:numPr>
        <w:tabs>
          <w:tab w:val="left" w:pos="1025"/>
        </w:tabs>
        <w:spacing w:before="0" w:after="0" w:line="427" w:lineRule="auto"/>
        <w:ind w:left="815" w:right="1994" w:hanging="3"/>
        <w:jc w:val="left"/>
        <w:rPr>
          <w:b/>
          <w:sz w:val="21"/>
        </w:rPr>
      </w:pPr>
      <w:r>
        <w:rPr>
          <w:spacing w:val="-3"/>
          <w:sz w:val="21"/>
        </w:rPr>
        <w:t>在质保期内，乙方应对货物出现的质量及安全问题负责处理解决并承担一切费用。</w:t>
      </w:r>
      <w:r>
        <w:rPr>
          <w:b/>
          <w:spacing w:val="-3"/>
          <w:sz w:val="21"/>
        </w:rPr>
        <w:t>十四、验收</w:t>
      </w:r>
    </w:p>
    <w:p>
      <w:pPr>
        <w:pStyle w:val="21"/>
        <w:numPr>
          <w:ilvl w:val="0"/>
          <w:numId w:val="24"/>
        </w:numPr>
        <w:tabs>
          <w:tab w:val="left" w:pos="1029"/>
        </w:tabs>
        <w:spacing w:before="2" w:after="0" w:line="427" w:lineRule="auto"/>
        <w:ind w:left="392" w:right="549" w:firstLine="419"/>
        <w:jc w:val="both"/>
        <w:rPr>
          <w:sz w:val="21"/>
        </w:rPr>
      </w:pPr>
      <w:r>
        <w:rPr>
          <w:sz w:val="21"/>
        </w:rPr>
        <w:t>甲方对乙方提交的货物依据招标文件上的技术规格要求和国家有关质量标准进行现场初步验收， 外观、说明书符合招标文件技术要求的，给予签收，初步验收不合格的不予签收。货到后，甲方需在五个工作日内验收。如验收发现其中壹件货物不满足招标文件要求的，视为整体不合格，甲方有权单方解</w:t>
      </w:r>
      <w:r>
        <w:rPr>
          <w:spacing w:val="-3"/>
          <w:sz w:val="21"/>
        </w:rPr>
        <w:t>除与乙方签订的供货合同，乙方履约保证金不予退还。</w:t>
      </w:r>
    </w:p>
    <w:p>
      <w:pPr>
        <w:pStyle w:val="21"/>
        <w:numPr>
          <w:ilvl w:val="0"/>
          <w:numId w:val="24"/>
        </w:numPr>
        <w:tabs>
          <w:tab w:val="left" w:pos="1029"/>
        </w:tabs>
        <w:spacing w:before="4" w:after="0" w:line="427" w:lineRule="auto"/>
        <w:ind w:left="392" w:right="549" w:firstLine="419"/>
        <w:jc w:val="left"/>
        <w:rPr>
          <w:sz w:val="21"/>
        </w:rPr>
      </w:pPr>
      <w:r>
        <w:rPr>
          <w:sz w:val="21"/>
        </w:rPr>
        <w:t>乙方交货前应对产品作出全面检查和对验收文件进行整理，并列出清单，作为甲方收货验收和使</w:t>
      </w:r>
      <w:r>
        <w:rPr>
          <w:spacing w:val="-3"/>
          <w:sz w:val="21"/>
        </w:rPr>
        <w:t>用的技术条件依据，检验的结果应随货物交甲方。</w:t>
      </w:r>
    </w:p>
    <w:p>
      <w:pPr>
        <w:pStyle w:val="21"/>
        <w:numPr>
          <w:ilvl w:val="0"/>
          <w:numId w:val="24"/>
        </w:numPr>
        <w:tabs>
          <w:tab w:val="left" w:pos="1029"/>
        </w:tabs>
        <w:spacing w:before="0" w:after="0" w:line="254" w:lineRule="exact"/>
        <w:ind w:left="1028" w:right="0" w:hanging="217"/>
        <w:jc w:val="left"/>
        <w:rPr>
          <w:sz w:val="21"/>
        </w:rPr>
      </w:pPr>
      <w:r>
        <w:rPr>
          <w:sz w:val="21"/>
        </w:rPr>
        <w:t>甲方对乙方提供的货物在使用前进行调试时，乙方需负责安装并免费培训甲方的使用操作人员，</w:t>
      </w:r>
    </w:p>
    <w:p>
      <w:pPr>
        <w:pStyle w:val="2"/>
        <w:rPr>
          <w:sz w:val="15"/>
        </w:rPr>
      </w:pPr>
    </w:p>
    <w:p>
      <w:pPr>
        <w:pStyle w:val="2"/>
        <w:ind w:left="392"/>
      </w:pPr>
      <w:r>
        <w:t>并协助甲方一起调试，直到符合技术要求，甲方才做最终验收。</w:t>
      </w:r>
    </w:p>
    <w:p>
      <w:pPr>
        <w:pStyle w:val="2"/>
        <w:spacing w:before="10"/>
        <w:rPr>
          <w:sz w:val="14"/>
        </w:rPr>
      </w:pPr>
    </w:p>
    <w:p>
      <w:pPr>
        <w:pStyle w:val="21"/>
        <w:numPr>
          <w:ilvl w:val="0"/>
          <w:numId w:val="24"/>
        </w:numPr>
        <w:tabs>
          <w:tab w:val="left" w:pos="1025"/>
        </w:tabs>
        <w:spacing w:before="0" w:after="0" w:line="424" w:lineRule="auto"/>
        <w:ind w:left="815" w:right="2203" w:hanging="3"/>
        <w:jc w:val="left"/>
        <w:rPr>
          <w:b/>
          <w:sz w:val="21"/>
        </w:rPr>
      </w:pPr>
      <w:r>
        <w:rPr>
          <w:spacing w:val="-3"/>
          <w:sz w:val="21"/>
        </w:rPr>
        <w:t>验收时乙方必须在现场，验收完毕后作出验收结果报告；验收费用由乙方负责。</w:t>
      </w:r>
      <w:r>
        <w:rPr>
          <w:b/>
          <w:spacing w:val="-3"/>
          <w:sz w:val="21"/>
        </w:rPr>
        <w:t>十五、货物包装、发运及运输</w:t>
      </w:r>
    </w:p>
    <w:p>
      <w:pPr>
        <w:pStyle w:val="21"/>
        <w:numPr>
          <w:ilvl w:val="0"/>
          <w:numId w:val="25"/>
        </w:numPr>
        <w:tabs>
          <w:tab w:val="left" w:pos="1029"/>
        </w:tabs>
        <w:spacing w:before="5" w:after="0" w:line="427" w:lineRule="auto"/>
        <w:ind w:left="392" w:right="549" w:firstLine="419"/>
        <w:jc w:val="left"/>
        <w:rPr>
          <w:sz w:val="21"/>
        </w:rPr>
      </w:pPr>
      <w:r>
        <w:rPr>
          <w:sz w:val="21"/>
        </w:rPr>
        <w:t>乙方应在货物发运前对其进行满足运输距离、防潮、防霉和防破损装卸等要求包装，以保证货物</w:t>
      </w:r>
      <w:r>
        <w:rPr>
          <w:spacing w:val="-3"/>
          <w:sz w:val="21"/>
        </w:rPr>
        <w:t>安全运达甲方指定地点。</w:t>
      </w:r>
    </w:p>
    <w:p>
      <w:pPr>
        <w:pStyle w:val="21"/>
        <w:numPr>
          <w:ilvl w:val="0"/>
          <w:numId w:val="25"/>
        </w:numPr>
        <w:tabs>
          <w:tab w:val="left" w:pos="1025"/>
        </w:tabs>
        <w:spacing w:before="2" w:after="0" w:line="240" w:lineRule="auto"/>
        <w:ind w:left="1024" w:right="0" w:hanging="213"/>
        <w:jc w:val="left"/>
        <w:rPr>
          <w:sz w:val="21"/>
        </w:rPr>
      </w:pPr>
      <w:r>
        <w:rPr>
          <w:spacing w:val="-3"/>
          <w:sz w:val="21"/>
        </w:rPr>
        <w:t>使用说明书、质量检验证明书、随配附件和工具以及清单一并附于货物内。</w:t>
      </w:r>
    </w:p>
    <w:p>
      <w:pPr>
        <w:pStyle w:val="2"/>
        <w:spacing w:before="6"/>
        <w:rPr>
          <w:sz w:val="16"/>
        </w:rPr>
      </w:pPr>
    </w:p>
    <w:p>
      <w:pPr>
        <w:pStyle w:val="21"/>
        <w:numPr>
          <w:ilvl w:val="0"/>
          <w:numId w:val="25"/>
        </w:numPr>
        <w:tabs>
          <w:tab w:val="left" w:pos="1025"/>
        </w:tabs>
        <w:spacing w:before="0" w:after="0" w:line="240" w:lineRule="auto"/>
        <w:ind w:left="1024" w:right="0" w:hanging="213"/>
        <w:jc w:val="left"/>
        <w:rPr>
          <w:sz w:val="21"/>
        </w:rPr>
      </w:pPr>
      <w:r>
        <w:rPr>
          <w:spacing w:val="-6"/>
          <w:sz w:val="21"/>
        </w:rPr>
        <w:t xml:space="preserve">乙方在货物发运手续办理完毕后 </w:t>
      </w:r>
      <w:r>
        <w:rPr>
          <w:sz w:val="21"/>
        </w:rPr>
        <w:t>24</w:t>
      </w:r>
      <w:r>
        <w:rPr>
          <w:spacing w:val="-12"/>
          <w:sz w:val="21"/>
        </w:rPr>
        <w:t xml:space="preserve"> 小时内或货到甲方 </w:t>
      </w:r>
      <w:r>
        <w:rPr>
          <w:sz w:val="21"/>
        </w:rPr>
        <w:t>48</w:t>
      </w:r>
      <w:r>
        <w:rPr>
          <w:spacing w:val="-8"/>
          <w:sz w:val="21"/>
        </w:rPr>
        <w:t xml:space="preserve"> 小时前通知甲方。</w:t>
      </w:r>
    </w:p>
    <w:p>
      <w:pPr>
        <w:pStyle w:val="2"/>
        <w:spacing w:before="6"/>
        <w:rPr>
          <w:sz w:val="16"/>
        </w:rPr>
      </w:pPr>
    </w:p>
    <w:p>
      <w:pPr>
        <w:pStyle w:val="21"/>
        <w:numPr>
          <w:ilvl w:val="0"/>
          <w:numId w:val="25"/>
        </w:numPr>
        <w:tabs>
          <w:tab w:val="left" w:pos="1025"/>
        </w:tabs>
        <w:spacing w:before="0" w:after="0" w:line="240" w:lineRule="auto"/>
        <w:ind w:left="1024" w:right="0" w:hanging="213"/>
        <w:jc w:val="left"/>
        <w:rPr>
          <w:sz w:val="21"/>
        </w:rPr>
      </w:pPr>
      <w:r>
        <w:rPr>
          <w:spacing w:val="-3"/>
          <w:sz w:val="21"/>
        </w:rPr>
        <w:t>货物在交付使用前发生的风险均由乙方负责。</w:t>
      </w:r>
    </w:p>
    <w:p>
      <w:pPr>
        <w:pStyle w:val="2"/>
        <w:spacing w:before="6"/>
        <w:rPr>
          <w:sz w:val="16"/>
        </w:rPr>
      </w:pPr>
    </w:p>
    <w:p>
      <w:pPr>
        <w:pStyle w:val="21"/>
        <w:numPr>
          <w:ilvl w:val="0"/>
          <w:numId w:val="25"/>
        </w:numPr>
        <w:tabs>
          <w:tab w:val="left" w:pos="1025"/>
        </w:tabs>
        <w:spacing w:before="0" w:after="0" w:line="427" w:lineRule="auto"/>
        <w:ind w:left="815" w:right="1783" w:hanging="3"/>
        <w:jc w:val="left"/>
        <w:rPr>
          <w:b/>
          <w:sz w:val="21"/>
        </w:rPr>
      </w:pPr>
      <w:r>
        <w:rPr>
          <w:spacing w:val="-3"/>
          <w:sz w:val="21"/>
        </w:rPr>
        <w:t>货物在规定的交付期限内由乙方送达甲方指定的地点并安装调试验收合格视为交付。</w:t>
      </w:r>
      <w:r>
        <w:rPr>
          <w:b/>
          <w:spacing w:val="-3"/>
          <w:sz w:val="21"/>
        </w:rPr>
        <w:t>十六、索赔</w:t>
      </w:r>
    </w:p>
    <w:p>
      <w:pPr>
        <w:pStyle w:val="21"/>
        <w:numPr>
          <w:ilvl w:val="0"/>
          <w:numId w:val="26"/>
        </w:numPr>
        <w:tabs>
          <w:tab w:val="left" w:pos="1025"/>
        </w:tabs>
        <w:spacing w:before="2" w:after="0" w:line="240" w:lineRule="auto"/>
        <w:ind w:left="1024" w:right="0" w:hanging="213"/>
        <w:jc w:val="left"/>
        <w:rPr>
          <w:sz w:val="21"/>
        </w:rPr>
      </w:pPr>
      <w:r>
        <w:rPr>
          <w:spacing w:val="-3"/>
          <w:sz w:val="21"/>
        </w:rPr>
        <w:t>甲方有权根据检验标准和自己检验的结果或当地质检部门出具的质检证书向乙方提出索赔。</w:t>
      </w:r>
    </w:p>
    <w:p>
      <w:pPr>
        <w:pStyle w:val="2"/>
        <w:spacing w:before="6"/>
        <w:rPr>
          <w:sz w:val="16"/>
        </w:rPr>
      </w:pPr>
    </w:p>
    <w:p>
      <w:pPr>
        <w:pStyle w:val="21"/>
        <w:numPr>
          <w:ilvl w:val="0"/>
          <w:numId w:val="26"/>
        </w:numPr>
        <w:tabs>
          <w:tab w:val="left" w:pos="1025"/>
        </w:tabs>
        <w:spacing w:before="0" w:after="0" w:line="240" w:lineRule="auto"/>
        <w:ind w:left="1024" w:right="0" w:hanging="213"/>
        <w:jc w:val="left"/>
        <w:rPr>
          <w:sz w:val="21"/>
        </w:rPr>
      </w:pPr>
      <w:r>
        <w:rPr>
          <w:spacing w:val="-5"/>
          <w:sz w:val="21"/>
        </w:rPr>
        <w:t>在根据合同规定的检验期和质量保证期内，如果乙方对甲方提出的索赔和差异负有责任，乙方应按</w:t>
      </w:r>
    </w:p>
    <w:p>
      <w:pPr>
        <w:spacing w:after="0" w:line="240" w:lineRule="auto"/>
        <w:jc w:val="left"/>
        <w:rPr>
          <w:sz w:val="21"/>
        </w:rPr>
        <w:sectPr>
          <w:pgSz w:w="11910" w:h="16840"/>
          <w:pgMar w:top="1540" w:right="580" w:bottom="1660" w:left="740" w:header="0" w:footer="1479" w:gutter="0"/>
          <w:pgNumType w:fmt="decimal"/>
          <w:cols w:space="720" w:num="1"/>
        </w:sectPr>
      </w:pPr>
    </w:p>
    <w:p>
      <w:pPr>
        <w:pStyle w:val="2"/>
        <w:spacing w:before="56"/>
        <w:ind w:left="392"/>
      </w:pPr>
      <w:r>
        <w:t>照甲方同意的下列一种或多种方式解决索赔事宜：</w:t>
      </w:r>
    </w:p>
    <w:p>
      <w:pPr>
        <w:pStyle w:val="2"/>
        <w:spacing w:before="6"/>
        <w:rPr>
          <w:sz w:val="16"/>
        </w:rPr>
      </w:pPr>
    </w:p>
    <w:p>
      <w:pPr>
        <w:pStyle w:val="21"/>
        <w:numPr>
          <w:ilvl w:val="0"/>
          <w:numId w:val="26"/>
        </w:numPr>
        <w:tabs>
          <w:tab w:val="left" w:pos="1025"/>
        </w:tabs>
        <w:spacing w:before="0" w:after="0" w:line="427" w:lineRule="auto"/>
        <w:ind w:left="392" w:right="525" w:firstLine="419"/>
        <w:jc w:val="both"/>
        <w:rPr>
          <w:sz w:val="21"/>
        </w:rPr>
      </w:pPr>
      <w:r>
        <w:rPr>
          <w:spacing w:val="-3"/>
          <w:sz w:val="21"/>
        </w:rPr>
        <w:t xml:space="preserve">乙方同意退货，并按合同规定的同种货币将货款退还给甲方，并承担由此发生的一切损失和费用， </w:t>
      </w:r>
      <w:r>
        <w:rPr>
          <w:spacing w:val="-5"/>
          <w:sz w:val="21"/>
        </w:rPr>
        <w:t>包括利息、银行手续费、运费、保险费、检验费、仓储费、装卸费、误工费以及为保证退回货物所需的其</w:t>
      </w:r>
      <w:r>
        <w:rPr>
          <w:spacing w:val="-4"/>
          <w:sz w:val="21"/>
        </w:rPr>
        <w:t>它必要费用。</w:t>
      </w:r>
    </w:p>
    <w:p>
      <w:pPr>
        <w:pStyle w:val="21"/>
        <w:numPr>
          <w:ilvl w:val="0"/>
          <w:numId w:val="26"/>
        </w:numPr>
        <w:tabs>
          <w:tab w:val="left" w:pos="1025"/>
        </w:tabs>
        <w:spacing w:before="3" w:after="0" w:line="240" w:lineRule="auto"/>
        <w:ind w:left="1024" w:right="0" w:hanging="213"/>
        <w:jc w:val="left"/>
        <w:rPr>
          <w:sz w:val="21"/>
        </w:rPr>
      </w:pPr>
      <w:r>
        <w:rPr>
          <w:spacing w:val="-3"/>
          <w:sz w:val="21"/>
        </w:rPr>
        <w:t>根据货物的低劣程度、损坏程度以及甲方所遭受损失的数额，经双方商定降低货物的价格。</w:t>
      </w:r>
    </w:p>
    <w:p>
      <w:pPr>
        <w:pStyle w:val="2"/>
        <w:spacing w:before="6"/>
        <w:rPr>
          <w:sz w:val="16"/>
        </w:rPr>
      </w:pPr>
    </w:p>
    <w:p>
      <w:pPr>
        <w:pStyle w:val="21"/>
        <w:numPr>
          <w:ilvl w:val="0"/>
          <w:numId w:val="26"/>
        </w:numPr>
        <w:tabs>
          <w:tab w:val="left" w:pos="1025"/>
        </w:tabs>
        <w:spacing w:before="0" w:after="0" w:line="427" w:lineRule="auto"/>
        <w:ind w:left="392" w:right="547" w:firstLine="419"/>
        <w:jc w:val="left"/>
        <w:rPr>
          <w:sz w:val="21"/>
        </w:rPr>
      </w:pPr>
      <w:r>
        <w:rPr>
          <w:spacing w:val="-6"/>
          <w:sz w:val="21"/>
        </w:rPr>
        <w:t>用符合规格、质量和性能要求的货物来更换有缺陷的商品供应商应承担一切费用和风险，并承担甲</w:t>
      </w:r>
      <w:r>
        <w:rPr>
          <w:spacing w:val="-4"/>
          <w:sz w:val="21"/>
        </w:rPr>
        <w:t>方所发生的一切直接费用。甲方应按合同规定，相应延长更换件的质量保证期。</w:t>
      </w:r>
    </w:p>
    <w:p>
      <w:pPr>
        <w:pStyle w:val="21"/>
        <w:numPr>
          <w:ilvl w:val="0"/>
          <w:numId w:val="26"/>
        </w:numPr>
        <w:tabs>
          <w:tab w:val="left" w:pos="1025"/>
        </w:tabs>
        <w:spacing w:before="2" w:after="0" w:line="240" w:lineRule="auto"/>
        <w:ind w:left="1024" w:right="0" w:hanging="213"/>
        <w:jc w:val="left"/>
        <w:rPr>
          <w:sz w:val="21"/>
        </w:rPr>
      </w:pPr>
      <w:r>
        <w:rPr>
          <w:spacing w:val="-4"/>
          <w:sz w:val="21"/>
        </w:rPr>
        <w:t xml:space="preserve">如果在甲方发生索赔通知后 </w:t>
      </w:r>
      <w:r>
        <w:rPr>
          <w:sz w:val="21"/>
        </w:rPr>
        <w:t>15</w:t>
      </w:r>
      <w:r>
        <w:rPr>
          <w:spacing w:val="-3"/>
          <w:sz w:val="21"/>
        </w:rPr>
        <w:t xml:space="preserve"> 天内，乙方未作辩论或未作答复，上述索赔应视为已被乙方接受。</w:t>
      </w:r>
    </w:p>
    <w:p>
      <w:pPr>
        <w:pStyle w:val="2"/>
        <w:spacing w:before="6"/>
        <w:rPr>
          <w:sz w:val="16"/>
        </w:rPr>
      </w:pPr>
    </w:p>
    <w:p>
      <w:pPr>
        <w:pStyle w:val="2"/>
        <w:spacing w:line="427" w:lineRule="auto"/>
        <w:ind w:left="392" w:right="547"/>
        <w:jc w:val="both"/>
      </w:pPr>
      <w:r>
        <w:rPr>
          <w:spacing w:val="-3"/>
        </w:rPr>
        <w:t xml:space="preserve">如乙方未能在甲方提出索赔通知后 </w:t>
      </w:r>
      <w:r>
        <w:t>15</w:t>
      </w:r>
      <w:r>
        <w:rPr>
          <w:spacing w:val="-3"/>
        </w:rPr>
        <w:t xml:space="preserve"> 天内或甲方同意的更长时间内，按照本合同规定的任何一种方法解</w:t>
      </w:r>
      <w:r>
        <w:rPr>
          <w:spacing w:val="-7"/>
        </w:rPr>
        <w:t>决索赔事宜，甲方将从未付款中扣回索赔金额。如果这些金额不足以补偿索赔金额，甲方有权向乙方提出</w:t>
      </w:r>
      <w:r>
        <w:rPr>
          <w:spacing w:val="-5"/>
        </w:rPr>
        <w:t>不足部分的补偿。</w:t>
      </w:r>
    </w:p>
    <w:p>
      <w:pPr>
        <w:pStyle w:val="6"/>
        <w:spacing w:before="3"/>
      </w:pPr>
      <w:r>
        <w:t>十七、违约责任</w:t>
      </w:r>
    </w:p>
    <w:p>
      <w:pPr>
        <w:pStyle w:val="2"/>
        <w:spacing w:before="6"/>
        <w:rPr>
          <w:b/>
          <w:sz w:val="16"/>
        </w:rPr>
      </w:pPr>
    </w:p>
    <w:p>
      <w:pPr>
        <w:pStyle w:val="21"/>
        <w:numPr>
          <w:ilvl w:val="0"/>
          <w:numId w:val="27"/>
        </w:numPr>
        <w:tabs>
          <w:tab w:val="left" w:pos="1030"/>
        </w:tabs>
        <w:spacing w:before="0" w:after="0" w:line="240" w:lineRule="auto"/>
        <w:ind w:left="1029" w:right="0" w:hanging="213"/>
        <w:jc w:val="left"/>
        <w:rPr>
          <w:sz w:val="21"/>
        </w:rPr>
      </w:pPr>
      <w:r>
        <w:rPr>
          <w:spacing w:val="-3"/>
          <w:sz w:val="21"/>
        </w:rPr>
        <w:t>甲方无正当理由拒收货物的，甲方向乙方偿付拒收货款总值的百分之二违约金。</w:t>
      </w:r>
    </w:p>
    <w:p>
      <w:pPr>
        <w:pStyle w:val="2"/>
        <w:spacing w:before="6"/>
        <w:rPr>
          <w:sz w:val="16"/>
        </w:rPr>
      </w:pPr>
    </w:p>
    <w:p>
      <w:pPr>
        <w:pStyle w:val="21"/>
        <w:numPr>
          <w:ilvl w:val="0"/>
          <w:numId w:val="27"/>
        </w:numPr>
        <w:tabs>
          <w:tab w:val="left" w:pos="1032"/>
        </w:tabs>
        <w:spacing w:before="0" w:after="0" w:line="427" w:lineRule="auto"/>
        <w:ind w:left="395" w:right="547" w:firstLine="420"/>
        <w:jc w:val="both"/>
        <w:rPr>
          <w:sz w:val="21"/>
        </w:rPr>
      </w:pPr>
      <w:r>
        <w:rPr>
          <w:sz w:val="21"/>
        </w:rPr>
        <w:t>乙方逾期交付货物的，乙方应按逾期交货总额每日千分之六向甲方支付违约金，由甲方从待付货</w:t>
      </w:r>
      <w:r>
        <w:rPr>
          <w:spacing w:val="-3"/>
          <w:sz w:val="21"/>
        </w:rPr>
        <w:t xml:space="preserve">款中扣除。逾期超过约定日期 </w:t>
      </w:r>
      <w:r>
        <w:rPr>
          <w:sz w:val="21"/>
        </w:rPr>
        <w:t>10</w:t>
      </w:r>
      <w:r>
        <w:rPr>
          <w:spacing w:val="-3"/>
          <w:sz w:val="21"/>
        </w:rPr>
        <w:t xml:space="preserve"> 个工作日不能交货的，甲方可解除本合同。乙方因逾期交货或因其他违</w:t>
      </w:r>
      <w:r>
        <w:rPr>
          <w:spacing w:val="-1"/>
          <w:sz w:val="21"/>
        </w:rPr>
        <w:t xml:space="preserve">约行为导致甲方解除合同的，乙方应向甲方支付合同总值 </w:t>
      </w:r>
      <w:r>
        <w:rPr>
          <w:sz w:val="21"/>
        </w:rPr>
        <w:t xml:space="preserve">5%的违约金，如造成甲方损失超过违约金的， </w:t>
      </w:r>
      <w:r>
        <w:rPr>
          <w:spacing w:val="-3"/>
          <w:sz w:val="21"/>
        </w:rPr>
        <w:t>超出部分由乙方继续承担赔偿责任。</w:t>
      </w:r>
    </w:p>
    <w:p>
      <w:pPr>
        <w:pStyle w:val="21"/>
        <w:numPr>
          <w:ilvl w:val="0"/>
          <w:numId w:val="27"/>
        </w:numPr>
        <w:tabs>
          <w:tab w:val="left" w:pos="1032"/>
        </w:tabs>
        <w:spacing w:before="4" w:after="0" w:line="427" w:lineRule="auto"/>
        <w:ind w:left="395" w:right="547" w:firstLine="420"/>
        <w:jc w:val="both"/>
        <w:rPr>
          <w:sz w:val="21"/>
        </w:rPr>
      </w:pPr>
      <w:r>
        <w:rPr>
          <w:sz w:val="21"/>
        </w:rPr>
        <w:t>乙方所交的货物品种、型号、规格、技术参数、质量不符合合同规定及招标文件规定标准的，甲方有权拒收该货物，乙方愿意更换货物但逾期交货的，按乙方逾期交货处理。乙方拒绝更换货物的，甲</w:t>
      </w:r>
      <w:r>
        <w:rPr>
          <w:spacing w:val="-3"/>
          <w:sz w:val="21"/>
        </w:rPr>
        <w:t>方可单方面解除合同。</w:t>
      </w:r>
    </w:p>
    <w:p>
      <w:pPr>
        <w:pStyle w:val="21"/>
        <w:numPr>
          <w:ilvl w:val="0"/>
          <w:numId w:val="27"/>
        </w:numPr>
        <w:tabs>
          <w:tab w:val="left" w:pos="1025"/>
        </w:tabs>
        <w:spacing w:before="4" w:after="0" w:line="427" w:lineRule="auto"/>
        <w:ind w:left="815" w:right="2625" w:hanging="3"/>
        <w:jc w:val="left"/>
        <w:rPr>
          <w:b/>
          <w:sz w:val="21"/>
        </w:rPr>
      </w:pPr>
      <w:r>
        <w:rPr>
          <w:spacing w:val="-3"/>
          <w:sz w:val="21"/>
        </w:rPr>
        <w:t>乙方在供货期间如发生安全事故，一切经济责任和法律责任皆由乙方承担。</w:t>
      </w:r>
      <w:r>
        <w:rPr>
          <w:b/>
          <w:spacing w:val="-3"/>
          <w:sz w:val="21"/>
        </w:rPr>
        <w:t>十八、不可抗力事件处理</w:t>
      </w:r>
    </w:p>
    <w:p>
      <w:pPr>
        <w:pStyle w:val="21"/>
        <w:numPr>
          <w:ilvl w:val="0"/>
          <w:numId w:val="28"/>
        </w:numPr>
        <w:tabs>
          <w:tab w:val="left" w:pos="1029"/>
        </w:tabs>
        <w:spacing w:before="2" w:after="0" w:line="427" w:lineRule="auto"/>
        <w:ind w:left="392" w:right="549" w:firstLine="419"/>
        <w:jc w:val="left"/>
        <w:rPr>
          <w:sz w:val="21"/>
        </w:rPr>
      </w:pPr>
      <w:r>
        <w:rPr>
          <w:sz w:val="21"/>
        </w:rPr>
        <w:t>在合同有效期内，任何一方因不可抗力事件导致不能履行合同，则合同履行期可延长，其延长期</w:t>
      </w:r>
      <w:r>
        <w:rPr>
          <w:spacing w:val="-3"/>
          <w:sz w:val="21"/>
        </w:rPr>
        <w:t>与不可抗力影响期相同。</w:t>
      </w:r>
    </w:p>
    <w:p>
      <w:pPr>
        <w:pStyle w:val="21"/>
        <w:numPr>
          <w:ilvl w:val="0"/>
          <w:numId w:val="28"/>
        </w:numPr>
        <w:tabs>
          <w:tab w:val="left" w:pos="1025"/>
        </w:tabs>
        <w:spacing w:before="2" w:after="0" w:line="240" w:lineRule="auto"/>
        <w:ind w:left="1024" w:right="0" w:hanging="213"/>
        <w:jc w:val="left"/>
        <w:rPr>
          <w:sz w:val="21"/>
        </w:rPr>
      </w:pPr>
      <w:r>
        <w:rPr>
          <w:spacing w:val="-3"/>
          <w:sz w:val="21"/>
        </w:rPr>
        <w:t>不可抗力事件发生后，应立即通知对方，并寄送有关权威机构出具的证明。</w:t>
      </w:r>
    </w:p>
    <w:p>
      <w:pPr>
        <w:pStyle w:val="2"/>
        <w:spacing w:before="6"/>
        <w:rPr>
          <w:sz w:val="16"/>
        </w:rPr>
      </w:pPr>
    </w:p>
    <w:p>
      <w:pPr>
        <w:pStyle w:val="21"/>
        <w:numPr>
          <w:ilvl w:val="0"/>
          <w:numId w:val="28"/>
        </w:numPr>
        <w:tabs>
          <w:tab w:val="left" w:pos="1025"/>
        </w:tabs>
        <w:spacing w:before="0" w:after="0" w:line="427" w:lineRule="auto"/>
        <w:ind w:left="815" w:right="2203" w:hanging="3"/>
        <w:jc w:val="left"/>
        <w:rPr>
          <w:b/>
          <w:sz w:val="21"/>
        </w:rPr>
      </w:pPr>
      <w:r>
        <w:rPr>
          <w:spacing w:val="-7"/>
          <w:sz w:val="21"/>
        </w:rPr>
        <w:t xml:space="preserve">不可抗力事件延续 </w:t>
      </w:r>
      <w:r>
        <w:rPr>
          <w:sz w:val="21"/>
        </w:rPr>
        <w:t>120</w:t>
      </w:r>
      <w:r>
        <w:rPr>
          <w:spacing w:val="-7"/>
          <w:sz w:val="21"/>
        </w:rPr>
        <w:t xml:space="preserve"> 天以上，双方应通过友好协商，确定是否继续履行合同。</w:t>
      </w:r>
      <w:r>
        <w:rPr>
          <w:b/>
          <w:spacing w:val="-7"/>
          <w:sz w:val="21"/>
        </w:rPr>
        <w:t>十九、诉讼</w:t>
      </w:r>
    </w:p>
    <w:p>
      <w:pPr>
        <w:pStyle w:val="2"/>
        <w:spacing w:before="2"/>
        <w:ind w:left="812"/>
      </w:pPr>
      <w:r>
        <w:t>双方在执行合同中所发生的一切争议，应通过协商解决。如协商不成，可向本项目所在地具有管辖</w:t>
      </w:r>
    </w:p>
    <w:p>
      <w:pPr>
        <w:spacing w:after="0"/>
        <w:sectPr>
          <w:pgSz w:w="11910" w:h="16840"/>
          <w:pgMar w:top="1540" w:right="580" w:bottom="1660" w:left="740" w:header="0" w:footer="1479" w:gutter="0"/>
          <w:pgNumType w:fmt="decimal"/>
          <w:cols w:space="720" w:num="1"/>
        </w:sectPr>
      </w:pPr>
    </w:p>
    <w:p>
      <w:pPr>
        <w:pStyle w:val="2"/>
        <w:spacing w:before="56"/>
        <w:ind w:left="392"/>
      </w:pPr>
      <w:r>
        <w:t>权的法院起诉。</w:t>
      </w:r>
    </w:p>
    <w:p>
      <w:pPr>
        <w:pStyle w:val="2"/>
        <w:spacing w:before="6"/>
        <w:rPr>
          <w:sz w:val="16"/>
        </w:rPr>
      </w:pPr>
    </w:p>
    <w:p>
      <w:pPr>
        <w:pStyle w:val="6"/>
      </w:pPr>
      <w:r>
        <w:t>二十、合同生效及其它</w:t>
      </w:r>
    </w:p>
    <w:p>
      <w:pPr>
        <w:pStyle w:val="2"/>
        <w:spacing w:before="6"/>
        <w:rPr>
          <w:b/>
          <w:sz w:val="16"/>
        </w:rPr>
      </w:pPr>
    </w:p>
    <w:p>
      <w:pPr>
        <w:pStyle w:val="21"/>
        <w:numPr>
          <w:ilvl w:val="0"/>
          <w:numId w:val="29"/>
        </w:numPr>
        <w:tabs>
          <w:tab w:val="left" w:pos="1025"/>
        </w:tabs>
        <w:spacing w:before="0" w:after="0" w:line="240" w:lineRule="auto"/>
        <w:ind w:left="1024" w:right="0" w:hanging="213"/>
        <w:jc w:val="left"/>
        <w:rPr>
          <w:sz w:val="21"/>
        </w:rPr>
      </w:pPr>
      <w:r>
        <w:rPr>
          <w:spacing w:val="-3"/>
          <w:sz w:val="21"/>
        </w:rPr>
        <w:t>合同经双方法定代表人或授权代表签字并加盖单位公章后生效。</w:t>
      </w:r>
    </w:p>
    <w:p>
      <w:pPr>
        <w:pStyle w:val="2"/>
        <w:spacing w:before="5"/>
        <w:rPr>
          <w:sz w:val="16"/>
        </w:rPr>
      </w:pPr>
    </w:p>
    <w:p>
      <w:pPr>
        <w:pStyle w:val="21"/>
        <w:numPr>
          <w:ilvl w:val="0"/>
          <w:numId w:val="29"/>
        </w:numPr>
        <w:tabs>
          <w:tab w:val="left" w:pos="1029"/>
        </w:tabs>
        <w:spacing w:before="1" w:after="0" w:line="427" w:lineRule="auto"/>
        <w:ind w:left="392" w:right="549" w:firstLine="419"/>
        <w:jc w:val="left"/>
        <w:rPr>
          <w:sz w:val="21"/>
        </w:rPr>
      </w:pPr>
      <w:r>
        <w:rPr>
          <w:sz w:val="21"/>
        </w:rPr>
        <w:t>合同执行中涉及采购资金和采购内容修改或补充的，须经有关部门审批，并签书面补充协议报政</w:t>
      </w:r>
      <w:r>
        <w:rPr>
          <w:spacing w:val="-3"/>
          <w:sz w:val="21"/>
        </w:rPr>
        <w:t>府采购监督管理部门备案，方可作为主合同不可分割的一部分。</w:t>
      </w:r>
    </w:p>
    <w:p>
      <w:pPr>
        <w:pStyle w:val="21"/>
        <w:numPr>
          <w:ilvl w:val="0"/>
          <w:numId w:val="29"/>
        </w:numPr>
        <w:tabs>
          <w:tab w:val="left" w:pos="1025"/>
        </w:tabs>
        <w:spacing w:before="2" w:after="0" w:line="240" w:lineRule="auto"/>
        <w:ind w:left="1024" w:right="0" w:hanging="213"/>
        <w:jc w:val="left"/>
        <w:rPr>
          <w:sz w:val="21"/>
        </w:rPr>
      </w:pPr>
      <w:r>
        <w:rPr>
          <w:spacing w:val="-3"/>
          <w:sz w:val="21"/>
        </w:rPr>
        <w:t>本合同未尽事宜，遵照《合同法》有关条文执行。</w:t>
      </w:r>
    </w:p>
    <w:p>
      <w:pPr>
        <w:pStyle w:val="2"/>
        <w:spacing w:before="6"/>
        <w:rPr>
          <w:sz w:val="16"/>
        </w:rPr>
      </w:pPr>
    </w:p>
    <w:p>
      <w:pPr>
        <w:pStyle w:val="21"/>
        <w:numPr>
          <w:ilvl w:val="0"/>
          <w:numId w:val="29"/>
        </w:numPr>
        <w:tabs>
          <w:tab w:val="left" w:pos="1025"/>
          <w:tab w:val="left" w:pos="5536"/>
        </w:tabs>
        <w:spacing w:before="0" w:after="0" w:line="427" w:lineRule="auto"/>
        <w:ind w:left="918" w:right="2414" w:hanging="106"/>
        <w:jc w:val="left"/>
        <w:rPr>
          <w:sz w:val="21"/>
        </w:rPr>
      </w:pPr>
      <w:r>
        <w:rPr>
          <w:sz w:val="21"/>
        </w:rPr>
        <w:t>本</w:t>
      </w:r>
      <w:r>
        <w:rPr>
          <w:spacing w:val="-3"/>
          <w:sz w:val="21"/>
        </w:rPr>
        <w:t>合</w:t>
      </w:r>
      <w:r>
        <w:rPr>
          <w:sz w:val="21"/>
        </w:rPr>
        <w:t>同</w:t>
      </w:r>
      <w:r>
        <w:rPr>
          <w:spacing w:val="-3"/>
          <w:sz w:val="21"/>
        </w:rPr>
        <w:t>一</w:t>
      </w:r>
      <w:r>
        <w:rPr>
          <w:sz w:val="21"/>
        </w:rPr>
        <w:t>式</w:t>
      </w:r>
      <w:r>
        <w:rPr>
          <w:spacing w:val="-3"/>
          <w:sz w:val="21"/>
        </w:rPr>
        <w:t>五</w:t>
      </w:r>
      <w:r>
        <w:rPr>
          <w:sz w:val="21"/>
        </w:rPr>
        <w:t>份</w:t>
      </w:r>
      <w:r>
        <w:rPr>
          <w:spacing w:val="-3"/>
          <w:sz w:val="21"/>
        </w:rPr>
        <w:t>，</w:t>
      </w:r>
      <w:r>
        <w:rPr>
          <w:sz w:val="21"/>
        </w:rPr>
        <w:t>具</w:t>
      </w:r>
      <w:r>
        <w:rPr>
          <w:spacing w:val="-3"/>
          <w:sz w:val="21"/>
        </w:rPr>
        <w:t>有</w:t>
      </w:r>
      <w:r>
        <w:rPr>
          <w:sz w:val="21"/>
        </w:rPr>
        <w:t>同等</w:t>
      </w:r>
      <w:r>
        <w:rPr>
          <w:spacing w:val="-3"/>
          <w:sz w:val="21"/>
        </w:rPr>
        <w:t>法</w:t>
      </w:r>
      <w:r>
        <w:rPr>
          <w:sz w:val="21"/>
        </w:rPr>
        <w:t>律</w:t>
      </w:r>
      <w:r>
        <w:rPr>
          <w:spacing w:val="-3"/>
          <w:sz w:val="21"/>
        </w:rPr>
        <w:t>效</w:t>
      </w:r>
      <w:r>
        <w:rPr>
          <w:sz w:val="21"/>
        </w:rPr>
        <w:t>力</w:t>
      </w:r>
      <w:r>
        <w:rPr>
          <w:spacing w:val="-3"/>
          <w:sz w:val="21"/>
        </w:rPr>
        <w:t>，</w:t>
      </w:r>
      <w:r>
        <w:rPr>
          <w:sz w:val="21"/>
        </w:rPr>
        <w:t>甲</w:t>
      </w:r>
      <w:r>
        <w:rPr>
          <w:spacing w:val="-3"/>
          <w:sz w:val="21"/>
        </w:rPr>
        <w:t>、</w:t>
      </w:r>
      <w:r>
        <w:rPr>
          <w:sz w:val="21"/>
        </w:rPr>
        <w:t>乙</w:t>
      </w:r>
      <w:r>
        <w:rPr>
          <w:spacing w:val="-3"/>
          <w:sz w:val="21"/>
        </w:rPr>
        <w:t>双</w:t>
      </w:r>
      <w:r>
        <w:rPr>
          <w:sz w:val="21"/>
        </w:rPr>
        <w:t>方各</w:t>
      </w:r>
      <w:r>
        <w:rPr>
          <w:spacing w:val="-3"/>
          <w:sz w:val="21"/>
        </w:rPr>
        <w:t>执</w:t>
      </w:r>
      <w:r>
        <w:rPr>
          <w:sz w:val="21"/>
        </w:rPr>
        <w:t>两</w:t>
      </w:r>
      <w:r>
        <w:rPr>
          <w:spacing w:val="-3"/>
          <w:sz w:val="21"/>
        </w:rPr>
        <w:t>份；</w:t>
      </w:r>
      <w:r>
        <w:rPr>
          <w:b/>
          <w:sz w:val="21"/>
        </w:rPr>
        <w:t>一</w:t>
      </w:r>
      <w:r>
        <w:rPr>
          <w:sz w:val="21"/>
        </w:rPr>
        <w:t>份</w:t>
      </w:r>
      <w:r>
        <w:rPr>
          <w:spacing w:val="-3"/>
          <w:sz w:val="21"/>
        </w:rPr>
        <w:t>用</w:t>
      </w:r>
      <w:r>
        <w:rPr>
          <w:sz w:val="21"/>
        </w:rPr>
        <w:t>于</w:t>
      </w:r>
      <w:r>
        <w:rPr>
          <w:spacing w:val="-3"/>
          <w:sz w:val="21"/>
        </w:rPr>
        <w:t>备</w:t>
      </w:r>
      <w:r>
        <w:rPr>
          <w:sz w:val="21"/>
        </w:rPr>
        <w:t>案。甲</w:t>
      </w:r>
      <w:r>
        <w:rPr>
          <w:spacing w:val="-3"/>
          <w:sz w:val="21"/>
        </w:rPr>
        <w:t>方</w:t>
      </w:r>
      <w:r>
        <w:rPr>
          <w:sz w:val="21"/>
        </w:rPr>
        <w:t>：</w:t>
      </w:r>
      <w:r>
        <w:rPr>
          <w:sz w:val="21"/>
        </w:rPr>
        <w:tab/>
      </w:r>
      <w:r>
        <w:rPr>
          <w:sz w:val="21"/>
        </w:rPr>
        <w:t>乙方：</w:t>
      </w:r>
    </w:p>
    <w:p>
      <w:pPr>
        <w:pStyle w:val="2"/>
        <w:tabs>
          <w:tab w:val="left" w:pos="5538"/>
        </w:tabs>
        <w:spacing w:before="2"/>
        <w:ind w:left="918"/>
      </w:pPr>
      <w:r>
        <w:t>地址：</w:t>
      </w:r>
      <w:r>
        <w:tab/>
      </w:r>
      <w:r>
        <w:rPr>
          <w:spacing w:val="-3"/>
        </w:rPr>
        <w:t>地</w:t>
      </w:r>
      <w:r>
        <w:t>址：</w:t>
      </w:r>
    </w:p>
    <w:p>
      <w:pPr>
        <w:pStyle w:val="2"/>
        <w:spacing w:before="6"/>
        <w:rPr>
          <w:sz w:val="16"/>
        </w:rPr>
      </w:pPr>
    </w:p>
    <w:p>
      <w:pPr>
        <w:pStyle w:val="2"/>
        <w:tabs>
          <w:tab w:val="left" w:pos="5538"/>
        </w:tabs>
        <w:ind w:left="918"/>
      </w:pPr>
      <w:r>
        <w:t>法定</w:t>
      </w:r>
      <w:r>
        <w:rPr>
          <w:spacing w:val="-3"/>
        </w:rPr>
        <w:t>（</w:t>
      </w:r>
      <w:r>
        <w:t>授</w:t>
      </w:r>
      <w:r>
        <w:rPr>
          <w:spacing w:val="-3"/>
        </w:rPr>
        <w:t>权</w:t>
      </w:r>
      <w:r>
        <w:t>）</w:t>
      </w:r>
      <w:r>
        <w:rPr>
          <w:spacing w:val="-3"/>
        </w:rPr>
        <w:t>代</w:t>
      </w:r>
      <w:r>
        <w:t>表</w:t>
      </w:r>
      <w:r>
        <w:rPr>
          <w:spacing w:val="-3"/>
        </w:rPr>
        <w:t>人</w:t>
      </w:r>
      <w:r>
        <w:t>：</w:t>
      </w:r>
      <w:r>
        <w:tab/>
      </w:r>
      <w:r>
        <w:rPr>
          <w:spacing w:val="-3"/>
        </w:rPr>
        <w:t>法</w:t>
      </w:r>
      <w:r>
        <w:t>定（</w:t>
      </w:r>
      <w:r>
        <w:rPr>
          <w:spacing w:val="-3"/>
        </w:rPr>
        <w:t>授</w:t>
      </w:r>
      <w:r>
        <w:t>权</w:t>
      </w:r>
      <w:r>
        <w:rPr>
          <w:spacing w:val="-3"/>
        </w:rPr>
        <w:t>）</w:t>
      </w:r>
      <w:r>
        <w:t>代</w:t>
      </w:r>
      <w:r>
        <w:rPr>
          <w:spacing w:val="-3"/>
        </w:rPr>
        <w:t>表</w:t>
      </w:r>
      <w:r>
        <w:t>人：</w:t>
      </w:r>
    </w:p>
    <w:p>
      <w:pPr>
        <w:pStyle w:val="2"/>
        <w:spacing w:before="6"/>
        <w:rPr>
          <w:sz w:val="16"/>
        </w:rPr>
      </w:pPr>
    </w:p>
    <w:p>
      <w:pPr>
        <w:pStyle w:val="2"/>
        <w:tabs>
          <w:tab w:val="left" w:pos="2600"/>
          <w:tab w:val="left" w:pos="3020"/>
          <w:tab w:val="left" w:pos="3438"/>
          <w:tab w:val="left" w:pos="5538"/>
          <w:tab w:val="left" w:pos="7218"/>
          <w:tab w:val="left" w:pos="7638"/>
          <w:tab w:val="left" w:pos="8058"/>
        </w:tabs>
        <w:ind w:left="918"/>
      </w:pPr>
      <w:r>
        <w:t>签字</w:t>
      </w:r>
      <w:r>
        <w:rPr>
          <w:spacing w:val="-3"/>
        </w:rPr>
        <w:t>日</w:t>
      </w:r>
      <w:r>
        <w:t>期：</w:t>
      </w:r>
      <w:r>
        <w:tab/>
      </w:r>
      <w:r>
        <w:t>年</w:t>
      </w:r>
      <w:r>
        <w:tab/>
      </w:r>
      <w:r>
        <w:t>月</w:t>
      </w:r>
      <w:r>
        <w:tab/>
      </w:r>
      <w:r>
        <w:t>日</w:t>
      </w:r>
      <w:r>
        <w:tab/>
      </w:r>
      <w:r>
        <w:rPr>
          <w:spacing w:val="-3"/>
        </w:rPr>
        <w:t>签</w:t>
      </w:r>
      <w:r>
        <w:t>字日</w:t>
      </w:r>
      <w:r>
        <w:rPr>
          <w:spacing w:val="-3"/>
        </w:rPr>
        <w:t>期</w:t>
      </w:r>
      <w:r>
        <w:t>：</w:t>
      </w:r>
      <w:r>
        <w:tab/>
      </w:r>
      <w:r>
        <w:t>年</w:t>
      </w:r>
      <w:r>
        <w:tab/>
      </w:r>
      <w:r>
        <w:t>月</w:t>
      </w:r>
      <w:r>
        <w:tab/>
      </w:r>
      <w:r>
        <w:t>日</w:t>
      </w:r>
    </w:p>
    <w:p>
      <w:pPr>
        <w:spacing w:after="0"/>
        <w:sectPr>
          <w:pgSz w:w="11910" w:h="16840"/>
          <w:pgMar w:top="1540" w:right="580" w:bottom="1660" w:left="740" w:header="0" w:footer="1479" w:gutter="0"/>
          <w:pgNumType w:fmt="decimal"/>
          <w:cols w:space="720" w:num="1"/>
        </w:sectPr>
      </w:pPr>
    </w:p>
    <w:p>
      <w:pPr>
        <w:pStyle w:val="3"/>
        <w:numPr>
          <w:ilvl w:val="0"/>
          <w:numId w:val="30"/>
        </w:numPr>
        <w:spacing w:before="14"/>
        <w:ind w:left="412" w:right="434"/>
        <w:outlineLvl w:val="0"/>
      </w:pPr>
      <w:bookmarkStart w:id="16" w:name="_Toc13458"/>
      <w:r>
        <w:t>采购需求</w:t>
      </w:r>
      <w:bookmarkEnd w:id="16"/>
    </w:p>
    <w:p>
      <w:pPr>
        <w:numPr>
          <w:ilvl w:val="0"/>
          <w:numId w:val="0"/>
        </w:numPr>
        <w:ind w:right="0" w:rightChars="0"/>
        <w:rPr>
          <w:rFonts w:hint="eastAsia"/>
        </w:rPr>
      </w:pPr>
    </w:p>
    <w:p>
      <w:pPr>
        <w:pStyle w:val="2"/>
        <w:spacing w:before="1" w:line="427" w:lineRule="auto"/>
        <w:ind w:left="392" w:right="408" w:firstLine="419"/>
        <w:rPr>
          <w:rFonts w:hint="eastAsia"/>
          <w:b/>
          <w:bCs/>
        </w:rPr>
      </w:pPr>
      <w:r>
        <w:rPr>
          <w:rFonts w:hint="eastAsia"/>
          <w:b/>
          <w:bCs/>
        </w:rPr>
        <w:t>一、项目基本情况</w:t>
      </w:r>
    </w:p>
    <w:p>
      <w:pPr>
        <w:pStyle w:val="2"/>
        <w:spacing w:before="1" w:line="427" w:lineRule="auto"/>
        <w:ind w:left="392" w:right="408" w:firstLine="419"/>
        <w:rPr>
          <w:rFonts w:hint="eastAsia"/>
          <w:b/>
          <w:bCs/>
        </w:rPr>
      </w:pPr>
      <w:bookmarkStart w:id="17" w:name="_Toc518055142"/>
      <w:bookmarkStart w:id="18" w:name="_Toc459884194"/>
      <w:bookmarkStart w:id="19" w:name="_Toc459885088"/>
      <w:bookmarkStart w:id="20" w:name="_Toc73367138"/>
      <w:r>
        <w:rPr>
          <w:rFonts w:hint="eastAsia"/>
          <w:b/>
          <w:bCs/>
        </w:rPr>
        <w:t>1.1项目概况</w:t>
      </w:r>
      <w:bookmarkEnd w:id="17"/>
      <w:bookmarkEnd w:id="18"/>
      <w:bookmarkEnd w:id="19"/>
      <w:bookmarkEnd w:id="20"/>
    </w:p>
    <w:p>
      <w:pPr>
        <w:pStyle w:val="2"/>
        <w:spacing w:before="1" w:line="427" w:lineRule="auto"/>
        <w:ind w:left="392" w:right="408" w:firstLine="419"/>
        <w:rPr>
          <w:rFonts w:hint="eastAsia"/>
        </w:rPr>
      </w:pPr>
      <w:bookmarkStart w:id="21" w:name="_Toc459884198"/>
      <w:bookmarkStart w:id="22" w:name="_Toc459885092"/>
      <w:bookmarkStart w:id="23" w:name="_Toc518055143"/>
      <w:r>
        <w:rPr>
          <w:rFonts w:hint="eastAsia"/>
        </w:rPr>
        <w:t>项目名称：大丰高新区（丰华街道）垃圾转运站渗滤液处理项目</w:t>
      </w:r>
    </w:p>
    <w:p>
      <w:pPr>
        <w:pStyle w:val="2"/>
        <w:spacing w:before="1" w:line="427" w:lineRule="auto"/>
        <w:ind w:left="392" w:right="408" w:firstLine="419"/>
        <w:rPr>
          <w:rFonts w:hint="eastAsia"/>
        </w:rPr>
      </w:pPr>
      <w:r>
        <w:rPr>
          <w:rFonts w:hint="eastAsia"/>
        </w:rPr>
        <w:t>工程性质：新建</w:t>
      </w:r>
    </w:p>
    <w:p>
      <w:pPr>
        <w:pStyle w:val="2"/>
        <w:spacing w:before="1" w:line="427" w:lineRule="auto"/>
        <w:ind w:left="392" w:right="408" w:firstLine="419"/>
        <w:rPr>
          <w:rFonts w:hint="eastAsia"/>
        </w:rPr>
      </w:pPr>
      <w:r>
        <w:rPr>
          <w:rFonts w:hint="eastAsia"/>
        </w:rPr>
        <w:t>工程地址：转运站北侧空地</w:t>
      </w:r>
    </w:p>
    <w:p>
      <w:pPr>
        <w:pStyle w:val="2"/>
        <w:spacing w:before="1" w:line="427" w:lineRule="auto"/>
        <w:ind w:left="392" w:right="408" w:firstLine="419"/>
        <w:rPr>
          <w:rFonts w:hint="eastAsia"/>
        </w:rPr>
      </w:pPr>
      <w:r>
        <w:rPr>
          <w:rFonts w:hint="eastAsia"/>
        </w:rPr>
        <w:t>建设规模：设计处理渗滤液量为30m3/d</w:t>
      </w:r>
    </w:p>
    <w:p>
      <w:pPr>
        <w:pStyle w:val="2"/>
        <w:spacing w:before="1" w:line="427" w:lineRule="auto"/>
        <w:ind w:left="392" w:right="408" w:firstLine="419"/>
        <w:rPr>
          <w:rFonts w:hint="eastAsia"/>
          <w:b/>
          <w:bCs/>
        </w:rPr>
      </w:pPr>
      <w:bookmarkStart w:id="24" w:name="_Toc73367139"/>
      <w:r>
        <w:rPr>
          <w:rFonts w:hint="eastAsia"/>
          <w:b/>
          <w:bCs/>
        </w:rPr>
        <w:t>1.2废水概述</w:t>
      </w:r>
      <w:bookmarkEnd w:id="21"/>
      <w:bookmarkEnd w:id="22"/>
      <w:bookmarkEnd w:id="23"/>
      <w:bookmarkEnd w:id="24"/>
    </w:p>
    <w:p>
      <w:pPr>
        <w:pStyle w:val="2"/>
        <w:spacing w:before="1" w:line="427" w:lineRule="auto"/>
        <w:ind w:left="392" w:right="408" w:firstLine="419"/>
        <w:rPr>
          <w:rFonts w:hint="eastAsia"/>
        </w:rPr>
      </w:pPr>
      <w:r>
        <w:rPr>
          <w:rFonts w:hint="eastAsia"/>
        </w:rPr>
        <w:t>受垃圾收集、气候、季节变化等因素影响，渗滤液水量波动较大，特别是季节变化对渗滤液水量变化影响较大，一般夏天渗滤液产量较大，而冬天相对较少。方案设计以最大渗滤液日产生量为计算依据，加上冲洗废水等污水，同时设计一座渗滤液调节池，以解决渗滤液水量、水质冲击负荷，保障系统长期高效稳定运行。</w:t>
      </w:r>
    </w:p>
    <w:p>
      <w:pPr>
        <w:pStyle w:val="2"/>
        <w:spacing w:before="1" w:line="427" w:lineRule="auto"/>
        <w:ind w:left="392" w:right="408" w:firstLine="419"/>
        <w:rPr>
          <w:rFonts w:hint="eastAsia"/>
          <w:b/>
          <w:bCs/>
        </w:rPr>
      </w:pPr>
      <w:bookmarkStart w:id="25" w:name="_Toc73367140"/>
      <w:r>
        <w:rPr>
          <w:rFonts w:hint="eastAsia"/>
          <w:b/>
          <w:bCs/>
        </w:rPr>
        <w:t>1.2.1 渗滤液的水质特点分析</w:t>
      </w:r>
      <w:bookmarkEnd w:id="25"/>
    </w:p>
    <w:p>
      <w:pPr>
        <w:pStyle w:val="2"/>
        <w:spacing w:before="1" w:line="427" w:lineRule="auto"/>
        <w:ind w:left="392" w:right="408" w:firstLine="419"/>
        <w:rPr>
          <w:rFonts w:hint="eastAsia"/>
        </w:rPr>
      </w:pPr>
      <w:bookmarkStart w:id="26" w:name="_Toc124134001"/>
      <w:bookmarkStart w:id="27" w:name="_Toc124134416"/>
      <w:bookmarkStart w:id="28" w:name="_Toc124134158"/>
      <w:r>
        <w:rPr>
          <w:rFonts w:hint="eastAsia"/>
        </w:rPr>
        <w:t>垃圾渗滤液主要产生于垃圾熟化或压榨过程，其特点是污染物浓度高、成分复杂，属高浓度有机废水，氨氮含量高，主要污染物表征值为CODcr、NH3-N、SS等。根据国内相关工程的运行经验，</w:t>
      </w:r>
      <w:bookmarkEnd w:id="26"/>
      <w:bookmarkEnd w:id="27"/>
      <w:bookmarkEnd w:id="28"/>
      <w:r>
        <w:rPr>
          <w:rFonts w:hint="eastAsia"/>
        </w:rPr>
        <w:t>废水特点如下：</w:t>
      </w:r>
    </w:p>
    <w:p>
      <w:pPr>
        <w:pStyle w:val="2"/>
        <w:spacing w:before="1" w:line="427" w:lineRule="auto"/>
        <w:ind w:left="392" w:right="408" w:firstLine="419"/>
        <w:rPr>
          <w:rFonts w:hint="eastAsia"/>
        </w:rPr>
      </w:pPr>
      <w:r>
        <w:rPr>
          <w:rFonts w:hint="eastAsia"/>
        </w:rPr>
        <w:t>（1）污染物成份复杂多变、水质变化大</w:t>
      </w:r>
    </w:p>
    <w:p>
      <w:pPr>
        <w:pStyle w:val="2"/>
        <w:spacing w:before="1" w:line="427" w:lineRule="auto"/>
        <w:ind w:left="392" w:right="408" w:firstLine="419"/>
        <w:rPr>
          <w:rFonts w:hint="eastAsia"/>
        </w:rPr>
      </w:pPr>
      <w:r>
        <w:rPr>
          <w:rFonts w:hint="eastAsia"/>
        </w:rPr>
        <w:t>渗滤液比较新鲜，未经过厌氧发酵、水解、酸化过程，通过质谱分析，垃圾渗滤液中有机物种类高达百余种，其中所含有机物大多为腐殖类高分子碳水化合物和中等分子量的灰黄霉酸类物质，且内含如苯、萘、菲等杂环芳烃化合物、多环芳烃、酚、醇类化合物、苯胺类化合物等难降解有机物，因而其水质是相当复杂的，污染物种类多，而且浓度存在短期波动性和长期变化的复杂性。</w:t>
      </w:r>
    </w:p>
    <w:p>
      <w:pPr>
        <w:pStyle w:val="2"/>
        <w:spacing w:before="1" w:line="427" w:lineRule="auto"/>
        <w:ind w:left="392" w:right="408" w:firstLine="419"/>
        <w:rPr>
          <w:rFonts w:hint="eastAsia"/>
        </w:rPr>
      </w:pPr>
      <w:r>
        <w:rPr>
          <w:rFonts w:hint="eastAsia"/>
        </w:rPr>
        <w:t>（2）有机污染物浓度高（CODcr浓度高）</w:t>
      </w:r>
    </w:p>
    <w:p>
      <w:pPr>
        <w:pStyle w:val="2"/>
        <w:spacing w:before="1" w:line="427" w:lineRule="auto"/>
        <w:ind w:left="392" w:right="408" w:firstLine="419"/>
        <w:rPr>
          <w:rFonts w:hint="eastAsia"/>
        </w:rPr>
      </w:pPr>
      <w:r>
        <w:rPr>
          <w:rFonts w:hint="eastAsia"/>
        </w:rPr>
        <w:t>根据国内垃圾渗滤液的特性，渗滤液CODcr浓度一般在40000-80000 mg/L左右，但可生化性较好，一般B/C大于0.4。</w:t>
      </w:r>
    </w:p>
    <w:p>
      <w:pPr>
        <w:pStyle w:val="2"/>
        <w:spacing w:before="1" w:line="427" w:lineRule="auto"/>
        <w:ind w:left="392" w:right="408" w:firstLine="419"/>
        <w:rPr>
          <w:rFonts w:hint="eastAsia"/>
        </w:rPr>
      </w:pPr>
      <w:r>
        <w:rPr>
          <w:rFonts w:hint="eastAsia"/>
        </w:rPr>
        <w:t>（3）氨氮（NH3-N）浓度高</w:t>
      </w:r>
    </w:p>
    <w:p>
      <w:pPr>
        <w:pStyle w:val="2"/>
        <w:spacing w:before="1" w:line="427" w:lineRule="auto"/>
        <w:ind w:left="392" w:right="408" w:firstLine="419"/>
        <w:rPr>
          <w:rFonts w:hint="eastAsia"/>
        </w:rPr>
      </w:pPr>
      <w:r>
        <w:rPr>
          <w:rFonts w:hint="eastAsia"/>
        </w:rPr>
        <w:t>渗滤液氨氮（NH3-N）浓度较高一般在1000-3000 mg/L左右，因此，生化反应单元的设计需要充分考虑存在氨氮浓度对微生物活性的抑制。</w:t>
      </w:r>
    </w:p>
    <w:p>
      <w:pPr>
        <w:pStyle w:val="2"/>
        <w:spacing w:before="1" w:line="427" w:lineRule="auto"/>
        <w:ind w:left="392" w:right="408" w:firstLine="419"/>
        <w:rPr>
          <w:rFonts w:hint="eastAsia"/>
        </w:rPr>
      </w:pPr>
      <w:r>
        <w:rPr>
          <w:rFonts w:hint="eastAsia"/>
        </w:rPr>
        <w:t>（4）重金属离子与盐份含量高</w:t>
      </w:r>
    </w:p>
    <w:p>
      <w:pPr>
        <w:pStyle w:val="2"/>
        <w:spacing w:before="1" w:line="427" w:lineRule="auto"/>
        <w:ind w:left="392" w:right="408" w:firstLine="419"/>
        <w:rPr>
          <w:rFonts w:hint="eastAsia"/>
        </w:rPr>
      </w:pPr>
      <w:r>
        <w:rPr>
          <w:rFonts w:hint="eastAsia"/>
        </w:rPr>
        <w:t>由于垃圾中含有较多的重金属离子与盐份，造成渗滤液中的重金属离子与盐份含量较高，渗滤液的电导率高达30000-40000us/cm，其中钙盐和镁盐是通常厌氧污泥钙化和管道结构的主要原因，因此，需要对于反应单元的设计着重考虑排砂与管道清理维护的方便性。</w:t>
      </w:r>
    </w:p>
    <w:p>
      <w:pPr>
        <w:pStyle w:val="2"/>
        <w:spacing w:before="1" w:line="427" w:lineRule="auto"/>
        <w:ind w:left="392" w:right="408" w:firstLine="419"/>
        <w:rPr>
          <w:rFonts w:hint="eastAsia"/>
        </w:rPr>
      </w:pPr>
      <w:r>
        <w:rPr>
          <w:rFonts w:hint="eastAsia"/>
        </w:rPr>
        <w:t>（5）渗滤液呈酸性—pH值较低</w:t>
      </w:r>
    </w:p>
    <w:p>
      <w:pPr>
        <w:pStyle w:val="2"/>
        <w:spacing w:before="1" w:line="427" w:lineRule="auto"/>
        <w:ind w:left="392" w:right="408" w:firstLine="419"/>
        <w:rPr>
          <w:rFonts w:hint="eastAsia"/>
        </w:rPr>
      </w:pPr>
      <w:r>
        <w:rPr>
          <w:rFonts w:hint="eastAsia"/>
        </w:rPr>
        <w:t>渗滤液含有大量的有机酸，pH值较低，一般在4-6左右。</w:t>
      </w:r>
    </w:p>
    <w:p>
      <w:pPr>
        <w:pStyle w:val="2"/>
        <w:spacing w:before="1" w:line="427" w:lineRule="auto"/>
        <w:ind w:left="392" w:right="408" w:firstLine="419"/>
        <w:rPr>
          <w:rFonts w:hint="eastAsia"/>
        </w:rPr>
      </w:pPr>
      <w:r>
        <w:rPr>
          <w:rFonts w:hint="eastAsia"/>
        </w:rPr>
        <w:t>（6）悬浮物（SS）浓度高</w:t>
      </w:r>
    </w:p>
    <w:p>
      <w:pPr>
        <w:pStyle w:val="2"/>
        <w:spacing w:before="1" w:line="427" w:lineRule="auto"/>
        <w:ind w:left="392" w:right="408" w:firstLine="419"/>
        <w:rPr>
          <w:rFonts w:hint="eastAsia"/>
        </w:rPr>
      </w:pPr>
      <w:r>
        <w:rPr>
          <w:rFonts w:hint="eastAsia"/>
        </w:rPr>
        <w:t>渗滤液含有大量的悬浮物质，应在预处理中予以去除，以减小后续处理系统的影响。</w:t>
      </w:r>
    </w:p>
    <w:p>
      <w:pPr>
        <w:pStyle w:val="2"/>
        <w:spacing w:before="1" w:line="427" w:lineRule="auto"/>
        <w:ind w:left="392" w:right="408" w:firstLine="419"/>
        <w:rPr>
          <w:rFonts w:hint="eastAsia"/>
          <w:b/>
          <w:bCs/>
        </w:rPr>
      </w:pPr>
      <w:bookmarkStart w:id="29" w:name="_Toc73367141"/>
      <w:r>
        <w:rPr>
          <w:rFonts w:hint="eastAsia"/>
          <w:b/>
          <w:bCs/>
        </w:rPr>
        <w:t>1.2.2其他废水水质特点分析</w:t>
      </w:r>
      <w:bookmarkEnd w:id="29"/>
    </w:p>
    <w:p>
      <w:pPr>
        <w:pStyle w:val="2"/>
        <w:spacing w:before="1" w:line="427" w:lineRule="auto"/>
        <w:ind w:left="392" w:right="408" w:firstLine="419"/>
        <w:rPr>
          <w:rFonts w:hint="eastAsia"/>
        </w:rPr>
      </w:pPr>
      <w:r>
        <w:rPr>
          <w:rFonts w:hint="eastAsia"/>
        </w:rPr>
        <w:t>其他废水主要来源于对卸料大厅、地面及车辆本身污染物清洗排水，也存在部分日常生活排水，该部分水量较少，与渗滤液原水混合后有助于均质渗滤液，提高废水的可生化性。</w:t>
      </w:r>
    </w:p>
    <w:p>
      <w:pPr>
        <w:pStyle w:val="2"/>
        <w:numPr>
          <w:ilvl w:val="0"/>
          <w:numId w:val="31"/>
        </w:numPr>
        <w:ind w:firstLine="632" w:firstLineChars="300"/>
        <w:rPr>
          <w:rFonts w:hint="eastAsia" w:cs="宋体"/>
          <w:b/>
          <w:sz w:val="21"/>
          <w:szCs w:val="21"/>
          <w:lang w:eastAsia="zh-CN"/>
        </w:rPr>
      </w:pPr>
      <w:r>
        <w:rPr>
          <w:rFonts w:hint="eastAsia" w:cs="宋体"/>
          <w:b/>
          <w:sz w:val="21"/>
          <w:szCs w:val="21"/>
          <w:lang w:eastAsia="zh-CN"/>
        </w:rPr>
        <w:t>设备清单</w:t>
      </w:r>
    </w:p>
    <w:p>
      <w:pPr>
        <w:numPr>
          <w:ilvl w:val="0"/>
          <w:numId w:val="0"/>
        </w:numPr>
        <w:ind w:right="0" w:rightChars="0"/>
        <w:rPr>
          <w:rFonts w:hint="default"/>
          <w:lang w:val="en-US" w:eastAsia="zh-CN"/>
        </w:rPr>
      </w:pPr>
      <w:r>
        <w:rPr>
          <w:rFonts w:hint="eastAsia"/>
          <w:lang w:val="en-US" w:eastAsia="zh-CN"/>
        </w:rPr>
        <w:t xml:space="preserve">       （详见附件）</w:t>
      </w:r>
    </w:p>
    <w:p>
      <w:pPr>
        <w:pStyle w:val="2"/>
        <w:spacing w:before="8"/>
        <w:rPr>
          <w:b/>
          <w:sz w:val="16"/>
        </w:rPr>
      </w:pPr>
    </w:p>
    <w:p>
      <w:pPr>
        <w:spacing w:before="1"/>
        <w:ind w:left="805" w:right="0" w:firstLine="0"/>
        <w:jc w:val="left"/>
        <w:rPr>
          <w:b/>
          <w:sz w:val="21"/>
        </w:rPr>
      </w:pPr>
      <w:r>
        <w:rPr>
          <w:b/>
          <w:sz w:val="21"/>
        </w:rPr>
        <w:t>十四、其他要求：</w:t>
      </w:r>
    </w:p>
    <w:p>
      <w:pPr>
        <w:pStyle w:val="2"/>
        <w:spacing w:before="5"/>
        <w:rPr>
          <w:b/>
          <w:sz w:val="16"/>
        </w:rPr>
      </w:pPr>
    </w:p>
    <w:p>
      <w:pPr>
        <w:pStyle w:val="2"/>
        <w:spacing w:before="1" w:line="427" w:lineRule="auto"/>
        <w:ind w:left="392" w:right="408" w:firstLine="419"/>
      </w:pPr>
      <w:r>
        <w:t>1、本招标文件中涉及到的所有货物名称和数量均为暂定，实际供应的货物及数量以采购人通知为准， 规格型号相同的，数量按实计算，单价不得调整。采购人提供的货物包含但不限于招标文件中清单内容。</w:t>
      </w:r>
    </w:p>
    <w:p>
      <w:pPr>
        <w:pStyle w:val="2"/>
        <w:spacing w:before="2" w:line="427" w:lineRule="auto"/>
        <w:ind w:left="392" w:right="408" w:firstLine="419"/>
      </w:pPr>
      <w:r>
        <w:t>2、投标人所投货物应按照技术清单、技术规范、环境条件要求供应，选择使用寿命长、品质佳、性能价格优的材料，并对投标文件涉及到专利负责，保证在任何情况下，不伤害业主利益。</w:t>
      </w:r>
    </w:p>
    <w:p>
      <w:pPr>
        <w:pStyle w:val="2"/>
        <w:spacing w:before="2" w:line="427" w:lineRule="auto"/>
        <w:ind w:left="392" w:right="405" w:firstLine="419"/>
      </w:pPr>
      <w:r>
        <w:rPr>
          <w:spacing w:val="-6"/>
        </w:rPr>
        <w:t>本招标项目凡涉及投标人需使用他人专利或专有技术而需支付相关费用的，由投标人自行考虑其相关费</w:t>
      </w:r>
      <w:r>
        <w:rPr>
          <w:spacing w:val="-4"/>
        </w:rPr>
        <w:t>用并列入投标总价，招标人在项目结算时不另行支付该项费用。</w:t>
      </w:r>
    </w:p>
    <w:p>
      <w:pPr>
        <w:pStyle w:val="2"/>
        <w:spacing w:before="2" w:line="427" w:lineRule="auto"/>
        <w:ind w:left="392" w:right="319" w:firstLine="419"/>
      </w:pPr>
      <w:r>
        <w:t>3</w:t>
      </w:r>
      <w:r>
        <w:rPr>
          <w:spacing w:val="-3"/>
        </w:rPr>
        <w:t>、材料标准、规范：须完全符合中华人民共和国最新颁布的条例及规范。投标人应根据规范的技术要求，结合使用功能和国家现行标准规范，投标人需详细列出所报材料的产地、规格、数量、单价、总价等。</w:t>
      </w:r>
    </w:p>
    <w:p>
      <w:pPr>
        <w:pStyle w:val="2"/>
        <w:spacing w:before="2" w:line="427" w:lineRule="auto"/>
        <w:ind w:left="392" w:right="408" w:firstLine="419"/>
      </w:pPr>
      <w:r>
        <w:t>4、投标人在材料供货时要充分考虑相关验收规范要求，若因材料原因造成不能通过验收，供货人应承担相应责任。</w:t>
      </w:r>
    </w:p>
    <w:p>
      <w:pPr>
        <w:pStyle w:val="2"/>
        <w:spacing w:before="2"/>
        <w:ind w:left="812"/>
      </w:pPr>
      <w:r>
        <w:t>5、投标人自行联系采购单位代表勘察现场掌握招标采购需求，若有遗漏，自行负责。</w:t>
      </w:r>
    </w:p>
    <w:p>
      <w:pPr>
        <w:pStyle w:val="2"/>
        <w:spacing w:before="6"/>
        <w:rPr>
          <w:sz w:val="16"/>
        </w:rPr>
      </w:pPr>
    </w:p>
    <w:p>
      <w:pPr>
        <w:pStyle w:val="2"/>
        <w:spacing w:line="427" w:lineRule="auto"/>
        <w:ind w:left="392" w:right="300" w:firstLine="419"/>
      </w:pPr>
      <w:r>
        <w:rPr>
          <w:spacing w:val="-12"/>
        </w:rPr>
        <w:t xml:space="preserve">投标人必须满足上述最低配置要求，若投标人认为投标配置高于以上最低配置，投标时须提供详细说明， </w:t>
      </w:r>
      <w:r>
        <w:rPr>
          <w:spacing w:val="-6"/>
        </w:rPr>
        <w:t>供评标委员会评定。</w:t>
      </w:r>
    </w:p>
    <w:p>
      <w:pPr>
        <w:spacing w:after="0" w:line="427" w:lineRule="auto"/>
        <w:sectPr>
          <w:footerReference r:id="rId9" w:type="default"/>
          <w:pgSz w:w="11910" w:h="16840"/>
          <w:pgMar w:top="1180" w:right="580" w:bottom="1660" w:left="740" w:header="0" w:footer="1479" w:gutter="0"/>
          <w:pgNumType w:fmt="decimal"/>
          <w:cols w:space="720" w:num="1"/>
        </w:sectPr>
      </w:pPr>
    </w:p>
    <w:p>
      <w:pPr>
        <w:pStyle w:val="2"/>
        <w:spacing w:before="3"/>
        <w:rPr>
          <w:sz w:val="26"/>
        </w:rPr>
      </w:pPr>
    </w:p>
    <w:p>
      <w:pPr>
        <w:pStyle w:val="3"/>
        <w:ind w:left="412" w:right="434"/>
        <w:outlineLvl w:val="0"/>
      </w:pPr>
      <w:bookmarkStart w:id="30" w:name="_Toc7686"/>
      <w:r>
        <w:t>第六章 投标文件格式</w:t>
      </w:r>
      <w:bookmarkEnd w:id="30"/>
    </w:p>
    <w:p>
      <w:pPr>
        <w:pStyle w:val="2"/>
        <w:spacing w:before="2"/>
        <w:rPr>
          <w:b/>
          <w:sz w:val="22"/>
        </w:rPr>
      </w:pPr>
    </w:p>
    <w:p>
      <w:pPr>
        <w:pStyle w:val="4"/>
        <w:spacing w:before="55"/>
        <w:ind w:left="392"/>
        <w:jc w:val="left"/>
        <w:rPr>
          <w:rFonts w:hint="eastAsia" w:ascii="黑体" w:eastAsia="黑体"/>
        </w:rPr>
      </w:pPr>
      <w:r>
        <w:rPr>
          <w:rFonts w:hint="eastAsia" w:ascii="黑体" w:eastAsia="黑体"/>
        </w:rPr>
        <w:t>封面</w:t>
      </w:r>
    </w:p>
    <w:p>
      <w:pPr>
        <w:pStyle w:val="2"/>
        <w:rPr>
          <w:rFonts w:ascii="黑体"/>
          <w:b/>
          <w:sz w:val="20"/>
        </w:rPr>
      </w:pPr>
    </w:p>
    <w:p>
      <w:pPr>
        <w:pStyle w:val="2"/>
        <w:rPr>
          <w:rFonts w:ascii="黑体"/>
          <w:b/>
          <w:sz w:val="20"/>
        </w:rPr>
      </w:pPr>
    </w:p>
    <w:p>
      <w:pPr>
        <w:pStyle w:val="2"/>
        <w:rPr>
          <w:rFonts w:ascii="黑体"/>
          <w:b/>
          <w:sz w:val="20"/>
        </w:rPr>
      </w:pPr>
    </w:p>
    <w:p>
      <w:pPr>
        <w:pStyle w:val="2"/>
        <w:spacing w:before="7"/>
        <w:rPr>
          <w:rFonts w:ascii="黑体"/>
          <w:b/>
          <w:sz w:val="28"/>
        </w:rPr>
      </w:pPr>
    </w:p>
    <w:p>
      <w:pPr>
        <w:tabs>
          <w:tab w:val="left" w:pos="3741"/>
        </w:tabs>
        <w:spacing w:before="51"/>
        <w:ind w:left="0" w:right="17" w:firstLine="0"/>
        <w:jc w:val="center"/>
        <w:rPr>
          <w:sz w:val="44"/>
        </w:rPr>
      </w:pPr>
      <w:r>
        <w:rPr>
          <w:rFonts w:ascii="Times New Roman" w:eastAsia="Times New Roman"/>
          <w:w w:val="99"/>
          <w:sz w:val="44"/>
          <w:u w:val="thick"/>
        </w:rPr>
        <w:t xml:space="preserve"> </w:t>
      </w:r>
      <w:r>
        <w:rPr>
          <w:rFonts w:ascii="Times New Roman" w:eastAsia="Times New Roman"/>
          <w:sz w:val="44"/>
          <w:u w:val="thick"/>
        </w:rPr>
        <w:t xml:space="preserve"> </w:t>
      </w:r>
      <w:r>
        <w:rPr>
          <w:sz w:val="44"/>
          <w:u w:val="thick"/>
        </w:rPr>
        <w:t>（项目名称）</w:t>
      </w:r>
      <w:r>
        <w:rPr>
          <w:sz w:val="44"/>
          <w:u w:val="thick"/>
        </w:rPr>
        <w:tab/>
      </w:r>
      <w:r>
        <w:rPr>
          <w:sz w:val="44"/>
        </w:rPr>
        <w:t>招标</w:t>
      </w:r>
    </w:p>
    <w:p>
      <w:pPr>
        <w:pStyle w:val="2"/>
        <w:rPr>
          <w:sz w:val="48"/>
        </w:rPr>
      </w:pPr>
    </w:p>
    <w:p>
      <w:pPr>
        <w:pStyle w:val="2"/>
        <w:rPr>
          <w:sz w:val="48"/>
        </w:rPr>
      </w:pPr>
    </w:p>
    <w:p>
      <w:pPr>
        <w:pStyle w:val="2"/>
        <w:rPr>
          <w:sz w:val="48"/>
        </w:rPr>
      </w:pPr>
    </w:p>
    <w:p>
      <w:pPr>
        <w:pStyle w:val="2"/>
        <w:spacing w:before="12"/>
        <w:rPr>
          <w:sz w:val="47"/>
        </w:rPr>
      </w:pPr>
    </w:p>
    <w:p>
      <w:pPr>
        <w:tabs>
          <w:tab w:val="left" w:pos="1439"/>
          <w:tab w:val="left" w:pos="2879"/>
          <w:tab w:val="left" w:pos="4319"/>
        </w:tabs>
        <w:spacing w:before="0"/>
        <w:ind w:left="0" w:right="19" w:firstLine="0"/>
        <w:jc w:val="center"/>
        <w:rPr>
          <w:rFonts w:hint="eastAsia" w:ascii="黑体" w:eastAsia="黑体"/>
          <w:sz w:val="96"/>
        </w:rPr>
      </w:pPr>
      <w:r>
        <w:rPr>
          <w:rFonts w:hint="eastAsia" w:ascii="黑体" w:eastAsia="黑体"/>
          <w:sz w:val="96"/>
        </w:rPr>
        <w:t>投</w:t>
      </w:r>
      <w:r>
        <w:rPr>
          <w:rFonts w:hint="eastAsia" w:ascii="黑体" w:eastAsia="黑体"/>
          <w:sz w:val="96"/>
        </w:rPr>
        <w:tab/>
      </w:r>
      <w:r>
        <w:rPr>
          <w:rFonts w:hint="eastAsia" w:ascii="黑体" w:eastAsia="黑体"/>
          <w:sz w:val="96"/>
        </w:rPr>
        <w:t>标</w:t>
      </w:r>
      <w:r>
        <w:rPr>
          <w:rFonts w:hint="eastAsia" w:ascii="黑体" w:eastAsia="黑体"/>
          <w:sz w:val="96"/>
        </w:rPr>
        <w:tab/>
      </w:r>
      <w:r>
        <w:rPr>
          <w:rFonts w:hint="eastAsia" w:ascii="黑体" w:eastAsia="黑体"/>
          <w:sz w:val="96"/>
        </w:rPr>
        <w:t>文</w:t>
      </w:r>
      <w:r>
        <w:rPr>
          <w:rFonts w:hint="eastAsia" w:ascii="黑体" w:eastAsia="黑体"/>
          <w:sz w:val="96"/>
        </w:rPr>
        <w:tab/>
      </w:r>
      <w:r>
        <w:rPr>
          <w:rFonts w:hint="eastAsia" w:ascii="黑体" w:eastAsia="黑体"/>
          <w:sz w:val="96"/>
        </w:rPr>
        <w:t>件</w:t>
      </w:r>
    </w:p>
    <w:p>
      <w:pPr>
        <w:pStyle w:val="2"/>
        <w:spacing w:before="9"/>
        <w:rPr>
          <w:rFonts w:ascii="黑体"/>
          <w:sz w:val="91"/>
        </w:rPr>
      </w:pPr>
    </w:p>
    <w:p>
      <w:pPr>
        <w:spacing w:before="0"/>
        <w:ind w:left="412" w:right="433" w:firstLine="0"/>
        <w:jc w:val="center"/>
        <w:rPr>
          <w:sz w:val="28"/>
        </w:rPr>
      </w:pPr>
      <w:r>
        <w:rPr>
          <w:sz w:val="28"/>
        </w:rPr>
        <w:t>招标编号：</w:t>
      </w: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tabs>
          <w:tab w:val="left" w:pos="2634"/>
          <w:tab w:val="left" w:pos="3474"/>
          <w:tab w:val="left" w:pos="4316"/>
          <w:tab w:val="left" w:pos="7823"/>
        </w:tabs>
        <w:spacing w:before="224" w:line="364" w:lineRule="auto"/>
        <w:ind w:left="1093" w:right="2760" w:firstLine="7"/>
        <w:jc w:val="left"/>
        <w:rPr>
          <w:sz w:val="28"/>
        </w:rPr>
      </w:pPr>
      <w:r>
        <w:rPr>
          <w:spacing w:val="-1"/>
          <w:sz w:val="28"/>
        </w:rPr>
        <w:t>投标人</w:t>
      </w:r>
      <w:r>
        <w:rPr>
          <w:spacing w:val="-3"/>
          <w:sz w:val="28"/>
        </w:rPr>
        <w:t>（</w:t>
      </w:r>
      <w:r>
        <w:rPr>
          <w:sz w:val="28"/>
        </w:rPr>
        <w:t>盖章）：</w:t>
      </w:r>
      <w:r>
        <w:rPr>
          <w:sz w:val="28"/>
          <w:u w:val="single"/>
        </w:rPr>
        <w:tab/>
      </w:r>
      <w:r>
        <w:rPr>
          <w:sz w:val="28"/>
          <w:u w:val="single"/>
        </w:rPr>
        <w:tab/>
      </w:r>
      <w:r>
        <w:rPr>
          <w:sz w:val="28"/>
          <w:u w:val="single"/>
        </w:rPr>
        <w:tab/>
      </w:r>
      <w:r>
        <w:rPr>
          <w:sz w:val="28"/>
          <w:u w:val="single"/>
        </w:rPr>
        <w:t xml:space="preserve">                               </w:t>
      </w:r>
      <w:r>
        <w:rPr>
          <w:sz w:val="28"/>
        </w:rPr>
        <w:t>日期</w:t>
      </w:r>
      <w:r>
        <w:rPr>
          <w:spacing w:val="-3"/>
          <w:sz w:val="28"/>
        </w:rPr>
        <w:t>：</w:t>
      </w:r>
      <w:r>
        <w:rPr>
          <w:spacing w:val="-3"/>
          <w:sz w:val="28"/>
          <w:u w:val="single"/>
        </w:rPr>
        <w:t xml:space="preserve"> </w:t>
      </w:r>
      <w:r>
        <w:rPr>
          <w:spacing w:val="-3"/>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pPr>
        <w:spacing w:after="0" w:line="364" w:lineRule="auto"/>
        <w:jc w:val="left"/>
        <w:rPr>
          <w:sz w:val="28"/>
        </w:rPr>
        <w:sectPr>
          <w:pgSz w:w="11910" w:h="16840"/>
          <w:pgMar w:top="1580" w:right="580" w:bottom="1660" w:left="740" w:header="0" w:footer="1479" w:gutter="0"/>
          <w:pgNumType w:fmt="decimal"/>
          <w:cols w:space="720" w:num="1"/>
        </w:sectPr>
      </w:pPr>
    </w:p>
    <w:p>
      <w:pPr>
        <w:tabs>
          <w:tab w:val="left" w:pos="1909"/>
        </w:tabs>
        <w:spacing w:before="139"/>
        <w:ind w:left="784" w:right="0" w:firstLine="0"/>
        <w:jc w:val="center"/>
        <w:rPr>
          <w:rFonts w:hint="eastAsia" w:ascii="黑体" w:eastAsia="黑体"/>
          <w:b/>
          <w:sz w:val="32"/>
        </w:rPr>
      </w:pPr>
      <w:r>
        <w:rPr>
          <w:rFonts w:hint="eastAsia" w:ascii="黑体" w:eastAsia="黑体"/>
          <w:b/>
          <w:sz w:val="32"/>
        </w:rPr>
        <w:t>目</w:t>
      </w:r>
      <w:r>
        <w:rPr>
          <w:rFonts w:hint="eastAsia" w:ascii="黑体" w:eastAsia="黑体"/>
          <w:b/>
          <w:sz w:val="32"/>
        </w:rPr>
        <w:tab/>
      </w:r>
      <w:r>
        <w:rPr>
          <w:rFonts w:hint="eastAsia" w:ascii="黑体" w:eastAsia="黑体"/>
          <w:b/>
          <w:sz w:val="32"/>
        </w:rPr>
        <w:t>录</w:t>
      </w:r>
    </w:p>
    <w:p>
      <w:pPr>
        <w:pStyle w:val="2"/>
        <w:spacing w:before="12"/>
        <w:rPr>
          <w:rFonts w:ascii="黑体"/>
          <w:b/>
          <w:sz w:val="44"/>
        </w:rPr>
      </w:pPr>
    </w:p>
    <w:p>
      <w:pPr>
        <w:pStyle w:val="2"/>
        <w:ind w:left="2178"/>
      </w:pPr>
      <w:r>
        <w:t>由投标人根据招标文件自行编制。</w:t>
      </w:r>
    </w:p>
    <w:p>
      <w:pPr>
        <w:spacing w:after="0"/>
        <w:sectPr>
          <w:footerReference r:id="rId10" w:type="default"/>
          <w:pgSz w:w="11910" w:h="16840"/>
          <w:pgMar w:top="1580" w:right="580" w:bottom="1660" w:left="740" w:header="0" w:footer="1479" w:gutter="0"/>
          <w:pgNumType w:fmt="decimal"/>
          <w:cols w:space="720" w:num="1"/>
        </w:sectPr>
      </w:pPr>
    </w:p>
    <w:p>
      <w:pPr>
        <w:pStyle w:val="2"/>
        <w:spacing w:before="3"/>
        <w:rPr>
          <w:sz w:val="18"/>
        </w:rPr>
      </w:pPr>
    </w:p>
    <w:p>
      <w:pPr>
        <w:pStyle w:val="5"/>
        <w:spacing w:before="67"/>
      </w:pPr>
      <w:r>
        <w:t>格式一：</w:t>
      </w:r>
    </w:p>
    <w:p>
      <w:pPr>
        <w:pStyle w:val="2"/>
        <w:rPr>
          <w:sz w:val="20"/>
        </w:rPr>
      </w:pPr>
    </w:p>
    <w:p>
      <w:pPr>
        <w:pStyle w:val="2"/>
        <w:rPr>
          <w:sz w:val="20"/>
        </w:rPr>
      </w:pPr>
    </w:p>
    <w:p>
      <w:pPr>
        <w:pStyle w:val="2"/>
        <w:spacing w:before="7"/>
        <w:rPr>
          <w:sz w:val="18"/>
        </w:rPr>
      </w:pPr>
    </w:p>
    <w:p>
      <w:pPr>
        <w:spacing w:before="61"/>
        <w:ind w:left="412" w:right="432" w:firstLine="0"/>
        <w:jc w:val="center"/>
        <w:rPr>
          <w:b/>
          <w:sz w:val="28"/>
        </w:rPr>
      </w:pPr>
      <w:r>
        <w:rPr>
          <w:b/>
          <w:sz w:val="28"/>
        </w:rPr>
        <w:t>投标人的法定代表人身份证明书</w:t>
      </w:r>
    </w:p>
    <w:p>
      <w:pPr>
        <w:pStyle w:val="2"/>
        <w:spacing w:before="10"/>
        <w:rPr>
          <w:b/>
          <w:sz w:val="22"/>
        </w:rPr>
      </w:pPr>
    </w:p>
    <w:p>
      <w:pPr>
        <w:pStyle w:val="2"/>
        <w:tabs>
          <w:tab w:val="left" w:pos="5012"/>
        </w:tabs>
        <w:ind w:left="392"/>
        <w:rPr>
          <w:rFonts w:ascii="Times New Roman" w:eastAsia="Times New Roman"/>
        </w:rPr>
      </w:pPr>
      <w:r>
        <w:rPr>
          <w:spacing w:val="-1"/>
        </w:rPr>
        <w:t>单</w:t>
      </w:r>
      <w:r>
        <w:t>位</w:t>
      </w:r>
      <w:r>
        <w:rPr>
          <w:spacing w:val="-3"/>
        </w:rPr>
        <w:t>名</w:t>
      </w:r>
      <w:r>
        <w:t>称</w:t>
      </w:r>
      <w:r>
        <w:rPr>
          <w:spacing w:val="-3"/>
        </w:rPr>
        <w:t>：</w:t>
      </w:r>
      <w:r>
        <w:rPr>
          <w:rFonts w:ascii="Times New Roman" w:eastAsia="Times New Roman"/>
          <w:u w:val="single"/>
        </w:rPr>
        <w:t xml:space="preserve"> </w:t>
      </w:r>
      <w:r>
        <w:rPr>
          <w:rFonts w:ascii="Times New Roman" w:eastAsia="Times New Roman"/>
          <w:u w:val="single"/>
        </w:rPr>
        <w:tab/>
      </w:r>
    </w:p>
    <w:p>
      <w:pPr>
        <w:pStyle w:val="2"/>
        <w:spacing w:before="4"/>
        <w:rPr>
          <w:rFonts w:ascii="Times New Roman"/>
          <w:sz w:val="20"/>
        </w:rPr>
      </w:pPr>
    </w:p>
    <w:p>
      <w:pPr>
        <w:pStyle w:val="2"/>
        <w:tabs>
          <w:tab w:val="left" w:pos="4907"/>
        </w:tabs>
        <w:spacing w:before="78"/>
        <w:ind w:left="392"/>
        <w:rPr>
          <w:rFonts w:ascii="Times New Roman" w:eastAsia="Times New Roman"/>
        </w:rPr>
      </w:pPr>
      <w:r>
        <w:rPr>
          <w:spacing w:val="-1"/>
        </w:rPr>
        <w:t>单</w:t>
      </w:r>
      <w:r>
        <w:t>位</w:t>
      </w:r>
      <w:r>
        <w:rPr>
          <w:spacing w:val="-3"/>
        </w:rPr>
        <w:t>性</w:t>
      </w:r>
      <w:r>
        <w:t>质</w:t>
      </w:r>
      <w:r>
        <w:rPr>
          <w:spacing w:val="-3"/>
        </w:rPr>
        <w:t>：</w:t>
      </w:r>
      <w:r>
        <w:rPr>
          <w:rFonts w:ascii="Times New Roman" w:eastAsia="Times New Roman"/>
          <w:u w:val="single"/>
        </w:rPr>
        <w:t xml:space="preserve"> </w:t>
      </w:r>
      <w:r>
        <w:rPr>
          <w:rFonts w:ascii="Times New Roman" w:eastAsia="Times New Roman"/>
          <w:u w:val="single"/>
        </w:rPr>
        <w:tab/>
      </w:r>
    </w:p>
    <w:p>
      <w:pPr>
        <w:pStyle w:val="2"/>
        <w:spacing w:before="1"/>
        <w:rPr>
          <w:rFonts w:ascii="Times New Roman"/>
          <w:sz w:val="20"/>
        </w:rPr>
      </w:pPr>
    </w:p>
    <w:p>
      <w:pPr>
        <w:pStyle w:val="2"/>
        <w:tabs>
          <w:tab w:val="left" w:pos="4907"/>
        </w:tabs>
        <w:spacing w:before="79"/>
        <w:ind w:left="392"/>
        <w:rPr>
          <w:rFonts w:ascii="Times New Roman" w:eastAsia="Times New Roman"/>
        </w:rPr>
      </w:pPr>
      <w:r>
        <w:t>地址</w:t>
      </w:r>
      <w:r>
        <w:rPr>
          <w:spacing w:val="-3"/>
        </w:rPr>
        <w:t>：</w:t>
      </w:r>
      <w:r>
        <w:rPr>
          <w:rFonts w:ascii="Times New Roman" w:eastAsia="Times New Roman"/>
          <w:u w:val="single"/>
        </w:rPr>
        <w:t xml:space="preserve"> </w:t>
      </w:r>
      <w:r>
        <w:rPr>
          <w:rFonts w:ascii="Times New Roman" w:eastAsia="Times New Roman"/>
          <w:u w:val="single"/>
        </w:rPr>
        <w:tab/>
      </w:r>
    </w:p>
    <w:p>
      <w:pPr>
        <w:pStyle w:val="2"/>
        <w:spacing w:before="3"/>
        <w:rPr>
          <w:rFonts w:ascii="Times New Roman"/>
          <w:sz w:val="20"/>
        </w:rPr>
      </w:pPr>
    </w:p>
    <w:p>
      <w:pPr>
        <w:pStyle w:val="2"/>
        <w:tabs>
          <w:tab w:val="left" w:pos="2178"/>
          <w:tab w:val="left" w:pos="2807"/>
          <w:tab w:val="left" w:pos="3649"/>
        </w:tabs>
        <w:spacing w:before="78"/>
        <w:ind w:left="392"/>
      </w:pPr>
      <w:r>
        <w:t>成立</w:t>
      </w:r>
      <w:r>
        <w:rPr>
          <w:spacing w:val="-3"/>
        </w:rPr>
        <w:t>时</w:t>
      </w:r>
      <w:r>
        <w:t>间</w:t>
      </w:r>
      <w:r>
        <w:rPr>
          <w:spacing w:val="-3"/>
        </w:rPr>
        <w:t>：</w:t>
      </w:r>
      <w:r>
        <w:rPr>
          <w:spacing w:val="-3"/>
          <w:u w:val="single"/>
        </w:rPr>
        <w:t xml:space="preserve"> </w:t>
      </w:r>
      <w:r>
        <w:rPr>
          <w:spacing w:val="-3"/>
          <w:u w:val="single"/>
        </w:rPr>
        <w:tab/>
      </w:r>
      <w:r>
        <w:rPr>
          <w:u w:val="single"/>
        </w:rPr>
        <w:t>年</w:t>
      </w:r>
      <w:r>
        <w:rPr>
          <w:u w:val="single"/>
        </w:rPr>
        <w:tab/>
      </w:r>
      <w:r>
        <w:rPr>
          <w:u w:val="single"/>
        </w:rPr>
        <w:t>月</w:t>
      </w:r>
      <w:r>
        <w:rPr>
          <w:u w:val="single"/>
        </w:rPr>
        <w:tab/>
      </w:r>
      <w:r>
        <w:rPr>
          <w:u w:val="single"/>
        </w:rPr>
        <w:t>日</w:t>
      </w:r>
    </w:p>
    <w:p>
      <w:pPr>
        <w:pStyle w:val="2"/>
        <w:spacing w:before="3"/>
        <w:rPr>
          <w:sz w:val="18"/>
        </w:rPr>
      </w:pPr>
    </w:p>
    <w:p>
      <w:pPr>
        <w:pStyle w:val="2"/>
        <w:tabs>
          <w:tab w:val="left" w:pos="5012"/>
        </w:tabs>
        <w:spacing w:before="78"/>
        <w:ind w:left="392"/>
        <w:rPr>
          <w:rFonts w:ascii="Times New Roman" w:eastAsia="Times New Roman"/>
        </w:rPr>
      </w:pPr>
      <w:r>
        <w:rPr>
          <w:spacing w:val="-1"/>
        </w:rPr>
        <w:t>经</w:t>
      </w:r>
      <w:r>
        <w:t>营</w:t>
      </w:r>
      <w:r>
        <w:rPr>
          <w:spacing w:val="-3"/>
        </w:rPr>
        <w:t>期</w:t>
      </w:r>
      <w:r>
        <w:t>限</w:t>
      </w:r>
      <w:r>
        <w:rPr>
          <w:spacing w:val="-3"/>
        </w:rPr>
        <w:t>：</w:t>
      </w:r>
      <w:r>
        <w:rPr>
          <w:rFonts w:ascii="Times New Roman" w:eastAsia="Times New Roman"/>
          <w:u w:val="single"/>
        </w:rPr>
        <w:t xml:space="preserve"> </w:t>
      </w:r>
      <w:r>
        <w:rPr>
          <w:rFonts w:ascii="Times New Roman" w:eastAsia="Times New Roman"/>
          <w:u w:val="single"/>
        </w:rPr>
        <w:tab/>
      </w:r>
    </w:p>
    <w:p>
      <w:pPr>
        <w:pStyle w:val="2"/>
        <w:spacing w:before="1"/>
        <w:rPr>
          <w:rFonts w:ascii="Times New Roman"/>
          <w:sz w:val="20"/>
        </w:rPr>
      </w:pPr>
    </w:p>
    <w:p>
      <w:pPr>
        <w:pStyle w:val="2"/>
        <w:tabs>
          <w:tab w:val="left" w:pos="1758"/>
          <w:tab w:val="left" w:pos="3018"/>
          <w:tab w:val="left" w:pos="4489"/>
          <w:tab w:val="left" w:pos="5747"/>
        </w:tabs>
        <w:spacing w:before="79"/>
        <w:ind w:left="392"/>
        <w:rPr>
          <w:rFonts w:ascii="Times New Roman" w:eastAsia="Times New Roman"/>
        </w:rPr>
      </w:pPr>
      <w:r>
        <w:t>姓名：</w:t>
      </w:r>
      <w:r>
        <w:rPr>
          <w:u w:val="single"/>
        </w:rPr>
        <w:t xml:space="preserve"> </w:t>
      </w:r>
      <w:r>
        <w:rPr>
          <w:u w:val="single"/>
        </w:rPr>
        <w:tab/>
      </w:r>
      <w:r>
        <w:t>性</w:t>
      </w:r>
      <w:r>
        <w:rPr>
          <w:spacing w:val="-3"/>
        </w:rPr>
        <w:t>别</w:t>
      </w:r>
      <w:r>
        <w:t>：</w:t>
      </w:r>
      <w:r>
        <w:rPr>
          <w:u w:val="single"/>
        </w:rPr>
        <w:t xml:space="preserve"> </w:t>
      </w:r>
      <w:r>
        <w:rPr>
          <w:u w:val="single"/>
        </w:rPr>
        <w:tab/>
      </w:r>
      <w:r>
        <w:rPr>
          <w:spacing w:val="-3"/>
        </w:rPr>
        <w:t>年</w:t>
      </w:r>
      <w:r>
        <w:t>龄：</w:t>
      </w:r>
      <w:r>
        <w:rPr>
          <w:u w:val="single"/>
        </w:rPr>
        <w:t xml:space="preserve"> </w:t>
      </w:r>
      <w:r>
        <w:rPr>
          <w:u w:val="single"/>
        </w:rPr>
        <w:tab/>
      </w:r>
      <w:r>
        <w:rPr>
          <w:spacing w:val="-3"/>
        </w:rPr>
        <w:t>职</w:t>
      </w:r>
      <w:r>
        <w:t>务</w:t>
      </w:r>
      <w:r>
        <w:rPr>
          <w:spacing w:val="-3"/>
        </w:rPr>
        <w:t>：</w:t>
      </w:r>
      <w:r>
        <w:rPr>
          <w:rFonts w:ascii="Times New Roman" w:eastAsia="Times New Roman"/>
          <w:u w:val="single"/>
        </w:rPr>
        <w:t xml:space="preserve"> </w:t>
      </w:r>
      <w:r>
        <w:rPr>
          <w:rFonts w:ascii="Times New Roman" w:eastAsia="Times New Roman"/>
          <w:u w:val="single"/>
        </w:rPr>
        <w:tab/>
      </w:r>
    </w:p>
    <w:p>
      <w:pPr>
        <w:pStyle w:val="2"/>
        <w:spacing w:before="10"/>
        <w:rPr>
          <w:rFonts w:ascii="Times New Roman"/>
          <w:sz w:val="20"/>
        </w:rPr>
      </w:pPr>
    </w:p>
    <w:p>
      <w:pPr>
        <w:pStyle w:val="2"/>
        <w:spacing w:before="71" w:line="518" w:lineRule="auto"/>
        <w:ind w:left="392" w:right="7457"/>
      </w:pPr>
      <w:r>
        <w:t>系</w:t>
      </w:r>
      <w:r>
        <w:rPr>
          <w:u w:val="single"/>
        </w:rPr>
        <w:t>（投标人）</w:t>
      </w:r>
      <w:r>
        <w:t>的法定代表人。特此证明。</w:t>
      </w:r>
    </w:p>
    <w:p>
      <w:pPr>
        <w:pStyle w:val="2"/>
        <w:rPr>
          <w:sz w:val="20"/>
        </w:rPr>
      </w:pPr>
    </w:p>
    <w:p>
      <w:pPr>
        <w:pStyle w:val="2"/>
        <w:rPr>
          <w:sz w:val="19"/>
        </w:rPr>
      </w:pPr>
    </w:p>
    <w:p>
      <w:pPr>
        <w:pStyle w:val="2"/>
        <w:tabs>
          <w:tab w:val="left" w:pos="8257"/>
        </w:tabs>
        <w:spacing w:before="78"/>
        <w:ind w:left="5212"/>
        <w:rPr>
          <w:rFonts w:ascii="Times New Roman" w:eastAsia="Times New Roman"/>
        </w:rPr>
      </w:pPr>
      <w:r>
        <w:pict>
          <v:shape id="_x0000_s2101" o:spid="_x0000_s2101" o:spt="202" type="#_x0000_t202" style="position:absolute;left:0pt;margin-left:58.15pt;margin-top:-24.1pt;height:85.8pt;width:153pt;mso-position-horizontal-relative:page;z-index:251667456;mso-width-relative:page;mso-height-relative:page;" filled="f" stroked="t" coordsize="21600,21600">
            <v:path/>
            <v:fill on="f" focussize="0,0"/>
            <v:stroke weight="0.72pt" color="#000000"/>
            <v:imagedata o:title=""/>
            <o:lock v:ext="edit"/>
            <v:textbox inset="0mm,0mm,0mm,0mm">
              <w:txbxContent>
                <w:p>
                  <w:pPr>
                    <w:pStyle w:val="2"/>
                    <w:rPr>
                      <w:sz w:val="20"/>
                    </w:rPr>
                  </w:pPr>
                </w:p>
                <w:p>
                  <w:pPr>
                    <w:pStyle w:val="2"/>
                    <w:rPr>
                      <w:sz w:val="20"/>
                    </w:rPr>
                  </w:pPr>
                </w:p>
                <w:p>
                  <w:pPr>
                    <w:pStyle w:val="2"/>
                    <w:spacing w:before="144"/>
                    <w:ind w:left="264"/>
                  </w:pPr>
                  <w:r>
                    <w:t>法定代表人身份证复印于此</w:t>
                  </w:r>
                </w:p>
              </w:txbxContent>
            </v:textbox>
          </v:shape>
        </w:pict>
      </w:r>
      <w:r>
        <w:rPr>
          <w:spacing w:val="-1"/>
        </w:rPr>
        <w:t>投标</w:t>
      </w:r>
      <w:r>
        <w:rPr>
          <w:spacing w:val="-3"/>
        </w:rPr>
        <w:t>人</w:t>
      </w:r>
      <w:r>
        <w:rPr>
          <w:spacing w:val="-1"/>
        </w:rPr>
        <w:t>（</w:t>
      </w:r>
      <w:r>
        <w:rPr>
          <w:spacing w:val="-3"/>
        </w:rPr>
        <w:t>盖</w:t>
      </w:r>
      <w:r>
        <w:rPr>
          <w:spacing w:val="-1"/>
        </w:rPr>
        <w:t>章</w:t>
      </w:r>
      <w:r>
        <w:t>）：</w:t>
      </w:r>
      <w:r>
        <w:rPr>
          <w:rFonts w:ascii="Times New Roman" w:eastAsia="Times New Roman"/>
          <w:u w:val="single"/>
        </w:rPr>
        <w:t xml:space="preserve"> </w:t>
      </w:r>
      <w:r>
        <w:rPr>
          <w:rFonts w:ascii="Times New Roman" w:eastAsia="Times New Roman"/>
          <w:u w:val="single"/>
        </w:rPr>
        <w:tab/>
      </w:r>
    </w:p>
    <w:p>
      <w:pPr>
        <w:pStyle w:val="2"/>
        <w:spacing w:before="11"/>
        <w:rPr>
          <w:rFonts w:ascii="Times New Roman"/>
          <w:sz w:val="20"/>
        </w:rPr>
      </w:pPr>
    </w:p>
    <w:p>
      <w:pPr>
        <w:pStyle w:val="2"/>
        <w:tabs>
          <w:tab w:val="left" w:pos="6474"/>
          <w:tab w:val="left" w:pos="7208"/>
          <w:tab w:val="left" w:pos="7837"/>
        </w:tabs>
        <w:spacing w:before="71"/>
        <w:ind w:left="5212"/>
      </w:pPr>
      <w:r>
        <w:t>日期</w:t>
      </w:r>
      <w:r>
        <w:rPr>
          <w:spacing w:val="-3"/>
        </w:rPr>
        <w:t>：</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spacing w:after="0"/>
        <w:sectPr>
          <w:pgSz w:w="11910" w:h="16840"/>
          <w:pgMar w:top="1580" w:right="580" w:bottom="1660" w:left="740" w:header="0" w:footer="1479" w:gutter="0"/>
          <w:pgNumType w:fmt="decimal"/>
          <w:cols w:space="720" w:num="1"/>
        </w:sectPr>
      </w:pPr>
    </w:p>
    <w:p>
      <w:pPr>
        <w:pStyle w:val="5"/>
      </w:pPr>
      <w:r>
        <w:t>格式二：</w:t>
      </w:r>
    </w:p>
    <w:p>
      <w:pPr>
        <w:pStyle w:val="2"/>
        <w:rPr>
          <w:sz w:val="20"/>
        </w:rPr>
      </w:pPr>
    </w:p>
    <w:p>
      <w:pPr>
        <w:pStyle w:val="2"/>
        <w:rPr>
          <w:sz w:val="20"/>
        </w:rPr>
      </w:pPr>
    </w:p>
    <w:p>
      <w:pPr>
        <w:pStyle w:val="2"/>
        <w:spacing w:before="9"/>
        <w:rPr>
          <w:sz w:val="18"/>
        </w:rPr>
      </w:pPr>
    </w:p>
    <w:p>
      <w:pPr>
        <w:spacing w:before="61"/>
        <w:ind w:left="412" w:right="432" w:firstLine="0"/>
        <w:jc w:val="center"/>
        <w:rPr>
          <w:b/>
          <w:sz w:val="28"/>
        </w:rPr>
      </w:pPr>
      <w:r>
        <w:rPr>
          <w:b/>
          <w:sz w:val="28"/>
        </w:rPr>
        <w:t>投标人的法定代表人授权委托书</w:t>
      </w:r>
    </w:p>
    <w:p>
      <w:pPr>
        <w:pStyle w:val="2"/>
        <w:spacing w:before="8"/>
        <w:rPr>
          <w:b/>
          <w:sz w:val="22"/>
        </w:rPr>
      </w:pPr>
    </w:p>
    <w:p>
      <w:pPr>
        <w:pStyle w:val="2"/>
        <w:ind w:left="812"/>
      </w:pPr>
      <w:r>
        <w:t>本授权委托书声明：我</w:t>
      </w:r>
      <w:r>
        <w:rPr>
          <w:u w:val="single"/>
        </w:rPr>
        <w:t>（姓名）</w:t>
      </w:r>
      <w:r>
        <w:t>系</w:t>
      </w:r>
      <w:r>
        <w:rPr>
          <w:u w:val="single"/>
        </w:rPr>
        <w:t>（投标人名称）</w:t>
      </w:r>
      <w:r>
        <w:t>的法定代表人，现授权委托</w:t>
      </w:r>
      <w:r>
        <w:rPr>
          <w:u w:val="single"/>
        </w:rPr>
        <w:t>（单位名称）</w:t>
      </w:r>
      <w:r>
        <w:t>的</w:t>
      </w:r>
      <w:r>
        <w:rPr>
          <w:u w:val="single"/>
        </w:rPr>
        <w:t>（姓名）</w:t>
      </w:r>
    </w:p>
    <w:p>
      <w:pPr>
        <w:pStyle w:val="2"/>
        <w:spacing w:before="5"/>
        <w:rPr>
          <w:sz w:val="9"/>
        </w:rPr>
      </w:pPr>
    </w:p>
    <w:p>
      <w:pPr>
        <w:pStyle w:val="2"/>
        <w:spacing w:before="72" w:line="410" w:lineRule="auto"/>
        <w:ind w:left="392" w:right="405"/>
      </w:pPr>
      <w:r>
        <w:rPr>
          <w:spacing w:val="-6"/>
        </w:rPr>
        <w:t>为我公司的代理人，以本公司的名义参加</w:t>
      </w:r>
      <w:r>
        <w:rPr>
          <w:spacing w:val="-3"/>
        </w:rPr>
        <w:t>（</w:t>
      </w:r>
      <w:r>
        <w:rPr>
          <w:spacing w:val="-3"/>
          <w:u w:val="single"/>
        </w:rPr>
        <w:t>招标项目名称</w:t>
      </w:r>
      <w:r>
        <w:rPr>
          <w:spacing w:val="-46"/>
          <w:u w:val="single"/>
        </w:rPr>
        <w:t>）</w:t>
      </w:r>
      <w:r>
        <w:rPr>
          <w:spacing w:val="-3"/>
        </w:rPr>
        <w:t>的投标活动。代理人在开标、评标、合同谈判过程中所签署的一切文件和处理与之有关的一切事务，我均予以承认。</w:t>
      </w:r>
    </w:p>
    <w:p>
      <w:pPr>
        <w:pStyle w:val="2"/>
        <w:spacing w:before="6"/>
        <w:rPr>
          <w:sz w:val="11"/>
        </w:rPr>
      </w:pPr>
    </w:p>
    <w:tbl>
      <w:tblPr>
        <w:tblStyle w:val="15"/>
        <w:tblW w:w="0" w:type="auto"/>
        <w:tblInd w:w="3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1"/>
        <w:gridCol w:w="2047"/>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731" w:type="dxa"/>
          </w:tcPr>
          <w:p>
            <w:pPr>
              <w:pStyle w:val="22"/>
              <w:spacing w:line="241" w:lineRule="exact"/>
              <w:ind w:left="50"/>
              <w:jc w:val="left"/>
              <w:rPr>
                <w:sz w:val="21"/>
              </w:rPr>
            </w:pPr>
            <w:r>
              <w:rPr>
                <w:sz w:val="21"/>
              </w:rPr>
              <w:t>代理人：</w:t>
            </w:r>
          </w:p>
        </w:tc>
        <w:tc>
          <w:tcPr>
            <w:tcW w:w="2047" w:type="dxa"/>
          </w:tcPr>
          <w:p>
            <w:pPr>
              <w:pStyle w:val="22"/>
              <w:spacing w:line="241" w:lineRule="exact"/>
              <w:ind w:right="574"/>
              <w:jc w:val="right"/>
              <w:rPr>
                <w:sz w:val="21"/>
              </w:rPr>
            </w:pPr>
            <w:r>
              <w:rPr>
                <w:sz w:val="21"/>
              </w:rPr>
              <w:t>性别：</w:t>
            </w:r>
          </w:p>
        </w:tc>
        <w:tc>
          <w:tcPr>
            <w:tcW w:w="1258" w:type="dxa"/>
          </w:tcPr>
          <w:p>
            <w:pPr>
              <w:pStyle w:val="22"/>
              <w:spacing w:line="241" w:lineRule="exact"/>
              <w:ind w:right="47"/>
              <w:jc w:val="right"/>
              <w:rPr>
                <w:sz w:val="21"/>
              </w:rPr>
            </w:pPr>
            <w:r>
              <w:rPr>
                <w:sz w:val="21"/>
              </w:rPr>
              <w:t>年龄：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731" w:type="dxa"/>
          </w:tcPr>
          <w:p>
            <w:pPr>
              <w:pStyle w:val="22"/>
              <w:spacing w:before="156" w:line="220" w:lineRule="exact"/>
              <w:ind w:left="50"/>
              <w:jc w:val="left"/>
              <w:rPr>
                <w:sz w:val="21"/>
              </w:rPr>
            </w:pPr>
            <w:r>
              <w:rPr>
                <w:sz w:val="21"/>
              </w:rPr>
              <w:t>单位：</w:t>
            </w:r>
          </w:p>
        </w:tc>
        <w:tc>
          <w:tcPr>
            <w:tcW w:w="2047" w:type="dxa"/>
          </w:tcPr>
          <w:p>
            <w:pPr>
              <w:pStyle w:val="22"/>
              <w:spacing w:before="156" w:line="220" w:lineRule="exact"/>
              <w:ind w:right="574"/>
              <w:jc w:val="right"/>
              <w:rPr>
                <w:sz w:val="21"/>
              </w:rPr>
            </w:pPr>
            <w:r>
              <w:rPr>
                <w:sz w:val="21"/>
              </w:rPr>
              <w:t>部门：</w:t>
            </w:r>
          </w:p>
        </w:tc>
        <w:tc>
          <w:tcPr>
            <w:tcW w:w="1258" w:type="dxa"/>
          </w:tcPr>
          <w:p>
            <w:pPr>
              <w:pStyle w:val="22"/>
              <w:spacing w:before="156" w:line="220" w:lineRule="exact"/>
              <w:ind w:right="47"/>
              <w:jc w:val="right"/>
              <w:rPr>
                <w:sz w:val="21"/>
              </w:rPr>
            </w:pPr>
            <w:r>
              <w:rPr>
                <w:sz w:val="21"/>
              </w:rPr>
              <w:t>职务：</w:t>
            </w:r>
          </w:p>
        </w:tc>
      </w:tr>
    </w:tbl>
    <w:p>
      <w:pPr>
        <w:pStyle w:val="2"/>
        <w:spacing w:before="7"/>
        <w:rPr>
          <w:sz w:val="26"/>
        </w:rPr>
      </w:pPr>
    </w:p>
    <w:p>
      <w:pPr>
        <w:pStyle w:val="2"/>
        <w:spacing w:before="1"/>
        <w:ind w:left="392"/>
      </w:pPr>
      <w:r>
        <w:t>代理人无转委托权。特此委托。</w:t>
      </w:r>
    </w:p>
    <w:p>
      <w:pPr>
        <w:pStyle w:val="2"/>
        <w:rPr>
          <w:sz w:val="11"/>
        </w:rPr>
      </w:pPr>
      <w:r>
        <w:pict>
          <v:shape id="_x0000_s2102" o:spid="_x0000_s2102" o:spt="202" type="#_x0000_t202" style="position:absolute;left:0pt;margin-left:60pt;margin-top:9.4pt;height:85.8pt;width:153pt;mso-position-horizontal-relative:page;mso-wrap-distance-bottom:0pt;mso-wrap-distance-top:0pt;z-index:-251648000;mso-width-relative:page;mso-height-relative:page;" filled="f" stroked="t" coordsize="21600,21600">
            <v:path/>
            <v:fill on="f" focussize="0,0"/>
            <v:stroke weight="0.72pt" color="#000000"/>
            <v:imagedata o:title=""/>
            <o:lock v:ext="edit"/>
            <v:textbox inset="0mm,0mm,0mm,0mm">
              <w:txbxContent>
                <w:p>
                  <w:pPr>
                    <w:pStyle w:val="2"/>
                    <w:rPr>
                      <w:sz w:val="20"/>
                    </w:rPr>
                  </w:pPr>
                </w:p>
                <w:p>
                  <w:pPr>
                    <w:pStyle w:val="2"/>
                    <w:rPr>
                      <w:sz w:val="20"/>
                    </w:rPr>
                  </w:pPr>
                </w:p>
                <w:p>
                  <w:pPr>
                    <w:pStyle w:val="2"/>
                    <w:spacing w:before="144" w:line="388" w:lineRule="auto"/>
                    <w:ind w:left="1101" w:right="153" w:hanging="946"/>
                  </w:pPr>
                  <w:r>
                    <w:t>法定代表人授权委托人身份证复印于此</w:t>
                  </w:r>
                </w:p>
              </w:txbxContent>
            </v:textbox>
            <w10:wrap type="topAndBottom"/>
          </v:shape>
        </w:pict>
      </w:r>
    </w:p>
    <w:p>
      <w:pPr>
        <w:pStyle w:val="2"/>
        <w:tabs>
          <w:tab w:val="left" w:pos="3858"/>
        </w:tabs>
        <w:spacing w:before="108"/>
        <w:ind w:left="392"/>
        <w:rPr>
          <w:rFonts w:ascii="Times New Roman" w:eastAsia="Times New Roman"/>
        </w:rPr>
      </w:pPr>
      <w:r>
        <w:rPr>
          <w:spacing w:val="-1"/>
        </w:rPr>
        <w:t>投标</w:t>
      </w:r>
      <w:r>
        <w:rPr>
          <w:spacing w:val="-3"/>
        </w:rPr>
        <w:t>人</w:t>
      </w:r>
      <w:r>
        <w:rPr>
          <w:spacing w:val="-1"/>
        </w:rPr>
        <w:t>（</w:t>
      </w:r>
      <w:r>
        <w:rPr>
          <w:spacing w:val="-3"/>
        </w:rPr>
        <w:t>盖</w:t>
      </w:r>
      <w:r>
        <w:rPr>
          <w:spacing w:val="-1"/>
        </w:rPr>
        <w:t>章</w:t>
      </w:r>
      <w:r>
        <w:t>）：</w:t>
      </w:r>
      <w:r>
        <w:rPr>
          <w:rFonts w:ascii="Times New Roman" w:eastAsia="Times New Roman"/>
          <w:u w:val="single"/>
        </w:rPr>
        <w:t xml:space="preserve"> </w:t>
      </w:r>
      <w:r>
        <w:rPr>
          <w:rFonts w:ascii="Times New Roman" w:eastAsia="Times New Roman"/>
          <w:u w:val="single"/>
        </w:rPr>
        <w:tab/>
      </w:r>
    </w:p>
    <w:p>
      <w:pPr>
        <w:pStyle w:val="2"/>
        <w:spacing w:before="3"/>
        <w:rPr>
          <w:rFonts w:ascii="Times New Roman"/>
          <w:sz w:val="20"/>
        </w:rPr>
      </w:pPr>
    </w:p>
    <w:p>
      <w:pPr>
        <w:pStyle w:val="2"/>
        <w:tabs>
          <w:tab w:val="left" w:pos="3963"/>
        </w:tabs>
        <w:spacing w:before="79"/>
        <w:ind w:left="392"/>
        <w:rPr>
          <w:rFonts w:ascii="Times New Roman" w:eastAsia="Times New Roman"/>
        </w:rPr>
      </w:pPr>
      <w:r>
        <w:rPr>
          <w:spacing w:val="-1"/>
        </w:rPr>
        <w:t>法</w:t>
      </w:r>
      <w:r>
        <w:t>定</w:t>
      </w:r>
      <w:r>
        <w:rPr>
          <w:spacing w:val="-3"/>
        </w:rPr>
        <w:t>代</w:t>
      </w:r>
      <w:r>
        <w:t>表</w:t>
      </w:r>
      <w:r>
        <w:rPr>
          <w:spacing w:val="-3"/>
        </w:rPr>
        <w:t>人</w:t>
      </w:r>
      <w:r>
        <w:t>（</w:t>
      </w:r>
      <w:r>
        <w:rPr>
          <w:spacing w:val="-3"/>
        </w:rPr>
        <w:t>签</w:t>
      </w:r>
      <w:r>
        <w:t>字</w:t>
      </w:r>
      <w:r>
        <w:rPr>
          <w:spacing w:val="-3"/>
        </w:rPr>
        <w:t>或</w:t>
      </w:r>
      <w:r>
        <w:t>盖</w:t>
      </w:r>
      <w:r>
        <w:rPr>
          <w:spacing w:val="-3"/>
        </w:rPr>
        <w:t>章</w:t>
      </w:r>
      <w:r>
        <w:t>）：</w:t>
      </w:r>
      <w:r>
        <w:rPr>
          <w:rFonts w:ascii="Times New Roman" w:eastAsia="Times New Roman"/>
          <w:u w:val="single"/>
        </w:rPr>
        <w:t xml:space="preserve"> </w:t>
      </w:r>
      <w:r>
        <w:rPr>
          <w:rFonts w:ascii="Times New Roman" w:eastAsia="Times New Roman"/>
          <w:u w:val="single"/>
        </w:rPr>
        <w:tab/>
      </w:r>
    </w:p>
    <w:p>
      <w:pPr>
        <w:pStyle w:val="2"/>
        <w:spacing w:before="10"/>
        <w:rPr>
          <w:rFonts w:ascii="Times New Roman"/>
          <w:sz w:val="20"/>
        </w:rPr>
      </w:pPr>
    </w:p>
    <w:p>
      <w:pPr>
        <w:pStyle w:val="2"/>
        <w:tabs>
          <w:tab w:val="left" w:pos="1655"/>
          <w:tab w:val="left" w:pos="2389"/>
          <w:tab w:val="left" w:pos="3018"/>
        </w:tabs>
        <w:spacing w:before="71"/>
        <w:ind w:left="392"/>
      </w:pPr>
      <w:r>
        <w:t>日期</w:t>
      </w:r>
      <w:r>
        <w:rPr>
          <w:spacing w:val="-3"/>
        </w:rPr>
        <w:t>：</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spacing w:after="0"/>
        <w:sectPr>
          <w:pgSz w:w="11910" w:h="16840"/>
          <w:pgMar w:top="1260" w:right="580" w:bottom="1660" w:left="740" w:header="0" w:footer="1479" w:gutter="0"/>
          <w:pgNumType w:fmt="decimal"/>
          <w:cols w:space="720" w:num="1"/>
        </w:sectPr>
      </w:pPr>
    </w:p>
    <w:p>
      <w:pPr>
        <w:pStyle w:val="5"/>
      </w:pPr>
      <w:r>
        <w:t>格式三：</w:t>
      </w:r>
    </w:p>
    <w:p>
      <w:pPr>
        <w:pStyle w:val="2"/>
        <w:spacing w:before="5"/>
        <w:rPr>
          <w:sz w:val="13"/>
        </w:rPr>
      </w:pPr>
    </w:p>
    <w:p>
      <w:pPr>
        <w:spacing w:before="61"/>
        <w:ind w:left="412" w:right="429" w:firstLine="0"/>
        <w:jc w:val="center"/>
        <w:rPr>
          <w:b/>
          <w:sz w:val="28"/>
        </w:rPr>
      </w:pPr>
      <w:r>
        <w:rPr>
          <w:b/>
          <w:sz w:val="28"/>
        </w:rPr>
        <w:t>投标函</w:t>
      </w:r>
    </w:p>
    <w:p>
      <w:pPr>
        <w:pStyle w:val="2"/>
        <w:spacing w:before="9"/>
        <w:rPr>
          <w:b/>
          <w:sz w:val="9"/>
        </w:rPr>
      </w:pPr>
    </w:p>
    <w:p>
      <w:pPr>
        <w:pStyle w:val="2"/>
        <w:spacing w:before="72"/>
        <w:ind w:left="392"/>
      </w:pPr>
      <w:r>
        <w:pict>
          <v:line id="_x0000_s2103" o:spid="_x0000_s2103" o:spt="20" style="position:absolute;left:0pt;margin-left:56.6pt;margin-top:15.8pt;height:0pt;width:73.55pt;mso-position-horizontal-relative:page;z-index:251669504;mso-width-relative:page;mso-height-relative:page;" stroked="t" coordsize="21600,21600">
            <v:path arrowok="t"/>
            <v:fill focussize="0,0"/>
            <v:stroke weight="0.6pt" color="#000000"/>
            <v:imagedata o:title=""/>
            <o:lock v:ext="edit"/>
          </v:line>
        </w:pict>
      </w:r>
      <w:r>
        <w:t>（招标人名称）：</w:t>
      </w:r>
    </w:p>
    <w:p>
      <w:pPr>
        <w:pStyle w:val="2"/>
        <w:spacing w:before="10"/>
        <w:rPr>
          <w:sz w:val="14"/>
        </w:rPr>
      </w:pPr>
    </w:p>
    <w:p>
      <w:pPr>
        <w:pStyle w:val="2"/>
        <w:spacing w:line="304" w:lineRule="auto"/>
        <w:ind w:left="392" w:right="420" w:firstLine="419"/>
      </w:pPr>
      <w:r>
        <w:pict>
          <v:line id="_x0000_s2104" o:spid="_x0000_s2104" o:spt="20" style="position:absolute;left:0pt;margin-left:130.15pt;margin-top:12.2pt;height:0pt;width:63pt;mso-position-horizontal-relative:page;z-index:-251653120;mso-width-relative:page;mso-height-relative:page;" stroked="t" coordsize="21600,21600">
            <v:path arrowok="t"/>
            <v:fill focussize="0,0"/>
            <v:stroke weight="0.6pt" color="#000000"/>
            <v:imagedata o:title=""/>
            <o:lock v:ext="edit"/>
          </v:line>
        </w:pict>
      </w:r>
      <w:r>
        <w:t>根据贵方为（项目名称）项目招标采购货物及服务的招标文件,签字人</w:t>
      </w:r>
      <w:r>
        <w:rPr>
          <w:u w:val="single"/>
        </w:rPr>
        <w:t>（姓名、职务）</w:t>
      </w:r>
      <w:r>
        <w:t>经正式授权并代表投标人</w:t>
      </w:r>
      <w:r>
        <w:rPr>
          <w:u w:val="single"/>
        </w:rPr>
        <w:t>（投标人名称、地址）</w:t>
      </w:r>
      <w:r>
        <w:t>提交投标文件正本</w:t>
      </w:r>
      <w:r>
        <w:rPr>
          <w:u w:val="single"/>
        </w:rPr>
        <w:t xml:space="preserve"> </w:t>
      </w:r>
      <w:r>
        <w:t>份及副本</w:t>
      </w:r>
      <w:r>
        <w:rPr>
          <w:u w:val="single"/>
        </w:rPr>
        <w:t xml:space="preserve">  </w:t>
      </w:r>
      <w:r>
        <w:t>份；</w:t>
      </w:r>
    </w:p>
    <w:p>
      <w:pPr>
        <w:pStyle w:val="2"/>
        <w:spacing w:before="118"/>
        <w:ind w:left="812"/>
      </w:pPr>
      <w:r>
        <w:t>据此函，签字代表宣布同意如下：</w:t>
      </w:r>
    </w:p>
    <w:p>
      <w:pPr>
        <w:pStyle w:val="2"/>
        <w:tabs>
          <w:tab w:val="left" w:pos="9949"/>
        </w:tabs>
        <w:spacing w:before="69"/>
        <w:ind w:left="812"/>
        <w:rPr>
          <w:rFonts w:ascii="Times New Roman" w:eastAsia="Times New Roman"/>
        </w:rPr>
      </w:pPr>
      <w:r>
        <w:t>1.</w:t>
      </w:r>
      <w:r>
        <w:rPr>
          <w:spacing w:val="39"/>
        </w:rPr>
        <w:t xml:space="preserve"> </w:t>
      </w:r>
      <w:r>
        <w:rPr>
          <w:spacing w:val="-3"/>
        </w:rPr>
        <w:t>所</w:t>
      </w:r>
      <w:r>
        <w:t>附</w:t>
      </w:r>
      <w:r>
        <w:rPr>
          <w:spacing w:val="-3"/>
        </w:rPr>
        <w:t>投</w:t>
      </w:r>
      <w:r>
        <w:t>标</w:t>
      </w:r>
      <w:r>
        <w:rPr>
          <w:spacing w:val="-3"/>
        </w:rPr>
        <w:t>报</w:t>
      </w:r>
      <w:r>
        <w:t>价</w:t>
      </w:r>
      <w:r>
        <w:rPr>
          <w:spacing w:val="-3"/>
        </w:rPr>
        <w:t>明</w:t>
      </w:r>
      <w:r>
        <w:t>细</w:t>
      </w:r>
      <w:r>
        <w:rPr>
          <w:spacing w:val="-3"/>
        </w:rPr>
        <w:t>表中</w:t>
      </w:r>
      <w:r>
        <w:t>规定</w:t>
      </w:r>
      <w:r>
        <w:rPr>
          <w:spacing w:val="-3"/>
        </w:rPr>
        <w:t>的</w:t>
      </w:r>
      <w:r>
        <w:t>应</w:t>
      </w:r>
      <w:r>
        <w:rPr>
          <w:spacing w:val="-3"/>
        </w:rPr>
        <w:t>提</w:t>
      </w:r>
      <w:r>
        <w:t>交</w:t>
      </w:r>
      <w:r>
        <w:rPr>
          <w:spacing w:val="-3"/>
        </w:rPr>
        <w:t>和</w:t>
      </w:r>
      <w:r>
        <w:t>交</w:t>
      </w:r>
      <w:r>
        <w:rPr>
          <w:spacing w:val="-3"/>
        </w:rPr>
        <w:t>付</w:t>
      </w:r>
      <w:r>
        <w:t>的</w:t>
      </w:r>
      <w:r>
        <w:rPr>
          <w:spacing w:val="-3"/>
        </w:rPr>
        <w:t>货</w:t>
      </w:r>
      <w:r>
        <w:t>物的</w:t>
      </w:r>
      <w:r>
        <w:rPr>
          <w:spacing w:val="-3"/>
        </w:rPr>
        <w:t>投</w:t>
      </w:r>
      <w:r>
        <w:t>标</w:t>
      </w:r>
      <w:r>
        <w:rPr>
          <w:spacing w:val="-3"/>
        </w:rPr>
        <w:t>总</w:t>
      </w:r>
      <w:r>
        <w:t>价</w:t>
      </w:r>
      <w:r>
        <w:rPr>
          <w:spacing w:val="-3"/>
        </w:rPr>
        <w:t>为</w:t>
      </w:r>
      <w:r>
        <w:t>人</w:t>
      </w:r>
      <w:r>
        <w:rPr>
          <w:spacing w:val="-3"/>
        </w:rPr>
        <w:t>民</w:t>
      </w:r>
      <w:r>
        <w:t>币</w:t>
      </w:r>
      <w:r>
        <w:rPr>
          <w:spacing w:val="-3"/>
        </w:rPr>
        <w:t>大</w:t>
      </w:r>
      <w:r>
        <w:t>写：</w:t>
      </w:r>
      <w:r>
        <w:rPr>
          <w:rFonts w:ascii="Times New Roman" w:eastAsia="Times New Roman"/>
          <w:u w:val="single"/>
        </w:rPr>
        <w:t xml:space="preserve"> </w:t>
      </w:r>
      <w:r>
        <w:rPr>
          <w:rFonts w:ascii="Times New Roman" w:eastAsia="Times New Roman"/>
          <w:u w:val="single"/>
        </w:rPr>
        <w:tab/>
      </w:r>
    </w:p>
    <w:p>
      <w:pPr>
        <w:pStyle w:val="2"/>
        <w:tabs>
          <w:tab w:val="left" w:pos="2075"/>
          <w:tab w:val="left" w:pos="4067"/>
        </w:tabs>
        <w:spacing w:before="72" w:line="304" w:lineRule="auto"/>
        <w:ind w:left="812" w:right="5882" w:hanging="420"/>
        <w:rPr>
          <w:rFonts w:ascii="Times New Roman" w:eastAsia="Times New Roman"/>
        </w:rPr>
      </w:pP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ab/>
      </w:r>
      <w:r>
        <w:rPr>
          <w:spacing w:val="-3"/>
        </w:rPr>
        <w:t>，</w:t>
      </w:r>
      <w:r>
        <w:t>小</w:t>
      </w:r>
      <w:r>
        <w:rPr>
          <w:spacing w:val="-3"/>
        </w:rPr>
        <w:t>写</w:t>
      </w:r>
      <w:r>
        <w:t>￥：</w:t>
      </w:r>
      <w:r>
        <w:rPr>
          <w:u w:val="single"/>
        </w:rPr>
        <w:t xml:space="preserve"> </w:t>
      </w:r>
      <w:r>
        <w:rPr>
          <w:u w:val="single"/>
        </w:rPr>
        <w:tab/>
      </w:r>
      <w:r>
        <w:t>元</w:t>
      </w:r>
      <w:r>
        <w:rPr>
          <w:spacing w:val="-3"/>
        </w:rPr>
        <w:t>）</w:t>
      </w:r>
      <w:r>
        <w:rPr>
          <w:spacing w:val="-16"/>
        </w:rPr>
        <w:t>。</w:t>
      </w:r>
      <w:r>
        <w:t>2.项</w:t>
      </w:r>
      <w:r>
        <w:rPr>
          <w:spacing w:val="-3"/>
        </w:rPr>
        <w:t>目</w:t>
      </w:r>
      <w:r>
        <w:t>负</w:t>
      </w:r>
      <w:r>
        <w:rPr>
          <w:spacing w:val="-3"/>
        </w:rPr>
        <w:t>责</w:t>
      </w:r>
      <w:r>
        <w:t>人</w:t>
      </w:r>
      <w:r>
        <w:rPr>
          <w:spacing w:val="-3"/>
        </w:rPr>
        <w:t>：</w:t>
      </w:r>
      <w:r>
        <w:rPr>
          <w:rFonts w:ascii="Times New Roman" w:eastAsia="Times New Roman"/>
          <w:u w:val="single"/>
        </w:rPr>
        <w:t xml:space="preserve"> </w:t>
      </w:r>
      <w:r>
        <w:rPr>
          <w:rFonts w:ascii="Times New Roman" w:eastAsia="Times New Roman"/>
          <w:u w:val="single"/>
        </w:rPr>
        <w:tab/>
      </w:r>
    </w:p>
    <w:p>
      <w:pPr>
        <w:pStyle w:val="21"/>
        <w:numPr>
          <w:ilvl w:val="0"/>
          <w:numId w:val="32"/>
        </w:numPr>
        <w:tabs>
          <w:tab w:val="left" w:pos="1025"/>
          <w:tab w:val="left" w:pos="3966"/>
          <w:tab w:val="left" w:pos="4806"/>
        </w:tabs>
        <w:spacing w:before="0" w:after="0" w:line="304" w:lineRule="auto"/>
        <w:ind w:left="392" w:right="523" w:firstLine="419"/>
        <w:jc w:val="left"/>
        <w:rPr>
          <w:sz w:val="21"/>
        </w:rPr>
      </w:pPr>
      <w:r>
        <w:rPr>
          <w:sz w:val="21"/>
        </w:rPr>
        <w:t>我</w:t>
      </w:r>
      <w:r>
        <w:rPr>
          <w:spacing w:val="-3"/>
          <w:sz w:val="21"/>
        </w:rPr>
        <w:t>方</w:t>
      </w:r>
      <w:r>
        <w:rPr>
          <w:sz w:val="21"/>
        </w:rPr>
        <w:t>承</w:t>
      </w:r>
      <w:r>
        <w:rPr>
          <w:spacing w:val="-3"/>
          <w:sz w:val="21"/>
        </w:rPr>
        <w:t>诺</w:t>
      </w:r>
      <w:r>
        <w:rPr>
          <w:sz w:val="21"/>
        </w:rPr>
        <w:t>在</w:t>
      </w:r>
      <w:r>
        <w:rPr>
          <w:spacing w:val="-3"/>
          <w:sz w:val="21"/>
        </w:rPr>
        <w:t>招</w:t>
      </w:r>
      <w:r>
        <w:rPr>
          <w:sz w:val="21"/>
        </w:rPr>
        <w:t>标</w:t>
      </w:r>
      <w:r>
        <w:rPr>
          <w:spacing w:val="-3"/>
          <w:sz w:val="21"/>
        </w:rPr>
        <w:t>人</w:t>
      </w:r>
      <w:r>
        <w:rPr>
          <w:sz w:val="21"/>
        </w:rPr>
        <w:t>发</w:t>
      </w:r>
      <w:r>
        <w:rPr>
          <w:spacing w:val="-3"/>
          <w:sz w:val="21"/>
        </w:rPr>
        <w:t>出</w:t>
      </w:r>
      <w:r>
        <w:rPr>
          <w:sz w:val="21"/>
        </w:rPr>
        <w:t>书面</w:t>
      </w:r>
      <w:r>
        <w:rPr>
          <w:spacing w:val="-3"/>
          <w:sz w:val="21"/>
        </w:rPr>
        <w:t>通</w:t>
      </w:r>
      <w:r>
        <w:rPr>
          <w:sz w:val="21"/>
        </w:rPr>
        <w:t>知</w:t>
      </w:r>
      <w:r>
        <w:rPr>
          <w:spacing w:val="-3"/>
          <w:sz w:val="21"/>
        </w:rPr>
        <w:t>后</w:t>
      </w:r>
      <w:r>
        <w:rPr>
          <w:sz w:val="21"/>
        </w:rPr>
        <w:t>的</w:t>
      </w:r>
      <w:r>
        <w:rPr>
          <w:sz w:val="21"/>
          <w:u w:val="single"/>
        </w:rPr>
        <w:t xml:space="preserve"> </w:t>
      </w:r>
      <w:r>
        <w:rPr>
          <w:sz w:val="21"/>
          <w:u w:val="single"/>
        </w:rPr>
        <w:tab/>
      </w:r>
      <w:r>
        <w:rPr>
          <w:spacing w:val="-3"/>
          <w:sz w:val="21"/>
        </w:rPr>
        <w:t>日</w:t>
      </w:r>
      <w:r>
        <w:rPr>
          <w:sz w:val="21"/>
        </w:rPr>
        <w:t>历</w:t>
      </w:r>
      <w:r>
        <w:rPr>
          <w:spacing w:val="-3"/>
          <w:sz w:val="21"/>
        </w:rPr>
        <w:t>天</w:t>
      </w:r>
      <w:r>
        <w:rPr>
          <w:sz w:val="21"/>
        </w:rPr>
        <w:t>内完</w:t>
      </w:r>
      <w:r>
        <w:rPr>
          <w:spacing w:val="-3"/>
          <w:sz w:val="21"/>
        </w:rPr>
        <w:t>成</w:t>
      </w:r>
      <w:r>
        <w:rPr>
          <w:sz w:val="21"/>
        </w:rPr>
        <w:t>所</w:t>
      </w:r>
      <w:r>
        <w:rPr>
          <w:spacing w:val="-3"/>
          <w:sz w:val="21"/>
        </w:rPr>
        <w:t>有</w:t>
      </w:r>
      <w:r>
        <w:rPr>
          <w:sz w:val="21"/>
        </w:rPr>
        <w:t>设</w:t>
      </w:r>
      <w:r>
        <w:rPr>
          <w:spacing w:val="-3"/>
          <w:sz w:val="21"/>
        </w:rPr>
        <w:t>备</w:t>
      </w:r>
      <w:r>
        <w:rPr>
          <w:sz w:val="21"/>
        </w:rPr>
        <w:t>的</w:t>
      </w:r>
      <w:r>
        <w:rPr>
          <w:spacing w:val="-3"/>
          <w:sz w:val="21"/>
        </w:rPr>
        <w:t>供</w:t>
      </w:r>
      <w:r>
        <w:rPr>
          <w:sz w:val="21"/>
        </w:rPr>
        <w:t>货</w:t>
      </w:r>
      <w:r>
        <w:rPr>
          <w:spacing w:val="-3"/>
          <w:sz w:val="21"/>
        </w:rPr>
        <w:t>、</w:t>
      </w:r>
      <w:r>
        <w:rPr>
          <w:sz w:val="21"/>
        </w:rPr>
        <w:t>安装</w:t>
      </w:r>
      <w:r>
        <w:rPr>
          <w:spacing w:val="-3"/>
          <w:sz w:val="21"/>
        </w:rPr>
        <w:t>、</w:t>
      </w:r>
      <w:r>
        <w:rPr>
          <w:sz w:val="21"/>
        </w:rPr>
        <w:t>调</w:t>
      </w:r>
      <w:r>
        <w:rPr>
          <w:spacing w:val="-3"/>
          <w:sz w:val="21"/>
        </w:rPr>
        <w:t>试</w:t>
      </w:r>
      <w:r>
        <w:rPr>
          <w:sz w:val="21"/>
        </w:rPr>
        <w:t>并</w:t>
      </w:r>
      <w:r>
        <w:rPr>
          <w:spacing w:val="-3"/>
          <w:sz w:val="21"/>
        </w:rPr>
        <w:t>验</w:t>
      </w:r>
      <w:r>
        <w:rPr>
          <w:sz w:val="21"/>
        </w:rPr>
        <w:t>收</w:t>
      </w:r>
      <w:r>
        <w:rPr>
          <w:spacing w:val="-3"/>
          <w:sz w:val="21"/>
        </w:rPr>
        <w:t>合</w:t>
      </w:r>
      <w:r>
        <w:rPr>
          <w:sz w:val="21"/>
        </w:rPr>
        <w:t>格</w:t>
      </w:r>
      <w:r>
        <w:rPr>
          <w:spacing w:val="-11"/>
          <w:sz w:val="21"/>
        </w:rPr>
        <w:t>。</w:t>
      </w:r>
      <w:r>
        <w:rPr>
          <w:sz w:val="21"/>
        </w:rPr>
        <w:t>我单</w:t>
      </w:r>
      <w:r>
        <w:rPr>
          <w:spacing w:val="-3"/>
          <w:sz w:val="21"/>
        </w:rPr>
        <w:t>位</w:t>
      </w:r>
      <w:r>
        <w:rPr>
          <w:sz w:val="21"/>
        </w:rPr>
        <w:t>保</w:t>
      </w:r>
      <w:r>
        <w:rPr>
          <w:spacing w:val="-3"/>
          <w:sz w:val="21"/>
        </w:rPr>
        <w:t>证</w:t>
      </w:r>
      <w:r>
        <w:rPr>
          <w:sz w:val="21"/>
        </w:rPr>
        <w:t>所</w:t>
      </w:r>
      <w:r>
        <w:rPr>
          <w:spacing w:val="-3"/>
          <w:sz w:val="21"/>
        </w:rPr>
        <w:t>提</w:t>
      </w:r>
      <w:r>
        <w:rPr>
          <w:sz w:val="21"/>
        </w:rPr>
        <w:t>供</w:t>
      </w:r>
      <w:r>
        <w:rPr>
          <w:spacing w:val="-3"/>
          <w:sz w:val="21"/>
        </w:rPr>
        <w:t>的</w:t>
      </w:r>
      <w:r>
        <w:rPr>
          <w:sz w:val="21"/>
        </w:rPr>
        <w:t>产</w:t>
      </w:r>
      <w:r>
        <w:rPr>
          <w:spacing w:val="-3"/>
          <w:sz w:val="21"/>
        </w:rPr>
        <w:t>品</w:t>
      </w:r>
      <w:r>
        <w:rPr>
          <w:sz w:val="21"/>
        </w:rPr>
        <w:t>质量</w:t>
      </w:r>
      <w:r>
        <w:rPr>
          <w:spacing w:val="-3"/>
          <w:sz w:val="21"/>
        </w:rPr>
        <w:t>达</w:t>
      </w:r>
      <w:r>
        <w:rPr>
          <w:sz w:val="21"/>
        </w:rPr>
        <w:t>到</w:t>
      </w:r>
      <w:r>
        <w:rPr>
          <w:sz w:val="21"/>
          <w:u w:val="single"/>
        </w:rPr>
        <w:t xml:space="preserve"> </w:t>
      </w:r>
      <w:r>
        <w:rPr>
          <w:sz w:val="21"/>
          <w:u w:val="single"/>
        </w:rPr>
        <w:tab/>
      </w:r>
      <w:r>
        <w:rPr>
          <w:spacing w:val="-3"/>
          <w:sz w:val="21"/>
        </w:rPr>
        <w:t>标</w:t>
      </w:r>
      <w:r>
        <w:rPr>
          <w:sz w:val="21"/>
        </w:rPr>
        <w:t>准。</w:t>
      </w:r>
    </w:p>
    <w:p>
      <w:pPr>
        <w:pStyle w:val="21"/>
        <w:numPr>
          <w:ilvl w:val="0"/>
          <w:numId w:val="32"/>
        </w:numPr>
        <w:tabs>
          <w:tab w:val="left" w:pos="1025"/>
        </w:tabs>
        <w:spacing w:before="0" w:after="0" w:line="302" w:lineRule="auto"/>
        <w:ind w:left="392" w:right="405" w:firstLine="419"/>
        <w:jc w:val="left"/>
        <w:rPr>
          <w:sz w:val="21"/>
        </w:rPr>
      </w:pPr>
      <w:r>
        <w:rPr>
          <w:spacing w:val="-5"/>
          <w:sz w:val="21"/>
        </w:rPr>
        <w:t>我方已详细审查全部招标文件，包括有关澄清和补充说明</w:t>
      </w:r>
      <w:r>
        <w:rPr>
          <w:spacing w:val="-3"/>
          <w:sz w:val="21"/>
        </w:rPr>
        <w:t>（</w:t>
      </w:r>
      <w:r>
        <w:rPr>
          <w:spacing w:val="-2"/>
          <w:sz w:val="21"/>
        </w:rPr>
        <w:t>如果有的话</w:t>
      </w:r>
      <w:r>
        <w:rPr>
          <w:spacing w:val="-46"/>
          <w:sz w:val="21"/>
        </w:rPr>
        <w:t>）</w:t>
      </w:r>
      <w:r>
        <w:rPr>
          <w:spacing w:val="-3"/>
          <w:sz w:val="21"/>
        </w:rPr>
        <w:t>。我们完全理解并同意放弃对这方面有不明及误解的权力。</w:t>
      </w:r>
    </w:p>
    <w:p>
      <w:pPr>
        <w:pStyle w:val="21"/>
        <w:numPr>
          <w:ilvl w:val="0"/>
          <w:numId w:val="32"/>
        </w:numPr>
        <w:tabs>
          <w:tab w:val="left" w:pos="1025"/>
        </w:tabs>
        <w:spacing w:before="115" w:after="0" w:line="304" w:lineRule="auto"/>
        <w:ind w:left="392" w:right="420" w:firstLine="419"/>
        <w:jc w:val="left"/>
        <w:rPr>
          <w:sz w:val="21"/>
        </w:rPr>
      </w:pPr>
      <w:r>
        <w:rPr>
          <w:spacing w:val="-5"/>
          <w:sz w:val="21"/>
        </w:rPr>
        <w:t xml:space="preserve">本投标文件有效期为自开标日起 </w:t>
      </w:r>
      <w:r>
        <w:rPr>
          <w:sz w:val="21"/>
        </w:rPr>
        <w:t>45</w:t>
      </w:r>
      <w:r>
        <w:rPr>
          <w:spacing w:val="-7"/>
          <w:sz w:val="21"/>
        </w:rPr>
        <w:t xml:space="preserve"> 个日历天。在这期间，本投标文件将始终对我方具有约束力，并</w:t>
      </w:r>
      <w:r>
        <w:rPr>
          <w:spacing w:val="-5"/>
          <w:sz w:val="21"/>
        </w:rPr>
        <w:t>可随时被接受。本次招标文件和本投标文件</w:t>
      </w:r>
      <w:r>
        <w:rPr>
          <w:spacing w:val="-3"/>
          <w:sz w:val="21"/>
        </w:rPr>
        <w:t>（</w:t>
      </w:r>
      <w:r>
        <w:rPr>
          <w:spacing w:val="-2"/>
          <w:sz w:val="21"/>
        </w:rPr>
        <w:t>含承诺书</w:t>
      </w:r>
      <w:r>
        <w:rPr>
          <w:spacing w:val="-3"/>
          <w:sz w:val="21"/>
        </w:rPr>
        <w:t>）将作为买卖合同的附件。</w:t>
      </w:r>
    </w:p>
    <w:p>
      <w:pPr>
        <w:pStyle w:val="21"/>
        <w:numPr>
          <w:ilvl w:val="0"/>
          <w:numId w:val="32"/>
        </w:numPr>
        <w:tabs>
          <w:tab w:val="left" w:pos="1025"/>
        </w:tabs>
        <w:spacing w:before="116" w:after="0" w:line="240" w:lineRule="auto"/>
        <w:ind w:left="1024" w:right="0" w:hanging="213"/>
        <w:jc w:val="left"/>
        <w:rPr>
          <w:sz w:val="21"/>
        </w:rPr>
      </w:pPr>
      <w:r>
        <w:rPr>
          <w:spacing w:val="-3"/>
          <w:sz w:val="21"/>
        </w:rPr>
        <w:t>如果在规定的开标时间后，我方在投标有效期内撤回或撤销投标，投标保证金将被贵方没收。</w:t>
      </w:r>
    </w:p>
    <w:p>
      <w:pPr>
        <w:pStyle w:val="2"/>
        <w:spacing w:before="12"/>
        <w:rPr>
          <w:sz w:val="14"/>
        </w:rPr>
      </w:pPr>
    </w:p>
    <w:p>
      <w:pPr>
        <w:pStyle w:val="21"/>
        <w:numPr>
          <w:ilvl w:val="0"/>
          <w:numId w:val="32"/>
        </w:numPr>
        <w:tabs>
          <w:tab w:val="left" w:pos="1025"/>
        </w:tabs>
        <w:spacing w:before="0" w:after="0" w:line="240" w:lineRule="auto"/>
        <w:ind w:left="1024" w:right="0" w:hanging="213"/>
        <w:jc w:val="left"/>
        <w:rPr>
          <w:sz w:val="21"/>
        </w:rPr>
      </w:pPr>
      <w:r>
        <w:rPr>
          <w:spacing w:val="-3"/>
          <w:sz w:val="21"/>
        </w:rPr>
        <w:t>我方愿意向招标人提供与本次招标的相关资料，并对其真实性、合法性、有效性负责。</w:t>
      </w:r>
    </w:p>
    <w:p>
      <w:pPr>
        <w:pStyle w:val="2"/>
        <w:rPr>
          <w:sz w:val="15"/>
        </w:rPr>
      </w:pPr>
    </w:p>
    <w:p>
      <w:pPr>
        <w:pStyle w:val="21"/>
        <w:numPr>
          <w:ilvl w:val="0"/>
          <w:numId w:val="32"/>
        </w:numPr>
        <w:tabs>
          <w:tab w:val="left" w:pos="1025"/>
        </w:tabs>
        <w:spacing w:before="0" w:after="0" w:line="240" w:lineRule="auto"/>
        <w:ind w:left="1024" w:right="0" w:hanging="213"/>
        <w:jc w:val="left"/>
        <w:rPr>
          <w:sz w:val="21"/>
        </w:rPr>
      </w:pPr>
      <w:r>
        <w:rPr>
          <w:spacing w:val="-3"/>
          <w:sz w:val="21"/>
        </w:rPr>
        <w:t>我方将严格履行本投标文件中的全部承诺和责任，并遵守招标文件中对投标人的所有规定。</w:t>
      </w:r>
    </w:p>
    <w:p>
      <w:pPr>
        <w:pStyle w:val="2"/>
        <w:spacing w:before="10"/>
        <w:rPr>
          <w:sz w:val="14"/>
        </w:rPr>
      </w:pPr>
    </w:p>
    <w:p>
      <w:pPr>
        <w:pStyle w:val="21"/>
        <w:numPr>
          <w:ilvl w:val="0"/>
          <w:numId w:val="32"/>
        </w:numPr>
        <w:tabs>
          <w:tab w:val="left" w:pos="1025"/>
        </w:tabs>
        <w:spacing w:before="0" w:after="0" w:line="304" w:lineRule="auto"/>
        <w:ind w:left="392" w:right="734" w:firstLine="419"/>
        <w:jc w:val="left"/>
        <w:rPr>
          <w:sz w:val="21"/>
        </w:rPr>
      </w:pPr>
      <w:r>
        <w:rPr>
          <w:spacing w:val="-3"/>
          <w:sz w:val="21"/>
        </w:rPr>
        <w:t>我方完全理解招标人有保留在授标之前任何时候根据评标委员会的意见接受或拒绝任何投标的权力，并完全理解招标人对此无解释的义务。</w:t>
      </w:r>
    </w:p>
    <w:p>
      <w:pPr>
        <w:pStyle w:val="21"/>
        <w:numPr>
          <w:ilvl w:val="0"/>
          <w:numId w:val="32"/>
        </w:numPr>
        <w:tabs>
          <w:tab w:val="left" w:pos="1131"/>
        </w:tabs>
        <w:spacing w:before="118" w:after="0" w:line="240" w:lineRule="auto"/>
        <w:ind w:left="1130" w:right="0" w:hanging="319"/>
        <w:jc w:val="left"/>
        <w:rPr>
          <w:sz w:val="21"/>
        </w:rPr>
      </w:pPr>
      <w:r>
        <w:rPr>
          <w:spacing w:val="-3"/>
          <w:sz w:val="21"/>
        </w:rPr>
        <w:t>我方完全理解招标人不一定接受投标价最低的投标。</w:t>
      </w:r>
    </w:p>
    <w:p>
      <w:pPr>
        <w:pStyle w:val="2"/>
        <w:spacing w:before="10"/>
        <w:rPr>
          <w:sz w:val="14"/>
        </w:rPr>
      </w:pPr>
    </w:p>
    <w:p>
      <w:pPr>
        <w:pStyle w:val="21"/>
        <w:numPr>
          <w:ilvl w:val="0"/>
          <w:numId w:val="32"/>
        </w:numPr>
        <w:tabs>
          <w:tab w:val="left" w:pos="1131"/>
        </w:tabs>
        <w:spacing w:before="0" w:after="0" w:line="304" w:lineRule="auto"/>
        <w:ind w:left="392" w:right="420" w:firstLine="419"/>
        <w:jc w:val="left"/>
        <w:rPr>
          <w:sz w:val="21"/>
        </w:rPr>
      </w:pPr>
      <w:r>
        <w:rPr>
          <w:spacing w:val="-3"/>
          <w:sz w:val="21"/>
        </w:rPr>
        <w:t>我方承诺在此次招标过程中涉及的一切应当保密的事项，不向任何第三方泄露，否则承担一切法律责任。</w:t>
      </w:r>
    </w:p>
    <w:p>
      <w:pPr>
        <w:pStyle w:val="21"/>
        <w:numPr>
          <w:ilvl w:val="0"/>
          <w:numId w:val="32"/>
        </w:numPr>
        <w:tabs>
          <w:tab w:val="left" w:pos="1131"/>
        </w:tabs>
        <w:spacing w:before="118" w:after="0" w:line="302" w:lineRule="auto"/>
        <w:ind w:left="392" w:right="420" w:firstLine="419"/>
        <w:jc w:val="left"/>
        <w:rPr>
          <w:sz w:val="21"/>
        </w:rPr>
      </w:pPr>
      <w:r>
        <w:rPr>
          <w:spacing w:val="-3"/>
          <w:sz w:val="21"/>
        </w:rPr>
        <w:t>如果我方中标，我们将按招标人要求的时间节点供货、安装及调试，并将按招标文件的规定履行合同责任和义务。</w:t>
      </w:r>
    </w:p>
    <w:p>
      <w:pPr>
        <w:pStyle w:val="21"/>
        <w:numPr>
          <w:ilvl w:val="0"/>
          <w:numId w:val="32"/>
        </w:numPr>
        <w:tabs>
          <w:tab w:val="left" w:pos="1131"/>
        </w:tabs>
        <w:spacing w:before="122" w:after="0" w:line="240" w:lineRule="auto"/>
        <w:ind w:left="1130" w:right="0" w:hanging="319"/>
        <w:jc w:val="left"/>
        <w:rPr>
          <w:sz w:val="21"/>
        </w:rPr>
      </w:pPr>
      <w:r>
        <w:rPr>
          <w:spacing w:val="-3"/>
          <w:sz w:val="21"/>
        </w:rPr>
        <w:t>与本次投标有关的一切往来信函请寄：</w:t>
      </w:r>
    </w:p>
    <w:p>
      <w:pPr>
        <w:pStyle w:val="2"/>
        <w:spacing w:before="12"/>
        <w:rPr>
          <w:sz w:val="14"/>
        </w:rPr>
      </w:pPr>
    </w:p>
    <w:p>
      <w:pPr>
        <w:pStyle w:val="2"/>
        <w:tabs>
          <w:tab w:val="left" w:pos="2809"/>
          <w:tab w:val="left" w:pos="3227"/>
          <w:tab w:val="left" w:pos="5432"/>
        </w:tabs>
        <w:ind w:left="812"/>
        <w:rPr>
          <w:rFonts w:ascii="Times New Roman" w:eastAsia="Times New Roman"/>
        </w:rPr>
      </w:pPr>
      <w:r>
        <w:t>地址</w:t>
      </w:r>
      <w:r>
        <w:rPr>
          <w:spacing w:val="-3"/>
        </w:rPr>
        <w:t>：</w:t>
      </w:r>
      <w:r>
        <w:rPr>
          <w:spacing w:val="-3"/>
          <w:u w:val="single"/>
        </w:rPr>
        <w:t xml:space="preserve"> </w:t>
      </w:r>
      <w:r>
        <w:rPr>
          <w:spacing w:val="-3"/>
          <w:u w:val="single"/>
        </w:rPr>
        <w:tab/>
      </w:r>
      <w:r>
        <w:rPr>
          <w:spacing w:val="-3"/>
        </w:rPr>
        <w:tab/>
      </w:r>
      <w:r>
        <w:t>传真</w:t>
      </w:r>
      <w:r>
        <w:rPr>
          <w:spacing w:val="-3"/>
        </w:rPr>
        <w:t>：</w:t>
      </w:r>
      <w:r>
        <w:rPr>
          <w:rFonts w:ascii="Times New Roman" w:eastAsia="Times New Roman"/>
          <w:u w:val="single"/>
        </w:rPr>
        <w:t xml:space="preserve"> </w:t>
      </w:r>
      <w:r>
        <w:rPr>
          <w:rFonts w:ascii="Times New Roman" w:eastAsia="Times New Roman"/>
          <w:u w:val="single"/>
        </w:rPr>
        <w:tab/>
      </w:r>
    </w:p>
    <w:p>
      <w:pPr>
        <w:pStyle w:val="2"/>
        <w:spacing w:before="7"/>
        <w:rPr>
          <w:rFonts w:ascii="Times New Roman"/>
          <w:sz w:val="9"/>
        </w:rPr>
      </w:pPr>
    </w:p>
    <w:p>
      <w:pPr>
        <w:pStyle w:val="2"/>
        <w:tabs>
          <w:tab w:val="left" w:pos="2809"/>
          <w:tab w:val="left" w:pos="3227"/>
          <w:tab w:val="left" w:pos="5538"/>
        </w:tabs>
        <w:spacing w:before="79"/>
        <w:ind w:left="812"/>
        <w:rPr>
          <w:rFonts w:ascii="Times New Roman" w:eastAsia="Times New Roman"/>
        </w:rPr>
      </w:pPr>
      <w:r>
        <w:t>电话</w:t>
      </w:r>
      <w:r>
        <w:rPr>
          <w:spacing w:val="-3"/>
        </w:rPr>
        <w:t>：</w:t>
      </w:r>
      <w:r>
        <w:rPr>
          <w:spacing w:val="-3"/>
          <w:u w:val="single"/>
        </w:rPr>
        <w:t xml:space="preserve"> </w:t>
      </w:r>
      <w:r>
        <w:rPr>
          <w:spacing w:val="-3"/>
          <w:u w:val="single"/>
        </w:rPr>
        <w:tab/>
      </w:r>
      <w:r>
        <w:rPr>
          <w:spacing w:val="-3"/>
        </w:rPr>
        <w:tab/>
      </w:r>
      <w:r>
        <w:t>电子</w:t>
      </w:r>
      <w:r>
        <w:rPr>
          <w:spacing w:val="-3"/>
        </w:rPr>
        <w:t>邮</w:t>
      </w:r>
      <w:r>
        <w:t>件</w:t>
      </w:r>
      <w:r>
        <w:rPr>
          <w:spacing w:val="-3"/>
        </w:rPr>
        <w:t>：</w:t>
      </w:r>
      <w:r>
        <w:rPr>
          <w:rFonts w:ascii="Times New Roman" w:eastAsia="Times New Roman"/>
          <w:u w:val="single"/>
        </w:rPr>
        <w:t xml:space="preserve"> </w:t>
      </w:r>
      <w:r>
        <w:rPr>
          <w:rFonts w:ascii="Times New Roman" w:eastAsia="Times New Roman"/>
          <w:u w:val="single"/>
        </w:rPr>
        <w:tab/>
      </w:r>
    </w:p>
    <w:p>
      <w:pPr>
        <w:pStyle w:val="2"/>
        <w:spacing w:before="10"/>
        <w:rPr>
          <w:rFonts w:ascii="Times New Roman"/>
          <w:sz w:val="9"/>
        </w:rPr>
      </w:pPr>
    </w:p>
    <w:p>
      <w:pPr>
        <w:pStyle w:val="2"/>
        <w:tabs>
          <w:tab w:val="left" w:pos="4278"/>
        </w:tabs>
        <w:spacing w:before="78"/>
        <w:ind w:left="812"/>
        <w:rPr>
          <w:rFonts w:ascii="Times New Roman" w:eastAsia="Times New Roman"/>
        </w:rPr>
      </w:pPr>
      <w:r>
        <w:rPr>
          <w:spacing w:val="-1"/>
        </w:rPr>
        <w:t>投标</w:t>
      </w:r>
      <w:r>
        <w:rPr>
          <w:spacing w:val="-3"/>
        </w:rPr>
        <w:t>人</w:t>
      </w:r>
      <w:r>
        <w:rPr>
          <w:spacing w:val="-1"/>
        </w:rPr>
        <w:t>（</w:t>
      </w:r>
      <w:r>
        <w:rPr>
          <w:spacing w:val="-3"/>
        </w:rPr>
        <w:t>盖</w:t>
      </w:r>
      <w:r>
        <w:rPr>
          <w:spacing w:val="-1"/>
        </w:rPr>
        <w:t>章</w:t>
      </w:r>
      <w:r>
        <w:t>）：</w:t>
      </w:r>
      <w:r>
        <w:rPr>
          <w:rFonts w:ascii="Times New Roman" w:eastAsia="Times New Roman"/>
          <w:u w:val="single"/>
        </w:rPr>
        <w:t xml:space="preserve"> </w:t>
      </w:r>
      <w:r>
        <w:rPr>
          <w:rFonts w:ascii="Times New Roman" w:eastAsia="Times New Roman"/>
          <w:u w:val="single"/>
        </w:rPr>
        <w:tab/>
      </w:r>
    </w:p>
    <w:p>
      <w:pPr>
        <w:pStyle w:val="2"/>
        <w:spacing w:before="10"/>
        <w:rPr>
          <w:rFonts w:ascii="Times New Roman"/>
          <w:sz w:val="9"/>
        </w:rPr>
      </w:pPr>
    </w:p>
    <w:p>
      <w:pPr>
        <w:pStyle w:val="2"/>
        <w:tabs>
          <w:tab w:val="left" w:pos="5643"/>
        </w:tabs>
        <w:spacing w:before="78"/>
        <w:ind w:left="812"/>
        <w:rPr>
          <w:rFonts w:ascii="Times New Roman" w:eastAsia="Times New Roman"/>
        </w:rPr>
      </w:pPr>
      <w:r>
        <w:rPr>
          <w:spacing w:val="-1"/>
        </w:rPr>
        <w:t>法定</w:t>
      </w:r>
      <w:r>
        <w:rPr>
          <w:spacing w:val="-3"/>
        </w:rPr>
        <w:t>代</w:t>
      </w:r>
      <w:r>
        <w:rPr>
          <w:spacing w:val="-1"/>
        </w:rPr>
        <w:t>表</w:t>
      </w:r>
      <w:r>
        <w:rPr>
          <w:spacing w:val="-3"/>
        </w:rPr>
        <w:t>人</w:t>
      </w:r>
      <w:r>
        <w:rPr>
          <w:spacing w:val="-1"/>
        </w:rPr>
        <w:t>或</w:t>
      </w:r>
      <w:r>
        <w:rPr>
          <w:spacing w:val="-3"/>
        </w:rPr>
        <w:t>授</w:t>
      </w:r>
      <w:r>
        <w:rPr>
          <w:spacing w:val="-1"/>
        </w:rPr>
        <w:t>权</w:t>
      </w:r>
      <w:r>
        <w:rPr>
          <w:spacing w:val="-3"/>
        </w:rPr>
        <w:t>委</w:t>
      </w:r>
      <w:r>
        <w:t>托</w:t>
      </w:r>
      <w:r>
        <w:rPr>
          <w:spacing w:val="-3"/>
        </w:rPr>
        <w:t>人</w:t>
      </w:r>
      <w:r>
        <w:t>（签</w:t>
      </w:r>
      <w:r>
        <w:rPr>
          <w:spacing w:val="-3"/>
        </w:rPr>
        <w:t>字</w:t>
      </w:r>
      <w:r>
        <w:t>或</w:t>
      </w:r>
      <w:r>
        <w:rPr>
          <w:spacing w:val="-3"/>
        </w:rPr>
        <w:t>盖</w:t>
      </w:r>
      <w:r>
        <w:t>章）：</w:t>
      </w:r>
      <w:r>
        <w:rPr>
          <w:rFonts w:ascii="Times New Roman" w:eastAsia="Times New Roman"/>
          <w:u w:val="single"/>
        </w:rPr>
        <w:t xml:space="preserve"> </w:t>
      </w:r>
      <w:r>
        <w:rPr>
          <w:rFonts w:ascii="Times New Roman" w:eastAsia="Times New Roman"/>
          <w:u w:val="single"/>
        </w:rPr>
        <w:tab/>
      </w:r>
    </w:p>
    <w:p>
      <w:pPr>
        <w:pStyle w:val="2"/>
        <w:spacing w:before="3"/>
        <w:rPr>
          <w:rFonts w:ascii="Times New Roman"/>
          <w:sz w:val="10"/>
        </w:rPr>
      </w:pPr>
    </w:p>
    <w:p>
      <w:pPr>
        <w:pStyle w:val="2"/>
        <w:tabs>
          <w:tab w:val="left" w:pos="2075"/>
          <w:tab w:val="left" w:pos="2809"/>
          <w:tab w:val="left" w:pos="3438"/>
        </w:tabs>
        <w:spacing w:before="71"/>
        <w:ind w:left="812"/>
      </w:pPr>
      <w:r>
        <w:t>日期</w:t>
      </w:r>
      <w:r>
        <w:rPr>
          <w:spacing w:val="-3"/>
        </w:rPr>
        <w:t>：</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spacing w:after="0"/>
        <w:sectPr>
          <w:pgSz w:w="11910" w:h="16840"/>
          <w:pgMar w:top="1260" w:right="580" w:bottom="1660" w:left="740" w:header="0" w:footer="1479" w:gutter="0"/>
          <w:pgNumType w:fmt="decimal"/>
          <w:cols w:space="720" w:num="1"/>
        </w:sectPr>
      </w:pPr>
    </w:p>
    <w:p>
      <w:pPr>
        <w:pStyle w:val="5"/>
      </w:pPr>
      <w:r>
        <w:t>格式四：</w:t>
      </w:r>
    </w:p>
    <w:p>
      <w:pPr>
        <w:pStyle w:val="2"/>
        <w:spacing w:before="5"/>
        <w:rPr>
          <w:sz w:val="13"/>
        </w:rPr>
      </w:pPr>
    </w:p>
    <w:p>
      <w:pPr>
        <w:jc w:val="center"/>
        <w:rPr>
          <w:rFonts w:ascii="宋体" w:hAnsi="宋体" w:cs="宋体"/>
          <w:b/>
          <w:bCs/>
          <w:color w:val="000000"/>
          <w:sz w:val="44"/>
          <w:szCs w:val="44"/>
        </w:rPr>
      </w:pPr>
      <w:r>
        <w:rPr>
          <w:rFonts w:hint="eastAsia" w:ascii="宋体" w:hAnsi="宋体" w:cs="宋体"/>
          <w:b/>
          <w:bCs/>
          <w:color w:val="000000"/>
          <w:sz w:val="44"/>
          <w:szCs w:val="44"/>
        </w:rPr>
        <w:t>盐城市大丰区政府招标采购供应商承诺书</w:t>
      </w:r>
    </w:p>
    <w:p>
      <w:pPr>
        <w:spacing w:line="400" w:lineRule="exact"/>
        <w:ind w:firstLine="600" w:firstLineChars="200"/>
        <w:rPr>
          <w:sz w:val="30"/>
          <w:szCs w:val="30"/>
        </w:rPr>
      </w:pPr>
    </w:p>
    <w:p>
      <w:pPr>
        <w:spacing w:line="34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为营造公开、公平、公正、诚实守信的政府招标采购交易环境，树立诚信守法的投标人形象，本单位参加政府招标采购项目</w:t>
      </w:r>
      <w:r>
        <w:rPr>
          <w:rFonts w:hint="eastAsia" w:ascii="仿宋" w:hAnsi="仿宋" w:eastAsia="仿宋" w:cs="仿宋"/>
          <w:sz w:val="32"/>
          <w:szCs w:val="32"/>
          <w:u w:val="single"/>
        </w:rPr>
        <w:t xml:space="preserve">：                                       </w:t>
      </w:r>
    </w:p>
    <w:p>
      <w:pPr>
        <w:spacing w:line="340" w:lineRule="exact"/>
        <w:rPr>
          <w:rFonts w:ascii="仿宋" w:hAnsi="仿宋" w:eastAsia="仿宋" w:cs="仿宋"/>
          <w:sz w:val="32"/>
          <w:szCs w:val="32"/>
        </w:rPr>
      </w:pPr>
      <w:r>
        <w:rPr>
          <w:rFonts w:hint="eastAsia" w:ascii="仿宋" w:hAnsi="仿宋" w:eastAsia="仿宋" w:cs="仿宋"/>
          <w:sz w:val="32"/>
          <w:szCs w:val="32"/>
        </w:rPr>
        <w:t>的招标采购活动，本人代表本单位作出以下承诺：</w:t>
      </w:r>
    </w:p>
    <w:p>
      <w:pPr>
        <w:spacing w:line="340" w:lineRule="exact"/>
        <w:ind w:firstLine="640" w:firstLineChars="200"/>
        <w:rPr>
          <w:rFonts w:ascii="仿宋" w:hAnsi="仿宋" w:eastAsia="仿宋" w:cs="仿宋"/>
          <w:sz w:val="32"/>
          <w:szCs w:val="32"/>
        </w:rPr>
      </w:pPr>
      <w:r>
        <w:rPr>
          <w:rFonts w:hint="eastAsia" w:ascii="仿宋" w:hAnsi="仿宋" w:eastAsia="仿宋" w:cs="仿宋"/>
          <w:sz w:val="32"/>
          <w:szCs w:val="32"/>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spacing w:line="340" w:lineRule="exact"/>
        <w:ind w:firstLine="640" w:firstLineChars="200"/>
        <w:rPr>
          <w:rFonts w:ascii="仿宋" w:hAnsi="仿宋" w:eastAsia="仿宋" w:cs="仿宋"/>
          <w:sz w:val="32"/>
          <w:szCs w:val="32"/>
        </w:rPr>
      </w:pPr>
      <w:r>
        <w:rPr>
          <w:rFonts w:hint="eastAsia" w:ascii="仿宋" w:hAnsi="仿宋" w:eastAsia="仿宋" w:cs="仿宋"/>
          <w:sz w:val="32"/>
          <w:szCs w:val="32"/>
        </w:rPr>
        <w:t>（二）本单位无涉及政府招标采购活动的违法、违规不良记录，我公司及相关负责人无因存在重大隐患整改不力、发生有重大社会影响生产安全事故或其他严重违法违规行为而被列入失信联合惩戒的不良记录；</w:t>
      </w:r>
    </w:p>
    <w:p>
      <w:pPr>
        <w:spacing w:line="3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（三）严格依照国家和省、市关于政府招标采购的法律、法规、规章、规范性文件，参加政府招标采购的投标活动；积极履行社会责任，促进廉政建设； </w:t>
      </w:r>
    </w:p>
    <w:p>
      <w:pPr>
        <w:spacing w:line="340" w:lineRule="exact"/>
        <w:rPr>
          <w:rFonts w:ascii="仿宋" w:hAnsi="仿宋" w:eastAsia="仿宋" w:cs="仿宋"/>
          <w:sz w:val="32"/>
          <w:szCs w:val="32"/>
        </w:rPr>
      </w:pPr>
      <w:r>
        <w:rPr>
          <w:rFonts w:hint="eastAsia" w:ascii="仿宋" w:hAnsi="仿宋" w:eastAsia="仿宋" w:cs="仿宋"/>
          <w:sz w:val="32"/>
          <w:szCs w:val="32"/>
        </w:rPr>
        <w:t>   （四）严格遵守即时信息公示规定，及时维护和更新盐城市政府采购网、公共资源交易平台中与本单位相关的信息；</w:t>
      </w:r>
    </w:p>
    <w:p>
      <w:pPr>
        <w:spacing w:line="340" w:lineRule="exact"/>
        <w:ind w:firstLine="367"/>
        <w:rPr>
          <w:rFonts w:ascii="仿宋" w:hAnsi="仿宋" w:eastAsia="仿宋" w:cs="仿宋"/>
          <w:sz w:val="32"/>
          <w:szCs w:val="32"/>
        </w:rPr>
      </w:pPr>
      <w:r>
        <w:rPr>
          <w:rFonts w:hint="eastAsia" w:ascii="仿宋" w:hAnsi="仿宋" w:eastAsia="仿宋" w:cs="仿宋"/>
          <w:sz w:val="32"/>
          <w:szCs w:val="32"/>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pPr>
        <w:spacing w:line="340" w:lineRule="exact"/>
        <w:ind w:firstLine="367"/>
        <w:rPr>
          <w:rFonts w:ascii="仿宋" w:hAnsi="仿宋" w:eastAsia="仿宋" w:cs="仿宋"/>
          <w:sz w:val="32"/>
          <w:szCs w:val="32"/>
        </w:rPr>
      </w:pPr>
      <w:r>
        <w:rPr>
          <w:rFonts w:hint="eastAsia" w:ascii="仿宋" w:hAnsi="仿宋" w:eastAsia="仿宋" w:cs="仿宋"/>
          <w:sz w:val="32"/>
          <w:szCs w:val="32"/>
        </w:rPr>
        <w:t>（六）自觉接受政府、行业组织、社会公众、新闻舆论的监督；</w:t>
      </w:r>
    </w:p>
    <w:p>
      <w:pPr>
        <w:spacing w:line="340" w:lineRule="exact"/>
        <w:ind w:firstLine="367"/>
        <w:rPr>
          <w:rFonts w:ascii="仿宋" w:hAnsi="仿宋" w:eastAsia="仿宋" w:cs="仿宋"/>
          <w:sz w:val="32"/>
          <w:szCs w:val="32"/>
        </w:rPr>
      </w:pPr>
      <w:r>
        <w:rPr>
          <w:rFonts w:hint="eastAsia" w:ascii="仿宋" w:hAnsi="仿宋" w:eastAsia="仿宋" w:cs="仿宋"/>
          <w:sz w:val="32"/>
          <w:szCs w:val="32"/>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spacing w:line="340" w:lineRule="exact"/>
        <w:ind w:firstLine="367"/>
        <w:rPr>
          <w:rFonts w:ascii="仿宋" w:hAnsi="仿宋" w:eastAsia="仿宋" w:cs="仿宋"/>
          <w:sz w:val="32"/>
          <w:szCs w:val="32"/>
        </w:rPr>
      </w:pPr>
      <w:r>
        <w:rPr>
          <w:rFonts w:hint="eastAsia" w:ascii="仿宋" w:hAnsi="仿宋" w:eastAsia="仿宋" w:cs="仿宋"/>
          <w:sz w:val="32"/>
          <w:szCs w:val="32"/>
        </w:rPr>
        <w:t>（八）本人已认真阅读了上述承诺，并向本单位员工作了宣传教育。</w:t>
      </w:r>
    </w:p>
    <w:p>
      <w:pPr>
        <w:spacing w:line="340" w:lineRule="exact"/>
        <w:ind w:firstLine="640" w:firstLineChars="200"/>
        <w:rPr>
          <w:rFonts w:ascii="仿宋" w:hAnsi="仿宋" w:eastAsia="仿宋" w:cs="仿宋"/>
          <w:sz w:val="32"/>
          <w:szCs w:val="32"/>
        </w:rPr>
      </w:pPr>
    </w:p>
    <w:p>
      <w:pPr>
        <w:spacing w:line="340" w:lineRule="exact"/>
        <w:ind w:firstLine="640" w:firstLineChars="200"/>
        <w:rPr>
          <w:rFonts w:ascii="仿宋" w:hAnsi="仿宋" w:eastAsia="仿宋" w:cs="仿宋"/>
          <w:sz w:val="32"/>
          <w:szCs w:val="32"/>
        </w:rPr>
      </w:pPr>
    </w:p>
    <w:p>
      <w:pPr>
        <w:spacing w:line="340" w:lineRule="exact"/>
        <w:ind w:firstLine="640" w:firstLineChars="200"/>
        <w:rPr>
          <w:rFonts w:ascii="仿宋" w:hAnsi="仿宋" w:eastAsia="仿宋" w:cs="仿宋"/>
          <w:sz w:val="32"/>
          <w:szCs w:val="32"/>
        </w:rPr>
      </w:pPr>
      <w:r>
        <w:rPr>
          <w:rFonts w:hint="eastAsia" w:ascii="仿宋" w:hAnsi="仿宋" w:eastAsia="仿宋" w:cs="仿宋"/>
          <w:sz w:val="32"/>
          <w:szCs w:val="32"/>
        </w:rPr>
        <w:t>法定代表人签名：           单位名称（盖章）：</w:t>
      </w:r>
    </w:p>
    <w:p>
      <w:pPr>
        <w:spacing w:line="340" w:lineRule="exact"/>
        <w:rPr>
          <w:rFonts w:ascii="仿宋" w:hAnsi="仿宋" w:eastAsia="仿宋" w:cs="仿宋"/>
          <w:sz w:val="32"/>
          <w:szCs w:val="32"/>
        </w:rPr>
      </w:pPr>
    </w:p>
    <w:p>
      <w:pPr>
        <w:spacing w:line="340" w:lineRule="exact"/>
        <w:ind w:firstLine="5760" w:firstLineChars="1800"/>
        <w:rPr>
          <w:rFonts w:ascii="仿宋" w:hAnsi="仿宋" w:eastAsia="仿宋" w:cs="仿宋"/>
          <w:sz w:val="32"/>
          <w:szCs w:val="32"/>
        </w:rPr>
      </w:pPr>
      <w:r>
        <w:rPr>
          <w:rFonts w:hint="eastAsia" w:ascii="仿宋" w:hAnsi="仿宋" w:eastAsia="仿宋" w:cs="仿宋"/>
          <w:sz w:val="32"/>
          <w:szCs w:val="32"/>
        </w:rPr>
        <w:t>年    月    日</w:t>
      </w:r>
    </w:p>
    <w:p>
      <w:pPr>
        <w:spacing w:line="340" w:lineRule="exact"/>
        <w:rPr>
          <w:rFonts w:ascii="仿宋" w:hAnsi="仿宋" w:eastAsia="仿宋" w:cs="仿宋"/>
          <w:sz w:val="32"/>
          <w:szCs w:val="32"/>
        </w:rPr>
      </w:pPr>
    </w:p>
    <w:p/>
    <w:p>
      <w:pPr>
        <w:pStyle w:val="5"/>
        <w:spacing w:before="49"/>
        <w:outlineLvl w:val="9"/>
      </w:pPr>
    </w:p>
    <w:p>
      <w:pPr>
        <w:pStyle w:val="5"/>
        <w:spacing w:before="49"/>
        <w:outlineLvl w:val="9"/>
      </w:pPr>
    </w:p>
    <w:p>
      <w:pPr>
        <w:pStyle w:val="5"/>
        <w:spacing w:before="49"/>
        <w:outlineLvl w:val="9"/>
      </w:pPr>
    </w:p>
    <w:p>
      <w:pPr>
        <w:pStyle w:val="5"/>
        <w:spacing w:before="49"/>
        <w:outlineLvl w:val="9"/>
      </w:pPr>
    </w:p>
    <w:p>
      <w:pPr>
        <w:pStyle w:val="5"/>
        <w:spacing w:before="49"/>
        <w:outlineLvl w:val="9"/>
      </w:pPr>
    </w:p>
    <w:p>
      <w:pPr>
        <w:pStyle w:val="5"/>
        <w:spacing w:before="49"/>
      </w:pPr>
      <w:r>
        <w:t>格式五：</w:t>
      </w:r>
    </w:p>
    <w:p>
      <w:pPr>
        <w:pStyle w:val="2"/>
        <w:spacing w:before="5"/>
        <w:rPr>
          <w:sz w:val="13"/>
        </w:rPr>
      </w:pPr>
    </w:p>
    <w:p>
      <w:pPr>
        <w:spacing w:before="62"/>
        <w:ind w:left="412" w:right="571" w:firstLine="0"/>
        <w:jc w:val="center"/>
        <w:rPr>
          <w:b/>
          <w:sz w:val="28"/>
        </w:rPr>
      </w:pPr>
      <w:r>
        <w:rPr>
          <w:b/>
          <w:sz w:val="28"/>
        </w:rPr>
        <w:t>投标报价明细表</w:t>
      </w:r>
    </w:p>
    <w:p>
      <w:pPr>
        <w:pStyle w:val="2"/>
        <w:spacing w:before="6"/>
        <w:rPr>
          <w:b/>
        </w:rPr>
      </w:pPr>
    </w:p>
    <w:p>
      <w:pPr>
        <w:spacing w:before="0" w:line="393" w:lineRule="auto"/>
        <w:ind w:left="392" w:right="1099" w:firstLine="314"/>
        <w:jc w:val="left"/>
        <w:rPr>
          <w:sz w:val="21"/>
        </w:rPr>
      </w:pPr>
      <w:r>
        <w:rPr>
          <w:spacing w:val="-6"/>
          <w:sz w:val="21"/>
        </w:rPr>
        <w:t>投标人根据采购需求自制</w:t>
      </w:r>
      <w:r>
        <w:rPr>
          <w:sz w:val="21"/>
        </w:rPr>
        <w:t>（</w:t>
      </w:r>
      <w:r>
        <w:rPr>
          <w:b/>
          <w:spacing w:val="-6"/>
          <w:sz w:val="21"/>
        </w:rPr>
        <w:t>至少包含各采购货物的单价、合价、选用的品牌等招标需求的全部内容</w:t>
      </w:r>
      <w:r>
        <w:rPr>
          <w:spacing w:val="-6"/>
          <w:sz w:val="21"/>
        </w:rPr>
        <w:t>）。</w:t>
      </w:r>
    </w:p>
    <w:p>
      <w:pPr>
        <w:pStyle w:val="2"/>
        <w:rPr>
          <w:sz w:val="20"/>
        </w:rPr>
      </w:pPr>
    </w:p>
    <w:p>
      <w:pPr>
        <w:pStyle w:val="2"/>
        <w:rPr>
          <w:sz w:val="20"/>
        </w:rPr>
      </w:pPr>
    </w:p>
    <w:p>
      <w:pPr>
        <w:pStyle w:val="2"/>
        <w:spacing w:before="141"/>
        <w:ind w:left="707"/>
      </w:pPr>
      <w:r>
        <w:t>投标单位（盖章）：</w:t>
      </w:r>
    </w:p>
    <w:p>
      <w:pPr>
        <w:pStyle w:val="2"/>
        <w:rPr>
          <w:sz w:val="20"/>
        </w:rPr>
      </w:pPr>
    </w:p>
    <w:p>
      <w:pPr>
        <w:pStyle w:val="2"/>
        <w:rPr>
          <w:sz w:val="20"/>
        </w:rPr>
      </w:pPr>
    </w:p>
    <w:p>
      <w:pPr>
        <w:pStyle w:val="2"/>
        <w:spacing w:before="6"/>
        <w:rPr>
          <w:sz w:val="26"/>
        </w:rPr>
      </w:pPr>
    </w:p>
    <w:p>
      <w:pPr>
        <w:pStyle w:val="2"/>
        <w:ind w:left="707"/>
      </w:pPr>
      <w:r>
        <w:t>法人代表或委托代表（签字或盖章）：</w:t>
      </w:r>
    </w:p>
    <w:p>
      <w:pPr>
        <w:pStyle w:val="2"/>
        <w:rPr>
          <w:sz w:val="20"/>
        </w:rPr>
      </w:pPr>
    </w:p>
    <w:p>
      <w:pPr>
        <w:pStyle w:val="2"/>
        <w:spacing w:before="8"/>
        <w:rPr>
          <w:sz w:val="29"/>
        </w:rPr>
      </w:pPr>
    </w:p>
    <w:p>
      <w:pPr>
        <w:pStyle w:val="2"/>
        <w:tabs>
          <w:tab w:val="left" w:pos="1129"/>
          <w:tab w:val="left" w:pos="1969"/>
          <w:tab w:val="left" w:pos="2492"/>
          <w:tab w:val="left" w:pos="3018"/>
        </w:tabs>
        <w:ind w:left="707"/>
      </w:pPr>
      <w:r>
        <w:t>日</w:t>
      </w:r>
      <w:r>
        <w:tab/>
      </w:r>
      <w:r>
        <w:rPr>
          <w:spacing w:val="-3"/>
        </w:rPr>
        <w:t>期</w:t>
      </w:r>
      <w:r>
        <w:t>：</w:t>
      </w:r>
      <w:r>
        <w:tab/>
      </w:r>
      <w:r>
        <w:t>年</w:t>
      </w:r>
      <w:r>
        <w:tab/>
      </w:r>
      <w:r>
        <w:t>月</w:t>
      </w:r>
      <w:r>
        <w:tab/>
      </w:r>
      <w:r>
        <w:t>日</w:t>
      </w:r>
    </w:p>
    <w:p>
      <w:pPr>
        <w:spacing w:after="0"/>
        <w:sectPr>
          <w:footerReference r:id="rId11" w:type="default"/>
          <w:pgSz w:w="11910" w:h="16840"/>
          <w:pgMar w:top="1500" w:right="580" w:bottom="1220" w:left="740" w:header="0" w:footer="1040" w:gutter="0"/>
          <w:pgNumType w:fmt="decimal"/>
          <w:cols w:space="720" w:num="1"/>
        </w:sectPr>
      </w:pPr>
    </w:p>
    <w:p>
      <w:pPr>
        <w:pStyle w:val="5"/>
        <w:spacing w:before="43"/>
      </w:pPr>
      <w:r>
        <w:t>格式六：</w:t>
      </w:r>
    </w:p>
    <w:p>
      <w:pPr>
        <w:pStyle w:val="2"/>
        <w:rPr>
          <w:sz w:val="24"/>
        </w:rPr>
      </w:pPr>
    </w:p>
    <w:p>
      <w:pPr>
        <w:pStyle w:val="2"/>
        <w:rPr>
          <w:sz w:val="24"/>
        </w:rPr>
      </w:pPr>
    </w:p>
    <w:p>
      <w:pPr>
        <w:pStyle w:val="2"/>
        <w:spacing w:before="5"/>
        <w:rPr>
          <w:sz w:val="35"/>
        </w:rPr>
      </w:pPr>
    </w:p>
    <w:p>
      <w:pPr>
        <w:pStyle w:val="2"/>
        <w:ind w:left="392"/>
      </w:pPr>
      <w:r>
        <w:rPr>
          <w:spacing w:val="-2"/>
        </w:rPr>
        <w:t>设备名称：</w:t>
      </w:r>
    </w:p>
    <w:p>
      <w:pPr>
        <w:pStyle w:val="2"/>
        <w:spacing w:before="1"/>
        <w:rPr>
          <w:sz w:val="39"/>
        </w:rPr>
      </w:pPr>
      <w:r>
        <w:br w:type="column"/>
      </w:r>
    </w:p>
    <w:p>
      <w:pPr>
        <w:spacing w:before="0"/>
        <w:ind w:left="491" w:right="0" w:firstLine="0"/>
        <w:jc w:val="left"/>
        <w:rPr>
          <w:b/>
          <w:sz w:val="36"/>
        </w:rPr>
      </w:pPr>
      <w:r>
        <w:rPr>
          <w:b/>
          <w:sz w:val="36"/>
        </w:rPr>
        <w:t>技术参数响应表</w:t>
      </w:r>
    </w:p>
    <w:p>
      <w:pPr>
        <w:pStyle w:val="2"/>
        <w:spacing w:before="97"/>
        <w:ind w:left="392"/>
      </w:pPr>
      <w:r>
        <w:t>（须与招标文件点对点应答）</w:t>
      </w:r>
    </w:p>
    <w:p>
      <w:pPr>
        <w:spacing w:after="0"/>
        <w:sectPr>
          <w:pgSz w:w="11910" w:h="16840"/>
          <w:pgMar w:top="1540" w:right="580" w:bottom="1220" w:left="740" w:header="0" w:footer="1040" w:gutter="0"/>
          <w:pgNumType w:fmt="decimal"/>
          <w:cols w:equalWidth="0" w:num="2">
            <w:col w:w="1487" w:space="1967"/>
            <w:col w:w="7136"/>
          </w:cols>
        </w:sectPr>
      </w:pPr>
    </w:p>
    <w:tbl>
      <w:tblPr>
        <w:tblStyle w:val="15"/>
        <w:tblW w:w="0" w:type="auto"/>
        <w:tblInd w:w="4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4231"/>
        <w:gridCol w:w="1080"/>
        <w:gridCol w:w="1874"/>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5330" w:type="dxa"/>
            <w:gridSpan w:val="2"/>
          </w:tcPr>
          <w:p>
            <w:pPr>
              <w:pStyle w:val="22"/>
              <w:spacing w:before="3"/>
              <w:jc w:val="left"/>
              <w:rPr>
                <w:sz w:val="14"/>
              </w:rPr>
            </w:pPr>
          </w:p>
          <w:p>
            <w:pPr>
              <w:pStyle w:val="22"/>
              <w:spacing w:before="1"/>
              <w:ind w:left="1913" w:right="1896"/>
              <w:rPr>
                <w:sz w:val="21"/>
              </w:rPr>
            </w:pPr>
            <w:r>
              <w:rPr>
                <w:sz w:val="21"/>
              </w:rPr>
              <w:t>技术参数及要求</w:t>
            </w:r>
          </w:p>
        </w:tc>
        <w:tc>
          <w:tcPr>
            <w:tcW w:w="1080" w:type="dxa"/>
          </w:tcPr>
          <w:p>
            <w:pPr>
              <w:pStyle w:val="22"/>
              <w:spacing w:before="3"/>
              <w:jc w:val="left"/>
              <w:rPr>
                <w:sz w:val="14"/>
              </w:rPr>
            </w:pPr>
          </w:p>
          <w:p>
            <w:pPr>
              <w:pStyle w:val="22"/>
              <w:spacing w:before="1"/>
              <w:ind w:left="120"/>
              <w:jc w:val="left"/>
              <w:rPr>
                <w:sz w:val="21"/>
              </w:rPr>
            </w:pPr>
            <w:r>
              <w:rPr>
                <w:sz w:val="21"/>
              </w:rPr>
              <w:t>招标要求</w:t>
            </w:r>
          </w:p>
        </w:tc>
        <w:tc>
          <w:tcPr>
            <w:tcW w:w="1874" w:type="dxa"/>
          </w:tcPr>
          <w:p>
            <w:pPr>
              <w:pStyle w:val="22"/>
              <w:spacing w:before="3"/>
              <w:jc w:val="left"/>
              <w:rPr>
                <w:sz w:val="14"/>
              </w:rPr>
            </w:pPr>
          </w:p>
          <w:p>
            <w:pPr>
              <w:pStyle w:val="22"/>
              <w:spacing w:before="1"/>
              <w:ind w:left="348"/>
              <w:jc w:val="left"/>
              <w:rPr>
                <w:sz w:val="21"/>
              </w:rPr>
            </w:pPr>
            <w:r>
              <w:rPr>
                <w:sz w:val="21"/>
              </w:rPr>
              <w:t>投标响应</w:t>
            </w:r>
          </w:p>
        </w:tc>
        <w:tc>
          <w:tcPr>
            <w:tcW w:w="1260" w:type="dxa"/>
          </w:tcPr>
          <w:p>
            <w:pPr>
              <w:pStyle w:val="22"/>
              <w:spacing w:before="3"/>
              <w:jc w:val="left"/>
              <w:rPr>
                <w:sz w:val="14"/>
              </w:rPr>
            </w:pPr>
          </w:p>
          <w:p>
            <w:pPr>
              <w:pStyle w:val="22"/>
              <w:spacing w:before="1"/>
              <w:ind w:left="423"/>
              <w:jc w:val="left"/>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99" w:type="dxa"/>
            <w:vMerge w:val="restart"/>
          </w:tcPr>
          <w:p>
            <w:pPr>
              <w:pStyle w:val="22"/>
              <w:jc w:val="left"/>
              <w:rPr>
                <w:rFonts w:ascii="Times New Roman"/>
                <w:sz w:val="22"/>
              </w:rPr>
            </w:pPr>
          </w:p>
        </w:tc>
        <w:tc>
          <w:tcPr>
            <w:tcW w:w="4231" w:type="dxa"/>
          </w:tcPr>
          <w:p>
            <w:pPr>
              <w:pStyle w:val="22"/>
              <w:jc w:val="left"/>
              <w:rPr>
                <w:rFonts w:ascii="Times New Roman"/>
                <w:sz w:val="22"/>
              </w:rPr>
            </w:pPr>
          </w:p>
        </w:tc>
        <w:tc>
          <w:tcPr>
            <w:tcW w:w="1080" w:type="dxa"/>
          </w:tcPr>
          <w:p>
            <w:pPr>
              <w:pStyle w:val="22"/>
              <w:jc w:val="left"/>
              <w:rPr>
                <w:rFonts w:ascii="Times New Roman"/>
                <w:sz w:val="22"/>
              </w:rPr>
            </w:pPr>
          </w:p>
        </w:tc>
        <w:tc>
          <w:tcPr>
            <w:tcW w:w="1874" w:type="dxa"/>
          </w:tcPr>
          <w:p>
            <w:pPr>
              <w:pStyle w:val="22"/>
              <w:jc w:val="left"/>
              <w:rPr>
                <w:rFonts w:ascii="Times New Roman"/>
                <w:sz w:val="22"/>
              </w:rPr>
            </w:pPr>
          </w:p>
        </w:tc>
        <w:tc>
          <w:tcPr>
            <w:tcW w:w="1260"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99" w:type="dxa"/>
            <w:vMerge w:val="continue"/>
            <w:tcBorders>
              <w:top w:val="nil"/>
            </w:tcBorders>
          </w:tcPr>
          <w:p>
            <w:pPr>
              <w:rPr>
                <w:sz w:val="2"/>
                <w:szCs w:val="2"/>
              </w:rPr>
            </w:pPr>
          </w:p>
        </w:tc>
        <w:tc>
          <w:tcPr>
            <w:tcW w:w="4231" w:type="dxa"/>
          </w:tcPr>
          <w:p>
            <w:pPr>
              <w:pStyle w:val="22"/>
              <w:jc w:val="left"/>
              <w:rPr>
                <w:rFonts w:ascii="Times New Roman"/>
                <w:sz w:val="22"/>
              </w:rPr>
            </w:pPr>
          </w:p>
        </w:tc>
        <w:tc>
          <w:tcPr>
            <w:tcW w:w="1080" w:type="dxa"/>
          </w:tcPr>
          <w:p>
            <w:pPr>
              <w:pStyle w:val="22"/>
              <w:jc w:val="left"/>
              <w:rPr>
                <w:rFonts w:ascii="Times New Roman"/>
                <w:sz w:val="22"/>
              </w:rPr>
            </w:pPr>
          </w:p>
        </w:tc>
        <w:tc>
          <w:tcPr>
            <w:tcW w:w="1874" w:type="dxa"/>
          </w:tcPr>
          <w:p>
            <w:pPr>
              <w:pStyle w:val="22"/>
              <w:jc w:val="left"/>
              <w:rPr>
                <w:rFonts w:ascii="Times New Roman"/>
                <w:sz w:val="22"/>
              </w:rPr>
            </w:pPr>
          </w:p>
        </w:tc>
        <w:tc>
          <w:tcPr>
            <w:tcW w:w="1260"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099" w:type="dxa"/>
            <w:vMerge w:val="continue"/>
            <w:tcBorders>
              <w:top w:val="nil"/>
            </w:tcBorders>
          </w:tcPr>
          <w:p>
            <w:pPr>
              <w:rPr>
                <w:sz w:val="2"/>
                <w:szCs w:val="2"/>
              </w:rPr>
            </w:pPr>
          </w:p>
        </w:tc>
        <w:tc>
          <w:tcPr>
            <w:tcW w:w="4231" w:type="dxa"/>
          </w:tcPr>
          <w:p>
            <w:pPr>
              <w:pStyle w:val="22"/>
              <w:jc w:val="left"/>
              <w:rPr>
                <w:rFonts w:ascii="Times New Roman"/>
                <w:sz w:val="22"/>
              </w:rPr>
            </w:pPr>
          </w:p>
        </w:tc>
        <w:tc>
          <w:tcPr>
            <w:tcW w:w="1080" w:type="dxa"/>
          </w:tcPr>
          <w:p>
            <w:pPr>
              <w:pStyle w:val="22"/>
              <w:jc w:val="left"/>
              <w:rPr>
                <w:rFonts w:ascii="Times New Roman"/>
                <w:sz w:val="22"/>
              </w:rPr>
            </w:pPr>
          </w:p>
        </w:tc>
        <w:tc>
          <w:tcPr>
            <w:tcW w:w="1874" w:type="dxa"/>
          </w:tcPr>
          <w:p>
            <w:pPr>
              <w:pStyle w:val="22"/>
              <w:jc w:val="left"/>
              <w:rPr>
                <w:rFonts w:ascii="Times New Roman"/>
                <w:sz w:val="22"/>
              </w:rPr>
            </w:pPr>
          </w:p>
        </w:tc>
        <w:tc>
          <w:tcPr>
            <w:tcW w:w="1260"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099" w:type="dxa"/>
            <w:vMerge w:val="continue"/>
            <w:tcBorders>
              <w:top w:val="nil"/>
            </w:tcBorders>
          </w:tcPr>
          <w:p>
            <w:pPr>
              <w:rPr>
                <w:sz w:val="2"/>
                <w:szCs w:val="2"/>
              </w:rPr>
            </w:pPr>
          </w:p>
        </w:tc>
        <w:tc>
          <w:tcPr>
            <w:tcW w:w="4231" w:type="dxa"/>
          </w:tcPr>
          <w:p>
            <w:pPr>
              <w:pStyle w:val="22"/>
              <w:spacing w:before="142"/>
              <w:ind w:left="1886" w:right="1874"/>
              <w:rPr>
                <w:sz w:val="21"/>
              </w:rPr>
            </w:pPr>
            <w:r>
              <w:rPr>
                <w:sz w:val="21"/>
              </w:rPr>
              <w:t>……</w:t>
            </w:r>
          </w:p>
        </w:tc>
        <w:tc>
          <w:tcPr>
            <w:tcW w:w="1080" w:type="dxa"/>
          </w:tcPr>
          <w:p>
            <w:pPr>
              <w:pStyle w:val="22"/>
              <w:jc w:val="left"/>
              <w:rPr>
                <w:rFonts w:ascii="Times New Roman"/>
                <w:sz w:val="22"/>
              </w:rPr>
            </w:pPr>
          </w:p>
        </w:tc>
        <w:tc>
          <w:tcPr>
            <w:tcW w:w="1874" w:type="dxa"/>
          </w:tcPr>
          <w:p>
            <w:pPr>
              <w:pStyle w:val="22"/>
              <w:jc w:val="left"/>
              <w:rPr>
                <w:rFonts w:ascii="Times New Roman"/>
                <w:sz w:val="22"/>
              </w:rPr>
            </w:pPr>
          </w:p>
        </w:tc>
        <w:tc>
          <w:tcPr>
            <w:tcW w:w="1260" w:type="dxa"/>
          </w:tcPr>
          <w:p>
            <w:pPr>
              <w:pStyle w:val="22"/>
              <w:jc w:val="left"/>
              <w:rPr>
                <w:rFonts w:ascii="Times New Roman"/>
                <w:sz w:val="22"/>
              </w:rPr>
            </w:pPr>
          </w:p>
        </w:tc>
      </w:tr>
    </w:tbl>
    <w:p>
      <w:pPr>
        <w:pStyle w:val="2"/>
        <w:spacing w:before="9"/>
        <w:rPr>
          <w:sz w:val="22"/>
        </w:rPr>
      </w:pPr>
    </w:p>
    <w:p>
      <w:pPr>
        <w:pStyle w:val="2"/>
        <w:tabs>
          <w:tab w:val="left" w:pos="4698"/>
        </w:tabs>
        <w:spacing w:before="71" w:line="484" w:lineRule="auto"/>
        <w:ind w:left="392" w:right="5145"/>
        <w:rPr>
          <w:rFonts w:ascii="Times New Roman" w:eastAsia="Times New Roman"/>
        </w:rPr>
      </w:pPr>
      <w:r>
        <w:t>注：</w:t>
      </w:r>
      <w:r>
        <w:rPr>
          <w:spacing w:val="-3"/>
        </w:rPr>
        <w:t>投</w:t>
      </w:r>
      <w:r>
        <w:t>标</w:t>
      </w:r>
      <w:r>
        <w:rPr>
          <w:spacing w:val="-3"/>
        </w:rPr>
        <w:t>人</w:t>
      </w:r>
      <w:r>
        <w:t>应</w:t>
      </w:r>
      <w:r>
        <w:rPr>
          <w:spacing w:val="-3"/>
        </w:rPr>
        <w:t>按</w:t>
      </w:r>
      <w:r>
        <w:t>招</w:t>
      </w:r>
      <w:r>
        <w:rPr>
          <w:spacing w:val="-3"/>
        </w:rPr>
        <w:t>标</w:t>
      </w:r>
      <w:r>
        <w:t>文</w:t>
      </w:r>
      <w:r>
        <w:rPr>
          <w:spacing w:val="-3"/>
        </w:rPr>
        <w:t>件</w:t>
      </w:r>
      <w:r>
        <w:t>的要</w:t>
      </w:r>
      <w:r>
        <w:rPr>
          <w:spacing w:val="-3"/>
        </w:rPr>
        <w:t>求</w:t>
      </w:r>
      <w:r>
        <w:t>分</w:t>
      </w:r>
      <w:r>
        <w:rPr>
          <w:spacing w:val="-3"/>
        </w:rPr>
        <w:t>别</w:t>
      </w:r>
      <w:r>
        <w:t>填</w:t>
      </w:r>
      <w:r>
        <w:rPr>
          <w:spacing w:val="-3"/>
        </w:rPr>
        <w:t>写</w:t>
      </w:r>
      <w:r>
        <w:t>，</w:t>
      </w:r>
      <w:r>
        <w:rPr>
          <w:spacing w:val="-3"/>
        </w:rPr>
        <w:t>逐</w:t>
      </w:r>
      <w:r>
        <w:t>点</w:t>
      </w:r>
      <w:r>
        <w:rPr>
          <w:spacing w:val="-3"/>
        </w:rPr>
        <w:t>应</w:t>
      </w:r>
      <w:r>
        <w:t>答</w:t>
      </w:r>
      <w:r>
        <w:rPr>
          <w:spacing w:val="-11"/>
        </w:rPr>
        <w:t>。</w:t>
      </w:r>
      <w:r>
        <w:t>投标</w:t>
      </w:r>
      <w:r>
        <w:rPr>
          <w:spacing w:val="-3"/>
        </w:rPr>
        <w:t>人</w:t>
      </w:r>
      <w:r>
        <w:t>(</w:t>
      </w:r>
      <w:r>
        <w:rPr>
          <w:spacing w:val="-3"/>
        </w:rPr>
        <w:t>公</w:t>
      </w:r>
      <w:r>
        <w:t>章)</w:t>
      </w:r>
      <w:r>
        <w:rPr>
          <w:spacing w:val="5"/>
        </w:rPr>
        <w:t xml:space="preserve"> </w:t>
      </w:r>
      <w:r>
        <w:t>：</w:t>
      </w:r>
      <w:r>
        <w:rPr>
          <w:rFonts w:ascii="Times New Roman" w:eastAsia="Times New Roman"/>
          <w:u w:val="single"/>
        </w:rPr>
        <w:t xml:space="preserve"> </w:t>
      </w:r>
      <w:r>
        <w:rPr>
          <w:rFonts w:ascii="Times New Roman" w:eastAsia="Times New Roman"/>
          <w:u w:val="single"/>
        </w:rPr>
        <w:tab/>
      </w:r>
    </w:p>
    <w:p>
      <w:pPr>
        <w:pStyle w:val="2"/>
        <w:tabs>
          <w:tab w:val="left" w:pos="4698"/>
        </w:tabs>
        <w:spacing w:line="224" w:lineRule="exact"/>
        <w:ind w:left="392"/>
        <w:rPr>
          <w:rFonts w:ascii="Times New Roman" w:eastAsia="Times New Roman"/>
        </w:rPr>
      </w:pPr>
      <w:r>
        <w:t>授权</w:t>
      </w:r>
      <w:r>
        <w:rPr>
          <w:spacing w:val="-3"/>
        </w:rPr>
        <w:t>代</w:t>
      </w:r>
      <w:r>
        <w:t>表</w:t>
      </w:r>
      <w:r>
        <w:rPr>
          <w:spacing w:val="-3"/>
        </w:rPr>
        <w:t>(</w:t>
      </w:r>
      <w:r>
        <w:t>签字)</w:t>
      </w:r>
      <w:r>
        <w:rPr>
          <w:spacing w:val="5"/>
        </w:rPr>
        <w:t xml:space="preserve"> </w:t>
      </w:r>
      <w:r>
        <w:t>：</w:t>
      </w:r>
      <w:r>
        <w:rPr>
          <w:rFonts w:ascii="Times New Roman" w:eastAsia="Times New Roman"/>
          <w:u w:val="single"/>
        </w:rPr>
        <w:t xml:space="preserve"> </w:t>
      </w:r>
      <w:r>
        <w:rPr>
          <w:rFonts w:ascii="Times New Roman" w:eastAsia="Times New Roman"/>
          <w:u w:val="single"/>
        </w:rPr>
        <w:tab/>
      </w:r>
    </w:p>
    <w:p>
      <w:pPr>
        <w:pStyle w:val="2"/>
        <w:spacing w:before="8"/>
        <w:rPr>
          <w:rFonts w:ascii="Times New Roman"/>
          <w:sz w:val="27"/>
        </w:rPr>
      </w:pPr>
    </w:p>
    <w:p>
      <w:pPr>
        <w:pStyle w:val="2"/>
        <w:tabs>
          <w:tab w:val="left" w:pos="2075"/>
          <w:tab w:val="left" w:pos="3123"/>
          <w:tab w:val="left" w:pos="4278"/>
        </w:tabs>
        <w:spacing w:before="72"/>
        <w:ind w:left="392"/>
      </w:pPr>
      <w:r>
        <w:t>日期：</w:t>
      </w:r>
      <w:r>
        <w:rPr>
          <w:u w:val="single"/>
        </w:rPr>
        <w:t xml:space="preserve"> </w:t>
      </w:r>
      <w:r>
        <w:rPr>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spacing w:after="0"/>
        <w:sectPr>
          <w:type w:val="continuous"/>
          <w:pgSz w:w="11910" w:h="16840"/>
          <w:pgMar w:top="1580" w:right="580" w:bottom="280" w:left="740" w:header="720" w:footer="720" w:gutter="0"/>
          <w:pgNumType w:fmt="decimal"/>
          <w:cols w:space="720" w:num="1"/>
        </w:sectPr>
      </w:pPr>
    </w:p>
    <w:p>
      <w:pPr>
        <w:pStyle w:val="5"/>
        <w:spacing w:before="161"/>
      </w:pPr>
      <w:r>
        <w:t>格式七：</w:t>
      </w:r>
    </w:p>
    <w:p>
      <w:pPr>
        <w:pStyle w:val="2"/>
        <w:rPr>
          <w:sz w:val="36"/>
        </w:rPr>
      </w:pPr>
      <w:r>
        <w:br w:type="column"/>
      </w:r>
    </w:p>
    <w:p>
      <w:pPr>
        <w:spacing w:before="281"/>
        <w:ind w:left="392" w:right="0" w:firstLine="0"/>
        <w:jc w:val="left"/>
        <w:rPr>
          <w:b/>
          <w:sz w:val="36"/>
        </w:rPr>
      </w:pPr>
      <w:r>
        <w:rPr>
          <w:b/>
          <w:sz w:val="36"/>
        </w:rPr>
        <w:t>商务条款偏离表</w:t>
      </w:r>
    </w:p>
    <w:p>
      <w:pPr>
        <w:spacing w:after="0"/>
        <w:jc w:val="left"/>
        <w:rPr>
          <w:sz w:val="36"/>
        </w:rPr>
        <w:sectPr>
          <w:pgSz w:w="11910" w:h="16840"/>
          <w:pgMar w:top="1580" w:right="580" w:bottom="1220" w:left="740" w:header="0" w:footer="1040" w:gutter="0"/>
          <w:pgNumType w:fmt="decimal"/>
          <w:cols w:equalWidth="0" w:num="2">
            <w:col w:w="1393" w:space="2159"/>
            <w:col w:w="7038"/>
          </w:cols>
        </w:sectPr>
      </w:pPr>
    </w:p>
    <w:p>
      <w:pPr>
        <w:pStyle w:val="2"/>
        <w:spacing w:before="8"/>
        <w:rPr>
          <w:b/>
          <w:sz w:val="24"/>
        </w:rPr>
      </w:pPr>
    </w:p>
    <w:p>
      <w:pPr>
        <w:pStyle w:val="2"/>
        <w:tabs>
          <w:tab w:val="left" w:pos="5538"/>
        </w:tabs>
        <w:spacing w:before="71"/>
        <w:ind w:left="392"/>
      </w:pPr>
      <w:r>
        <w:t>招标</w:t>
      </w:r>
      <w:r>
        <w:rPr>
          <w:spacing w:val="-3"/>
        </w:rPr>
        <w:t>文</w:t>
      </w:r>
      <w:r>
        <w:t>件</w:t>
      </w:r>
      <w:r>
        <w:rPr>
          <w:spacing w:val="-3"/>
        </w:rPr>
        <w:t>编</w:t>
      </w:r>
      <w:r>
        <w:t>号：</w:t>
      </w:r>
      <w:r>
        <w:tab/>
      </w:r>
      <w:r>
        <w:rPr>
          <w:spacing w:val="-3"/>
        </w:rPr>
        <w:t>标</w:t>
      </w:r>
      <w:r>
        <w:t>包</w:t>
      </w:r>
      <w:r>
        <w:rPr>
          <w:spacing w:val="-3"/>
        </w:rPr>
        <w:t>号</w:t>
      </w:r>
      <w:r>
        <w:t>：</w:t>
      </w:r>
    </w:p>
    <w:p>
      <w:pPr>
        <w:pStyle w:val="2"/>
        <w:spacing w:before="6"/>
        <w:rPr>
          <w:sz w:val="6"/>
        </w:rPr>
      </w:pPr>
    </w:p>
    <w:tbl>
      <w:tblPr>
        <w:tblStyle w:val="15"/>
        <w:tblW w:w="0" w:type="auto"/>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1970"/>
        <w:gridCol w:w="2349"/>
        <w:gridCol w:w="2339"/>
        <w:gridCol w:w="1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1368" w:type="dxa"/>
          </w:tcPr>
          <w:p>
            <w:pPr>
              <w:pStyle w:val="22"/>
              <w:jc w:val="left"/>
              <w:rPr>
                <w:sz w:val="20"/>
              </w:rPr>
            </w:pPr>
          </w:p>
          <w:p>
            <w:pPr>
              <w:pStyle w:val="22"/>
              <w:spacing w:before="138"/>
              <w:ind w:left="453" w:right="444"/>
              <w:rPr>
                <w:sz w:val="21"/>
              </w:rPr>
            </w:pPr>
            <w:r>
              <w:rPr>
                <w:sz w:val="21"/>
              </w:rPr>
              <w:t>序号</w:t>
            </w:r>
          </w:p>
        </w:tc>
        <w:tc>
          <w:tcPr>
            <w:tcW w:w="1970" w:type="dxa"/>
          </w:tcPr>
          <w:p>
            <w:pPr>
              <w:pStyle w:val="22"/>
              <w:spacing w:before="9"/>
              <w:jc w:val="left"/>
              <w:rPr>
                <w:sz w:val="16"/>
              </w:rPr>
            </w:pPr>
          </w:p>
          <w:p>
            <w:pPr>
              <w:pStyle w:val="22"/>
              <w:spacing w:line="321" w:lineRule="auto"/>
              <w:ind w:left="669" w:right="551" w:hanging="106"/>
              <w:jc w:val="left"/>
              <w:rPr>
                <w:sz w:val="21"/>
              </w:rPr>
            </w:pPr>
            <w:r>
              <w:rPr>
                <w:sz w:val="21"/>
              </w:rPr>
              <w:t>招标文件条目号</w:t>
            </w:r>
          </w:p>
        </w:tc>
        <w:tc>
          <w:tcPr>
            <w:tcW w:w="2349" w:type="dxa"/>
          </w:tcPr>
          <w:p>
            <w:pPr>
              <w:pStyle w:val="22"/>
              <w:spacing w:before="9"/>
              <w:jc w:val="left"/>
              <w:rPr>
                <w:sz w:val="16"/>
              </w:rPr>
            </w:pPr>
          </w:p>
          <w:p>
            <w:pPr>
              <w:pStyle w:val="22"/>
              <w:spacing w:line="321" w:lineRule="auto"/>
              <w:ind w:left="756" w:right="632" w:hanging="106"/>
              <w:jc w:val="left"/>
              <w:rPr>
                <w:sz w:val="21"/>
              </w:rPr>
            </w:pPr>
            <w:r>
              <w:rPr>
                <w:sz w:val="21"/>
              </w:rPr>
              <w:t>招标文件的商务条款</w:t>
            </w:r>
          </w:p>
        </w:tc>
        <w:tc>
          <w:tcPr>
            <w:tcW w:w="2339" w:type="dxa"/>
          </w:tcPr>
          <w:p>
            <w:pPr>
              <w:pStyle w:val="22"/>
              <w:spacing w:before="9"/>
              <w:jc w:val="left"/>
              <w:rPr>
                <w:sz w:val="16"/>
              </w:rPr>
            </w:pPr>
          </w:p>
          <w:p>
            <w:pPr>
              <w:pStyle w:val="22"/>
              <w:spacing w:line="321" w:lineRule="auto"/>
              <w:ind w:left="749" w:right="629" w:hanging="106"/>
              <w:jc w:val="left"/>
              <w:rPr>
                <w:sz w:val="21"/>
              </w:rPr>
            </w:pPr>
            <w:r>
              <w:rPr>
                <w:sz w:val="21"/>
              </w:rPr>
              <w:t>投标文件的商务条款</w:t>
            </w:r>
          </w:p>
        </w:tc>
        <w:tc>
          <w:tcPr>
            <w:tcW w:w="1619" w:type="dxa"/>
          </w:tcPr>
          <w:p>
            <w:pPr>
              <w:pStyle w:val="22"/>
              <w:jc w:val="left"/>
              <w:rPr>
                <w:sz w:val="20"/>
              </w:rPr>
            </w:pPr>
          </w:p>
          <w:p>
            <w:pPr>
              <w:pStyle w:val="22"/>
              <w:spacing w:before="138"/>
              <w:ind w:left="583" w:right="566"/>
              <w:rPr>
                <w:sz w:val="21"/>
              </w:rPr>
            </w:pPr>
            <w:r>
              <w:rPr>
                <w:sz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368" w:type="dxa"/>
          </w:tcPr>
          <w:p>
            <w:pPr>
              <w:pStyle w:val="22"/>
              <w:jc w:val="left"/>
              <w:rPr>
                <w:rFonts w:ascii="Times New Roman"/>
                <w:sz w:val="22"/>
              </w:rPr>
            </w:pPr>
          </w:p>
        </w:tc>
        <w:tc>
          <w:tcPr>
            <w:tcW w:w="1970" w:type="dxa"/>
          </w:tcPr>
          <w:p>
            <w:pPr>
              <w:pStyle w:val="22"/>
              <w:jc w:val="left"/>
              <w:rPr>
                <w:rFonts w:ascii="Times New Roman"/>
                <w:sz w:val="22"/>
              </w:rPr>
            </w:pPr>
          </w:p>
        </w:tc>
        <w:tc>
          <w:tcPr>
            <w:tcW w:w="2349" w:type="dxa"/>
          </w:tcPr>
          <w:p>
            <w:pPr>
              <w:pStyle w:val="22"/>
              <w:jc w:val="left"/>
              <w:rPr>
                <w:rFonts w:ascii="Times New Roman"/>
                <w:sz w:val="22"/>
              </w:rPr>
            </w:pPr>
          </w:p>
        </w:tc>
        <w:tc>
          <w:tcPr>
            <w:tcW w:w="2339" w:type="dxa"/>
          </w:tcPr>
          <w:p>
            <w:pPr>
              <w:pStyle w:val="22"/>
              <w:jc w:val="left"/>
              <w:rPr>
                <w:rFonts w:ascii="Times New Roman"/>
                <w:sz w:val="22"/>
              </w:rPr>
            </w:pPr>
          </w:p>
        </w:tc>
        <w:tc>
          <w:tcPr>
            <w:tcW w:w="1619"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368" w:type="dxa"/>
          </w:tcPr>
          <w:p>
            <w:pPr>
              <w:pStyle w:val="22"/>
              <w:jc w:val="left"/>
              <w:rPr>
                <w:rFonts w:ascii="Times New Roman"/>
                <w:sz w:val="22"/>
              </w:rPr>
            </w:pPr>
          </w:p>
        </w:tc>
        <w:tc>
          <w:tcPr>
            <w:tcW w:w="1970" w:type="dxa"/>
          </w:tcPr>
          <w:p>
            <w:pPr>
              <w:pStyle w:val="22"/>
              <w:jc w:val="left"/>
              <w:rPr>
                <w:rFonts w:ascii="Times New Roman"/>
                <w:sz w:val="22"/>
              </w:rPr>
            </w:pPr>
          </w:p>
        </w:tc>
        <w:tc>
          <w:tcPr>
            <w:tcW w:w="2349" w:type="dxa"/>
          </w:tcPr>
          <w:p>
            <w:pPr>
              <w:pStyle w:val="22"/>
              <w:jc w:val="left"/>
              <w:rPr>
                <w:rFonts w:ascii="Times New Roman"/>
                <w:sz w:val="22"/>
              </w:rPr>
            </w:pPr>
          </w:p>
        </w:tc>
        <w:tc>
          <w:tcPr>
            <w:tcW w:w="2339" w:type="dxa"/>
          </w:tcPr>
          <w:p>
            <w:pPr>
              <w:pStyle w:val="22"/>
              <w:jc w:val="left"/>
              <w:rPr>
                <w:rFonts w:ascii="Times New Roman"/>
                <w:sz w:val="22"/>
              </w:rPr>
            </w:pPr>
          </w:p>
        </w:tc>
        <w:tc>
          <w:tcPr>
            <w:tcW w:w="1619"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368" w:type="dxa"/>
          </w:tcPr>
          <w:p>
            <w:pPr>
              <w:pStyle w:val="22"/>
              <w:jc w:val="left"/>
              <w:rPr>
                <w:rFonts w:ascii="Times New Roman"/>
                <w:sz w:val="22"/>
              </w:rPr>
            </w:pPr>
          </w:p>
        </w:tc>
        <w:tc>
          <w:tcPr>
            <w:tcW w:w="1970" w:type="dxa"/>
          </w:tcPr>
          <w:p>
            <w:pPr>
              <w:pStyle w:val="22"/>
              <w:jc w:val="left"/>
              <w:rPr>
                <w:rFonts w:ascii="Times New Roman"/>
                <w:sz w:val="22"/>
              </w:rPr>
            </w:pPr>
          </w:p>
        </w:tc>
        <w:tc>
          <w:tcPr>
            <w:tcW w:w="2349" w:type="dxa"/>
          </w:tcPr>
          <w:p>
            <w:pPr>
              <w:pStyle w:val="22"/>
              <w:jc w:val="left"/>
              <w:rPr>
                <w:rFonts w:ascii="Times New Roman"/>
                <w:sz w:val="22"/>
              </w:rPr>
            </w:pPr>
          </w:p>
        </w:tc>
        <w:tc>
          <w:tcPr>
            <w:tcW w:w="2339" w:type="dxa"/>
          </w:tcPr>
          <w:p>
            <w:pPr>
              <w:pStyle w:val="22"/>
              <w:jc w:val="left"/>
              <w:rPr>
                <w:rFonts w:ascii="Times New Roman"/>
                <w:sz w:val="22"/>
              </w:rPr>
            </w:pPr>
          </w:p>
        </w:tc>
        <w:tc>
          <w:tcPr>
            <w:tcW w:w="1619"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368" w:type="dxa"/>
          </w:tcPr>
          <w:p>
            <w:pPr>
              <w:pStyle w:val="22"/>
              <w:jc w:val="left"/>
              <w:rPr>
                <w:rFonts w:ascii="Times New Roman"/>
                <w:sz w:val="22"/>
              </w:rPr>
            </w:pPr>
          </w:p>
        </w:tc>
        <w:tc>
          <w:tcPr>
            <w:tcW w:w="1970" w:type="dxa"/>
          </w:tcPr>
          <w:p>
            <w:pPr>
              <w:pStyle w:val="22"/>
              <w:jc w:val="left"/>
              <w:rPr>
                <w:rFonts w:ascii="Times New Roman"/>
                <w:sz w:val="22"/>
              </w:rPr>
            </w:pPr>
          </w:p>
        </w:tc>
        <w:tc>
          <w:tcPr>
            <w:tcW w:w="2349" w:type="dxa"/>
          </w:tcPr>
          <w:p>
            <w:pPr>
              <w:pStyle w:val="22"/>
              <w:jc w:val="left"/>
              <w:rPr>
                <w:rFonts w:ascii="Times New Roman"/>
                <w:sz w:val="22"/>
              </w:rPr>
            </w:pPr>
          </w:p>
        </w:tc>
        <w:tc>
          <w:tcPr>
            <w:tcW w:w="2339" w:type="dxa"/>
          </w:tcPr>
          <w:p>
            <w:pPr>
              <w:pStyle w:val="22"/>
              <w:jc w:val="left"/>
              <w:rPr>
                <w:rFonts w:ascii="Times New Roman"/>
                <w:sz w:val="22"/>
              </w:rPr>
            </w:pPr>
          </w:p>
        </w:tc>
        <w:tc>
          <w:tcPr>
            <w:tcW w:w="1619"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368" w:type="dxa"/>
          </w:tcPr>
          <w:p>
            <w:pPr>
              <w:pStyle w:val="22"/>
              <w:jc w:val="left"/>
              <w:rPr>
                <w:rFonts w:ascii="Times New Roman"/>
                <w:sz w:val="22"/>
              </w:rPr>
            </w:pPr>
          </w:p>
        </w:tc>
        <w:tc>
          <w:tcPr>
            <w:tcW w:w="1970" w:type="dxa"/>
          </w:tcPr>
          <w:p>
            <w:pPr>
              <w:pStyle w:val="22"/>
              <w:jc w:val="left"/>
              <w:rPr>
                <w:rFonts w:ascii="Times New Roman"/>
                <w:sz w:val="22"/>
              </w:rPr>
            </w:pPr>
          </w:p>
        </w:tc>
        <w:tc>
          <w:tcPr>
            <w:tcW w:w="2349" w:type="dxa"/>
          </w:tcPr>
          <w:p>
            <w:pPr>
              <w:pStyle w:val="22"/>
              <w:jc w:val="left"/>
              <w:rPr>
                <w:rFonts w:ascii="Times New Roman"/>
                <w:sz w:val="22"/>
              </w:rPr>
            </w:pPr>
          </w:p>
        </w:tc>
        <w:tc>
          <w:tcPr>
            <w:tcW w:w="2339" w:type="dxa"/>
          </w:tcPr>
          <w:p>
            <w:pPr>
              <w:pStyle w:val="22"/>
              <w:jc w:val="left"/>
              <w:rPr>
                <w:rFonts w:ascii="Times New Roman"/>
                <w:sz w:val="22"/>
              </w:rPr>
            </w:pPr>
          </w:p>
        </w:tc>
        <w:tc>
          <w:tcPr>
            <w:tcW w:w="1619"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368" w:type="dxa"/>
          </w:tcPr>
          <w:p>
            <w:pPr>
              <w:pStyle w:val="22"/>
              <w:jc w:val="left"/>
              <w:rPr>
                <w:rFonts w:ascii="Times New Roman"/>
                <w:sz w:val="22"/>
              </w:rPr>
            </w:pPr>
          </w:p>
        </w:tc>
        <w:tc>
          <w:tcPr>
            <w:tcW w:w="1970" w:type="dxa"/>
          </w:tcPr>
          <w:p>
            <w:pPr>
              <w:pStyle w:val="22"/>
              <w:jc w:val="left"/>
              <w:rPr>
                <w:rFonts w:ascii="Times New Roman"/>
                <w:sz w:val="22"/>
              </w:rPr>
            </w:pPr>
          </w:p>
        </w:tc>
        <w:tc>
          <w:tcPr>
            <w:tcW w:w="2349" w:type="dxa"/>
          </w:tcPr>
          <w:p>
            <w:pPr>
              <w:pStyle w:val="22"/>
              <w:jc w:val="left"/>
              <w:rPr>
                <w:rFonts w:ascii="Times New Roman"/>
                <w:sz w:val="22"/>
              </w:rPr>
            </w:pPr>
          </w:p>
        </w:tc>
        <w:tc>
          <w:tcPr>
            <w:tcW w:w="2339" w:type="dxa"/>
          </w:tcPr>
          <w:p>
            <w:pPr>
              <w:pStyle w:val="22"/>
              <w:jc w:val="left"/>
              <w:rPr>
                <w:rFonts w:ascii="Times New Roman"/>
                <w:sz w:val="22"/>
              </w:rPr>
            </w:pPr>
          </w:p>
        </w:tc>
        <w:tc>
          <w:tcPr>
            <w:tcW w:w="1619"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368" w:type="dxa"/>
          </w:tcPr>
          <w:p>
            <w:pPr>
              <w:pStyle w:val="22"/>
              <w:jc w:val="left"/>
              <w:rPr>
                <w:rFonts w:ascii="Times New Roman"/>
                <w:sz w:val="22"/>
              </w:rPr>
            </w:pPr>
          </w:p>
        </w:tc>
        <w:tc>
          <w:tcPr>
            <w:tcW w:w="1970" w:type="dxa"/>
          </w:tcPr>
          <w:p>
            <w:pPr>
              <w:pStyle w:val="22"/>
              <w:jc w:val="left"/>
              <w:rPr>
                <w:rFonts w:ascii="Times New Roman"/>
                <w:sz w:val="22"/>
              </w:rPr>
            </w:pPr>
          </w:p>
        </w:tc>
        <w:tc>
          <w:tcPr>
            <w:tcW w:w="2349" w:type="dxa"/>
          </w:tcPr>
          <w:p>
            <w:pPr>
              <w:pStyle w:val="22"/>
              <w:jc w:val="left"/>
              <w:rPr>
                <w:rFonts w:ascii="Times New Roman"/>
                <w:sz w:val="22"/>
              </w:rPr>
            </w:pPr>
          </w:p>
        </w:tc>
        <w:tc>
          <w:tcPr>
            <w:tcW w:w="2339" w:type="dxa"/>
          </w:tcPr>
          <w:p>
            <w:pPr>
              <w:pStyle w:val="22"/>
              <w:jc w:val="left"/>
              <w:rPr>
                <w:rFonts w:ascii="Times New Roman"/>
                <w:sz w:val="22"/>
              </w:rPr>
            </w:pPr>
          </w:p>
        </w:tc>
        <w:tc>
          <w:tcPr>
            <w:tcW w:w="1619"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368" w:type="dxa"/>
          </w:tcPr>
          <w:p>
            <w:pPr>
              <w:pStyle w:val="22"/>
              <w:jc w:val="left"/>
              <w:rPr>
                <w:rFonts w:ascii="Times New Roman"/>
                <w:sz w:val="22"/>
              </w:rPr>
            </w:pPr>
          </w:p>
        </w:tc>
        <w:tc>
          <w:tcPr>
            <w:tcW w:w="1970" w:type="dxa"/>
          </w:tcPr>
          <w:p>
            <w:pPr>
              <w:pStyle w:val="22"/>
              <w:jc w:val="left"/>
              <w:rPr>
                <w:rFonts w:ascii="Times New Roman"/>
                <w:sz w:val="22"/>
              </w:rPr>
            </w:pPr>
          </w:p>
        </w:tc>
        <w:tc>
          <w:tcPr>
            <w:tcW w:w="2349" w:type="dxa"/>
          </w:tcPr>
          <w:p>
            <w:pPr>
              <w:pStyle w:val="22"/>
              <w:jc w:val="left"/>
              <w:rPr>
                <w:rFonts w:ascii="Times New Roman"/>
                <w:sz w:val="22"/>
              </w:rPr>
            </w:pPr>
          </w:p>
        </w:tc>
        <w:tc>
          <w:tcPr>
            <w:tcW w:w="2339" w:type="dxa"/>
          </w:tcPr>
          <w:p>
            <w:pPr>
              <w:pStyle w:val="22"/>
              <w:jc w:val="left"/>
              <w:rPr>
                <w:rFonts w:ascii="Times New Roman"/>
                <w:sz w:val="22"/>
              </w:rPr>
            </w:pPr>
          </w:p>
        </w:tc>
        <w:tc>
          <w:tcPr>
            <w:tcW w:w="1619"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368" w:type="dxa"/>
          </w:tcPr>
          <w:p>
            <w:pPr>
              <w:pStyle w:val="22"/>
              <w:jc w:val="left"/>
              <w:rPr>
                <w:rFonts w:ascii="Times New Roman"/>
                <w:sz w:val="22"/>
              </w:rPr>
            </w:pPr>
          </w:p>
        </w:tc>
        <w:tc>
          <w:tcPr>
            <w:tcW w:w="1970" w:type="dxa"/>
          </w:tcPr>
          <w:p>
            <w:pPr>
              <w:pStyle w:val="22"/>
              <w:jc w:val="left"/>
              <w:rPr>
                <w:rFonts w:ascii="Times New Roman"/>
                <w:sz w:val="22"/>
              </w:rPr>
            </w:pPr>
          </w:p>
        </w:tc>
        <w:tc>
          <w:tcPr>
            <w:tcW w:w="2349" w:type="dxa"/>
          </w:tcPr>
          <w:p>
            <w:pPr>
              <w:pStyle w:val="22"/>
              <w:jc w:val="left"/>
              <w:rPr>
                <w:rFonts w:ascii="Times New Roman"/>
                <w:sz w:val="22"/>
              </w:rPr>
            </w:pPr>
          </w:p>
        </w:tc>
        <w:tc>
          <w:tcPr>
            <w:tcW w:w="2339" w:type="dxa"/>
          </w:tcPr>
          <w:p>
            <w:pPr>
              <w:pStyle w:val="22"/>
              <w:jc w:val="left"/>
              <w:rPr>
                <w:rFonts w:ascii="Times New Roman"/>
                <w:sz w:val="22"/>
              </w:rPr>
            </w:pPr>
          </w:p>
        </w:tc>
        <w:tc>
          <w:tcPr>
            <w:tcW w:w="1619"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368" w:type="dxa"/>
          </w:tcPr>
          <w:p>
            <w:pPr>
              <w:pStyle w:val="22"/>
              <w:jc w:val="left"/>
              <w:rPr>
                <w:rFonts w:ascii="Times New Roman"/>
                <w:sz w:val="22"/>
              </w:rPr>
            </w:pPr>
          </w:p>
        </w:tc>
        <w:tc>
          <w:tcPr>
            <w:tcW w:w="1970" w:type="dxa"/>
          </w:tcPr>
          <w:p>
            <w:pPr>
              <w:pStyle w:val="22"/>
              <w:jc w:val="left"/>
              <w:rPr>
                <w:rFonts w:ascii="Times New Roman"/>
                <w:sz w:val="22"/>
              </w:rPr>
            </w:pPr>
          </w:p>
        </w:tc>
        <w:tc>
          <w:tcPr>
            <w:tcW w:w="2349" w:type="dxa"/>
          </w:tcPr>
          <w:p>
            <w:pPr>
              <w:pStyle w:val="22"/>
              <w:jc w:val="left"/>
              <w:rPr>
                <w:rFonts w:ascii="Times New Roman"/>
                <w:sz w:val="22"/>
              </w:rPr>
            </w:pPr>
          </w:p>
        </w:tc>
        <w:tc>
          <w:tcPr>
            <w:tcW w:w="2339" w:type="dxa"/>
          </w:tcPr>
          <w:p>
            <w:pPr>
              <w:pStyle w:val="22"/>
              <w:jc w:val="left"/>
              <w:rPr>
                <w:rFonts w:ascii="Times New Roman"/>
                <w:sz w:val="22"/>
              </w:rPr>
            </w:pPr>
          </w:p>
        </w:tc>
        <w:tc>
          <w:tcPr>
            <w:tcW w:w="1619" w:type="dxa"/>
          </w:tcPr>
          <w:p>
            <w:pPr>
              <w:pStyle w:val="22"/>
              <w:jc w:val="left"/>
              <w:rPr>
                <w:rFonts w:ascii="Times New Roman"/>
                <w:sz w:val="22"/>
              </w:rPr>
            </w:pPr>
          </w:p>
        </w:tc>
      </w:tr>
    </w:tbl>
    <w:p>
      <w:pPr>
        <w:pStyle w:val="2"/>
        <w:spacing w:before="3"/>
        <w:rPr>
          <w:sz w:val="27"/>
        </w:rPr>
      </w:pPr>
    </w:p>
    <w:p>
      <w:pPr>
        <w:pStyle w:val="2"/>
        <w:ind w:left="392"/>
      </w:pPr>
      <w:r>
        <w:t>我方承诺：完全响应招标文件的其他条款。</w:t>
      </w:r>
    </w:p>
    <w:p>
      <w:pPr>
        <w:pStyle w:val="2"/>
        <w:rPr>
          <w:sz w:val="20"/>
        </w:rPr>
      </w:pPr>
    </w:p>
    <w:p>
      <w:pPr>
        <w:pStyle w:val="2"/>
        <w:rPr>
          <w:sz w:val="20"/>
        </w:rPr>
      </w:pPr>
    </w:p>
    <w:p>
      <w:pPr>
        <w:pStyle w:val="2"/>
        <w:spacing w:before="4"/>
        <w:rPr>
          <w:sz w:val="20"/>
        </w:rPr>
      </w:pPr>
    </w:p>
    <w:p>
      <w:pPr>
        <w:pStyle w:val="2"/>
        <w:tabs>
          <w:tab w:val="left" w:pos="4069"/>
          <w:tab w:val="left" w:pos="5852"/>
          <w:tab w:val="left" w:pos="9315"/>
        </w:tabs>
        <w:ind w:left="392"/>
        <w:rPr>
          <w:rFonts w:ascii="Times New Roman" w:eastAsia="Times New Roman"/>
        </w:rPr>
      </w:pPr>
      <w:r>
        <w:t>投标</w:t>
      </w:r>
      <w:r>
        <w:rPr>
          <w:spacing w:val="-3"/>
        </w:rPr>
        <w:t>人</w:t>
      </w:r>
      <w:r>
        <w:t>(</w:t>
      </w:r>
      <w:r>
        <w:rPr>
          <w:spacing w:val="-3"/>
        </w:rPr>
        <w:t>公</w:t>
      </w:r>
      <w:r>
        <w:t>章)</w:t>
      </w:r>
      <w:r>
        <w:rPr>
          <w:spacing w:val="1"/>
        </w:rPr>
        <w:t xml:space="preserve"> </w:t>
      </w:r>
      <w:r>
        <w:t>：</w:t>
      </w:r>
      <w:r>
        <w:rPr>
          <w:u w:val="single"/>
        </w:rPr>
        <w:t xml:space="preserve"> </w:t>
      </w:r>
      <w:r>
        <w:rPr>
          <w:u w:val="single"/>
        </w:rPr>
        <w:tab/>
      </w:r>
      <w:r>
        <w:tab/>
      </w:r>
      <w:r>
        <w:t>授</w:t>
      </w:r>
      <w:r>
        <w:rPr>
          <w:spacing w:val="-3"/>
        </w:rPr>
        <w:t>权</w:t>
      </w:r>
      <w:r>
        <w:t>代</w:t>
      </w:r>
      <w:r>
        <w:rPr>
          <w:spacing w:val="-3"/>
        </w:rPr>
        <w:t>表</w:t>
      </w:r>
      <w:r>
        <w:t>(</w:t>
      </w:r>
      <w:r>
        <w:rPr>
          <w:spacing w:val="-3"/>
        </w:rPr>
        <w:t>签</w:t>
      </w:r>
      <w:r>
        <w:t>字)</w:t>
      </w:r>
      <w:r>
        <w:rPr>
          <w:spacing w:val="7"/>
        </w:rPr>
        <w:t xml:space="preserve"> </w:t>
      </w:r>
      <w:r>
        <w:rPr>
          <w:spacing w:val="-3"/>
        </w:rPr>
        <w:t>：</w:t>
      </w:r>
      <w:r>
        <w:rPr>
          <w:rFonts w:ascii="Times New Roman" w:eastAsia="Times New Roman"/>
          <w:u w:val="single"/>
        </w:rPr>
        <w:t xml:space="preserve"> </w:t>
      </w:r>
      <w:r>
        <w:rPr>
          <w:rFonts w:ascii="Times New Roman" w:eastAsia="Times New Roman"/>
          <w:u w:val="single"/>
        </w:rPr>
        <w:tab/>
      </w:r>
    </w:p>
    <w:p>
      <w:pPr>
        <w:pStyle w:val="2"/>
        <w:spacing w:before="9"/>
        <w:rPr>
          <w:rFonts w:ascii="Times New Roman"/>
          <w:sz w:val="27"/>
        </w:rPr>
      </w:pPr>
    </w:p>
    <w:p>
      <w:pPr>
        <w:pStyle w:val="2"/>
        <w:tabs>
          <w:tab w:val="left" w:pos="7196"/>
          <w:tab w:val="left" w:pos="8139"/>
          <w:tab w:val="left" w:pos="9191"/>
        </w:tabs>
        <w:spacing w:before="72"/>
        <w:ind w:left="5620"/>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type w:val="continuous"/>
          <w:pgSz w:w="11910" w:h="16840"/>
          <w:pgMar w:top="1580" w:right="580" w:bottom="280" w:left="740" w:header="720" w:footer="720" w:gutter="0"/>
          <w:pgNumType w:fmt="decimal"/>
          <w:cols w:space="720" w:num="1"/>
        </w:sectPr>
      </w:pPr>
    </w:p>
    <w:p>
      <w:pPr>
        <w:pStyle w:val="2"/>
        <w:rPr>
          <w:sz w:val="20"/>
        </w:rPr>
      </w:pPr>
    </w:p>
    <w:p>
      <w:pPr>
        <w:pStyle w:val="2"/>
        <w:rPr>
          <w:sz w:val="26"/>
        </w:rPr>
      </w:pPr>
    </w:p>
    <w:p>
      <w:pPr>
        <w:spacing w:after="0"/>
        <w:rPr>
          <w:sz w:val="26"/>
        </w:rPr>
        <w:sectPr>
          <w:pgSz w:w="11910" w:h="16840"/>
          <w:pgMar w:top="1580" w:right="580" w:bottom="1220" w:left="740" w:header="0" w:footer="1040" w:gutter="0"/>
          <w:pgNumType w:fmt="decimal"/>
          <w:cols w:space="720" w:num="1"/>
        </w:sectPr>
      </w:pPr>
    </w:p>
    <w:p>
      <w:pPr>
        <w:pStyle w:val="5"/>
        <w:spacing w:before="66"/>
      </w:pPr>
      <w:r>
        <w:t>格式八：</w:t>
      </w:r>
    </w:p>
    <w:p>
      <w:pPr>
        <w:pStyle w:val="2"/>
        <w:rPr>
          <w:sz w:val="40"/>
        </w:rPr>
      </w:pPr>
      <w:r>
        <w:br w:type="column"/>
      </w:r>
    </w:p>
    <w:p>
      <w:pPr>
        <w:spacing w:before="0"/>
        <w:ind w:left="392" w:right="0" w:firstLine="0"/>
        <w:jc w:val="left"/>
        <w:rPr>
          <w:b/>
          <w:sz w:val="36"/>
        </w:rPr>
      </w:pPr>
      <w:r>
        <w:rPr>
          <w:b/>
          <w:sz w:val="36"/>
        </w:rPr>
        <w:t>交货一览表</w:t>
      </w:r>
    </w:p>
    <w:p>
      <w:pPr>
        <w:spacing w:after="0"/>
        <w:jc w:val="left"/>
        <w:rPr>
          <w:sz w:val="36"/>
        </w:rPr>
        <w:sectPr>
          <w:type w:val="continuous"/>
          <w:pgSz w:w="11910" w:h="16840"/>
          <w:pgMar w:top="1580" w:right="580" w:bottom="280" w:left="740" w:header="720" w:footer="720" w:gutter="0"/>
          <w:pgNumType w:fmt="decimal"/>
          <w:cols w:equalWidth="0" w:num="2">
            <w:col w:w="1393" w:space="2423"/>
            <w:col w:w="6774"/>
          </w:cols>
        </w:sectPr>
      </w:pPr>
    </w:p>
    <w:p>
      <w:pPr>
        <w:pStyle w:val="2"/>
        <w:rPr>
          <w:b/>
          <w:sz w:val="20"/>
        </w:rPr>
      </w:pPr>
    </w:p>
    <w:p>
      <w:pPr>
        <w:pStyle w:val="2"/>
        <w:spacing w:before="9" w:after="1"/>
        <w:rPr>
          <w:b/>
          <w:sz w:val="12"/>
        </w:rPr>
      </w:pPr>
    </w:p>
    <w:tbl>
      <w:tblPr>
        <w:tblStyle w:val="15"/>
        <w:tblW w:w="0" w:type="auto"/>
        <w:tblInd w:w="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800"/>
        <w:gridCol w:w="1620"/>
        <w:gridCol w:w="1080"/>
        <w:gridCol w:w="1080"/>
        <w:gridCol w:w="1409"/>
        <w:gridCol w:w="1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1008" w:type="dxa"/>
          </w:tcPr>
          <w:p>
            <w:pPr>
              <w:pStyle w:val="22"/>
              <w:jc w:val="left"/>
              <w:rPr>
                <w:b/>
                <w:sz w:val="20"/>
              </w:rPr>
            </w:pPr>
          </w:p>
          <w:p>
            <w:pPr>
              <w:pStyle w:val="22"/>
              <w:spacing w:before="8"/>
              <w:jc w:val="left"/>
              <w:rPr>
                <w:b/>
                <w:sz w:val="18"/>
              </w:rPr>
            </w:pPr>
          </w:p>
          <w:p>
            <w:pPr>
              <w:pStyle w:val="22"/>
              <w:ind w:left="295"/>
              <w:jc w:val="left"/>
              <w:rPr>
                <w:sz w:val="21"/>
              </w:rPr>
            </w:pPr>
            <w:r>
              <w:rPr>
                <w:sz w:val="21"/>
              </w:rPr>
              <w:t>项号</w:t>
            </w:r>
          </w:p>
        </w:tc>
        <w:tc>
          <w:tcPr>
            <w:tcW w:w="1800" w:type="dxa"/>
          </w:tcPr>
          <w:p>
            <w:pPr>
              <w:pStyle w:val="22"/>
              <w:jc w:val="left"/>
              <w:rPr>
                <w:b/>
                <w:sz w:val="20"/>
              </w:rPr>
            </w:pPr>
          </w:p>
          <w:p>
            <w:pPr>
              <w:pStyle w:val="22"/>
              <w:spacing w:before="8"/>
              <w:jc w:val="left"/>
              <w:rPr>
                <w:b/>
                <w:sz w:val="18"/>
              </w:rPr>
            </w:pPr>
          </w:p>
          <w:p>
            <w:pPr>
              <w:pStyle w:val="22"/>
              <w:ind w:left="482"/>
              <w:jc w:val="left"/>
              <w:rPr>
                <w:sz w:val="21"/>
              </w:rPr>
            </w:pPr>
            <w:r>
              <w:rPr>
                <w:sz w:val="21"/>
              </w:rPr>
              <w:t>货物名称</w:t>
            </w:r>
          </w:p>
        </w:tc>
        <w:tc>
          <w:tcPr>
            <w:tcW w:w="1620" w:type="dxa"/>
          </w:tcPr>
          <w:p>
            <w:pPr>
              <w:pStyle w:val="22"/>
              <w:jc w:val="left"/>
              <w:rPr>
                <w:b/>
                <w:sz w:val="20"/>
              </w:rPr>
            </w:pPr>
          </w:p>
          <w:p>
            <w:pPr>
              <w:pStyle w:val="22"/>
              <w:spacing w:before="8"/>
              <w:jc w:val="left"/>
              <w:rPr>
                <w:b/>
                <w:sz w:val="18"/>
              </w:rPr>
            </w:pPr>
          </w:p>
          <w:p>
            <w:pPr>
              <w:pStyle w:val="22"/>
              <w:ind w:left="391"/>
              <w:jc w:val="left"/>
              <w:rPr>
                <w:sz w:val="21"/>
              </w:rPr>
            </w:pPr>
            <w:r>
              <w:rPr>
                <w:sz w:val="21"/>
              </w:rPr>
              <w:t>规格型号</w:t>
            </w:r>
          </w:p>
        </w:tc>
        <w:tc>
          <w:tcPr>
            <w:tcW w:w="1080" w:type="dxa"/>
          </w:tcPr>
          <w:p>
            <w:pPr>
              <w:pStyle w:val="22"/>
              <w:spacing w:before="7"/>
              <w:jc w:val="left"/>
              <w:rPr>
                <w:b/>
                <w:sz w:val="24"/>
              </w:rPr>
            </w:pPr>
          </w:p>
          <w:p>
            <w:pPr>
              <w:pStyle w:val="22"/>
              <w:spacing w:before="1" w:line="321" w:lineRule="auto"/>
              <w:ind w:left="436" w:right="420"/>
              <w:rPr>
                <w:sz w:val="21"/>
              </w:rPr>
            </w:pPr>
            <w:r>
              <w:rPr>
                <w:sz w:val="21"/>
              </w:rPr>
              <w:t>单位</w:t>
            </w:r>
          </w:p>
        </w:tc>
        <w:tc>
          <w:tcPr>
            <w:tcW w:w="1080" w:type="dxa"/>
          </w:tcPr>
          <w:p>
            <w:pPr>
              <w:pStyle w:val="22"/>
              <w:spacing w:before="7"/>
              <w:jc w:val="left"/>
              <w:rPr>
                <w:b/>
                <w:sz w:val="24"/>
              </w:rPr>
            </w:pPr>
          </w:p>
          <w:p>
            <w:pPr>
              <w:pStyle w:val="22"/>
              <w:spacing w:before="1" w:line="321" w:lineRule="auto"/>
              <w:ind w:left="436" w:right="420"/>
              <w:rPr>
                <w:sz w:val="21"/>
              </w:rPr>
            </w:pPr>
            <w:r>
              <w:rPr>
                <w:sz w:val="21"/>
              </w:rPr>
              <w:t>数量</w:t>
            </w:r>
          </w:p>
        </w:tc>
        <w:tc>
          <w:tcPr>
            <w:tcW w:w="1409" w:type="dxa"/>
          </w:tcPr>
          <w:p>
            <w:pPr>
              <w:pStyle w:val="22"/>
              <w:jc w:val="left"/>
              <w:rPr>
                <w:b/>
                <w:sz w:val="20"/>
              </w:rPr>
            </w:pPr>
          </w:p>
          <w:p>
            <w:pPr>
              <w:pStyle w:val="22"/>
              <w:spacing w:before="8"/>
              <w:jc w:val="left"/>
              <w:rPr>
                <w:b/>
                <w:sz w:val="18"/>
              </w:rPr>
            </w:pPr>
          </w:p>
          <w:p>
            <w:pPr>
              <w:pStyle w:val="22"/>
              <w:ind w:left="391"/>
              <w:jc w:val="left"/>
              <w:rPr>
                <w:sz w:val="21"/>
              </w:rPr>
            </w:pPr>
            <w:r>
              <w:rPr>
                <w:sz w:val="21"/>
              </w:rPr>
              <w:t>交货期</w:t>
            </w:r>
          </w:p>
        </w:tc>
        <w:tc>
          <w:tcPr>
            <w:tcW w:w="1831" w:type="dxa"/>
          </w:tcPr>
          <w:p>
            <w:pPr>
              <w:pStyle w:val="22"/>
              <w:jc w:val="left"/>
              <w:rPr>
                <w:b/>
                <w:sz w:val="20"/>
              </w:rPr>
            </w:pPr>
          </w:p>
          <w:p>
            <w:pPr>
              <w:pStyle w:val="22"/>
              <w:spacing w:before="8"/>
              <w:jc w:val="left"/>
              <w:rPr>
                <w:b/>
                <w:sz w:val="18"/>
              </w:rPr>
            </w:pPr>
          </w:p>
          <w:p>
            <w:pPr>
              <w:pStyle w:val="22"/>
              <w:ind w:left="496"/>
              <w:jc w:val="left"/>
              <w:rPr>
                <w:sz w:val="21"/>
              </w:rPr>
            </w:pPr>
            <w:r>
              <w:rPr>
                <w:sz w:val="21"/>
              </w:rPr>
              <w:t>交货地点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1008" w:type="dxa"/>
          </w:tcPr>
          <w:p>
            <w:pPr>
              <w:pStyle w:val="22"/>
              <w:jc w:val="left"/>
              <w:rPr>
                <w:rFonts w:ascii="Times New Roman"/>
                <w:sz w:val="22"/>
              </w:rPr>
            </w:pPr>
          </w:p>
        </w:tc>
        <w:tc>
          <w:tcPr>
            <w:tcW w:w="1800" w:type="dxa"/>
          </w:tcPr>
          <w:p>
            <w:pPr>
              <w:pStyle w:val="22"/>
              <w:jc w:val="left"/>
              <w:rPr>
                <w:rFonts w:ascii="Times New Roman"/>
                <w:sz w:val="22"/>
              </w:rPr>
            </w:pPr>
          </w:p>
        </w:tc>
        <w:tc>
          <w:tcPr>
            <w:tcW w:w="1620" w:type="dxa"/>
          </w:tcPr>
          <w:p>
            <w:pPr>
              <w:pStyle w:val="22"/>
              <w:jc w:val="left"/>
              <w:rPr>
                <w:rFonts w:ascii="Times New Roman"/>
                <w:sz w:val="22"/>
              </w:rPr>
            </w:pPr>
          </w:p>
        </w:tc>
        <w:tc>
          <w:tcPr>
            <w:tcW w:w="1080" w:type="dxa"/>
          </w:tcPr>
          <w:p>
            <w:pPr>
              <w:pStyle w:val="22"/>
              <w:jc w:val="left"/>
              <w:rPr>
                <w:rFonts w:ascii="Times New Roman"/>
                <w:sz w:val="22"/>
              </w:rPr>
            </w:pPr>
          </w:p>
        </w:tc>
        <w:tc>
          <w:tcPr>
            <w:tcW w:w="1080" w:type="dxa"/>
          </w:tcPr>
          <w:p>
            <w:pPr>
              <w:pStyle w:val="22"/>
              <w:jc w:val="left"/>
              <w:rPr>
                <w:rFonts w:ascii="Times New Roman"/>
                <w:sz w:val="22"/>
              </w:rPr>
            </w:pPr>
          </w:p>
        </w:tc>
        <w:tc>
          <w:tcPr>
            <w:tcW w:w="1409" w:type="dxa"/>
          </w:tcPr>
          <w:p>
            <w:pPr>
              <w:pStyle w:val="22"/>
              <w:jc w:val="left"/>
              <w:rPr>
                <w:rFonts w:ascii="Times New Roman"/>
                <w:sz w:val="22"/>
              </w:rPr>
            </w:pPr>
          </w:p>
        </w:tc>
        <w:tc>
          <w:tcPr>
            <w:tcW w:w="1831"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1008" w:type="dxa"/>
          </w:tcPr>
          <w:p>
            <w:pPr>
              <w:pStyle w:val="22"/>
              <w:jc w:val="left"/>
              <w:rPr>
                <w:rFonts w:ascii="Times New Roman"/>
                <w:sz w:val="22"/>
              </w:rPr>
            </w:pPr>
          </w:p>
        </w:tc>
        <w:tc>
          <w:tcPr>
            <w:tcW w:w="1800" w:type="dxa"/>
          </w:tcPr>
          <w:p>
            <w:pPr>
              <w:pStyle w:val="22"/>
              <w:jc w:val="left"/>
              <w:rPr>
                <w:rFonts w:ascii="Times New Roman"/>
                <w:sz w:val="22"/>
              </w:rPr>
            </w:pPr>
          </w:p>
        </w:tc>
        <w:tc>
          <w:tcPr>
            <w:tcW w:w="1620" w:type="dxa"/>
          </w:tcPr>
          <w:p>
            <w:pPr>
              <w:pStyle w:val="22"/>
              <w:jc w:val="left"/>
              <w:rPr>
                <w:rFonts w:ascii="Times New Roman"/>
                <w:sz w:val="22"/>
              </w:rPr>
            </w:pPr>
          </w:p>
        </w:tc>
        <w:tc>
          <w:tcPr>
            <w:tcW w:w="1080" w:type="dxa"/>
          </w:tcPr>
          <w:p>
            <w:pPr>
              <w:pStyle w:val="22"/>
              <w:jc w:val="left"/>
              <w:rPr>
                <w:rFonts w:ascii="Times New Roman"/>
                <w:sz w:val="22"/>
              </w:rPr>
            </w:pPr>
          </w:p>
        </w:tc>
        <w:tc>
          <w:tcPr>
            <w:tcW w:w="1080" w:type="dxa"/>
          </w:tcPr>
          <w:p>
            <w:pPr>
              <w:pStyle w:val="22"/>
              <w:jc w:val="left"/>
              <w:rPr>
                <w:rFonts w:ascii="Times New Roman"/>
                <w:sz w:val="22"/>
              </w:rPr>
            </w:pPr>
          </w:p>
        </w:tc>
        <w:tc>
          <w:tcPr>
            <w:tcW w:w="1409" w:type="dxa"/>
          </w:tcPr>
          <w:p>
            <w:pPr>
              <w:pStyle w:val="22"/>
              <w:jc w:val="left"/>
              <w:rPr>
                <w:rFonts w:ascii="Times New Roman"/>
                <w:sz w:val="22"/>
              </w:rPr>
            </w:pPr>
          </w:p>
        </w:tc>
        <w:tc>
          <w:tcPr>
            <w:tcW w:w="1831"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0" w:hRule="atLeast"/>
        </w:trPr>
        <w:tc>
          <w:tcPr>
            <w:tcW w:w="1008" w:type="dxa"/>
          </w:tcPr>
          <w:p>
            <w:pPr>
              <w:pStyle w:val="22"/>
              <w:jc w:val="left"/>
              <w:rPr>
                <w:rFonts w:ascii="Times New Roman"/>
                <w:sz w:val="22"/>
              </w:rPr>
            </w:pPr>
          </w:p>
        </w:tc>
        <w:tc>
          <w:tcPr>
            <w:tcW w:w="1800" w:type="dxa"/>
          </w:tcPr>
          <w:p>
            <w:pPr>
              <w:pStyle w:val="22"/>
              <w:jc w:val="left"/>
              <w:rPr>
                <w:rFonts w:ascii="Times New Roman"/>
                <w:sz w:val="22"/>
              </w:rPr>
            </w:pPr>
          </w:p>
        </w:tc>
        <w:tc>
          <w:tcPr>
            <w:tcW w:w="1620" w:type="dxa"/>
          </w:tcPr>
          <w:p>
            <w:pPr>
              <w:pStyle w:val="22"/>
              <w:jc w:val="left"/>
              <w:rPr>
                <w:rFonts w:ascii="Times New Roman"/>
                <w:sz w:val="22"/>
              </w:rPr>
            </w:pPr>
          </w:p>
        </w:tc>
        <w:tc>
          <w:tcPr>
            <w:tcW w:w="1080" w:type="dxa"/>
          </w:tcPr>
          <w:p>
            <w:pPr>
              <w:pStyle w:val="22"/>
              <w:jc w:val="left"/>
              <w:rPr>
                <w:rFonts w:ascii="Times New Roman"/>
                <w:sz w:val="22"/>
              </w:rPr>
            </w:pPr>
          </w:p>
        </w:tc>
        <w:tc>
          <w:tcPr>
            <w:tcW w:w="1080" w:type="dxa"/>
          </w:tcPr>
          <w:p>
            <w:pPr>
              <w:pStyle w:val="22"/>
              <w:jc w:val="left"/>
              <w:rPr>
                <w:rFonts w:ascii="Times New Roman"/>
                <w:sz w:val="22"/>
              </w:rPr>
            </w:pPr>
          </w:p>
        </w:tc>
        <w:tc>
          <w:tcPr>
            <w:tcW w:w="1409" w:type="dxa"/>
          </w:tcPr>
          <w:p>
            <w:pPr>
              <w:pStyle w:val="22"/>
              <w:jc w:val="left"/>
              <w:rPr>
                <w:rFonts w:ascii="Times New Roman"/>
                <w:sz w:val="22"/>
              </w:rPr>
            </w:pPr>
          </w:p>
        </w:tc>
        <w:tc>
          <w:tcPr>
            <w:tcW w:w="1831"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1008" w:type="dxa"/>
          </w:tcPr>
          <w:p>
            <w:pPr>
              <w:pStyle w:val="22"/>
              <w:jc w:val="left"/>
              <w:rPr>
                <w:rFonts w:ascii="Times New Roman"/>
                <w:sz w:val="22"/>
              </w:rPr>
            </w:pPr>
          </w:p>
        </w:tc>
        <w:tc>
          <w:tcPr>
            <w:tcW w:w="1800" w:type="dxa"/>
          </w:tcPr>
          <w:p>
            <w:pPr>
              <w:pStyle w:val="22"/>
              <w:jc w:val="left"/>
              <w:rPr>
                <w:rFonts w:ascii="Times New Roman"/>
                <w:sz w:val="22"/>
              </w:rPr>
            </w:pPr>
          </w:p>
        </w:tc>
        <w:tc>
          <w:tcPr>
            <w:tcW w:w="1620" w:type="dxa"/>
          </w:tcPr>
          <w:p>
            <w:pPr>
              <w:pStyle w:val="22"/>
              <w:jc w:val="left"/>
              <w:rPr>
                <w:rFonts w:ascii="Times New Roman"/>
                <w:sz w:val="22"/>
              </w:rPr>
            </w:pPr>
          </w:p>
        </w:tc>
        <w:tc>
          <w:tcPr>
            <w:tcW w:w="1080" w:type="dxa"/>
          </w:tcPr>
          <w:p>
            <w:pPr>
              <w:pStyle w:val="22"/>
              <w:jc w:val="left"/>
              <w:rPr>
                <w:rFonts w:ascii="Times New Roman"/>
                <w:sz w:val="22"/>
              </w:rPr>
            </w:pPr>
          </w:p>
        </w:tc>
        <w:tc>
          <w:tcPr>
            <w:tcW w:w="1080" w:type="dxa"/>
          </w:tcPr>
          <w:p>
            <w:pPr>
              <w:pStyle w:val="22"/>
              <w:jc w:val="left"/>
              <w:rPr>
                <w:rFonts w:ascii="Times New Roman"/>
                <w:sz w:val="22"/>
              </w:rPr>
            </w:pPr>
          </w:p>
        </w:tc>
        <w:tc>
          <w:tcPr>
            <w:tcW w:w="1409" w:type="dxa"/>
          </w:tcPr>
          <w:p>
            <w:pPr>
              <w:pStyle w:val="22"/>
              <w:jc w:val="left"/>
              <w:rPr>
                <w:rFonts w:ascii="Times New Roman"/>
                <w:sz w:val="22"/>
              </w:rPr>
            </w:pPr>
          </w:p>
        </w:tc>
        <w:tc>
          <w:tcPr>
            <w:tcW w:w="1831"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8" w:hRule="atLeast"/>
        </w:trPr>
        <w:tc>
          <w:tcPr>
            <w:tcW w:w="1008" w:type="dxa"/>
          </w:tcPr>
          <w:p>
            <w:pPr>
              <w:pStyle w:val="22"/>
              <w:jc w:val="left"/>
              <w:rPr>
                <w:rFonts w:ascii="Times New Roman"/>
                <w:sz w:val="22"/>
              </w:rPr>
            </w:pPr>
          </w:p>
        </w:tc>
        <w:tc>
          <w:tcPr>
            <w:tcW w:w="1800" w:type="dxa"/>
          </w:tcPr>
          <w:p>
            <w:pPr>
              <w:pStyle w:val="22"/>
              <w:jc w:val="left"/>
              <w:rPr>
                <w:rFonts w:ascii="Times New Roman"/>
                <w:sz w:val="22"/>
              </w:rPr>
            </w:pPr>
          </w:p>
        </w:tc>
        <w:tc>
          <w:tcPr>
            <w:tcW w:w="1620" w:type="dxa"/>
          </w:tcPr>
          <w:p>
            <w:pPr>
              <w:pStyle w:val="22"/>
              <w:jc w:val="left"/>
              <w:rPr>
                <w:rFonts w:ascii="Times New Roman"/>
                <w:sz w:val="22"/>
              </w:rPr>
            </w:pPr>
          </w:p>
        </w:tc>
        <w:tc>
          <w:tcPr>
            <w:tcW w:w="1080" w:type="dxa"/>
          </w:tcPr>
          <w:p>
            <w:pPr>
              <w:pStyle w:val="22"/>
              <w:jc w:val="left"/>
              <w:rPr>
                <w:rFonts w:ascii="Times New Roman"/>
                <w:sz w:val="22"/>
              </w:rPr>
            </w:pPr>
          </w:p>
        </w:tc>
        <w:tc>
          <w:tcPr>
            <w:tcW w:w="1080" w:type="dxa"/>
          </w:tcPr>
          <w:p>
            <w:pPr>
              <w:pStyle w:val="22"/>
              <w:jc w:val="left"/>
              <w:rPr>
                <w:rFonts w:ascii="Times New Roman"/>
                <w:sz w:val="22"/>
              </w:rPr>
            </w:pPr>
          </w:p>
        </w:tc>
        <w:tc>
          <w:tcPr>
            <w:tcW w:w="1409" w:type="dxa"/>
          </w:tcPr>
          <w:p>
            <w:pPr>
              <w:pStyle w:val="22"/>
              <w:jc w:val="left"/>
              <w:rPr>
                <w:rFonts w:ascii="Times New Roman"/>
                <w:sz w:val="22"/>
              </w:rPr>
            </w:pPr>
          </w:p>
        </w:tc>
        <w:tc>
          <w:tcPr>
            <w:tcW w:w="1831"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1008" w:type="dxa"/>
          </w:tcPr>
          <w:p>
            <w:pPr>
              <w:pStyle w:val="22"/>
              <w:jc w:val="left"/>
              <w:rPr>
                <w:rFonts w:ascii="Times New Roman"/>
                <w:sz w:val="22"/>
              </w:rPr>
            </w:pPr>
          </w:p>
        </w:tc>
        <w:tc>
          <w:tcPr>
            <w:tcW w:w="1800" w:type="dxa"/>
          </w:tcPr>
          <w:p>
            <w:pPr>
              <w:pStyle w:val="22"/>
              <w:jc w:val="left"/>
              <w:rPr>
                <w:rFonts w:ascii="Times New Roman"/>
                <w:sz w:val="22"/>
              </w:rPr>
            </w:pPr>
          </w:p>
        </w:tc>
        <w:tc>
          <w:tcPr>
            <w:tcW w:w="1620" w:type="dxa"/>
          </w:tcPr>
          <w:p>
            <w:pPr>
              <w:pStyle w:val="22"/>
              <w:jc w:val="left"/>
              <w:rPr>
                <w:rFonts w:ascii="Times New Roman"/>
                <w:sz w:val="22"/>
              </w:rPr>
            </w:pPr>
          </w:p>
        </w:tc>
        <w:tc>
          <w:tcPr>
            <w:tcW w:w="1080" w:type="dxa"/>
          </w:tcPr>
          <w:p>
            <w:pPr>
              <w:pStyle w:val="22"/>
              <w:jc w:val="left"/>
              <w:rPr>
                <w:rFonts w:ascii="Times New Roman"/>
                <w:sz w:val="22"/>
              </w:rPr>
            </w:pPr>
          </w:p>
        </w:tc>
        <w:tc>
          <w:tcPr>
            <w:tcW w:w="1080" w:type="dxa"/>
          </w:tcPr>
          <w:p>
            <w:pPr>
              <w:pStyle w:val="22"/>
              <w:jc w:val="left"/>
              <w:rPr>
                <w:rFonts w:ascii="Times New Roman"/>
                <w:sz w:val="22"/>
              </w:rPr>
            </w:pPr>
          </w:p>
        </w:tc>
        <w:tc>
          <w:tcPr>
            <w:tcW w:w="1409" w:type="dxa"/>
          </w:tcPr>
          <w:p>
            <w:pPr>
              <w:pStyle w:val="22"/>
              <w:jc w:val="left"/>
              <w:rPr>
                <w:rFonts w:ascii="Times New Roman"/>
                <w:sz w:val="22"/>
              </w:rPr>
            </w:pPr>
          </w:p>
        </w:tc>
        <w:tc>
          <w:tcPr>
            <w:tcW w:w="1831"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0" w:hRule="atLeast"/>
        </w:trPr>
        <w:tc>
          <w:tcPr>
            <w:tcW w:w="1008" w:type="dxa"/>
          </w:tcPr>
          <w:p>
            <w:pPr>
              <w:pStyle w:val="22"/>
              <w:jc w:val="left"/>
              <w:rPr>
                <w:rFonts w:ascii="Times New Roman"/>
                <w:sz w:val="22"/>
              </w:rPr>
            </w:pPr>
          </w:p>
        </w:tc>
        <w:tc>
          <w:tcPr>
            <w:tcW w:w="1800" w:type="dxa"/>
          </w:tcPr>
          <w:p>
            <w:pPr>
              <w:pStyle w:val="22"/>
              <w:jc w:val="left"/>
              <w:rPr>
                <w:rFonts w:ascii="Times New Roman"/>
                <w:sz w:val="22"/>
              </w:rPr>
            </w:pPr>
          </w:p>
        </w:tc>
        <w:tc>
          <w:tcPr>
            <w:tcW w:w="1620" w:type="dxa"/>
          </w:tcPr>
          <w:p>
            <w:pPr>
              <w:pStyle w:val="22"/>
              <w:jc w:val="left"/>
              <w:rPr>
                <w:rFonts w:ascii="Times New Roman"/>
                <w:sz w:val="22"/>
              </w:rPr>
            </w:pPr>
          </w:p>
        </w:tc>
        <w:tc>
          <w:tcPr>
            <w:tcW w:w="1080" w:type="dxa"/>
          </w:tcPr>
          <w:p>
            <w:pPr>
              <w:pStyle w:val="22"/>
              <w:jc w:val="left"/>
              <w:rPr>
                <w:rFonts w:ascii="Times New Roman"/>
                <w:sz w:val="22"/>
              </w:rPr>
            </w:pPr>
          </w:p>
        </w:tc>
        <w:tc>
          <w:tcPr>
            <w:tcW w:w="1080" w:type="dxa"/>
          </w:tcPr>
          <w:p>
            <w:pPr>
              <w:pStyle w:val="22"/>
              <w:jc w:val="left"/>
              <w:rPr>
                <w:rFonts w:ascii="Times New Roman"/>
                <w:sz w:val="22"/>
              </w:rPr>
            </w:pPr>
          </w:p>
        </w:tc>
        <w:tc>
          <w:tcPr>
            <w:tcW w:w="1409" w:type="dxa"/>
          </w:tcPr>
          <w:p>
            <w:pPr>
              <w:pStyle w:val="22"/>
              <w:jc w:val="left"/>
              <w:rPr>
                <w:rFonts w:ascii="Times New Roman"/>
                <w:sz w:val="22"/>
              </w:rPr>
            </w:pPr>
          </w:p>
        </w:tc>
        <w:tc>
          <w:tcPr>
            <w:tcW w:w="1831" w:type="dxa"/>
          </w:tcPr>
          <w:p>
            <w:pPr>
              <w:pStyle w:val="2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1008" w:type="dxa"/>
          </w:tcPr>
          <w:p>
            <w:pPr>
              <w:pStyle w:val="22"/>
              <w:jc w:val="left"/>
              <w:rPr>
                <w:rFonts w:ascii="Times New Roman"/>
                <w:sz w:val="22"/>
              </w:rPr>
            </w:pPr>
          </w:p>
        </w:tc>
        <w:tc>
          <w:tcPr>
            <w:tcW w:w="1800" w:type="dxa"/>
          </w:tcPr>
          <w:p>
            <w:pPr>
              <w:pStyle w:val="22"/>
              <w:jc w:val="left"/>
              <w:rPr>
                <w:rFonts w:ascii="Times New Roman"/>
                <w:sz w:val="22"/>
              </w:rPr>
            </w:pPr>
          </w:p>
        </w:tc>
        <w:tc>
          <w:tcPr>
            <w:tcW w:w="1620" w:type="dxa"/>
          </w:tcPr>
          <w:p>
            <w:pPr>
              <w:pStyle w:val="22"/>
              <w:jc w:val="left"/>
              <w:rPr>
                <w:rFonts w:ascii="Times New Roman"/>
                <w:sz w:val="22"/>
              </w:rPr>
            </w:pPr>
          </w:p>
        </w:tc>
        <w:tc>
          <w:tcPr>
            <w:tcW w:w="1080" w:type="dxa"/>
          </w:tcPr>
          <w:p>
            <w:pPr>
              <w:pStyle w:val="22"/>
              <w:jc w:val="left"/>
              <w:rPr>
                <w:rFonts w:ascii="Times New Roman"/>
                <w:sz w:val="22"/>
              </w:rPr>
            </w:pPr>
          </w:p>
        </w:tc>
        <w:tc>
          <w:tcPr>
            <w:tcW w:w="1080" w:type="dxa"/>
          </w:tcPr>
          <w:p>
            <w:pPr>
              <w:pStyle w:val="22"/>
              <w:jc w:val="left"/>
              <w:rPr>
                <w:rFonts w:ascii="Times New Roman"/>
                <w:sz w:val="22"/>
              </w:rPr>
            </w:pPr>
          </w:p>
        </w:tc>
        <w:tc>
          <w:tcPr>
            <w:tcW w:w="1409" w:type="dxa"/>
          </w:tcPr>
          <w:p>
            <w:pPr>
              <w:pStyle w:val="22"/>
              <w:jc w:val="left"/>
              <w:rPr>
                <w:rFonts w:ascii="Times New Roman"/>
                <w:sz w:val="22"/>
              </w:rPr>
            </w:pPr>
          </w:p>
        </w:tc>
        <w:tc>
          <w:tcPr>
            <w:tcW w:w="1831" w:type="dxa"/>
          </w:tcPr>
          <w:p>
            <w:pPr>
              <w:pStyle w:val="22"/>
              <w:jc w:val="left"/>
              <w:rPr>
                <w:rFonts w:ascii="Times New Roman"/>
                <w:sz w:val="22"/>
              </w:rPr>
            </w:pPr>
          </w:p>
        </w:tc>
      </w:tr>
    </w:tbl>
    <w:p>
      <w:pPr>
        <w:pStyle w:val="2"/>
        <w:spacing w:before="6"/>
        <w:rPr>
          <w:b/>
          <w:sz w:val="15"/>
        </w:rPr>
      </w:pPr>
    </w:p>
    <w:p>
      <w:pPr>
        <w:pStyle w:val="2"/>
        <w:spacing w:before="72"/>
        <w:ind w:left="392"/>
      </w:pPr>
      <w:r>
        <w:t>注：本表和投标报价表的货物名称、数量应一致。</w:t>
      </w:r>
    </w:p>
    <w:p>
      <w:pPr>
        <w:pStyle w:val="2"/>
        <w:rPr>
          <w:sz w:val="20"/>
        </w:rPr>
      </w:pPr>
    </w:p>
    <w:p>
      <w:pPr>
        <w:pStyle w:val="2"/>
        <w:rPr>
          <w:sz w:val="20"/>
        </w:rPr>
      </w:pPr>
    </w:p>
    <w:p>
      <w:pPr>
        <w:pStyle w:val="2"/>
        <w:rPr>
          <w:sz w:val="20"/>
        </w:rPr>
      </w:pPr>
    </w:p>
    <w:p>
      <w:pPr>
        <w:pStyle w:val="2"/>
        <w:tabs>
          <w:tab w:val="left" w:pos="5641"/>
        </w:tabs>
        <w:spacing w:before="162"/>
        <w:ind w:left="392"/>
        <w:rPr>
          <w:rFonts w:ascii="Times New Roman" w:eastAsia="Times New Roman"/>
        </w:rPr>
      </w:pPr>
      <w:r>
        <w:t>投标</w:t>
      </w:r>
      <w:r>
        <w:rPr>
          <w:spacing w:val="-3"/>
        </w:rPr>
        <w:t>单</w:t>
      </w:r>
      <w:r>
        <w:t>位</w:t>
      </w:r>
      <w:r>
        <w:rPr>
          <w:spacing w:val="-3"/>
        </w:rPr>
        <w:t>(</w:t>
      </w:r>
      <w:r>
        <w:t>公章)</w:t>
      </w:r>
      <w:r>
        <w:rPr>
          <w:spacing w:val="5"/>
        </w:rPr>
        <w:t xml:space="preserve"> </w:t>
      </w:r>
      <w:r>
        <w:t>：</w:t>
      </w:r>
      <w:r>
        <w:rPr>
          <w:rFonts w:ascii="Times New Roman" w:eastAsia="Times New Roman"/>
          <w:u w:val="single"/>
        </w:rPr>
        <w:t xml:space="preserve"> </w:t>
      </w:r>
      <w:r>
        <w:rPr>
          <w:rFonts w:ascii="Times New Roman" w:eastAsia="Times New Roman"/>
          <w:u w:val="single"/>
        </w:rPr>
        <w:tab/>
      </w:r>
    </w:p>
    <w:p>
      <w:pPr>
        <w:pStyle w:val="2"/>
        <w:spacing w:before="11"/>
        <w:rPr>
          <w:rFonts w:ascii="Times New Roman"/>
        </w:rPr>
      </w:pPr>
    </w:p>
    <w:p>
      <w:pPr>
        <w:pStyle w:val="2"/>
        <w:tabs>
          <w:tab w:val="left" w:pos="5012"/>
        </w:tabs>
        <w:spacing w:before="78"/>
        <w:ind w:left="392"/>
        <w:rPr>
          <w:rFonts w:ascii="Times New Roman" w:eastAsia="Times New Roman"/>
        </w:rPr>
      </w:pPr>
      <w:r>
        <w:t>授权</w:t>
      </w:r>
      <w:r>
        <w:rPr>
          <w:spacing w:val="-3"/>
        </w:rPr>
        <w:t>代</w:t>
      </w:r>
      <w:r>
        <w:t>表</w:t>
      </w:r>
      <w:r>
        <w:rPr>
          <w:spacing w:val="-3"/>
        </w:rPr>
        <w:t>(</w:t>
      </w:r>
      <w:r>
        <w:t>签字)</w:t>
      </w:r>
      <w:r>
        <w:rPr>
          <w:spacing w:val="5"/>
        </w:rPr>
        <w:t xml:space="preserve"> </w:t>
      </w:r>
      <w:r>
        <w:t>：</w:t>
      </w:r>
      <w:r>
        <w:rPr>
          <w:rFonts w:ascii="Times New Roman" w:eastAsia="Times New Roman"/>
          <w:u w:val="single"/>
        </w:rPr>
        <w:t xml:space="preserve"> </w:t>
      </w:r>
      <w:r>
        <w:rPr>
          <w:rFonts w:ascii="Times New Roman" w:eastAsia="Times New Roman"/>
          <w:u w:val="single"/>
        </w:rPr>
        <w:tab/>
      </w:r>
    </w:p>
    <w:p>
      <w:pPr>
        <w:pStyle w:val="2"/>
        <w:spacing w:before="6"/>
        <w:rPr>
          <w:rFonts w:ascii="Times New Roman"/>
          <w:sz w:val="22"/>
        </w:rPr>
      </w:pPr>
    </w:p>
    <w:p>
      <w:pPr>
        <w:pStyle w:val="2"/>
        <w:tabs>
          <w:tab w:val="left" w:pos="2283"/>
          <w:tab w:val="left" w:pos="3332"/>
          <w:tab w:val="left" w:pos="4489"/>
        </w:tabs>
        <w:spacing w:before="72"/>
        <w:ind w:left="392"/>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pPr>
    </w:p>
    <w:p>
      <w:pPr>
        <w:pStyle w:val="14"/>
      </w:pPr>
    </w:p>
    <w:p>
      <w:pPr>
        <w:pStyle w:val="14"/>
      </w:pPr>
    </w:p>
    <w:p>
      <w:pPr>
        <w:pStyle w:val="5"/>
        <w:spacing w:before="46"/>
        <w:ind w:left="0" w:right="925"/>
        <w:jc w:val="center"/>
        <w:rPr>
          <w:rFonts w:hint="eastAsia"/>
        </w:rPr>
      </w:pPr>
      <w:r>
        <w:rPr>
          <w:rFonts w:hint="eastAsia"/>
        </w:rPr>
        <w:t>九、中小企业声明函</w:t>
      </w:r>
    </w:p>
    <w:p>
      <w:pPr>
        <w:pStyle w:val="14"/>
        <w:rPr>
          <w:rFonts w:hint="eastAsia"/>
        </w:rPr>
      </w:pPr>
    </w:p>
    <w:p>
      <w:pPr>
        <w:keepNext w:val="0"/>
        <w:keepLines w:val="0"/>
        <w:pageBreakBefore w:val="0"/>
        <w:widowControl w:val="0"/>
        <w:kinsoku/>
        <w:wordWrap/>
        <w:overflowPunct/>
        <w:topLinePunct w:val="0"/>
        <w:autoSpaceDE w:val="0"/>
        <w:autoSpaceDN w:val="0"/>
        <w:bidi w:val="0"/>
        <w:adjustRightInd/>
        <w:snapToGrid/>
        <w:spacing w:before="26" w:line="360" w:lineRule="auto"/>
        <w:ind w:left="0" w:right="927" w:firstLine="3752" w:firstLineChars="1787"/>
        <w:jc w:val="both"/>
        <w:textAlignment w:val="auto"/>
        <w:rPr>
          <w:rFonts w:hint="eastAsia"/>
          <w:b w:val="0"/>
          <w:bCs/>
          <w:sz w:val="21"/>
          <w:szCs w:val="21"/>
          <w:lang w:eastAsia="zh-CN"/>
        </w:rPr>
      </w:pPr>
      <w:r>
        <w:rPr>
          <w:rFonts w:hint="eastAsia"/>
          <w:b w:val="0"/>
          <w:bCs/>
          <w:sz w:val="21"/>
          <w:szCs w:val="21"/>
        </w:rPr>
        <w:t>中小企业声明函</w:t>
      </w:r>
      <w:r>
        <w:rPr>
          <w:rFonts w:hint="eastAsia"/>
          <w:b w:val="0"/>
          <w:bCs/>
          <w:sz w:val="21"/>
          <w:szCs w:val="21"/>
          <w:lang w:eastAsia="zh-CN"/>
        </w:rPr>
        <w:t>（如有）</w:t>
      </w:r>
    </w:p>
    <w:p>
      <w:pPr>
        <w:pStyle w:val="14"/>
        <w:rPr>
          <w:rFonts w:hint="eastAsia"/>
        </w:rPr>
      </w:pPr>
    </w:p>
    <w:p>
      <w:pPr>
        <w:keepNext w:val="0"/>
        <w:keepLines w:val="0"/>
        <w:pageBreakBefore w:val="0"/>
        <w:widowControl w:val="0"/>
        <w:kinsoku/>
        <w:wordWrap/>
        <w:overflowPunct/>
        <w:topLinePunct w:val="0"/>
        <w:autoSpaceDE w:val="0"/>
        <w:autoSpaceDN w:val="0"/>
        <w:bidi w:val="0"/>
        <w:adjustRightInd/>
        <w:snapToGrid/>
        <w:spacing w:before="26" w:line="360" w:lineRule="auto"/>
        <w:ind w:left="0" w:right="927" w:firstLine="642"/>
        <w:jc w:val="left"/>
        <w:textAlignment w:val="auto"/>
        <w:rPr>
          <w:rFonts w:hint="eastAsia"/>
        </w:rPr>
      </w:pPr>
      <w:r>
        <w:rPr>
          <w:rFonts w:hint="eastAsia"/>
          <w:b w:val="0"/>
          <w:bCs/>
          <w:sz w:val="21"/>
          <w:szCs w:val="21"/>
        </w:rPr>
        <w:t>本公司（联合体）郑重声明，根据《政府采购促进中小企业发展管理办法》（财库﹝2020﹞46号）的规定，本公司（联合体）参加</w:t>
      </w:r>
      <w:r>
        <w:rPr>
          <w:rFonts w:hint="eastAsia"/>
          <w:b w:val="0"/>
          <w:bCs/>
          <w:sz w:val="21"/>
          <w:szCs w:val="21"/>
          <w:u w:val="single"/>
        </w:rPr>
        <w:t>（单位名称）</w:t>
      </w:r>
      <w:r>
        <w:rPr>
          <w:rFonts w:hint="eastAsia"/>
          <w:b w:val="0"/>
          <w:bCs/>
          <w:sz w:val="21"/>
          <w:szCs w:val="21"/>
        </w:rPr>
        <w:t>的</w:t>
      </w:r>
      <w:r>
        <w:rPr>
          <w:rFonts w:hint="eastAsia"/>
          <w:b w:val="0"/>
          <w:bCs/>
          <w:sz w:val="21"/>
          <w:szCs w:val="21"/>
          <w:u w:val="single"/>
        </w:rPr>
        <w:t>（项目名称）</w:t>
      </w:r>
      <w:r>
        <w:rPr>
          <w:rFonts w:hint="eastAsia"/>
          <w:b w:val="0"/>
          <w:bCs/>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6" w:line="360" w:lineRule="auto"/>
        <w:ind w:left="0" w:leftChars="0" w:right="927" w:rightChars="0" w:firstLine="420" w:firstLineChars="200"/>
        <w:jc w:val="both"/>
        <w:textAlignment w:val="auto"/>
        <w:rPr>
          <w:rFonts w:hint="eastAsia"/>
        </w:rPr>
      </w:pPr>
      <w:r>
        <w:rPr>
          <w:rFonts w:hint="eastAsia"/>
          <w:b w:val="0"/>
          <w:bCs/>
          <w:sz w:val="21"/>
          <w:szCs w:val="21"/>
          <w:u w:val="none"/>
          <w:lang w:val="en-US" w:eastAsia="zh-CN"/>
        </w:rPr>
        <w:t>1、</w:t>
      </w:r>
      <w:r>
        <w:rPr>
          <w:rFonts w:hint="eastAsia"/>
          <w:b w:val="0"/>
          <w:bCs/>
          <w:sz w:val="21"/>
          <w:szCs w:val="21"/>
          <w:u w:val="single"/>
        </w:rPr>
        <w:t>（标的名称）</w:t>
      </w:r>
      <w:r>
        <w:rPr>
          <w:rFonts w:hint="eastAsia"/>
          <w:b w:val="0"/>
          <w:bCs/>
          <w:sz w:val="21"/>
          <w:szCs w:val="21"/>
        </w:rPr>
        <w:t>，属于</w:t>
      </w:r>
      <w:r>
        <w:rPr>
          <w:rFonts w:hint="eastAsia"/>
          <w:b w:val="0"/>
          <w:bCs/>
          <w:sz w:val="21"/>
          <w:szCs w:val="21"/>
          <w:u w:val="single"/>
        </w:rPr>
        <w:t>（采购文件中明确的所属行业）</w:t>
      </w:r>
      <w:r>
        <w:rPr>
          <w:rFonts w:hint="eastAsia"/>
          <w:b w:val="0"/>
          <w:bCs/>
          <w:sz w:val="21"/>
          <w:szCs w:val="21"/>
        </w:rPr>
        <w:t>；承建</w:t>
      </w:r>
      <w:r>
        <w:rPr>
          <w:rFonts w:hint="eastAsia"/>
          <w:b w:val="0"/>
          <w:bCs/>
          <w:sz w:val="21"/>
          <w:szCs w:val="21"/>
          <w:u w:val="single"/>
        </w:rPr>
        <w:t>（承接）</w:t>
      </w:r>
      <w:r>
        <w:rPr>
          <w:rFonts w:hint="eastAsia"/>
          <w:b w:val="0"/>
          <w:bCs/>
          <w:sz w:val="21"/>
          <w:szCs w:val="21"/>
        </w:rPr>
        <w:t>企业为</w:t>
      </w:r>
      <w:r>
        <w:rPr>
          <w:rFonts w:hint="eastAsia"/>
          <w:b w:val="0"/>
          <w:bCs/>
          <w:sz w:val="21"/>
          <w:szCs w:val="21"/>
          <w:u w:val="single"/>
        </w:rPr>
        <w:t>（企业名称）</w:t>
      </w:r>
      <w:r>
        <w:rPr>
          <w:rFonts w:hint="eastAsia"/>
          <w:b w:val="0"/>
          <w:bCs/>
          <w:sz w:val="21"/>
          <w:szCs w:val="21"/>
        </w:rPr>
        <w:t>，从业人员</w:t>
      </w:r>
      <w:r>
        <w:rPr>
          <w:rFonts w:hint="eastAsia"/>
          <w:b w:val="0"/>
          <w:bCs/>
          <w:sz w:val="21"/>
          <w:szCs w:val="21"/>
          <w:u w:val="single"/>
          <w:lang w:val="en-US" w:eastAsia="zh-CN"/>
        </w:rPr>
        <w:t xml:space="preserve">      </w:t>
      </w:r>
      <w:r>
        <w:rPr>
          <w:rFonts w:hint="eastAsia"/>
          <w:b w:val="0"/>
          <w:bCs/>
          <w:sz w:val="21"/>
          <w:szCs w:val="21"/>
        </w:rPr>
        <w:t>人，营业收入为</w:t>
      </w:r>
      <w:r>
        <w:rPr>
          <w:rFonts w:hint="eastAsia"/>
          <w:b w:val="0"/>
          <w:bCs/>
          <w:sz w:val="21"/>
          <w:szCs w:val="21"/>
          <w:u w:val="single"/>
          <w:lang w:val="en-US" w:eastAsia="zh-CN"/>
        </w:rPr>
        <w:t xml:space="preserve">   </w:t>
      </w:r>
      <w:r>
        <w:rPr>
          <w:rFonts w:hint="eastAsia"/>
          <w:b w:val="0"/>
          <w:bCs/>
          <w:sz w:val="21"/>
          <w:szCs w:val="21"/>
          <w:lang w:val="en-US" w:eastAsia="zh-CN"/>
        </w:rPr>
        <w:t xml:space="preserve">  </w:t>
      </w:r>
      <w:r>
        <w:rPr>
          <w:rFonts w:hint="eastAsia"/>
          <w:b w:val="0"/>
          <w:bCs/>
          <w:sz w:val="21"/>
          <w:szCs w:val="21"/>
          <w:u w:val="single"/>
          <w:lang w:val="en-US" w:eastAsia="zh-CN"/>
        </w:rPr>
        <w:t>（    ）</w:t>
      </w:r>
      <w:r>
        <w:rPr>
          <w:rFonts w:hint="eastAsia"/>
          <w:b w:val="0"/>
          <w:bCs/>
          <w:sz w:val="21"/>
          <w:szCs w:val="21"/>
        </w:rPr>
        <w:t>万元，资产总额为</w:t>
      </w:r>
      <w:r>
        <w:rPr>
          <w:rFonts w:hint="eastAsia"/>
          <w:b w:val="0"/>
          <w:bCs/>
          <w:sz w:val="21"/>
          <w:szCs w:val="21"/>
          <w:u w:val="single"/>
          <w:lang w:val="en-US" w:eastAsia="zh-CN"/>
        </w:rPr>
        <w:t xml:space="preserve">     </w:t>
      </w:r>
      <w:r>
        <w:rPr>
          <w:rFonts w:hint="eastAsia"/>
          <w:b w:val="0"/>
          <w:bCs/>
          <w:sz w:val="21"/>
          <w:szCs w:val="21"/>
        </w:rPr>
        <w:t>万元，属于</w:t>
      </w:r>
      <w:r>
        <w:rPr>
          <w:rFonts w:hint="eastAsia"/>
          <w:b w:val="0"/>
          <w:bCs/>
          <w:sz w:val="21"/>
          <w:szCs w:val="21"/>
          <w:u w:val="single"/>
        </w:rPr>
        <w:t>（中型企业、小型企业、微型企业）</w:t>
      </w:r>
      <w:r>
        <w:rPr>
          <w:rFonts w:hint="eastAsia"/>
          <w:b w:val="0"/>
          <w:bCs/>
          <w:sz w:val="21"/>
          <w:szCs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6" w:line="360" w:lineRule="auto"/>
        <w:ind w:left="0" w:leftChars="0" w:right="927" w:rightChars="0" w:firstLine="420" w:firstLineChars="200"/>
        <w:jc w:val="both"/>
        <w:textAlignment w:val="auto"/>
        <w:rPr>
          <w:rFonts w:hint="eastAsia"/>
        </w:rPr>
      </w:pPr>
      <w:r>
        <w:rPr>
          <w:rFonts w:hint="eastAsia"/>
          <w:b w:val="0"/>
          <w:bCs/>
          <w:sz w:val="21"/>
          <w:szCs w:val="21"/>
          <w:u w:val="none"/>
          <w:lang w:val="en-US" w:eastAsia="zh-CN"/>
        </w:rPr>
        <w:t>2、</w:t>
      </w:r>
      <w:r>
        <w:rPr>
          <w:rFonts w:hint="eastAsia"/>
          <w:b w:val="0"/>
          <w:bCs/>
          <w:sz w:val="21"/>
          <w:szCs w:val="21"/>
          <w:u w:val="single"/>
        </w:rPr>
        <w:t>（标的名称）</w:t>
      </w:r>
      <w:r>
        <w:rPr>
          <w:rFonts w:hint="eastAsia"/>
          <w:b w:val="0"/>
          <w:bCs/>
          <w:sz w:val="21"/>
          <w:szCs w:val="21"/>
        </w:rPr>
        <w:t>，属于</w:t>
      </w:r>
      <w:r>
        <w:rPr>
          <w:rFonts w:hint="eastAsia"/>
          <w:b w:val="0"/>
          <w:bCs/>
          <w:sz w:val="21"/>
          <w:szCs w:val="21"/>
          <w:u w:val="single"/>
        </w:rPr>
        <w:t>（采购文件中明确的所属行业）</w:t>
      </w:r>
      <w:r>
        <w:rPr>
          <w:rFonts w:hint="eastAsia"/>
          <w:b w:val="0"/>
          <w:bCs/>
          <w:sz w:val="21"/>
          <w:szCs w:val="21"/>
        </w:rPr>
        <w:t>；承建</w:t>
      </w:r>
      <w:r>
        <w:rPr>
          <w:rFonts w:hint="eastAsia"/>
          <w:b w:val="0"/>
          <w:bCs/>
          <w:sz w:val="21"/>
          <w:szCs w:val="21"/>
          <w:u w:val="single"/>
        </w:rPr>
        <w:t>（承接）</w:t>
      </w:r>
      <w:r>
        <w:rPr>
          <w:rFonts w:hint="eastAsia"/>
          <w:b w:val="0"/>
          <w:bCs/>
          <w:sz w:val="21"/>
          <w:szCs w:val="21"/>
        </w:rPr>
        <w:t>企业为</w:t>
      </w:r>
      <w:r>
        <w:rPr>
          <w:rFonts w:hint="eastAsia"/>
          <w:b w:val="0"/>
          <w:bCs/>
          <w:sz w:val="21"/>
          <w:szCs w:val="21"/>
          <w:u w:val="single"/>
        </w:rPr>
        <w:t>（企业名称）</w:t>
      </w:r>
      <w:r>
        <w:rPr>
          <w:rFonts w:hint="eastAsia"/>
          <w:b w:val="0"/>
          <w:bCs/>
          <w:sz w:val="21"/>
          <w:szCs w:val="21"/>
        </w:rPr>
        <w:t>，从业人员</w:t>
      </w:r>
      <w:r>
        <w:rPr>
          <w:rFonts w:hint="eastAsia"/>
          <w:b w:val="0"/>
          <w:bCs/>
          <w:sz w:val="21"/>
          <w:szCs w:val="21"/>
          <w:u w:val="single"/>
          <w:lang w:val="en-US" w:eastAsia="zh-CN"/>
        </w:rPr>
        <w:t xml:space="preserve">     </w:t>
      </w:r>
      <w:r>
        <w:rPr>
          <w:rFonts w:hint="eastAsia"/>
          <w:b w:val="0"/>
          <w:bCs/>
          <w:sz w:val="21"/>
          <w:szCs w:val="21"/>
        </w:rPr>
        <w:t>人，营业收入为</w:t>
      </w:r>
      <w:r>
        <w:rPr>
          <w:rFonts w:hint="eastAsia"/>
          <w:b w:val="0"/>
          <w:bCs/>
          <w:sz w:val="21"/>
          <w:szCs w:val="21"/>
          <w:u w:val="single"/>
          <w:lang w:val="en-US" w:eastAsia="zh-CN"/>
        </w:rPr>
        <w:t xml:space="preserve">  </w:t>
      </w:r>
      <w:r>
        <w:rPr>
          <w:rFonts w:hint="eastAsia"/>
          <w:b w:val="0"/>
          <w:bCs/>
          <w:sz w:val="21"/>
          <w:szCs w:val="21"/>
        </w:rPr>
        <w:t>万元，资产总额为</w:t>
      </w:r>
      <w:r>
        <w:rPr>
          <w:rFonts w:hint="eastAsia"/>
          <w:b w:val="0"/>
          <w:bCs/>
          <w:sz w:val="21"/>
          <w:szCs w:val="21"/>
          <w:u w:val="single"/>
          <w:lang w:val="en-US" w:eastAsia="zh-CN"/>
        </w:rPr>
        <w:t xml:space="preserve">       </w:t>
      </w:r>
      <w:r>
        <w:rPr>
          <w:rFonts w:hint="eastAsia"/>
          <w:b w:val="0"/>
          <w:bCs/>
          <w:sz w:val="21"/>
          <w:szCs w:val="21"/>
        </w:rPr>
        <w:t>万元，属于（中型企业、小型企业、微型企业）；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6" w:line="360" w:lineRule="auto"/>
        <w:ind w:left="0" w:leftChars="0" w:right="927" w:rightChars="0" w:firstLine="0" w:firstLineChars="0"/>
        <w:jc w:val="both"/>
        <w:textAlignment w:val="auto"/>
        <w:rPr>
          <w:rFonts w:hint="eastAsia"/>
          <w:b w:val="0"/>
          <w:bCs/>
          <w:sz w:val="21"/>
          <w:szCs w:val="21"/>
        </w:rPr>
      </w:pPr>
      <w:r>
        <w:rPr>
          <w:rFonts w:hint="eastAsia"/>
          <w:b w:val="0"/>
          <w:bCs/>
          <w:sz w:val="21"/>
          <w:szCs w:val="21"/>
        </w:rPr>
        <w:t>以上企业，不属于大企业的分支机构，不存在控股股东为大企业的情形，也不存在与大企业的负责人为同一人的情形。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6" w:line="360" w:lineRule="auto"/>
        <w:ind w:right="927" w:rightChars="0" w:firstLine="420" w:firstLineChars="200"/>
        <w:jc w:val="both"/>
        <w:textAlignment w:val="auto"/>
        <w:rPr>
          <w:rFonts w:hint="eastAsia"/>
          <w:b w:val="0"/>
          <w:bCs/>
          <w:sz w:val="21"/>
          <w:szCs w:val="21"/>
        </w:rPr>
      </w:pPr>
      <w:r>
        <w:rPr>
          <w:rFonts w:hint="eastAsia"/>
          <w:b w:val="0"/>
          <w:bCs/>
          <w:sz w:val="21"/>
          <w:szCs w:val="21"/>
        </w:rPr>
        <w:t>本企业对上述声明内容的真实性负责。如有虚假，将依法承担相应责任。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6" w:line="360" w:lineRule="auto"/>
        <w:ind w:left="642" w:leftChars="0" w:right="927" w:rightChars="0"/>
        <w:jc w:val="both"/>
        <w:textAlignment w:val="auto"/>
        <w:rPr>
          <w:rFonts w:hint="eastAsia"/>
          <w:b w:val="0"/>
          <w:bCs/>
          <w:sz w:val="21"/>
          <w:szCs w:val="21"/>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26" w:line="360" w:lineRule="auto"/>
        <w:ind w:left="642" w:leftChars="0" w:right="927" w:rightChars="0"/>
        <w:jc w:val="both"/>
        <w:textAlignment w:val="auto"/>
        <w:rPr>
          <w:rFonts w:hint="eastAsia"/>
          <w:b w:val="0"/>
          <w:bCs/>
          <w:sz w:val="21"/>
          <w:szCs w:val="21"/>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26" w:line="360" w:lineRule="auto"/>
        <w:ind w:left="642" w:leftChars="0" w:right="927" w:rightChars="0"/>
        <w:jc w:val="right"/>
        <w:textAlignment w:val="auto"/>
        <w:rPr>
          <w:rFonts w:hint="eastAsia"/>
          <w:b w:val="0"/>
          <w:bCs/>
          <w:sz w:val="21"/>
          <w:szCs w:val="21"/>
        </w:rPr>
      </w:pPr>
      <w:r>
        <w:rPr>
          <w:rFonts w:hint="eastAsia"/>
          <w:b w:val="0"/>
          <w:bCs/>
          <w:sz w:val="21"/>
          <w:szCs w:val="21"/>
        </w:rPr>
        <w:t>企业名称（盖章）：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6" w:line="360" w:lineRule="auto"/>
        <w:ind w:left="642" w:leftChars="0" w:right="927" w:rightChars="0"/>
        <w:jc w:val="right"/>
        <w:textAlignment w:val="auto"/>
        <w:rPr>
          <w:b w:val="0"/>
          <w:bCs/>
          <w:sz w:val="21"/>
          <w:szCs w:val="21"/>
        </w:rPr>
      </w:pPr>
      <w:r>
        <w:rPr>
          <w:rFonts w:hint="eastAsia"/>
          <w:b w:val="0"/>
          <w:bCs/>
          <w:sz w:val="21"/>
          <w:szCs w:val="21"/>
        </w:rPr>
        <w:t>日期：</w:t>
      </w:r>
    </w:p>
    <w:p>
      <w:pPr>
        <w:keepNext w:val="0"/>
        <w:keepLines w:val="0"/>
        <w:pageBreakBefore w:val="0"/>
        <w:widowControl w:val="0"/>
        <w:kinsoku/>
        <w:wordWrap/>
        <w:overflowPunct/>
        <w:topLinePunct w:val="0"/>
        <w:autoSpaceDE w:val="0"/>
        <w:autoSpaceDN w:val="0"/>
        <w:bidi w:val="0"/>
        <w:adjustRightInd/>
        <w:snapToGrid/>
        <w:spacing w:before="26" w:line="360" w:lineRule="auto"/>
        <w:ind w:left="0" w:right="927" w:firstLine="0"/>
        <w:jc w:val="center"/>
        <w:textAlignment w:val="auto"/>
        <w:rPr>
          <w:b/>
          <w:sz w:val="32"/>
        </w:rPr>
      </w:pPr>
    </w:p>
    <w:p>
      <w:pPr>
        <w:pStyle w:val="2"/>
        <w:spacing w:line="267" w:lineRule="exact"/>
        <w:ind w:left="448"/>
      </w:pPr>
      <w:r>
        <w:rPr>
          <w:color w:val="444444"/>
        </w:rPr>
        <w:t>注：1、供应商如不提供此声明函，价格将不做相应扣除。</w:t>
      </w:r>
    </w:p>
    <w:p>
      <w:pPr>
        <w:spacing w:before="26"/>
        <w:ind w:left="0" w:right="927" w:firstLine="0"/>
        <w:jc w:val="center"/>
        <w:rPr>
          <w:b/>
          <w:sz w:val="32"/>
        </w:rPr>
      </w:pPr>
    </w:p>
    <w:p>
      <w:pPr>
        <w:spacing w:before="26"/>
        <w:ind w:left="0" w:right="927" w:firstLine="0"/>
        <w:jc w:val="center"/>
        <w:rPr>
          <w:b/>
          <w:sz w:val="32"/>
        </w:rPr>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ind w:left="436" w:leftChars="198" w:right="469" w:rightChars="213" w:firstLine="441" w:firstLineChars="210"/>
      </w:pPr>
    </w:p>
    <w:p>
      <w:pPr>
        <w:pStyle w:val="14"/>
        <w:ind w:left="436" w:leftChars="198" w:right="469" w:rightChars="213" w:firstLine="441" w:firstLineChars="210"/>
        <w:rPr>
          <w:rFonts w:hint="eastAsia"/>
        </w:rPr>
      </w:pPr>
      <w:r>
        <w:rPr>
          <w:rFonts w:hint="eastAsia"/>
        </w:rPr>
        <w:t>格式</w:t>
      </w:r>
      <w:r>
        <w:rPr>
          <w:rFonts w:hint="eastAsia"/>
          <w:lang w:eastAsia="zh-CN"/>
        </w:rPr>
        <w:t>十</w:t>
      </w:r>
      <w:r>
        <w:rPr>
          <w:rFonts w:hint="eastAsia"/>
        </w:rPr>
        <w:t>：</w:t>
      </w:r>
    </w:p>
    <w:p>
      <w:pPr>
        <w:pStyle w:val="14"/>
        <w:ind w:left="436" w:leftChars="198" w:right="469" w:rightChars="213" w:firstLine="675" w:firstLineChars="210"/>
        <w:jc w:val="center"/>
        <w:rPr>
          <w:rFonts w:hint="eastAsia"/>
          <w:b/>
          <w:bCs/>
          <w:sz w:val="32"/>
          <w:szCs w:val="32"/>
        </w:rPr>
      </w:pPr>
      <w:r>
        <w:rPr>
          <w:rFonts w:hint="eastAsia"/>
          <w:b/>
          <w:bCs/>
          <w:sz w:val="32"/>
          <w:szCs w:val="32"/>
        </w:rPr>
        <w:t>诚信投标承诺书</w:t>
      </w:r>
    </w:p>
    <w:p>
      <w:pPr>
        <w:pStyle w:val="14"/>
        <w:keepNext w:val="0"/>
        <w:keepLines w:val="0"/>
        <w:pageBreakBefore w:val="0"/>
        <w:widowControl w:val="0"/>
        <w:kinsoku/>
        <w:wordWrap/>
        <w:overflowPunct/>
        <w:topLinePunct w:val="0"/>
        <w:autoSpaceDE w:val="0"/>
        <w:autoSpaceDN w:val="0"/>
        <w:bidi w:val="0"/>
        <w:adjustRightInd/>
        <w:snapToGrid/>
        <w:spacing w:line="480" w:lineRule="auto"/>
        <w:ind w:left="436" w:leftChars="198" w:right="469" w:rightChars="213" w:firstLine="441" w:firstLineChars="210"/>
        <w:textAlignment w:val="auto"/>
        <w:rPr>
          <w:rFonts w:hint="eastAsia"/>
        </w:rPr>
      </w:pPr>
      <w:r>
        <w:rPr>
          <w:rFonts w:hint="eastAsia"/>
        </w:rPr>
        <w:t>（招标人名称）：</w:t>
      </w:r>
    </w:p>
    <w:p>
      <w:pPr>
        <w:pStyle w:val="14"/>
        <w:keepNext w:val="0"/>
        <w:keepLines w:val="0"/>
        <w:pageBreakBefore w:val="0"/>
        <w:widowControl w:val="0"/>
        <w:kinsoku/>
        <w:wordWrap/>
        <w:overflowPunct/>
        <w:topLinePunct w:val="0"/>
        <w:autoSpaceDE w:val="0"/>
        <w:autoSpaceDN w:val="0"/>
        <w:bidi w:val="0"/>
        <w:adjustRightInd/>
        <w:snapToGrid/>
        <w:spacing w:line="480" w:lineRule="auto"/>
        <w:ind w:left="436" w:leftChars="198" w:right="469" w:rightChars="213" w:firstLine="441" w:firstLineChars="210"/>
        <w:textAlignment w:val="auto"/>
        <w:rPr>
          <w:rFonts w:hint="eastAsia"/>
        </w:rPr>
      </w:pPr>
      <w:r>
        <w:rPr>
          <w:rFonts w:hint="eastAsia"/>
        </w:rPr>
        <w:t>我代表</w:t>
      </w:r>
      <w:r>
        <w:rPr>
          <w:rFonts w:hint="eastAsia"/>
          <w:u w:val="single"/>
          <w:lang w:val="en-US" w:eastAsia="zh-CN"/>
        </w:rPr>
        <w:t xml:space="preserve">             </w:t>
      </w:r>
      <w:r>
        <w:rPr>
          <w:rFonts w:hint="eastAsia"/>
          <w:u w:val="none"/>
        </w:rPr>
        <w:t>（投标人）</w:t>
      </w:r>
      <w:r>
        <w:rPr>
          <w:rFonts w:hint="eastAsia"/>
        </w:rPr>
        <w:t>自愿参加</w:t>
      </w:r>
      <w:r>
        <w:rPr>
          <w:rFonts w:hint="eastAsia"/>
          <w:lang w:val="en-US" w:eastAsia="zh-CN"/>
        </w:rPr>
        <w:t xml:space="preserve"> </w:t>
      </w:r>
      <w:r>
        <w:rPr>
          <w:rFonts w:hint="eastAsia"/>
          <w:u w:val="single"/>
          <w:lang w:val="en-US" w:eastAsia="zh-CN"/>
        </w:rPr>
        <w:t xml:space="preserve">              </w:t>
      </w:r>
      <w:r>
        <w:rPr>
          <w:rFonts w:hint="eastAsia"/>
        </w:rPr>
        <w:t>（招标项目名称）</w:t>
      </w:r>
      <w:r>
        <w:rPr>
          <w:rFonts w:hint="eastAsia"/>
          <w:lang w:eastAsia="zh-CN"/>
        </w:rPr>
        <w:t>的投标和按规定缴纳投标保证金</w:t>
      </w:r>
      <w:r>
        <w:rPr>
          <w:rFonts w:hint="eastAsia"/>
          <w:u w:val="single"/>
          <w:lang w:val="en-US" w:eastAsia="zh-CN"/>
        </w:rPr>
        <w:t xml:space="preserve">    </w:t>
      </w:r>
      <w:r>
        <w:rPr>
          <w:rFonts w:hint="eastAsia"/>
          <w:lang w:val="en-US" w:eastAsia="zh-CN"/>
        </w:rPr>
        <w:t>万元</w:t>
      </w:r>
      <w:r>
        <w:rPr>
          <w:rFonts w:hint="eastAsia"/>
          <w:lang w:eastAsia="zh-CN"/>
        </w:rPr>
        <w:t>，严格遵守招投标有关法律法规的相关规定，并郑重承诺。</w:t>
      </w:r>
    </w:p>
    <w:p>
      <w:pPr>
        <w:pStyle w:val="14"/>
        <w:keepNext w:val="0"/>
        <w:keepLines w:val="0"/>
        <w:pageBreakBefore w:val="0"/>
        <w:widowControl w:val="0"/>
        <w:kinsoku/>
        <w:wordWrap/>
        <w:overflowPunct/>
        <w:topLinePunct w:val="0"/>
        <w:autoSpaceDE w:val="0"/>
        <w:autoSpaceDN w:val="0"/>
        <w:bidi w:val="0"/>
        <w:adjustRightInd/>
        <w:snapToGrid/>
        <w:spacing w:line="480" w:lineRule="auto"/>
        <w:ind w:left="436" w:leftChars="198" w:right="469" w:rightChars="213" w:firstLine="441" w:firstLineChars="210"/>
        <w:textAlignment w:val="auto"/>
        <w:rPr>
          <w:rFonts w:hint="eastAsia"/>
        </w:rPr>
      </w:pPr>
      <w:r>
        <w:rPr>
          <w:rFonts w:hint="eastAsia"/>
        </w:rPr>
        <w:t>（一）本单位递交的资格审查文件、投标文件中的所有资料都真实可信，没有弄虚作假；</w:t>
      </w:r>
    </w:p>
    <w:p>
      <w:pPr>
        <w:pStyle w:val="14"/>
        <w:keepNext w:val="0"/>
        <w:keepLines w:val="0"/>
        <w:pageBreakBefore w:val="0"/>
        <w:widowControl w:val="0"/>
        <w:kinsoku/>
        <w:wordWrap/>
        <w:overflowPunct/>
        <w:topLinePunct w:val="0"/>
        <w:autoSpaceDE w:val="0"/>
        <w:autoSpaceDN w:val="0"/>
        <w:bidi w:val="0"/>
        <w:adjustRightInd/>
        <w:snapToGrid/>
        <w:spacing w:line="480" w:lineRule="auto"/>
        <w:ind w:left="436" w:leftChars="198" w:right="469" w:rightChars="213" w:firstLine="441" w:firstLineChars="210"/>
        <w:textAlignment w:val="auto"/>
        <w:rPr>
          <w:rFonts w:hint="eastAsia"/>
        </w:rPr>
      </w:pPr>
      <w:r>
        <w:rPr>
          <w:rFonts w:hint="eastAsia"/>
        </w:rPr>
        <w:t>（二）不组织、不参与串标围标，没有出借或挂靠资质等违法违规行为；</w:t>
      </w:r>
    </w:p>
    <w:p>
      <w:pPr>
        <w:pStyle w:val="14"/>
        <w:keepNext w:val="0"/>
        <w:keepLines w:val="0"/>
        <w:pageBreakBefore w:val="0"/>
        <w:widowControl w:val="0"/>
        <w:kinsoku/>
        <w:wordWrap/>
        <w:overflowPunct/>
        <w:topLinePunct w:val="0"/>
        <w:autoSpaceDE w:val="0"/>
        <w:autoSpaceDN w:val="0"/>
        <w:bidi w:val="0"/>
        <w:adjustRightInd/>
        <w:snapToGrid/>
        <w:spacing w:line="480" w:lineRule="auto"/>
        <w:ind w:left="436" w:leftChars="198" w:right="469" w:rightChars="213" w:firstLine="441" w:firstLineChars="210"/>
        <w:textAlignment w:val="auto"/>
        <w:rPr>
          <w:rFonts w:hint="eastAsia"/>
        </w:rPr>
      </w:pPr>
      <w:r>
        <w:rPr>
          <w:rFonts w:hint="eastAsia"/>
        </w:rPr>
        <w:t>（三）拟派的投标项目组成员符合法律法规和地方的相关规定及招标文件的约定。中标后，绝不违法分包、转包：</w:t>
      </w:r>
    </w:p>
    <w:p>
      <w:pPr>
        <w:pStyle w:val="14"/>
        <w:keepNext w:val="0"/>
        <w:keepLines w:val="0"/>
        <w:pageBreakBefore w:val="0"/>
        <w:widowControl w:val="0"/>
        <w:kinsoku/>
        <w:wordWrap/>
        <w:overflowPunct/>
        <w:topLinePunct w:val="0"/>
        <w:autoSpaceDE w:val="0"/>
        <w:autoSpaceDN w:val="0"/>
        <w:bidi w:val="0"/>
        <w:adjustRightInd/>
        <w:snapToGrid/>
        <w:spacing w:line="480" w:lineRule="auto"/>
        <w:ind w:left="436" w:leftChars="198" w:right="469" w:rightChars="213" w:firstLine="441" w:firstLineChars="210"/>
        <w:textAlignment w:val="auto"/>
        <w:rPr>
          <w:rFonts w:hint="eastAsia"/>
        </w:rPr>
      </w:pPr>
      <w:r>
        <w:rPr>
          <w:rFonts w:hint="eastAsia"/>
        </w:rPr>
        <w:t>（四）本单位如有涉及招标投标方面投诉举报，本人将在投诉书上签字，否则，招标投标行政监督部门或招标人可以不予受理：</w:t>
      </w:r>
    </w:p>
    <w:p>
      <w:pPr>
        <w:pStyle w:val="14"/>
        <w:keepNext w:val="0"/>
        <w:keepLines w:val="0"/>
        <w:pageBreakBefore w:val="0"/>
        <w:widowControl w:val="0"/>
        <w:kinsoku/>
        <w:wordWrap/>
        <w:overflowPunct/>
        <w:topLinePunct w:val="0"/>
        <w:autoSpaceDE w:val="0"/>
        <w:autoSpaceDN w:val="0"/>
        <w:bidi w:val="0"/>
        <w:adjustRightInd/>
        <w:snapToGrid/>
        <w:spacing w:line="480" w:lineRule="auto"/>
        <w:ind w:left="436" w:leftChars="198" w:right="469" w:rightChars="213" w:firstLine="441" w:firstLineChars="210"/>
        <w:textAlignment w:val="auto"/>
        <w:rPr>
          <w:rFonts w:hint="eastAsia"/>
        </w:rPr>
      </w:pPr>
      <w:r>
        <w:rPr>
          <w:rFonts w:hint="eastAsia"/>
        </w:rPr>
        <w:t>（五）遵守相关法律、法规、规章和有关文件的规定。</w:t>
      </w:r>
    </w:p>
    <w:p>
      <w:pPr>
        <w:pStyle w:val="14"/>
        <w:keepNext w:val="0"/>
        <w:keepLines w:val="0"/>
        <w:pageBreakBefore w:val="0"/>
        <w:widowControl w:val="0"/>
        <w:kinsoku/>
        <w:wordWrap/>
        <w:overflowPunct/>
        <w:topLinePunct w:val="0"/>
        <w:autoSpaceDE w:val="0"/>
        <w:autoSpaceDN w:val="0"/>
        <w:bidi w:val="0"/>
        <w:adjustRightInd/>
        <w:snapToGrid/>
        <w:spacing w:line="480" w:lineRule="auto"/>
        <w:ind w:left="436" w:leftChars="198" w:right="469" w:rightChars="213" w:firstLine="441" w:firstLineChars="210"/>
        <w:textAlignment w:val="auto"/>
        <w:rPr>
          <w:rFonts w:hint="eastAsia"/>
        </w:rPr>
      </w:pPr>
      <w:r>
        <w:rPr>
          <w:rFonts w:hint="eastAsia"/>
        </w:rPr>
        <w:t>如果出现违反上述承诺内容的行为，本人及本公司愿意接受招标人或招标投标行政监督部门的任何处罚。</w:t>
      </w:r>
    </w:p>
    <w:p>
      <w:pPr>
        <w:pStyle w:val="14"/>
        <w:keepNext w:val="0"/>
        <w:keepLines w:val="0"/>
        <w:pageBreakBefore w:val="0"/>
        <w:widowControl w:val="0"/>
        <w:kinsoku/>
        <w:wordWrap/>
        <w:overflowPunct/>
        <w:topLinePunct w:val="0"/>
        <w:autoSpaceDE w:val="0"/>
        <w:autoSpaceDN w:val="0"/>
        <w:bidi w:val="0"/>
        <w:adjustRightInd/>
        <w:snapToGrid/>
        <w:spacing w:line="480" w:lineRule="auto"/>
        <w:ind w:left="436" w:leftChars="198" w:right="469" w:rightChars="213" w:firstLine="441" w:firstLineChars="210"/>
        <w:textAlignment w:val="auto"/>
        <w:rPr>
          <w:rFonts w:hint="eastAsia"/>
        </w:rPr>
      </w:pPr>
      <w:r>
        <w:rPr>
          <w:rFonts w:hint="eastAsia"/>
        </w:rPr>
        <w:t>特此承诺。</w:t>
      </w:r>
    </w:p>
    <w:p>
      <w:pPr>
        <w:pStyle w:val="14"/>
        <w:keepNext w:val="0"/>
        <w:keepLines w:val="0"/>
        <w:pageBreakBefore w:val="0"/>
        <w:widowControl w:val="0"/>
        <w:kinsoku/>
        <w:wordWrap/>
        <w:overflowPunct/>
        <w:topLinePunct w:val="0"/>
        <w:autoSpaceDE w:val="0"/>
        <w:autoSpaceDN w:val="0"/>
        <w:bidi w:val="0"/>
        <w:adjustRightInd/>
        <w:snapToGrid/>
        <w:spacing w:line="480" w:lineRule="auto"/>
        <w:ind w:left="436" w:leftChars="198" w:right="469" w:rightChars="213" w:firstLine="441" w:firstLineChars="210"/>
        <w:textAlignment w:val="auto"/>
        <w:rPr>
          <w:rFonts w:hint="eastAsia"/>
        </w:rPr>
      </w:pPr>
      <w:r>
        <w:rPr>
          <w:rFonts w:hint="eastAsia"/>
        </w:rPr>
        <w:t>投标人（盖章）：</w:t>
      </w:r>
    </w:p>
    <w:p>
      <w:pPr>
        <w:pStyle w:val="14"/>
        <w:keepNext w:val="0"/>
        <w:keepLines w:val="0"/>
        <w:pageBreakBefore w:val="0"/>
        <w:widowControl w:val="0"/>
        <w:kinsoku/>
        <w:wordWrap/>
        <w:overflowPunct/>
        <w:topLinePunct w:val="0"/>
        <w:autoSpaceDE w:val="0"/>
        <w:autoSpaceDN w:val="0"/>
        <w:bidi w:val="0"/>
        <w:adjustRightInd/>
        <w:snapToGrid/>
        <w:spacing w:line="480" w:lineRule="auto"/>
        <w:ind w:left="436" w:leftChars="198" w:right="469" w:rightChars="213" w:firstLine="441" w:firstLineChars="210"/>
        <w:textAlignment w:val="auto"/>
        <w:rPr>
          <w:rFonts w:hint="eastAsia"/>
        </w:rPr>
      </w:pPr>
      <w:r>
        <w:rPr>
          <w:rFonts w:hint="eastAsia"/>
        </w:rPr>
        <w:t>法定代表人（签字或盖章）：</w:t>
      </w:r>
    </w:p>
    <w:p>
      <w:pPr>
        <w:pStyle w:val="14"/>
        <w:keepNext w:val="0"/>
        <w:keepLines w:val="0"/>
        <w:pageBreakBefore w:val="0"/>
        <w:widowControl w:val="0"/>
        <w:kinsoku/>
        <w:wordWrap/>
        <w:overflowPunct/>
        <w:topLinePunct w:val="0"/>
        <w:autoSpaceDE w:val="0"/>
        <w:autoSpaceDN w:val="0"/>
        <w:bidi w:val="0"/>
        <w:adjustRightInd/>
        <w:snapToGrid/>
        <w:spacing w:line="480" w:lineRule="auto"/>
        <w:ind w:left="436" w:leftChars="198" w:right="469" w:rightChars="213" w:firstLine="441" w:firstLineChars="210"/>
        <w:textAlignment w:val="auto"/>
        <w:rPr>
          <w:rFonts w:hint="eastAsia"/>
        </w:rPr>
      </w:pPr>
      <w:r>
        <w:rPr>
          <w:rFonts w:hint="eastAsia"/>
        </w:rPr>
        <w:t>日期：</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月＿日</w:t>
      </w:r>
    </w:p>
    <w:p>
      <w:pPr>
        <w:pStyle w:val="14"/>
        <w:keepNext w:val="0"/>
        <w:keepLines w:val="0"/>
        <w:pageBreakBefore w:val="0"/>
        <w:widowControl w:val="0"/>
        <w:kinsoku/>
        <w:wordWrap/>
        <w:overflowPunct/>
        <w:topLinePunct w:val="0"/>
        <w:autoSpaceDE w:val="0"/>
        <w:autoSpaceDN w:val="0"/>
        <w:bidi w:val="0"/>
        <w:adjustRightInd/>
        <w:snapToGrid/>
        <w:spacing w:line="480" w:lineRule="auto"/>
        <w:ind w:left="436" w:leftChars="198" w:right="469" w:rightChars="213" w:firstLine="441" w:firstLineChars="210"/>
        <w:textAlignment w:val="auto"/>
        <w:sectPr>
          <w:type w:val="continuous"/>
          <w:pgSz w:w="11910" w:h="16840"/>
          <w:pgMar w:top="1580" w:right="580" w:bottom="280" w:left="740" w:header="720" w:footer="720" w:gutter="0"/>
          <w:pgNumType w:fmt="decimal"/>
          <w:cols w:space="720" w:num="1"/>
        </w:sectPr>
      </w:pPr>
    </w:p>
    <w:p>
      <w:pPr>
        <w:pStyle w:val="5"/>
        <w:spacing w:before="85"/>
        <w:ind w:left="656" w:leftChars="-200" w:right="-2200" w:rightChars="-1000" w:hanging="1096" w:firstLineChars="0"/>
        <w:rPr>
          <w:rFonts w:hint="default" w:eastAsia="宋体"/>
          <w:lang w:val="en-US" w:eastAsia="zh-CN"/>
        </w:rPr>
      </w:pPr>
      <w:r>
        <w:t>格式</w:t>
      </w:r>
      <w:r>
        <w:rPr>
          <w:rFonts w:hint="eastAsia"/>
          <w:lang w:eastAsia="zh-CN"/>
        </w:rPr>
        <w:t>十</w:t>
      </w:r>
      <w:r>
        <w:rPr>
          <w:rFonts w:hint="eastAsia"/>
          <w:lang w:val="en-US" w:eastAsia="zh-CN"/>
        </w:rPr>
        <w:t>一</w:t>
      </w:r>
    </w:p>
    <w:p>
      <w:pPr>
        <w:pStyle w:val="2"/>
        <w:spacing w:before="8"/>
        <w:rPr>
          <w:sz w:val="34"/>
        </w:rPr>
      </w:pPr>
      <w:r>
        <w:br w:type="column"/>
      </w:r>
    </w:p>
    <w:p>
      <w:pPr>
        <w:spacing w:before="0"/>
        <w:ind w:left="252" w:right="0" w:firstLine="0"/>
        <w:jc w:val="left"/>
        <w:outlineLvl w:val="0"/>
        <w:rPr>
          <w:b/>
          <w:sz w:val="32"/>
        </w:rPr>
      </w:pPr>
      <w:bookmarkStart w:id="31" w:name="_Toc23063"/>
    </w:p>
    <w:p>
      <w:pPr>
        <w:spacing w:before="0"/>
        <w:ind w:left="-207" w:leftChars="-100" w:right="0" w:hanging="13" w:firstLineChars="0"/>
        <w:jc w:val="center"/>
        <w:outlineLvl w:val="0"/>
        <w:rPr>
          <w:b/>
          <w:sz w:val="32"/>
        </w:rPr>
      </w:pPr>
      <w:r>
        <w:rPr>
          <w:b/>
          <w:sz w:val="32"/>
        </w:rPr>
        <w:t>开标一览表</w:t>
      </w:r>
      <w:bookmarkEnd w:id="31"/>
    </w:p>
    <w:p>
      <w:pPr>
        <w:tabs>
          <w:tab w:val="left" w:pos="0"/>
        </w:tabs>
        <w:spacing w:before="0"/>
        <w:ind w:left="-207" w:leftChars="-100" w:right="0" w:hanging="13" w:firstLineChars="0"/>
        <w:jc w:val="left"/>
        <w:outlineLvl w:val="0"/>
        <w:rPr>
          <w:rFonts w:hint="default" w:ascii="Times New Roman" w:eastAsia="宋体"/>
          <w:lang w:val="en-US" w:eastAsia="zh-CN"/>
        </w:rPr>
      </w:pPr>
      <w:r>
        <w:t>采购</w:t>
      </w:r>
      <w:r>
        <w:rPr>
          <w:spacing w:val="-3"/>
        </w:rPr>
        <w:t>项</w:t>
      </w:r>
      <w:r>
        <w:t>目</w:t>
      </w:r>
      <w:r>
        <w:rPr>
          <w:spacing w:val="-3"/>
        </w:rPr>
        <w:t>编</w:t>
      </w:r>
      <w:r>
        <w:t>号</w:t>
      </w:r>
      <w:r>
        <w:rPr>
          <w:spacing w:val="-3"/>
        </w:rPr>
        <w:t>：</w:t>
      </w:r>
      <w:r>
        <w:rPr>
          <w:spacing w:val="-3"/>
          <w:u w:val="single"/>
        </w:rPr>
        <w:t xml:space="preserve"> </w:t>
      </w:r>
      <w:r>
        <w:rPr>
          <w:rFonts w:hint="eastAsia"/>
          <w:spacing w:val="-3"/>
          <w:u w:val="single"/>
          <w:lang w:val="en-US" w:eastAsia="zh-CN"/>
        </w:rPr>
        <w:t xml:space="preserve">   </w:t>
      </w:r>
      <w:r>
        <w:rPr>
          <w:spacing w:val="-3"/>
          <w:u w:val="single"/>
        </w:rPr>
        <w:tab/>
      </w:r>
      <w:r>
        <w:rPr>
          <w:spacing w:val="-3"/>
        </w:rPr>
        <w:tab/>
      </w:r>
      <w:r>
        <w:rPr>
          <w:spacing w:val="-1"/>
        </w:rPr>
        <w:t>项</w:t>
      </w:r>
      <w:r>
        <w:t>目</w:t>
      </w:r>
      <w:r>
        <w:rPr>
          <w:spacing w:val="-3"/>
        </w:rPr>
        <w:t>名</w:t>
      </w:r>
      <w:r>
        <w:t>称</w:t>
      </w:r>
      <w:r>
        <w:rPr>
          <w:spacing w:val="-3"/>
        </w:rPr>
        <w:t>：</w:t>
      </w:r>
      <w:r>
        <w:rPr>
          <w:rFonts w:ascii="Times New Roman" w:eastAsia="Times New Roman"/>
          <w:u w:val="single"/>
        </w:rPr>
        <w:t xml:space="preserve"> </w:t>
      </w:r>
      <w:r>
        <w:rPr>
          <w:rFonts w:ascii="Times New Roman" w:eastAsia="Times New Roman"/>
          <w:u w:val="single"/>
        </w:rPr>
        <w:tab/>
      </w:r>
      <w:r>
        <w:rPr>
          <w:rFonts w:hint="eastAsia" w:ascii="Times New Roman"/>
          <w:u w:val="single"/>
          <w:lang w:val="en-US" w:eastAsia="zh-CN"/>
        </w:rPr>
        <w:t xml:space="preserve">        </w:t>
      </w:r>
    </w:p>
    <w:p>
      <w:pPr>
        <w:pStyle w:val="2"/>
        <w:spacing w:before="8"/>
        <w:ind w:left="-207" w:leftChars="-100" w:hanging="13" w:firstLineChars="0"/>
        <w:rPr>
          <w:rFonts w:ascii="Times New Roman"/>
          <w:sz w:val="15"/>
        </w:rPr>
      </w:pPr>
    </w:p>
    <w:p>
      <w:pPr>
        <w:pStyle w:val="2"/>
        <w:tabs>
          <w:tab w:val="left" w:pos="4769"/>
          <w:tab w:val="left" w:pos="10855"/>
        </w:tabs>
        <w:spacing w:before="78"/>
        <w:ind w:left="-207" w:leftChars="-100" w:hanging="13" w:firstLineChars="0"/>
      </w:pPr>
      <w:r>
        <w:t>投标</w:t>
      </w:r>
      <w:r>
        <w:rPr>
          <w:spacing w:val="-3"/>
        </w:rPr>
        <w:t>人</w:t>
      </w:r>
      <w:r>
        <w:t>名</w:t>
      </w:r>
      <w:r>
        <w:rPr>
          <w:spacing w:val="-3"/>
        </w:rPr>
        <w:t>称</w:t>
      </w:r>
      <w:r>
        <w:t>：</w:t>
      </w:r>
      <w:r>
        <w:rPr>
          <w:u w:val="single"/>
        </w:rPr>
        <w:t xml:space="preserve"> </w:t>
      </w:r>
      <w:r>
        <w:rPr>
          <w:u w:val="single"/>
        </w:rPr>
        <w:tab/>
      </w:r>
      <w:r>
        <w:tab/>
      </w:r>
      <w:r>
        <w:t>单</w:t>
      </w:r>
      <w:r>
        <w:rPr>
          <w:spacing w:val="-3"/>
        </w:rPr>
        <w:t>位</w:t>
      </w:r>
      <w:r>
        <w:t>：元</w:t>
      </w:r>
    </w:p>
    <w:p>
      <w:pPr>
        <w:pStyle w:val="2"/>
        <w:ind w:left="-207" w:leftChars="-100" w:hanging="13" w:firstLineChars="0"/>
        <w:rPr>
          <w:sz w:val="7"/>
        </w:rPr>
      </w:pPr>
    </w:p>
    <w:tbl>
      <w:tblPr>
        <w:tblStyle w:val="15"/>
        <w:tblW w:w="13210" w:type="dxa"/>
        <w:tblInd w:w="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3390"/>
        <w:gridCol w:w="8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035" w:type="dxa"/>
            <w:vAlign w:val="center"/>
          </w:tcPr>
          <w:p>
            <w:pPr>
              <w:pStyle w:val="22"/>
              <w:spacing w:before="4"/>
              <w:ind w:left="-207" w:leftChars="-100" w:hanging="13" w:firstLineChars="0"/>
              <w:jc w:val="center"/>
              <w:rPr>
                <w:sz w:val="17"/>
              </w:rPr>
            </w:pPr>
          </w:p>
          <w:p>
            <w:pPr>
              <w:pStyle w:val="22"/>
              <w:ind w:left="-207" w:leftChars="-100" w:hanging="13" w:firstLineChars="0"/>
              <w:jc w:val="center"/>
              <w:rPr>
                <w:b/>
                <w:sz w:val="21"/>
              </w:rPr>
            </w:pPr>
            <w:r>
              <w:rPr>
                <w:b/>
                <w:sz w:val="21"/>
              </w:rPr>
              <w:t>序号</w:t>
            </w:r>
          </w:p>
        </w:tc>
        <w:tc>
          <w:tcPr>
            <w:tcW w:w="3390" w:type="dxa"/>
            <w:vAlign w:val="center"/>
          </w:tcPr>
          <w:p>
            <w:pPr>
              <w:pStyle w:val="22"/>
              <w:spacing w:before="4"/>
              <w:ind w:left="-207" w:leftChars="-100" w:hanging="13" w:firstLineChars="0"/>
              <w:jc w:val="center"/>
              <w:rPr>
                <w:sz w:val="17"/>
              </w:rPr>
            </w:pPr>
          </w:p>
          <w:p>
            <w:pPr>
              <w:pStyle w:val="22"/>
              <w:ind w:left="-207" w:leftChars="-100" w:right="1824" w:hanging="13" w:firstLineChars="0"/>
              <w:jc w:val="center"/>
              <w:rPr>
                <w:b/>
                <w:sz w:val="21"/>
              </w:rPr>
            </w:pPr>
            <w:r>
              <w:rPr>
                <w:b/>
                <w:sz w:val="21"/>
              </w:rPr>
              <w:t>项目名称</w:t>
            </w:r>
          </w:p>
        </w:tc>
        <w:tc>
          <w:tcPr>
            <w:tcW w:w="8785" w:type="dxa"/>
          </w:tcPr>
          <w:p>
            <w:pPr>
              <w:pStyle w:val="22"/>
              <w:spacing w:before="4"/>
              <w:ind w:left="-207" w:leftChars="-100" w:hanging="13" w:firstLineChars="0"/>
              <w:jc w:val="left"/>
              <w:rPr>
                <w:sz w:val="17"/>
              </w:rPr>
            </w:pPr>
          </w:p>
          <w:p>
            <w:pPr>
              <w:pStyle w:val="22"/>
              <w:ind w:left="-207" w:leftChars="-100" w:right="3516" w:hanging="13" w:firstLineChars="0"/>
              <w:rPr>
                <w:b/>
                <w:sz w:val="21"/>
              </w:rPr>
            </w:pPr>
            <w:r>
              <w:rPr>
                <w:b/>
                <w:sz w:val="21"/>
              </w:rPr>
              <w:t>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035" w:type="dxa"/>
            <w:vMerge w:val="restart"/>
            <w:vAlign w:val="center"/>
          </w:tcPr>
          <w:p>
            <w:pPr>
              <w:pStyle w:val="22"/>
              <w:ind w:left="-207" w:leftChars="-100" w:hanging="13" w:firstLineChars="0"/>
              <w:jc w:val="center"/>
              <w:rPr>
                <w:sz w:val="20"/>
              </w:rPr>
            </w:pPr>
          </w:p>
          <w:p>
            <w:pPr>
              <w:pStyle w:val="22"/>
              <w:spacing w:before="10"/>
              <w:ind w:left="-207" w:leftChars="-100" w:hanging="13" w:firstLineChars="0"/>
              <w:jc w:val="center"/>
              <w:rPr>
                <w:sz w:val="16"/>
              </w:rPr>
            </w:pPr>
          </w:p>
          <w:p>
            <w:pPr>
              <w:pStyle w:val="22"/>
              <w:ind w:left="-207" w:leftChars="-100" w:hanging="13" w:firstLineChars="0"/>
              <w:jc w:val="center"/>
              <w:rPr>
                <w:sz w:val="21"/>
              </w:rPr>
            </w:pPr>
            <w:r>
              <w:rPr>
                <w:w w:val="100"/>
                <w:sz w:val="21"/>
              </w:rPr>
              <w:t>1</w:t>
            </w:r>
          </w:p>
        </w:tc>
        <w:tc>
          <w:tcPr>
            <w:tcW w:w="3390" w:type="dxa"/>
            <w:vMerge w:val="restart"/>
            <w:vAlign w:val="center"/>
          </w:tcPr>
          <w:p>
            <w:pPr>
              <w:pStyle w:val="22"/>
              <w:spacing w:before="23" w:line="480" w:lineRule="atLeast"/>
              <w:ind w:left="-207" w:leftChars="-100" w:right="161" w:hanging="13" w:firstLineChars="0"/>
              <w:jc w:val="center"/>
              <w:rPr>
                <w:rFonts w:hint="default"/>
                <w:sz w:val="21"/>
                <w:lang w:val="en-US"/>
              </w:rPr>
            </w:pPr>
            <w:r>
              <w:rPr>
                <w:sz w:val="21"/>
                <w:lang w:val="en-US"/>
              </w:rPr>
              <w:t>丰华街道渗滤液处理设备项目</w:t>
            </w:r>
          </w:p>
        </w:tc>
        <w:tc>
          <w:tcPr>
            <w:tcW w:w="8785" w:type="dxa"/>
          </w:tcPr>
          <w:p>
            <w:pPr>
              <w:pStyle w:val="22"/>
              <w:spacing w:before="4"/>
              <w:ind w:left="-207" w:leftChars="-100" w:hanging="13" w:firstLineChars="0"/>
              <w:jc w:val="left"/>
              <w:rPr>
                <w:sz w:val="17"/>
              </w:rPr>
            </w:pPr>
          </w:p>
          <w:p>
            <w:pPr>
              <w:pStyle w:val="22"/>
              <w:ind w:left="-207" w:leftChars="-100" w:hanging="13" w:firstLineChars="0"/>
              <w:jc w:val="left"/>
              <w:rPr>
                <w:sz w:val="21"/>
              </w:rPr>
            </w:pPr>
            <w:r>
              <w:rPr>
                <w:sz w:val="21"/>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35" w:type="dxa"/>
            <w:vMerge w:val="continue"/>
            <w:tcBorders>
              <w:top w:val="nil"/>
            </w:tcBorders>
          </w:tcPr>
          <w:p>
            <w:pPr>
              <w:ind w:left="-207" w:leftChars="-100" w:hanging="13" w:firstLineChars="0"/>
              <w:rPr>
                <w:sz w:val="2"/>
                <w:szCs w:val="2"/>
              </w:rPr>
            </w:pPr>
          </w:p>
        </w:tc>
        <w:tc>
          <w:tcPr>
            <w:tcW w:w="3390" w:type="dxa"/>
            <w:vMerge w:val="continue"/>
            <w:tcBorders>
              <w:top w:val="nil"/>
            </w:tcBorders>
          </w:tcPr>
          <w:p>
            <w:pPr>
              <w:ind w:left="-207" w:leftChars="-100" w:hanging="13" w:firstLineChars="0"/>
              <w:rPr>
                <w:sz w:val="2"/>
                <w:szCs w:val="2"/>
              </w:rPr>
            </w:pPr>
          </w:p>
        </w:tc>
        <w:tc>
          <w:tcPr>
            <w:tcW w:w="8785" w:type="dxa"/>
          </w:tcPr>
          <w:p>
            <w:pPr>
              <w:pStyle w:val="22"/>
              <w:spacing w:before="6"/>
              <w:ind w:left="-207" w:leftChars="-100" w:hanging="13" w:firstLineChars="0"/>
              <w:jc w:val="left"/>
              <w:rPr>
                <w:sz w:val="17"/>
              </w:rPr>
            </w:pPr>
          </w:p>
          <w:p>
            <w:pPr>
              <w:pStyle w:val="22"/>
              <w:ind w:left="-207" w:leftChars="-100" w:hanging="13" w:firstLineChars="0"/>
              <w:jc w:val="left"/>
              <w:rPr>
                <w:sz w:val="21"/>
              </w:rPr>
            </w:pPr>
            <w:r>
              <w:rPr>
                <w:sz w:val="21"/>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425" w:type="dxa"/>
            <w:gridSpan w:val="2"/>
          </w:tcPr>
          <w:p>
            <w:pPr>
              <w:pStyle w:val="22"/>
              <w:spacing w:before="7"/>
              <w:ind w:left="-207" w:leftChars="-100" w:hanging="13" w:firstLineChars="0"/>
              <w:jc w:val="left"/>
              <w:rPr>
                <w:sz w:val="16"/>
              </w:rPr>
            </w:pPr>
          </w:p>
          <w:p>
            <w:pPr>
              <w:pStyle w:val="22"/>
              <w:ind w:left="-207" w:leftChars="-100" w:right="1973" w:hanging="13" w:firstLineChars="0"/>
              <w:rPr>
                <w:b/>
                <w:sz w:val="21"/>
              </w:rPr>
            </w:pPr>
            <w:r>
              <w:rPr>
                <w:b/>
                <w:sz w:val="21"/>
              </w:rPr>
              <w:t>质保期</w:t>
            </w:r>
          </w:p>
        </w:tc>
        <w:tc>
          <w:tcPr>
            <w:tcW w:w="8785" w:type="dxa"/>
          </w:tcPr>
          <w:p>
            <w:pPr>
              <w:pStyle w:val="22"/>
              <w:spacing w:before="3"/>
              <w:ind w:left="-207" w:leftChars="-100" w:hanging="13" w:firstLineChars="0"/>
              <w:jc w:val="left"/>
              <w:rPr>
                <w:sz w:val="17"/>
              </w:rPr>
            </w:pPr>
          </w:p>
          <w:p>
            <w:pPr>
              <w:pStyle w:val="22"/>
              <w:tabs>
                <w:tab w:val="left" w:pos="2920"/>
              </w:tabs>
              <w:spacing w:before="1"/>
              <w:ind w:left="-207" w:leftChars="-100" w:hanging="13" w:firstLineChars="0"/>
              <w:jc w:val="left"/>
              <w:rPr>
                <w:sz w:val="21"/>
              </w:rPr>
            </w:pPr>
            <w:r>
              <w:rPr>
                <w:sz w:val="21"/>
              </w:rPr>
              <w:t>我单</w:t>
            </w:r>
            <w:r>
              <w:rPr>
                <w:spacing w:val="-3"/>
                <w:sz w:val="21"/>
              </w:rPr>
              <w:t>位</w:t>
            </w:r>
            <w:r>
              <w:rPr>
                <w:sz w:val="21"/>
              </w:rPr>
              <w:t>承</w:t>
            </w:r>
            <w:r>
              <w:rPr>
                <w:spacing w:val="-3"/>
                <w:sz w:val="21"/>
              </w:rPr>
              <w:t>诺</w:t>
            </w:r>
            <w:r>
              <w:rPr>
                <w:sz w:val="21"/>
              </w:rPr>
              <w:t>质</w:t>
            </w:r>
            <w:r>
              <w:rPr>
                <w:spacing w:val="-3"/>
                <w:sz w:val="21"/>
              </w:rPr>
              <w:t>保</w:t>
            </w:r>
            <w:r>
              <w:rPr>
                <w:sz w:val="21"/>
              </w:rPr>
              <w:t>期</w:t>
            </w:r>
            <w:r>
              <w:rPr>
                <w:sz w:val="21"/>
                <w:u w:val="single"/>
              </w:rPr>
              <w:t xml:space="preserve"> </w:t>
            </w:r>
            <w:r>
              <w:rPr>
                <w:sz w:val="21"/>
                <w:u w:val="single"/>
              </w:rPr>
              <w:tab/>
            </w:r>
            <w:r>
              <w:rPr>
                <w:spacing w:val="-3"/>
                <w:sz w:val="21"/>
              </w:rPr>
              <w:t>年</w:t>
            </w:r>
            <w:r>
              <w:rPr>
                <w:sz w:val="21"/>
              </w:rPr>
              <w:t>，质</w:t>
            </w:r>
            <w:r>
              <w:rPr>
                <w:spacing w:val="-3"/>
                <w:sz w:val="21"/>
              </w:rPr>
              <w:t>保</w:t>
            </w:r>
            <w:r>
              <w:rPr>
                <w:sz w:val="21"/>
              </w:rPr>
              <w:t>期</w:t>
            </w:r>
            <w:r>
              <w:rPr>
                <w:spacing w:val="-3"/>
                <w:sz w:val="21"/>
              </w:rPr>
              <w:t>内</w:t>
            </w:r>
            <w:r>
              <w:rPr>
                <w:sz w:val="21"/>
              </w:rPr>
              <w:t>无</w:t>
            </w:r>
            <w:r>
              <w:rPr>
                <w:spacing w:val="-3"/>
                <w:sz w:val="21"/>
              </w:rPr>
              <w:t>偿</w:t>
            </w:r>
            <w:r>
              <w:rPr>
                <w:sz w:val="21"/>
              </w:rPr>
              <w:t>更</w:t>
            </w:r>
            <w:r>
              <w:rPr>
                <w:spacing w:val="-3"/>
                <w:sz w:val="21"/>
              </w:rPr>
              <w:t>换</w:t>
            </w:r>
            <w:r>
              <w:rPr>
                <w:sz w:val="21"/>
              </w:rPr>
              <w:t>非</w:t>
            </w:r>
            <w:r>
              <w:rPr>
                <w:spacing w:val="-3"/>
                <w:sz w:val="21"/>
              </w:rPr>
              <w:t>人</w:t>
            </w:r>
            <w:r>
              <w:rPr>
                <w:sz w:val="21"/>
              </w:rPr>
              <w:t>为损</w:t>
            </w:r>
            <w:r>
              <w:rPr>
                <w:spacing w:val="-3"/>
                <w:sz w:val="21"/>
              </w:rPr>
              <w:t>坏</w:t>
            </w:r>
            <w:r>
              <w:rPr>
                <w:sz w:val="21"/>
              </w:rPr>
              <w:t>的</w:t>
            </w:r>
            <w:r>
              <w:rPr>
                <w:spacing w:val="-3"/>
                <w:sz w:val="21"/>
              </w:rPr>
              <w:t>配</w:t>
            </w:r>
            <w:r>
              <w:rPr>
                <w:sz w:val="21"/>
              </w:rPr>
              <w:t>件</w:t>
            </w:r>
            <w:r>
              <w:rPr>
                <w:spacing w:val="-3"/>
                <w:sz w:val="21"/>
              </w:rPr>
              <w:t>等</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4425" w:type="dxa"/>
            <w:gridSpan w:val="2"/>
          </w:tcPr>
          <w:p>
            <w:pPr>
              <w:pStyle w:val="22"/>
              <w:spacing w:before="11"/>
              <w:ind w:left="-207" w:leftChars="-100" w:hanging="13" w:firstLineChars="0"/>
              <w:jc w:val="left"/>
              <w:rPr>
                <w:sz w:val="17"/>
              </w:rPr>
            </w:pPr>
          </w:p>
          <w:p>
            <w:pPr>
              <w:pStyle w:val="22"/>
              <w:ind w:left="-207" w:leftChars="-100" w:right="1973" w:hanging="13" w:firstLineChars="0"/>
              <w:rPr>
                <w:b/>
                <w:sz w:val="21"/>
              </w:rPr>
            </w:pPr>
            <w:r>
              <w:rPr>
                <w:b/>
                <w:sz w:val="21"/>
              </w:rPr>
              <w:t>项目负责人</w:t>
            </w:r>
          </w:p>
        </w:tc>
        <w:tc>
          <w:tcPr>
            <w:tcW w:w="8785" w:type="dxa"/>
          </w:tcPr>
          <w:p>
            <w:pPr>
              <w:pStyle w:val="22"/>
              <w:ind w:left="-207" w:leftChars="-100" w:hanging="13" w:firstLineChars="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4425" w:type="dxa"/>
            <w:gridSpan w:val="2"/>
          </w:tcPr>
          <w:p>
            <w:pPr>
              <w:pStyle w:val="22"/>
              <w:ind w:left="-207" w:leftChars="-100" w:hanging="13" w:firstLineChars="0"/>
              <w:jc w:val="left"/>
              <w:rPr>
                <w:sz w:val="22"/>
              </w:rPr>
            </w:pPr>
          </w:p>
          <w:p>
            <w:pPr>
              <w:pStyle w:val="22"/>
              <w:ind w:left="-207" w:leftChars="-100" w:right="1973" w:hanging="13" w:firstLineChars="0"/>
              <w:rPr>
                <w:b/>
                <w:sz w:val="21"/>
              </w:rPr>
            </w:pPr>
            <w:r>
              <w:rPr>
                <w:b/>
                <w:sz w:val="21"/>
              </w:rPr>
              <w:t>项目完成期限</w:t>
            </w:r>
          </w:p>
        </w:tc>
        <w:tc>
          <w:tcPr>
            <w:tcW w:w="8785" w:type="dxa"/>
          </w:tcPr>
          <w:p>
            <w:pPr>
              <w:pStyle w:val="22"/>
              <w:ind w:left="-207" w:leftChars="-100" w:hanging="13" w:firstLineChars="0"/>
              <w:jc w:val="left"/>
              <w:rPr>
                <w:sz w:val="22"/>
              </w:rPr>
            </w:pPr>
          </w:p>
          <w:p>
            <w:pPr>
              <w:pStyle w:val="22"/>
              <w:tabs>
                <w:tab w:val="left" w:pos="2077"/>
              </w:tabs>
              <w:ind w:left="-207" w:leftChars="-100" w:hanging="13" w:firstLineChars="0"/>
              <w:jc w:val="left"/>
              <w:rPr>
                <w:sz w:val="21"/>
              </w:rPr>
            </w:pPr>
            <w:r>
              <w:rPr>
                <w:sz w:val="21"/>
              </w:rPr>
              <w:t>我单</w:t>
            </w:r>
            <w:r>
              <w:rPr>
                <w:spacing w:val="-3"/>
                <w:sz w:val="21"/>
              </w:rPr>
              <w:t>位</w:t>
            </w:r>
            <w:r>
              <w:rPr>
                <w:sz w:val="21"/>
              </w:rPr>
              <w:t>承</w:t>
            </w:r>
            <w:r>
              <w:rPr>
                <w:spacing w:val="-3"/>
                <w:sz w:val="21"/>
              </w:rPr>
              <w:t>诺</w:t>
            </w:r>
            <w:r>
              <w:rPr>
                <w:spacing w:val="-3"/>
                <w:sz w:val="21"/>
                <w:u w:val="single"/>
              </w:rPr>
              <w:t xml:space="preserve"> </w:t>
            </w:r>
            <w:r>
              <w:rPr>
                <w:spacing w:val="-3"/>
                <w:sz w:val="21"/>
                <w:u w:val="single"/>
              </w:rPr>
              <w:tab/>
            </w:r>
            <w:r>
              <w:rPr>
                <w:sz w:val="21"/>
              </w:rPr>
              <w:t>日</w:t>
            </w:r>
            <w:r>
              <w:rPr>
                <w:spacing w:val="-3"/>
                <w:sz w:val="21"/>
              </w:rPr>
              <w:t>历</w:t>
            </w:r>
            <w:r>
              <w:rPr>
                <w:sz w:val="21"/>
              </w:rPr>
              <w:t>天</w:t>
            </w:r>
            <w:r>
              <w:rPr>
                <w:spacing w:val="-3"/>
                <w:sz w:val="21"/>
              </w:rPr>
              <w:t>内</w:t>
            </w:r>
            <w:r>
              <w:rPr>
                <w:sz w:val="21"/>
              </w:rPr>
              <w:t>完成</w:t>
            </w:r>
            <w:r>
              <w:rPr>
                <w:spacing w:val="-3"/>
                <w:sz w:val="21"/>
              </w:rPr>
              <w:t>所</w:t>
            </w:r>
            <w:r>
              <w:rPr>
                <w:sz w:val="21"/>
              </w:rPr>
              <w:t>有</w:t>
            </w:r>
            <w:r>
              <w:rPr>
                <w:spacing w:val="-3"/>
                <w:sz w:val="21"/>
              </w:rPr>
              <w:t>设</w:t>
            </w:r>
            <w:r>
              <w:rPr>
                <w:sz w:val="21"/>
              </w:rPr>
              <w:t>备</w:t>
            </w:r>
            <w:r>
              <w:rPr>
                <w:spacing w:val="-3"/>
                <w:sz w:val="21"/>
              </w:rPr>
              <w:t>的</w:t>
            </w:r>
            <w:r>
              <w:rPr>
                <w:sz w:val="21"/>
              </w:rPr>
              <w:t>供</w:t>
            </w:r>
            <w:r>
              <w:rPr>
                <w:spacing w:val="-3"/>
                <w:sz w:val="21"/>
              </w:rPr>
              <w:t>货</w:t>
            </w:r>
            <w:r>
              <w:rPr>
                <w:sz w:val="21"/>
              </w:rPr>
              <w:t>、</w:t>
            </w:r>
            <w:r>
              <w:rPr>
                <w:spacing w:val="-3"/>
                <w:sz w:val="21"/>
              </w:rPr>
              <w:t>安</w:t>
            </w:r>
            <w:r>
              <w:rPr>
                <w:sz w:val="21"/>
              </w:rPr>
              <w:t>装、</w:t>
            </w:r>
            <w:r>
              <w:rPr>
                <w:spacing w:val="-3"/>
                <w:sz w:val="21"/>
              </w:rPr>
              <w:t>调</w:t>
            </w:r>
            <w:r>
              <w:rPr>
                <w:sz w:val="21"/>
              </w:rPr>
              <w:t>试</w:t>
            </w:r>
            <w:r>
              <w:rPr>
                <w:spacing w:val="-3"/>
                <w:sz w:val="21"/>
              </w:rPr>
              <w:t>并</w:t>
            </w:r>
            <w:r>
              <w:rPr>
                <w:sz w:val="21"/>
              </w:rPr>
              <w:t>验</w:t>
            </w:r>
            <w:r>
              <w:rPr>
                <w:spacing w:val="-3"/>
                <w:sz w:val="21"/>
              </w:rPr>
              <w:t>收</w:t>
            </w:r>
            <w:r>
              <w:rPr>
                <w:sz w:val="21"/>
              </w:rPr>
              <w:t>合</w:t>
            </w:r>
            <w:r>
              <w:rPr>
                <w:spacing w:val="-3"/>
                <w:sz w:val="21"/>
              </w:rPr>
              <w:t>格</w:t>
            </w:r>
            <w:r>
              <w:rPr>
                <w:sz w:val="21"/>
              </w:rPr>
              <w:t>。</w:t>
            </w:r>
          </w:p>
        </w:tc>
      </w:tr>
    </w:tbl>
    <w:p>
      <w:pPr>
        <w:pStyle w:val="2"/>
        <w:spacing w:before="158" w:line="410" w:lineRule="auto"/>
        <w:ind w:left="-207" w:leftChars="-100" w:right="2201" w:hanging="13" w:firstLineChars="0"/>
      </w:pPr>
      <w:r>
        <w:rPr>
          <w:spacing w:val="17"/>
        </w:rPr>
        <w:t xml:space="preserve">注: </w:t>
      </w:r>
      <w:r>
        <w:rPr>
          <w:spacing w:val="-3"/>
        </w:rPr>
        <w:t>1、报价一经涂改，应在涂改处加盖单位公章或者由法定代表人或授权委托人签字或盖章，否则其投标作无效标处理。2、投标费用包括本项目招标文件规定的一切费用。</w:t>
      </w:r>
    </w:p>
    <w:p>
      <w:pPr>
        <w:pStyle w:val="2"/>
        <w:spacing w:before="1"/>
        <w:ind w:left="-207" w:leftChars="-100" w:hanging="13" w:firstLineChars="0"/>
      </w:pPr>
      <w:r>
        <w:t>3、以上报价应与投标报价明细表中的汇总价格相一致。</w:t>
      </w:r>
    </w:p>
    <w:p>
      <w:pPr>
        <w:pStyle w:val="2"/>
        <w:spacing w:before="10"/>
        <w:ind w:left="-207" w:leftChars="-100" w:hanging="13" w:firstLineChars="0"/>
        <w:rPr>
          <w:sz w:val="14"/>
        </w:rPr>
      </w:pPr>
    </w:p>
    <w:p>
      <w:pPr>
        <w:pStyle w:val="2"/>
        <w:ind w:left="-207" w:leftChars="-100" w:hanging="13" w:firstLineChars="0"/>
      </w:pPr>
      <w:r>
        <w:t>4、</w:t>
      </w:r>
      <w:r>
        <w:rPr>
          <w:u w:val="single"/>
        </w:rPr>
        <w:t>此表请单独信封放入投标文件袋，信封封面请注明招标编号、项目名称、投标人名称及“开标一览表”字样。</w:t>
      </w:r>
    </w:p>
    <w:p>
      <w:pPr>
        <w:ind w:left="-207" w:leftChars="-100" w:hanging="13" w:firstLineChars="0"/>
      </w:pPr>
    </w:p>
    <w:p>
      <w:pPr>
        <w:pStyle w:val="2"/>
        <w:tabs>
          <w:tab w:val="left" w:pos="0"/>
        </w:tabs>
        <w:spacing w:before="78"/>
        <w:ind w:left="-207" w:leftChars="-100" w:hanging="13" w:firstLineChars="0"/>
        <w:rPr>
          <w:rFonts w:ascii="Times New Roman" w:eastAsia="Times New Roman"/>
        </w:rPr>
      </w:pPr>
      <w:r>
        <w:rPr>
          <w:spacing w:val="-1"/>
        </w:rPr>
        <w:t>投标</w:t>
      </w:r>
      <w:r>
        <w:rPr>
          <w:spacing w:val="-3"/>
        </w:rPr>
        <w:t>人</w:t>
      </w:r>
      <w:r>
        <w:rPr>
          <w:spacing w:val="-1"/>
        </w:rPr>
        <w:t>名</w:t>
      </w:r>
      <w:r>
        <w:rPr>
          <w:spacing w:val="-3"/>
        </w:rPr>
        <w:t>称</w:t>
      </w:r>
      <w:r>
        <w:t>（</w:t>
      </w:r>
      <w:r>
        <w:rPr>
          <w:spacing w:val="-3"/>
        </w:rPr>
        <w:t>盖</w:t>
      </w:r>
      <w:r>
        <w:t xml:space="preserve">章）： </w:t>
      </w:r>
      <w:r>
        <w:rPr>
          <w:rFonts w:ascii="Times New Roman" w:eastAsia="Times New Roman"/>
          <w:w w:val="100"/>
          <w:u w:val="single"/>
        </w:rPr>
        <w:t xml:space="preserve"> </w:t>
      </w:r>
      <w:r>
        <w:rPr>
          <w:rFonts w:ascii="Times New Roman" w:eastAsia="Times New Roman"/>
          <w:u w:val="single"/>
        </w:rPr>
        <w:tab/>
      </w:r>
    </w:p>
    <w:p>
      <w:pPr>
        <w:pStyle w:val="2"/>
        <w:spacing w:before="10"/>
        <w:ind w:left="-207" w:leftChars="-100" w:hanging="13" w:firstLineChars="0"/>
        <w:rPr>
          <w:rFonts w:ascii="Times New Roman"/>
          <w:sz w:val="9"/>
        </w:rPr>
      </w:pPr>
    </w:p>
    <w:p>
      <w:pPr>
        <w:pStyle w:val="2"/>
        <w:tabs>
          <w:tab w:val="left" w:pos="4769"/>
        </w:tabs>
        <w:spacing w:before="79"/>
        <w:ind w:left="-207" w:leftChars="-100" w:hanging="13" w:firstLineChars="0"/>
        <w:rPr>
          <w:rFonts w:ascii="Times New Roman" w:eastAsia="Times New Roman"/>
        </w:rPr>
      </w:pPr>
      <w:r>
        <w:t>法定</w:t>
      </w:r>
      <w:r>
        <w:rPr>
          <w:spacing w:val="-3"/>
        </w:rPr>
        <w:t>代</w:t>
      </w:r>
      <w:r>
        <w:t>表</w:t>
      </w:r>
      <w:r>
        <w:rPr>
          <w:spacing w:val="-3"/>
        </w:rPr>
        <w:t>人</w:t>
      </w:r>
      <w:r>
        <w:t>（</w:t>
      </w:r>
      <w:r>
        <w:rPr>
          <w:spacing w:val="-3"/>
        </w:rPr>
        <w:t>签</w:t>
      </w:r>
      <w:r>
        <w:t>字</w:t>
      </w:r>
      <w:r>
        <w:rPr>
          <w:spacing w:val="-3"/>
        </w:rPr>
        <w:t>或</w:t>
      </w:r>
      <w:r>
        <w:t>盖</w:t>
      </w:r>
      <w:r>
        <w:rPr>
          <w:spacing w:val="-3"/>
        </w:rPr>
        <w:t>章</w:t>
      </w:r>
      <w:r>
        <w:t xml:space="preserve">）： </w:t>
      </w:r>
      <w:r>
        <w:rPr>
          <w:rFonts w:ascii="Times New Roman" w:eastAsia="Times New Roman"/>
          <w:w w:val="100"/>
          <w:u w:val="single"/>
        </w:rPr>
        <w:t xml:space="preserve"> </w:t>
      </w:r>
      <w:r>
        <w:rPr>
          <w:rFonts w:ascii="Times New Roman" w:eastAsia="Times New Roman"/>
          <w:u w:val="single"/>
        </w:rPr>
        <w:tab/>
      </w:r>
    </w:p>
    <w:p>
      <w:pPr>
        <w:pStyle w:val="2"/>
        <w:spacing w:before="7"/>
        <w:ind w:left="-207" w:leftChars="-100" w:hanging="13" w:firstLineChars="0"/>
        <w:rPr>
          <w:rFonts w:ascii="Times New Roman"/>
          <w:sz w:val="9"/>
        </w:rPr>
      </w:pPr>
    </w:p>
    <w:p>
      <w:pPr>
        <w:tabs>
          <w:tab w:val="left" w:pos="5189"/>
          <w:tab w:val="left" w:pos="9598"/>
          <w:tab w:val="left" w:pos="10754"/>
          <w:tab w:val="left" w:pos="11383"/>
          <w:tab w:val="left" w:pos="12014"/>
        </w:tabs>
        <w:spacing w:before="78" w:line="456" w:lineRule="auto"/>
        <w:ind w:left="-207" w:leftChars="-100" w:right="1889" w:hanging="13" w:firstLineChars="0"/>
        <w:jc w:val="left"/>
        <w:rPr>
          <w:spacing w:val="-17"/>
          <w:sz w:val="21"/>
        </w:rPr>
      </w:pPr>
      <w:r>
        <w:rPr>
          <w:sz w:val="21"/>
        </w:rPr>
        <w:t>授权</w:t>
      </w:r>
      <w:r>
        <w:rPr>
          <w:spacing w:val="-3"/>
          <w:sz w:val="21"/>
        </w:rPr>
        <w:t>委</w:t>
      </w:r>
      <w:r>
        <w:rPr>
          <w:sz w:val="21"/>
        </w:rPr>
        <w:t>托</w:t>
      </w:r>
      <w:r>
        <w:rPr>
          <w:spacing w:val="-3"/>
          <w:sz w:val="21"/>
        </w:rPr>
        <w:t>代</w:t>
      </w:r>
      <w:r>
        <w:rPr>
          <w:sz w:val="21"/>
        </w:rPr>
        <w:t>理</w:t>
      </w:r>
      <w:r>
        <w:rPr>
          <w:spacing w:val="-3"/>
          <w:sz w:val="21"/>
        </w:rPr>
        <w:t>人</w:t>
      </w:r>
      <w:r>
        <w:rPr>
          <w:sz w:val="21"/>
        </w:rPr>
        <w:t>（</w:t>
      </w:r>
      <w:r>
        <w:rPr>
          <w:spacing w:val="-3"/>
          <w:sz w:val="21"/>
        </w:rPr>
        <w:t>签</w:t>
      </w:r>
      <w:r>
        <w:rPr>
          <w:sz w:val="21"/>
        </w:rPr>
        <w:t>字</w:t>
      </w:r>
      <w:r>
        <w:rPr>
          <w:spacing w:val="-3"/>
          <w:sz w:val="21"/>
        </w:rPr>
        <w:t>或</w:t>
      </w:r>
      <w:r>
        <w:rPr>
          <w:sz w:val="21"/>
        </w:rPr>
        <w:t>盖章）：</w:t>
      </w:r>
      <w:r>
        <w:rPr>
          <w:sz w:val="21"/>
          <w:u w:val="single"/>
        </w:rPr>
        <w:t xml:space="preserve"> </w:t>
      </w:r>
      <w:r>
        <w:rPr>
          <w:sz w:val="21"/>
          <w:u w:val="single"/>
        </w:rPr>
        <w:tab/>
      </w:r>
      <w:r>
        <w:rPr>
          <w:sz w:val="21"/>
        </w:rPr>
        <w:t>（如</w:t>
      </w:r>
      <w:r>
        <w:rPr>
          <w:spacing w:val="-3"/>
          <w:sz w:val="21"/>
        </w:rPr>
        <w:t>有</w:t>
      </w:r>
      <w:r>
        <w:rPr>
          <w:sz w:val="21"/>
        </w:rPr>
        <w:t>授</w:t>
      </w:r>
      <w:r>
        <w:rPr>
          <w:spacing w:val="-3"/>
          <w:sz w:val="21"/>
        </w:rPr>
        <w:t>权</w:t>
      </w:r>
      <w:r>
        <w:rPr>
          <w:sz w:val="21"/>
        </w:rPr>
        <w:t>）日</w:t>
      </w:r>
      <w:r>
        <w:rPr>
          <w:spacing w:val="-3"/>
          <w:sz w:val="21"/>
        </w:rPr>
        <w:t>期</w:t>
      </w:r>
      <w:r>
        <w:rPr>
          <w:sz w:val="21"/>
        </w:rPr>
        <w:t>：</w:t>
      </w:r>
      <w:r>
        <w:rPr>
          <w:sz w:val="21"/>
          <w:u w:val="single"/>
        </w:rPr>
        <w:t xml:space="preserve"> </w:t>
      </w:r>
      <w:r>
        <w:rPr>
          <w:sz w:val="21"/>
          <w:u w:val="single"/>
        </w:rPr>
        <w:tab/>
      </w:r>
      <w:r>
        <w:rPr>
          <w:sz w:val="21"/>
        </w:rPr>
        <w:t>年</w:t>
      </w:r>
      <w:r>
        <w:rPr>
          <w:sz w:val="21"/>
          <w:u w:val="single"/>
        </w:rPr>
        <w:t xml:space="preserve"> </w:t>
      </w:r>
      <w:r>
        <w:rPr>
          <w:sz w:val="21"/>
        </w:rPr>
        <w:t>月</w:t>
      </w:r>
      <w:r>
        <w:rPr>
          <w:sz w:val="21"/>
          <w:u w:val="single"/>
        </w:rPr>
        <w:t xml:space="preserve"> </w:t>
      </w:r>
      <w:r>
        <w:rPr>
          <w:spacing w:val="-17"/>
          <w:sz w:val="21"/>
        </w:rPr>
        <w:t>日</w:t>
      </w:r>
    </w:p>
    <w:p>
      <w:pPr>
        <w:tabs>
          <w:tab w:val="left" w:pos="5189"/>
          <w:tab w:val="left" w:pos="9598"/>
          <w:tab w:val="left" w:pos="10754"/>
          <w:tab w:val="left" w:pos="11383"/>
          <w:tab w:val="left" w:pos="12014"/>
        </w:tabs>
        <w:spacing w:before="78" w:line="456" w:lineRule="auto"/>
        <w:ind w:left="-207" w:leftChars="-100" w:right="1889" w:hanging="13" w:firstLineChars="0"/>
        <w:jc w:val="left"/>
        <w:rPr>
          <w:b/>
          <w:sz w:val="21"/>
        </w:rPr>
        <w:sectPr>
          <w:footerReference r:id="rId12" w:type="default"/>
          <w:pgSz w:w="16840" w:h="11910" w:orient="landscape"/>
          <w:pgMar w:top="1100" w:right="2310" w:bottom="280" w:left="880" w:header="0" w:footer="0" w:gutter="0"/>
          <w:pgNumType w:fmt="decimal"/>
          <w:cols w:equalWidth="0" w:num="2">
            <w:col w:w="880" w:space="0"/>
            <w:col w:w="12770"/>
          </w:cols>
        </w:sectPr>
      </w:pPr>
      <w:r>
        <w:rPr>
          <w:b/>
          <w:sz w:val="21"/>
        </w:rPr>
        <w:t>需附：法定代表人</w:t>
      </w:r>
      <w:r>
        <w:rPr>
          <w:b/>
          <w:spacing w:val="-3"/>
          <w:sz w:val="21"/>
        </w:rPr>
        <w:t>身</w:t>
      </w:r>
      <w:r>
        <w:rPr>
          <w:b/>
          <w:sz w:val="21"/>
        </w:rPr>
        <w:t>份</w:t>
      </w:r>
      <w:r>
        <w:rPr>
          <w:b/>
          <w:spacing w:val="-3"/>
          <w:sz w:val="21"/>
        </w:rPr>
        <w:t>证</w:t>
      </w:r>
      <w:r>
        <w:rPr>
          <w:b/>
          <w:sz w:val="21"/>
        </w:rPr>
        <w:t>明书或授权委托代</w:t>
      </w:r>
      <w:r>
        <w:rPr>
          <w:b/>
          <w:spacing w:val="-3"/>
          <w:sz w:val="21"/>
        </w:rPr>
        <w:t>理</w:t>
      </w:r>
      <w:r>
        <w:rPr>
          <w:b/>
          <w:sz w:val="21"/>
        </w:rPr>
        <w:t>人</w:t>
      </w:r>
      <w:r>
        <w:rPr>
          <w:b/>
          <w:spacing w:val="-3"/>
          <w:sz w:val="21"/>
        </w:rPr>
        <w:t>身</w:t>
      </w:r>
      <w:r>
        <w:rPr>
          <w:b/>
          <w:sz w:val="21"/>
        </w:rPr>
        <w:t>份证复印件及授权</w:t>
      </w:r>
      <w:r>
        <w:rPr>
          <w:b/>
          <w:spacing w:val="-3"/>
          <w:sz w:val="21"/>
        </w:rPr>
        <w:t>委</w:t>
      </w:r>
      <w:r>
        <w:rPr>
          <w:b/>
          <w:sz w:val="21"/>
        </w:rPr>
        <w:t>托</w:t>
      </w:r>
      <w:r>
        <w:rPr>
          <w:b/>
          <w:spacing w:val="-3"/>
          <w:sz w:val="21"/>
        </w:rPr>
        <w:t>书</w:t>
      </w:r>
      <w:r>
        <w:rPr>
          <w:b/>
          <w:sz w:val="21"/>
        </w:rPr>
        <w:t>原件</w:t>
      </w:r>
    </w:p>
    <w:p>
      <w:pPr>
        <w:pStyle w:val="2"/>
        <w:sectPr>
          <w:pgSz w:w="16840" w:h="11910" w:orient="landscape"/>
          <w:pgMar w:top="1100" w:right="2310" w:bottom="280" w:left="880" w:header="0" w:footer="0" w:gutter="0"/>
          <w:pgNumType w:fmt="decimal"/>
          <w:cols w:equalWidth="0" w:num="2">
            <w:col w:w="880" w:space="0"/>
            <w:col w:w="12770"/>
          </w:cols>
        </w:sect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p>
    <w:p>
      <w:pPr>
        <w:pStyle w:val="4"/>
        <w:keepNext w:val="0"/>
        <w:keepLines w:val="0"/>
        <w:spacing w:beforeLines="0" w:afterLines="0"/>
        <w:ind w:right="0" w:rightChars="0" w:firstLine="0" w:firstLineChars="0"/>
        <w:jc w:val="left"/>
        <w:rPr>
          <w:rFonts w:hint="eastAsia" w:cs="Times New Roman"/>
          <w:sz w:val="28"/>
          <w:szCs w:val="28"/>
          <w:lang w:val="en-US" w:eastAsia="zh-CN"/>
        </w:rPr>
      </w:pPr>
      <w:r>
        <w:rPr>
          <w:rFonts w:hint="eastAsia" w:cs="Times New Roman"/>
          <w:sz w:val="28"/>
          <w:szCs w:val="28"/>
          <w:lang w:val="en-US" w:eastAsia="zh-CN"/>
        </w:rPr>
        <w:t>一、附：设备清单</w:t>
      </w:r>
    </w:p>
    <w:p>
      <w:pPr>
        <w:pStyle w:val="4"/>
        <w:keepNext w:val="0"/>
        <w:keepLines w:val="0"/>
        <w:spacing w:beforeLines="0" w:afterLines="0"/>
        <w:ind w:firstLine="0" w:firstLineChars="0"/>
        <w:jc w:val="left"/>
        <w:rPr>
          <w:rFonts w:cs="Times New Roman"/>
          <w:sz w:val="28"/>
          <w:szCs w:val="28"/>
        </w:rPr>
      </w:pPr>
      <w:r>
        <w:rPr>
          <w:rFonts w:hint="eastAsia" w:cs="Times New Roman"/>
          <w:sz w:val="28"/>
          <w:szCs w:val="28"/>
        </w:rPr>
        <w:t>渗滤液处理系统设备清单</w:t>
      </w:r>
    </w:p>
    <w:tbl>
      <w:tblPr>
        <w:tblStyle w:val="15"/>
        <w:tblW w:w="14175" w:type="dxa"/>
        <w:tblInd w:w="93" w:type="dxa"/>
        <w:tblLayout w:type="autofit"/>
        <w:tblCellMar>
          <w:top w:w="0" w:type="dxa"/>
          <w:left w:w="108" w:type="dxa"/>
          <w:bottom w:w="0" w:type="dxa"/>
          <w:right w:w="108" w:type="dxa"/>
        </w:tblCellMar>
      </w:tblPr>
      <w:tblGrid>
        <w:gridCol w:w="1008"/>
        <w:gridCol w:w="2693"/>
        <w:gridCol w:w="6804"/>
        <w:gridCol w:w="850"/>
        <w:gridCol w:w="993"/>
        <w:gridCol w:w="1827"/>
      </w:tblGrid>
      <w:tr>
        <w:tblPrEx>
          <w:tblCellMar>
            <w:top w:w="0" w:type="dxa"/>
            <w:left w:w="108" w:type="dxa"/>
            <w:bottom w:w="0" w:type="dxa"/>
            <w:right w:w="108" w:type="dxa"/>
          </w:tblCellMar>
        </w:tblPrEx>
        <w:trPr>
          <w:trHeight w:val="454" w:hRule="atLeast"/>
          <w:tblHead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Cs w:val="24"/>
              </w:rPr>
            </w:pPr>
            <w:r>
              <w:rPr>
                <w:rFonts w:cs="Times New Roman"/>
                <w:b/>
                <w:bCs/>
                <w:color w:val="000000"/>
                <w:kern w:val="0"/>
                <w:szCs w:val="24"/>
              </w:rPr>
              <w:t>序号</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Cs w:val="24"/>
              </w:rPr>
            </w:pPr>
            <w:r>
              <w:rPr>
                <w:rFonts w:cs="Times New Roman"/>
                <w:b/>
                <w:bCs/>
                <w:color w:val="000000"/>
                <w:kern w:val="0"/>
                <w:szCs w:val="24"/>
              </w:rPr>
              <w:t>名称</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Cs w:val="24"/>
              </w:rPr>
            </w:pPr>
            <w:r>
              <w:rPr>
                <w:rFonts w:cs="Times New Roman"/>
                <w:b/>
                <w:bCs/>
                <w:color w:val="000000"/>
                <w:kern w:val="0"/>
                <w:szCs w:val="24"/>
              </w:rPr>
              <w:t>规格及型号</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Cs w:val="24"/>
              </w:rPr>
            </w:pPr>
            <w:r>
              <w:rPr>
                <w:rFonts w:cs="Times New Roman"/>
                <w:b/>
                <w:bCs/>
                <w:color w:val="000000"/>
                <w:kern w:val="0"/>
                <w:szCs w:val="24"/>
              </w:rPr>
              <w:t>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Cs w:val="24"/>
              </w:rPr>
            </w:pPr>
            <w:r>
              <w:rPr>
                <w:rFonts w:cs="Times New Roman"/>
                <w:b/>
                <w:bCs/>
                <w:color w:val="000000"/>
                <w:kern w:val="0"/>
                <w:szCs w:val="24"/>
              </w:rPr>
              <w:t>数量</w:t>
            </w:r>
          </w:p>
        </w:tc>
        <w:tc>
          <w:tcPr>
            <w:tcW w:w="182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s="Times New Roman"/>
                <w:b/>
                <w:bCs/>
                <w:color w:val="000000"/>
                <w:kern w:val="0"/>
                <w:szCs w:val="24"/>
                <w:lang w:eastAsia="zh-CN"/>
              </w:rPr>
            </w:pPr>
            <w:r>
              <w:rPr>
                <w:rFonts w:hint="eastAsia" w:cs="Times New Roman"/>
                <w:b/>
                <w:bCs/>
                <w:color w:val="000000"/>
                <w:kern w:val="0"/>
                <w:szCs w:val="24"/>
                <w:lang w:eastAsia="zh-CN"/>
              </w:rPr>
              <w:t>备注</w:t>
            </w: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noWrap/>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一、</w:t>
            </w:r>
            <w:r>
              <w:rPr>
                <w:rFonts w:hint="eastAsia" w:cs="Times New Roman"/>
                <w:color w:val="000000"/>
                <w:kern w:val="0"/>
                <w:szCs w:val="24"/>
              </w:rPr>
              <w:t>集水</w:t>
            </w:r>
            <w:r>
              <w:rPr>
                <w:rFonts w:cs="Times New Roman"/>
                <w:color w:val="000000"/>
                <w:kern w:val="0"/>
                <w:szCs w:val="24"/>
              </w:rPr>
              <w:t>池</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竖轴搅拌机</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材质：碳钢衬塑，桨叶2叶，双层，材质：碳钢衬塑，电压：三相/380V</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集水池</w:t>
            </w:r>
            <w:r>
              <w:rPr>
                <w:rFonts w:cs="Times New Roman"/>
                <w:color w:val="000000"/>
                <w:kern w:val="0"/>
                <w:szCs w:val="24"/>
              </w:rPr>
              <w:t>提升泵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潜污泵；Q=10m³/h，H=15m，Pn=</w:t>
            </w:r>
            <w:r>
              <w:rPr>
                <w:rFonts w:hint="eastAsia" w:cs="Times New Roman"/>
                <w:color w:val="000000"/>
                <w:kern w:val="0"/>
                <w:szCs w:val="24"/>
              </w:rPr>
              <w:t>1.5</w:t>
            </w:r>
            <w:r>
              <w:rPr>
                <w:rFonts w:cs="Times New Roman"/>
                <w:color w:val="000000"/>
                <w:kern w:val="0"/>
                <w:szCs w:val="24"/>
              </w:rPr>
              <w:t>kW</w:t>
            </w:r>
            <w:r>
              <w:rPr>
                <w:rFonts w:hint="eastAsia" w:cs="Times New Roman"/>
                <w:color w:val="000000"/>
                <w:kern w:val="0"/>
                <w:szCs w:val="24"/>
              </w:rPr>
              <w:t>，切割型叶轮</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超声波液位计</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4~20ma，220V，有效测量深度4.0m</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auto" w:fill="C7DAF1" w:themeFill="text2" w:themeFillTint="32"/>
            <w:noWrap/>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二、格栅池</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 xml:space="preserve">1 </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格栅机</w:t>
            </w:r>
            <w:r>
              <w:rPr>
                <w:rFonts w:hint="eastAsia" w:cs="Times New Roman"/>
                <w:color w:val="000000"/>
                <w:kern w:val="0"/>
                <w:szCs w:val="24"/>
              </w:rPr>
              <w:t>（含冲洗水泵）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10m</w:t>
            </w:r>
            <w:r>
              <w:rPr>
                <w:rFonts w:cs="Times New Roman"/>
                <w:color w:val="000000"/>
                <w:kern w:val="0"/>
                <w:szCs w:val="24"/>
                <w:vertAlign w:val="superscript"/>
              </w:rPr>
              <w:t>3</w:t>
            </w:r>
            <w:r>
              <w:rPr>
                <w:rFonts w:cs="Times New Roman"/>
                <w:color w:val="000000"/>
                <w:kern w:val="0"/>
                <w:szCs w:val="24"/>
              </w:rPr>
              <w:t>/h，栅隙</w:t>
            </w:r>
            <w:r>
              <w:rPr>
                <w:rFonts w:hint="eastAsia" w:cs="Times New Roman"/>
                <w:color w:val="000000"/>
                <w:kern w:val="0"/>
                <w:szCs w:val="24"/>
              </w:rPr>
              <w:t>4</w:t>
            </w:r>
            <w:r>
              <w:rPr>
                <w:rFonts w:cs="Times New Roman"/>
                <w:color w:val="000000"/>
                <w:kern w:val="0"/>
                <w:szCs w:val="24"/>
              </w:rPr>
              <w:t>mm；冲洗用自来水1-2m</w:t>
            </w:r>
            <w:r>
              <w:rPr>
                <w:rFonts w:cs="Times New Roman"/>
                <w:color w:val="000000"/>
                <w:kern w:val="0"/>
                <w:szCs w:val="24"/>
                <w:vertAlign w:val="superscript"/>
              </w:rPr>
              <w:t>3</w:t>
            </w:r>
            <w:r>
              <w:rPr>
                <w:rFonts w:cs="Times New Roman"/>
                <w:color w:val="000000"/>
                <w:kern w:val="0"/>
                <w:szCs w:val="24"/>
              </w:rPr>
              <w:t>/h（间歇冲洗），压力5~7 bar，1.</w:t>
            </w:r>
            <w:r>
              <w:rPr>
                <w:rFonts w:hint="eastAsia" w:cs="Times New Roman"/>
                <w:color w:val="000000"/>
                <w:kern w:val="0"/>
                <w:szCs w:val="24"/>
              </w:rPr>
              <w:t>1</w:t>
            </w:r>
            <w:r>
              <w:rPr>
                <w:rFonts w:cs="Times New Roman"/>
                <w:color w:val="000000"/>
                <w:kern w:val="0"/>
                <w:szCs w:val="24"/>
              </w:rPr>
              <w:t>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auto" w:fill="C7DAF1" w:themeFill="text2" w:themeFillTint="32"/>
            <w:noWrap/>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三、沉淀池</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絮凝搅拌机</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材质：碳钢衬塑，转速：一台78R/MIN，一台18R/MIN。电压：三相/380V</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沉淀池排泥泵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螺杆泵，G30-1,5M</w:t>
            </w:r>
            <w:r>
              <w:rPr>
                <w:rFonts w:hint="eastAsia" w:cs="Times New Roman"/>
                <w:color w:val="000000"/>
                <w:kern w:val="0"/>
                <w:szCs w:val="24"/>
                <w:vertAlign w:val="superscript"/>
              </w:rPr>
              <w:t>3</w:t>
            </w:r>
            <w:r>
              <w:rPr>
                <w:rFonts w:hint="eastAsia" w:cs="Times New Roman"/>
                <w:color w:val="000000"/>
                <w:kern w:val="0"/>
                <w:szCs w:val="24"/>
              </w:rPr>
              <w:t>/h，p=2.2KW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PAM加药系统</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含配药/加药系统，全自动配药，100L/h，1.0MPA，0.37KW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座</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PAC加药系统</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含配药/加药200L/h，0.7MPA，0.37KW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座</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沉淀导流系统</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PP材质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auto" w:fill="C7DAF1" w:themeFill="text2" w:themeFillTint="32"/>
            <w:noWrap/>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四、隔油池</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隔油池刮渣/油系统</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olor w:val="000000"/>
                <w:kern w:val="0"/>
              </w:rPr>
              <w:t>浮渣撇除系统，链条链轮尼龙材质，耐油型平带刮板</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隔油池出水堰</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PP材质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气浮机进水泵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潜污泵；Q=10m³/h，H=15m，Pn=</w:t>
            </w:r>
            <w:r>
              <w:rPr>
                <w:rFonts w:hint="eastAsia" w:cs="Times New Roman"/>
                <w:color w:val="000000"/>
                <w:kern w:val="0"/>
                <w:szCs w:val="24"/>
              </w:rPr>
              <w:t>1.5</w:t>
            </w:r>
            <w:r>
              <w:rPr>
                <w:rFonts w:cs="Times New Roman"/>
                <w:color w:val="000000"/>
                <w:kern w:val="0"/>
                <w:szCs w:val="24"/>
              </w:rPr>
              <w:t>kW</w:t>
            </w:r>
            <w:r>
              <w:rPr>
                <w:rFonts w:hint="eastAsia" w:cs="Times New Roman"/>
                <w:color w:val="000000"/>
                <w:kern w:val="0"/>
                <w:szCs w:val="24"/>
              </w:rPr>
              <w:t>，切割型叶轮</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超声波液位计</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4~20ma，220V，有效测量深度5.0m</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气浮机进水电磁流量计</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0-15m</w:t>
            </w:r>
            <w:r>
              <w:rPr>
                <w:rFonts w:hint="eastAsia" w:cs="Times New Roman"/>
                <w:color w:val="000000"/>
                <w:kern w:val="0"/>
                <w:szCs w:val="24"/>
                <w:vertAlign w:val="superscript"/>
              </w:rPr>
              <w:t>3</w:t>
            </w:r>
            <w:r>
              <w:rPr>
                <w:rFonts w:hint="eastAsia" w:cs="Times New Roman"/>
                <w:color w:val="000000"/>
                <w:kern w:val="0"/>
                <w:szCs w:val="24"/>
              </w:rPr>
              <w:t>/h，4~20ma，220V，带信号输出，带瞬时流量和总流量</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auto" w:fill="C7DAF1" w:themeFill="text2" w:themeFillTint="32"/>
            <w:noWrap/>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五、气浮机</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涡凹气浮机</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处理能力10m</w:t>
            </w:r>
            <w:r>
              <w:rPr>
                <w:rFonts w:hint="eastAsia" w:cs="Times New Roman"/>
                <w:color w:val="000000"/>
                <w:kern w:val="0"/>
                <w:szCs w:val="24"/>
                <w:vertAlign w:val="superscript"/>
              </w:rPr>
              <w:t>3</w:t>
            </w:r>
            <w:r>
              <w:rPr>
                <w:rFonts w:hint="eastAsia" w:cs="Times New Roman"/>
                <w:color w:val="000000"/>
                <w:kern w:val="0"/>
                <w:szCs w:val="24"/>
              </w:rPr>
              <w:t>/h，碳钢防腐</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座</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气浮机排泥泵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螺杆泵，G30-1,5M3/h，p=2.2KW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气浮机PAM、PAC加药系统</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沉淀池共用一套，</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沉淀箱（池）</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处理能力10m</w:t>
            </w:r>
            <w:r>
              <w:rPr>
                <w:rFonts w:hint="eastAsia" w:cs="Times New Roman"/>
                <w:color w:val="000000"/>
                <w:kern w:val="0"/>
                <w:szCs w:val="24"/>
                <w:vertAlign w:val="superscript"/>
              </w:rPr>
              <w:t>3</w:t>
            </w:r>
            <w:r>
              <w:rPr>
                <w:rFonts w:hint="eastAsia" w:cs="Times New Roman"/>
                <w:color w:val="000000"/>
                <w:kern w:val="0"/>
                <w:szCs w:val="24"/>
              </w:rPr>
              <w:t>/h，碳钢防腐</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浮渣收集池提升泵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潜污泵；Q=10m³/h，H=15m，Pn=</w:t>
            </w:r>
            <w:r>
              <w:rPr>
                <w:rFonts w:hint="eastAsia" w:cs="Times New Roman"/>
                <w:color w:val="000000"/>
                <w:kern w:val="0"/>
                <w:szCs w:val="24"/>
              </w:rPr>
              <w:t>1.5</w:t>
            </w:r>
            <w:r>
              <w:rPr>
                <w:rFonts w:cs="Times New Roman"/>
                <w:color w:val="000000"/>
                <w:kern w:val="0"/>
                <w:szCs w:val="24"/>
              </w:rPr>
              <w:t>kW</w:t>
            </w:r>
            <w:r>
              <w:rPr>
                <w:rFonts w:hint="eastAsia" w:cs="Times New Roman"/>
                <w:color w:val="000000"/>
                <w:kern w:val="0"/>
                <w:szCs w:val="24"/>
              </w:rPr>
              <w:t>，切割型叶轮</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auto" w:fill="C7DAF1" w:themeFill="text2" w:themeFillTint="32"/>
            <w:noWrap/>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六、调节池</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调节池提升泵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潜污泵；Q=</w:t>
            </w:r>
            <w:r>
              <w:rPr>
                <w:rFonts w:hint="eastAsia" w:cs="Times New Roman"/>
                <w:color w:val="000000"/>
                <w:kern w:val="0"/>
                <w:szCs w:val="24"/>
              </w:rPr>
              <w:t>5</w:t>
            </w:r>
            <w:r>
              <w:rPr>
                <w:rFonts w:cs="Times New Roman"/>
                <w:color w:val="000000"/>
                <w:kern w:val="0"/>
                <w:szCs w:val="24"/>
              </w:rPr>
              <w:t>m³/h，H=1</w:t>
            </w:r>
            <w:r>
              <w:rPr>
                <w:rFonts w:hint="eastAsia" w:cs="Times New Roman"/>
                <w:color w:val="000000"/>
                <w:kern w:val="0"/>
                <w:szCs w:val="24"/>
              </w:rPr>
              <w:t>2</w:t>
            </w:r>
            <w:r>
              <w:rPr>
                <w:rFonts w:cs="Times New Roman"/>
                <w:color w:val="000000"/>
                <w:kern w:val="0"/>
                <w:szCs w:val="24"/>
              </w:rPr>
              <w:t>m，Pn=</w:t>
            </w:r>
            <w:r>
              <w:rPr>
                <w:rFonts w:hint="eastAsia" w:cs="Times New Roman"/>
                <w:color w:val="000000"/>
                <w:kern w:val="0"/>
                <w:szCs w:val="24"/>
              </w:rPr>
              <w:t>0.75</w:t>
            </w:r>
            <w:r>
              <w:rPr>
                <w:rFonts w:cs="Times New Roman"/>
                <w:color w:val="000000"/>
                <w:kern w:val="0"/>
                <w:szCs w:val="24"/>
              </w:rPr>
              <w:t xml:space="preserve">kW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color w:val="000000"/>
                <w:kern w:val="0"/>
                <w:szCs w:val="24"/>
              </w:rPr>
            </w:pPr>
            <w:r>
              <w:rPr>
                <w:rFonts w:eastAsia="仿宋"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调节池进水电磁流量计</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0-6m</w:t>
            </w:r>
            <w:r>
              <w:rPr>
                <w:rFonts w:hint="eastAsia" w:cs="Times New Roman"/>
                <w:color w:val="000000"/>
                <w:kern w:val="0"/>
                <w:szCs w:val="24"/>
                <w:vertAlign w:val="superscript"/>
              </w:rPr>
              <w:t>3</w:t>
            </w:r>
            <w:r>
              <w:rPr>
                <w:rFonts w:hint="eastAsia" w:cs="Times New Roman"/>
                <w:color w:val="000000"/>
                <w:kern w:val="0"/>
                <w:szCs w:val="24"/>
              </w:rPr>
              <w:t>/h，4~20ma，220V，带信号输出，带瞬时流量和总流量</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color w:val="000000"/>
                <w:kern w:val="0"/>
                <w:szCs w:val="24"/>
              </w:rPr>
            </w:pPr>
            <w:r>
              <w:rPr>
                <w:rFonts w:hint="eastAsia" w:eastAsia="仿宋"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调节池液位计</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4~20ma，220V，有效测量深度5.0m</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潜水搅拌机</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SS304安装系统</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碱加药系统</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含药箱、加药系统，PH在线仪等</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noWrap/>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七</w:t>
            </w:r>
            <w:r>
              <w:rPr>
                <w:rFonts w:cs="Times New Roman"/>
                <w:color w:val="000000"/>
                <w:kern w:val="0"/>
                <w:szCs w:val="24"/>
              </w:rPr>
              <w:t>、厌氧反应系统</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厌氧循环泵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卧式离心泵，Q=</w:t>
            </w:r>
            <w:r>
              <w:rPr>
                <w:rFonts w:hint="eastAsia" w:cs="Times New Roman"/>
                <w:color w:val="000000"/>
                <w:kern w:val="0"/>
                <w:szCs w:val="24"/>
              </w:rPr>
              <w:t>30</w:t>
            </w:r>
            <w:r>
              <w:rPr>
                <w:rFonts w:cs="Times New Roman"/>
                <w:color w:val="000000"/>
                <w:kern w:val="0"/>
                <w:szCs w:val="24"/>
              </w:rPr>
              <w:t>m</w:t>
            </w:r>
            <w:r>
              <w:rPr>
                <w:rFonts w:cs="Times New Roman"/>
                <w:color w:val="000000"/>
                <w:kern w:val="0"/>
                <w:szCs w:val="24"/>
                <w:vertAlign w:val="superscript"/>
              </w:rPr>
              <w:t>3</w:t>
            </w:r>
            <w:r>
              <w:rPr>
                <w:rFonts w:cs="Times New Roman"/>
                <w:color w:val="000000"/>
                <w:kern w:val="0"/>
                <w:szCs w:val="24"/>
              </w:rPr>
              <w:t>/h，H=</w:t>
            </w:r>
            <w:r>
              <w:rPr>
                <w:rFonts w:hint="eastAsia" w:cs="Times New Roman"/>
                <w:color w:val="000000"/>
                <w:kern w:val="0"/>
                <w:szCs w:val="24"/>
              </w:rPr>
              <w:t>18</w:t>
            </w:r>
            <w:r>
              <w:rPr>
                <w:rFonts w:cs="Times New Roman"/>
                <w:color w:val="000000"/>
                <w:kern w:val="0"/>
                <w:szCs w:val="24"/>
              </w:rPr>
              <w:t>m，</w:t>
            </w:r>
            <w:r>
              <w:rPr>
                <w:rFonts w:hint="eastAsia" w:cs="Times New Roman"/>
                <w:color w:val="000000"/>
                <w:kern w:val="0"/>
                <w:szCs w:val="24"/>
              </w:rPr>
              <w:t>4.0</w:t>
            </w:r>
            <w:r>
              <w:rPr>
                <w:rFonts w:cs="Times New Roman"/>
                <w:color w:val="000000"/>
                <w:kern w:val="0"/>
                <w:szCs w:val="24"/>
              </w:rPr>
              <w:t>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厌氧罐</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 xml:space="preserve">Ø </w:t>
            </w:r>
            <w:r>
              <w:rPr>
                <w:rFonts w:hint="eastAsia" w:cs="Times New Roman"/>
                <w:color w:val="000000"/>
                <w:kern w:val="0"/>
                <w:szCs w:val="24"/>
              </w:rPr>
              <w:t>5.0</w:t>
            </w:r>
            <w:r>
              <w:rPr>
                <w:rFonts w:cs="Times New Roman"/>
                <w:color w:val="000000"/>
                <w:kern w:val="0"/>
                <w:szCs w:val="24"/>
              </w:rPr>
              <w:t>×1</w:t>
            </w:r>
            <w:r>
              <w:rPr>
                <w:rFonts w:hint="eastAsia" w:cs="Times New Roman"/>
                <w:color w:val="000000"/>
                <w:kern w:val="0"/>
                <w:szCs w:val="24"/>
              </w:rPr>
              <w:t>0</w:t>
            </w:r>
            <w:r>
              <w:rPr>
                <w:rFonts w:cs="Times New Roman"/>
                <w:color w:val="000000"/>
                <w:kern w:val="0"/>
                <w:szCs w:val="24"/>
              </w:rPr>
              <w:t>m，含罐体保温防腐，彩钢板0.5mm，岩棉板100mm</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座</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厌氧布水器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 xml:space="preserve">Ø </w:t>
            </w:r>
            <w:r>
              <w:rPr>
                <w:rFonts w:hint="eastAsia" w:cs="Times New Roman"/>
                <w:color w:val="000000"/>
                <w:kern w:val="0"/>
                <w:szCs w:val="24"/>
              </w:rPr>
              <w:t>5</w:t>
            </w:r>
            <w:r>
              <w:rPr>
                <w:rFonts w:cs="Times New Roman"/>
                <w:color w:val="000000"/>
                <w:kern w:val="0"/>
                <w:szCs w:val="24"/>
              </w:rPr>
              <w:t>m布水器，非标件，碳钢</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三相分离器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eastAsia="宋体" w:cs="Times New Roman"/>
                <w:color w:val="000000"/>
                <w:kern w:val="0"/>
                <w:szCs w:val="24"/>
                <w:lang w:val="en-US" w:eastAsia="zh-CN"/>
              </w:rPr>
            </w:pPr>
            <w:r>
              <w:rPr>
                <w:rFonts w:cs="Times New Roman"/>
                <w:color w:val="000000"/>
                <w:kern w:val="0"/>
                <w:szCs w:val="24"/>
              </w:rPr>
              <w:t>非标件，Φ</w:t>
            </w:r>
            <w:r>
              <w:rPr>
                <w:rFonts w:hint="eastAsia" w:cs="Times New Roman"/>
                <w:color w:val="000000"/>
                <w:kern w:val="0"/>
                <w:szCs w:val="24"/>
              </w:rPr>
              <w:t>5</w:t>
            </w:r>
            <w:r>
              <w:rPr>
                <w:rFonts w:cs="Times New Roman"/>
                <w:color w:val="000000"/>
                <w:kern w:val="0"/>
                <w:szCs w:val="24"/>
              </w:rPr>
              <w:t>m，与罐体配套，</w:t>
            </w:r>
            <w:r>
              <w:rPr>
                <w:rFonts w:hint="eastAsia" w:cs="Times New Roman"/>
                <w:color w:val="000000"/>
                <w:kern w:val="0"/>
                <w:szCs w:val="24"/>
                <w:lang w:val="en-US" w:eastAsia="zh-CN"/>
              </w:rPr>
              <w:t>SS304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分离器支架和安装平台</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Ø</w:t>
            </w:r>
            <w:r>
              <w:rPr>
                <w:rFonts w:hint="eastAsia" w:cs="Times New Roman"/>
                <w:color w:val="000000"/>
                <w:kern w:val="0"/>
                <w:szCs w:val="24"/>
              </w:rPr>
              <w:t>5</w:t>
            </w:r>
            <w:r>
              <w:rPr>
                <w:rFonts w:cs="Times New Roman"/>
                <w:color w:val="000000"/>
                <w:kern w:val="0"/>
                <w:szCs w:val="24"/>
              </w:rPr>
              <w:t>m,Q235B</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6</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反应器辅件</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非标（</w:t>
            </w:r>
            <w:r>
              <w:rPr>
                <w:rFonts w:hint="eastAsia" w:cs="Times New Roman"/>
                <w:color w:val="000000"/>
                <w:kern w:val="0"/>
                <w:szCs w:val="24"/>
              </w:rPr>
              <w:t>内部加热盘管</w:t>
            </w:r>
            <w:r>
              <w:rPr>
                <w:rFonts w:cs="Times New Roman"/>
                <w:color w:val="000000"/>
                <w:kern w:val="0"/>
                <w:szCs w:val="24"/>
              </w:rPr>
              <w:t>、顶部盖板、加强板、加强型钢）</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项</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7</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水封罐</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主要材质304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座</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8</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脱水罐</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主要材质304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座</w:t>
            </w:r>
            <w:r>
              <w:rPr>
                <w:rFonts w:cs="Times New Roman"/>
                <w:color w:val="000000"/>
                <w:kern w:val="0"/>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9</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厌氧温度传感器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4~20ma，220V，带现场显示，带信号传输</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沼气脱硫设施</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火炬</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主体304材质，独立系统，带PLC控制，点火方式：自动。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厌氧沼气防爆电动阀</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防爆等级CT6，4~20ma</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rFonts w:hint="eastAsia"/>
                <w:color w:val="000000"/>
                <w:kern w:val="0"/>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rFonts w:hint="eastAsia"/>
                <w:color w:val="000000"/>
                <w:kern w:val="0"/>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厌氧循环电磁流量计</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防爆等级CT6，4~20ma，0~40m</w:t>
            </w:r>
            <w:r>
              <w:rPr>
                <w:rFonts w:hint="eastAsia"/>
                <w:color w:val="000000"/>
                <w:kern w:val="0"/>
                <w:vertAlign w:val="superscript"/>
              </w:rPr>
              <w:t>3</w:t>
            </w:r>
            <w:r>
              <w:rPr>
                <w:rFonts w:hint="eastAsia"/>
                <w:color w:val="000000"/>
                <w:kern w:val="0"/>
              </w:rPr>
              <w:t>/h，24V，带信号输出，法兰DN100</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rFonts w:hint="eastAsia"/>
                <w:color w:val="000000"/>
                <w:kern w:val="0"/>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rFonts w:hint="eastAsia"/>
                <w:color w:val="000000"/>
                <w:kern w:val="0"/>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可燃气体检测仪</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rFonts w:hint="eastAsia"/>
                <w:color w:val="000000"/>
                <w:kern w:val="0"/>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rFonts w:hint="eastAsia"/>
                <w:color w:val="000000"/>
                <w:kern w:val="0"/>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noWrap/>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八</w:t>
            </w:r>
            <w:r>
              <w:rPr>
                <w:rFonts w:cs="Times New Roman"/>
                <w:color w:val="000000"/>
                <w:kern w:val="0"/>
                <w:szCs w:val="24"/>
              </w:rPr>
              <w:t>、好氧系统</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一级液下搅拌器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SS304安装系统</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一级射流循环泵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卧式离心泵，</w:t>
            </w:r>
            <w:r>
              <w:rPr>
                <w:rFonts w:hint="eastAsia" w:cs="Times New Roman"/>
                <w:color w:val="000000"/>
                <w:kern w:val="0"/>
                <w:szCs w:val="24"/>
              </w:rPr>
              <w:t>过流部件SS304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4</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一级射流器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316</w:t>
            </w:r>
            <w:r>
              <w:rPr>
                <w:rFonts w:hint="eastAsia" w:cs="Times New Roman"/>
                <w:color w:val="000000"/>
                <w:kern w:val="0"/>
                <w:szCs w:val="24"/>
              </w:rPr>
              <w:t>材质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硝酸盐回流泵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卧式离心泵</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二级液下搅拌器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SS304安装系统</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6</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二级射流循环泵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卧式离心泵，</w:t>
            </w:r>
            <w:r>
              <w:rPr>
                <w:rFonts w:hint="eastAsia" w:cs="Times New Roman"/>
                <w:color w:val="000000"/>
                <w:kern w:val="0"/>
                <w:szCs w:val="24"/>
              </w:rPr>
              <w:t>过流部件SS304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7</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二级射流器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316材质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8</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冷却塔</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Q=</w:t>
            </w:r>
            <w:r>
              <w:rPr>
                <w:rFonts w:hint="eastAsia" w:cs="Times New Roman"/>
                <w:color w:val="000000"/>
                <w:kern w:val="0"/>
                <w:szCs w:val="24"/>
              </w:rPr>
              <w:t>8</w:t>
            </w:r>
            <w:r>
              <w:rPr>
                <w:rFonts w:cs="Times New Roman"/>
                <w:color w:val="000000"/>
                <w:kern w:val="0"/>
                <w:szCs w:val="24"/>
              </w:rPr>
              <w:t>0m</w:t>
            </w:r>
            <w:r>
              <w:rPr>
                <w:rFonts w:cs="Times New Roman"/>
                <w:color w:val="000000"/>
                <w:kern w:val="0"/>
                <w:szCs w:val="24"/>
                <w:vertAlign w:val="superscript"/>
              </w:rPr>
              <w:t>3</w:t>
            </w:r>
            <w:r>
              <w:rPr>
                <w:rFonts w:cs="Times New Roman"/>
                <w:color w:val="000000"/>
                <w:kern w:val="0"/>
                <w:szCs w:val="24"/>
              </w:rPr>
              <w:t>/h，玻璃钢材质，</w:t>
            </w:r>
            <w:r>
              <w:rPr>
                <w:rFonts w:hint="eastAsia" w:cs="Times New Roman"/>
                <w:color w:val="000000"/>
                <w:kern w:val="0"/>
                <w:szCs w:val="24"/>
              </w:rPr>
              <w:t>3</w:t>
            </w:r>
            <w:r>
              <w:rPr>
                <w:rFonts w:cs="Times New Roman"/>
                <w:color w:val="000000"/>
                <w:kern w:val="0"/>
                <w:szCs w:val="24"/>
              </w:rPr>
              <w:t>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座</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9</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冷却污泥泵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卧式离心泵</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10</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冷却进水泵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卧式离心泵</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板式换热器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板片为不锈钢材质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O池溶氧仪</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4-20ma输出，220V，带检测温度，测量深度3.2m，配保护套管，带信号输出</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曝气池曝气风机</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Q=19.1m</w:t>
            </w:r>
            <w:r>
              <w:rPr>
                <w:rFonts w:hint="eastAsia" w:cs="Times New Roman"/>
                <w:color w:val="000000"/>
                <w:kern w:val="0"/>
                <w:szCs w:val="24"/>
                <w:vertAlign w:val="superscript"/>
              </w:rPr>
              <w:t>3</w:t>
            </w:r>
            <w:r>
              <w:rPr>
                <w:rFonts w:hint="eastAsia" w:cs="Times New Roman"/>
                <w:color w:val="000000"/>
                <w:kern w:val="0"/>
                <w:szCs w:val="24"/>
              </w:rPr>
              <w:t>/min,60Kpa，变频</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noWrap/>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九</w:t>
            </w:r>
            <w:r>
              <w:rPr>
                <w:rFonts w:cs="Times New Roman"/>
                <w:color w:val="000000"/>
                <w:kern w:val="0"/>
                <w:szCs w:val="24"/>
              </w:rPr>
              <w:t>、MBR系统</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cs="Times New Roman"/>
              </w:rPr>
            </w:pPr>
            <w:r>
              <w:rPr>
                <w:rFonts w:cs="Times New Roman"/>
              </w:rPr>
              <w:t>1</w:t>
            </w:r>
          </w:p>
        </w:tc>
        <w:tc>
          <w:tcPr>
            <w:tcW w:w="2693" w:type="dxa"/>
            <w:tcBorders>
              <w:top w:val="nil"/>
              <w:left w:val="nil"/>
              <w:bottom w:val="single" w:color="auto" w:sz="4" w:space="0"/>
              <w:right w:val="single" w:color="auto" w:sz="4" w:space="0"/>
            </w:tcBorders>
            <w:shd w:val="clear" w:color="auto" w:fill="auto"/>
            <w:vAlign w:val="center"/>
          </w:tcPr>
          <w:p>
            <w:pPr>
              <w:ind w:firstLine="0" w:firstLineChars="0"/>
              <w:rPr>
                <w:rFonts w:cs="Times New Roman"/>
              </w:rPr>
            </w:pPr>
            <w:r>
              <w:rPr>
                <w:rFonts w:hint="eastAsia" w:cs="Times New Roman"/>
              </w:rPr>
              <w:t>MBR管式膜组件</w:t>
            </w:r>
          </w:p>
        </w:tc>
        <w:tc>
          <w:tcPr>
            <w:tcW w:w="6804" w:type="dxa"/>
            <w:tcBorders>
              <w:top w:val="nil"/>
              <w:left w:val="nil"/>
              <w:bottom w:val="single" w:color="auto" w:sz="4" w:space="0"/>
              <w:right w:val="single" w:color="auto" w:sz="4" w:space="0"/>
            </w:tcBorders>
            <w:shd w:val="clear" w:color="auto" w:fill="auto"/>
            <w:vAlign w:val="center"/>
          </w:tcPr>
          <w:p>
            <w:pPr>
              <w:ind w:firstLine="0" w:firstLineChars="0"/>
            </w:pPr>
            <w:r>
              <w:rPr>
                <w:rFonts w:hint="eastAsia"/>
              </w:rPr>
              <w:t>出力30m3/d，配套循环泵、反洗泵、清洗装置等附属系统</w:t>
            </w:r>
          </w:p>
          <w:p>
            <w:pPr>
              <w:pStyle w:val="2"/>
              <w:ind w:firstLine="480"/>
            </w:pPr>
            <w:r>
              <w:rPr>
                <w:rFonts w:hint="eastAsia"/>
                <w:color w:val="000000"/>
                <w:kern w:val="0"/>
              </w:rPr>
              <w:t>膜材质PVDF,通量60-70L/m2.h</w:t>
            </w:r>
          </w:p>
        </w:tc>
        <w:tc>
          <w:tcPr>
            <w:tcW w:w="850"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rPr>
            </w:pPr>
            <w:r>
              <w:rPr>
                <w:rFonts w:hint="eastAsia" w:cs="Times New Roman"/>
              </w:rPr>
              <w:t>套</w:t>
            </w:r>
          </w:p>
        </w:tc>
        <w:tc>
          <w:tcPr>
            <w:tcW w:w="993"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rPr>
            </w:pPr>
            <w:r>
              <w:rPr>
                <w:rFonts w:hint="eastAsia" w:cs="Times New Roman"/>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十</w:t>
            </w:r>
            <w:r>
              <w:rPr>
                <w:rFonts w:cs="Times New Roman"/>
                <w:color w:val="000000"/>
                <w:kern w:val="0"/>
                <w:szCs w:val="24"/>
              </w:rPr>
              <w:t>、污泥处理</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污泥脱水进料泵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螺杆泵，G30-1,5M3/h，p=2.2KW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污泥脱水机</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流量3m</w:t>
            </w:r>
            <w:r>
              <w:rPr>
                <w:rFonts w:hint="eastAsia" w:cs="Times New Roman"/>
                <w:color w:val="000000"/>
                <w:kern w:val="0"/>
                <w:szCs w:val="24"/>
                <w:vertAlign w:val="superscript"/>
              </w:rPr>
              <w:t>3</w:t>
            </w:r>
            <w:r>
              <w:rPr>
                <w:rFonts w:hint="eastAsia" w:cs="Times New Roman"/>
                <w:color w:val="000000"/>
                <w:kern w:val="0"/>
                <w:szCs w:val="24"/>
              </w:rPr>
              <w:t>/h，绝干污泥量30-40KG/天</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座</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絮凝剂制备</w:t>
            </w:r>
            <w:r>
              <w:rPr>
                <w:rFonts w:hint="eastAsia" w:cs="Times New Roman"/>
                <w:color w:val="000000"/>
                <w:kern w:val="0"/>
                <w:szCs w:val="24"/>
              </w:rPr>
              <w:t>/投加</w:t>
            </w:r>
            <w:r>
              <w:rPr>
                <w:rFonts w:cs="Times New Roman"/>
                <w:color w:val="000000"/>
                <w:kern w:val="0"/>
                <w:szCs w:val="24"/>
              </w:rPr>
              <w:t>装置</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含配药/加药系统，全自动配药，计量泵200L/h，0.7Mpa，0.37KW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十一</w:t>
            </w:r>
            <w:r>
              <w:rPr>
                <w:rFonts w:cs="Times New Roman"/>
                <w:color w:val="000000"/>
                <w:kern w:val="0"/>
                <w:szCs w:val="24"/>
              </w:rPr>
              <w:t>、</w:t>
            </w:r>
            <w:r>
              <w:rPr>
                <w:rFonts w:hint="eastAsia" w:cs="Times New Roman"/>
                <w:color w:val="000000"/>
                <w:kern w:val="0"/>
                <w:szCs w:val="24"/>
              </w:rPr>
              <w:t>泡沫处理系统</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消泡剂投加装置</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pPr>
            <w:r>
              <w:rPr>
                <w:rFonts w:hint="eastAsia"/>
              </w:rPr>
              <w:t>计量泵，100L/h，1.0Mpa，0.37KW，搅拌机0.75KW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十二</w:t>
            </w:r>
            <w:r>
              <w:rPr>
                <w:rFonts w:cs="Times New Roman"/>
                <w:color w:val="000000"/>
                <w:kern w:val="0"/>
                <w:szCs w:val="24"/>
              </w:rPr>
              <w:t>、</w:t>
            </w:r>
            <w:r>
              <w:rPr>
                <w:rFonts w:hint="eastAsia" w:cs="Times New Roman"/>
                <w:color w:val="000000"/>
                <w:kern w:val="0"/>
                <w:szCs w:val="24"/>
              </w:rPr>
              <w:t>厌氧加热</w:t>
            </w:r>
            <w:r>
              <w:rPr>
                <w:rFonts w:cs="Times New Roman"/>
                <w:color w:val="000000"/>
                <w:kern w:val="0"/>
                <w:szCs w:val="24"/>
              </w:rPr>
              <w:t>系统</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tcPr>
          <w:p>
            <w:pPr>
              <w:ind w:firstLine="0" w:firstLineChars="0"/>
              <w:rPr>
                <w:rFonts w:cs="Times New Roman"/>
              </w:rPr>
            </w:pPr>
            <w:r>
              <w:rPr>
                <w:rFonts w:hint="eastAsia" w:cs="Times New Roman"/>
              </w:rPr>
              <w:t>电热水锅炉</w:t>
            </w:r>
          </w:p>
        </w:tc>
        <w:tc>
          <w:tcPr>
            <w:tcW w:w="6804" w:type="dxa"/>
            <w:tcBorders>
              <w:top w:val="nil"/>
              <w:left w:val="nil"/>
              <w:bottom w:val="single" w:color="auto" w:sz="4" w:space="0"/>
              <w:right w:val="single" w:color="auto" w:sz="4" w:space="0"/>
            </w:tcBorders>
            <w:shd w:val="clear" w:color="auto" w:fill="auto"/>
          </w:tcPr>
          <w:p>
            <w:pPr>
              <w:ind w:firstLine="0" w:firstLineChars="0"/>
              <w:rPr>
                <w:rFonts w:cs="Times New Roman"/>
              </w:rPr>
            </w:pPr>
            <w:r>
              <w:rPr>
                <w:rFonts w:hint="eastAsia" w:cs="Times New Roman"/>
              </w:rPr>
              <w:t>60KW</w:t>
            </w:r>
          </w:p>
        </w:tc>
        <w:tc>
          <w:tcPr>
            <w:tcW w:w="850" w:type="dxa"/>
            <w:tcBorders>
              <w:top w:val="nil"/>
              <w:left w:val="nil"/>
              <w:bottom w:val="single" w:color="auto" w:sz="4" w:space="0"/>
              <w:right w:val="single" w:color="auto" w:sz="4" w:space="0"/>
            </w:tcBorders>
            <w:shd w:val="clear" w:color="auto" w:fill="auto"/>
            <w:noWrap/>
          </w:tcPr>
          <w:p>
            <w:pPr>
              <w:ind w:firstLine="0" w:firstLineChars="0"/>
              <w:jc w:val="center"/>
              <w:rPr>
                <w:rFonts w:cs="Times New Roman"/>
              </w:rPr>
            </w:pPr>
            <w:r>
              <w:rPr>
                <w:rFonts w:hint="eastAsia" w:cs="Times New Roman"/>
              </w:rPr>
              <w:t>台</w:t>
            </w:r>
          </w:p>
        </w:tc>
        <w:tc>
          <w:tcPr>
            <w:tcW w:w="993" w:type="dxa"/>
            <w:tcBorders>
              <w:top w:val="nil"/>
              <w:left w:val="nil"/>
              <w:bottom w:val="single" w:color="auto" w:sz="4" w:space="0"/>
              <w:right w:val="single" w:color="auto" w:sz="4" w:space="0"/>
            </w:tcBorders>
            <w:shd w:val="clear" w:color="auto" w:fill="auto"/>
          </w:tcPr>
          <w:p>
            <w:pPr>
              <w:ind w:firstLine="0" w:firstLineChars="0"/>
              <w:jc w:val="center"/>
              <w:rPr>
                <w:rFonts w:cs="Times New Roman"/>
              </w:rPr>
            </w:pPr>
            <w:r>
              <w:rPr>
                <w:rFonts w:hint="eastAsia" w:cs="Times New Roman"/>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sz w:val="21"/>
                <w:szCs w:val="21"/>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tcPr>
          <w:p>
            <w:pPr>
              <w:ind w:firstLine="0" w:firstLineChars="0"/>
              <w:rPr>
                <w:rFonts w:cs="Times New Roman"/>
              </w:rPr>
            </w:pPr>
            <w:r>
              <w:rPr>
                <w:rFonts w:hint="eastAsia" w:cs="Times New Roman"/>
              </w:rPr>
              <w:t>软水系统</w:t>
            </w:r>
          </w:p>
        </w:tc>
        <w:tc>
          <w:tcPr>
            <w:tcW w:w="6804" w:type="dxa"/>
            <w:tcBorders>
              <w:top w:val="nil"/>
              <w:left w:val="nil"/>
              <w:bottom w:val="single" w:color="auto" w:sz="4" w:space="0"/>
              <w:right w:val="single" w:color="auto" w:sz="4" w:space="0"/>
            </w:tcBorders>
            <w:shd w:val="clear" w:color="auto" w:fill="auto"/>
          </w:tcPr>
          <w:p>
            <w:pPr>
              <w:ind w:firstLine="0" w:firstLineChars="0"/>
              <w:rPr>
                <w:rFonts w:cs="Times New Roman"/>
              </w:rPr>
            </w:pPr>
            <w:r>
              <w:rPr>
                <w:rFonts w:hint="eastAsia" w:cs="Times New Roman"/>
              </w:rPr>
              <w:t>含软水处理器，树脂罐，盐水箱</w:t>
            </w:r>
          </w:p>
        </w:tc>
        <w:tc>
          <w:tcPr>
            <w:tcW w:w="850" w:type="dxa"/>
            <w:tcBorders>
              <w:top w:val="nil"/>
              <w:left w:val="nil"/>
              <w:bottom w:val="single" w:color="auto" w:sz="4" w:space="0"/>
              <w:right w:val="single" w:color="auto" w:sz="4" w:space="0"/>
            </w:tcBorders>
            <w:shd w:val="clear" w:color="auto" w:fill="auto"/>
            <w:noWrap/>
          </w:tcPr>
          <w:p>
            <w:pPr>
              <w:ind w:firstLine="0" w:firstLineChars="0"/>
              <w:jc w:val="center"/>
              <w:rPr>
                <w:rFonts w:cs="Times New Roman"/>
              </w:rPr>
            </w:pPr>
            <w:r>
              <w:rPr>
                <w:rFonts w:hint="eastAsia" w:cs="Times New Roman"/>
              </w:rPr>
              <w:t>套</w:t>
            </w:r>
          </w:p>
        </w:tc>
        <w:tc>
          <w:tcPr>
            <w:tcW w:w="993" w:type="dxa"/>
            <w:tcBorders>
              <w:top w:val="nil"/>
              <w:left w:val="nil"/>
              <w:bottom w:val="single" w:color="auto" w:sz="4" w:space="0"/>
              <w:right w:val="single" w:color="auto" w:sz="4" w:space="0"/>
            </w:tcBorders>
            <w:shd w:val="clear" w:color="auto" w:fill="auto"/>
          </w:tcPr>
          <w:p>
            <w:pPr>
              <w:ind w:firstLine="0" w:firstLineChars="0"/>
              <w:jc w:val="center"/>
              <w:rPr>
                <w:rFonts w:cs="Times New Roman"/>
              </w:rPr>
            </w:pPr>
            <w:r>
              <w:rPr>
                <w:rFonts w:hint="eastAsia" w:cs="Times New Roman"/>
              </w:rPr>
              <w:t>1</w:t>
            </w:r>
          </w:p>
        </w:tc>
        <w:tc>
          <w:tcPr>
            <w:tcW w:w="1827" w:type="dxa"/>
            <w:tcBorders>
              <w:top w:val="nil"/>
              <w:left w:val="nil"/>
              <w:bottom w:val="single" w:color="auto" w:sz="4" w:space="0"/>
              <w:right w:val="single" w:color="auto" w:sz="4" w:space="0"/>
            </w:tcBorders>
            <w:shd w:val="clear" w:color="auto" w:fill="auto"/>
            <w:noWrap/>
            <w:vAlign w:val="center"/>
          </w:tcPr>
          <w:p>
            <w:pPr>
              <w:ind w:firstLine="0" w:firstLineChars="0"/>
              <w:jc w:val="center"/>
              <w:rPr>
                <w:rFonts w:cs="Times New Roman"/>
                <w:color w:val="000000"/>
                <w:sz w:val="21"/>
                <w:szCs w:val="21"/>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tcPr>
          <w:p>
            <w:pPr>
              <w:ind w:firstLine="0" w:firstLineChars="0"/>
              <w:rPr>
                <w:rFonts w:cs="Times New Roman"/>
              </w:rPr>
            </w:pPr>
            <w:r>
              <w:rPr>
                <w:rFonts w:hint="eastAsia" w:cs="Times New Roman"/>
              </w:rPr>
              <w:t>热交换泵</w:t>
            </w:r>
          </w:p>
        </w:tc>
        <w:tc>
          <w:tcPr>
            <w:tcW w:w="6804" w:type="dxa"/>
            <w:tcBorders>
              <w:top w:val="nil"/>
              <w:left w:val="nil"/>
              <w:bottom w:val="single" w:color="auto" w:sz="4" w:space="0"/>
              <w:right w:val="single" w:color="auto" w:sz="4" w:space="0"/>
            </w:tcBorders>
            <w:shd w:val="clear" w:color="auto" w:fill="auto"/>
          </w:tcPr>
          <w:p>
            <w:pPr>
              <w:ind w:firstLine="0" w:firstLineChars="0"/>
              <w:rPr>
                <w:rFonts w:cs="Times New Roman"/>
              </w:rPr>
            </w:pPr>
            <w:r>
              <w:rPr>
                <w:rFonts w:hint="eastAsia" w:cs="Times New Roman"/>
              </w:rPr>
              <w:t>T40，8m</w:t>
            </w:r>
            <w:r>
              <w:rPr>
                <w:rFonts w:hint="eastAsia" w:cs="Times New Roman"/>
                <w:vertAlign w:val="superscript"/>
              </w:rPr>
              <w:t>3</w:t>
            </w:r>
            <w:r>
              <w:rPr>
                <w:rFonts w:hint="eastAsia" w:cs="Times New Roman"/>
              </w:rPr>
              <w:t>/h，H=15m，1.5KW</w:t>
            </w:r>
          </w:p>
        </w:tc>
        <w:tc>
          <w:tcPr>
            <w:tcW w:w="850" w:type="dxa"/>
            <w:tcBorders>
              <w:top w:val="nil"/>
              <w:left w:val="nil"/>
              <w:bottom w:val="single" w:color="auto" w:sz="4" w:space="0"/>
              <w:right w:val="single" w:color="auto" w:sz="4" w:space="0"/>
            </w:tcBorders>
            <w:shd w:val="clear" w:color="auto" w:fill="auto"/>
            <w:noWrap/>
          </w:tcPr>
          <w:p>
            <w:pPr>
              <w:ind w:firstLine="0" w:firstLineChars="0"/>
              <w:jc w:val="center"/>
              <w:rPr>
                <w:rFonts w:cs="Times New Roman"/>
              </w:rPr>
            </w:pPr>
            <w:r>
              <w:rPr>
                <w:rFonts w:hint="eastAsia" w:cs="Times New Roman"/>
              </w:rPr>
              <w:t>台</w:t>
            </w:r>
          </w:p>
        </w:tc>
        <w:tc>
          <w:tcPr>
            <w:tcW w:w="993" w:type="dxa"/>
            <w:tcBorders>
              <w:top w:val="nil"/>
              <w:left w:val="nil"/>
              <w:bottom w:val="single" w:color="auto" w:sz="4" w:space="0"/>
              <w:right w:val="single" w:color="auto" w:sz="4" w:space="0"/>
            </w:tcBorders>
            <w:shd w:val="clear" w:color="auto" w:fill="auto"/>
          </w:tcPr>
          <w:p>
            <w:pPr>
              <w:ind w:firstLine="0" w:firstLineChars="0"/>
              <w:jc w:val="center"/>
              <w:rPr>
                <w:rFonts w:cs="Times New Roman"/>
              </w:rPr>
            </w:pPr>
            <w:r>
              <w:rPr>
                <w:rFonts w:hint="eastAsia" w:cs="Times New Roman"/>
              </w:rPr>
              <w:t>2</w:t>
            </w:r>
          </w:p>
        </w:tc>
        <w:tc>
          <w:tcPr>
            <w:tcW w:w="1827"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color w:val="000000"/>
                <w:sz w:val="21"/>
                <w:szCs w:val="21"/>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十三、出水系统</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sz w:val="21"/>
                <w:szCs w:val="21"/>
              </w:rPr>
            </w:pPr>
            <w:r>
              <w:rPr>
                <w:rFonts w:hint="eastAsia" w:cs="Times New Roman"/>
                <w:color w:val="000000"/>
                <w:sz w:val="21"/>
                <w:szCs w:val="21"/>
              </w:rPr>
              <w:t>次钠投加系统</w:t>
            </w:r>
          </w:p>
        </w:tc>
        <w:tc>
          <w:tcPr>
            <w:tcW w:w="6804" w:type="dxa"/>
            <w:tcBorders>
              <w:top w:val="nil"/>
              <w:left w:val="nil"/>
              <w:bottom w:val="single" w:color="auto" w:sz="4" w:space="0"/>
              <w:right w:val="single" w:color="auto" w:sz="4" w:space="0"/>
            </w:tcBorders>
            <w:shd w:val="clear" w:color="auto" w:fill="auto"/>
            <w:vAlign w:val="center"/>
          </w:tcPr>
          <w:p>
            <w:pPr>
              <w:ind w:firstLine="0" w:firstLineChars="0"/>
              <w:rPr>
                <w:rFonts w:cs="Times New Roman"/>
                <w:color w:val="000000"/>
                <w:sz w:val="21"/>
                <w:szCs w:val="21"/>
              </w:rPr>
            </w:pPr>
            <w:r>
              <w:rPr>
                <w:rFonts w:hint="eastAsia" w:cs="Times New Roman"/>
                <w:color w:val="000000"/>
                <w:sz w:val="21"/>
                <w:szCs w:val="21"/>
              </w:rPr>
              <w:t>含加药箱、加药泵</w:t>
            </w:r>
          </w:p>
        </w:tc>
        <w:tc>
          <w:tcPr>
            <w:tcW w:w="850"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color w:val="000000"/>
                <w:sz w:val="21"/>
                <w:szCs w:val="21"/>
              </w:rPr>
            </w:pPr>
            <w:r>
              <w:rPr>
                <w:rFonts w:hint="eastAsia" w:cs="Times New Roman"/>
                <w:color w:val="000000"/>
                <w:sz w:val="21"/>
                <w:szCs w:val="21"/>
              </w:rPr>
              <w:t>套</w:t>
            </w:r>
          </w:p>
        </w:tc>
        <w:tc>
          <w:tcPr>
            <w:tcW w:w="993"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color w:val="000000"/>
                <w:sz w:val="21"/>
                <w:szCs w:val="21"/>
              </w:rPr>
            </w:pPr>
            <w:r>
              <w:rPr>
                <w:rFonts w:hint="eastAsia" w:cs="Times New Roman"/>
                <w:color w:val="000000"/>
                <w:sz w:val="21"/>
                <w:szCs w:val="21"/>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sz w:val="20"/>
                <w:szCs w:val="20"/>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2</w:t>
            </w:r>
          </w:p>
        </w:tc>
        <w:tc>
          <w:tcPr>
            <w:tcW w:w="2693" w:type="dxa"/>
            <w:tcBorders>
              <w:top w:val="nil"/>
              <w:left w:val="nil"/>
              <w:bottom w:val="single" w:color="auto" w:sz="4" w:space="0"/>
              <w:right w:val="single" w:color="auto" w:sz="4" w:space="0"/>
            </w:tcBorders>
            <w:shd w:val="clear" w:color="auto" w:fill="auto"/>
            <w:vAlign w:val="center"/>
          </w:tcPr>
          <w:p>
            <w:pPr>
              <w:ind w:firstLine="0" w:firstLineChars="0"/>
              <w:jc w:val="left"/>
              <w:rPr>
                <w:rFonts w:cs="Times New Roman"/>
                <w:color w:val="000000"/>
                <w:sz w:val="21"/>
                <w:szCs w:val="21"/>
              </w:rPr>
            </w:pPr>
            <w:r>
              <w:rPr>
                <w:rFonts w:hint="eastAsia" w:cs="Times New Roman"/>
                <w:color w:val="000000"/>
                <w:sz w:val="21"/>
                <w:szCs w:val="21"/>
              </w:rPr>
              <w:t>出水外排泵</w:t>
            </w:r>
          </w:p>
        </w:tc>
        <w:tc>
          <w:tcPr>
            <w:tcW w:w="6804" w:type="dxa"/>
            <w:tcBorders>
              <w:top w:val="nil"/>
              <w:left w:val="nil"/>
              <w:bottom w:val="single" w:color="auto" w:sz="4" w:space="0"/>
              <w:right w:val="single" w:color="auto" w:sz="4" w:space="0"/>
            </w:tcBorders>
            <w:shd w:val="clear" w:color="auto" w:fill="auto"/>
            <w:vAlign w:val="center"/>
          </w:tcPr>
          <w:p>
            <w:pPr>
              <w:ind w:firstLine="0" w:firstLineChars="0"/>
              <w:rPr>
                <w:rFonts w:cs="Times New Roman"/>
                <w:color w:val="000000"/>
                <w:sz w:val="21"/>
                <w:szCs w:val="21"/>
              </w:rPr>
            </w:pPr>
            <w:r>
              <w:rPr>
                <w:rFonts w:hint="eastAsia" w:cs="Times New Roman"/>
                <w:color w:val="000000"/>
                <w:sz w:val="21"/>
                <w:szCs w:val="21"/>
              </w:rPr>
              <w:t>Q=10m³/h，H=10m,0.75KW</w:t>
            </w:r>
          </w:p>
        </w:tc>
        <w:tc>
          <w:tcPr>
            <w:tcW w:w="850"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color w:val="000000"/>
                <w:sz w:val="21"/>
                <w:szCs w:val="21"/>
              </w:rPr>
            </w:pPr>
            <w:r>
              <w:rPr>
                <w:rFonts w:hint="eastAsia" w:cs="Times New Roman"/>
                <w:color w:val="000000"/>
                <w:sz w:val="21"/>
                <w:szCs w:val="21"/>
              </w:rPr>
              <w:t>台</w:t>
            </w:r>
          </w:p>
        </w:tc>
        <w:tc>
          <w:tcPr>
            <w:tcW w:w="993"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color w:val="000000"/>
                <w:sz w:val="21"/>
                <w:szCs w:val="21"/>
              </w:rPr>
            </w:pPr>
            <w:r>
              <w:rPr>
                <w:rFonts w:hint="eastAsia" w:cs="Times New Roman"/>
                <w:color w:val="000000"/>
                <w:sz w:val="21"/>
                <w:szCs w:val="21"/>
              </w:rPr>
              <w:t>1</w:t>
            </w:r>
          </w:p>
        </w:tc>
        <w:tc>
          <w:tcPr>
            <w:tcW w:w="1827" w:type="dxa"/>
            <w:tcBorders>
              <w:top w:val="nil"/>
              <w:left w:val="nil"/>
              <w:bottom w:val="single" w:color="auto" w:sz="4" w:space="0"/>
              <w:right w:val="single" w:color="auto" w:sz="4" w:space="0"/>
            </w:tcBorders>
            <w:shd w:val="clear" w:color="auto" w:fill="auto"/>
            <w:noWrap/>
            <w:vAlign w:val="center"/>
          </w:tcPr>
          <w:p>
            <w:pPr>
              <w:ind w:firstLine="0" w:firstLineChars="0"/>
              <w:jc w:val="center"/>
              <w:rPr>
                <w:rFonts w:cs="Times New Roman"/>
                <w:color w:val="000000"/>
                <w:sz w:val="20"/>
                <w:szCs w:val="20"/>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3</w:t>
            </w:r>
          </w:p>
        </w:tc>
        <w:tc>
          <w:tcPr>
            <w:tcW w:w="2693" w:type="dxa"/>
            <w:tcBorders>
              <w:top w:val="nil"/>
              <w:left w:val="nil"/>
              <w:bottom w:val="single" w:color="auto" w:sz="4" w:space="0"/>
              <w:right w:val="single" w:color="auto" w:sz="4" w:space="0"/>
            </w:tcBorders>
            <w:shd w:val="clear" w:color="auto" w:fill="auto"/>
            <w:vAlign w:val="center"/>
          </w:tcPr>
          <w:p>
            <w:pPr>
              <w:ind w:firstLine="0" w:firstLineChars="0"/>
              <w:jc w:val="left"/>
              <w:rPr>
                <w:rFonts w:cs="Times New Roman"/>
                <w:color w:val="000000"/>
                <w:sz w:val="21"/>
                <w:szCs w:val="21"/>
              </w:rPr>
            </w:pPr>
            <w:r>
              <w:rPr>
                <w:rFonts w:hint="eastAsia" w:cs="Times New Roman"/>
                <w:color w:val="000000"/>
                <w:sz w:val="21"/>
                <w:szCs w:val="21"/>
              </w:rPr>
              <w:t>巴歇尔槽</w:t>
            </w:r>
          </w:p>
        </w:tc>
        <w:tc>
          <w:tcPr>
            <w:tcW w:w="6804" w:type="dxa"/>
            <w:tcBorders>
              <w:top w:val="nil"/>
              <w:left w:val="nil"/>
              <w:bottom w:val="single" w:color="auto" w:sz="4" w:space="0"/>
              <w:right w:val="single" w:color="auto" w:sz="4" w:space="0"/>
            </w:tcBorders>
            <w:shd w:val="clear" w:color="auto" w:fill="auto"/>
            <w:vAlign w:val="center"/>
          </w:tcPr>
          <w:p>
            <w:pPr>
              <w:ind w:firstLine="0" w:firstLineChars="0"/>
              <w:rPr>
                <w:rFonts w:cs="Times New Roman"/>
                <w:color w:val="000000"/>
                <w:sz w:val="21"/>
                <w:szCs w:val="21"/>
              </w:rPr>
            </w:pPr>
          </w:p>
        </w:tc>
        <w:tc>
          <w:tcPr>
            <w:tcW w:w="850"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color w:val="000000"/>
                <w:sz w:val="21"/>
                <w:szCs w:val="21"/>
              </w:rPr>
            </w:pPr>
            <w:r>
              <w:rPr>
                <w:rFonts w:hint="eastAsia" w:cs="Times New Roman"/>
                <w:color w:val="000000"/>
                <w:sz w:val="21"/>
                <w:szCs w:val="21"/>
              </w:rPr>
              <w:t>座</w:t>
            </w:r>
          </w:p>
        </w:tc>
        <w:tc>
          <w:tcPr>
            <w:tcW w:w="993"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color w:val="000000"/>
                <w:sz w:val="21"/>
                <w:szCs w:val="21"/>
              </w:rPr>
            </w:pPr>
            <w:r>
              <w:rPr>
                <w:rFonts w:hint="eastAsia" w:cs="Times New Roman"/>
                <w:color w:val="000000"/>
                <w:sz w:val="21"/>
                <w:szCs w:val="21"/>
              </w:rPr>
              <w:t>1</w:t>
            </w:r>
          </w:p>
        </w:tc>
        <w:tc>
          <w:tcPr>
            <w:tcW w:w="1827"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color w:val="000000"/>
                <w:sz w:val="20"/>
                <w:szCs w:val="20"/>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十四</w:t>
            </w:r>
            <w:r>
              <w:rPr>
                <w:rFonts w:cs="Times New Roman"/>
                <w:color w:val="000000"/>
                <w:kern w:val="0"/>
                <w:szCs w:val="24"/>
              </w:rPr>
              <w:t>、管道阀门</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污水管道阀门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eastAsia="宋体" w:cs="Times New Roman"/>
                <w:color w:val="000000"/>
                <w:kern w:val="0"/>
                <w:szCs w:val="24"/>
                <w:lang w:val="en-US" w:eastAsia="zh-CN"/>
              </w:rPr>
            </w:pPr>
            <w:r>
              <w:rPr>
                <w:rFonts w:cs="Times New Roman"/>
                <w:color w:val="000000"/>
                <w:kern w:val="0"/>
                <w:szCs w:val="24"/>
              </w:rPr>
              <w:t>DN65，DN80，DN150，DN200，DN250，不锈钢/</w:t>
            </w:r>
            <w:r>
              <w:rPr>
                <w:rFonts w:hint="eastAsia" w:cs="Times New Roman"/>
                <w:color w:val="000000"/>
                <w:kern w:val="0"/>
                <w:szCs w:val="24"/>
                <w:lang w:val="en-US" w:eastAsia="zh-CN"/>
              </w:rPr>
              <w:t>UPVC</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排泥管道阀门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DN65，DN80，不锈钢/</w:t>
            </w:r>
            <w:r>
              <w:rPr>
                <w:rFonts w:hint="eastAsia" w:cs="Times New Roman"/>
                <w:color w:val="000000"/>
                <w:kern w:val="0"/>
                <w:szCs w:val="24"/>
                <w:lang w:val="en-US" w:eastAsia="zh-CN"/>
              </w:rPr>
              <w:t>UPVC</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除臭管道阀门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eastAsia="宋体" w:cs="Times New Roman"/>
                <w:color w:val="000000"/>
                <w:kern w:val="0"/>
                <w:szCs w:val="24"/>
                <w:lang w:val="en-US" w:eastAsia="zh-CN"/>
              </w:rPr>
            </w:pPr>
            <w:r>
              <w:rPr>
                <w:rFonts w:cs="Times New Roman"/>
                <w:color w:val="000000"/>
                <w:kern w:val="0"/>
                <w:szCs w:val="24"/>
              </w:rPr>
              <w:t>DN300，DN150，DN100，DN80，</w:t>
            </w:r>
            <w:r>
              <w:rPr>
                <w:rFonts w:hint="eastAsia" w:cs="Times New Roman"/>
                <w:color w:val="000000"/>
                <w:kern w:val="0"/>
                <w:szCs w:val="24"/>
                <w:lang w:val="en-US" w:eastAsia="zh-CN"/>
              </w:rPr>
              <w:t>PP</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曝气管道阀门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DN</w:t>
            </w:r>
            <w:r>
              <w:rPr>
                <w:rFonts w:hint="eastAsia" w:cs="Times New Roman"/>
                <w:color w:val="000000"/>
                <w:kern w:val="0"/>
                <w:szCs w:val="24"/>
              </w:rPr>
              <w:t>200</w:t>
            </w:r>
            <w:r>
              <w:rPr>
                <w:rFonts w:cs="Times New Roman"/>
                <w:color w:val="000000"/>
                <w:kern w:val="0"/>
                <w:szCs w:val="24"/>
              </w:rPr>
              <w:t>，碳钢</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蒸汽管道阀门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DN50，碳钢</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6</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工业水管道阀门管道阀门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DN40，碳钢</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7</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厌氧沼气管道阀门管道阀门（厌氧区域内）</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DN</w:t>
            </w:r>
            <w:r>
              <w:rPr>
                <w:rFonts w:hint="eastAsia" w:cs="Times New Roman"/>
                <w:color w:val="000000"/>
                <w:kern w:val="0"/>
                <w:szCs w:val="24"/>
              </w:rPr>
              <w:t>80</w:t>
            </w:r>
            <w:r>
              <w:rPr>
                <w:rFonts w:cs="Times New Roman"/>
                <w:color w:val="000000"/>
                <w:kern w:val="0"/>
                <w:szCs w:val="24"/>
              </w:rPr>
              <w:t>，不锈钢304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十五</w:t>
            </w:r>
            <w:r>
              <w:rPr>
                <w:rFonts w:cs="Times New Roman"/>
                <w:color w:val="000000"/>
                <w:kern w:val="0"/>
                <w:szCs w:val="24"/>
              </w:rPr>
              <w:t>、电气自控</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仪表电缆</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批</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十六</w:t>
            </w:r>
            <w:r>
              <w:rPr>
                <w:rFonts w:cs="Times New Roman"/>
                <w:color w:val="000000"/>
                <w:kern w:val="0"/>
                <w:szCs w:val="24"/>
              </w:rPr>
              <w:t>、电气系统</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抽屉柜</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变频柜</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现场按钮箱</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不锈钢，非标</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10</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电缆</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批</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桥架、穿线管及附件</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themeColor="text1"/>
                <w:kern w:val="0"/>
                <w:szCs w:val="24"/>
                <w:lang w:val="en-US" w:eastAsia="zh-CN"/>
              </w:rPr>
              <w:t>镀锌</w:t>
            </w:r>
            <w:r>
              <w:rPr>
                <w:rFonts w:cs="Times New Roman"/>
                <w:color w:val="000000"/>
                <w:kern w:val="0"/>
                <w:szCs w:val="24"/>
              </w:rPr>
              <w:t>材质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批</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bl>
    <w:p>
      <w:pPr>
        <w:pStyle w:val="2"/>
        <w:rPr>
          <w:rFonts w:hint="eastAsia"/>
          <w:lang w:val="en-US" w:eastAsia="zh-CN"/>
        </w:rPr>
      </w:pPr>
    </w:p>
    <w:p>
      <w:pPr>
        <w:spacing w:before="105"/>
        <w:ind w:left="7428" w:right="6471" w:firstLine="0"/>
        <w:jc w:val="center"/>
        <w:rPr>
          <w:rFonts w:ascii="Times New Roman"/>
          <w:sz w:val="18"/>
        </w:rPr>
        <w:sectPr>
          <w:type w:val="continuous"/>
          <w:pgSz w:w="16840" w:h="11910" w:orient="landscape"/>
          <w:pgMar w:top="1582" w:right="1220" w:bottom="278" w:left="1100" w:header="720" w:footer="720" w:gutter="0"/>
          <w:pgNumType w:fmt="decimal"/>
          <w:cols w:space="0" w:num="1"/>
          <w:rtlGutter w:val="0"/>
          <w:docGrid w:linePitch="0" w:charSpace="0"/>
        </w:sectPr>
      </w:pPr>
    </w:p>
    <w:p>
      <w:pPr>
        <w:pStyle w:val="4"/>
        <w:keepNext w:val="0"/>
        <w:keepLines w:val="0"/>
        <w:spacing w:beforeLines="0" w:afterLines="0"/>
        <w:ind w:firstLine="0" w:firstLineChars="0"/>
        <w:jc w:val="left"/>
        <w:rPr>
          <w:rFonts w:hint="eastAsia" w:cs="Times New Roman"/>
          <w:sz w:val="28"/>
          <w:szCs w:val="28"/>
        </w:rPr>
      </w:pPr>
      <w:r>
        <w:rPr>
          <w:rFonts w:hint="eastAsia" w:cs="Times New Roman"/>
          <w:sz w:val="28"/>
          <w:szCs w:val="28"/>
          <w:lang w:eastAsia="zh-CN"/>
        </w:rPr>
        <w:t>二、</w:t>
      </w:r>
      <w:r>
        <w:rPr>
          <w:rFonts w:hint="eastAsia" w:cs="Times New Roman"/>
          <w:sz w:val="28"/>
          <w:szCs w:val="28"/>
        </w:rPr>
        <w:t>除臭系统配置清单</w:t>
      </w:r>
    </w:p>
    <w:tbl>
      <w:tblPr>
        <w:tblStyle w:val="15"/>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3568"/>
        <w:gridCol w:w="720"/>
        <w:gridCol w:w="917"/>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46" w:type="dxa"/>
            <w:vAlign w:val="center"/>
          </w:tcPr>
          <w:p>
            <w:pPr>
              <w:widowControl/>
              <w:ind w:firstLine="0" w:firstLineChars="0"/>
              <w:jc w:val="center"/>
              <w:rPr>
                <w:rFonts w:ascii="宋体" w:hAnsi="宋体" w:cs="宋体"/>
                <w:b/>
                <w:kern w:val="0"/>
                <w:szCs w:val="21"/>
              </w:rPr>
            </w:pPr>
            <w:r>
              <w:rPr>
                <w:rFonts w:hint="eastAsia" w:ascii="宋体" w:hAnsi="宋体" w:cs="宋体"/>
                <w:b/>
                <w:kern w:val="0"/>
                <w:szCs w:val="21"/>
              </w:rPr>
              <w:t>序号</w:t>
            </w:r>
          </w:p>
        </w:tc>
        <w:tc>
          <w:tcPr>
            <w:tcW w:w="2268" w:type="dxa"/>
            <w:vAlign w:val="center"/>
          </w:tcPr>
          <w:p>
            <w:pPr>
              <w:widowControl/>
              <w:ind w:firstLine="0" w:firstLineChars="0"/>
              <w:jc w:val="center"/>
              <w:rPr>
                <w:rFonts w:ascii="宋体" w:hAnsi="宋体" w:cs="宋体"/>
                <w:b/>
                <w:kern w:val="0"/>
                <w:szCs w:val="21"/>
              </w:rPr>
            </w:pPr>
            <w:r>
              <w:rPr>
                <w:rFonts w:hint="eastAsia" w:ascii="宋体" w:hAnsi="宋体" w:cs="宋体"/>
                <w:b/>
                <w:kern w:val="0"/>
                <w:szCs w:val="21"/>
              </w:rPr>
              <w:t>名称</w:t>
            </w:r>
          </w:p>
        </w:tc>
        <w:tc>
          <w:tcPr>
            <w:tcW w:w="3568" w:type="dxa"/>
            <w:vAlign w:val="center"/>
          </w:tcPr>
          <w:p>
            <w:pPr>
              <w:widowControl/>
              <w:ind w:firstLine="0" w:firstLineChars="0"/>
              <w:jc w:val="center"/>
              <w:rPr>
                <w:rFonts w:ascii="宋体" w:hAnsi="宋体" w:cs="宋体"/>
                <w:b/>
                <w:kern w:val="0"/>
                <w:szCs w:val="21"/>
              </w:rPr>
            </w:pPr>
            <w:r>
              <w:rPr>
                <w:rFonts w:hint="eastAsia" w:ascii="宋体" w:hAnsi="宋体" w:cs="宋体"/>
                <w:b/>
                <w:kern w:val="0"/>
                <w:szCs w:val="21"/>
              </w:rPr>
              <w:t>型号规格</w:t>
            </w:r>
          </w:p>
        </w:tc>
        <w:tc>
          <w:tcPr>
            <w:tcW w:w="720" w:type="dxa"/>
            <w:vAlign w:val="center"/>
          </w:tcPr>
          <w:p>
            <w:pPr>
              <w:widowControl/>
              <w:ind w:firstLine="0" w:firstLineChars="0"/>
              <w:jc w:val="center"/>
              <w:rPr>
                <w:rFonts w:ascii="宋体" w:hAnsi="宋体" w:cs="宋体"/>
                <w:b/>
                <w:kern w:val="0"/>
                <w:szCs w:val="21"/>
              </w:rPr>
            </w:pPr>
            <w:r>
              <w:rPr>
                <w:rFonts w:hint="eastAsia" w:ascii="宋体" w:hAnsi="宋体" w:cs="宋体"/>
                <w:b/>
                <w:kern w:val="0"/>
                <w:szCs w:val="21"/>
              </w:rPr>
              <w:t>单位</w:t>
            </w:r>
          </w:p>
        </w:tc>
        <w:tc>
          <w:tcPr>
            <w:tcW w:w="917" w:type="dxa"/>
            <w:vAlign w:val="center"/>
          </w:tcPr>
          <w:p>
            <w:pPr>
              <w:widowControl/>
              <w:ind w:firstLine="0" w:firstLineChars="0"/>
              <w:jc w:val="center"/>
              <w:rPr>
                <w:rFonts w:ascii="宋体" w:hAnsi="宋体" w:cs="宋体"/>
                <w:b/>
                <w:kern w:val="0"/>
                <w:szCs w:val="21"/>
              </w:rPr>
            </w:pPr>
            <w:r>
              <w:rPr>
                <w:rFonts w:hint="eastAsia" w:ascii="宋体" w:hAnsi="宋体" w:cs="宋体"/>
                <w:b/>
                <w:kern w:val="0"/>
                <w:szCs w:val="21"/>
              </w:rPr>
              <w:t>数量</w:t>
            </w:r>
          </w:p>
        </w:tc>
        <w:tc>
          <w:tcPr>
            <w:tcW w:w="1844" w:type="dxa"/>
            <w:vAlign w:val="center"/>
          </w:tcPr>
          <w:p>
            <w:pPr>
              <w:widowControl/>
              <w:ind w:firstLine="0" w:firstLineChars="0"/>
              <w:jc w:val="center"/>
              <w:rPr>
                <w:rFonts w:hint="eastAsia" w:ascii="宋体" w:hAnsi="宋体" w:eastAsia="宋体" w:cs="宋体"/>
                <w:b/>
                <w:kern w:val="0"/>
                <w:szCs w:val="21"/>
                <w:lang w:eastAsia="zh-CN"/>
              </w:rPr>
            </w:pPr>
            <w:r>
              <w:rPr>
                <w:rFonts w:hint="eastAsia" w:cs="宋体"/>
                <w:b/>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shd w:val="clear" w:color="auto" w:fill="FFFFFF"/>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szCs w:val="24"/>
              </w:rPr>
              <w:t>1</w:t>
            </w:r>
          </w:p>
        </w:tc>
        <w:tc>
          <w:tcPr>
            <w:tcW w:w="2268" w:type="dxa"/>
            <w:shd w:val="clear" w:color="auto" w:fill="FFFFFF"/>
            <w:vAlign w:val="center"/>
          </w:tcPr>
          <w:p>
            <w:pPr>
              <w:ind w:firstLine="0" w:firstLineChars="0"/>
              <w:rPr>
                <w:rFonts w:ascii="宋体" w:hAnsi="宋体"/>
                <w:color w:val="000000" w:themeColor="text1"/>
              </w:rPr>
            </w:pPr>
            <w:r>
              <w:rPr>
                <w:rFonts w:hint="eastAsia" w:ascii="宋体" w:hAnsi="宋体" w:cs="宋体"/>
                <w:bCs/>
                <w:color w:val="000000" w:themeColor="text1"/>
                <w:szCs w:val="24"/>
              </w:rPr>
              <w:t>碱洗喷淋塔（含喷淋系统、洗涤加湿填料、填料支撑等）</w:t>
            </w:r>
          </w:p>
        </w:tc>
        <w:tc>
          <w:tcPr>
            <w:tcW w:w="3568" w:type="dxa"/>
            <w:shd w:val="clear" w:color="auto" w:fill="FFFFFF"/>
            <w:vAlign w:val="center"/>
          </w:tcPr>
          <w:p>
            <w:pPr>
              <w:widowControl/>
              <w:ind w:firstLine="0" w:firstLineChars="0"/>
              <w:rPr>
                <w:color w:val="000000" w:themeColor="text1"/>
              </w:rPr>
            </w:pPr>
            <w:r>
              <w:rPr>
                <w:rFonts w:hint="eastAsia"/>
                <w:color w:val="000000" w:themeColor="text1"/>
              </w:rPr>
              <w:t>处理气量：4000</w:t>
            </w:r>
            <w:r>
              <w:rPr>
                <w:color w:val="000000" w:themeColor="text1"/>
              </w:rPr>
              <w:t>m</w:t>
            </w:r>
            <w:r>
              <w:rPr>
                <w:color w:val="000000" w:themeColor="text1"/>
                <w:vertAlign w:val="superscript"/>
              </w:rPr>
              <w:t>3</w:t>
            </w:r>
            <w:r>
              <w:rPr>
                <w:color w:val="000000" w:themeColor="text1"/>
              </w:rPr>
              <w:t>/h</w:t>
            </w:r>
          </w:p>
          <w:p>
            <w:pPr>
              <w:widowControl/>
              <w:ind w:firstLine="0" w:firstLineChars="0"/>
              <w:rPr>
                <w:color w:val="000000" w:themeColor="text1"/>
              </w:rPr>
            </w:pPr>
            <w:r>
              <w:rPr>
                <w:rFonts w:hint="eastAsia"/>
                <w:color w:val="000000" w:themeColor="text1"/>
              </w:rPr>
              <w:t>规格：φ1.</w:t>
            </w:r>
            <w:r>
              <w:rPr>
                <w:color w:val="000000" w:themeColor="text1"/>
              </w:rPr>
              <w:t>4</w:t>
            </w:r>
            <w:r>
              <w:rPr>
                <w:rFonts w:hint="eastAsia"/>
                <w:color w:val="000000" w:themeColor="text1"/>
              </w:rPr>
              <w:t>m×4.5m</w:t>
            </w:r>
          </w:p>
          <w:p>
            <w:pPr>
              <w:widowControl/>
              <w:ind w:firstLine="0" w:firstLineChars="0"/>
              <w:rPr>
                <w:rFonts w:hint="default" w:eastAsia="宋体"/>
                <w:color w:val="000000" w:themeColor="text1"/>
                <w:lang w:val="en-US" w:eastAsia="zh-CN"/>
              </w:rPr>
            </w:pPr>
            <w:r>
              <w:rPr>
                <w:rFonts w:hint="eastAsia"/>
                <w:color w:val="000000" w:themeColor="text1"/>
              </w:rPr>
              <w:t>材质：PP</w:t>
            </w:r>
          </w:p>
          <w:p>
            <w:pPr>
              <w:widowControl/>
              <w:ind w:firstLine="0" w:firstLineChars="0"/>
              <w:rPr>
                <w:color w:val="000000" w:themeColor="text1"/>
              </w:rPr>
            </w:pPr>
            <w:r>
              <w:rPr>
                <w:rFonts w:hint="eastAsia"/>
                <w:color w:val="000000" w:themeColor="text1"/>
              </w:rPr>
              <w:t>含凸台水箱</w:t>
            </w:r>
          </w:p>
        </w:tc>
        <w:tc>
          <w:tcPr>
            <w:tcW w:w="720" w:type="dxa"/>
            <w:shd w:val="clear" w:color="auto" w:fill="FFFFFF"/>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szCs w:val="24"/>
              </w:rPr>
              <w:t>套</w:t>
            </w:r>
          </w:p>
        </w:tc>
        <w:tc>
          <w:tcPr>
            <w:tcW w:w="917" w:type="dxa"/>
            <w:shd w:val="clear" w:color="auto" w:fill="FFFFFF"/>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szCs w:val="24"/>
              </w:rPr>
              <w:t>1</w:t>
            </w:r>
          </w:p>
        </w:tc>
        <w:tc>
          <w:tcPr>
            <w:tcW w:w="1844" w:type="dxa"/>
            <w:shd w:val="clear" w:color="auto" w:fill="FFFFFF"/>
            <w:vAlign w:val="center"/>
          </w:tcPr>
          <w:p>
            <w:pPr>
              <w:autoSpaceDN w:val="0"/>
              <w:ind w:firstLine="0" w:firstLineChars="0"/>
              <w:jc w:val="center"/>
              <w:textAlignment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shd w:val="clear" w:color="auto" w:fill="FFFFFF"/>
            <w:vAlign w:val="center"/>
          </w:tcPr>
          <w:p>
            <w:pPr>
              <w:autoSpaceDN w:val="0"/>
              <w:ind w:firstLine="0" w:firstLineChars="0"/>
              <w:jc w:val="center"/>
              <w:textAlignment w:val="center"/>
              <w:rPr>
                <w:rFonts w:ascii="宋体" w:hAnsi="宋体" w:cs="宋体"/>
                <w:kern w:val="0"/>
                <w:szCs w:val="21"/>
              </w:rPr>
            </w:pPr>
            <w:r>
              <w:rPr>
                <w:rFonts w:hint="eastAsia" w:ascii="宋体" w:hAnsi="宋体"/>
                <w:color w:val="000000"/>
              </w:rPr>
              <w:t>1.1</w:t>
            </w:r>
          </w:p>
        </w:tc>
        <w:tc>
          <w:tcPr>
            <w:tcW w:w="2268" w:type="dxa"/>
            <w:shd w:val="clear" w:color="auto" w:fill="FFFFFF"/>
            <w:vAlign w:val="center"/>
          </w:tcPr>
          <w:p>
            <w:pPr>
              <w:ind w:firstLine="0" w:firstLineChars="0"/>
              <w:jc w:val="center"/>
              <w:rPr>
                <w:rFonts w:ascii="宋体" w:hAnsi="宋体"/>
              </w:rPr>
            </w:pPr>
            <w:r>
              <w:rPr>
                <w:rFonts w:hint="eastAsia" w:ascii="宋体" w:hAnsi="宋体" w:cs="宋体"/>
                <w:bCs/>
                <w:szCs w:val="24"/>
              </w:rPr>
              <w:t>加药系统</w:t>
            </w:r>
          </w:p>
        </w:tc>
        <w:tc>
          <w:tcPr>
            <w:tcW w:w="3568" w:type="dxa"/>
            <w:shd w:val="clear" w:color="auto" w:fill="FFFFFF"/>
            <w:vAlign w:val="center"/>
          </w:tcPr>
          <w:p>
            <w:pPr>
              <w:ind w:firstLine="0" w:firstLineChars="0"/>
            </w:pPr>
            <w:r>
              <w:rPr>
                <w:rFonts w:hint="eastAsia"/>
              </w:rPr>
              <w:t>储药箱规格、材质：φ1m×1m，P</w:t>
            </w:r>
            <w:r>
              <w:t>E</w:t>
            </w:r>
            <w:r>
              <w:rPr>
                <w:rFonts w:hint="eastAsia" w:ascii="宋体" w:hAnsi="宋体" w:cs="宋体"/>
                <w:kern w:val="0"/>
                <w:szCs w:val="21"/>
              </w:rPr>
              <w:t>配套计量泵、搅拌机、液位计等</w:t>
            </w:r>
          </w:p>
        </w:tc>
        <w:tc>
          <w:tcPr>
            <w:tcW w:w="720"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color w:val="000000"/>
                <w:szCs w:val="24"/>
              </w:rPr>
              <w:t>套</w:t>
            </w:r>
          </w:p>
        </w:tc>
        <w:tc>
          <w:tcPr>
            <w:tcW w:w="917"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color w:val="000000"/>
                <w:szCs w:val="24"/>
              </w:rPr>
              <w:t>1</w:t>
            </w:r>
          </w:p>
        </w:tc>
        <w:tc>
          <w:tcPr>
            <w:tcW w:w="1844" w:type="dxa"/>
            <w:shd w:val="clear" w:color="auto" w:fill="FFFFFF"/>
            <w:vAlign w:val="center"/>
          </w:tcPr>
          <w:p>
            <w:pPr>
              <w:autoSpaceDN w:val="0"/>
              <w:ind w:firstLine="0" w:firstLineChars="0"/>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shd w:val="clear" w:color="auto" w:fill="FFFFFF"/>
            <w:vAlign w:val="center"/>
          </w:tcPr>
          <w:p>
            <w:pPr>
              <w:widowControl/>
              <w:ind w:firstLine="0" w:firstLineChars="0"/>
              <w:jc w:val="center"/>
              <w:rPr>
                <w:rFonts w:ascii="宋体" w:hAnsi="宋体"/>
                <w:color w:val="000000"/>
              </w:rPr>
            </w:pPr>
            <w:r>
              <w:rPr>
                <w:rFonts w:hint="eastAsia" w:ascii="宋体" w:hAnsi="宋体" w:cs="宋体"/>
                <w:kern w:val="0"/>
                <w:szCs w:val="21"/>
              </w:rPr>
              <w:t>1.2</w:t>
            </w:r>
          </w:p>
        </w:tc>
        <w:tc>
          <w:tcPr>
            <w:tcW w:w="2268" w:type="dxa"/>
            <w:shd w:val="clear" w:color="auto" w:fill="FFFFFF"/>
            <w:vAlign w:val="center"/>
          </w:tcPr>
          <w:p>
            <w:pPr>
              <w:widowControl/>
              <w:ind w:firstLine="0" w:firstLineChars="0"/>
              <w:jc w:val="center"/>
              <w:rPr>
                <w:rFonts w:ascii="宋体" w:hAnsi="宋体" w:cs="宋体"/>
                <w:bCs/>
                <w:szCs w:val="24"/>
              </w:rPr>
            </w:pPr>
            <w:r>
              <w:rPr>
                <w:rFonts w:hint="eastAsia" w:ascii="宋体" w:hAnsi="宋体" w:cs="宋体"/>
                <w:kern w:val="0"/>
                <w:szCs w:val="21"/>
              </w:rPr>
              <w:t>循环水泵</w:t>
            </w:r>
          </w:p>
        </w:tc>
        <w:tc>
          <w:tcPr>
            <w:tcW w:w="3568" w:type="dxa"/>
            <w:shd w:val="clear" w:color="auto" w:fill="FFFFFF"/>
            <w:vAlign w:val="center"/>
          </w:tcPr>
          <w:p>
            <w:pPr>
              <w:widowControl/>
              <w:ind w:firstLine="0" w:firstLineChars="0"/>
              <w:rPr>
                <w:rFonts w:ascii="宋体" w:hAnsi="宋体" w:cs="宋体"/>
                <w:kern w:val="0"/>
                <w:szCs w:val="21"/>
              </w:rPr>
            </w:pPr>
            <w:r>
              <w:rPr>
                <w:rFonts w:hint="eastAsia" w:ascii="宋体" w:hAnsi="宋体" w:cs="宋体"/>
                <w:kern w:val="0"/>
                <w:szCs w:val="21"/>
              </w:rPr>
              <w:t>额定流量：18m</w:t>
            </w:r>
            <w:r>
              <w:rPr>
                <w:rFonts w:hint="eastAsia" w:ascii="宋体" w:hAnsi="宋体" w:cs="宋体"/>
                <w:kern w:val="0"/>
                <w:szCs w:val="21"/>
                <w:vertAlign w:val="superscript"/>
              </w:rPr>
              <w:t>3</w:t>
            </w:r>
            <w:r>
              <w:rPr>
                <w:rFonts w:hint="eastAsia" w:ascii="宋体" w:hAnsi="宋体" w:cs="宋体"/>
                <w:kern w:val="0"/>
                <w:szCs w:val="21"/>
              </w:rPr>
              <w:t>/h</w:t>
            </w:r>
          </w:p>
          <w:p>
            <w:pPr>
              <w:widowControl/>
              <w:ind w:firstLine="0" w:firstLineChars="0"/>
              <w:rPr>
                <w:rFonts w:ascii="宋体" w:hAnsi="宋体" w:cs="宋体"/>
                <w:kern w:val="0"/>
                <w:szCs w:val="21"/>
              </w:rPr>
            </w:pPr>
            <w:r>
              <w:rPr>
                <w:rFonts w:hint="eastAsia" w:ascii="宋体" w:hAnsi="宋体" w:cs="宋体"/>
                <w:kern w:val="0"/>
                <w:szCs w:val="21"/>
              </w:rPr>
              <w:t>额定扬程：18m</w:t>
            </w:r>
          </w:p>
          <w:p>
            <w:pPr>
              <w:widowControl/>
              <w:ind w:firstLine="0" w:firstLineChars="0"/>
              <w:rPr>
                <w:rFonts w:ascii="宋体" w:hAnsi="宋体" w:cs="宋体"/>
                <w:kern w:val="0"/>
                <w:szCs w:val="21"/>
              </w:rPr>
            </w:pPr>
            <w:r>
              <w:rPr>
                <w:rFonts w:hint="eastAsia" w:ascii="宋体" w:hAnsi="宋体" w:cs="宋体"/>
                <w:kern w:val="0"/>
                <w:szCs w:val="21"/>
              </w:rPr>
              <w:t>电机功率：2.2kw</w:t>
            </w:r>
          </w:p>
          <w:p>
            <w:pPr>
              <w:widowControl/>
              <w:ind w:firstLine="0" w:firstLineChars="0"/>
            </w:pPr>
            <w:r>
              <w:rPr>
                <w:rFonts w:hint="eastAsia" w:ascii="宋体" w:hAnsi="宋体" w:cs="宋体"/>
                <w:kern w:val="0"/>
                <w:szCs w:val="21"/>
              </w:rPr>
              <w:t>材质：FRPP</w:t>
            </w:r>
          </w:p>
        </w:tc>
        <w:tc>
          <w:tcPr>
            <w:tcW w:w="720" w:type="dxa"/>
            <w:shd w:val="clear" w:color="auto" w:fill="FFFFFF"/>
            <w:vAlign w:val="center"/>
          </w:tcPr>
          <w:p>
            <w:pPr>
              <w:widowControl/>
              <w:ind w:firstLine="0" w:firstLineChars="0"/>
              <w:jc w:val="center"/>
              <w:rPr>
                <w:rFonts w:ascii="宋体" w:hAnsi="宋体"/>
                <w:color w:val="000000"/>
                <w:szCs w:val="24"/>
              </w:rPr>
            </w:pPr>
            <w:r>
              <w:rPr>
                <w:rFonts w:hint="eastAsia" w:ascii="宋体" w:hAnsi="宋体" w:cs="宋体"/>
                <w:kern w:val="0"/>
                <w:szCs w:val="21"/>
              </w:rPr>
              <w:t>台</w:t>
            </w:r>
          </w:p>
        </w:tc>
        <w:tc>
          <w:tcPr>
            <w:tcW w:w="917" w:type="dxa"/>
            <w:shd w:val="clear" w:color="auto" w:fill="FFFFFF"/>
            <w:vAlign w:val="center"/>
          </w:tcPr>
          <w:p>
            <w:pPr>
              <w:widowControl/>
              <w:ind w:firstLine="0" w:firstLineChars="0"/>
              <w:jc w:val="center"/>
              <w:rPr>
                <w:rFonts w:ascii="宋体" w:hAnsi="宋体" w:cs="宋体"/>
                <w:color w:val="000000"/>
                <w:szCs w:val="24"/>
              </w:rPr>
            </w:pPr>
            <w:r>
              <w:rPr>
                <w:rFonts w:ascii="宋体" w:hAnsi="宋体" w:cs="宋体"/>
                <w:kern w:val="0"/>
                <w:szCs w:val="21"/>
              </w:rPr>
              <w:t>2</w:t>
            </w:r>
          </w:p>
        </w:tc>
        <w:tc>
          <w:tcPr>
            <w:tcW w:w="1844" w:type="dxa"/>
            <w:shd w:val="clear" w:color="auto" w:fill="FFFFFF"/>
            <w:vAlign w:val="center"/>
          </w:tcPr>
          <w:p>
            <w:pPr>
              <w:widowControl/>
              <w:ind w:firstLine="0" w:firstLineChars="0"/>
              <w:jc w:val="center"/>
              <w:rPr>
                <w:rFonts w:ascii="宋体" w:hAns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1.3</w:t>
            </w:r>
          </w:p>
        </w:tc>
        <w:tc>
          <w:tcPr>
            <w:tcW w:w="2268"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pH计</w:t>
            </w:r>
          </w:p>
        </w:tc>
        <w:tc>
          <w:tcPr>
            <w:tcW w:w="3568" w:type="dxa"/>
            <w:shd w:val="clear" w:color="auto" w:fill="FFFFFF"/>
            <w:vAlign w:val="center"/>
          </w:tcPr>
          <w:p>
            <w:pPr>
              <w:widowControl/>
              <w:ind w:firstLine="0" w:firstLineChars="0"/>
              <w:rPr>
                <w:rFonts w:ascii="宋体" w:hAnsi="宋体" w:cs="宋体"/>
                <w:kern w:val="0"/>
                <w:szCs w:val="21"/>
              </w:rPr>
            </w:pPr>
            <w:r>
              <w:rPr>
                <w:rFonts w:hint="eastAsia" w:ascii="宋体" w:hAnsi="宋体" w:cs="宋体"/>
                <w:kern w:val="0"/>
                <w:szCs w:val="21"/>
              </w:rPr>
              <w:t>量程：1-14</w:t>
            </w:r>
          </w:p>
        </w:tc>
        <w:tc>
          <w:tcPr>
            <w:tcW w:w="720"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台</w:t>
            </w:r>
          </w:p>
        </w:tc>
        <w:tc>
          <w:tcPr>
            <w:tcW w:w="917"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844" w:type="dxa"/>
            <w:shd w:val="clear" w:color="auto" w:fill="FFFFFF"/>
            <w:vAlign w:val="center"/>
          </w:tcPr>
          <w:p>
            <w:pPr>
              <w:widowControl/>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1.4</w:t>
            </w:r>
          </w:p>
        </w:tc>
        <w:tc>
          <w:tcPr>
            <w:tcW w:w="2268"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液位开关</w:t>
            </w:r>
          </w:p>
        </w:tc>
        <w:tc>
          <w:tcPr>
            <w:tcW w:w="3568" w:type="dxa"/>
            <w:shd w:val="clear" w:color="auto" w:fill="FFFFFF"/>
            <w:vAlign w:val="center"/>
          </w:tcPr>
          <w:p>
            <w:pPr>
              <w:widowControl/>
              <w:ind w:firstLine="0" w:firstLineChars="0"/>
              <w:rPr>
                <w:rFonts w:ascii="宋体" w:hAnsi="宋体" w:cs="宋体"/>
                <w:kern w:val="0"/>
                <w:szCs w:val="21"/>
              </w:rPr>
            </w:pPr>
            <w:r>
              <w:rPr>
                <w:rFonts w:hint="eastAsia" w:ascii="宋体" w:hAnsi="宋体" w:cs="宋体"/>
                <w:kern w:val="0"/>
                <w:szCs w:val="21"/>
              </w:rPr>
              <w:t>量程：0-1m</w:t>
            </w:r>
          </w:p>
        </w:tc>
        <w:tc>
          <w:tcPr>
            <w:tcW w:w="720"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台</w:t>
            </w:r>
          </w:p>
        </w:tc>
        <w:tc>
          <w:tcPr>
            <w:tcW w:w="917"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844" w:type="dxa"/>
            <w:shd w:val="clear" w:color="auto" w:fill="FFFFFF"/>
            <w:vAlign w:val="center"/>
          </w:tcPr>
          <w:p>
            <w:pPr>
              <w:widowControl/>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268" w:type="dxa"/>
            <w:vAlign w:val="center"/>
          </w:tcPr>
          <w:p>
            <w:pPr>
              <w:widowControl/>
              <w:ind w:firstLine="0" w:firstLineChars="0"/>
              <w:jc w:val="center"/>
              <w:rPr>
                <w:rFonts w:ascii="宋体" w:hAnsi="宋体"/>
                <w:color w:val="000000" w:themeColor="text1"/>
              </w:rPr>
            </w:pPr>
            <w:r>
              <w:rPr>
                <w:rFonts w:hint="eastAsia" w:ascii="宋体" w:hAnsi="宋体"/>
                <w:color w:val="000000" w:themeColor="text1"/>
              </w:rPr>
              <w:t>活性炭吸附塔</w:t>
            </w:r>
          </w:p>
        </w:tc>
        <w:tc>
          <w:tcPr>
            <w:tcW w:w="3568" w:type="dxa"/>
            <w:vAlign w:val="center"/>
          </w:tcPr>
          <w:p>
            <w:pPr>
              <w:widowControl/>
              <w:ind w:firstLine="0" w:firstLineChars="0"/>
              <w:rPr>
                <w:rFonts w:ascii="宋体" w:hAnsi="宋体"/>
                <w:color w:val="000000" w:themeColor="text1"/>
                <w:szCs w:val="21"/>
              </w:rPr>
            </w:pPr>
            <w:r>
              <w:rPr>
                <w:rFonts w:hint="eastAsia" w:ascii="宋体" w:hAnsi="宋体" w:cs="宋体"/>
                <w:color w:val="000000" w:themeColor="text1"/>
                <w:kern w:val="0"/>
                <w:szCs w:val="21"/>
              </w:rPr>
              <w:t>处理气量：4000</w:t>
            </w:r>
            <w:r>
              <w:rPr>
                <w:rFonts w:ascii="宋体" w:hAnsi="宋体"/>
                <w:color w:val="000000" w:themeColor="text1"/>
                <w:szCs w:val="21"/>
              </w:rPr>
              <w:t>m</w:t>
            </w:r>
            <w:r>
              <w:rPr>
                <w:rFonts w:ascii="宋体" w:hAnsi="宋体"/>
                <w:color w:val="000000" w:themeColor="text1"/>
                <w:szCs w:val="21"/>
                <w:vertAlign w:val="superscript"/>
              </w:rPr>
              <w:t>3</w:t>
            </w:r>
            <w:r>
              <w:rPr>
                <w:rFonts w:ascii="宋体" w:hAnsi="宋体"/>
                <w:color w:val="000000" w:themeColor="text1"/>
                <w:szCs w:val="21"/>
              </w:rPr>
              <w:t>/h</w:t>
            </w:r>
          </w:p>
          <w:p>
            <w:pPr>
              <w:widowControl/>
              <w:ind w:firstLine="0" w:firstLineChars="0"/>
              <w:rPr>
                <w:rFonts w:ascii="宋体" w:hAnsi="宋体"/>
                <w:color w:val="000000" w:themeColor="text1"/>
              </w:rPr>
            </w:pPr>
            <w:r>
              <w:rPr>
                <w:rFonts w:hint="eastAsia" w:ascii="宋体" w:hAnsi="宋体" w:cs="宋体"/>
                <w:color w:val="000000" w:themeColor="text1"/>
                <w:kern w:val="0"/>
                <w:szCs w:val="21"/>
              </w:rPr>
              <w:t>规格：2</w:t>
            </w:r>
            <w:r>
              <w:rPr>
                <w:rFonts w:hint="eastAsia" w:ascii="宋体" w:hAnsi="宋体"/>
                <w:color w:val="000000" w:themeColor="text1"/>
              </w:rPr>
              <w:t>m×1.</w:t>
            </w:r>
            <w:r>
              <w:rPr>
                <w:rFonts w:ascii="宋体" w:hAnsi="宋体"/>
                <w:color w:val="000000" w:themeColor="text1"/>
              </w:rPr>
              <w:t>5</w:t>
            </w:r>
            <w:r>
              <w:rPr>
                <w:rFonts w:hint="eastAsia" w:ascii="宋体" w:hAnsi="宋体"/>
                <w:color w:val="000000" w:themeColor="text1"/>
              </w:rPr>
              <w:t>m×1.</w:t>
            </w:r>
            <w:r>
              <w:rPr>
                <w:rFonts w:ascii="宋体" w:hAnsi="宋体"/>
                <w:color w:val="000000" w:themeColor="text1"/>
              </w:rPr>
              <w:t>5</w:t>
            </w:r>
            <w:r>
              <w:rPr>
                <w:rFonts w:hint="eastAsia" w:ascii="宋体" w:hAnsi="宋体"/>
                <w:color w:val="000000" w:themeColor="text1"/>
              </w:rPr>
              <w:t>m</w:t>
            </w:r>
          </w:p>
          <w:p>
            <w:pPr>
              <w:pStyle w:val="2"/>
              <w:ind w:firstLine="0" w:firstLineChars="0"/>
              <w:rPr>
                <w:color w:val="000000" w:themeColor="text1"/>
              </w:rPr>
            </w:pPr>
            <w:r>
              <w:rPr>
                <w:rFonts w:hint="eastAsia"/>
                <w:color w:val="000000" w:themeColor="text1"/>
              </w:rPr>
              <w:t>活性炭装填量：1</w:t>
            </w:r>
            <w:r>
              <w:rPr>
                <w:color w:val="000000" w:themeColor="text1"/>
              </w:rPr>
              <w:t>.5</w:t>
            </w:r>
            <w:r>
              <w:rPr>
                <w:rFonts w:hint="eastAsia"/>
                <w:color w:val="000000" w:themeColor="text1"/>
              </w:rPr>
              <w:t>t</w:t>
            </w:r>
          </w:p>
          <w:p>
            <w:pPr>
              <w:pStyle w:val="2"/>
              <w:ind w:firstLine="0" w:firstLineChars="0"/>
              <w:rPr>
                <w:color w:val="000000" w:themeColor="text1"/>
              </w:rPr>
            </w:pPr>
            <w:r>
              <w:rPr>
                <w:rFonts w:hint="eastAsia" w:hAnsi="宋体" w:cs="宋体"/>
                <w:color w:val="000000" w:themeColor="text1"/>
                <w:kern w:val="0"/>
                <w:szCs w:val="21"/>
              </w:rPr>
              <w:t>材质：</w:t>
            </w:r>
            <w:r>
              <w:rPr>
                <w:rFonts w:hint="eastAsia"/>
                <w:color w:val="000000" w:themeColor="text1"/>
              </w:rPr>
              <w:t>PP</w:t>
            </w:r>
          </w:p>
        </w:tc>
        <w:tc>
          <w:tcPr>
            <w:tcW w:w="720" w:type="dxa"/>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917" w:type="dxa"/>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1844" w:type="dxa"/>
            <w:vAlign w:val="center"/>
          </w:tcPr>
          <w:p>
            <w:pPr>
              <w:ind w:firstLine="0" w:firstLineChars="0"/>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2.1</w:t>
            </w:r>
          </w:p>
        </w:tc>
        <w:tc>
          <w:tcPr>
            <w:tcW w:w="2268"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系统内工艺管道</w:t>
            </w:r>
          </w:p>
        </w:tc>
        <w:tc>
          <w:tcPr>
            <w:tcW w:w="3568" w:type="dxa"/>
            <w:vAlign w:val="center"/>
          </w:tcPr>
          <w:p>
            <w:pPr>
              <w:widowControl/>
              <w:ind w:firstLine="0" w:firstLineChars="0"/>
              <w:rPr>
                <w:rFonts w:ascii="宋体" w:hAnsi="宋体" w:cs="宋体"/>
                <w:kern w:val="0"/>
                <w:szCs w:val="21"/>
              </w:rPr>
            </w:pPr>
            <w:r>
              <w:rPr>
                <w:rFonts w:hint="eastAsia" w:ascii="宋体" w:hAnsi="宋体" w:cs="宋体"/>
                <w:kern w:val="0"/>
                <w:szCs w:val="21"/>
              </w:rPr>
              <w:t>材质：PP风管</w:t>
            </w:r>
          </w:p>
        </w:tc>
        <w:tc>
          <w:tcPr>
            <w:tcW w:w="720"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批</w:t>
            </w:r>
          </w:p>
        </w:tc>
        <w:tc>
          <w:tcPr>
            <w:tcW w:w="917"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844" w:type="dxa"/>
            <w:vAlign w:val="center"/>
          </w:tcPr>
          <w:p>
            <w:pPr>
              <w:widowControl/>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3</w:t>
            </w:r>
          </w:p>
        </w:tc>
        <w:tc>
          <w:tcPr>
            <w:tcW w:w="2268"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风机</w:t>
            </w:r>
          </w:p>
        </w:tc>
        <w:tc>
          <w:tcPr>
            <w:tcW w:w="3568" w:type="dxa"/>
            <w:vAlign w:val="center"/>
          </w:tcPr>
          <w:p>
            <w:pPr>
              <w:widowControl/>
              <w:ind w:firstLine="0" w:firstLineChars="0"/>
              <w:rPr>
                <w:rFonts w:ascii="宋体" w:hAnsi="宋体" w:cs="宋体"/>
                <w:kern w:val="0"/>
                <w:szCs w:val="21"/>
              </w:rPr>
            </w:pPr>
            <w:r>
              <w:rPr>
                <w:rFonts w:hint="eastAsia" w:ascii="宋体" w:hAnsi="宋体" w:cs="宋体"/>
                <w:kern w:val="0"/>
                <w:szCs w:val="21"/>
              </w:rPr>
              <w:t>风量：4000m</w:t>
            </w:r>
            <w:r>
              <w:rPr>
                <w:rFonts w:hint="eastAsia" w:ascii="宋体" w:hAnsi="宋体" w:cs="宋体"/>
                <w:kern w:val="0"/>
                <w:szCs w:val="21"/>
                <w:vertAlign w:val="superscript"/>
              </w:rPr>
              <w:t>3</w:t>
            </w:r>
            <w:r>
              <w:rPr>
                <w:rFonts w:hint="eastAsia" w:ascii="宋体" w:hAnsi="宋体" w:cs="宋体"/>
                <w:kern w:val="0"/>
                <w:szCs w:val="21"/>
              </w:rPr>
              <w:t>/h</w:t>
            </w:r>
          </w:p>
          <w:p>
            <w:pPr>
              <w:widowControl/>
              <w:ind w:firstLine="0" w:firstLineChars="0"/>
              <w:rPr>
                <w:rFonts w:ascii="宋体" w:hAnsi="宋体" w:cs="宋体"/>
                <w:kern w:val="0"/>
                <w:szCs w:val="21"/>
              </w:rPr>
            </w:pPr>
            <w:r>
              <w:rPr>
                <w:rFonts w:hint="eastAsia" w:ascii="宋体" w:hAnsi="宋体" w:cs="宋体"/>
                <w:kern w:val="0"/>
                <w:szCs w:val="21"/>
              </w:rPr>
              <w:t>风压：2800Pa</w:t>
            </w:r>
          </w:p>
          <w:p>
            <w:pPr>
              <w:widowControl/>
              <w:ind w:firstLine="0" w:firstLineChars="0"/>
              <w:rPr>
                <w:rFonts w:ascii="宋体" w:hAnsi="宋体" w:cs="宋体"/>
                <w:kern w:val="0"/>
                <w:szCs w:val="21"/>
              </w:rPr>
            </w:pPr>
            <w:r>
              <w:rPr>
                <w:rFonts w:hint="eastAsia" w:ascii="宋体" w:hAnsi="宋体" w:cs="宋体"/>
                <w:kern w:val="0"/>
                <w:szCs w:val="21"/>
              </w:rPr>
              <w:t>电机功率：</w:t>
            </w:r>
            <w:r>
              <w:rPr>
                <w:rFonts w:ascii="宋体" w:hAnsi="宋体" w:cs="宋体"/>
                <w:kern w:val="0"/>
                <w:szCs w:val="21"/>
              </w:rPr>
              <w:t>7.5</w:t>
            </w:r>
            <w:r>
              <w:rPr>
                <w:rFonts w:hint="eastAsia" w:ascii="宋体" w:hAnsi="宋体" w:cs="宋体"/>
                <w:kern w:val="0"/>
                <w:szCs w:val="21"/>
              </w:rPr>
              <w:t>kw</w:t>
            </w:r>
          </w:p>
        </w:tc>
        <w:tc>
          <w:tcPr>
            <w:tcW w:w="720"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台</w:t>
            </w:r>
          </w:p>
        </w:tc>
        <w:tc>
          <w:tcPr>
            <w:tcW w:w="917"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844" w:type="dxa"/>
            <w:vAlign w:val="center"/>
          </w:tcPr>
          <w:p>
            <w:pPr>
              <w:widowControl/>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w:t>
            </w:r>
          </w:p>
        </w:tc>
        <w:tc>
          <w:tcPr>
            <w:tcW w:w="2268"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排气系统</w:t>
            </w:r>
          </w:p>
        </w:tc>
        <w:tc>
          <w:tcPr>
            <w:tcW w:w="3568" w:type="dxa"/>
            <w:vAlign w:val="center"/>
          </w:tcPr>
          <w:p>
            <w:pPr>
              <w:widowControl/>
              <w:ind w:firstLine="0" w:firstLineChars="0"/>
              <w:rPr>
                <w:rFonts w:ascii="宋体" w:hAnsi="宋体" w:cs="宋体"/>
                <w:kern w:val="0"/>
                <w:szCs w:val="21"/>
              </w:rPr>
            </w:pPr>
            <w:r>
              <w:rPr>
                <w:rFonts w:hint="eastAsia" w:ascii="宋体" w:hAnsi="宋体" w:cs="宋体"/>
                <w:kern w:val="0"/>
                <w:szCs w:val="21"/>
              </w:rPr>
              <w:t>排气筒高度：距地面15米</w:t>
            </w:r>
          </w:p>
          <w:p>
            <w:pPr>
              <w:widowControl/>
              <w:ind w:firstLine="0" w:firstLineChars="0"/>
              <w:rPr>
                <w:rFonts w:ascii="宋体" w:hAnsi="宋体" w:cs="宋体"/>
                <w:kern w:val="0"/>
                <w:szCs w:val="21"/>
              </w:rPr>
            </w:pPr>
            <w:r>
              <w:rPr>
                <w:rFonts w:hint="eastAsia" w:ascii="宋体" w:hAnsi="宋体" w:cs="宋体"/>
                <w:kern w:val="0"/>
                <w:szCs w:val="21"/>
              </w:rPr>
              <w:t>规格材质：DN400，PP</w:t>
            </w:r>
          </w:p>
          <w:p>
            <w:pPr>
              <w:widowControl/>
              <w:ind w:firstLine="0" w:firstLineChars="0"/>
              <w:rPr>
                <w:rFonts w:ascii="宋体" w:hAnsi="宋体" w:cs="宋体"/>
                <w:kern w:val="0"/>
                <w:szCs w:val="21"/>
              </w:rPr>
            </w:pPr>
            <w:r>
              <w:rPr>
                <w:rFonts w:hint="eastAsia" w:ascii="宋体" w:hAnsi="宋体" w:cs="宋体"/>
                <w:kern w:val="0"/>
                <w:szCs w:val="21"/>
              </w:rPr>
              <w:t>鼠笼架：镀锌</w:t>
            </w:r>
          </w:p>
        </w:tc>
        <w:tc>
          <w:tcPr>
            <w:tcW w:w="720"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套</w:t>
            </w:r>
          </w:p>
        </w:tc>
        <w:tc>
          <w:tcPr>
            <w:tcW w:w="917"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844" w:type="dxa"/>
            <w:vAlign w:val="center"/>
          </w:tcPr>
          <w:p>
            <w:pPr>
              <w:widowControl/>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w:t>
            </w:r>
          </w:p>
        </w:tc>
        <w:tc>
          <w:tcPr>
            <w:tcW w:w="2268"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电气与自控系统</w:t>
            </w:r>
          </w:p>
        </w:tc>
        <w:tc>
          <w:tcPr>
            <w:tcW w:w="3568" w:type="dxa"/>
            <w:vAlign w:val="center"/>
          </w:tcPr>
          <w:p>
            <w:pPr>
              <w:widowControl/>
              <w:ind w:firstLine="0" w:firstLineChars="0"/>
              <w:rPr>
                <w:rFonts w:ascii="宋体" w:hAnsi="宋体" w:cs="宋体"/>
                <w:kern w:val="0"/>
                <w:szCs w:val="21"/>
              </w:rPr>
            </w:pPr>
            <w:r>
              <w:rPr>
                <w:rFonts w:hint="eastAsia" w:ascii="宋体" w:hAnsi="宋体" w:cs="宋体"/>
                <w:kern w:val="0"/>
                <w:szCs w:val="21"/>
              </w:rPr>
              <w:t>采用</w:t>
            </w:r>
            <w:r>
              <w:rPr>
                <w:rFonts w:hint="eastAsia"/>
                <w:color w:val="000000" w:themeColor="text1"/>
                <w:lang w:eastAsia="zh-CN"/>
              </w:rPr>
              <w:t>品牌自选</w:t>
            </w:r>
            <w:r>
              <w:rPr>
                <w:rFonts w:hint="eastAsia" w:ascii="宋体" w:hAnsi="宋体" w:cs="宋体"/>
                <w:kern w:val="0"/>
                <w:szCs w:val="21"/>
              </w:rPr>
              <w:t>PLC控制系统，</w:t>
            </w:r>
          </w:p>
          <w:p>
            <w:pPr>
              <w:widowControl/>
              <w:ind w:firstLine="0" w:firstLineChars="0"/>
              <w:rPr>
                <w:rFonts w:ascii="宋体" w:hAnsi="宋体" w:cs="宋体"/>
                <w:kern w:val="0"/>
                <w:szCs w:val="21"/>
              </w:rPr>
            </w:pPr>
            <w:r>
              <w:rPr>
                <w:rFonts w:hint="eastAsia" w:ascii="宋体" w:hAnsi="宋体" w:cs="宋体"/>
                <w:kern w:val="0"/>
                <w:szCs w:val="21"/>
              </w:rPr>
              <w:t>含就地电控柜至设备基础上各设备间的电缆，含通信模块</w:t>
            </w:r>
          </w:p>
          <w:p>
            <w:pPr>
              <w:pStyle w:val="2"/>
              <w:ind w:firstLine="0" w:firstLineChars="0"/>
            </w:pPr>
            <w:r>
              <w:rPr>
                <w:rFonts w:hint="eastAsia"/>
              </w:rPr>
              <w:t>元器件：</w:t>
            </w:r>
            <w:r>
              <w:rPr>
                <w:rFonts w:hint="eastAsia"/>
                <w:color w:val="000000" w:themeColor="text1"/>
                <w:lang w:eastAsia="zh-CN"/>
              </w:rPr>
              <w:t>品牌自选</w:t>
            </w:r>
          </w:p>
          <w:p>
            <w:pPr>
              <w:pStyle w:val="2"/>
              <w:ind w:firstLine="0" w:firstLineChars="0"/>
            </w:pPr>
            <w:r>
              <w:rPr>
                <w:rFonts w:hint="eastAsia"/>
              </w:rPr>
              <w:t>变频器：</w:t>
            </w:r>
            <w:r>
              <w:rPr>
                <w:rFonts w:hint="eastAsia"/>
                <w:color w:val="000000" w:themeColor="text1"/>
                <w:lang w:eastAsia="zh-CN"/>
              </w:rPr>
              <w:t>品牌自选</w:t>
            </w:r>
          </w:p>
        </w:tc>
        <w:tc>
          <w:tcPr>
            <w:tcW w:w="720"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套</w:t>
            </w:r>
          </w:p>
        </w:tc>
        <w:tc>
          <w:tcPr>
            <w:tcW w:w="917"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844" w:type="dxa"/>
            <w:vAlign w:val="center"/>
          </w:tcPr>
          <w:p>
            <w:pPr>
              <w:widowControl/>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6</w:t>
            </w:r>
          </w:p>
        </w:tc>
        <w:tc>
          <w:tcPr>
            <w:tcW w:w="2268"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加盖密封系统</w:t>
            </w:r>
          </w:p>
        </w:tc>
        <w:tc>
          <w:tcPr>
            <w:tcW w:w="3568" w:type="dxa"/>
            <w:vAlign w:val="center"/>
          </w:tcPr>
          <w:p>
            <w:pPr>
              <w:widowControl/>
              <w:ind w:firstLine="0" w:firstLineChars="0"/>
              <w:rPr>
                <w:rFonts w:ascii="宋体" w:hAnsi="宋体" w:cs="宋体"/>
                <w:kern w:val="0"/>
                <w:szCs w:val="21"/>
              </w:rPr>
            </w:pPr>
          </w:p>
        </w:tc>
        <w:tc>
          <w:tcPr>
            <w:tcW w:w="720"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项</w:t>
            </w:r>
          </w:p>
        </w:tc>
        <w:tc>
          <w:tcPr>
            <w:tcW w:w="917"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844" w:type="dxa"/>
            <w:vAlign w:val="center"/>
          </w:tcPr>
          <w:p>
            <w:pPr>
              <w:widowControl/>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w:t>
            </w:r>
          </w:p>
        </w:tc>
        <w:tc>
          <w:tcPr>
            <w:tcW w:w="2268"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收集系统</w:t>
            </w:r>
          </w:p>
        </w:tc>
        <w:tc>
          <w:tcPr>
            <w:tcW w:w="3568" w:type="dxa"/>
            <w:vAlign w:val="center"/>
          </w:tcPr>
          <w:p>
            <w:pPr>
              <w:widowControl/>
              <w:ind w:firstLine="0" w:firstLineChars="0"/>
              <w:rPr>
                <w:rFonts w:ascii="宋体" w:hAnsi="宋体" w:cs="宋体"/>
                <w:kern w:val="0"/>
                <w:szCs w:val="21"/>
              </w:rPr>
            </w:pPr>
            <w:r>
              <w:rPr>
                <w:rFonts w:hint="eastAsia" w:ascii="宋体" w:hAnsi="宋体" w:cs="宋体"/>
                <w:kern w:val="0"/>
                <w:szCs w:val="21"/>
              </w:rPr>
              <w:t>PP风管、风阀</w:t>
            </w:r>
          </w:p>
          <w:p>
            <w:pPr>
              <w:widowControl/>
              <w:ind w:firstLine="0" w:firstLineChars="0"/>
              <w:rPr>
                <w:rFonts w:ascii="宋体" w:hAnsi="宋体" w:cs="宋体"/>
                <w:kern w:val="0"/>
                <w:szCs w:val="21"/>
              </w:rPr>
            </w:pPr>
            <w:r>
              <w:rPr>
                <w:rFonts w:hint="eastAsia" w:ascii="宋体" w:hAnsi="宋体" w:cs="宋体"/>
                <w:kern w:val="0"/>
                <w:szCs w:val="21"/>
              </w:rPr>
              <w:t>风管支架采用镀锌角铁材质，紧固件采用不锈钢304材质</w:t>
            </w:r>
          </w:p>
        </w:tc>
        <w:tc>
          <w:tcPr>
            <w:tcW w:w="720"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批</w:t>
            </w:r>
          </w:p>
        </w:tc>
        <w:tc>
          <w:tcPr>
            <w:tcW w:w="917"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844" w:type="dxa"/>
            <w:vAlign w:val="center"/>
          </w:tcPr>
          <w:p>
            <w:pPr>
              <w:widowControl/>
              <w:ind w:firstLine="0" w:firstLineChars="0"/>
              <w:jc w:val="center"/>
              <w:rPr>
                <w:rFonts w:ascii="宋体" w:hAnsi="宋体"/>
                <w:szCs w:val="21"/>
              </w:rPr>
            </w:pPr>
          </w:p>
        </w:tc>
      </w:tr>
    </w:tbl>
    <w:p>
      <w:pPr>
        <w:pStyle w:val="2"/>
        <w:rPr>
          <w:rFonts w:hint="eastAsia"/>
          <w:lang w:val="en-US" w:eastAsia="zh-CN"/>
        </w:rPr>
      </w:pPr>
    </w:p>
    <w:p>
      <w:pPr>
        <w:pStyle w:val="2"/>
        <w:rPr>
          <w:rFonts w:hint="eastAsia" w:cs="Times New Roman"/>
          <w:bCs w:val="0"/>
          <w:szCs w:val="32"/>
          <w:lang w:val="en-US" w:eastAsia="zh-CN"/>
        </w:rPr>
      </w:pPr>
    </w:p>
    <w:p>
      <w:pPr>
        <w:rPr>
          <w:rFonts w:hint="eastAsia" w:cs="Times New Roman"/>
          <w:bCs w:val="0"/>
          <w:szCs w:val="32"/>
          <w:lang w:val="en-US" w:eastAsia="zh-CN"/>
        </w:rPr>
      </w:pPr>
    </w:p>
    <w:p>
      <w:pPr>
        <w:pStyle w:val="2"/>
        <w:rPr>
          <w:rFonts w:hint="eastAsia" w:cs="Times New Roman"/>
          <w:bCs w:val="0"/>
          <w:szCs w:val="32"/>
          <w:lang w:val="en-US" w:eastAsia="zh-CN"/>
        </w:rPr>
      </w:pPr>
    </w:p>
    <w:p>
      <w:pPr>
        <w:rPr>
          <w:rFonts w:hint="eastAsia" w:cs="Times New Roman"/>
          <w:bCs w:val="0"/>
          <w:szCs w:val="32"/>
          <w:lang w:val="en-US" w:eastAsia="zh-CN"/>
        </w:rPr>
      </w:pPr>
    </w:p>
    <w:p>
      <w:pPr>
        <w:pStyle w:val="3"/>
        <w:tabs>
          <w:tab w:val="left" w:pos="735"/>
          <w:tab w:val="left" w:pos="1135"/>
        </w:tabs>
        <w:adjustRightInd w:val="0"/>
        <w:spacing w:beforeLines="0" w:afterLines="0" w:line="240" w:lineRule="auto"/>
        <w:ind w:left="0" w:leftChars="0" w:firstLine="0" w:firstLineChars="0"/>
        <w:jc w:val="left"/>
        <w:textAlignment w:val="baseline"/>
        <w:rPr>
          <w:rFonts w:hint="eastAsia" w:cs="Times New Roman"/>
          <w:bCs w:val="0"/>
          <w:szCs w:val="32"/>
          <w:lang w:val="en-US" w:eastAsia="zh-CN"/>
        </w:rPr>
      </w:pPr>
    </w:p>
    <w:p>
      <w:pPr>
        <w:pStyle w:val="3"/>
        <w:tabs>
          <w:tab w:val="left" w:pos="735"/>
          <w:tab w:val="left" w:pos="1135"/>
        </w:tabs>
        <w:adjustRightInd w:val="0"/>
        <w:spacing w:beforeLines="0" w:afterLines="0" w:line="240" w:lineRule="auto"/>
        <w:ind w:left="0" w:leftChars="0" w:firstLine="0" w:firstLineChars="0"/>
        <w:jc w:val="left"/>
        <w:textAlignment w:val="baseline"/>
        <w:rPr>
          <w:rFonts w:hint="eastAsia" w:cs="Times New Roman"/>
          <w:bCs w:val="0"/>
          <w:szCs w:val="32"/>
          <w:lang w:val="en-US" w:eastAsia="zh-CN"/>
        </w:rPr>
      </w:pPr>
      <w:r>
        <w:rPr>
          <w:rFonts w:hint="eastAsia" w:cs="Times New Roman"/>
          <w:bCs w:val="0"/>
          <w:szCs w:val="32"/>
          <w:lang w:val="en-US" w:eastAsia="zh-CN"/>
        </w:rPr>
        <w:t>附：</w:t>
      </w:r>
    </w:p>
    <w:p>
      <w:pPr>
        <w:pStyle w:val="3"/>
        <w:tabs>
          <w:tab w:val="left" w:pos="735"/>
          <w:tab w:val="left" w:pos="1135"/>
        </w:tabs>
        <w:adjustRightInd w:val="0"/>
        <w:spacing w:beforeLines="0" w:afterLines="0" w:line="240" w:lineRule="auto"/>
        <w:ind w:firstLine="0" w:firstLineChars="0"/>
        <w:jc w:val="left"/>
        <w:textAlignment w:val="baseline"/>
        <w:rPr>
          <w:rFonts w:cs="Times New Roman"/>
          <w:bCs w:val="0"/>
          <w:szCs w:val="32"/>
        </w:rPr>
      </w:pPr>
      <w:bookmarkStart w:id="32" w:name="_Toc73367136"/>
      <w:bookmarkStart w:id="33" w:name="_Toc518055141"/>
      <w:r>
        <w:rPr>
          <w:rFonts w:hint="eastAsia" w:cs="Times New Roman"/>
          <w:bCs w:val="0"/>
          <w:szCs w:val="32"/>
        </w:rPr>
        <w:t>A</w:t>
      </w:r>
      <w:r>
        <w:rPr>
          <w:rFonts w:cs="Times New Roman"/>
          <w:bCs w:val="0"/>
          <w:szCs w:val="32"/>
        </w:rPr>
        <w:tab/>
      </w:r>
      <w:r>
        <w:rPr>
          <w:rFonts w:hint="eastAsia" w:cs="Times New Roman"/>
          <w:bCs w:val="0"/>
          <w:szCs w:val="32"/>
        </w:rPr>
        <w:t>渗滤液处理</w:t>
      </w:r>
      <w:bookmarkEnd w:id="32"/>
      <w:r>
        <w:rPr>
          <w:rFonts w:hint="eastAsia" w:cs="Times New Roman"/>
          <w:bCs w:val="0"/>
          <w:szCs w:val="32"/>
        </w:rPr>
        <w:t>工艺</w:t>
      </w:r>
      <w:r>
        <w:rPr>
          <w:rFonts w:cs="Times New Roman"/>
          <w:bCs w:val="0"/>
          <w:szCs w:val="32"/>
        </w:rPr>
        <w:tab/>
      </w:r>
    </w:p>
    <w:p>
      <w:pPr>
        <w:pStyle w:val="3"/>
        <w:tabs>
          <w:tab w:val="left" w:pos="735"/>
          <w:tab w:val="left" w:pos="1135"/>
        </w:tabs>
        <w:adjustRightInd w:val="0"/>
        <w:spacing w:beforeLines="0" w:afterLines="0" w:line="240" w:lineRule="auto"/>
        <w:ind w:firstLine="0" w:firstLineChars="0"/>
        <w:jc w:val="left"/>
        <w:textAlignment w:val="baseline"/>
        <w:rPr>
          <w:rFonts w:cs="Times New Roman"/>
          <w:bCs w:val="0"/>
          <w:szCs w:val="32"/>
        </w:rPr>
      </w:pPr>
      <w:bookmarkStart w:id="34" w:name="_Toc73367137"/>
      <w:r>
        <w:rPr>
          <w:rFonts w:cs="Times New Roman"/>
          <w:bCs w:val="0"/>
          <w:szCs w:val="32"/>
        </w:rPr>
        <w:t>一、</w:t>
      </w:r>
      <w:bookmarkEnd w:id="33"/>
      <w:r>
        <w:rPr>
          <w:rFonts w:hint="eastAsia" w:cs="Times New Roman"/>
          <w:bCs w:val="0"/>
          <w:szCs w:val="32"/>
        </w:rPr>
        <w:t>渗滤液处理概况</w:t>
      </w:r>
      <w:bookmarkEnd w:id="34"/>
    </w:p>
    <w:p>
      <w:pPr>
        <w:pStyle w:val="4"/>
        <w:keepNext w:val="0"/>
        <w:keepLines w:val="0"/>
        <w:spacing w:beforeLines="0" w:afterLines="0" w:line="240" w:lineRule="auto"/>
        <w:ind w:firstLine="0" w:firstLineChars="0"/>
        <w:jc w:val="left"/>
        <w:rPr>
          <w:rFonts w:cs="Times New Roman"/>
          <w:sz w:val="28"/>
          <w:szCs w:val="28"/>
        </w:rPr>
      </w:pPr>
      <w:r>
        <w:rPr>
          <w:rFonts w:cs="Times New Roman"/>
          <w:sz w:val="28"/>
          <w:szCs w:val="28"/>
        </w:rPr>
        <w:t>1.1项目概况</w:t>
      </w:r>
    </w:p>
    <w:p>
      <w:pPr>
        <w:ind w:firstLine="562"/>
        <w:rPr>
          <w:rFonts w:cs="Times New Roman"/>
          <w:sz w:val="28"/>
          <w:szCs w:val="28"/>
        </w:rPr>
      </w:pPr>
      <w:r>
        <w:rPr>
          <w:rFonts w:cs="Times New Roman"/>
          <w:b/>
          <w:sz w:val="28"/>
          <w:szCs w:val="28"/>
        </w:rPr>
        <w:t>项目名称</w:t>
      </w:r>
      <w:r>
        <w:rPr>
          <w:rFonts w:cs="Times New Roman"/>
          <w:sz w:val="28"/>
          <w:szCs w:val="28"/>
        </w:rPr>
        <w:t>：</w:t>
      </w:r>
      <w:r>
        <w:rPr>
          <w:rFonts w:hint="eastAsia" w:cs="Times New Roman"/>
          <w:sz w:val="28"/>
          <w:szCs w:val="28"/>
        </w:rPr>
        <w:t>大丰高新区（丰华街道）垃圾转运站渗滤液处理项目</w:t>
      </w:r>
    </w:p>
    <w:p>
      <w:pPr>
        <w:ind w:firstLine="562"/>
        <w:rPr>
          <w:rFonts w:cs="Times New Roman"/>
          <w:sz w:val="28"/>
          <w:szCs w:val="28"/>
        </w:rPr>
      </w:pPr>
      <w:r>
        <w:rPr>
          <w:rFonts w:cs="Times New Roman"/>
          <w:b/>
          <w:sz w:val="28"/>
          <w:szCs w:val="28"/>
        </w:rPr>
        <w:t>工程性质：</w:t>
      </w:r>
      <w:r>
        <w:rPr>
          <w:rFonts w:cs="Times New Roman"/>
          <w:sz w:val="28"/>
          <w:szCs w:val="28"/>
        </w:rPr>
        <w:t>新建</w:t>
      </w:r>
    </w:p>
    <w:p>
      <w:pPr>
        <w:pStyle w:val="2"/>
        <w:ind w:firstLine="613" w:firstLineChars="218"/>
        <w:rPr>
          <w:rFonts w:ascii="Times New Roman"/>
          <w:sz w:val="28"/>
          <w:szCs w:val="28"/>
        </w:rPr>
      </w:pPr>
      <w:r>
        <w:rPr>
          <w:rFonts w:hint="eastAsia" w:ascii="Times New Roman"/>
          <w:b/>
          <w:sz w:val="28"/>
          <w:szCs w:val="28"/>
        </w:rPr>
        <w:t>工程地址：</w:t>
      </w:r>
      <w:r>
        <w:rPr>
          <w:rFonts w:hint="eastAsia" w:ascii="Times New Roman"/>
          <w:sz w:val="28"/>
          <w:szCs w:val="28"/>
        </w:rPr>
        <w:t>转运站北侧空地</w:t>
      </w:r>
    </w:p>
    <w:p>
      <w:pPr>
        <w:ind w:firstLine="562"/>
        <w:rPr>
          <w:rFonts w:cs="Times New Roman"/>
          <w:sz w:val="28"/>
          <w:szCs w:val="28"/>
        </w:rPr>
      </w:pPr>
      <w:r>
        <w:rPr>
          <w:rFonts w:cs="Times New Roman"/>
          <w:b/>
          <w:sz w:val="28"/>
          <w:szCs w:val="28"/>
        </w:rPr>
        <w:t>建设规模：</w:t>
      </w:r>
      <w:r>
        <w:rPr>
          <w:rFonts w:hint="eastAsia" w:cs="Times New Roman"/>
          <w:sz w:val="28"/>
          <w:szCs w:val="28"/>
        </w:rPr>
        <w:t>设计</w:t>
      </w:r>
      <w:r>
        <w:rPr>
          <w:rFonts w:cs="Times New Roman"/>
          <w:sz w:val="28"/>
          <w:szCs w:val="28"/>
        </w:rPr>
        <w:t>处理</w:t>
      </w:r>
      <w:r>
        <w:rPr>
          <w:rFonts w:hint="eastAsia" w:cs="Times New Roman"/>
          <w:sz w:val="28"/>
          <w:szCs w:val="28"/>
        </w:rPr>
        <w:t>渗滤液</w:t>
      </w:r>
      <w:r>
        <w:rPr>
          <w:rFonts w:cs="Times New Roman"/>
          <w:sz w:val="28"/>
          <w:szCs w:val="28"/>
        </w:rPr>
        <w:t>量为</w:t>
      </w:r>
      <w:r>
        <w:rPr>
          <w:rFonts w:hint="eastAsia" w:cs="Times New Roman"/>
          <w:sz w:val="28"/>
          <w:szCs w:val="28"/>
        </w:rPr>
        <w:t>3</w:t>
      </w:r>
      <w:r>
        <w:rPr>
          <w:rFonts w:cs="Times New Roman"/>
          <w:sz w:val="28"/>
          <w:szCs w:val="28"/>
        </w:rPr>
        <w:t>0m</w:t>
      </w:r>
      <w:r>
        <w:rPr>
          <w:rFonts w:cs="Times New Roman"/>
          <w:sz w:val="28"/>
          <w:szCs w:val="28"/>
          <w:vertAlign w:val="superscript"/>
        </w:rPr>
        <w:t>3</w:t>
      </w:r>
      <w:r>
        <w:rPr>
          <w:rFonts w:cs="Times New Roman"/>
          <w:sz w:val="28"/>
          <w:szCs w:val="28"/>
        </w:rPr>
        <w:t>/d</w:t>
      </w:r>
    </w:p>
    <w:p>
      <w:pPr>
        <w:pStyle w:val="4"/>
        <w:keepNext w:val="0"/>
        <w:keepLines w:val="0"/>
        <w:spacing w:beforeLines="0" w:afterLines="0"/>
        <w:ind w:firstLine="0" w:firstLineChars="0"/>
        <w:jc w:val="left"/>
        <w:rPr>
          <w:rFonts w:cs="Times New Roman"/>
          <w:sz w:val="28"/>
          <w:szCs w:val="28"/>
        </w:rPr>
      </w:pPr>
      <w:r>
        <w:rPr>
          <w:rFonts w:cs="Times New Roman"/>
          <w:sz w:val="28"/>
          <w:szCs w:val="28"/>
        </w:rPr>
        <w:t>1.2废水概述</w:t>
      </w:r>
    </w:p>
    <w:p>
      <w:pPr>
        <w:ind w:firstLine="560"/>
        <w:rPr>
          <w:rFonts w:cs="Times New Roman" w:eastAsiaTheme="minorEastAsia"/>
          <w:sz w:val="28"/>
          <w:szCs w:val="28"/>
        </w:rPr>
      </w:pPr>
      <w:r>
        <w:rPr>
          <w:rFonts w:cs="Times New Roman"/>
          <w:sz w:val="28"/>
          <w:szCs w:val="28"/>
        </w:rPr>
        <w:t>受垃圾收集、气候、季节变化等因素影响，渗滤液水量波动较大，特别是季节变化对渗滤液水量变化影响较大，一般夏天渗滤液产量较大，而冬天相对较少。方案设计以最大渗滤液日产生量为计算依据，加上冲洗废水等污水，同时设计一座渗滤液调节池，以解决渗滤液水量、水质冲击负荷，保障系统长期高效稳定运行。</w:t>
      </w:r>
    </w:p>
    <w:p>
      <w:pPr>
        <w:ind w:firstLine="0" w:firstLineChars="0"/>
        <w:outlineLvl w:val="2"/>
        <w:rPr>
          <w:rFonts w:cs="Times New Roman"/>
          <w:b/>
          <w:sz w:val="28"/>
          <w:szCs w:val="28"/>
        </w:rPr>
      </w:pPr>
      <w:r>
        <w:rPr>
          <w:rFonts w:cs="Times New Roman"/>
          <w:b/>
          <w:sz w:val="28"/>
          <w:szCs w:val="28"/>
        </w:rPr>
        <w:t>1.2.1 渗滤液的水质特点分析</w:t>
      </w:r>
    </w:p>
    <w:p>
      <w:pPr>
        <w:pStyle w:val="8"/>
        <w:spacing w:line="360" w:lineRule="auto"/>
        <w:ind w:firstLine="560" w:firstLineChars="200"/>
        <w:rPr>
          <w:rFonts w:ascii="Times New Roman" w:hAnsi="Times New Roman"/>
          <w:sz w:val="28"/>
          <w:szCs w:val="28"/>
        </w:rPr>
      </w:pPr>
      <w:r>
        <w:rPr>
          <w:rFonts w:ascii="Times New Roman" w:hAnsi="Times New Roman"/>
          <w:sz w:val="28"/>
          <w:szCs w:val="28"/>
        </w:rPr>
        <w:t>垃圾渗滤液主要产生于垃圾</w:t>
      </w:r>
      <w:r>
        <w:rPr>
          <w:rFonts w:hint="eastAsia" w:ascii="Times New Roman" w:hAnsi="Times New Roman"/>
          <w:sz w:val="28"/>
          <w:szCs w:val="28"/>
        </w:rPr>
        <w:t>熟化或压榨过程</w:t>
      </w:r>
      <w:r>
        <w:rPr>
          <w:rFonts w:ascii="Times New Roman" w:hAnsi="Times New Roman"/>
          <w:sz w:val="28"/>
          <w:szCs w:val="28"/>
        </w:rPr>
        <w:t>，其特点是污染物浓度高、成分复杂，属高浓度有机废水，氨氮含量高，主要污染物表征值为COD</w:t>
      </w:r>
      <w:r>
        <w:rPr>
          <w:rFonts w:ascii="Times New Roman" w:hAnsi="Times New Roman"/>
          <w:sz w:val="28"/>
          <w:szCs w:val="28"/>
          <w:vertAlign w:val="subscript"/>
        </w:rPr>
        <w:t>cr</w:t>
      </w:r>
      <w:r>
        <w:rPr>
          <w:rFonts w:ascii="Times New Roman" w:hAnsi="Times New Roman"/>
          <w:sz w:val="28"/>
          <w:szCs w:val="28"/>
        </w:rPr>
        <w:t>、NH</w:t>
      </w:r>
      <w:r>
        <w:rPr>
          <w:rFonts w:ascii="Times New Roman" w:hAnsi="Times New Roman"/>
          <w:sz w:val="28"/>
          <w:szCs w:val="28"/>
          <w:vertAlign w:val="subscript"/>
        </w:rPr>
        <w:t>3</w:t>
      </w:r>
      <w:r>
        <w:rPr>
          <w:rFonts w:ascii="Times New Roman" w:hAnsi="Times New Roman"/>
          <w:sz w:val="28"/>
          <w:szCs w:val="28"/>
        </w:rPr>
        <w:t>-N、SS等。根据国内相关工程的运行经验，</w:t>
      </w:r>
      <w:r>
        <w:rPr>
          <w:rFonts w:hint="eastAsia" w:ascii="Times New Roman" w:hAnsi="Times New Roman"/>
          <w:sz w:val="28"/>
          <w:szCs w:val="28"/>
        </w:rPr>
        <w:t>废水特点如下：</w:t>
      </w:r>
    </w:p>
    <w:p>
      <w:pPr>
        <w:pStyle w:val="8"/>
        <w:spacing w:line="360" w:lineRule="auto"/>
        <w:ind w:firstLine="560"/>
        <w:rPr>
          <w:rFonts w:ascii="Times New Roman" w:hAnsi="Times New Roman"/>
          <w:sz w:val="28"/>
          <w:szCs w:val="28"/>
        </w:rPr>
      </w:pPr>
      <w:r>
        <w:rPr>
          <w:rFonts w:ascii="Times New Roman" w:hAnsi="Times New Roman"/>
          <w:sz w:val="28"/>
          <w:szCs w:val="28"/>
        </w:rPr>
        <w:t>（1）污染物成份复杂多变、水质变化大</w:t>
      </w:r>
    </w:p>
    <w:p>
      <w:pPr>
        <w:pStyle w:val="8"/>
        <w:spacing w:line="360" w:lineRule="auto"/>
        <w:ind w:firstLine="560"/>
        <w:rPr>
          <w:rFonts w:ascii="Times New Roman" w:hAnsi="Times New Roman"/>
          <w:sz w:val="28"/>
          <w:szCs w:val="28"/>
        </w:rPr>
      </w:pPr>
      <w:r>
        <w:rPr>
          <w:rFonts w:ascii="Times New Roman" w:hAnsi="Times New Roman"/>
          <w:sz w:val="28"/>
          <w:szCs w:val="28"/>
        </w:rPr>
        <w:t>渗滤液比较新鲜，未经过厌氧发酵、水解、酸化过程，通过质谱分析，垃圾渗滤液中有机物种类高达百余种，其中所含有机物大多为腐殖类高分子碳水化合物和中等分子量的灰黄霉酸类物质，且内含如苯、萘、菲等杂环芳烃化合物、多环芳烃、酚、醇类化合物、苯胺类化合物等难降解有机物，因而其水质是相当复杂的，污染物种类多，而且浓度存在短期波动性和长期变化的复杂性。</w:t>
      </w:r>
    </w:p>
    <w:p>
      <w:pPr>
        <w:pStyle w:val="8"/>
        <w:spacing w:line="360" w:lineRule="auto"/>
        <w:ind w:firstLine="560"/>
        <w:rPr>
          <w:rFonts w:ascii="Times New Roman" w:hAnsi="Times New Roman"/>
          <w:sz w:val="28"/>
          <w:szCs w:val="28"/>
        </w:rPr>
      </w:pPr>
      <w:r>
        <w:rPr>
          <w:rFonts w:ascii="Times New Roman" w:hAnsi="Times New Roman"/>
          <w:sz w:val="28"/>
          <w:szCs w:val="28"/>
        </w:rPr>
        <w:t>（2）有机污染物浓度高（COD</w:t>
      </w:r>
      <w:r>
        <w:rPr>
          <w:rFonts w:ascii="Times New Roman" w:hAnsi="Times New Roman"/>
          <w:sz w:val="28"/>
          <w:szCs w:val="28"/>
          <w:vertAlign w:val="subscript"/>
        </w:rPr>
        <w:t>cr</w:t>
      </w:r>
      <w:r>
        <w:rPr>
          <w:rFonts w:ascii="Times New Roman" w:hAnsi="Times New Roman"/>
          <w:sz w:val="28"/>
          <w:szCs w:val="28"/>
        </w:rPr>
        <w:t>浓度高）</w:t>
      </w:r>
    </w:p>
    <w:p>
      <w:pPr>
        <w:pStyle w:val="8"/>
        <w:spacing w:line="360" w:lineRule="auto"/>
        <w:ind w:firstLine="560" w:firstLineChars="200"/>
        <w:rPr>
          <w:rFonts w:ascii="Times New Roman" w:hAnsi="Times New Roman"/>
          <w:sz w:val="28"/>
          <w:szCs w:val="28"/>
        </w:rPr>
      </w:pPr>
      <w:r>
        <w:rPr>
          <w:rFonts w:ascii="Times New Roman" w:hAnsi="Times New Roman"/>
          <w:sz w:val="28"/>
          <w:szCs w:val="28"/>
        </w:rPr>
        <w:t>根据国内垃圾渗滤液的特性，渗滤液COD</w:t>
      </w:r>
      <w:r>
        <w:rPr>
          <w:rFonts w:ascii="Times New Roman" w:hAnsi="Times New Roman"/>
          <w:sz w:val="28"/>
          <w:szCs w:val="28"/>
          <w:vertAlign w:val="subscript"/>
        </w:rPr>
        <w:t>cr</w:t>
      </w:r>
      <w:r>
        <w:rPr>
          <w:rFonts w:ascii="Times New Roman" w:hAnsi="Times New Roman"/>
          <w:sz w:val="28"/>
          <w:szCs w:val="28"/>
        </w:rPr>
        <w:t>浓度一般在40000-80000 mg/L左右，但可生化性较好，一般B/C大于0.4。</w:t>
      </w:r>
    </w:p>
    <w:p>
      <w:pPr>
        <w:pStyle w:val="8"/>
        <w:spacing w:line="360" w:lineRule="auto"/>
        <w:ind w:firstLine="560" w:firstLineChars="200"/>
        <w:rPr>
          <w:rFonts w:ascii="Times New Roman" w:hAnsi="Times New Roman"/>
          <w:sz w:val="28"/>
          <w:szCs w:val="28"/>
        </w:rPr>
      </w:pPr>
      <w:r>
        <w:rPr>
          <w:rFonts w:ascii="Times New Roman" w:hAnsi="Times New Roman"/>
          <w:sz w:val="28"/>
          <w:szCs w:val="28"/>
        </w:rPr>
        <w:t>（3）氨氮（NH</w:t>
      </w:r>
      <w:r>
        <w:rPr>
          <w:rFonts w:ascii="Times New Roman" w:hAnsi="Times New Roman"/>
          <w:sz w:val="28"/>
          <w:szCs w:val="28"/>
          <w:vertAlign w:val="subscript"/>
        </w:rPr>
        <w:t>3</w:t>
      </w:r>
      <w:r>
        <w:rPr>
          <w:rFonts w:ascii="Times New Roman" w:hAnsi="Times New Roman"/>
          <w:sz w:val="28"/>
          <w:szCs w:val="28"/>
        </w:rPr>
        <w:t>-N）浓度高</w:t>
      </w:r>
    </w:p>
    <w:p>
      <w:pPr>
        <w:pStyle w:val="8"/>
        <w:spacing w:line="360" w:lineRule="auto"/>
        <w:ind w:firstLine="560" w:firstLineChars="200"/>
        <w:rPr>
          <w:rFonts w:ascii="Times New Roman" w:hAnsi="Times New Roman"/>
          <w:sz w:val="28"/>
          <w:szCs w:val="28"/>
        </w:rPr>
      </w:pPr>
      <w:r>
        <w:rPr>
          <w:rFonts w:ascii="Times New Roman" w:hAnsi="Times New Roman"/>
          <w:sz w:val="28"/>
          <w:szCs w:val="28"/>
        </w:rPr>
        <w:t>渗滤液氨氮（NH</w:t>
      </w:r>
      <w:r>
        <w:rPr>
          <w:rFonts w:ascii="Times New Roman" w:hAnsi="Times New Roman"/>
          <w:sz w:val="28"/>
          <w:szCs w:val="28"/>
          <w:vertAlign w:val="subscript"/>
        </w:rPr>
        <w:t>3</w:t>
      </w:r>
      <w:r>
        <w:rPr>
          <w:rFonts w:ascii="Times New Roman" w:hAnsi="Times New Roman"/>
          <w:sz w:val="28"/>
          <w:szCs w:val="28"/>
        </w:rPr>
        <w:t>-N）浓度较高一般在1000-3000 mg/L左右，因此，生化反应单元的设计需要充分考虑存在氨氮浓度对微生物活性的抑制。</w:t>
      </w:r>
    </w:p>
    <w:p>
      <w:pPr>
        <w:pStyle w:val="8"/>
        <w:spacing w:line="360" w:lineRule="auto"/>
        <w:ind w:firstLine="560" w:firstLineChars="200"/>
        <w:rPr>
          <w:rFonts w:ascii="Times New Roman" w:hAnsi="Times New Roman"/>
          <w:sz w:val="28"/>
          <w:szCs w:val="28"/>
        </w:rPr>
      </w:pPr>
      <w:r>
        <w:rPr>
          <w:rFonts w:ascii="Times New Roman" w:hAnsi="Times New Roman"/>
          <w:sz w:val="28"/>
          <w:szCs w:val="28"/>
        </w:rPr>
        <w:t>（4）重金属离子与盐份含量高</w:t>
      </w:r>
    </w:p>
    <w:p>
      <w:pPr>
        <w:pStyle w:val="8"/>
        <w:spacing w:line="360" w:lineRule="auto"/>
        <w:ind w:firstLine="560"/>
        <w:rPr>
          <w:rFonts w:ascii="Times New Roman" w:hAnsi="Times New Roman"/>
          <w:sz w:val="28"/>
          <w:szCs w:val="28"/>
        </w:rPr>
      </w:pPr>
      <w:r>
        <w:rPr>
          <w:rFonts w:ascii="Times New Roman" w:hAnsi="Times New Roman"/>
          <w:sz w:val="28"/>
          <w:szCs w:val="28"/>
        </w:rPr>
        <w:t>由于垃圾中含有较多的重金属离子与盐份，造成渗滤液中的重金属离子与盐份含量较高，渗滤液的电导率高达30000-40000us/cm，其中钙盐和镁盐是通常厌氧污泥钙化和管道结构的主要原因，因此，需要对于反应单元的设计着重考虑排砂与管道清理维护的方便性。</w:t>
      </w:r>
    </w:p>
    <w:p>
      <w:pPr>
        <w:pStyle w:val="8"/>
        <w:spacing w:line="360" w:lineRule="auto"/>
        <w:ind w:firstLine="560"/>
        <w:rPr>
          <w:rFonts w:ascii="Times New Roman" w:hAnsi="Times New Roman"/>
          <w:sz w:val="28"/>
          <w:szCs w:val="28"/>
        </w:rPr>
      </w:pPr>
      <w:r>
        <w:rPr>
          <w:rFonts w:ascii="Times New Roman" w:hAnsi="Times New Roman"/>
          <w:sz w:val="28"/>
          <w:szCs w:val="28"/>
        </w:rPr>
        <w:t>（5）渗滤液呈酸性—pH值较低</w:t>
      </w:r>
    </w:p>
    <w:p>
      <w:pPr>
        <w:pStyle w:val="8"/>
        <w:spacing w:line="360" w:lineRule="auto"/>
        <w:ind w:firstLine="560"/>
        <w:rPr>
          <w:rFonts w:ascii="Times New Roman" w:hAnsi="Times New Roman"/>
          <w:sz w:val="28"/>
          <w:szCs w:val="28"/>
        </w:rPr>
      </w:pPr>
      <w:r>
        <w:rPr>
          <w:rFonts w:ascii="Times New Roman" w:hAnsi="Times New Roman"/>
          <w:sz w:val="28"/>
          <w:szCs w:val="28"/>
        </w:rPr>
        <w:t>渗滤液含有大量的有机酸，pH值较低，一般在4-6左右。</w:t>
      </w:r>
    </w:p>
    <w:p>
      <w:pPr>
        <w:pStyle w:val="8"/>
        <w:spacing w:line="360" w:lineRule="auto"/>
        <w:ind w:firstLine="560"/>
        <w:rPr>
          <w:rFonts w:ascii="Times New Roman" w:hAnsi="Times New Roman"/>
          <w:sz w:val="28"/>
          <w:szCs w:val="28"/>
        </w:rPr>
      </w:pPr>
      <w:r>
        <w:rPr>
          <w:rFonts w:ascii="Times New Roman" w:hAnsi="Times New Roman"/>
          <w:sz w:val="28"/>
          <w:szCs w:val="28"/>
        </w:rPr>
        <w:t>（6）悬浮物（SS）浓度高</w:t>
      </w:r>
    </w:p>
    <w:p>
      <w:pPr>
        <w:pStyle w:val="8"/>
        <w:spacing w:line="360" w:lineRule="auto"/>
        <w:ind w:firstLine="560"/>
        <w:rPr>
          <w:rFonts w:ascii="Times New Roman" w:hAnsi="Times New Roman"/>
          <w:sz w:val="28"/>
          <w:szCs w:val="28"/>
        </w:rPr>
      </w:pPr>
      <w:r>
        <w:rPr>
          <w:rFonts w:ascii="Times New Roman" w:hAnsi="Times New Roman"/>
          <w:sz w:val="28"/>
          <w:szCs w:val="28"/>
        </w:rPr>
        <w:t>渗滤液含有大量的悬浮物质，应在预处理中予以去除，以减小后续处理系统的影响。</w:t>
      </w:r>
    </w:p>
    <w:p>
      <w:pPr>
        <w:ind w:firstLine="0" w:firstLineChars="0"/>
        <w:outlineLvl w:val="2"/>
        <w:rPr>
          <w:rFonts w:cs="Times New Roman"/>
          <w:b/>
          <w:sz w:val="28"/>
          <w:szCs w:val="28"/>
        </w:rPr>
      </w:pPr>
      <w:r>
        <w:rPr>
          <w:rFonts w:cs="Times New Roman"/>
          <w:b/>
          <w:sz w:val="28"/>
          <w:szCs w:val="28"/>
        </w:rPr>
        <w:t>1.2.2其他废水水质特点分析</w:t>
      </w:r>
    </w:p>
    <w:p>
      <w:pPr>
        <w:ind w:firstLine="560"/>
        <w:rPr>
          <w:rFonts w:cs="Times New Roman"/>
          <w:sz w:val="28"/>
          <w:szCs w:val="28"/>
        </w:rPr>
      </w:pPr>
      <w:r>
        <w:rPr>
          <w:rFonts w:cs="Times New Roman"/>
          <w:sz w:val="28"/>
          <w:szCs w:val="28"/>
        </w:rPr>
        <w:t>其他废水主要来源于对卸料大厅、地面及车辆本身污染物清洗排水，也存在部分日常生活排水，该部分水量较少，与渗滤液原水混合后有助于均质渗滤液，提高废水的可生化性。</w:t>
      </w:r>
    </w:p>
    <w:p>
      <w:pPr>
        <w:pStyle w:val="3"/>
        <w:adjustRightInd w:val="0"/>
        <w:spacing w:beforeLines="0" w:afterLines="0" w:line="240" w:lineRule="auto"/>
        <w:ind w:firstLine="0" w:firstLineChars="0"/>
        <w:jc w:val="left"/>
        <w:textAlignment w:val="baseline"/>
        <w:rPr>
          <w:rFonts w:cs="Times New Roman"/>
          <w:bCs w:val="0"/>
          <w:szCs w:val="32"/>
        </w:rPr>
      </w:pPr>
      <w:bookmarkStart w:id="35" w:name="_Toc518055144"/>
      <w:bookmarkStart w:id="36" w:name="_Toc459885093"/>
      <w:bookmarkStart w:id="37" w:name="_Toc73367142"/>
      <w:bookmarkStart w:id="38" w:name="_Toc459884199"/>
      <w:r>
        <w:rPr>
          <w:rFonts w:cs="Times New Roman"/>
          <w:bCs w:val="0"/>
          <w:szCs w:val="32"/>
        </w:rPr>
        <w:t>二、方案编制基础</w:t>
      </w:r>
      <w:bookmarkEnd w:id="35"/>
      <w:bookmarkEnd w:id="36"/>
      <w:bookmarkEnd w:id="37"/>
      <w:bookmarkEnd w:id="38"/>
    </w:p>
    <w:p>
      <w:pPr>
        <w:pStyle w:val="4"/>
        <w:keepNext w:val="0"/>
        <w:keepLines w:val="0"/>
        <w:spacing w:beforeLines="0" w:afterLines="0"/>
        <w:ind w:firstLine="0" w:firstLineChars="0"/>
        <w:jc w:val="left"/>
        <w:rPr>
          <w:rFonts w:cs="Times New Roman"/>
          <w:sz w:val="28"/>
          <w:szCs w:val="28"/>
        </w:rPr>
      </w:pPr>
      <w:bookmarkStart w:id="39" w:name="_Toc459884200"/>
      <w:bookmarkStart w:id="40" w:name="_Toc73367143"/>
      <w:bookmarkStart w:id="41" w:name="_Toc518055145"/>
      <w:bookmarkStart w:id="42" w:name="_Toc459885094"/>
      <w:r>
        <w:rPr>
          <w:rFonts w:cs="Times New Roman"/>
          <w:sz w:val="28"/>
          <w:szCs w:val="28"/>
        </w:rPr>
        <w:t>2.1方案编制的依据</w:t>
      </w:r>
      <w:bookmarkEnd w:id="39"/>
      <w:bookmarkEnd w:id="40"/>
      <w:bookmarkEnd w:id="41"/>
      <w:bookmarkEnd w:id="42"/>
    </w:p>
    <w:tbl>
      <w:tblPr>
        <w:tblStyle w:val="15"/>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095"/>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1</w:t>
            </w:r>
          </w:p>
        </w:tc>
        <w:tc>
          <w:tcPr>
            <w:tcW w:w="6095" w:type="dxa"/>
            <w:vAlign w:val="center"/>
          </w:tcPr>
          <w:p>
            <w:pPr>
              <w:ind w:firstLine="0" w:firstLineChars="0"/>
              <w:jc w:val="left"/>
              <w:rPr>
                <w:rFonts w:cs="Times New Roman" w:eastAsiaTheme="minorEastAsia"/>
              </w:rPr>
            </w:pPr>
            <w:r>
              <w:rPr>
                <w:rFonts w:hint="eastAsia" w:cs="Times New Roman" w:eastAsiaTheme="minorEastAsia"/>
              </w:rPr>
              <w:t>处理设备项目</w:t>
            </w:r>
            <w:r>
              <w:rPr>
                <w:rFonts w:cs="Times New Roman" w:eastAsiaTheme="minorEastAsia"/>
              </w:rPr>
              <w:t>技术规范</w:t>
            </w:r>
          </w:p>
        </w:tc>
        <w:tc>
          <w:tcPr>
            <w:tcW w:w="2097" w:type="dxa"/>
            <w:vAlign w:val="center"/>
          </w:tcPr>
          <w:p>
            <w:pPr>
              <w:ind w:firstLine="0" w:firstLineChars="0"/>
              <w:jc w:val="left"/>
              <w:rPr>
                <w:rFonts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2</w:t>
            </w:r>
          </w:p>
        </w:tc>
        <w:tc>
          <w:tcPr>
            <w:tcW w:w="6095" w:type="dxa"/>
            <w:vAlign w:val="center"/>
          </w:tcPr>
          <w:p>
            <w:pPr>
              <w:ind w:firstLine="0" w:firstLineChars="0"/>
              <w:jc w:val="left"/>
              <w:rPr>
                <w:rFonts w:cs="Times New Roman" w:eastAsiaTheme="minorEastAsia"/>
              </w:rPr>
            </w:pPr>
            <w:r>
              <w:rPr>
                <w:rFonts w:cs="Times New Roman" w:eastAsiaTheme="minorEastAsia"/>
              </w:rPr>
              <w:t>国内同类废水的工程建设及运行经验</w:t>
            </w:r>
          </w:p>
        </w:tc>
        <w:tc>
          <w:tcPr>
            <w:tcW w:w="2097" w:type="dxa"/>
            <w:vAlign w:val="center"/>
          </w:tcPr>
          <w:p>
            <w:pPr>
              <w:ind w:firstLine="0" w:firstLineChars="0"/>
              <w:jc w:val="left"/>
              <w:rPr>
                <w:rFonts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3</w:t>
            </w:r>
          </w:p>
        </w:tc>
        <w:tc>
          <w:tcPr>
            <w:tcW w:w="6095" w:type="dxa"/>
            <w:vAlign w:val="center"/>
          </w:tcPr>
          <w:p>
            <w:pPr>
              <w:ind w:firstLine="0" w:firstLineChars="0"/>
              <w:jc w:val="left"/>
              <w:rPr>
                <w:rFonts w:cs="Times New Roman" w:eastAsiaTheme="minorEastAsia"/>
              </w:rPr>
            </w:pPr>
            <w:r>
              <w:rPr>
                <w:rFonts w:cs="Times New Roman" w:eastAsiaTheme="minorEastAsia"/>
              </w:rPr>
              <w:t>给水排水设计手册</w:t>
            </w:r>
          </w:p>
        </w:tc>
        <w:tc>
          <w:tcPr>
            <w:tcW w:w="2097" w:type="dxa"/>
            <w:vAlign w:val="center"/>
          </w:tcPr>
          <w:p>
            <w:pPr>
              <w:ind w:firstLine="0" w:firstLineChars="0"/>
              <w:jc w:val="left"/>
              <w:rPr>
                <w:rFonts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4</w:t>
            </w:r>
          </w:p>
        </w:tc>
        <w:tc>
          <w:tcPr>
            <w:tcW w:w="6095" w:type="dxa"/>
            <w:vAlign w:val="center"/>
          </w:tcPr>
          <w:p>
            <w:pPr>
              <w:ind w:firstLine="0" w:firstLineChars="0"/>
              <w:jc w:val="left"/>
              <w:rPr>
                <w:rFonts w:cs="Times New Roman" w:eastAsiaTheme="minorEastAsia"/>
              </w:rPr>
            </w:pPr>
            <w:r>
              <w:rPr>
                <w:rFonts w:cs="Times New Roman" w:eastAsiaTheme="minorEastAsia"/>
              </w:rPr>
              <w:t>《污水综合排放标准》</w:t>
            </w:r>
          </w:p>
        </w:tc>
        <w:tc>
          <w:tcPr>
            <w:tcW w:w="2097" w:type="dxa"/>
            <w:vAlign w:val="center"/>
          </w:tcPr>
          <w:p>
            <w:pPr>
              <w:ind w:firstLine="0" w:firstLineChars="0"/>
              <w:jc w:val="left"/>
              <w:rPr>
                <w:rFonts w:cs="Times New Roman" w:eastAsiaTheme="minorEastAsia"/>
              </w:rPr>
            </w:pPr>
            <w:r>
              <w:rPr>
                <w:rFonts w:cs="Times New Roman" w:eastAsiaTheme="minorEastAsia"/>
              </w:rPr>
              <w:t>GB 8978-1996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5</w:t>
            </w:r>
          </w:p>
        </w:tc>
        <w:tc>
          <w:tcPr>
            <w:tcW w:w="6095" w:type="dxa"/>
            <w:vAlign w:val="center"/>
          </w:tcPr>
          <w:p>
            <w:pPr>
              <w:ind w:firstLine="0" w:firstLineChars="0"/>
              <w:jc w:val="left"/>
              <w:rPr>
                <w:rFonts w:cs="Times New Roman" w:eastAsiaTheme="minorEastAsia"/>
              </w:rPr>
            </w:pPr>
            <w:r>
              <w:rPr>
                <w:rFonts w:hint="eastAsia" w:cs="Times New Roman" w:eastAsiaTheme="minorEastAsia"/>
              </w:rPr>
              <w:t>《生活垃圾填埋场污染物控制标准》</w:t>
            </w:r>
          </w:p>
        </w:tc>
        <w:tc>
          <w:tcPr>
            <w:tcW w:w="2097" w:type="dxa"/>
            <w:vAlign w:val="center"/>
          </w:tcPr>
          <w:p>
            <w:pPr>
              <w:ind w:firstLine="0" w:firstLineChars="0"/>
              <w:jc w:val="left"/>
              <w:rPr>
                <w:rFonts w:cs="Times New Roman" w:eastAsiaTheme="minorEastAsia"/>
              </w:rPr>
            </w:pPr>
            <w:r>
              <w:rPr>
                <w:rFonts w:hint="eastAsia" w:cs="Times New Roman" w:eastAsiaTheme="minorEastAsia"/>
              </w:rPr>
              <w:t>GB16889-2008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6</w:t>
            </w:r>
          </w:p>
        </w:tc>
        <w:tc>
          <w:tcPr>
            <w:tcW w:w="6095" w:type="dxa"/>
            <w:vAlign w:val="center"/>
          </w:tcPr>
          <w:p>
            <w:pPr>
              <w:ind w:firstLine="0" w:firstLineChars="0"/>
              <w:jc w:val="left"/>
              <w:rPr>
                <w:rFonts w:cs="Times New Roman" w:eastAsiaTheme="minorEastAsia"/>
              </w:rPr>
            </w:pPr>
            <w:r>
              <w:rPr>
                <w:rFonts w:cs="Times New Roman" w:eastAsiaTheme="minorEastAsia"/>
              </w:rPr>
              <w:t>《工业企业噪声控制设计规范》</w:t>
            </w:r>
          </w:p>
        </w:tc>
        <w:tc>
          <w:tcPr>
            <w:tcW w:w="2097" w:type="dxa"/>
            <w:vAlign w:val="center"/>
          </w:tcPr>
          <w:p>
            <w:pPr>
              <w:ind w:firstLine="0" w:firstLineChars="0"/>
              <w:jc w:val="left"/>
              <w:rPr>
                <w:rFonts w:cs="Times New Roman" w:eastAsiaTheme="minorEastAsia"/>
              </w:rPr>
            </w:pPr>
            <w:r>
              <w:rPr>
                <w:rFonts w:cs="Times New Roman" w:eastAsiaTheme="minorEastAsia"/>
              </w:rPr>
              <w:t>GB/T50087-2013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7</w:t>
            </w:r>
          </w:p>
        </w:tc>
        <w:tc>
          <w:tcPr>
            <w:tcW w:w="6095" w:type="dxa"/>
            <w:vAlign w:val="center"/>
          </w:tcPr>
          <w:p>
            <w:pPr>
              <w:ind w:firstLine="0" w:firstLineChars="0"/>
              <w:jc w:val="left"/>
              <w:rPr>
                <w:rFonts w:cs="Times New Roman" w:eastAsiaTheme="minorEastAsia"/>
              </w:rPr>
            </w:pPr>
            <w:r>
              <w:rPr>
                <w:rFonts w:cs="Times New Roman" w:eastAsiaTheme="minorEastAsia"/>
              </w:rPr>
              <w:t>《室内空气质量标准》</w:t>
            </w:r>
          </w:p>
        </w:tc>
        <w:tc>
          <w:tcPr>
            <w:tcW w:w="2097" w:type="dxa"/>
            <w:vAlign w:val="center"/>
          </w:tcPr>
          <w:p>
            <w:pPr>
              <w:ind w:firstLine="0" w:firstLineChars="0"/>
              <w:jc w:val="left"/>
              <w:rPr>
                <w:rFonts w:cs="Times New Roman" w:eastAsiaTheme="minorEastAsia"/>
              </w:rPr>
            </w:pPr>
            <w:r>
              <w:rPr>
                <w:rFonts w:cs="Times New Roman" w:eastAsiaTheme="minorEastAsia"/>
              </w:rPr>
              <w:t>GB/T18883-2002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8</w:t>
            </w:r>
          </w:p>
        </w:tc>
        <w:tc>
          <w:tcPr>
            <w:tcW w:w="6095" w:type="dxa"/>
            <w:vAlign w:val="center"/>
          </w:tcPr>
          <w:p>
            <w:pPr>
              <w:ind w:firstLine="0" w:firstLineChars="0"/>
              <w:jc w:val="left"/>
              <w:rPr>
                <w:rFonts w:cs="Times New Roman" w:eastAsiaTheme="minorEastAsia"/>
              </w:rPr>
            </w:pPr>
            <w:r>
              <w:rPr>
                <w:rFonts w:cs="Times New Roman" w:eastAsiaTheme="minorEastAsia"/>
              </w:rPr>
              <w:t>《工业企业设计卫生标准》</w:t>
            </w:r>
          </w:p>
        </w:tc>
        <w:tc>
          <w:tcPr>
            <w:tcW w:w="2097" w:type="dxa"/>
            <w:vAlign w:val="center"/>
          </w:tcPr>
          <w:p>
            <w:pPr>
              <w:ind w:firstLine="0" w:firstLineChars="0"/>
              <w:jc w:val="left"/>
              <w:rPr>
                <w:rFonts w:cs="Times New Roman" w:eastAsiaTheme="minorEastAsia"/>
              </w:rPr>
            </w:pPr>
            <w:r>
              <w:rPr>
                <w:rFonts w:cs="Times New Roman" w:eastAsiaTheme="minorEastAsia"/>
              </w:rPr>
              <w:t>GBZ 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9</w:t>
            </w:r>
          </w:p>
        </w:tc>
        <w:tc>
          <w:tcPr>
            <w:tcW w:w="6095" w:type="dxa"/>
            <w:vAlign w:val="center"/>
          </w:tcPr>
          <w:p>
            <w:pPr>
              <w:ind w:firstLine="0" w:firstLineChars="0"/>
              <w:jc w:val="left"/>
              <w:rPr>
                <w:rFonts w:cs="Times New Roman" w:eastAsiaTheme="minorEastAsia"/>
              </w:rPr>
            </w:pPr>
            <w:r>
              <w:rPr>
                <w:rFonts w:cs="Times New Roman" w:eastAsiaTheme="minorEastAsia"/>
              </w:rPr>
              <w:t>《生活垃圾渗滤液处理技术规范》</w:t>
            </w:r>
          </w:p>
        </w:tc>
        <w:tc>
          <w:tcPr>
            <w:tcW w:w="2097" w:type="dxa"/>
            <w:vAlign w:val="center"/>
          </w:tcPr>
          <w:p>
            <w:pPr>
              <w:ind w:firstLine="0" w:firstLineChars="0"/>
              <w:jc w:val="left"/>
              <w:rPr>
                <w:rFonts w:cs="Times New Roman" w:eastAsiaTheme="minorEastAsia"/>
              </w:rPr>
            </w:pPr>
            <w:r>
              <w:rPr>
                <w:rFonts w:cs="Times New Roman" w:eastAsiaTheme="minorEastAsia"/>
              </w:rPr>
              <w:t>CJJ150-2010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10</w:t>
            </w:r>
          </w:p>
        </w:tc>
        <w:tc>
          <w:tcPr>
            <w:tcW w:w="6095" w:type="dxa"/>
            <w:vAlign w:val="center"/>
          </w:tcPr>
          <w:p>
            <w:pPr>
              <w:ind w:firstLine="0" w:firstLineChars="0"/>
              <w:jc w:val="left"/>
              <w:rPr>
                <w:rFonts w:cs="Times New Roman" w:eastAsiaTheme="minorEastAsia"/>
              </w:rPr>
            </w:pPr>
            <w:r>
              <w:rPr>
                <w:rFonts w:cs="Times New Roman" w:eastAsiaTheme="minorEastAsia"/>
              </w:rPr>
              <w:t>《室外排水设计规范》</w:t>
            </w:r>
          </w:p>
        </w:tc>
        <w:tc>
          <w:tcPr>
            <w:tcW w:w="2097" w:type="dxa"/>
            <w:vAlign w:val="center"/>
          </w:tcPr>
          <w:p>
            <w:pPr>
              <w:ind w:firstLine="0" w:firstLineChars="0"/>
              <w:jc w:val="left"/>
              <w:rPr>
                <w:rFonts w:cs="Times New Roman" w:eastAsiaTheme="minorEastAsia"/>
              </w:rPr>
            </w:pPr>
            <w:r>
              <w:rPr>
                <w:rFonts w:cs="Times New Roman" w:eastAsiaTheme="minorEastAsia"/>
              </w:rPr>
              <w:t>GB50014-2006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11</w:t>
            </w:r>
          </w:p>
        </w:tc>
        <w:tc>
          <w:tcPr>
            <w:tcW w:w="6095" w:type="dxa"/>
            <w:vAlign w:val="center"/>
          </w:tcPr>
          <w:p>
            <w:pPr>
              <w:ind w:firstLine="0" w:firstLineChars="0"/>
              <w:jc w:val="left"/>
              <w:rPr>
                <w:rFonts w:cs="Times New Roman" w:eastAsiaTheme="minorEastAsia"/>
              </w:rPr>
            </w:pPr>
            <w:r>
              <w:rPr>
                <w:rFonts w:cs="Times New Roman" w:eastAsiaTheme="minorEastAsia"/>
              </w:rPr>
              <w:t>《泵站设计规范》</w:t>
            </w:r>
          </w:p>
        </w:tc>
        <w:tc>
          <w:tcPr>
            <w:tcW w:w="2097" w:type="dxa"/>
            <w:vAlign w:val="center"/>
          </w:tcPr>
          <w:p>
            <w:pPr>
              <w:ind w:firstLine="0" w:firstLineChars="0"/>
              <w:jc w:val="left"/>
              <w:rPr>
                <w:rFonts w:cs="Times New Roman" w:eastAsiaTheme="minorEastAsia"/>
              </w:rPr>
            </w:pPr>
            <w:r>
              <w:rPr>
                <w:rFonts w:cs="Times New Roman" w:eastAsiaTheme="minorEastAsia"/>
              </w:rPr>
              <w:t>GB/T50265-2010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12</w:t>
            </w:r>
          </w:p>
        </w:tc>
        <w:tc>
          <w:tcPr>
            <w:tcW w:w="6095" w:type="dxa"/>
            <w:vAlign w:val="center"/>
          </w:tcPr>
          <w:p>
            <w:pPr>
              <w:ind w:firstLine="0" w:firstLineChars="0"/>
              <w:jc w:val="left"/>
              <w:rPr>
                <w:rFonts w:cs="Times New Roman" w:eastAsiaTheme="minorEastAsia"/>
              </w:rPr>
            </w:pPr>
            <w:r>
              <w:rPr>
                <w:rFonts w:cs="Times New Roman" w:eastAsiaTheme="minorEastAsia"/>
              </w:rPr>
              <w:t>《建筑设计防火规范》</w:t>
            </w:r>
          </w:p>
        </w:tc>
        <w:tc>
          <w:tcPr>
            <w:tcW w:w="2097" w:type="dxa"/>
            <w:vAlign w:val="center"/>
          </w:tcPr>
          <w:p>
            <w:pPr>
              <w:ind w:firstLine="0" w:firstLineChars="0"/>
              <w:jc w:val="left"/>
              <w:rPr>
                <w:rFonts w:cs="Times New Roman" w:eastAsiaTheme="minorEastAsia"/>
              </w:rPr>
            </w:pPr>
            <w:r>
              <w:rPr>
                <w:rFonts w:cs="Times New Roman" w:eastAsiaTheme="minorEastAsia"/>
              </w:rPr>
              <w:t>GB50016-2006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13</w:t>
            </w:r>
          </w:p>
        </w:tc>
        <w:tc>
          <w:tcPr>
            <w:tcW w:w="6095" w:type="dxa"/>
            <w:vAlign w:val="center"/>
          </w:tcPr>
          <w:p>
            <w:pPr>
              <w:ind w:firstLine="0" w:firstLineChars="0"/>
              <w:jc w:val="left"/>
              <w:rPr>
                <w:rFonts w:cs="Times New Roman" w:eastAsiaTheme="minorEastAsia"/>
              </w:rPr>
            </w:pPr>
            <w:r>
              <w:rPr>
                <w:rFonts w:cs="Times New Roman" w:eastAsiaTheme="minorEastAsia"/>
              </w:rPr>
              <w:t>《建筑地面设计规范》</w:t>
            </w:r>
          </w:p>
        </w:tc>
        <w:tc>
          <w:tcPr>
            <w:tcW w:w="2097" w:type="dxa"/>
            <w:vAlign w:val="center"/>
          </w:tcPr>
          <w:p>
            <w:pPr>
              <w:ind w:firstLine="0" w:firstLineChars="0"/>
              <w:jc w:val="left"/>
              <w:rPr>
                <w:rFonts w:cs="Times New Roman" w:eastAsiaTheme="minorEastAsia"/>
              </w:rPr>
            </w:pPr>
            <w:r>
              <w:rPr>
                <w:rFonts w:cs="Times New Roman" w:eastAsiaTheme="minorEastAsia"/>
              </w:rPr>
              <w:t>GB50037-2013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14</w:t>
            </w:r>
          </w:p>
        </w:tc>
        <w:tc>
          <w:tcPr>
            <w:tcW w:w="6095" w:type="dxa"/>
            <w:vAlign w:val="center"/>
          </w:tcPr>
          <w:p>
            <w:pPr>
              <w:ind w:firstLine="0" w:firstLineChars="0"/>
              <w:jc w:val="left"/>
              <w:rPr>
                <w:rFonts w:cs="Times New Roman" w:eastAsiaTheme="minorEastAsia"/>
              </w:rPr>
            </w:pPr>
            <w:r>
              <w:rPr>
                <w:rFonts w:cs="Times New Roman" w:eastAsiaTheme="minorEastAsia"/>
              </w:rPr>
              <w:t>《建筑抗震设计规范》</w:t>
            </w:r>
          </w:p>
        </w:tc>
        <w:tc>
          <w:tcPr>
            <w:tcW w:w="2097" w:type="dxa"/>
            <w:vAlign w:val="center"/>
          </w:tcPr>
          <w:p>
            <w:pPr>
              <w:ind w:firstLine="0" w:firstLineChars="0"/>
              <w:jc w:val="left"/>
              <w:rPr>
                <w:rFonts w:cs="Times New Roman" w:eastAsiaTheme="minorEastAsia"/>
              </w:rPr>
            </w:pPr>
            <w:r>
              <w:rPr>
                <w:rFonts w:cs="Times New Roman" w:eastAsiaTheme="minorEastAsia"/>
              </w:rPr>
              <w:t>GB50011-2010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15</w:t>
            </w:r>
          </w:p>
        </w:tc>
        <w:tc>
          <w:tcPr>
            <w:tcW w:w="6095" w:type="dxa"/>
            <w:vAlign w:val="center"/>
          </w:tcPr>
          <w:p>
            <w:pPr>
              <w:ind w:firstLine="0" w:firstLineChars="0"/>
              <w:jc w:val="left"/>
              <w:rPr>
                <w:rFonts w:cs="Times New Roman" w:eastAsiaTheme="minorEastAsia"/>
              </w:rPr>
            </w:pPr>
            <w:r>
              <w:rPr>
                <w:rFonts w:cs="Times New Roman" w:eastAsiaTheme="minorEastAsia"/>
              </w:rPr>
              <w:t>《构筑物抗震设计规范》</w:t>
            </w:r>
          </w:p>
        </w:tc>
        <w:tc>
          <w:tcPr>
            <w:tcW w:w="2097" w:type="dxa"/>
            <w:vAlign w:val="center"/>
          </w:tcPr>
          <w:p>
            <w:pPr>
              <w:ind w:firstLine="0" w:firstLineChars="0"/>
              <w:jc w:val="left"/>
              <w:rPr>
                <w:rFonts w:cs="Times New Roman" w:eastAsiaTheme="minorEastAsia"/>
              </w:rPr>
            </w:pPr>
            <w:r>
              <w:rPr>
                <w:rFonts w:cs="Times New Roman" w:eastAsiaTheme="minorEastAsia"/>
              </w:rPr>
              <w:t>GB50191-2012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16</w:t>
            </w:r>
          </w:p>
        </w:tc>
        <w:tc>
          <w:tcPr>
            <w:tcW w:w="6095" w:type="dxa"/>
            <w:vAlign w:val="center"/>
          </w:tcPr>
          <w:p>
            <w:pPr>
              <w:ind w:firstLine="0" w:firstLineChars="0"/>
              <w:jc w:val="left"/>
              <w:rPr>
                <w:rFonts w:cs="Times New Roman" w:eastAsiaTheme="minorEastAsia"/>
              </w:rPr>
            </w:pPr>
            <w:r>
              <w:rPr>
                <w:rFonts w:cs="Times New Roman" w:eastAsiaTheme="minorEastAsia"/>
              </w:rPr>
              <w:t>《给水排水构筑物结构设计规范》</w:t>
            </w:r>
          </w:p>
        </w:tc>
        <w:tc>
          <w:tcPr>
            <w:tcW w:w="2097" w:type="dxa"/>
            <w:vAlign w:val="center"/>
          </w:tcPr>
          <w:p>
            <w:pPr>
              <w:ind w:firstLine="0" w:firstLineChars="0"/>
              <w:jc w:val="left"/>
              <w:rPr>
                <w:rFonts w:cs="Times New Roman" w:eastAsiaTheme="minorEastAsia"/>
              </w:rPr>
            </w:pPr>
            <w:r>
              <w:rPr>
                <w:rFonts w:cs="Times New Roman" w:eastAsiaTheme="minorEastAsia"/>
              </w:rPr>
              <w:t>GB50069-2002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17</w:t>
            </w:r>
          </w:p>
        </w:tc>
        <w:tc>
          <w:tcPr>
            <w:tcW w:w="6095" w:type="dxa"/>
            <w:vAlign w:val="center"/>
          </w:tcPr>
          <w:p>
            <w:pPr>
              <w:ind w:firstLine="0" w:firstLineChars="0"/>
              <w:jc w:val="left"/>
              <w:rPr>
                <w:rFonts w:cs="Times New Roman" w:eastAsiaTheme="minorEastAsia"/>
              </w:rPr>
            </w:pPr>
            <w:r>
              <w:rPr>
                <w:rFonts w:cs="Times New Roman" w:eastAsiaTheme="minorEastAsia"/>
              </w:rPr>
              <w:t>《采暖通风与空气调节设计规范》</w:t>
            </w:r>
          </w:p>
        </w:tc>
        <w:tc>
          <w:tcPr>
            <w:tcW w:w="2097" w:type="dxa"/>
            <w:vAlign w:val="center"/>
          </w:tcPr>
          <w:p>
            <w:pPr>
              <w:ind w:firstLine="0" w:firstLineChars="0"/>
              <w:jc w:val="left"/>
              <w:rPr>
                <w:rFonts w:cs="Times New Roman" w:eastAsiaTheme="minorEastAsia"/>
              </w:rPr>
            </w:pPr>
            <w:r>
              <w:rPr>
                <w:rFonts w:cs="Times New Roman" w:eastAsiaTheme="minorEastAsia"/>
              </w:rPr>
              <w:t>GB50019-2003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18</w:t>
            </w:r>
          </w:p>
        </w:tc>
        <w:tc>
          <w:tcPr>
            <w:tcW w:w="6095" w:type="dxa"/>
            <w:vAlign w:val="center"/>
          </w:tcPr>
          <w:p>
            <w:pPr>
              <w:ind w:firstLine="0" w:firstLineChars="0"/>
              <w:jc w:val="left"/>
              <w:rPr>
                <w:rFonts w:cs="Times New Roman" w:eastAsiaTheme="minorEastAsia"/>
              </w:rPr>
            </w:pPr>
            <w:r>
              <w:rPr>
                <w:rFonts w:cs="Times New Roman" w:eastAsiaTheme="minorEastAsia"/>
              </w:rPr>
              <w:t>《供配电系统设计规范》</w:t>
            </w:r>
          </w:p>
        </w:tc>
        <w:tc>
          <w:tcPr>
            <w:tcW w:w="2097" w:type="dxa"/>
            <w:vAlign w:val="center"/>
          </w:tcPr>
          <w:p>
            <w:pPr>
              <w:ind w:firstLine="0" w:firstLineChars="0"/>
              <w:jc w:val="left"/>
              <w:rPr>
                <w:rFonts w:cs="Times New Roman" w:eastAsiaTheme="minorEastAsia"/>
              </w:rPr>
            </w:pPr>
            <w:r>
              <w:rPr>
                <w:rFonts w:cs="Times New Roman" w:eastAsiaTheme="minorEastAsia"/>
              </w:rPr>
              <w:t>GB50052-2009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19</w:t>
            </w:r>
          </w:p>
        </w:tc>
        <w:tc>
          <w:tcPr>
            <w:tcW w:w="6095" w:type="dxa"/>
            <w:vAlign w:val="center"/>
          </w:tcPr>
          <w:p>
            <w:pPr>
              <w:ind w:firstLine="0" w:firstLineChars="0"/>
              <w:jc w:val="left"/>
              <w:rPr>
                <w:rFonts w:cs="Times New Roman" w:eastAsiaTheme="minorEastAsia"/>
              </w:rPr>
            </w:pPr>
            <w:r>
              <w:rPr>
                <w:rFonts w:cs="Times New Roman" w:eastAsiaTheme="minorEastAsia"/>
              </w:rPr>
              <w:t>《建筑照明设计标准》</w:t>
            </w:r>
          </w:p>
        </w:tc>
        <w:tc>
          <w:tcPr>
            <w:tcW w:w="2097" w:type="dxa"/>
            <w:vAlign w:val="center"/>
          </w:tcPr>
          <w:p>
            <w:pPr>
              <w:ind w:firstLine="0" w:firstLineChars="0"/>
              <w:jc w:val="left"/>
              <w:rPr>
                <w:rFonts w:cs="Times New Roman" w:eastAsiaTheme="minorEastAsia"/>
              </w:rPr>
            </w:pPr>
            <w:r>
              <w:rPr>
                <w:rFonts w:cs="Times New Roman" w:eastAsiaTheme="minorEastAsia"/>
              </w:rPr>
              <w:t>GB50034-2013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20</w:t>
            </w:r>
          </w:p>
        </w:tc>
        <w:tc>
          <w:tcPr>
            <w:tcW w:w="6095" w:type="dxa"/>
            <w:vAlign w:val="center"/>
          </w:tcPr>
          <w:p>
            <w:pPr>
              <w:ind w:firstLine="0" w:firstLineChars="0"/>
              <w:jc w:val="left"/>
              <w:rPr>
                <w:rFonts w:cs="Times New Roman" w:eastAsiaTheme="minorEastAsia"/>
              </w:rPr>
            </w:pPr>
            <w:r>
              <w:rPr>
                <w:rFonts w:cs="Times New Roman" w:eastAsiaTheme="minorEastAsia"/>
              </w:rPr>
              <w:t>《建筑物防雷设计规范》</w:t>
            </w:r>
          </w:p>
        </w:tc>
        <w:tc>
          <w:tcPr>
            <w:tcW w:w="2097" w:type="dxa"/>
            <w:vAlign w:val="center"/>
          </w:tcPr>
          <w:p>
            <w:pPr>
              <w:ind w:firstLine="0" w:firstLineChars="0"/>
              <w:jc w:val="left"/>
              <w:rPr>
                <w:rFonts w:cs="Times New Roman" w:eastAsiaTheme="minorEastAsia"/>
              </w:rPr>
            </w:pPr>
            <w:r>
              <w:rPr>
                <w:rFonts w:cs="Times New Roman" w:eastAsiaTheme="minorEastAsia"/>
              </w:rPr>
              <w:t>GB50057-2010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cs="Times New Roman" w:eastAsiaTheme="minorEastAsia"/>
              </w:rPr>
              <w:t>21</w:t>
            </w:r>
          </w:p>
        </w:tc>
        <w:tc>
          <w:tcPr>
            <w:tcW w:w="6095" w:type="dxa"/>
            <w:vAlign w:val="center"/>
          </w:tcPr>
          <w:p>
            <w:pPr>
              <w:ind w:firstLine="0" w:firstLineChars="0"/>
              <w:jc w:val="left"/>
              <w:rPr>
                <w:rFonts w:cs="Times New Roman" w:eastAsiaTheme="minorEastAsia"/>
              </w:rPr>
            </w:pPr>
            <w:r>
              <w:rPr>
                <w:rFonts w:cs="Times New Roman" w:eastAsiaTheme="minorEastAsia"/>
              </w:rPr>
              <w:t>《控制室设计规定》</w:t>
            </w:r>
          </w:p>
        </w:tc>
        <w:tc>
          <w:tcPr>
            <w:tcW w:w="2097" w:type="dxa"/>
            <w:vAlign w:val="center"/>
          </w:tcPr>
          <w:p>
            <w:pPr>
              <w:ind w:firstLine="0" w:firstLineChars="0"/>
              <w:jc w:val="left"/>
              <w:rPr>
                <w:rFonts w:cs="Times New Roman" w:eastAsiaTheme="minorEastAsia"/>
              </w:rPr>
            </w:pPr>
            <w:r>
              <w:rPr>
                <w:rFonts w:cs="Times New Roman" w:eastAsiaTheme="minorEastAsia"/>
              </w:rPr>
              <w:t>HG/T20508-2000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ind w:firstLine="0" w:firstLineChars="0"/>
              <w:jc w:val="center"/>
              <w:rPr>
                <w:rFonts w:cs="Times New Roman" w:eastAsiaTheme="minorEastAsia"/>
              </w:rPr>
            </w:pPr>
            <w:r>
              <w:rPr>
                <w:rFonts w:hint="eastAsia" w:cs="Times New Roman" w:eastAsiaTheme="minorEastAsia"/>
              </w:rPr>
              <w:t>22</w:t>
            </w:r>
          </w:p>
        </w:tc>
        <w:tc>
          <w:tcPr>
            <w:tcW w:w="6095" w:type="dxa"/>
            <w:vAlign w:val="center"/>
          </w:tcPr>
          <w:p>
            <w:pPr>
              <w:ind w:firstLine="0" w:firstLineChars="0"/>
              <w:jc w:val="left"/>
              <w:rPr>
                <w:rFonts w:cs="Times New Roman" w:eastAsiaTheme="minorEastAsia"/>
              </w:rPr>
            </w:pPr>
            <w:r>
              <w:rPr>
                <w:rFonts w:cs="Times New Roman" w:eastAsiaTheme="minorEastAsia"/>
              </w:rPr>
              <w:t>《水处理设备技术条件》</w:t>
            </w:r>
          </w:p>
        </w:tc>
        <w:tc>
          <w:tcPr>
            <w:tcW w:w="2097" w:type="dxa"/>
            <w:vAlign w:val="center"/>
          </w:tcPr>
          <w:p>
            <w:pPr>
              <w:ind w:firstLine="0" w:firstLineChars="0"/>
              <w:jc w:val="left"/>
              <w:rPr>
                <w:rFonts w:cs="Times New Roman" w:eastAsiaTheme="minorEastAsia"/>
              </w:rPr>
            </w:pPr>
            <w:r>
              <w:rPr>
                <w:rFonts w:cs="Times New Roman" w:eastAsiaTheme="minorEastAsia"/>
              </w:rPr>
              <w:t>JB/T 2932-1999</w:t>
            </w:r>
          </w:p>
        </w:tc>
      </w:tr>
    </w:tbl>
    <w:p>
      <w:pPr>
        <w:pStyle w:val="4"/>
        <w:keepNext w:val="0"/>
        <w:keepLines w:val="0"/>
        <w:spacing w:before="190" w:afterLines="0"/>
        <w:ind w:firstLine="0" w:firstLineChars="0"/>
        <w:jc w:val="left"/>
        <w:rPr>
          <w:rFonts w:cs="Times New Roman"/>
          <w:sz w:val="28"/>
          <w:szCs w:val="28"/>
        </w:rPr>
      </w:pPr>
      <w:bookmarkStart w:id="43" w:name="_Toc459884201"/>
      <w:bookmarkStart w:id="44" w:name="_Toc459885095"/>
      <w:bookmarkStart w:id="45" w:name="_Toc73367144"/>
      <w:bookmarkStart w:id="46" w:name="_Toc518055146"/>
      <w:r>
        <w:rPr>
          <w:rFonts w:cs="Times New Roman"/>
          <w:sz w:val="28"/>
          <w:szCs w:val="28"/>
        </w:rPr>
        <w:t>2.2方案编制的原则</w:t>
      </w:r>
      <w:bookmarkEnd w:id="43"/>
      <w:bookmarkEnd w:id="44"/>
      <w:bookmarkEnd w:id="45"/>
      <w:bookmarkEnd w:id="46"/>
    </w:p>
    <w:p>
      <w:pPr>
        <w:ind w:firstLine="560"/>
        <w:rPr>
          <w:rFonts w:cs="Times New Roman" w:eastAsiaTheme="minorEastAsia"/>
          <w:sz w:val="28"/>
          <w:szCs w:val="28"/>
        </w:rPr>
      </w:pPr>
      <w:r>
        <w:rPr>
          <w:rFonts w:cs="Times New Roman" w:eastAsiaTheme="minorEastAsia"/>
          <w:sz w:val="28"/>
          <w:szCs w:val="28"/>
        </w:rPr>
        <w:t>方案编制过程中严格遵循以下原则：</w:t>
      </w:r>
    </w:p>
    <w:p>
      <w:pPr>
        <w:ind w:firstLine="560"/>
        <w:rPr>
          <w:rFonts w:cs="Times New Roman" w:eastAsiaTheme="minorEastAsia"/>
          <w:sz w:val="28"/>
          <w:szCs w:val="28"/>
        </w:rPr>
      </w:pPr>
      <w:r>
        <w:rPr>
          <w:rFonts w:cs="Times New Roman" w:eastAsiaTheme="minorEastAsia"/>
          <w:sz w:val="28"/>
          <w:szCs w:val="28"/>
        </w:rPr>
        <w:t>1、贯彻执行国家关于环境保护的政策，符合国家的有关法规、规范及标准。</w:t>
      </w:r>
    </w:p>
    <w:p>
      <w:pPr>
        <w:ind w:firstLine="560"/>
        <w:rPr>
          <w:rFonts w:cs="Times New Roman" w:eastAsiaTheme="minorEastAsia"/>
          <w:sz w:val="28"/>
          <w:szCs w:val="28"/>
        </w:rPr>
      </w:pPr>
      <w:r>
        <w:rPr>
          <w:rFonts w:cs="Times New Roman" w:eastAsiaTheme="minorEastAsia"/>
          <w:sz w:val="28"/>
          <w:szCs w:val="28"/>
        </w:rPr>
        <w:t>2、工艺设计合理可靠。</w:t>
      </w:r>
    </w:p>
    <w:p>
      <w:pPr>
        <w:ind w:firstLine="560"/>
        <w:rPr>
          <w:rFonts w:cs="Times New Roman" w:eastAsiaTheme="minorEastAsia"/>
          <w:sz w:val="28"/>
          <w:szCs w:val="28"/>
        </w:rPr>
      </w:pPr>
      <w:r>
        <w:rPr>
          <w:rFonts w:cs="Times New Roman" w:eastAsiaTheme="minorEastAsia"/>
          <w:sz w:val="28"/>
          <w:szCs w:val="28"/>
        </w:rPr>
        <w:t>3、根据设计进水水质和出水水质要求，优化工艺力求技术先进成熟、处理效果好、运行稳妥可靠、便于管理及维护、高效节能、经济合理，确保污水处理效果，减少工程投资及日常运行费用。</w:t>
      </w:r>
    </w:p>
    <w:p>
      <w:pPr>
        <w:ind w:firstLine="560"/>
        <w:rPr>
          <w:rFonts w:cs="Times New Roman" w:eastAsiaTheme="minorEastAsia"/>
          <w:sz w:val="28"/>
          <w:szCs w:val="28"/>
        </w:rPr>
      </w:pPr>
      <w:r>
        <w:rPr>
          <w:rFonts w:cs="Times New Roman" w:eastAsiaTheme="minorEastAsia"/>
          <w:sz w:val="28"/>
          <w:szCs w:val="28"/>
        </w:rPr>
        <w:t>4、在污水处理厂范围内，厂区总平面图布置力求经济、合理，并充分利用土地，在便于施工、便于安装和维护的前提下，使各构筑物尽量集中，节约用地，扩大绿化面积，使厂区环境和周围环境协调一致。</w:t>
      </w:r>
    </w:p>
    <w:p>
      <w:pPr>
        <w:ind w:firstLine="560"/>
        <w:rPr>
          <w:rFonts w:cs="Times New Roman" w:eastAsiaTheme="minorEastAsia"/>
          <w:sz w:val="28"/>
          <w:szCs w:val="28"/>
        </w:rPr>
      </w:pPr>
      <w:r>
        <w:rPr>
          <w:rFonts w:cs="Times New Roman" w:eastAsiaTheme="minorEastAsia"/>
          <w:sz w:val="28"/>
          <w:szCs w:val="28"/>
        </w:rPr>
        <w:t>5、处理系统的运行成本应在技术合理、确保达标排放的条件下，降低运行费用。同时，不应采用将来在长线运行过程中需要大规模停产检修的工艺。</w:t>
      </w:r>
    </w:p>
    <w:p>
      <w:pPr>
        <w:ind w:firstLine="560"/>
        <w:rPr>
          <w:rFonts w:cs="Times New Roman" w:eastAsiaTheme="minorEastAsia"/>
          <w:sz w:val="28"/>
          <w:szCs w:val="28"/>
        </w:rPr>
      </w:pPr>
      <w:r>
        <w:rPr>
          <w:rFonts w:cs="Times New Roman" w:eastAsiaTheme="minorEastAsia"/>
          <w:sz w:val="28"/>
          <w:szCs w:val="28"/>
        </w:rPr>
        <w:t>6、设计污水处理系统时考虑避免二次污染，尽可能减少对周围环境的影响。</w:t>
      </w:r>
    </w:p>
    <w:p>
      <w:pPr>
        <w:ind w:firstLine="560"/>
        <w:rPr>
          <w:rFonts w:cs="Times New Roman" w:eastAsiaTheme="minorEastAsia"/>
          <w:sz w:val="28"/>
          <w:szCs w:val="28"/>
        </w:rPr>
      </w:pPr>
      <w:r>
        <w:rPr>
          <w:rFonts w:cs="Times New Roman" w:eastAsiaTheme="minorEastAsia"/>
          <w:sz w:val="28"/>
          <w:szCs w:val="28"/>
        </w:rPr>
        <w:t>7、为确保工程的可靠性及有效性，提高自动化水平，降低运行费用，减少日常维护检修工作量，改善操作人员的操作条件。</w:t>
      </w:r>
    </w:p>
    <w:p>
      <w:pPr>
        <w:ind w:firstLine="560"/>
        <w:rPr>
          <w:rFonts w:cs="Times New Roman" w:eastAsiaTheme="minorEastAsia"/>
          <w:sz w:val="28"/>
          <w:szCs w:val="28"/>
        </w:rPr>
      </w:pPr>
      <w:r>
        <w:rPr>
          <w:rFonts w:cs="Times New Roman" w:eastAsiaTheme="minorEastAsia"/>
          <w:sz w:val="28"/>
          <w:szCs w:val="28"/>
        </w:rPr>
        <w:t>8、采用现代化技术手段，实现自动化控制和管理，做到技术可靠、经济合理。</w:t>
      </w:r>
    </w:p>
    <w:p>
      <w:pPr>
        <w:ind w:firstLine="560"/>
        <w:rPr>
          <w:rFonts w:cs="Times New Roman" w:eastAsiaTheme="minorEastAsia"/>
          <w:sz w:val="28"/>
          <w:szCs w:val="28"/>
        </w:rPr>
      </w:pPr>
      <w:r>
        <w:rPr>
          <w:rFonts w:cs="Times New Roman" w:eastAsiaTheme="minorEastAsia"/>
          <w:sz w:val="28"/>
          <w:szCs w:val="28"/>
        </w:rPr>
        <w:t>9、竖向设计力求减少厂区内挖填方量和节省污水提升费用。</w:t>
      </w:r>
    </w:p>
    <w:p>
      <w:pPr>
        <w:pStyle w:val="4"/>
        <w:keepNext w:val="0"/>
        <w:keepLines w:val="0"/>
        <w:spacing w:beforeLines="0" w:afterLines="0"/>
        <w:ind w:firstLine="0" w:firstLineChars="0"/>
        <w:jc w:val="left"/>
        <w:rPr>
          <w:rFonts w:cs="Times New Roman"/>
          <w:sz w:val="28"/>
          <w:szCs w:val="28"/>
        </w:rPr>
      </w:pPr>
      <w:bookmarkStart w:id="47" w:name="_Toc518055147"/>
      <w:bookmarkStart w:id="48" w:name="_Toc459885096"/>
      <w:bookmarkStart w:id="49" w:name="_Toc73367145"/>
      <w:bookmarkStart w:id="50" w:name="_Toc459884202"/>
      <w:r>
        <w:rPr>
          <w:rFonts w:cs="Times New Roman"/>
          <w:sz w:val="28"/>
          <w:szCs w:val="28"/>
        </w:rPr>
        <w:t>2.3工作范围分界</w:t>
      </w:r>
      <w:bookmarkEnd w:id="47"/>
      <w:bookmarkEnd w:id="48"/>
      <w:bookmarkEnd w:id="49"/>
      <w:bookmarkEnd w:id="50"/>
    </w:p>
    <w:p>
      <w:pPr>
        <w:ind w:firstLine="560"/>
        <w:rPr>
          <w:rFonts w:cs="Times New Roman" w:eastAsiaTheme="minorEastAsia"/>
          <w:sz w:val="28"/>
          <w:szCs w:val="28"/>
        </w:rPr>
      </w:pPr>
      <w:bookmarkStart w:id="51" w:name="_Toc432401923"/>
      <w:bookmarkStart w:id="52" w:name="_Toc448849020"/>
      <w:r>
        <w:rPr>
          <w:rFonts w:cs="Times New Roman" w:eastAsiaTheme="minorEastAsia"/>
          <w:sz w:val="28"/>
          <w:szCs w:val="28"/>
        </w:rPr>
        <w:t>废水处理系统作为整体系统进行招标，</w:t>
      </w:r>
      <w:r>
        <w:rPr>
          <w:rFonts w:cs="Times New Roman" w:eastAsiaTheme="minorEastAsia"/>
          <w:bCs/>
          <w:color w:val="000000"/>
          <w:kern w:val="0"/>
          <w:sz w:val="28"/>
          <w:szCs w:val="28"/>
        </w:rPr>
        <w:t>工程边界</w:t>
      </w:r>
      <w:bookmarkEnd w:id="51"/>
      <w:bookmarkEnd w:id="52"/>
      <w:r>
        <w:rPr>
          <w:rFonts w:cs="Times New Roman" w:eastAsiaTheme="minorEastAsia"/>
          <w:bCs/>
          <w:color w:val="000000"/>
          <w:kern w:val="0"/>
          <w:sz w:val="28"/>
          <w:szCs w:val="28"/>
        </w:rPr>
        <w:t>如下：</w:t>
      </w:r>
    </w:p>
    <w:p>
      <w:pPr>
        <w:widowControl/>
        <w:ind w:firstLine="560"/>
        <w:jc w:val="left"/>
        <w:rPr>
          <w:rFonts w:cs="Times New Roman" w:eastAsiaTheme="minorEastAsia"/>
          <w:color w:val="000000"/>
          <w:kern w:val="0"/>
          <w:sz w:val="28"/>
          <w:szCs w:val="28"/>
        </w:rPr>
      </w:pPr>
      <w:r>
        <w:rPr>
          <w:rFonts w:cs="Times New Roman" w:eastAsiaTheme="minorEastAsia"/>
          <w:color w:val="000000"/>
          <w:kern w:val="0"/>
          <w:sz w:val="28"/>
          <w:szCs w:val="28"/>
        </w:rPr>
        <w:t>1、进水：渗滤液接至调节池外1m；</w:t>
      </w:r>
    </w:p>
    <w:p>
      <w:pPr>
        <w:widowControl/>
        <w:ind w:firstLine="560"/>
        <w:jc w:val="left"/>
        <w:rPr>
          <w:rFonts w:cs="Times New Roman" w:eastAsiaTheme="minorEastAsia"/>
          <w:color w:val="000000"/>
          <w:kern w:val="0"/>
          <w:sz w:val="28"/>
          <w:szCs w:val="28"/>
        </w:rPr>
      </w:pPr>
      <w:r>
        <w:rPr>
          <w:rFonts w:cs="Times New Roman" w:eastAsiaTheme="minorEastAsia"/>
          <w:color w:val="000000"/>
          <w:kern w:val="0"/>
          <w:sz w:val="28"/>
          <w:szCs w:val="28"/>
        </w:rPr>
        <w:t>2、出水：处理达标后送至处理车间红线外1m；</w:t>
      </w:r>
    </w:p>
    <w:p>
      <w:pPr>
        <w:widowControl/>
        <w:ind w:firstLine="560"/>
        <w:jc w:val="left"/>
        <w:rPr>
          <w:rFonts w:cs="Times New Roman" w:eastAsiaTheme="minorEastAsia"/>
          <w:color w:val="000000"/>
          <w:kern w:val="0"/>
          <w:sz w:val="28"/>
          <w:szCs w:val="28"/>
        </w:rPr>
      </w:pPr>
      <w:r>
        <w:rPr>
          <w:rFonts w:hint="eastAsia" w:cs="Times New Roman" w:eastAsiaTheme="minorEastAsia"/>
          <w:color w:val="000000"/>
          <w:kern w:val="0"/>
          <w:sz w:val="28"/>
          <w:szCs w:val="28"/>
        </w:rPr>
        <w:t>3</w:t>
      </w:r>
      <w:r>
        <w:rPr>
          <w:rFonts w:cs="Times New Roman" w:eastAsiaTheme="minorEastAsia"/>
          <w:color w:val="000000"/>
          <w:kern w:val="0"/>
          <w:sz w:val="28"/>
          <w:szCs w:val="28"/>
        </w:rPr>
        <w:t>、污泥：脱水污泥含水率8</w:t>
      </w:r>
      <w:r>
        <w:rPr>
          <w:rFonts w:hint="eastAsia" w:cs="Times New Roman" w:eastAsiaTheme="minorEastAsia"/>
          <w:color w:val="000000"/>
          <w:kern w:val="0"/>
          <w:sz w:val="28"/>
          <w:szCs w:val="28"/>
        </w:rPr>
        <w:t>2</w:t>
      </w:r>
      <w:r>
        <w:rPr>
          <w:rFonts w:cs="Times New Roman" w:eastAsiaTheme="minorEastAsia"/>
          <w:color w:val="000000"/>
          <w:kern w:val="0"/>
          <w:sz w:val="28"/>
          <w:szCs w:val="28"/>
        </w:rPr>
        <w:t>%</w:t>
      </w:r>
      <w:r>
        <w:rPr>
          <w:rFonts w:hint="eastAsia" w:cs="Times New Roman" w:eastAsiaTheme="minorEastAsia"/>
          <w:color w:val="000000"/>
          <w:kern w:val="0"/>
          <w:sz w:val="28"/>
          <w:szCs w:val="28"/>
        </w:rPr>
        <w:t>左右</w:t>
      </w:r>
      <w:r>
        <w:rPr>
          <w:rFonts w:cs="Times New Roman" w:eastAsiaTheme="minorEastAsia"/>
          <w:color w:val="000000"/>
          <w:kern w:val="0"/>
          <w:sz w:val="28"/>
          <w:szCs w:val="28"/>
        </w:rPr>
        <w:t>。由招标人负责将脱水污泥</w:t>
      </w:r>
      <w:r>
        <w:rPr>
          <w:rFonts w:hint="eastAsia" w:cs="Times New Roman" w:eastAsiaTheme="minorEastAsia"/>
          <w:color w:val="000000"/>
          <w:kern w:val="0"/>
          <w:sz w:val="28"/>
          <w:szCs w:val="28"/>
        </w:rPr>
        <w:t>外</w:t>
      </w:r>
      <w:r>
        <w:rPr>
          <w:rFonts w:cs="Times New Roman" w:eastAsiaTheme="minorEastAsia"/>
          <w:color w:val="000000"/>
          <w:kern w:val="0"/>
          <w:sz w:val="28"/>
          <w:szCs w:val="28"/>
        </w:rPr>
        <w:t>运处置。</w:t>
      </w:r>
    </w:p>
    <w:p>
      <w:pPr>
        <w:widowControl/>
        <w:ind w:firstLine="560"/>
        <w:jc w:val="left"/>
        <w:rPr>
          <w:rFonts w:cs="Times New Roman" w:eastAsiaTheme="minorEastAsia"/>
          <w:color w:val="000000"/>
          <w:kern w:val="0"/>
          <w:sz w:val="28"/>
          <w:szCs w:val="28"/>
        </w:rPr>
      </w:pPr>
      <w:r>
        <w:rPr>
          <w:rFonts w:hint="eastAsia" w:cs="Times New Roman" w:eastAsiaTheme="minorEastAsia"/>
          <w:color w:val="000000"/>
          <w:kern w:val="0"/>
          <w:sz w:val="28"/>
          <w:szCs w:val="28"/>
        </w:rPr>
        <w:t>4</w:t>
      </w:r>
      <w:r>
        <w:rPr>
          <w:rFonts w:cs="Times New Roman" w:eastAsiaTheme="minorEastAsia"/>
          <w:color w:val="000000"/>
          <w:kern w:val="0"/>
          <w:sz w:val="28"/>
          <w:szCs w:val="28"/>
        </w:rPr>
        <w:t>、自来水：由招标人负责将满足工艺需要的自来水接至废水处理站红线外1m。</w:t>
      </w:r>
    </w:p>
    <w:p>
      <w:pPr>
        <w:ind w:firstLine="560"/>
        <w:rPr>
          <w:rFonts w:cs="Times New Roman" w:eastAsiaTheme="minorEastAsia"/>
          <w:sz w:val="28"/>
          <w:szCs w:val="28"/>
        </w:rPr>
      </w:pPr>
      <w:r>
        <w:rPr>
          <w:rFonts w:hint="eastAsia" w:cs="Times New Roman" w:eastAsiaTheme="minorEastAsia"/>
          <w:color w:val="000000"/>
          <w:kern w:val="0"/>
          <w:sz w:val="28"/>
          <w:szCs w:val="28"/>
        </w:rPr>
        <w:t>5</w:t>
      </w:r>
      <w:r>
        <w:rPr>
          <w:rFonts w:cs="Times New Roman" w:eastAsiaTheme="minorEastAsia"/>
          <w:color w:val="000000"/>
          <w:kern w:val="0"/>
          <w:sz w:val="28"/>
          <w:szCs w:val="28"/>
        </w:rPr>
        <w:t>、电气：由招标人提供380V/220V主电源至处理站配电柜。</w:t>
      </w:r>
    </w:p>
    <w:p>
      <w:pPr>
        <w:pStyle w:val="4"/>
        <w:keepNext w:val="0"/>
        <w:keepLines w:val="0"/>
        <w:spacing w:beforeLines="0" w:afterLines="0"/>
        <w:ind w:firstLine="0" w:firstLineChars="0"/>
        <w:jc w:val="left"/>
        <w:rPr>
          <w:rFonts w:cs="Times New Roman"/>
          <w:sz w:val="28"/>
          <w:szCs w:val="28"/>
        </w:rPr>
      </w:pPr>
      <w:bookmarkStart w:id="53" w:name="_Toc459884203"/>
      <w:bookmarkStart w:id="54" w:name="_Toc73367146"/>
      <w:bookmarkStart w:id="55" w:name="_Toc518055148"/>
      <w:bookmarkStart w:id="56" w:name="_Toc459885097"/>
      <w:r>
        <w:rPr>
          <w:rFonts w:cs="Times New Roman"/>
          <w:sz w:val="28"/>
          <w:szCs w:val="28"/>
        </w:rPr>
        <w:t>2.4设计参数</w:t>
      </w:r>
      <w:bookmarkEnd w:id="53"/>
      <w:bookmarkEnd w:id="54"/>
      <w:bookmarkEnd w:id="55"/>
      <w:bookmarkEnd w:id="56"/>
    </w:p>
    <w:p>
      <w:pPr>
        <w:ind w:firstLine="0" w:firstLineChars="0"/>
        <w:outlineLvl w:val="2"/>
        <w:rPr>
          <w:rFonts w:cs="Times New Roman"/>
          <w:b/>
          <w:sz w:val="28"/>
          <w:szCs w:val="28"/>
        </w:rPr>
      </w:pPr>
      <w:bookmarkStart w:id="57" w:name="_Toc73367147"/>
      <w:r>
        <w:rPr>
          <w:rFonts w:cs="Times New Roman"/>
          <w:b/>
          <w:sz w:val="28"/>
          <w:szCs w:val="28"/>
        </w:rPr>
        <w:t>2.4.1设计进水水量和水质</w:t>
      </w:r>
      <w:bookmarkEnd w:id="57"/>
    </w:p>
    <w:p>
      <w:pPr>
        <w:widowControl/>
        <w:ind w:firstLine="560"/>
        <w:jc w:val="left"/>
        <w:rPr>
          <w:rFonts w:cs="Times New Roman"/>
          <w:color w:val="000000"/>
          <w:kern w:val="0"/>
          <w:sz w:val="28"/>
          <w:szCs w:val="28"/>
        </w:rPr>
      </w:pPr>
      <w:r>
        <w:rPr>
          <w:rFonts w:cs="Times New Roman" w:eastAsiaTheme="minorEastAsia"/>
          <w:color w:val="000000"/>
          <w:kern w:val="0"/>
          <w:sz w:val="28"/>
          <w:szCs w:val="28"/>
        </w:rPr>
        <w:t>1、处理水量：</w:t>
      </w:r>
      <w:r>
        <w:rPr>
          <w:rFonts w:hint="eastAsia" w:cs="Times New Roman" w:eastAsiaTheme="minorEastAsia"/>
          <w:color w:val="000000"/>
          <w:kern w:val="0"/>
          <w:sz w:val="28"/>
          <w:szCs w:val="28"/>
        </w:rPr>
        <w:t>设计</w:t>
      </w:r>
      <w:r>
        <w:rPr>
          <w:rFonts w:cs="Times New Roman" w:eastAsiaTheme="minorEastAsia"/>
          <w:color w:val="000000"/>
          <w:kern w:val="0"/>
          <w:sz w:val="28"/>
          <w:szCs w:val="28"/>
        </w:rPr>
        <w:t>处理水量</w:t>
      </w:r>
      <w:r>
        <w:rPr>
          <w:rFonts w:hint="eastAsia" w:cs="Times New Roman" w:eastAsiaTheme="minorEastAsia"/>
          <w:color w:val="000000"/>
          <w:kern w:val="0"/>
          <w:sz w:val="28"/>
          <w:szCs w:val="28"/>
        </w:rPr>
        <w:t>30</w:t>
      </w:r>
      <w:r>
        <w:rPr>
          <w:rFonts w:cs="Times New Roman"/>
          <w:color w:val="000000"/>
          <w:sz w:val="28"/>
          <w:szCs w:val="28"/>
        </w:rPr>
        <w:t>m</w:t>
      </w:r>
      <w:r>
        <w:rPr>
          <w:rFonts w:cs="Times New Roman"/>
          <w:color w:val="000000"/>
          <w:sz w:val="28"/>
          <w:szCs w:val="28"/>
          <w:vertAlign w:val="superscript"/>
        </w:rPr>
        <w:t>3</w:t>
      </w:r>
      <w:r>
        <w:rPr>
          <w:rFonts w:cs="Times New Roman"/>
          <w:color w:val="000000"/>
          <w:sz w:val="28"/>
          <w:szCs w:val="28"/>
        </w:rPr>
        <w:t>/d</w:t>
      </w:r>
      <w:r>
        <w:rPr>
          <w:rFonts w:hint="eastAsia" w:cs="Times New Roman"/>
          <w:color w:val="000000"/>
          <w:sz w:val="28"/>
          <w:szCs w:val="28"/>
        </w:rPr>
        <w:t>。</w:t>
      </w:r>
    </w:p>
    <w:p>
      <w:pPr>
        <w:widowControl/>
        <w:ind w:firstLine="560"/>
        <w:jc w:val="left"/>
        <w:rPr>
          <w:rFonts w:cs="Times New Roman" w:eastAsiaTheme="minorEastAsia"/>
          <w:color w:val="000000"/>
          <w:kern w:val="0"/>
          <w:sz w:val="28"/>
          <w:szCs w:val="28"/>
        </w:rPr>
      </w:pPr>
      <w:r>
        <w:rPr>
          <w:rFonts w:cs="Times New Roman" w:eastAsiaTheme="minorEastAsia"/>
          <w:color w:val="000000"/>
          <w:kern w:val="0"/>
          <w:sz w:val="28"/>
          <w:szCs w:val="28"/>
        </w:rPr>
        <w:t>2、主要污染物参数见下表：</w:t>
      </w:r>
    </w:p>
    <w:p>
      <w:pPr>
        <w:pStyle w:val="26"/>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（1）进水水质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670"/>
        <w:gridCol w:w="1753"/>
        <w:gridCol w:w="1339"/>
        <w:gridCol w:w="1304"/>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27"/>
              <w:jc w:val="center"/>
            </w:pPr>
            <w:r>
              <w:t>指标</w:t>
            </w:r>
          </w:p>
        </w:tc>
        <w:tc>
          <w:tcPr>
            <w:tcW w:w="1670" w:type="dxa"/>
          </w:tcPr>
          <w:p>
            <w:pPr>
              <w:pStyle w:val="8"/>
              <w:spacing w:beforeLines="25" w:afterLines="25"/>
              <w:ind w:firstLine="0"/>
              <w:jc w:val="center"/>
              <w:rPr>
                <w:rFonts w:ascii="Times New Roman" w:hAnsi="Times New Roman"/>
                <w:szCs w:val="24"/>
              </w:rPr>
            </w:pPr>
            <w:r>
              <w:rPr>
                <w:rFonts w:ascii="Times New Roman" w:hAnsi="Times New Roman"/>
                <w:szCs w:val="24"/>
              </w:rPr>
              <w:t>COD</w:t>
            </w:r>
            <w:r>
              <w:rPr>
                <w:rFonts w:ascii="Times New Roman" w:hAnsi="Times New Roman"/>
                <w:szCs w:val="24"/>
                <w:vertAlign w:val="subscript"/>
              </w:rPr>
              <w:t>cr</w:t>
            </w:r>
          </w:p>
        </w:tc>
        <w:tc>
          <w:tcPr>
            <w:tcW w:w="1753" w:type="dxa"/>
          </w:tcPr>
          <w:p>
            <w:pPr>
              <w:pStyle w:val="27"/>
              <w:jc w:val="center"/>
            </w:pPr>
            <w:r>
              <w:t>BOD</w:t>
            </w:r>
            <w:r>
              <w:rPr>
                <w:vertAlign w:val="subscript"/>
              </w:rPr>
              <w:t>5</w:t>
            </w:r>
          </w:p>
        </w:tc>
        <w:tc>
          <w:tcPr>
            <w:tcW w:w="1339" w:type="dxa"/>
          </w:tcPr>
          <w:p>
            <w:pPr>
              <w:pStyle w:val="27"/>
              <w:jc w:val="center"/>
            </w:pPr>
            <w:r>
              <w:t>SS</w:t>
            </w:r>
          </w:p>
        </w:tc>
        <w:tc>
          <w:tcPr>
            <w:tcW w:w="1304" w:type="dxa"/>
          </w:tcPr>
          <w:p>
            <w:pPr>
              <w:pStyle w:val="27"/>
              <w:jc w:val="center"/>
            </w:pPr>
            <w:r>
              <w:t>NH</w:t>
            </w:r>
            <w:r>
              <w:rPr>
                <w:vertAlign w:val="subscript"/>
              </w:rPr>
              <w:t>3</w:t>
            </w:r>
            <w:r>
              <w:t>-N</w:t>
            </w:r>
          </w:p>
        </w:tc>
        <w:tc>
          <w:tcPr>
            <w:tcW w:w="1036" w:type="dxa"/>
          </w:tcPr>
          <w:p>
            <w:pPr>
              <w:pStyle w:val="27"/>
              <w:jc w:val="center"/>
            </w:pPr>
            <w:r>
              <w:rPr>
                <w:rFonts w:hint="eastAsia"/>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27"/>
              <w:jc w:val="center"/>
            </w:pPr>
            <w:r>
              <w:t>数值mg/l</w:t>
            </w:r>
          </w:p>
        </w:tc>
        <w:tc>
          <w:tcPr>
            <w:tcW w:w="1670" w:type="dxa"/>
          </w:tcPr>
          <w:p>
            <w:pPr>
              <w:pStyle w:val="27"/>
              <w:jc w:val="center"/>
            </w:pPr>
            <w:r>
              <w:rPr>
                <w:rFonts w:asciiTheme="minorEastAsia" w:hAnsiTheme="minorEastAsia" w:eastAsiaTheme="minorEastAsia"/>
              </w:rPr>
              <w:t>29000～35000</w:t>
            </w:r>
          </w:p>
        </w:tc>
        <w:tc>
          <w:tcPr>
            <w:tcW w:w="1753" w:type="dxa"/>
          </w:tcPr>
          <w:p>
            <w:pPr>
              <w:pStyle w:val="27"/>
              <w:jc w:val="center"/>
            </w:pPr>
            <w:r>
              <w:rPr>
                <w:rFonts w:asciiTheme="minorEastAsia" w:hAnsiTheme="minorEastAsia" w:eastAsiaTheme="minorEastAsia"/>
              </w:rPr>
              <w:t>15000～20000</w:t>
            </w:r>
          </w:p>
        </w:tc>
        <w:tc>
          <w:tcPr>
            <w:tcW w:w="1339" w:type="dxa"/>
          </w:tcPr>
          <w:p>
            <w:pPr>
              <w:pStyle w:val="27"/>
              <w:jc w:val="center"/>
            </w:pPr>
            <w:r>
              <w:rPr>
                <w:rFonts w:asciiTheme="minorEastAsia" w:hAnsiTheme="minorEastAsia" w:eastAsiaTheme="minorEastAsia"/>
              </w:rPr>
              <w:t>500～1000</w:t>
            </w:r>
          </w:p>
        </w:tc>
        <w:tc>
          <w:tcPr>
            <w:tcW w:w="1304" w:type="dxa"/>
          </w:tcPr>
          <w:p>
            <w:pPr>
              <w:pStyle w:val="27"/>
              <w:jc w:val="center"/>
            </w:pPr>
            <w:r>
              <w:rPr>
                <w:rFonts w:asciiTheme="minorEastAsia" w:hAnsiTheme="minorEastAsia" w:eastAsiaTheme="minorEastAsia"/>
              </w:rPr>
              <w:t>150～200</w:t>
            </w:r>
          </w:p>
        </w:tc>
        <w:tc>
          <w:tcPr>
            <w:tcW w:w="1036" w:type="dxa"/>
          </w:tcPr>
          <w:p>
            <w:pPr>
              <w:pStyle w:val="27"/>
              <w:jc w:val="center"/>
            </w:pPr>
            <w:r>
              <w:rPr>
                <w:rFonts w:hint="eastAsia"/>
              </w:rPr>
              <w:t>6~8</w:t>
            </w:r>
          </w:p>
        </w:tc>
      </w:tr>
    </w:tbl>
    <w:p>
      <w:pPr>
        <w:ind w:firstLine="0" w:firstLineChars="0"/>
        <w:outlineLvl w:val="2"/>
        <w:rPr>
          <w:rFonts w:cs="Times New Roman"/>
          <w:b/>
          <w:sz w:val="28"/>
          <w:szCs w:val="28"/>
        </w:rPr>
      </w:pPr>
      <w:bookmarkStart w:id="58" w:name="_Toc73367148"/>
      <w:r>
        <w:rPr>
          <w:rFonts w:cs="Times New Roman"/>
          <w:b/>
          <w:sz w:val="28"/>
          <w:szCs w:val="28"/>
        </w:rPr>
        <w:t>2.4.2设计出水水质</w:t>
      </w:r>
      <w:bookmarkEnd w:id="58"/>
    </w:p>
    <w:p>
      <w:pPr>
        <w:widowControl/>
        <w:ind w:firstLine="560"/>
        <w:jc w:val="left"/>
      </w:pPr>
      <w:r>
        <w:rPr>
          <w:rFonts w:hint="eastAsia" w:cs="Times New Roman" w:eastAsiaTheme="minorEastAsia"/>
          <w:color w:val="000000"/>
          <w:kern w:val="0"/>
          <w:sz w:val="28"/>
          <w:szCs w:val="28"/>
        </w:rPr>
        <w:t>本设计出水水质达到GB8978</w:t>
      </w:r>
      <w:r>
        <w:rPr>
          <w:rFonts w:hint="eastAsia"/>
          <w:color w:val="000000"/>
          <w:sz w:val="28"/>
          <w:szCs w:val="28"/>
        </w:rPr>
        <w:t>《污水综合排放标准》</w:t>
      </w:r>
      <w:r>
        <w:rPr>
          <w:rFonts w:hint="eastAsia" w:cs="Times New Roman" w:eastAsiaTheme="minorEastAsia"/>
          <w:color w:val="000000"/>
          <w:kern w:val="0"/>
          <w:sz w:val="28"/>
          <w:szCs w:val="28"/>
        </w:rPr>
        <w:t>中三级标准规定的水质标准，其中主要数值指标见下表：</w:t>
      </w:r>
    </w:p>
    <w:tbl>
      <w:tblPr>
        <w:tblStyle w:val="15"/>
        <w:tblW w:w="7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9"/>
        <w:gridCol w:w="2916"/>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jc w:val="center"/>
        </w:trPr>
        <w:tc>
          <w:tcPr>
            <w:tcW w:w="3429" w:type="dxa"/>
            <w:vMerge w:val="restart"/>
            <w:tcMar>
              <w:left w:w="28" w:type="dxa"/>
              <w:right w:w="28" w:type="dxa"/>
            </w:tcMar>
            <w:vAlign w:val="center"/>
          </w:tcPr>
          <w:p>
            <w:pPr>
              <w:adjustRightInd w:val="0"/>
              <w:spacing w:line="440" w:lineRule="exact"/>
              <w:ind w:firstLine="420"/>
              <w:jc w:val="center"/>
              <w:textAlignment w:val="baseline"/>
              <w:rPr>
                <w:rFonts w:cs="Times New Roman"/>
                <w:smallCaps/>
                <w:sz w:val="21"/>
                <w:szCs w:val="21"/>
              </w:rPr>
            </w:pPr>
            <w:r>
              <w:rPr>
                <w:rFonts w:cs="Times New Roman"/>
                <w:smallCaps/>
                <w:sz w:val="21"/>
                <w:szCs w:val="21"/>
              </w:rPr>
              <w:t>污染物</w:t>
            </w:r>
            <w:r>
              <w:rPr>
                <w:rFonts w:hint="eastAsia" w:cs="Times New Roman"/>
                <w:smallCaps/>
                <w:sz w:val="21"/>
                <w:szCs w:val="21"/>
              </w:rPr>
              <w:t>项目</w:t>
            </w:r>
          </w:p>
        </w:tc>
        <w:tc>
          <w:tcPr>
            <w:tcW w:w="2916" w:type="dxa"/>
            <w:vAlign w:val="center"/>
          </w:tcPr>
          <w:p>
            <w:pPr>
              <w:adjustRightInd w:val="0"/>
              <w:spacing w:line="440" w:lineRule="exact"/>
              <w:ind w:firstLine="420"/>
              <w:jc w:val="center"/>
              <w:textAlignment w:val="baseline"/>
              <w:rPr>
                <w:rFonts w:cs="Times New Roman"/>
                <w:smallCaps/>
                <w:sz w:val="21"/>
                <w:szCs w:val="21"/>
              </w:rPr>
            </w:pPr>
            <w:r>
              <w:rPr>
                <w:rFonts w:hint="eastAsia" w:cs="Times New Roman"/>
                <w:smallCaps/>
                <w:sz w:val="21"/>
                <w:szCs w:val="21"/>
              </w:rPr>
              <w:t>《污水综合排放标准》</w:t>
            </w:r>
          </w:p>
        </w:tc>
        <w:tc>
          <w:tcPr>
            <w:tcW w:w="1161" w:type="dxa"/>
          </w:tcPr>
          <w:p>
            <w:pPr>
              <w:tabs>
                <w:tab w:val="left" w:pos="765"/>
              </w:tabs>
              <w:adjustRightInd w:val="0"/>
              <w:spacing w:line="440" w:lineRule="exact"/>
              <w:ind w:firstLine="420"/>
              <w:textAlignment w:val="baseline"/>
              <w:rPr>
                <w:rFonts w:cs="Times New Roman"/>
                <w:smallCaps/>
                <w:sz w:val="21"/>
                <w:szCs w:val="21"/>
              </w:rPr>
            </w:pPr>
            <w:r>
              <w:rPr>
                <w:rFonts w:cs="Times New Roman"/>
                <w:smallCap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jc w:val="center"/>
        </w:trPr>
        <w:tc>
          <w:tcPr>
            <w:tcW w:w="3429" w:type="dxa"/>
            <w:vMerge w:val="continue"/>
            <w:tcMar>
              <w:left w:w="28" w:type="dxa"/>
              <w:right w:w="28" w:type="dxa"/>
            </w:tcMar>
            <w:vAlign w:val="center"/>
          </w:tcPr>
          <w:p>
            <w:pPr>
              <w:adjustRightInd w:val="0"/>
              <w:spacing w:line="440" w:lineRule="exact"/>
              <w:ind w:firstLine="420"/>
              <w:jc w:val="center"/>
              <w:textAlignment w:val="baseline"/>
              <w:rPr>
                <w:rFonts w:cs="Times New Roman"/>
                <w:smallCaps/>
                <w:sz w:val="21"/>
                <w:szCs w:val="21"/>
              </w:rPr>
            </w:pPr>
          </w:p>
        </w:tc>
        <w:tc>
          <w:tcPr>
            <w:tcW w:w="2916" w:type="dxa"/>
            <w:tcMar>
              <w:left w:w="28" w:type="dxa"/>
              <w:right w:w="28" w:type="dxa"/>
            </w:tcMar>
            <w:vAlign w:val="center"/>
          </w:tcPr>
          <w:p>
            <w:pPr>
              <w:adjustRightInd w:val="0"/>
              <w:spacing w:line="440" w:lineRule="exact"/>
              <w:ind w:firstLine="420"/>
              <w:jc w:val="center"/>
              <w:textAlignment w:val="baseline"/>
              <w:rPr>
                <w:rFonts w:cs="Times New Roman"/>
                <w:smallCaps/>
                <w:sz w:val="21"/>
                <w:szCs w:val="21"/>
              </w:rPr>
            </w:pPr>
            <w:r>
              <w:rPr>
                <w:rFonts w:hint="eastAsia" w:cs="Times New Roman"/>
                <w:smallCaps/>
                <w:sz w:val="21"/>
                <w:szCs w:val="21"/>
              </w:rPr>
              <w:t>三级</w:t>
            </w:r>
            <w:r>
              <w:rPr>
                <w:rFonts w:cs="Times New Roman"/>
                <w:smallCaps/>
                <w:sz w:val="21"/>
                <w:szCs w:val="21"/>
              </w:rPr>
              <w:t>标准</w:t>
            </w:r>
          </w:p>
        </w:tc>
        <w:tc>
          <w:tcPr>
            <w:tcW w:w="1161" w:type="dxa"/>
          </w:tcPr>
          <w:p>
            <w:pPr>
              <w:adjustRightInd w:val="0"/>
              <w:spacing w:line="440" w:lineRule="exact"/>
              <w:ind w:firstLine="420"/>
              <w:textAlignment w:val="baseline"/>
              <w:rPr>
                <w:rFonts w:cs="Times New Roman"/>
                <w:small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429" w:type="dxa"/>
            <w:tcMar>
              <w:left w:w="28" w:type="dxa"/>
              <w:right w:w="28" w:type="dxa"/>
            </w:tcMar>
            <w:vAlign w:val="center"/>
          </w:tcPr>
          <w:p>
            <w:pPr>
              <w:adjustRightInd w:val="0"/>
              <w:spacing w:line="440" w:lineRule="exact"/>
              <w:ind w:firstLine="420"/>
              <w:jc w:val="center"/>
              <w:textAlignment w:val="baseline"/>
              <w:rPr>
                <w:rFonts w:cs="Times New Roman"/>
                <w:smallCaps/>
                <w:sz w:val="21"/>
                <w:szCs w:val="21"/>
              </w:rPr>
            </w:pPr>
            <w:r>
              <w:rPr>
                <w:rFonts w:cs="Times New Roman"/>
                <w:smallCaps/>
                <w:sz w:val="21"/>
                <w:szCs w:val="21"/>
              </w:rPr>
              <w:t>五日生化耗氧量BOD</w:t>
            </w:r>
            <w:r>
              <w:rPr>
                <w:rFonts w:cs="Times New Roman"/>
                <w:smallCaps/>
                <w:sz w:val="21"/>
                <w:szCs w:val="21"/>
                <w:vertAlign w:val="subscript"/>
              </w:rPr>
              <w:t>5</w:t>
            </w:r>
          </w:p>
        </w:tc>
        <w:tc>
          <w:tcPr>
            <w:tcW w:w="2916" w:type="dxa"/>
            <w:tcMar>
              <w:left w:w="28" w:type="dxa"/>
              <w:right w:w="28" w:type="dxa"/>
            </w:tcMar>
            <w:vAlign w:val="center"/>
          </w:tcPr>
          <w:p>
            <w:pPr>
              <w:adjustRightInd w:val="0"/>
              <w:spacing w:line="440" w:lineRule="exact"/>
              <w:ind w:firstLine="420"/>
              <w:jc w:val="center"/>
              <w:textAlignment w:val="baseline"/>
              <w:rPr>
                <w:rFonts w:asciiTheme="minorEastAsia" w:hAnsiTheme="minorEastAsia" w:eastAsiaTheme="minorEastAsia"/>
                <w:sz w:val="21"/>
                <w:szCs w:val="21"/>
              </w:rPr>
            </w:pPr>
            <w:r>
              <w:rPr>
                <w:rFonts w:cs="Times New Roman"/>
                <w:smallCaps/>
                <w:sz w:val="21"/>
                <w:szCs w:val="21"/>
              </w:rPr>
              <w:t>≤</w:t>
            </w:r>
            <w:r>
              <w:rPr>
                <w:rFonts w:hint="eastAsia" w:asciiTheme="minorEastAsia" w:hAnsiTheme="minorEastAsia" w:eastAsiaTheme="minorEastAsia"/>
                <w:sz w:val="21"/>
                <w:szCs w:val="21"/>
              </w:rPr>
              <w:t>300</w:t>
            </w:r>
          </w:p>
        </w:tc>
        <w:tc>
          <w:tcPr>
            <w:tcW w:w="1161" w:type="dxa"/>
          </w:tcPr>
          <w:p>
            <w:pPr>
              <w:adjustRightInd w:val="0"/>
              <w:spacing w:line="440" w:lineRule="exact"/>
              <w:ind w:firstLine="0" w:firstLineChars="0"/>
              <w:textAlignment w:val="baseline"/>
              <w:rPr>
                <w:rFonts w:cs="Times New Roman"/>
                <w:smallCaps/>
                <w:sz w:val="21"/>
                <w:szCs w:val="21"/>
              </w:rPr>
            </w:pPr>
            <w:r>
              <w:rPr>
                <w:rFonts w:hint="eastAsia" w:cs="Times New Roman" w:eastAsiaTheme="minorEastAsia"/>
                <w:color w:val="000000"/>
                <w:kern w:val="0"/>
                <w:sz w:val="28"/>
                <w:szCs w:val="28"/>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429" w:type="dxa"/>
            <w:tcMar>
              <w:left w:w="28" w:type="dxa"/>
              <w:right w:w="28" w:type="dxa"/>
            </w:tcMar>
            <w:vAlign w:val="center"/>
          </w:tcPr>
          <w:p>
            <w:pPr>
              <w:adjustRightInd w:val="0"/>
              <w:spacing w:line="440" w:lineRule="exact"/>
              <w:ind w:firstLine="420"/>
              <w:jc w:val="center"/>
              <w:textAlignment w:val="baseline"/>
              <w:rPr>
                <w:rFonts w:cs="Times New Roman"/>
                <w:smallCaps/>
                <w:sz w:val="21"/>
                <w:szCs w:val="21"/>
              </w:rPr>
            </w:pPr>
            <w:r>
              <w:rPr>
                <w:rFonts w:cs="Times New Roman"/>
                <w:smallCaps/>
                <w:sz w:val="21"/>
                <w:szCs w:val="21"/>
              </w:rPr>
              <w:t>化学耗氧量COD</w:t>
            </w:r>
          </w:p>
        </w:tc>
        <w:tc>
          <w:tcPr>
            <w:tcW w:w="2916" w:type="dxa"/>
            <w:tcMar>
              <w:left w:w="28" w:type="dxa"/>
              <w:right w:w="28" w:type="dxa"/>
            </w:tcMar>
            <w:vAlign w:val="center"/>
          </w:tcPr>
          <w:p>
            <w:pPr>
              <w:adjustRightInd w:val="0"/>
              <w:spacing w:line="440" w:lineRule="exact"/>
              <w:ind w:firstLine="420"/>
              <w:jc w:val="center"/>
              <w:textAlignment w:val="baseline"/>
              <w:rPr>
                <w:rFonts w:asciiTheme="minorEastAsia" w:hAnsiTheme="minorEastAsia" w:eastAsiaTheme="minorEastAsia"/>
                <w:sz w:val="21"/>
                <w:szCs w:val="21"/>
              </w:rPr>
            </w:pPr>
            <w:r>
              <w:rPr>
                <w:rFonts w:cs="Times New Roman"/>
                <w:smallCaps/>
                <w:sz w:val="21"/>
                <w:szCs w:val="21"/>
              </w:rPr>
              <w:t>≤</w:t>
            </w:r>
            <w:r>
              <w:rPr>
                <w:rFonts w:hint="eastAsia" w:asciiTheme="minorEastAsia" w:hAnsiTheme="minorEastAsia" w:eastAsiaTheme="minorEastAsia"/>
                <w:sz w:val="21"/>
                <w:szCs w:val="21"/>
              </w:rPr>
              <w:t>500</w:t>
            </w:r>
          </w:p>
        </w:tc>
        <w:tc>
          <w:tcPr>
            <w:tcW w:w="1161" w:type="dxa"/>
          </w:tcPr>
          <w:p>
            <w:pPr>
              <w:adjustRightInd w:val="0"/>
              <w:spacing w:line="440" w:lineRule="exact"/>
              <w:ind w:firstLine="0" w:firstLineChars="0"/>
              <w:textAlignment w:val="baseline"/>
              <w:rPr>
                <w:rFonts w:cs="Times New Roman"/>
                <w:smallCaps/>
                <w:sz w:val="21"/>
                <w:szCs w:val="21"/>
              </w:rPr>
            </w:pPr>
            <w:r>
              <w:rPr>
                <w:rFonts w:hint="eastAsia" w:cs="Times New Roman" w:eastAsiaTheme="minorEastAsia"/>
                <w:color w:val="000000"/>
                <w:kern w:val="0"/>
                <w:sz w:val="28"/>
                <w:szCs w:val="28"/>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429" w:type="dxa"/>
            <w:tcMar>
              <w:left w:w="28" w:type="dxa"/>
              <w:right w:w="28" w:type="dxa"/>
            </w:tcMar>
            <w:vAlign w:val="center"/>
          </w:tcPr>
          <w:p>
            <w:pPr>
              <w:adjustRightInd w:val="0"/>
              <w:spacing w:line="440" w:lineRule="exact"/>
              <w:ind w:firstLine="420"/>
              <w:jc w:val="center"/>
              <w:textAlignment w:val="baseline"/>
              <w:rPr>
                <w:rFonts w:cs="Times New Roman"/>
                <w:smallCaps/>
                <w:sz w:val="21"/>
                <w:szCs w:val="21"/>
              </w:rPr>
            </w:pPr>
            <w:r>
              <w:rPr>
                <w:rFonts w:hint="eastAsia" w:cs="Times New Roman"/>
                <w:smallCaps/>
                <w:sz w:val="21"/>
                <w:szCs w:val="21"/>
              </w:rPr>
              <w:t>SS</w:t>
            </w:r>
          </w:p>
        </w:tc>
        <w:tc>
          <w:tcPr>
            <w:tcW w:w="2916" w:type="dxa"/>
            <w:tcMar>
              <w:left w:w="28" w:type="dxa"/>
              <w:right w:w="28" w:type="dxa"/>
            </w:tcMar>
            <w:vAlign w:val="center"/>
          </w:tcPr>
          <w:p>
            <w:pPr>
              <w:adjustRightInd w:val="0"/>
              <w:spacing w:line="440" w:lineRule="exact"/>
              <w:ind w:firstLine="420"/>
              <w:jc w:val="center"/>
              <w:textAlignment w:val="baseline"/>
              <w:rPr>
                <w:rFonts w:asciiTheme="minorEastAsia" w:hAnsiTheme="minorEastAsia" w:eastAsiaTheme="minorEastAsia"/>
                <w:sz w:val="21"/>
                <w:szCs w:val="21"/>
              </w:rPr>
            </w:pPr>
            <w:r>
              <w:rPr>
                <w:rFonts w:cs="Times New Roman"/>
                <w:smallCaps/>
                <w:sz w:val="21"/>
                <w:szCs w:val="21"/>
              </w:rPr>
              <w:t>≤</w:t>
            </w:r>
            <w:r>
              <w:rPr>
                <w:rFonts w:hint="eastAsia" w:asciiTheme="minorEastAsia" w:hAnsiTheme="minorEastAsia" w:eastAsiaTheme="minorEastAsia"/>
                <w:sz w:val="21"/>
                <w:szCs w:val="21"/>
              </w:rPr>
              <w:t>400</w:t>
            </w:r>
          </w:p>
        </w:tc>
        <w:tc>
          <w:tcPr>
            <w:tcW w:w="1161" w:type="dxa"/>
          </w:tcPr>
          <w:p>
            <w:pPr>
              <w:adjustRightInd w:val="0"/>
              <w:spacing w:line="440" w:lineRule="exact"/>
              <w:ind w:firstLine="0" w:firstLineChars="0"/>
              <w:textAlignment w:val="baseline"/>
              <w:rPr>
                <w:rFonts w:cs="Times New Roman"/>
                <w:smallCaps/>
                <w:sz w:val="21"/>
                <w:szCs w:val="21"/>
              </w:rPr>
            </w:pPr>
            <w:r>
              <w:rPr>
                <w:rFonts w:hint="eastAsia" w:cs="Times New Roman" w:eastAsiaTheme="minorEastAsia"/>
                <w:color w:val="000000"/>
                <w:kern w:val="0"/>
                <w:sz w:val="28"/>
                <w:szCs w:val="28"/>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429" w:type="dxa"/>
            <w:tcMar>
              <w:left w:w="28" w:type="dxa"/>
              <w:right w:w="28" w:type="dxa"/>
            </w:tcMar>
            <w:vAlign w:val="center"/>
          </w:tcPr>
          <w:p>
            <w:pPr>
              <w:adjustRightInd w:val="0"/>
              <w:spacing w:line="440" w:lineRule="exact"/>
              <w:ind w:firstLine="420"/>
              <w:jc w:val="center"/>
              <w:textAlignment w:val="baseline"/>
              <w:rPr>
                <w:rFonts w:cs="Times New Roman"/>
                <w:smallCaps/>
                <w:sz w:val="21"/>
                <w:szCs w:val="21"/>
              </w:rPr>
            </w:pPr>
            <w:r>
              <w:rPr>
                <w:rFonts w:hint="eastAsia" w:cs="Times New Roman"/>
                <w:smallCaps/>
                <w:sz w:val="21"/>
                <w:szCs w:val="21"/>
              </w:rPr>
              <w:t>PH</w:t>
            </w:r>
          </w:p>
        </w:tc>
        <w:tc>
          <w:tcPr>
            <w:tcW w:w="2916" w:type="dxa"/>
            <w:tcMar>
              <w:left w:w="28" w:type="dxa"/>
              <w:right w:w="28" w:type="dxa"/>
            </w:tcMar>
            <w:vAlign w:val="center"/>
          </w:tcPr>
          <w:p>
            <w:pPr>
              <w:adjustRightInd w:val="0"/>
              <w:spacing w:line="440" w:lineRule="exact"/>
              <w:ind w:firstLine="420"/>
              <w:jc w:val="center"/>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rPr>
              <w:t>～</w:t>
            </w:r>
            <w:r>
              <w:rPr>
                <w:rFonts w:hint="eastAsia" w:asciiTheme="minorEastAsia" w:hAnsiTheme="minorEastAsia" w:eastAsiaTheme="minorEastAsia"/>
                <w:sz w:val="21"/>
                <w:szCs w:val="21"/>
              </w:rPr>
              <w:t>9</w:t>
            </w:r>
          </w:p>
        </w:tc>
        <w:tc>
          <w:tcPr>
            <w:tcW w:w="1161" w:type="dxa"/>
          </w:tcPr>
          <w:p>
            <w:pPr>
              <w:adjustRightInd w:val="0"/>
              <w:spacing w:line="440" w:lineRule="exact"/>
              <w:ind w:firstLine="420"/>
              <w:textAlignment w:val="baseline"/>
              <w:rPr>
                <w:rFonts w:asciiTheme="minorEastAsia" w:hAnsiTheme="minorEastAsia" w:eastAsiaTheme="minorEastAsia"/>
                <w:sz w:val="21"/>
                <w:szCs w:val="21"/>
              </w:rPr>
            </w:pPr>
          </w:p>
        </w:tc>
      </w:tr>
    </w:tbl>
    <w:p>
      <w:pPr>
        <w:ind w:firstLine="480"/>
        <w:jc w:val="left"/>
        <w:rPr>
          <w:rFonts w:cs="Times New Roman"/>
          <w:bCs/>
          <w:szCs w:val="32"/>
        </w:rPr>
      </w:pPr>
      <w:bookmarkStart w:id="59" w:name="_Toc459884204"/>
      <w:bookmarkStart w:id="60" w:name="_Toc459885098"/>
      <w:bookmarkStart w:id="61" w:name="_Toc518055149"/>
      <w:bookmarkStart w:id="62" w:name="_Toc73367149"/>
      <w:r>
        <w:rPr>
          <w:rFonts w:cs="Times New Roman"/>
          <w:bCs/>
          <w:szCs w:val="32"/>
        </w:rPr>
        <w:t>三、工艺</w:t>
      </w:r>
      <w:bookmarkEnd w:id="59"/>
      <w:bookmarkEnd w:id="60"/>
      <w:r>
        <w:rPr>
          <w:rFonts w:cs="Times New Roman"/>
          <w:bCs/>
          <w:szCs w:val="32"/>
        </w:rPr>
        <w:t>流程</w:t>
      </w:r>
      <w:bookmarkEnd w:id="61"/>
      <w:bookmarkEnd w:id="62"/>
      <w:r>
        <w:rPr>
          <w:rFonts w:cs="Times New Roman"/>
          <w:bCs/>
          <w:szCs w:val="32"/>
        </w:rPr>
        <w:tab/>
      </w:r>
    </w:p>
    <w:p>
      <w:pPr>
        <w:ind w:firstLine="560"/>
        <w:jc w:val="left"/>
        <w:rPr>
          <w:rFonts w:cs="Times New Roman"/>
          <w:sz w:val="28"/>
          <w:szCs w:val="28"/>
        </w:rPr>
      </w:pPr>
      <w:r>
        <w:rPr>
          <w:rFonts w:cs="Times New Roman" w:eastAsiaTheme="minorEastAsia"/>
          <w:sz w:val="28"/>
          <w:szCs w:val="28"/>
        </w:rPr>
        <w:t>本方案采用“</w:t>
      </w:r>
      <w:r>
        <w:rPr>
          <w:rFonts w:cs="Times New Roman" w:eastAsiaTheme="minorEastAsia"/>
          <w:b/>
          <w:sz w:val="28"/>
          <w:szCs w:val="28"/>
        </w:rPr>
        <w:t>格栅+</w:t>
      </w:r>
      <w:r>
        <w:rPr>
          <w:rFonts w:hint="eastAsia" w:cs="Times New Roman" w:eastAsiaTheme="minorEastAsia"/>
          <w:b/>
          <w:sz w:val="28"/>
          <w:szCs w:val="28"/>
        </w:rPr>
        <w:t>沉淀+隔油+气浮</w:t>
      </w:r>
      <w:r>
        <w:rPr>
          <w:rFonts w:cs="Times New Roman" w:eastAsiaTheme="minorEastAsia"/>
          <w:b/>
          <w:sz w:val="28"/>
          <w:szCs w:val="28"/>
        </w:rPr>
        <w:t>+调节池+高效厌氧+</w:t>
      </w:r>
      <w:r>
        <w:rPr>
          <w:rFonts w:hint="eastAsia" w:cs="Times New Roman" w:eastAsiaTheme="minorEastAsia"/>
          <w:b/>
          <w:sz w:val="28"/>
          <w:szCs w:val="28"/>
        </w:rPr>
        <w:t>两级</w:t>
      </w:r>
      <w:r>
        <w:rPr>
          <w:rFonts w:cs="Times New Roman" w:eastAsiaTheme="minorEastAsia"/>
          <w:b/>
          <w:sz w:val="28"/>
          <w:szCs w:val="28"/>
        </w:rPr>
        <w:t>AO+MBR+</w:t>
      </w:r>
      <w:r>
        <w:rPr>
          <w:rFonts w:hint="eastAsia" w:cs="Times New Roman" w:eastAsiaTheme="minorEastAsia"/>
          <w:b/>
          <w:sz w:val="28"/>
          <w:szCs w:val="28"/>
        </w:rPr>
        <w:t>消毒</w:t>
      </w:r>
      <w:r>
        <w:rPr>
          <w:rFonts w:cs="Times New Roman" w:eastAsiaTheme="minorEastAsia"/>
          <w:b/>
          <w:sz w:val="28"/>
          <w:szCs w:val="28"/>
        </w:rPr>
        <w:t>”处理工艺</w:t>
      </w:r>
      <w:r>
        <w:rPr>
          <w:rFonts w:cs="Times New Roman" w:eastAsiaTheme="minorEastAsia"/>
          <w:sz w:val="28"/>
          <w:szCs w:val="28"/>
        </w:rPr>
        <w:t>。</w:t>
      </w:r>
      <w:r>
        <w:rPr>
          <w:rFonts w:hint="eastAsia" w:cs="Times New Roman"/>
          <w:sz w:val="28"/>
          <w:szCs w:val="28"/>
        </w:rPr>
        <w:t>（</w:t>
      </w:r>
      <w:r>
        <w:rPr>
          <w:rFonts w:cs="Times New Roman"/>
          <w:sz w:val="28"/>
          <w:szCs w:val="28"/>
        </w:rPr>
        <w:t>1</w:t>
      </w:r>
      <w:r>
        <w:rPr>
          <w:rFonts w:hint="eastAsia" w:cs="Times New Roman"/>
          <w:sz w:val="28"/>
          <w:szCs w:val="28"/>
        </w:rPr>
        <w:t>）垃圾渗滤液经集水池后，泵入格栅池，经过格栅机过滤后进入沉淀池。（</w:t>
      </w:r>
      <w:r>
        <w:rPr>
          <w:rFonts w:cs="Times New Roman"/>
          <w:sz w:val="28"/>
          <w:szCs w:val="28"/>
        </w:rPr>
        <w:t>2</w:t>
      </w:r>
      <w:r>
        <w:rPr>
          <w:rFonts w:hint="eastAsia" w:cs="Times New Roman"/>
          <w:sz w:val="28"/>
          <w:szCs w:val="28"/>
        </w:rPr>
        <w:t>）沉淀池出水进入隔油池，在隔油池中完成初步油水分离。（</w:t>
      </w:r>
      <w:r>
        <w:rPr>
          <w:rFonts w:cs="Times New Roman"/>
          <w:sz w:val="28"/>
          <w:szCs w:val="28"/>
        </w:rPr>
        <w:t>3</w:t>
      </w:r>
      <w:r>
        <w:rPr>
          <w:rFonts w:hint="eastAsia" w:cs="Times New Roman"/>
          <w:sz w:val="28"/>
          <w:szCs w:val="28"/>
        </w:rPr>
        <w:t>）隔油池出水泵入气浮机，进一步去除废水中的油脂类。（</w:t>
      </w:r>
      <w:r>
        <w:rPr>
          <w:rFonts w:cs="Times New Roman"/>
          <w:sz w:val="28"/>
          <w:szCs w:val="28"/>
        </w:rPr>
        <w:t>4</w:t>
      </w:r>
      <w:r>
        <w:rPr>
          <w:rFonts w:hint="eastAsia" w:cs="Times New Roman"/>
          <w:sz w:val="28"/>
          <w:szCs w:val="28"/>
        </w:rPr>
        <w:t>）气浮机出水进入调节池，在调节池中均质均量，经过匀质和水量调节的废水。（</w:t>
      </w:r>
      <w:r>
        <w:rPr>
          <w:rFonts w:cs="Times New Roman"/>
          <w:sz w:val="28"/>
          <w:szCs w:val="28"/>
        </w:rPr>
        <w:t>5</w:t>
      </w:r>
      <w:r>
        <w:rPr>
          <w:rFonts w:hint="eastAsia" w:cs="Times New Roman"/>
          <w:sz w:val="28"/>
          <w:szCs w:val="28"/>
        </w:rPr>
        <w:t>）通过进水泵送至厌氧反应器，在厌氧反应器中利用厌氧微生物将高浓度有机废水最终转化为沼气，废水中大部分有机物被降解。（</w:t>
      </w:r>
      <w:r>
        <w:rPr>
          <w:rFonts w:cs="Times New Roman"/>
          <w:sz w:val="28"/>
          <w:szCs w:val="28"/>
        </w:rPr>
        <w:t>6</w:t>
      </w:r>
      <w:r>
        <w:rPr>
          <w:rFonts w:hint="eastAsia" w:cs="Times New Roman"/>
          <w:sz w:val="28"/>
          <w:szCs w:val="28"/>
        </w:rPr>
        <w:t>）厌氧反应器出水进入二级硝化反硝化，通过好氧生物的吸附和降解作用去除废水中的有机物，并利用硝化反硝化菌，实现生物脱氮的目的。（</w:t>
      </w:r>
      <w:r>
        <w:rPr>
          <w:rFonts w:cs="Times New Roman"/>
          <w:sz w:val="28"/>
          <w:szCs w:val="28"/>
        </w:rPr>
        <w:t>7</w:t>
      </w:r>
      <w:r>
        <w:rPr>
          <w:rFonts w:hint="eastAsia" w:cs="Times New Roman"/>
          <w:sz w:val="28"/>
          <w:szCs w:val="28"/>
        </w:rPr>
        <w:t>）利用超滤膜的截留作用使微生物完全被截留在生物反应器中，实现水力停留时间和污泥龄的完全分离。（</w:t>
      </w:r>
      <w:r>
        <w:rPr>
          <w:rFonts w:cs="Times New Roman"/>
          <w:sz w:val="28"/>
          <w:szCs w:val="28"/>
        </w:rPr>
        <w:t>8</w:t>
      </w:r>
      <w:r>
        <w:rPr>
          <w:rFonts w:hint="eastAsia" w:cs="Times New Roman"/>
          <w:sz w:val="28"/>
          <w:szCs w:val="28"/>
        </w:rPr>
        <w:t>）</w:t>
      </w:r>
      <w:r>
        <w:rPr>
          <w:rFonts w:cs="Times New Roman"/>
          <w:sz w:val="28"/>
          <w:szCs w:val="28"/>
        </w:rPr>
        <w:t>MBR</w:t>
      </w:r>
      <w:r>
        <w:rPr>
          <w:rFonts w:hint="eastAsia" w:cs="Times New Roman"/>
          <w:sz w:val="28"/>
          <w:szCs w:val="28"/>
        </w:rPr>
        <w:t>出水进入消毒池消毒处理，出水达标排放。（</w:t>
      </w:r>
      <w:r>
        <w:rPr>
          <w:rFonts w:cs="Times New Roman"/>
          <w:sz w:val="28"/>
          <w:szCs w:val="28"/>
        </w:rPr>
        <w:t>9</w:t>
      </w:r>
      <w:r>
        <w:rPr>
          <w:rFonts w:hint="eastAsia" w:cs="Times New Roman"/>
          <w:sz w:val="28"/>
          <w:szCs w:val="28"/>
        </w:rPr>
        <w:t>）沉淀池污泥、厌氧和好氧剩余污泥泵至污泥池，然后通过泵输送至污泥脱水机进行脱水，泥饼由业主外运处置。（</w:t>
      </w:r>
      <w:r>
        <w:rPr>
          <w:rFonts w:cs="Times New Roman"/>
          <w:sz w:val="28"/>
          <w:szCs w:val="28"/>
        </w:rPr>
        <w:t>10</w:t>
      </w:r>
      <w:r>
        <w:rPr>
          <w:rFonts w:hint="eastAsia" w:cs="Times New Roman"/>
          <w:sz w:val="28"/>
          <w:szCs w:val="28"/>
        </w:rPr>
        <w:t>）格栅机渣料、浮油由业主外运处置。</w:t>
      </w:r>
    </w:p>
    <w:p>
      <w:pPr>
        <w:pStyle w:val="4"/>
        <w:keepNext w:val="0"/>
        <w:keepLines w:val="0"/>
        <w:spacing w:beforeLines="0" w:afterLines="0"/>
        <w:ind w:firstLine="0" w:firstLineChars="0"/>
        <w:jc w:val="left"/>
        <w:rPr>
          <w:rFonts w:cs="Times New Roman"/>
          <w:sz w:val="28"/>
          <w:szCs w:val="28"/>
        </w:rPr>
      </w:pPr>
      <w:bookmarkStart w:id="63" w:name="_Toc459884206"/>
      <w:bookmarkStart w:id="64" w:name="_Toc459885100"/>
      <w:bookmarkStart w:id="65" w:name="_Toc518055150"/>
      <w:bookmarkStart w:id="66" w:name="_Toc73367150"/>
      <w:r>
        <w:rPr>
          <w:rFonts w:cs="Times New Roman"/>
          <w:sz w:val="28"/>
          <w:szCs w:val="28"/>
        </w:rPr>
        <w:t>3.1系统的组成和功能</w:t>
      </w:r>
      <w:bookmarkEnd w:id="63"/>
      <w:bookmarkEnd w:id="64"/>
      <w:bookmarkEnd w:id="65"/>
      <w:bookmarkEnd w:id="66"/>
    </w:p>
    <w:p>
      <w:pPr>
        <w:ind w:firstLine="560"/>
        <w:rPr>
          <w:rFonts w:cs="Times New Roman" w:eastAsiaTheme="minorEastAsia"/>
          <w:sz w:val="28"/>
          <w:szCs w:val="28"/>
        </w:rPr>
      </w:pPr>
      <w:r>
        <w:rPr>
          <w:rFonts w:cs="Times New Roman" w:eastAsiaTheme="minorEastAsia"/>
          <w:sz w:val="28"/>
          <w:szCs w:val="28"/>
        </w:rPr>
        <w:t>工艺各系统的组成和功能见下表3.1-1所示：</w:t>
      </w:r>
    </w:p>
    <w:p>
      <w:pPr>
        <w:pStyle w:val="28"/>
        <w:spacing w:beforeLines="0"/>
        <w:rPr>
          <w:b w:val="0"/>
          <w:color w:val="000000"/>
          <w:sz w:val="24"/>
        </w:rPr>
      </w:pPr>
      <w:r>
        <w:rPr>
          <w:b w:val="0"/>
          <w:color w:val="000000"/>
          <w:sz w:val="24"/>
        </w:rPr>
        <w:t>表3.1-1 工艺组成及功能简述</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204"/>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shd w:val="clear" w:color="auto" w:fill="auto"/>
            <w:vAlign w:val="center"/>
          </w:tcPr>
          <w:p>
            <w:pPr>
              <w:spacing w:line="240" w:lineRule="auto"/>
              <w:ind w:firstLine="0" w:firstLineChars="0"/>
              <w:jc w:val="center"/>
              <w:rPr>
                <w:rFonts w:cs="Times New Roman" w:eastAsiaTheme="minorEastAsia"/>
                <w:b/>
                <w:szCs w:val="24"/>
              </w:rPr>
            </w:pPr>
            <w:r>
              <w:rPr>
                <w:rFonts w:cs="Times New Roman" w:eastAsiaTheme="minorEastAsia"/>
                <w:b/>
                <w:szCs w:val="24"/>
              </w:rPr>
              <w:t>序号</w:t>
            </w:r>
          </w:p>
        </w:tc>
        <w:tc>
          <w:tcPr>
            <w:tcW w:w="1204" w:type="dxa"/>
            <w:shd w:val="clear" w:color="auto" w:fill="auto"/>
            <w:vAlign w:val="center"/>
          </w:tcPr>
          <w:p>
            <w:pPr>
              <w:spacing w:line="240" w:lineRule="auto"/>
              <w:ind w:firstLine="0" w:firstLineChars="0"/>
              <w:jc w:val="center"/>
              <w:rPr>
                <w:rFonts w:cs="Times New Roman" w:eastAsiaTheme="minorEastAsia"/>
                <w:b/>
                <w:szCs w:val="24"/>
              </w:rPr>
            </w:pPr>
            <w:r>
              <w:rPr>
                <w:rFonts w:cs="Times New Roman" w:eastAsiaTheme="minorEastAsia"/>
                <w:b/>
                <w:szCs w:val="24"/>
              </w:rPr>
              <w:t>构筑物/设备</w:t>
            </w:r>
          </w:p>
        </w:tc>
        <w:tc>
          <w:tcPr>
            <w:tcW w:w="6942" w:type="dxa"/>
            <w:shd w:val="clear" w:color="auto" w:fill="auto"/>
            <w:vAlign w:val="center"/>
          </w:tcPr>
          <w:p>
            <w:pPr>
              <w:spacing w:line="240" w:lineRule="auto"/>
              <w:ind w:firstLine="0" w:firstLineChars="0"/>
              <w:jc w:val="center"/>
              <w:rPr>
                <w:rFonts w:cs="Times New Roman" w:eastAsiaTheme="minorEastAsia"/>
                <w:b/>
                <w:szCs w:val="24"/>
              </w:rPr>
            </w:pPr>
            <w:r>
              <w:rPr>
                <w:rFonts w:cs="Times New Roman" w:eastAsiaTheme="minorEastAsia"/>
                <w:b/>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2" w:type="dxa"/>
            <w:gridSpan w:val="3"/>
            <w:shd w:val="clear" w:color="auto" w:fill="auto"/>
            <w:vAlign w:val="center"/>
          </w:tcPr>
          <w:p>
            <w:pPr>
              <w:spacing w:line="240" w:lineRule="auto"/>
              <w:ind w:firstLine="0" w:firstLineChars="0"/>
              <w:jc w:val="left"/>
              <w:rPr>
                <w:rFonts w:cs="Times New Roman" w:eastAsiaTheme="minorEastAsia"/>
                <w:szCs w:val="24"/>
              </w:rPr>
            </w:pPr>
            <w:r>
              <w:rPr>
                <w:rFonts w:cs="Times New Roman" w:eastAsiaTheme="minorEastAsia"/>
                <w:szCs w:val="24"/>
              </w:rPr>
              <w:t>渗滤液处理系统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26" w:type="dxa"/>
            <w:shd w:val="clear" w:color="auto" w:fill="auto"/>
            <w:vAlign w:val="center"/>
          </w:tcPr>
          <w:p>
            <w:pPr>
              <w:spacing w:line="240" w:lineRule="auto"/>
              <w:ind w:firstLine="0" w:firstLineChars="0"/>
              <w:jc w:val="center"/>
              <w:rPr>
                <w:rFonts w:cs="Times New Roman" w:eastAsiaTheme="minorEastAsia"/>
                <w:szCs w:val="24"/>
              </w:rPr>
            </w:pPr>
            <w:r>
              <w:rPr>
                <w:rFonts w:cs="Times New Roman" w:eastAsiaTheme="minorEastAsia"/>
                <w:szCs w:val="24"/>
              </w:rPr>
              <w:t>1</w:t>
            </w:r>
          </w:p>
        </w:tc>
        <w:tc>
          <w:tcPr>
            <w:tcW w:w="1204" w:type="dxa"/>
            <w:shd w:val="clear" w:color="auto" w:fill="auto"/>
            <w:vAlign w:val="center"/>
          </w:tcPr>
          <w:p>
            <w:pPr>
              <w:spacing w:line="240" w:lineRule="auto"/>
              <w:ind w:firstLine="0" w:firstLineChars="0"/>
              <w:jc w:val="center"/>
              <w:rPr>
                <w:rFonts w:cs="Times New Roman" w:eastAsiaTheme="minorEastAsia"/>
                <w:szCs w:val="24"/>
              </w:rPr>
            </w:pPr>
            <w:r>
              <w:rPr>
                <w:rFonts w:cs="Times New Roman" w:eastAsiaTheme="minorEastAsia"/>
                <w:szCs w:val="24"/>
              </w:rPr>
              <w:t>格栅机</w:t>
            </w:r>
          </w:p>
        </w:tc>
        <w:tc>
          <w:tcPr>
            <w:tcW w:w="6942" w:type="dxa"/>
            <w:shd w:val="clear" w:color="auto" w:fill="auto"/>
            <w:vAlign w:val="center"/>
          </w:tcPr>
          <w:p>
            <w:pPr>
              <w:spacing w:line="240" w:lineRule="auto"/>
              <w:ind w:firstLine="0" w:firstLineChars="0"/>
              <w:jc w:val="left"/>
              <w:rPr>
                <w:rFonts w:cs="Times New Roman" w:eastAsiaTheme="minorEastAsia"/>
                <w:szCs w:val="24"/>
              </w:rPr>
            </w:pPr>
            <w:r>
              <w:rPr>
                <w:rFonts w:cs="Times New Roman" w:eastAsiaTheme="minorEastAsia"/>
                <w:szCs w:val="24"/>
              </w:rPr>
              <w:t>对废水中大块固体杂质进行机械分离，以防止对后续设备造成不利影响。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26" w:type="dxa"/>
            <w:shd w:val="clear" w:color="auto" w:fill="auto"/>
            <w:vAlign w:val="center"/>
          </w:tcPr>
          <w:p>
            <w:pPr>
              <w:spacing w:line="240" w:lineRule="auto"/>
              <w:ind w:firstLine="0" w:firstLineChars="0"/>
              <w:jc w:val="center"/>
              <w:rPr>
                <w:rFonts w:cs="Times New Roman" w:eastAsiaTheme="minorEastAsia"/>
                <w:szCs w:val="24"/>
              </w:rPr>
            </w:pPr>
            <w:r>
              <w:rPr>
                <w:rFonts w:cs="Times New Roman" w:eastAsiaTheme="minorEastAsia"/>
                <w:szCs w:val="24"/>
              </w:rPr>
              <w:t>2</w:t>
            </w:r>
          </w:p>
        </w:tc>
        <w:tc>
          <w:tcPr>
            <w:tcW w:w="1204" w:type="dxa"/>
            <w:shd w:val="clear" w:color="auto" w:fill="auto"/>
            <w:vAlign w:val="center"/>
          </w:tcPr>
          <w:p>
            <w:pPr>
              <w:spacing w:line="240" w:lineRule="auto"/>
              <w:ind w:firstLine="0" w:firstLineChars="0"/>
              <w:jc w:val="center"/>
              <w:rPr>
                <w:rFonts w:cs="Times New Roman" w:eastAsiaTheme="minorEastAsia"/>
                <w:szCs w:val="24"/>
              </w:rPr>
            </w:pPr>
            <w:r>
              <w:rPr>
                <w:rFonts w:hint="eastAsia" w:cs="Times New Roman" w:eastAsiaTheme="minorEastAsia"/>
                <w:szCs w:val="24"/>
              </w:rPr>
              <w:t>沉淀池</w:t>
            </w:r>
          </w:p>
        </w:tc>
        <w:tc>
          <w:tcPr>
            <w:tcW w:w="6942" w:type="dxa"/>
            <w:shd w:val="clear" w:color="auto" w:fill="auto"/>
            <w:vAlign w:val="center"/>
          </w:tcPr>
          <w:p>
            <w:pPr>
              <w:spacing w:line="240" w:lineRule="auto"/>
              <w:ind w:firstLine="0" w:firstLineChars="0"/>
              <w:jc w:val="left"/>
              <w:rPr>
                <w:rFonts w:cs="Times New Roman" w:eastAsiaTheme="minorEastAsia"/>
                <w:szCs w:val="24"/>
              </w:rPr>
            </w:pPr>
            <w:r>
              <w:rPr>
                <w:rFonts w:cs="Times New Roman" w:eastAsiaTheme="minorEastAsia"/>
                <w:szCs w:val="24"/>
              </w:rPr>
              <w:t>对废水中固体悬浮物进行沉淀分离，以减轻后续生化反应的负荷并防止无机杂质在调节池、厌氧反应器沉积。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26" w:type="dxa"/>
            <w:shd w:val="clear" w:color="auto" w:fill="auto"/>
            <w:vAlign w:val="center"/>
          </w:tcPr>
          <w:p>
            <w:pPr>
              <w:spacing w:line="240" w:lineRule="auto"/>
              <w:ind w:firstLine="0" w:firstLineChars="0"/>
              <w:jc w:val="center"/>
              <w:rPr>
                <w:rFonts w:cs="Times New Roman" w:eastAsiaTheme="minorEastAsia"/>
                <w:szCs w:val="24"/>
              </w:rPr>
            </w:pPr>
            <w:r>
              <w:rPr>
                <w:rFonts w:hint="eastAsia" w:cs="Times New Roman" w:eastAsiaTheme="minorEastAsia"/>
                <w:szCs w:val="24"/>
              </w:rPr>
              <w:t>3</w:t>
            </w:r>
          </w:p>
        </w:tc>
        <w:tc>
          <w:tcPr>
            <w:tcW w:w="1204" w:type="dxa"/>
            <w:shd w:val="clear" w:color="auto" w:fill="auto"/>
            <w:vAlign w:val="center"/>
          </w:tcPr>
          <w:p>
            <w:pPr>
              <w:spacing w:line="240" w:lineRule="auto"/>
              <w:ind w:firstLine="0" w:firstLineChars="0"/>
              <w:jc w:val="center"/>
              <w:rPr>
                <w:rFonts w:cs="Times New Roman" w:eastAsiaTheme="minorEastAsia"/>
                <w:szCs w:val="24"/>
              </w:rPr>
            </w:pPr>
            <w:r>
              <w:rPr>
                <w:rFonts w:hint="eastAsia" w:cs="Times New Roman" w:eastAsiaTheme="minorEastAsia"/>
                <w:szCs w:val="24"/>
              </w:rPr>
              <w:t>隔油池</w:t>
            </w:r>
          </w:p>
        </w:tc>
        <w:tc>
          <w:tcPr>
            <w:tcW w:w="6942" w:type="dxa"/>
            <w:shd w:val="clear" w:color="auto" w:fill="auto"/>
            <w:vAlign w:val="center"/>
          </w:tcPr>
          <w:p>
            <w:pPr>
              <w:spacing w:line="240" w:lineRule="auto"/>
              <w:ind w:firstLine="0" w:firstLineChars="0"/>
              <w:jc w:val="left"/>
              <w:rPr>
                <w:rFonts w:cs="Times New Roman" w:eastAsiaTheme="minorEastAsia"/>
                <w:szCs w:val="24"/>
              </w:rPr>
            </w:pPr>
            <w:r>
              <w:rPr>
                <w:rFonts w:hint="eastAsia" w:cs="Times New Roman" w:eastAsiaTheme="minorEastAsia"/>
                <w:szCs w:val="24"/>
              </w:rPr>
              <w:t>初步实现油水分离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26" w:type="dxa"/>
            <w:shd w:val="clear" w:color="auto" w:fill="auto"/>
            <w:vAlign w:val="center"/>
          </w:tcPr>
          <w:p>
            <w:pPr>
              <w:spacing w:line="240" w:lineRule="auto"/>
              <w:ind w:firstLine="0" w:firstLineChars="0"/>
              <w:jc w:val="center"/>
              <w:rPr>
                <w:rFonts w:cs="Times New Roman" w:eastAsiaTheme="minorEastAsia"/>
                <w:szCs w:val="24"/>
              </w:rPr>
            </w:pPr>
            <w:r>
              <w:rPr>
                <w:rFonts w:hint="eastAsia" w:cs="Times New Roman" w:eastAsiaTheme="minorEastAsia"/>
                <w:szCs w:val="24"/>
              </w:rPr>
              <w:t>4</w:t>
            </w:r>
          </w:p>
        </w:tc>
        <w:tc>
          <w:tcPr>
            <w:tcW w:w="1204" w:type="dxa"/>
            <w:shd w:val="clear" w:color="auto" w:fill="auto"/>
            <w:vAlign w:val="center"/>
          </w:tcPr>
          <w:p>
            <w:pPr>
              <w:spacing w:line="240" w:lineRule="auto"/>
              <w:ind w:firstLine="0" w:firstLineChars="0"/>
              <w:jc w:val="center"/>
              <w:rPr>
                <w:rFonts w:cs="Times New Roman" w:eastAsiaTheme="minorEastAsia"/>
                <w:szCs w:val="24"/>
              </w:rPr>
            </w:pPr>
            <w:r>
              <w:rPr>
                <w:rFonts w:hint="eastAsia" w:cs="Times New Roman" w:eastAsiaTheme="minorEastAsia"/>
                <w:szCs w:val="24"/>
              </w:rPr>
              <w:t>气浮机</w:t>
            </w:r>
          </w:p>
        </w:tc>
        <w:tc>
          <w:tcPr>
            <w:tcW w:w="6942" w:type="dxa"/>
            <w:shd w:val="clear" w:color="auto" w:fill="auto"/>
            <w:vAlign w:val="center"/>
          </w:tcPr>
          <w:p>
            <w:pPr>
              <w:spacing w:line="240" w:lineRule="auto"/>
              <w:ind w:firstLine="0" w:firstLineChars="0"/>
              <w:jc w:val="left"/>
              <w:rPr>
                <w:rFonts w:cs="Times New Roman" w:eastAsiaTheme="minorEastAsia"/>
                <w:szCs w:val="24"/>
              </w:rPr>
            </w:pPr>
            <w:r>
              <w:rPr>
                <w:rFonts w:hint="eastAsia" w:cs="Times New Roman" w:eastAsiaTheme="minorEastAsia"/>
                <w:szCs w:val="24"/>
              </w:rPr>
              <w:t>对隔油池出水进一步处理，深度去除废水中油脂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26" w:type="dxa"/>
            <w:shd w:val="clear" w:color="auto" w:fill="auto"/>
            <w:vAlign w:val="center"/>
          </w:tcPr>
          <w:p>
            <w:pPr>
              <w:spacing w:line="240" w:lineRule="auto"/>
              <w:ind w:firstLine="0" w:firstLineChars="0"/>
              <w:jc w:val="center"/>
              <w:rPr>
                <w:rFonts w:cs="Times New Roman" w:eastAsiaTheme="minorEastAsia"/>
                <w:szCs w:val="24"/>
              </w:rPr>
            </w:pPr>
            <w:r>
              <w:rPr>
                <w:rFonts w:hint="eastAsia" w:cs="Times New Roman" w:eastAsiaTheme="minorEastAsia"/>
                <w:szCs w:val="24"/>
              </w:rPr>
              <w:t>5</w:t>
            </w:r>
          </w:p>
        </w:tc>
        <w:tc>
          <w:tcPr>
            <w:tcW w:w="1204" w:type="dxa"/>
            <w:shd w:val="clear" w:color="auto" w:fill="auto"/>
            <w:vAlign w:val="center"/>
          </w:tcPr>
          <w:p>
            <w:pPr>
              <w:spacing w:line="240" w:lineRule="auto"/>
              <w:ind w:firstLine="0" w:firstLineChars="0"/>
              <w:jc w:val="center"/>
              <w:rPr>
                <w:rFonts w:cs="Times New Roman" w:eastAsiaTheme="minorEastAsia"/>
                <w:szCs w:val="24"/>
              </w:rPr>
            </w:pPr>
            <w:r>
              <w:rPr>
                <w:rFonts w:cs="Times New Roman" w:eastAsiaTheme="minorEastAsia"/>
                <w:szCs w:val="24"/>
              </w:rPr>
              <w:t>调节池</w:t>
            </w:r>
          </w:p>
        </w:tc>
        <w:tc>
          <w:tcPr>
            <w:tcW w:w="6942" w:type="dxa"/>
            <w:shd w:val="clear" w:color="auto" w:fill="auto"/>
            <w:vAlign w:val="center"/>
          </w:tcPr>
          <w:p>
            <w:pPr>
              <w:spacing w:line="240" w:lineRule="auto"/>
              <w:ind w:firstLine="0" w:firstLineChars="0"/>
              <w:jc w:val="left"/>
              <w:rPr>
                <w:rFonts w:cs="Times New Roman" w:eastAsiaTheme="minorEastAsia"/>
                <w:szCs w:val="24"/>
              </w:rPr>
            </w:pPr>
            <w:r>
              <w:rPr>
                <w:rFonts w:cs="Times New Roman" w:eastAsiaTheme="minorEastAsia"/>
                <w:szCs w:val="24"/>
              </w:rPr>
              <w:t>用于均衡废水在水量和水质方面的波动，为后续生物反应创造相对稳定的环境。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26" w:type="dxa"/>
            <w:shd w:val="clear" w:color="auto" w:fill="auto"/>
            <w:vAlign w:val="center"/>
          </w:tcPr>
          <w:p>
            <w:pPr>
              <w:spacing w:line="240" w:lineRule="auto"/>
              <w:ind w:firstLine="0" w:firstLineChars="0"/>
              <w:jc w:val="center"/>
              <w:rPr>
                <w:rFonts w:cs="Times New Roman" w:eastAsiaTheme="minorEastAsia"/>
                <w:szCs w:val="24"/>
              </w:rPr>
            </w:pPr>
            <w:r>
              <w:rPr>
                <w:rFonts w:hint="eastAsia" w:cs="Times New Roman" w:eastAsiaTheme="minorEastAsia"/>
                <w:szCs w:val="24"/>
              </w:rPr>
              <w:t>6</w:t>
            </w:r>
          </w:p>
        </w:tc>
        <w:tc>
          <w:tcPr>
            <w:tcW w:w="1204" w:type="dxa"/>
            <w:shd w:val="clear" w:color="auto" w:fill="auto"/>
            <w:vAlign w:val="center"/>
          </w:tcPr>
          <w:p>
            <w:pPr>
              <w:spacing w:line="240" w:lineRule="auto"/>
              <w:ind w:firstLine="0" w:firstLineChars="0"/>
              <w:jc w:val="center"/>
              <w:rPr>
                <w:rFonts w:cs="Times New Roman" w:eastAsiaTheme="minorEastAsia"/>
                <w:szCs w:val="24"/>
              </w:rPr>
            </w:pPr>
            <w:r>
              <w:rPr>
                <w:rFonts w:cs="Times New Roman" w:eastAsiaTheme="minorEastAsia"/>
                <w:szCs w:val="24"/>
              </w:rPr>
              <w:t>高效厌氧</w:t>
            </w:r>
          </w:p>
        </w:tc>
        <w:tc>
          <w:tcPr>
            <w:tcW w:w="6942" w:type="dxa"/>
            <w:shd w:val="clear" w:color="auto" w:fill="auto"/>
            <w:vAlign w:val="center"/>
          </w:tcPr>
          <w:p>
            <w:pPr>
              <w:spacing w:line="240" w:lineRule="auto"/>
              <w:ind w:firstLine="0" w:firstLineChars="0"/>
              <w:jc w:val="left"/>
              <w:rPr>
                <w:rFonts w:cs="Times New Roman" w:eastAsiaTheme="minorEastAsia"/>
                <w:szCs w:val="24"/>
              </w:rPr>
            </w:pPr>
            <w:r>
              <w:rPr>
                <w:rFonts w:cs="Times New Roman" w:eastAsiaTheme="minorEastAsia"/>
                <w:szCs w:val="24"/>
              </w:rPr>
              <w:t>在厌氧条件下，将渗滤液中大部分有机污染物去除，耐冲击能力强，运行效能稳定。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26" w:type="dxa"/>
            <w:shd w:val="clear" w:color="auto" w:fill="auto"/>
            <w:vAlign w:val="center"/>
          </w:tcPr>
          <w:p>
            <w:pPr>
              <w:spacing w:line="240" w:lineRule="auto"/>
              <w:ind w:firstLine="0" w:firstLineChars="0"/>
              <w:jc w:val="center"/>
              <w:rPr>
                <w:rFonts w:cs="Times New Roman" w:eastAsiaTheme="minorEastAsia"/>
                <w:szCs w:val="24"/>
              </w:rPr>
            </w:pPr>
            <w:r>
              <w:rPr>
                <w:rFonts w:hint="eastAsia" w:cs="Times New Roman" w:eastAsiaTheme="minorEastAsia"/>
                <w:szCs w:val="24"/>
              </w:rPr>
              <w:t>7</w:t>
            </w:r>
          </w:p>
        </w:tc>
        <w:tc>
          <w:tcPr>
            <w:tcW w:w="1204" w:type="dxa"/>
            <w:shd w:val="clear" w:color="auto" w:fill="auto"/>
            <w:vAlign w:val="center"/>
          </w:tcPr>
          <w:p>
            <w:pPr>
              <w:spacing w:line="240" w:lineRule="auto"/>
              <w:ind w:firstLine="0" w:firstLineChars="0"/>
              <w:jc w:val="center"/>
              <w:rPr>
                <w:rFonts w:cs="Times New Roman" w:eastAsiaTheme="minorEastAsia"/>
                <w:szCs w:val="24"/>
              </w:rPr>
            </w:pPr>
            <w:r>
              <w:rPr>
                <w:rFonts w:cs="Times New Roman" w:eastAsiaTheme="minorEastAsia"/>
                <w:szCs w:val="24"/>
              </w:rPr>
              <w:t>二级硝化反硝化池</w:t>
            </w:r>
          </w:p>
        </w:tc>
        <w:tc>
          <w:tcPr>
            <w:tcW w:w="6942" w:type="dxa"/>
            <w:shd w:val="clear" w:color="auto" w:fill="auto"/>
            <w:vAlign w:val="center"/>
          </w:tcPr>
          <w:p>
            <w:pPr>
              <w:spacing w:line="240" w:lineRule="auto"/>
              <w:ind w:firstLine="0" w:firstLineChars="0"/>
              <w:jc w:val="left"/>
              <w:rPr>
                <w:rFonts w:cs="Times New Roman" w:eastAsiaTheme="minorEastAsia"/>
                <w:szCs w:val="24"/>
              </w:rPr>
            </w:pPr>
            <w:r>
              <w:rPr>
                <w:rFonts w:cs="Times New Roman" w:eastAsiaTheme="minorEastAsia"/>
                <w:szCs w:val="24"/>
              </w:rPr>
              <w:t>活性污泥法的一种工艺，主要作用是COD、氨氮和磷的去除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shd w:val="clear" w:color="auto" w:fill="auto"/>
            <w:vAlign w:val="center"/>
          </w:tcPr>
          <w:p>
            <w:pPr>
              <w:spacing w:line="240" w:lineRule="auto"/>
              <w:ind w:firstLine="0" w:firstLineChars="0"/>
              <w:jc w:val="center"/>
              <w:rPr>
                <w:rFonts w:cs="Times New Roman" w:eastAsiaTheme="minorEastAsia"/>
                <w:szCs w:val="24"/>
              </w:rPr>
            </w:pPr>
            <w:r>
              <w:rPr>
                <w:rFonts w:hint="eastAsia" w:cs="Times New Roman" w:eastAsiaTheme="minorEastAsia"/>
                <w:szCs w:val="24"/>
              </w:rPr>
              <w:t>8</w:t>
            </w:r>
          </w:p>
        </w:tc>
        <w:tc>
          <w:tcPr>
            <w:tcW w:w="1204" w:type="dxa"/>
            <w:shd w:val="clear" w:color="auto" w:fill="auto"/>
            <w:vAlign w:val="center"/>
          </w:tcPr>
          <w:p>
            <w:pPr>
              <w:spacing w:line="240" w:lineRule="auto"/>
              <w:ind w:firstLine="0" w:firstLineChars="0"/>
              <w:jc w:val="center"/>
              <w:rPr>
                <w:rFonts w:cs="Times New Roman" w:eastAsiaTheme="minorEastAsia"/>
                <w:szCs w:val="24"/>
              </w:rPr>
            </w:pPr>
            <w:r>
              <w:rPr>
                <w:rFonts w:cs="Times New Roman" w:eastAsiaTheme="minorEastAsia"/>
                <w:szCs w:val="24"/>
              </w:rPr>
              <w:t>MBR</w:t>
            </w:r>
          </w:p>
        </w:tc>
        <w:tc>
          <w:tcPr>
            <w:tcW w:w="6942" w:type="dxa"/>
            <w:shd w:val="clear" w:color="auto" w:fill="auto"/>
            <w:vAlign w:val="center"/>
          </w:tcPr>
          <w:p>
            <w:pPr>
              <w:spacing w:line="240" w:lineRule="auto"/>
              <w:ind w:firstLine="0" w:firstLineChars="0"/>
              <w:jc w:val="left"/>
              <w:rPr>
                <w:rFonts w:cs="Times New Roman" w:eastAsiaTheme="minorEastAsia"/>
                <w:szCs w:val="24"/>
              </w:rPr>
            </w:pPr>
            <w:r>
              <w:rPr>
                <w:rFonts w:cs="Times New Roman" w:eastAsiaTheme="minorEastAsia"/>
                <w:szCs w:val="24"/>
              </w:rPr>
              <w:t>利用膜的截留作用使微生物完全被截留在生物反应器中，实现水力停留时间和污泥龄的完全分离，使生化反应器内的污泥浓度从3～5g/L提高到10～20g/L，从而提高了反应器的容积负荷，使反应器容积减小。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2" w:type="dxa"/>
            <w:gridSpan w:val="3"/>
            <w:shd w:val="clear" w:color="auto" w:fill="auto"/>
            <w:vAlign w:val="center"/>
          </w:tcPr>
          <w:p>
            <w:pPr>
              <w:spacing w:line="240" w:lineRule="auto"/>
              <w:ind w:firstLine="0" w:firstLineChars="0"/>
              <w:jc w:val="left"/>
              <w:rPr>
                <w:rFonts w:cs="Times New Roman" w:eastAsiaTheme="minorEastAsia"/>
                <w:szCs w:val="24"/>
              </w:rPr>
            </w:pPr>
            <w:r>
              <w:rPr>
                <w:rFonts w:cs="Times New Roman" w:eastAsiaTheme="minorEastAsia"/>
                <w:szCs w:val="24"/>
              </w:rPr>
              <w:t>沼气系统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shd w:val="clear" w:color="auto" w:fill="auto"/>
            <w:vAlign w:val="center"/>
          </w:tcPr>
          <w:p>
            <w:pPr>
              <w:spacing w:line="240" w:lineRule="auto"/>
              <w:ind w:firstLine="0" w:firstLineChars="0"/>
              <w:jc w:val="center"/>
              <w:rPr>
                <w:rFonts w:cs="Times New Roman" w:eastAsiaTheme="minorEastAsia"/>
                <w:szCs w:val="24"/>
              </w:rPr>
            </w:pPr>
            <w:r>
              <w:rPr>
                <w:rFonts w:hint="eastAsia" w:cs="Times New Roman" w:eastAsiaTheme="minorEastAsia"/>
                <w:szCs w:val="24"/>
              </w:rPr>
              <w:t>10</w:t>
            </w:r>
          </w:p>
        </w:tc>
        <w:tc>
          <w:tcPr>
            <w:tcW w:w="1204" w:type="dxa"/>
            <w:shd w:val="clear" w:color="auto" w:fill="auto"/>
            <w:vAlign w:val="center"/>
          </w:tcPr>
          <w:p>
            <w:pPr>
              <w:spacing w:line="240" w:lineRule="auto"/>
              <w:ind w:firstLine="0" w:firstLineChars="0"/>
              <w:jc w:val="center"/>
              <w:rPr>
                <w:rFonts w:cs="Times New Roman" w:eastAsiaTheme="minorEastAsia"/>
                <w:szCs w:val="24"/>
              </w:rPr>
            </w:pPr>
            <w:r>
              <w:rPr>
                <w:rFonts w:cs="Times New Roman" w:eastAsiaTheme="minorEastAsia"/>
                <w:szCs w:val="24"/>
              </w:rPr>
              <w:t>沼气水封</w:t>
            </w:r>
          </w:p>
        </w:tc>
        <w:tc>
          <w:tcPr>
            <w:tcW w:w="6942" w:type="dxa"/>
            <w:shd w:val="clear" w:color="auto" w:fill="auto"/>
            <w:vAlign w:val="center"/>
          </w:tcPr>
          <w:p>
            <w:pPr>
              <w:spacing w:line="240" w:lineRule="auto"/>
              <w:ind w:firstLine="0" w:firstLineChars="0"/>
              <w:jc w:val="left"/>
              <w:rPr>
                <w:rFonts w:cs="Times New Roman" w:eastAsiaTheme="minorEastAsia"/>
                <w:szCs w:val="24"/>
              </w:rPr>
            </w:pPr>
            <w:r>
              <w:rPr>
                <w:rFonts w:cs="Times New Roman" w:eastAsiaTheme="minorEastAsia"/>
                <w:szCs w:val="24"/>
              </w:rPr>
              <w:t>维持沼气系统的压力，保持沼气单向流动，火炬燃烧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26" w:type="dxa"/>
            <w:shd w:val="clear" w:color="auto" w:fill="auto"/>
            <w:vAlign w:val="center"/>
          </w:tcPr>
          <w:p>
            <w:pPr>
              <w:spacing w:line="240" w:lineRule="auto"/>
              <w:ind w:firstLine="0" w:firstLineChars="0"/>
              <w:jc w:val="center"/>
              <w:rPr>
                <w:rFonts w:cs="Times New Roman" w:eastAsiaTheme="minorEastAsia"/>
                <w:szCs w:val="24"/>
              </w:rPr>
            </w:pPr>
            <w:r>
              <w:rPr>
                <w:rFonts w:cs="Times New Roman" w:eastAsiaTheme="minorEastAsia"/>
                <w:szCs w:val="24"/>
              </w:rPr>
              <w:t>1</w:t>
            </w:r>
            <w:r>
              <w:rPr>
                <w:rFonts w:hint="eastAsia" w:cs="Times New Roman" w:eastAsiaTheme="minorEastAsia"/>
                <w:szCs w:val="24"/>
              </w:rPr>
              <w:t>1</w:t>
            </w:r>
          </w:p>
        </w:tc>
        <w:tc>
          <w:tcPr>
            <w:tcW w:w="1204" w:type="dxa"/>
            <w:shd w:val="clear" w:color="auto" w:fill="auto"/>
            <w:vAlign w:val="center"/>
          </w:tcPr>
          <w:p>
            <w:pPr>
              <w:spacing w:line="240" w:lineRule="auto"/>
              <w:ind w:firstLine="0" w:firstLineChars="0"/>
              <w:jc w:val="center"/>
              <w:rPr>
                <w:rFonts w:cs="Times New Roman" w:eastAsiaTheme="minorEastAsia"/>
                <w:szCs w:val="24"/>
              </w:rPr>
            </w:pPr>
            <w:r>
              <w:rPr>
                <w:rFonts w:cs="Times New Roman" w:eastAsiaTheme="minorEastAsia"/>
                <w:szCs w:val="24"/>
              </w:rPr>
              <w:t>沼气火炬</w:t>
            </w:r>
          </w:p>
        </w:tc>
        <w:tc>
          <w:tcPr>
            <w:tcW w:w="6942" w:type="dxa"/>
            <w:shd w:val="clear" w:color="auto" w:fill="auto"/>
            <w:vAlign w:val="center"/>
          </w:tcPr>
          <w:p>
            <w:pPr>
              <w:spacing w:line="240" w:lineRule="auto"/>
              <w:ind w:firstLine="0" w:firstLineChars="0"/>
              <w:jc w:val="left"/>
              <w:rPr>
                <w:rFonts w:cs="Times New Roman" w:eastAsiaTheme="minorEastAsia"/>
                <w:szCs w:val="24"/>
              </w:rPr>
            </w:pPr>
            <w:r>
              <w:rPr>
                <w:rFonts w:cs="Times New Roman" w:eastAsiaTheme="minorEastAsia"/>
                <w:szCs w:val="24"/>
              </w:rPr>
              <w:t>用于沼气燃烧，沼气安全应急处理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72" w:type="dxa"/>
            <w:gridSpan w:val="3"/>
            <w:shd w:val="clear" w:color="auto" w:fill="auto"/>
            <w:vAlign w:val="center"/>
          </w:tcPr>
          <w:p>
            <w:pPr>
              <w:spacing w:line="240" w:lineRule="auto"/>
              <w:ind w:firstLine="0" w:firstLineChars="0"/>
              <w:jc w:val="left"/>
              <w:rPr>
                <w:rFonts w:cs="Times New Roman" w:eastAsiaTheme="minorEastAsia"/>
                <w:szCs w:val="24"/>
              </w:rPr>
            </w:pPr>
            <w:r>
              <w:rPr>
                <w:rFonts w:cs="Times New Roman" w:eastAsiaTheme="minorEastAsia"/>
                <w:szCs w:val="24"/>
              </w:rPr>
              <w:t>污泥系统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6" w:type="dxa"/>
            <w:shd w:val="clear" w:color="auto" w:fill="auto"/>
            <w:vAlign w:val="center"/>
          </w:tcPr>
          <w:p>
            <w:pPr>
              <w:spacing w:line="240" w:lineRule="auto"/>
              <w:ind w:firstLine="0" w:firstLineChars="0"/>
              <w:jc w:val="center"/>
              <w:rPr>
                <w:rFonts w:cs="Times New Roman" w:eastAsiaTheme="minorEastAsia"/>
                <w:szCs w:val="24"/>
              </w:rPr>
            </w:pPr>
            <w:r>
              <w:rPr>
                <w:rFonts w:hint="eastAsia" w:cs="Times New Roman" w:eastAsiaTheme="minorEastAsia"/>
                <w:szCs w:val="24"/>
              </w:rPr>
              <w:t>12</w:t>
            </w:r>
          </w:p>
        </w:tc>
        <w:tc>
          <w:tcPr>
            <w:tcW w:w="1204" w:type="dxa"/>
            <w:shd w:val="clear" w:color="auto" w:fill="auto"/>
            <w:vAlign w:val="center"/>
          </w:tcPr>
          <w:p>
            <w:pPr>
              <w:spacing w:line="240" w:lineRule="auto"/>
              <w:ind w:firstLine="0" w:firstLineChars="0"/>
              <w:jc w:val="center"/>
              <w:rPr>
                <w:rFonts w:cs="Times New Roman" w:eastAsiaTheme="minorEastAsia"/>
                <w:szCs w:val="24"/>
              </w:rPr>
            </w:pPr>
            <w:r>
              <w:rPr>
                <w:rFonts w:cs="Times New Roman" w:eastAsiaTheme="minorEastAsia"/>
                <w:szCs w:val="24"/>
              </w:rPr>
              <w:t>污泥池</w:t>
            </w:r>
          </w:p>
        </w:tc>
        <w:tc>
          <w:tcPr>
            <w:tcW w:w="6942" w:type="dxa"/>
            <w:shd w:val="clear" w:color="auto" w:fill="auto"/>
            <w:vAlign w:val="center"/>
          </w:tcPr>
          <w:p>
            <w:pPr>
              <w:spacing w:line="240" w:lineRule="auto"/>
              <w:ind w:firstLine="0" w:firstLineChars="0"/>
              <w:jc w:val="left"/>
              <w:rPr>
                <w:rFonts w:cs="Times New Roman" w:eastAsiaTheme="minorEastAsia"/>
                <w:szCs w:val="24"/>
              </w:rPr>
            </w:pPr>
            <w:r>
              <w:rPr>
                <w:rFonts w:cs="Times New Roman" w:eastAsiaTheme="minorEastAsia"/>
                <w:szCs w:val="24"/>
              </w:rPr>
              <w:t>用于收集污泥，集中处理。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6" w:type="dxa"/>
            <w:shd w:val="clear" w:color="auto" w:fill="auto"/>
            <w:vAlign w:val="center"/>
          </w:tcPr>
          <w:p>
            <w:pPr>
              <w:spacing w:line="240" w:lineRule="auto"/>
              <w:ind w:firstLine="0" w:firstLineChars="0"/>
              <w:jc w:val="center"/>
              <w:rPr>
                <w:rFonts w:cs="Times New Roman" w:eastAsiaTheme="minorEastAsia"/>
                <w:szCs w:val="24"/>
              </w:rPr>
            </w:pPr>
            <w:r>
              <w:rPr>
                <w:rFonts w:hint="eastAsia" w:cs="Times New Roman" w:eastAsiaTheme="minorEastAsia"/>
                <w:szCs w:val="24"/>
              </w:rPr>
              <w:t>13</w:t>
            </w:r>
          </w:p>
        </w:tc>
        <w:tc>
          <w:tcPr>
            <w:tcW w:w="1204" w:type="dxa"/>
            <w:shd w:val="clear" w:color="auto" w:fill="auto"/>
            <w:vAlign w:val="center"/>
          </w:tcPr>
          <w:p>
            <w:pPr>
              <w:spacing w:line="240" w:lineRule="auto"/>
              <w:ind w:firstLine="0" w:firstLineChars="0"/>
              <w:jc w:val="center"/>
              <w:rPr>
                <w:rFonts w:cs="Times New Roman" w:eastAsiaTheme="minorEastAsia"/>
                <w:szCs w:val="24"/>
              </w:rPr>
            </w:pPr>
            <w:r>
              <w:rPr>
                <w:rFonts w:cs="Times New Roman" w:eastAsiaTheme="minorEastAsia"/>
                <w:szCs w:val="24"/>
              </w:rPr>
              <w:t>污泥脱水机</w:t>
            </w:r>
          </w:p>
        </w:tc>
        <w:tc>
          <w:tcPr>
            <w:tcW w:w="6942" w:type="dxa"/>
            <w:shd w:val="clear" w:color="auto" w:fill="auto"/>
            <w:vAlign w:val="center"/>
          </w:tcPr>
          <w:p>
            <w:pPr>
              <w:spacing w:line="240" w:lineRule="auto"/>
              <w:ind w:firstLine="0" w:firstLineChars="0"/>
              <w:jc w:val="left"/>
              <w:rPr>
                <w:rFonts w:cs="Times New Roman" w:eastAsiaTheme="minorEastAsia"/>
                <w:szCs w:val="24"/>
              </w:rPr>
            </w:pPr>
            <w:r>
              <w:rPr>
                <w:rFonts w:cs="Times New Roman" w:eastAsiaTheme="minorEastAsia"/>
                <w:szCs w:val="24"/>
              </w:rPr>
              <w:t>污泥经机械作用脱水，形成含水率较低的泥饼，使污泥体积进一步缩小</w:t>
            </w:r>
          </w:p>
        </w:tc>
      </w:tr>
    </w:tbl>
    <w:p>
      <w:pPr>
        <w:pStyle w:val="4"/>
        <w:keepNext w:val="0"/>
        <w:keepLines w:val="0"/>
        <w:spacing w:before="190" w:afterLines="0"/>
        <w:ind w:firstLine="0" w:firstLineChars="0"/>
        <w:jc w:val="left"/>
        <w:rPr>
          <w:rFonts w:cs="Times New Roman"/>
          <w:sz w:val="28"/>
          <w:szCs w:val="28"/>
        </w:rPr>
      </w:pPr>
      <w:bookmarkStart w:id="67" w:name="_Toc28664"/>
      <w:r>
        <w:rPr>
          <w:rFonts w:cs="Times New Roman"/>
          <w:sz w:val="28"/>
          <w:szCs w:val="28"/>
        </w:rPr>
        <w:t>3.2各单元预处理效果</w:t>
      </w:r>
      <w:bookmarkEnd w:id="67"/>
    </w:p>
    <w:p>
      <w:pPr>
        <w:ind w:firstLine="560"/>
        <w:rPr>
          <w:rFonts w:cs="Times New Roman" w:eastAsiaTheme="minorEastAsia"/>
          <w:sz w:val="28"/>
          <w:szCs w:val="28"/>
        </w:rPr>
      </w:pPr>
      <w:r>
        <w:rPr>
          <w:rFonts w:cs="Times New Roman" w:eastAsiaTheme="minorEastAsia"/>
          <w:sz w:val="28"/>
          <w:szCs w:val="28"/>
        </w:rPr>
        <w:t>各单元预计处理效果见下表3.1-2：</w:t>
      </w:r>
    </w:p>
    <w:p>
      <w:pPr>
        <w:ind w:firstLine="560"/>
        <w:rPr>
          <w:rFonts w:cs="Times New Roman" w:eastAsiaTheme="minorEastAsia"/>
          <w:sz w:val="28"/>
          <w:szCs w:val="28"/>
        </w:rPr>
      </w:pPr>
      <w:r>
        <w:rPr>
          <w:rFonts w:cs="Times New Roman" w:eastAsiaTheme="minorEastAsia"/>
          <w:sz w:val="28"/>
          <w:szCs w:val="28"/>
        </w:rPr>
        <w:t>各设计参数取值结合国内垃圾渗滤液的废水进行综合估算，设计数据适当放大并考虑特殊情况下的最大进水值。</w:t>
      </w:r>
    </w:p>
    <w:p>
      <w:pPr>
        <w:pStyle w:val="28"/>
        <w:spacing w:beforeLines="0"/>
        <w:rPr>
          <w:b w:val="0"/>
          <w:color w:val="000000"/>
          <w:sz w:val="24"/>
        </w:rPr>
      </w:pPr>
      <w:r>
        <w:rPr>
          <w:b w:val="0"/>
          <w:color w:val="000000"/>
          <w:sz w:val="24"/>
        </w:rPr>
        <w:t>表3.1-2 工艺单元处理效果估算</w:t>
      </w:r>
    </w:p>
    <w:tbl>
      <w:tblPr>
        <w:tblStyle w:val="15"/>
        <w:tblW w:w="10111" w:type="dxa"/>
        <w:jc w:val="center"/>
        <w:tblLayout w:type="fixed"/>
        <w:tblCellMar>
          <w:top w:w="0" w:type="dxa"/>
          <w:left w:w="108" w:type="dxa"/>
          <w:bottom w:w="0" w:type="dxa"/>
          <w:right w:w="108" w:type="dxa"/>
        </w:tblCellMar>
      </w:tblPr>
      <w:tblGrid>
        <w:gridCol w:w="851"/>
        <w:gridCol w:w="1559"/>
        <w:gridCol w:w="1540"/>
        <w:gridCol w:w="1540"/>
        <w:gridCol w:w="1540"/>
        <w:gridCol w:w="1540"/>
        <w:gridCol w:w="1541"/>
      </w:tblGrid>
      <w:tr>
        <w:tblPrEx>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序号</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处理单元名称</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参数</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COD</w:t>
            </w:r>
            <w:r>
              <w:rPr>
                <w:rFonts w:cs="Times New Roman"/>
                <w:kern w:val="0"/>
                <w:sz w:val="21"/>
                <w:szCs w:val="21"/>
                <w:vertAlign w:val="subscript"/>
              </w:rPr>
              <w:t>Cr</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BOD</w:t>
            </w:r>
            <w:r>
              <w:rPr>
                <w:rFonts w:cs="Times New Roman"/>
                <w:kern w:val="0"/>
                <w:sz w:val="21"/>
                <w:szCs w:val="21"/>
                <w:vertAlign w:val="subscript"/>
              </w:rPr>
              <w:t>5</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NH</w:t>
            </w:r>
            <w:r>
              <w:rPr>
                <w:rFonts w:cs="Times New Roman"/>
                <w:kern w:val="0"/>
                <w:sz w:val="21"/>
                <w:szCs w:val="21"/>
                <w:vertAlign w:val="subscript"/>
              </w:rPr>
              <w:t>3</w:t>
            </w:r>
            <w:r>
              <w:rPr>
                <w:rFonts w:cs="Times New Roman"/>
                <w:kern w:val="0"/>
                <w:sz w:val="21"/>
                <w:szCs w:val="21"/>
              </w:rPr>
              <w:t>-N</w:t>
            </w:r>
          </w:p>
        </w:tc>
        <w:tc>
          <w:tcPr>
            <w:tcW w:w="154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SS</w:t>
            </w:r>
          </w:p>
        </w:tc>
      </w:tr>
      <w:tr>
        <w:tblPrEx>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kern w:val="0"/>
                <w:sz w:val="21"/>
                <w:szCs w:val="21"/>
              </w:rPr>
            </w:pPr>
          </w:p>
        </w:tc>
        <w:tc>
          <w:tcPr>
            <w:tcW w:w="154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单位</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mg/L</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mg/L</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mg/L</w:t>
            </w:r>
          </w:p>
        </w:tc>
        <w:tc>
          <w:tcPr>
            <w:tcW w:w="154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mg/L</w:t>
            </w:r>
          </w:p>
        </w:tc>
      </w:tr>
      <w:tr>
        <w:tblPrEx>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w:t>
            </w:r>
          </w:p>
        </w:tc>
        <w:tc>
          <w:tcPr>
            <w:tcW w:w="155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预处理</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进水</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35000.00</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2</w:t>
            </w:r>
            <w:r>
              <w:rPr>
                <w:rFonts w:cs="Times New Roman"/>
                <w:kern w:val="0"/>
                <w:sz w:val="21"/>
                <w:szCs w:val="21"/>
              </w:rPr>
              <w:t xml:space="preserve">0000.00 </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 xml:space="preserve">200.00 </w:t>
            </w:r>
          </w:p>
        </w:tc>
        <w:tc>
          <w:tcPr>
            <w:tcW w:w="154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 xml:space="preserve">1000.00 </w:t>
            </w:r>
          </w:p>
        </w:tc>
      </w:tr>
      <w:tr>
        <w:tblPrEx>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cs="Times New Roman"/>
                <w:kern w:val="0"/>
                <w:sz w:val="21"/>
                <w:szCs w:val="21"/>
              </w:rPr>
            </w:pPr>
          </w:p>
        </w:tc>
        <w:tc>
          <w:tcPr>
            <w:tcW w:w="155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cs="Times New Roman"/>
                <w:kern w:val="0"/>
                <w:sz w:val="21"/>
                <w:szCs w:val="21"/>
              </w:rPr>
            </w:pPr>
          </w:p>
        </w:tc>
        <w:tc>
          <w:tcPr>
            <w:tcW w:w="154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出水</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31500.00</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18</w:t>
            </w:r>
            <w:r>
              <w:rPr>
                <w:rFonts w:cs="Times New Roman"/>
                <w:kern w:val="0"/>
                <w:sz w:val="21"/>
                <w:szCs w:val="21"/>
              </w:rPr>
              <w:t xml:space="preserve">000.00 </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w:t>
            </w:r>
            <w:r>
              <w:rPr>
                <w:rFonts w:hint="eastAsia" w:cs="Times New Roman"/>
                <w:kern w:val="0"/>
                <w:sz w:val="21"/>
                <w:szCs w:val="21"/>
              </w:rPr>
              <w:t>90</w:t>
            </w:r>
            <w:r>
              <w:rPr>
                <w:rFonts w:cs="Times New Roman"/>
                <w:kern w:val="0"/>
                <w:sz w:val="21"/>
                <w:szCs w:val="21"/>
              </w:rPr>
              <w:t xml:space="preserve">.00 </w:t>
            </w: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 xml:space="preserve">500.00 </w:t>
            </w:r>
          </w:p>
        </w:tc>
      </w:tr>
      <w:tr>
        <w:tblPrEx>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cs="Times New Roman"/>
                <w:kern w:val="0"/>
                <w:sz w:val="21"/>
                <w:szCs w:val="21"/>
              </w:rPr>
            </w:pPr>
          </w:p>
        </w:tc>
        <w:tc>
          <w:tcPr>
            <w:tcW w:w="155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cs="Times New Roman"/>
                <w:kern w:val="0"/>
                <w:sz w:val="21"/>
                <w:szCs w:val="21"/>
              </w:rPr>
            </w:pPr>
          </w:p>
        </w:tc>
        <w:tc>
          <w:tcPr>
            <w:tcW w:w="154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去除率</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10.00%</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10.00%</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10.00%</w:t>
            </w:r>
          </w:p>
        </w:tc>
        <w:tc>
          <w:tcPr>
            <w:tcW w:w="154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50.00%</w:t>
            </w:r>
          </w:p>
        </w:tc>
      </w:tr>
      <w:tr>
        <w:tblPrEx>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2</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高效厌氧</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进水</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3150</w:t>
            </w:r>
            <w:r>
              <w:rPr>
                <w:rFonts w:cs="Times New Roman"/>
                <w:kern w:val="0"/>
                <w:sz w:val="21"/>
                <w:szCs w:val="21"/>
              </w:rPr>
              <w:t xml:space="preserve">0.00 </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18000</w:t>
            </w:r>
            <w:r>
              <w:rPr>
                <w:rFonts w:cs="Times New Roman"/>
                <w:kern w:val="0"/>
                <w:sz w:val="21"/>
                <w:szCs w:val="21"/>
              </w:rPr>
              <w:t xml:space="preserve">.00 </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190</w:t>
            </w:r>
            <w:r>
              <w:rPr>
                <w:rFonts w:cs="Times New Roman"/>
                <w:kern w:val="0"/>
                <w:sz w:val="21"/>
                <w:szCs w:val="21"/>
              </w:rPr>
              <w:t xml:space="preserve">.00 </w:t>
            </w:r>
          </w:p>
        </w:tc>
        <w:tc>
          <w:tcPr>
            <w:tcW w:w="154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500</w:t>
            </w:r>
            <w:r>
              <w:rPr>
                <w:rFonts w:cs="Times New Roman"/>
                <w:kern w:val="0"/>
                <w:sz w:val="21"/>
                <w:szCs w:val="21"/>
              </w:rPr>
              <w:t xml:space="preserve">.00 </w:t>
            </w:r>
          </w:p>
        </w:tc>
      </w:tr>
      <w:tr>
        <w:tblPrEx>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kern w:val="0"/>
                <w:sz w:val="21"/>
                <w:szCs w:val="21"/>
              </w:rPr>
            </w:pPr>
          </w:p>
        </w:tc>
        <w:tc>
          <w:tcPr>
            <w:tcW w:w="155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kern w:val="0"/>
                <w:sz w:val="21"/>
                <w:szCs w:val="21"/>
              </w:rPr>
            </w:pPr>
          </w:p>
        </w:tc>
        <w:tc>
          <w:tcPr>
            <w:tcW w:w="154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出水</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4725</w:t>
            </w:r>
            <w:r>
              <w:rPr>
                <w:rFonts w:cs="Times New Roman"/>
                <w:kern w:val="0"/>
                <w:sz w:val="21"/>
                <w:szCs w:val="21"/>
              </w:rPr>
              <w:t xml:space="preserve">.00 </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2700</w:t>
            </w:r>
            <w:r>
              <w:rPr>
                <w:rFonts w:cs="Times New Roman"/>
                <w:kern w:val="0"/>
                <w:sz w:val="21"/>
                <w:szCs w:val="21"/>
              </w:rPr>
              <w:t xml:space="preserve">.00 </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190</w:t>
            </w:r>
            <w:r>
              <w:rPr>
                <w:rFonts w:cs="Times New Roman"/>
                <w:kern w:val="0"/>
                <w:sz w:val="21"/>
                <w:szCs w:val="21"/>
              </w:rPr>
              <w:t xml:space="preserve">.00 </w:t>
            </w: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 xml:space="preserve">450.00 </w:t>
            </w:r>
          </w:p>
        </w:tc>
      </w:tr>
      <w:tr>
        <w:tblPrEx>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kern w:val="0"/>
                <w:sz w:val="21"/>
                <w:szCs w:val="21"/>
              </w:rPr>
            </w:pPr>
          </w:p>
        </w:tc>
        <w:tc>
          <w:tcPr>
            <w:tcW w:w="155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kern w:val="0"/>
                <w:sz w:val="21"/>
                <w:szCs w:val="21"/>
              </w:rPr>
            </w:pPr>
          </w:p>
        </w:tc>
        <w:tc>
          <w:tcPr>
            <w:tcW w:w="154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去除率</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85.00%</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85.00%</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0.00%</w:t>
            </w:r>
          </w:p>
        </w:tc>
        <w:tc>
          <w:tcPr>
            <w:tcW w:w="154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10.00%</w:t>
            </w:r>
          </w:p>
        </w:tc>
      </w:tr>
      <w:tr>
        <w:tblPrEx>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3</w:t>
            </w:r>
          </w:p>
        </w:tc>
        <w:tc>
          <w:tcPr>
            <w:tcW w:w="155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A/O-MBR</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进水</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4725</w:t>
            </w:r>
            <w:r>
              <w:rPr>
                <w:rFonts w:cs="Times New Roman"/>
                <w:kern w:val="0"/>
                <w:sz w:val="21"/>
                <w:szCs w:val="21"/>
              </w:rPr>
              <w:t xml:space="preserve">.00 </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2700</w:t>
            </w:r>
            <w:r>
              <w:rPr>
                <w:rFonts w:cs="Times New Roman"/>
                <w:kern w:val="0"/>
                <w:sz w:val="21"/>
                <w:szCs w:val="21"/>
              </w:rPr>
              <w:t xml:space="preserve">.00 </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190</w:t>
            </w:r>
            <w:r>
              <w:rPr>
                <w:rFonts w:cs="Times New Roman"/>
                <w:kern w:val="0"/>
                <w:sz w:val="21"/>
                <w:szCs w:val="21"/>
              </w:rPr>
              <w:t xml:space="preserve">.00 </w:t>
            </w:r>
          </w:p>
        </w:tc>
        <w:tc>
          <w:tcPr>
            <w:tcW w:w="154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 xml:space="preserve">450.00 </w:t>
            </w:r>
          </w:p>
        </w:tc>
      </w:tr>
      <w:tr>
        <w:tblPrEx>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cs="Times New Roman"/>
                <w:kern w:val="0"/>
                <w:sz w:val="21"/>
                <w:szCs w:val="21"/>
              </w:rPr>
            </w:pPr>
          </w:p>
        </w:tc>
        <w:tc>
          <w:tcPr>
            <w:tcW w:w="155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cs="Times New Roman"/>
                <w:kern w:val="0"/>
                <w:sz w:val="21"/>
                <w:szCs w:val="21"/>
              </w:rPr>
            </w:pPr>
          </w:p>
        </w:tc>
        <w:tc>
          <w:tcPr>
            <w:tcW w:w="154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出水</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236.25</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27</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w:t>
            </w:r>
            <w:r>
              <w:rPr>
                <w:rFonts w:hint="eastAsia" w:cs="Times New Roman"/>
                <w:kern w:val="0"/>
                <w:sz w:val="21"/>
                <w:szCs w:val="21"/>
              </w:rPr>
              <w:t>.9</w:t>
            </w:r>
            <w:r>
              <w:rPr>
                <w:rFonts w:cs="Times New Roman"/>
                <w:kern w:val="0"/>
                <w:sz w:val="21"/>
                <w:szCs w:val="21"/>
              </w:rPr>
              <w:t xml:space="preserve">0 </w:t>
            </w: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 xml:space="preserve">45.00 </w:t>
            </w:r>
          </w:p>
        </w:tc>
      </w:tr>
      <w:tr>
        <w:tblPrEx>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cs="Times New Roman"/>
                <w:kern w:val="0"/>
                <w:sz w:val="21"/>
                <w:szCs w:val="21"/>
              </w:rPr>
            </w:pPr>
          </w:p>
        </w:tc>
        <w:tc>
          <w:tcPr>
            <w:tcW w:w="155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cs="Times New Roman"/>
                <w:kern w:val="0"/>
                <w:sz w:val="21"/>
                <w:szCs w:val="21"/>
              </w:rPr>
            </w:pPr>
          </w:p>
        </w:tc>
        <w:tc>
          <w:tcPr>
            <w:tcW w:w="154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去除率</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95.00%</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99.00%</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99.00%</w:t>
            </w:r>
          </w:p>
        </w:tc>
        <w:tc>
          <w:tcPr>
            <w:tcW w:w="154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90.00%</w:t>
            </w:r>
          </w:p>
        </w:tc>
      </w:tr>
      <w:tr>
        <w:tblPrEx>
          <w:tblCellMar>
            <w:top w:w="0" w:type="dxa"/>
            <w:left w:w="108" w:type="dxa"/>
            <w:bottom w:w="0" w:type="dxa"/>
            <w:right w:w="108" w:type="dxa"/>
          </w:tblCellMar>
        </w:tblPrEx>
        <w:trPr>
          <w:trHeight w:val="3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4</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排放标准要求</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　</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500</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300</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45</w:t>
            </w:r>
          </w:p>
        </w:tc>
        <w:tc>
          <w:tcPr>
            <w:tcW w:w="154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400</w:t>
            </w:r>
          </w:p>
        </w:tc>
      </w:tr>
    </w:tbl>
    <w:p>
      <w:pPr>
        <w:pStyle w:val="4"/>
        <w:keepNext w:val="0"/>
        <w:keepLines w:val="0"/>
        <w:tabs>
          <w:tab w:val="left" w:pos="6615"/>
        </w:tabs>
        <w:spacing w:before="190" w:afterLines="0"/>
        <w:ind w:firstLine="0" w:firstLineChars="0"/>
        <w:jc w:val="left"/>
        <w:rPr>
          <w:rFonts w:cs="Times New Roman"/>
          <w:sz w:val="28"/>
          <w:szCs w:val="28"/>
        </w:rPr>
      </w:pPr>
      <w:bookmarkStart w:id="68" w:name="_Toc459885102"/>
      <w:bookmarkStart w:id="69" w:name="_Toc30707"/>
      <w:bookmarkStart w:id="70" w:name="_Toc518055152"/>
      <w:bookmarkStart w:id="71" w:name="_Toc459884208"/>
      <w:bookmarkStart w:id="72" w:name="_Toc459884213"/>
      <w:bookmarkStart w:id="73" w:name="_Toc518055157"/>
      <w:bookmarkStart w:id="74" w:name="_Toc459885107"/>
      <w:bookmarkStart w:id="75" w:name="_Toc73367156"/>
      <w:r>
        <w:rPr>
          <w:rFonts w:cs="Times New Roman"/>
          <w:sz w:val="28"/>
          <w:szCs w:val="28"/>
        </w:rPr>
        <w:t>3.3厌氧处理系统</w:t>
      </w:r>
      <w:bookmarkEnd w:id="68"/>
      <w:bookmarkEnd w:id="69"/>
      <w:bookmarkEnd w:id="70"/>
      <w:bookmarkEnd w:id="71"/>
      <w:r>
        <w:rPr>
          <w:rFonts w:cs="Times New Roman"/>
          <w:sz w:val="28"/>
          <w:szCs w:val="28"/>
        </w:rPr>
        <w:tab/>
      </w:r>
    </w:p>
    <w:p>
      <w:pPr>
        <w:ind w:firstLine="560"/>
        <w:rPr>
          <w:rFonts w:cs="Times New Roman" w:eastAsiaTheme="minorEastAsia"/>
          <w:sz w:val="28"/>
          <w:szCs w:val="28"/>
        </w:rPr>
      </w:pPr>
      <w:r>
        <w:rPr>
          <w:rFonts w:cs="Times New Roman" w:eastAsiaTheme="minorEastAsia"/>
          <w:sz w:val="28"/>
          <w:szCs w:val="28"/>
        </w:rPr>
        <w:t>本方案厌氧处理采用改进型UASB厌氧反应器，渗滤液在调节池内均质均量，并去除渗滤液中杂质，出水泵入厌氧反应器进行处理，将高浓度的有机物通过厌氧系统进行生物降解。</w:t>
      </w:r>
    </w:p>
    <w:p>
      <w:pPr>
        <w:ind w:firstLine="0" w:firstLineChars="0"/>
        <w:outlineLvl w:val="2"/>
        <w:rPr>
          <w:rFonts w:cs="Times New Roman"/>
          <w:b/>
          <w:sz w:val="28"/>
          <w:szCs w:val="28"/>
        </w:rPr>
      </w:pPr>
      <w:bookmarkStart w:id="76" w:name="_Toc12223"/>
      <w:r>
        <w:rPr>
          <w:rFonts w:cs="Times New Roman"/>
          <w:b/>
          <w:sz w:val="28"/>
          <w:szCs w:val="28"/>
        </w:rPr>
        <w:t>3.3.1 厌氧反应器简介</w:t>
      </w:r>
      <w:bookmarkEnd w:id="76"/>
    </w:p>
    <w:p>
      <w:pPr>
        <w:ind w:firstLine="560"/>
        <w:rPr>
          <w:rFonts w:cs="Times New Roman" w:eastAsiaTheme="minorEastAsia"/>
          <w:sz w:val="28"/>
          <w:szCs w:val="28"/>
        </w:rPr>
      </w:pPr>
      <w:r>
        <w:rPr>
          <w:rFonts w:cs="Times New Roman" w:eastAsiaTheme="minorEastAsia"/>
          <w:sz w:val="28"/>
          <w:szCs w:val="28"/>
        </w:rPr>
        <w:t>改进型UASB反应器是在传统UASB反应器基础上进行改进，采用较大的高径比，占地面积较小，投资更省。相似于产生的沼气带动废水形成内部回流，增强了传质过程。在处理高浓度的污水以及高浓度或有毒性工业废水方面有着其它厌氧反应器所不可比拟的优势。其COD负荷可高达10～20 kg/m</w:t>
      </w:r>
      <w:r>
        <w:rPr>
          <w:rFonts w:cs="Times New Roman" w:eastAsiaTheme="minorEastAsia"/>
          <w:sz w:val="28"/>
          <w:szCs w:val="28"/>
          <w:vertAlign w:val="superscript"/>
        </w:rPr>
        <w:t>3</w:t>
      </w:r>
      <w:r>
        <w:rPr>
          <w:rFonts w:cs="Times New Roman" w:eastAsiaTheme="minorEastAsia"/>
          <w:sz w:val="28"/>
          <w:szCs w:val="28"/>
        </w:rPr>
        <w:t>·d，采用上下重叠的多层三相分离器，改善气固液三相分离的效果，增加沼气的收集能力；反应器设置旋流布水系统，使得污泥分布曲线平缓，污泥在高度上分布均匀，避免传统布水装置出现死区和沟流的现象；同时反应器增设外循环系统，提高厌氧系统的上升流速，菌种与废水中的有机物接触更加充分，传质效率高，加强了生物反应过程。</w:t>
      </w:r>
    </w:p>
    <w:p>
      <w:pPr>
        <w:ind w:firstLine="0" w:firstLineChars="0"/>
        <w:outlineLvl w:val="2"/>
        <w:rPr>
          <w:rFonts w:cs="Times New Roman"/>
          <w:b/>
          <w:sz w:val="28"/>
          <w:szCs w:val="28"/>
        </w:rPr>
      </w:pPr>
      <w:bookmarkStart w:id="77" w:name="_Toc17104"/>
      <w:r>
        <w:rPr>
          <w:rFonts w:cs="Times New Roman"/>
          <w:b/>
          <w:sz w:val="28"/>
          <w:szCs w:val="28"/>
        </w:rPr>
        <w:t>3.3.2 厌氧反应器优点</w:t>
      </w:r>
      <w:bookmarkEnd w:id="77"/>
    </w:p>
    <w:p>
      <w:pPr>
        <w:pStyle w:val="21"/>
        <w:numPr>
          <w:ilvl w:val="0"/>
          <w:numId w:val="33"/>
        </w:numPr>
        <w:ind w:firstLineChars="0"/>
        <w:rPr>
          <w:rFonts w:cs="Times New Roman" w:eastAsiaTheme="minorEastAsia"/>
          <w:sz w:val="28"/>
          <w:szCs w:val="28"/>
        </w:rPr>
      </w:pPr>
      <w:r>
        <w:rPr>
          <w:rFonts w:cs="Times New Roman" w:eastAsiaTheme="minorEastAsia"/>
          <w:sz w:val="28"/>
          <w:szCs w:val="28"/>
        </w:rPr>
        <w:t>利用厌氧微生物反应去除有机物，节约能耗；</w:t>
      </w:r>
    </w:p>
    <w:p>
      <w:pPr>
        <w:pStyle w:val="21"/>
        <w:numPr>
          <w:ilvl w:val="0"/>
          <w:numId w:val="33"/>
        </w:numPr>
        <w:ind w:firstLineChars="0"/>
        <w:rPr>
          <w:rFonts w:cs="Times New Roman" w:eastAsiaTheme="minorEastAsia"/>
          <w:sz w:val="28"/>
          <w:szCs w:val="28"/>
        </w:rPr>
      </w:pPr>
      <w:r>
        <w:rPr>
          <w:rFonts w:cs="Times New Roman" w:eastAsiaTheme="minorEastAsia"/>
          <w:sz w:val="28"/>
          <w:szCs w:val="28"/>
        </w:rPr>
        <w:t>去除率80%以上，降低后续好氧部分有机物浓度负荷；</w:t>
      </w:r>
    </w:p>
    <w:p>
      <w:pPr>
        <w:pStyle w:val="21"/>
        <w:numPr>
          <w:ilvl w:val="0"/>
          <w:numId w:val="33"/>
        </w:numPr>
        <w:ind w:firstLineChars="0"/>
        <w:rPr>
          <w:rFonts w:cs="Times New Roman" w:eastAsiaTheme="minorEastAsia"/>
          <w:sz w:val="28"/>
          <w:szCs w:val="28"/>
        </w:rPr>
      </w:pPr>
      <w:r>
        <w:rPr>
          <w:rFonts w:cs="Times New Roman" w:eastAsiaTheme="minorEastAsia"/>
          <w:sz w:val="28"/>
          <w:szCs w:val="28"/>
        </w:rPr>
        <w:t>厌氧系统耐冲击负荷能力强，可保障系统稳定运行；</w:t>
      </w:r>
    </w:p>
    <w:p>
      <w:pPr>
        <w:pStyle w:val="21"/>
        <w:numPr>
          <w:ilvl w:val="0"/>
          <w:numId w:val="33"/>
        </w:numPr>
        <w:ind w:firstLineChars="0"/>
        <w:rPr>
          <w:rFonts w:cs="Times New Roman" w:eastAsiaTheme="minorEastAsia"/>
          <w:sz w:val="28"/>
          <w:szCs w:val="28"/>
        </w:rPr>
      </w:pPr>
      <w:r>
        <w:rPr>
          <w:rFonts w:cs="Times New Roman" w:eastAsiaTheme="minorEastAsia"/>
          <w:sz w:val="28"/>
          <w:szCs w:val="28"/>
        </w:rPr>
        <w:t>厌氧生物产泥率只有好氧的1/10~1/20，泥量少，减少污泥处理费用；</w:t>
      </w:r>
    </w:p>
    <w:p>
      <w:pPr>
        <w:pStyle w:val="21"/>
        <w:numPr>
          <w:ilvl w:val="0"/>
          <w:numId w:val="33"/>
        </w:numPr>
        <w:ind w:firstLineChars="0"/>
        <w:rPr>
          <w:rFonts w:cs="Times New Roman" w:eastAsiaTheme="minorEastAsia"/>
          <w:sz w:val="28"/>
          <w:szCs w:val="28"/>
        </w:rPr>
      </w:pPr>
      <w:r>
        <w:rPr>
          <w:rFonts w:cs="Times New Roman" w:eastAsiaTheme="minorEastAsia"/>
          <w:sz w:val="28"/>
          <w:szCs w:val="28"/>
        </w:rPr>
        <w:t>产生的沼气是一种能源，可实现能源循环利用。</w:t>
      </w:r>
    </w:p>
    <w:p>
      <w:pPr>
        <w:ind w:firstLine="0" w:firstLineChars="0"/>
        <w:outlineLvl w:val="2"/>
        <w:rPr>
          <w:rFonts w:cs="Times New Roman"/>
          <w:b/>
          <w:sz w:val="28"/>
          <w:szCs w:val="28"/>
        </w:rPr>
      </w:pPr>
      <w:bookmarkStart w:id="78" w:name="_Toc7473"/>
      <w:r>
        <w:rPr>
          <w:rFonts w:cs="Times New Roman"/>
          <w:b/>
          <w:sz w:val="28"/>
          <w:szCs w:val="28"/>
        </w:rPr>
        <w:t>3.3.3主要设备选型</w:t>
      </w:r>
      <w:bookmarkEnd w:id="78"/>
    </w:p>
    <w:p>
      <w:pPr>
        <w:ind w:firstLine="560"/>
        <w:rPr>
          <w:rFonts w:cs="Times New Roman" w:eastAsiaTheme="minorEastAsia"/>
          <w:sz w:val="28"/>
          <w:szCs w:val="28"/>
        </w:rPr>
      </w:pPr>
      <w:r>
        <w:rPr>
          <w:rFonts w:cs="Times New Roman" w:eastAsiaTheme="minorEastAsia"/>
          <w:sz w:val="28"/>
          <w:szCs w:val="28"/>
        </w:rPr>
        <w:t>本工程厌氧反应器采用切线旋流布水器，相较一般的穿孔管布水系统具有不易堵塞、布水均匀的优点；并采用</w:t>
      </w:r>
      <w:r>
        <w:rPr>
          <w:rFonts w:hint="eastAsia" w:cs="Times New Roman" w:eastAsiaTheme="minorEastAsia"/>
          <w:sz w:val="28"/>
          <w:szCs w:val="28"/>
        </w:rPr>
        <w:t>不锈钢</w:t>
      </w:r>
      <w:r>
        <w:rPr>
          <w:rFonts w:cs="Times New Roman" w:eastAsiaTheme="minorEastAsia"/>
          <w:sz w:val="28"/>
          <w:szCs w:val="28"/>
        </w:rPr>
        <w:t>材质三相分离器，相较普通的钢制三相分离器具有耐腐蚀、质量轻的优点。</w:t>
      </w:r>
    </w:p>
    <w:p>
      <w:pPr>
        <w:ind w:firstLine="0" w:firstLineChars="0"/>
        <w:outlineLvl w:val="2"/>
        <w:rPr>
          <w:rFonts w:cs="Times New Roman"/>
          <w:b/>
          <w:sz w:val="28"/>
          <w:szCs w:val="28"/>
        </w:rPr>
      </w:pPr>
      <w:bookmarkStart w:id="79" w:name="_Toc19073"/>
      <w:r>
        <w:rPr>
          <w:rFonts w:cs="Times New Roman"/>
          <w:b/>
          <w:sz w:val="28"/>
          <w:szCs w:val="28"/>
        </w:rPr>
        <w:t>3.3.4 厌氧工艺特点</w:t>
      </w:r>
      <w:bookmarkEnd w:id="79"/>
    </w:p>
    <w:p>
      <w:pPr>
        <w:ind w:firstLine="560"/>
        <w:rPr>
          <w:rFonts w:cs="Times New Roman" w:eastAsiaTheme="minorEastAsia"/>
          <w:sz w:val="28"/>
          <w:szCs w:val="28"/>
        </w:rPr>
      </w:pPr>
      <w:r>
        <w:rPr>
          <w:rFonts w:cs="Times New Roman" w:eastAsiaTheme="minorEastAsia"/>
          <w:sz w:val="28"/>
          <w:szCs w:val="28"/>
        </w:rPr>
        <w:t>1、改进型UASB厌氧反应器</w:t>
      </w:r>
    </w:p>
    <w:p>
      <w:pPr>
        <w:ind w:firstLine="560"/>
        <w:rPr>
          <w:rFonts w:cs="Times New Roman" w:eastAsiaTheme="minorEastAsia"/>
          <w:sz w:val="28"/>
          <w:szCs w:val="28"/>
        </w:rPr>
      </w:pPr>
      <w:r>
        <w:rPr>
          <w:rFonts w:cs="Times New Roman" w:eastAsiaTheme="minorEastAsia"/>
          <w:sz w:val="28"/>
          <w:szCs w:val="28"/>
        </w:rPr>
        <w:t>方便管理操作，能耗低，耐冲击负荷能力强，有机物去处效果高。</w:t>
      </w:r>
    </w:p>
    <w:p>
      <w:pPr>
        <w:ind w:firstLine="560"/>
        <w:rPr>
          <w:rFonts w:cs="Times New Roman" w:eastAsiaTheme="minorEastAsia"/>
          <w:sz w:val="28"/>
          <w:szCs w:val="28"/>
        </w:rPr>
      </w:pPr>
      <w:r>
        <w:rPr>
          <w:rFonts w:cs="Times New Roman" w:eastAsiaTheme="minorEastAsia"/>
          <w:sz w:val="28"/>
          <w:szCs w:val="28"/>
        </w:rPr>
        <w:t>2、剩余污泥产量少</w:t>
      </w:r>
    </w:p>
    <w:p>
      <w:pPr>
        <w:ind w:firstLine="560"/>
        <w:rPr>
          <w:rFonts w:cs="Times New Roman" w:eastAsiaTheme="minorEastAsia"/>
          <w:sz w:val="28"/>
          <w:szCs w:val="28"/>
        </w:rPr>
      </w:pPr>
      <w:r>
        <w:rPr>
          <w:rFonts w:cs="Times New Roman" w:eastAsiaTheme="minorEastAsia"/>
          <w:sz w:val="28"/>
          <w:szCs w:val="28"/>
        </w:rPr>
        <w:t>该工艺可以在高容积负荷、低污泥负荷下运行，剩余污泥产量低，降低了污泥处理费用。</w:t>
      </w:r>
    </w:p>
    <w:p>
      <w:pPr>
        <w:ind w:firstLine="560"/>
        <w:rPr>
          <w:rFonts w:cs="Times New Roman" w:eastAsiaTheme="minorEastAsia"/>
          <w:sz w:val="28"/>
          <w:szCs w:val="28"/>
        </w:rPr>
      </w:pPr>
      <w:r>
        <w:rPr>
          <w:rFonts w:cs="Times New Roman" w:eastAsiaTheme="minorEastAsia"/>
          <w:sz w:val="28"/>
          <w:szCs w:val="28"/>
        </w:rPr>
        <w:t>3、占地面积小</w:t>
      </w:r>
    </w:p>
    <w:p>
      <w:pPr>
        <w:ind w:firstLine="560"/>
        <w:rPr>
          <w:rFonts w:cs="Times New Roman" w:eastAsiaTheme="minorEastAsia"/>
          <w:sz w:val="28"/>
          <w:szCs w:val="28"/>
        </w:rPr>
      </w:pPr>
      <w:r>
        <w:rPr>
          <w:rFonts w:cs="Times New Roman" w:eastAsiaTheme="minorEastAsia"/>
          <w:sz w:val="28"/>
          <w:szCs w:val="28"/>
        </w:rPr>
        <w:t>厌氧反应器内维持高浓度的微生物量，处理装置容积负荷高，占地面积大大节省；该工艺流程简单、结构紧凑、占地面积省。</w:t>
      </w:r>
    </w:p>
    <w:p>
      <w:pPr>
        <w:ind w:firstLine="560"/>
        <w:rPr>
          <w:rFonts w:cs="Times New Roman" w:eastAsiaTheme="minorEastAsia"/>
          <w:sz w:val="28"/>
          <w:szCs w:val="28"/>
        </w:rPr>
      </w:pPr>
      <w:r>
        <w:rPr>
          <w:rFonts w:cs="Times New Roman" w:eastAsiaTheme="minorEastAsia"/>
          <w:sz w:val="28"/>
          <w:szCs w:val="28"/>
        </w:rPr>
        <w:t>4、操作管理方便，易于实现自动控制</w:t>
      </w:r>
    </w:p>
    <w:p>
      <w:pPr>
        <w:ind w:firstLine="560"/>
        <w:rPr>
          <w:rFonts w:cs="Times New Roman" w:eastAsiaTheme="minorEastAsia"/>
          <w:sz w:val="28"/>
          <w:szCs w:val="28"/>
        </w:rPr>
      </w:pPr>
      <w:r>
        <w:rPr>
          <w:rFonts w:cs="Times New Roman" w:eastAsiaTheme="minorEastAsia"/>
          <w:sz w:val="28"/>
          <w:szCs w:val="28"/>
        </w:rPr>
        <w:t>厌氧反应器通过三相分离技术实现了水力停留时间（HRT）与污泥停留时间（SRT）的完全分离，运行控制灵活稳定，操作管理方便。</w:t>
      </w:r>
    </w:p>
    <w:p>
      <w:pPr>
        <w:pStyle w:val="4"/>
        <w:keepNext w:val="0"/>
        <w:keepLines w:val="0"/>
        <w:spacing w:beforeLines="0" w:afterLines="0"/>
        <w:ind w:firstLine="0" w:firstLineChars="0"/>
        <w:jc w:val="left"/>
        <w:rPr>
          <w:rFonts w:cs="Times New Roman"/>
          <w:sz w:val="28"/>
          <w:szCs w:val="28"/>
        </w:rPr>
      </w:pPr>
      <w:bookmarkStart w:id="80" w:name="_Toc459884209"/>
      <w:bookmarkStart w:id="81" w:name="_Toc459885103"/>
      <w:bookmarkStart w:id="82" w:name="_Toc518055153"/>
      <w:bookmarkStart w:id="83" w:name="_Toc26535"/>
      <w:r>
        <w:rPr>
          <w:rFonts w:cs="Times New Roman"/>
          <w:sz w:val="28"/>
          <w:szCs w:val="28"/>
        </w:rPr>
        <w:t>3.4</w:t>
      </w:r>
      <w:bookmarkEnd w:id="80"/>
      <w:bookmarkEnd w:id="81"/>
      <w:r>
        <w:rPr>
          <w:rFonts w:cs="Times New Roman"/>
          <w:sz w:val="28"/>
          <w:szCs w:val="28"/>
        </w:rPr>
        <w:t>二级硝化反硝化系统</w:t>
      </w:r>
      <w:bookmarkEnd w:id="82"/>
      <w:bookmarkEnd w:id="83"/>
    </w:p>
    <w:p>
      <w:pPr>
        <w:ind w:firstLine="560"/>
        <w:rPr>
          <w:rFonts w:cs="Times New Roman" w:eastAsiaTheme="minorEastAsia"/>
          <w:sz w:val="28"/>
          <w:szCs w:val="28"/>
        </w:rPr>
      </w:pPr>
      <w:r>
        <w:rPr>
          <w:rFonts w:cs="Times New Roman" w:eastAsiaTheme="minorEastAsia"/>
          <w:sz w:val="28"/>
          <w:szCs w:val="28"/>
        </w:rPr>
        <w:t>厌氧（缺氧）、好氧不同的环境条件和不同种类微生物菌群的有机配合，能同时具有去除有机物、脱氮的功能。本工艺采用二级硝化反硝化工艺，在厌氧-缺氧-好氧交替运行下，丝状菌不会大量繁殖，SVI一般小于100，不会发生污泥膨胀。</w:t>
      </w:r>
    </w:p>
    <w:p>
      <w:pPr>
        <w:ind w:firstLine="560"/>
        <w:rPr>
          <w:rFonts w:cs="Times New Roman" w:eastAsiaTheme="minorEastAsia"/>
          <w:sz w:val="28"/>
          <w:szCs w:val="28"/>
        </w:rPr>
      </w:pPr>
      <w:r>
        <w:rPr>
          <w:rFonts w:cs="Times New Roman" w:eastAsiaTheme="minorEastAsia"/>
          <w:sz w:val="28"/>
          <w:szCs w:val="28"/>
        </w:rPr>
        <w:t>好氧池内曝气采用射流曝气，通过高活性的好氧微生物作用，污水中的大部分有机物污染物在硝化池内得到降解。</w:t>
      </w:r>
    </w:p>
    <w:p>
      <w:pPr>
        <w:ind w:firstLine="560"/>
        <w:jc w:val="center"/>
        <w:rPr>
          <w:rFonts w:cs="Times New Roman" w:eastAsiaTheme="minorEastAsia"/>
          <w:sz w:val="28"/>
          <w:szCs w:val="28"/>
        </w:rPr>
      </w:pPr>
      <w:r>
        <w:rPr>
          <w:rFonts w:cs="Times New Roman" w:eastAsiaTheme="minorEastAsia"/>
          <w:sz w:val="28"/>
          <w:szCs w:val="28"/>
        </w:rPr>
        <w:drawing>
          <wp:inline distT="0" distB="0" distL="0" distR="0">
            <wp:extent cx="3832860" cy="2255520"/>
            <wp:effectExtent l="0" t="0" r="15240" b="11430"/>
            <wp:docPr id="4" name="图片 12" descr="QQ截图20160711173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QQ截图201607111735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32860" cy="2255520"/>
                    </a:xfrm>
                    <a:prstGeom prst="rect">
                      <a:avLst/>
                    </a:prstGeom>
                    <a:noFill/>
                    <a:ln>
                      <a:noFill/>
                    </a:ln>
                  </pic:spPr>
                </pic:pic>
              </a:graphicData>
            </a:graphic>
          </wp:inline>
        </w:drawing>
      </w:r>
    </w:p>
    <w:p>
      <w:pPr>
        <w:ind w:firstLine="560"/>
        <w:jc w:val="center"/>
        <w:rPr>
          <w:rFonts w:cs="Times New Roman" w:eastAsiaTheme="minorEastAsia"/>
          <w:sz w:val="28"/>
          <w:szCs w:val="28"/>
        </w:rPr>
      </w:pPr>
      <w:r>
        <w:rPr>
          <w:rFonts w:cs="Times New Roman" w:eastAsiaTheme="minorEastAsia"/>
          <w:sz w:val="28"/>
          <w:szCs w:val="28"/>
        </w:rPr>
        <w:drawing>
          <wp:inline distT="0" distB="0" distL="0" distR="0">
            <wp:extent cx="4975860" cy="2202180"/>
            <wp:effectExtent l="0" t="0" r="15240" b="7620"/>
            <wp:docPr id="5" name="图片 23" descr="QQ截图2016071117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3" descr="QQ截图201607111736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975860" cy="2202180"/>
                    </a:xfrm>
                    <a:prstGeom prst="rect">
                      <a:avLst/>
                    </a:prstGeom>
                    <a:noFill/>
                    <a:ln>
                      <a:noFill/>
                    </a:ln>
                  </pic:spPr>
                </pic:pic>
              </a:graphicData>
            </a:graphic>
          </wp:inline>
        </w:drawing>
      </w:r>
    </w:p>
    <w:p>
      <w:pPr>
        <w:pStyle w:val="4"/>
        <w:keepNext w:val="0"/>
        <w:keepLines w:val="0"/>
        <w:spacing w:beforeLines="0" w:afterLines="0"/>
        <w:ind w:firstLine="0" w:firstLineChars="0"/>
        <w:jc w:val="left"/>
        <w:rPr>
          <w:rFonts w:cs="Times New Roman"/>
          <w:sz w:val="28"/>
          <w:szCs w:val="28"/>
        </w:rPr>
      </w:pPr>
      <w:bookmarkStart w:id="84" w:name="_Toc518055154"/>
      <w:bookmarkStart w:id="85" w:name="_Toc459885104"/>
      <w:bookmarkStart w:id="86" w:name="_Toc20904"/>
      <w:bookmarkStart w:id="87" w:name="_Toc459884210"/>
      <w:r>
        <w:rPr>
          <w:rFonts w:cs="Times New Roman"/>
          <w:sz w:val="28"/>
          <w:szCs w:val="28"/>
        </w:rPr>
        <w:t>3.5 MBR处理系统</w:t>
      </w:r>
      <w:bookmarkEnd w:id="84"/>
      <w:bookmarkEnd w:id="85"/>
      <w:bookmarkEnd w:id="86"/>
      <w:bookmarkEnd w:id="87"/>
    </w:p>
    <w:p>
      <w:pPr>
        <w:ind w:firstLine="0" w:firstLineChars="0"/>
        <w:outlineLvl w:val="2"/>
        <w:rPr>
          <w:rFonts w:cs="Times New Roman"/>
          <w:b/>
          <w:sz w:val="28"/>
          <w:szCs w:val="28"/>
        </w:rPr>
      </w:pPr>
      <w:bookmarkStart w:id="88" w:name="_Toc32060"/>
      <w:r>
        <w:rPr>
          <w:rFonts w:cs="Times New Roman"/>
          <w:b/>
          <w:sz w:val="28"/>
          <w:szCs w:val="28"/>
        </w:rPr>
        <w:t>3.5.1 MBR系统介绍</w:t>
      </w:r>
      <w:bookmarkEnd w:id="88"/>
    </w:p>
    <w:p>
      <w:pPr>
        <w:ind w:firstLine="560"/>
        <w:rPr>
          <w:rFonts w:cs="Times New Roman" w:eastAsiaTheme="minorEastAsia"/>
          <w:sz w:val="28"/>
          <w:szCs w:val="28"/>
        </w:rPr>
      </w:pPr>
      <w:r>
        <w:rPr>
          <w:rFonts w:cs="Times New Roman" w:eastAsiaTheme="minorEastAsia"/>
          <w:sz w:val="28"/>
          <w:szCs w:val="28"/>
        </w:rPr>
        <w:t>膜生物反应器（MBR）是膜分离技术与生物技术有机结合的新型废水处理技术。它利用膜分离设备将活性污泥和大分子有机物质有效截留，省去了二沉池，节约工程占地面积，具有处理效果好、运行成本低等优点，是目前国内垃圾渗滤液处理中采用最多的方法。</w:t>
      </w:r>
    </w:p>
    <w:p>
      <w:pPr>
        <w:ind w:firstLine="560"/>
        <w:rPr>
          <w:rFonts w:cs="Times New Roman" w:eastAsiaTheme="minorEastAsia"/>
          <w:sz w:val="28"/>
          <w:szCs w:val="28"/>
        </w:rPr>
      </w:pPr>
      <w:r>
        <w:rPr>
          <w:rFonts w:cs="Times New Roman" w:eastAsiaTheme="minorEastAsia"/>
          <w:sz w:val="28"/>
          <w:szCs w:val="28"/>
        </w:rPr>
        <w:t>MBR是一种高效的废水处理技术，是生物降解和膜分离的有机结合。垃圾渗滤液先通过生物降解，再通过膜组件实现污泥与水的分离，形成了预处理-MBR-深度处理的处理流程。MBR按照膜组件的放置位置可以分为内置式和外置式，结合膜特点，本方案超滤系统选用外置式MBR膜系统。</w:t>
      </w:r>
    </w:p>
    <w:p>
      <w:pPr>
        <w:ind w:firstLine="182" w:firstLineChars="83"/>
        <w:jc w:val="center"/>
        <w:rPr>
          <w:rFonts w:cs="Times New Roman" w:eastAsiaTheme="minorEastAsia"/>
          <w:sz w:val="28"/>
          <w:szCs w:val="28"/>
        </w:rPr>
      </w:pPr>
      <w:r>
        <w:rPr>
          <w:rFonts w:cs="Times New Roman"/>
        </w:rPr>
        <w:drawing>
          <wp:inline distT="0" distB="0" distL="0" distR="0">
            <wp:extent cx="4693920" cy="2014220"/>
            <wp:effectExtent l="0" t="0" r="11430" b="508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7" cstate="print"/>
                    <a:stretch>
                      <a:fillRect/>
                    </a:stretch>
                  </pic:blipFill>
                  <pic:spPr>
                    <a:xfrm>
                      <a:off x="0" y="0"/>
                      <a:ext cx="4698016" cy="2016232"/>
                    </a:xfrm>
                    <a:prstGeom prst="rect">
                      <a:avLst/>
                    </a:prstGeom>
                  </pic:spPr>
                </pic:pic>
              </a:graphicData>
            </a:graphic>
          </wp:inline>
        </w:drawing>
      </w:r>
    </w:p>
    <w:p>
      <w:pPr>
        <w:ind w:firstLine="560"/>
        <w:rPr>
          <w:rFonts w:cs="Times New Roman" w:eastAsiaTheme="minorEastAsia"/>
          <w:sz w:val="28"/>
          <w:szCs w:val="28"/>
        </w:rPr>
      </w:pPr>
      <w:r>
        <w:rPr>
          <w:rFonts w:cs="Times New Roman" w:eastAsiaTheme="minorEastAsia"/>
          <w:sz w:val="28"/>
          <w:szCs w:val="28"/>
        </w:rPr>
        <w:t>超滤系统紧凑简洁的处理结构特别适合处理复杂的废水。使用超滤膜法进行高难度的污水处理，污泥浓度高，停留时间短，降解效率高，停留时间短，出水水质好，污泥量少。使用MBR法处理废水，废水进水进行预处理后进入MBR系统，生物反应器内的污泥浓度可达到20～30g/L，处理效率大幅度提高，主要污染物COD、BOD和氨氮得到有效降解，出水水质好，占地少，运行费用低。</w:t>
      </w:r>
    </w:p>
    <w:p>
      <w:pPr>
        <w:ind w:firstLine="0" w:firstLineChars="0"/>
        <w:outlineLvl w:val="2"/>
        <w:rPr>
          <w:rFonts w:cs="Times New Roman"/>
          <w:b/>
          <w:sz w:val="28"/>
          <w:szCs w:val="28"/>
        </w:rPr>
      </w:pPr>
      <w:bookmarkStart w:id="89" w:name="_Toc29671"/>
      <w:r>
        <w:rPr>
          <w:rFonts w:cs="Times New Roman"/>
          <w:b/>
          <w:sz w:val="28"/>
          <w:szCs w:val="28"/>
        </w:rPr>
        <w:t>3.5.2 MBR膜运行优点</w:t>
      </w:r>
      <w:bookmarkEnd w:id="89"/>
    </w:p>
    <w:p>
      <w:pPr>
        <w:ind w:firstLine="560"/>
        <w:rPr>
          <w:rFonts w:cs="Times New Roman" w:eastAsiaTheme="minorEastAsia"/>
          <w:sz w:val="28"/>
          <w:szCs w:val="28"/>
        </w:rPr>
      </w:pPr>
      <w:r>
        <w:rPr>
          <w:rFonts w:cs="Times New Roman" w:eastAsiaTheme="minorEastAsia"/>
          <w:sz w:val="28"/>
          <w:szCs w:val="28"/>
        </w:rPr>
        <w:t>1、出水水质优质稳定</w:t>
      </w:r>
    </w:p>
    <w:p>
      <w:pPr>
        <w:ind w:firstLine="560"/>
        <w:rPr>
          <w:rFonts w:cs="Times New Roman" w:eastAsiaTheme="minorEastAsia"/>
          <w:sz w:val="28"/>
          <w:szCs w:val="28"/>
        </w:rPr>
      </w:pPr>
      <w:r>
        <w:rPr>
          <w:rFonts w:cs="Times New Roman" w:eastAsiaTheme="minorEastAsia"/>
          <w:sz w:val="28"/>
          <w:szCs w:val="28"/>
        </w:rPr>
        <w:t>由于膜的高效分离作用，分离效果远好于传统沉淀池，出水清澈，细菌和病毒被大幅去除。同时，膜分离也使微生物被完全被截流在生物反应器内，使得系统内能够维持较高的微生物浓度，不但提高了反应装置对污染物的整体去除效率，保证了良好的出水水质，同时反应器对进水负荷（水质及水量）的各种变化具有很好的适应性，耐冲击负荷，能够稳定获得优质的出水水质。</w:t>
      </w:r>
    </w:p>
    <w:p>
      <w:pPr>
        <w:ind w:firstLine="560"/>
        <w:rPr>
          <w:rFonts w:cs="Times New Roman" w:eastAsiaTheme="minorEastAsia"/>
          <w:sz w:val="28"/>
          <w:szCs w:val="28"/>
        </w:rPr>
      </w:pPr>
      <w:r>
        <w:rPr>
          <w:rFonts w:cs="Times New Roman" w:eastAsiaTheme="minorEastAsia"/>
          <w:sz w:val="28"/>
          <w:szCs w:val="28"/>
        </w:rPr>
        <w:t>2、剩余污泥产量少</w:t>
      </w:r>
    </w:p>
    <w:p>
      <w:pPr>
        <w:ind w:firstLine="560"/>
        <w:rPr>
          <w:rFonts w:cs="Times New Roman" w:eastAsiaTheme="minorEastAsia"/>
          <w:sz w:val="28"/>
          <w:szCs w:val="28"/>
        </w:rPr>
      </w:pPr>
      <w:r>
        <w:rPr>
          <w:rFonts w:cs="Times New Roman" w:eastAsiaTheme="minorEastAsia"/>
          <w:sz w:val="28"/>
          <w:szCs w:val="28"/>
        </w:rPr>
        <w:t>该工艺可以在高容积负荷、低污泥负荷下运行，剩余污泥产量低（理论上可以实现零污泥排放），降低了污泥处理费用。</w:t>
      </w:r>
    </w:p>
    <w:p>
      <w:pPr>
        <w:ind w:firstLine="560"/>
        <w:rPr>
          <w:rFonts w:cs="Times New Roman" w:eastAsiaTheme="minorEastAsia"/>
          <w:sz w:val="28"/>
          <w:szCs w:val="28"/>
        </w:rPr>
      </w:pPr>
      <w:r>
        <w:rPr>
          <w:rFonts w:cs="Times New Roman" w:eastAsiaTheme="minorEastAsia"/>
          <w:sz w:val="28"/>
          <w:szCs w:val="28"/>
        </w:rPr>
        <w:t>3、占地面积小，不受设置场合限制</w:t>
      </w:r>
    </w:p>
    <w:p>
      <w:pPr>
        <w:ind w:firstLine="560"/>
        <w:rPr>
          <w:rFonts w:cs="Times New Roman" w:eastAsiaTheme="minorEastAsia"/>
          <w:sz w:val="28"/>
          <w:szCs w:val="28"/>
        </w:rPr>
      </w:pPr>
      <w:r>
        <w:rPr>
          <w:rFonts w:cs="Times New Roman" w:eastAsiaTheme="minorEastAsia"/>
          <w:sz w:val="28"/>
          <w:szCs w:val="28"/>
        </w:rPr>
        <w:t>膜生物反应器内能维持高浓度的微生物量，处理装置容积负荷高，占地面积大大节省；该工艺流程简单、结构紧凑、占地面积省。</w:t>
      </w:r>
    </w:p>
    <w:p>
      <w:pPr>
        <w:ind w:firstLine="560"/>
        <w:rPr>
          <w:rFonts w:cs="Times New Roman" w:eastAsiaTheme="minorEastAsia"/>
          <w:sz w:val="28"/>
          <w:szCs w:val="28"/>
        </w:rPr>
      </w:pPr>
      <w:r>
        <w:rPr>
          <w:rFonts w:cs="Times New Roman" w:eastAsiaTheme="minorEastAsia"/>
          <w:sz w:val="28"/>
          <w:szCs w:val="28"/>
        </w:rPr>
        <w:t>4、可去除氨氮及难降解有机物</w:t>
      </w:r>
    </w:p>
    <w:p>
      <w:pPr>
        <w:ind w:firstLine="560"/>
        <w:rPr>
          <w:rFonts w:cs="Times New Roman" w:eastAsiaTheme="minorEastAsia"/>
          <w:sz w:val="28"/>
          <w:szCs w:val="28"/>
        </w:rPr>
      </w:pPr>
      <w:r>
        <w:rPr>
          <w:rFonts w:cs="Times New Roman" w:eastAsiaTheme="minorEastAsia"/>
          <w:sz w:val="28"/>
          <w:szCs w:val="28"/>
        </w:rPr>
        <w:t>由于微生物被完全截流在生物反应器内，从而有利于增殖缓慢的微生物如硝化细菌的截留生长，系统硝化效率得以提高。同时，可增长一些难降解的有机物在系统中的水力停留时间，有利于难降解有机物降解效率的提高。</w:t>
      </w:r>
    </w:p>
    <w:p>
      <w:pPr>
        <w:ind w:firstLine="560"/>
        <w:rPr>
          <w:rFonts w:cs="Times New Roman" w:eastAsiaTheme="minorEastAsia"/>
          <w:sz w:val="28"/>
          <w:szCs w:val="28"/>
        </w:rPr>
      </w:pPr>
      <w:r>
        <w:rPr>
          <w:rFonts w:cs="Times New Roman" w:eastAsiaTheme="minorEastAsia"/>
          <w:sz w:val="28"/>
          <w:szCs w:val="28"/>
        </w:rPr>
        <w:t>5、操作管理方便，易于实现自动控制</w:t>
      </w:r>
    </w:p>
    <w:p>
      <w:pPr>
        <w:ind w:firstLine="560"/>
        <w:rPr>
          <w:rFonts w:cs="Times New Roman" w:eastAsiaTheme="minorEastAsia"/>
          <w:sz w:val="28"/>
          <w:szCs w:val="28"/>
        </w:rPr>
      </w:pPr>
      <w:r>
        <w:rPr>
          <w:rFonts w:cs="Times New Roman" w:eastAsiaTheme="minorEastAsia"/>
          <w:sz w:val="28"/>
          <w:szCs w:val="28"/>
        </w:rPr>
        <w:t>膜工艺实现了水力停留时间（HRT）与污泥停留时间（SRT）的完全分离，是污水处理中容易实现装备化的新技术，可实现微机自动控制，从而使操作管理更为方便。</w:t>
      </w:r>
    </w:p>
    <w:p>
      <w:pPr>
        <w:pStyle w:val="3"/>
        <w:adjustRightInd w:val="0"/>
        <w:spacing w:beforeLines="0" w:afterLines="0" w:line="240" w:lineRule="auto"/>
        <w:ind w:firstLine="0" w:firstLineChars="0"/>
        <w:jc w:val="left"/>
        <w:textAlignment w:val="baseline"/>
        <w:rPr>
          <w:rFonts w:cs="Times New Roman"/>
          <w:bCs w:val="0"/>
          <w:szCs w:val="32"/>
        </w:rPr>
      </w:pPr>
      <w:r>
        <w:rPr>
          <w:rFonts w:cs="Times New Roman"/>
          <w:bCs w:val="0"/>
          <w:szCs w:val="32"/>
        </w:rPr>
        <w:t>四、工艺单元设计</w:t>
      </w:r>
      <w:bookmarkEnd w:id="72"/>
      <w:bookmarkEnd w:id="73"/>
      <w:bookmarkEnd w:id="74"/>
      <w:bookmarkEnd w:id="75"/>
    </w:p>
    <w:p>
      <w:pPr>
        <w:pStyle w:val="4"/>
        <w:keepNext w:val="0"/>
        <w:keepLines w:val="0"/>
        <w:spacing w:beforeLines="0" w:afterLines="0"/>
        <w:ind w:firstLine="0" w:firstLineChars="0"/>
        <w:jc w:val="left"/>
        <w:rPr>
          <w:rFonts w:cs="Times New Roman"/>
          <w:sz w:val="28"/>
          <w:szCs w:val="28"/>
        </w:rPr>
      </w:pPr>
      <w:bookmarkStart w:id="90" w:name="_Toc459884214"/>
      <w:bookmarkStart w:id="91" w:name="_Toc73367157"/>
      <w:bookmarkStart w:id="92" w:name="_Toc459885108"/>
      <w:bookmarkStart w:id="93" w:name="_Toc518055158"/>
      <w:r>
        <w:rPr>
          <w:rFonts w:cs="Times New Roman"/>
          <w:sz w:val="28"/>
          <w:szCs w:val="28"/>
        </w:rPr>
        <w:t>4.1调节池</w:t>
      </w:r>
      <w:bookmarkEnd w:id="90"/>
      <w:bookmarkEnd w:id="91"/>
      <w:bookmarkEnd w:id="92"/>
      <w:bookmarkEnd w:id="93"/>
    </w:p>
    <w:p>
      <w:pPr>
        <w:ind w:firstLine="560"/>
        <w:rPr>
          <w:rFonts w:cs="Times New Roman"/>
          <w:sz w:val="28"/>
          <w:szCs w:val="28"/>
        </w:rPr>
      </w:pPr>
      <w:r>
        <w:rPr>
          <w:rFonts w:cs="Times New Roman"/>
          <w:sz w:val="28"/>
          <w:szCs w:val="28"/>
        </w:rPr>
        <w:t>工程设计采用</w:t>
      </w:r>
      <w:r>
        <w:rPr>
          <w:rFonts w:hint="eastAsia" w:cs="Times New Roman"/>
          <w:sz w:val="28"/>
          <w:szCs w:val="28"/>
        </w:rPr>
        <w:t>集水池、沉淀池、隔油池、</w:t>
      </w:r>
      <w:r>
        <w:rPr>
          <w:rFonts w:cs="Times New Roman"/>
          <w:sz w:val="28"/>
          <w:szCs w:val="28"/>
        </w:rPr>
        <w:t>调节池等池体和设备房等合建的形式。设计采用格栅机</w:t>
      </w:r>
      <w:r>
        <w:rPr>
          <w:rFonts w:hint="eastAsia" w:cs="Times New Roman"/>
          <w:sz w:val="28"/>
          <w:szCs w:val="28"/>
        </w:rPr>
        <w:t>、沉淀池、隔油池和气浮机</w:t>
      </w:r>
      <w:r>
        <w:rPr>
          <w:rFonts w:cs="Times New Roman"/>
          <w:sz w:val="28"/>
          <w:szCs w:val="28"/>
        </w:rPr>
        <w:t>对渗沥液原水进行预处理</w:t>
      </w:r>
      <w:r>
        <w:rPr>
          <w:rFonts w:hint="eastAsia" w:cs="Times New Roman"/>
          <w:sz w:val="28"/>
          <w:szCs w:val="28"/>
        </w:rPr>
        <w:t>，</w:t>
      </w:r>
      <w:r>
        <w:rPr>
          <w:rFonts w:cs="Times New Roman"/>
          <w:sz w:val="28"/>
          <w:szCs w:val="28"/>
        </w:rPr>
        <w:t>预处理后的废水流入废水调节池。在调节池中，水量和水质得到有效的调节，使综合废水处理系统的进水水质维持较好的可生化性和较好的B/C比。</w:t>
      </w:r>
    </w:p>
    <w:p>
      <w:pPr>
        <w:ind w:firstLine="560"/>
        <w:rPr>
          <w:rFonts w:cs="Times New Roman" w:eastAsiaTheme="minorEastAsia"/>
          <w:sz w:val="28"/>
          <w:szCs w:val="28"/>
        </w:rPr>
      </w:pPr>
      <w:r>
        <w:rPr>
          <w:rFonts w:cs="Times New Roman" w:eastAsiaTheme="minorEastAsia"/>
          <w:sz w:val="28"/>
          <w:szCs w:val="28"/>
        </w:rPr>
        <w:t>主要构筑物设计参数表：</w:t>
      </w:r>
    </w:p>
    <w:tbl>
      <w:tblPr>
        <w:tblStyle w:val="15"/>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0"/>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70"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构筑物名称</w:t>
            </w:r>
          </w:p>
        </w:tc>
        <w:tc>
          <w:tcPr>
            <w:tcW w:w="4552"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综合池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3670"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项目</w:t>
            </w:r>
          </w:p>
        </w:tc>
        <w:tc>
          <w:tcPr>
            <w:tcW w:w="4552"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70"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建筑形式</w:t>
            </w:r>
          </w:p>
        </w:tc>
        <w:tc>
          <w:tcPr>
            <w:tcW w:w="4552"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半地下式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70"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构筑物材料</w:t>
            </w:r>
          </w:p>
        </w:tc>
        <w:tc>
          <w:tcPr>
            <w:tcW w:w="4552"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钢混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3670" w:type="dxa"/>
            <w:vAlign w:val="center"/>
          </w:tcPr>
          <w:p>
            <w:pPr>
              <w:ind w:firstLine="0" w:firstLineChars="0"/>
              <w:rPr>
                <w:rFonts w:cs="Times New Roman"/>
                <w:color w:val="000000" w:themeColor="text1"/>
              </w:rPr>
            </w:pPr>
            <w:r>
              <w:rPr>
                <w:rFonts w:cs="Times New Roman"/>
                <w:color w:val="000000" w:themeColor="text1"/>
              </w:rPr>
              <w:t>建筑尺寸（</w:t>
            </w:r>
            <w:r>
              <w:rPr>
                <w:rFonts w:hint="eastAsia" w:cs="Times New Roman"/>
                <w:color w:val="000000" w:themeColor="text1"/>
              </w:rPr>
              <w:t>事故水池</w:t>
            </w:r>
            <w:r>
              <w:rPr>
                <w:rFonts w:cs="Times New Roman"/>
                <w:color w:val="000000" w:themeColor="text1"/>
              </w:rPr>
              <w:t>）</w:t>
            </w:r>
          </w:p>
        </w:tc>
        <w:tc>
          <w:tcPr>
            <w:tcW w:w="4552" w:type="dxa"/>
            <w:vAlign w:val="center"/>
          </w:tcPr>
          <w:p>
            <w:pPr>
              <w:ind w:firstLine="0" w:firstLineChars="0"/>
              <w:rPr>
                <w:rFonts w:cs="Times New Roman" w:eastAsiaTheme="minorEastAsia"/>
                <w:color w:val="000000" w:themeColor="text1"/>
              </w:rPr>
            </w:pPr>
            <w:r>
              <w:rPr>
                <w:rFonts w:cs="Times New Roman"/>
                <w:color w:val="000000" w:themeColor="text1"/>
              </w:rPr>
              <w:t>L×W×H</w:t>
            </w:r>
            <w:r>
              <w:rPr>
                <w:rFonts w:cs="Times New Roman" w:eastAsiaTheme="minorEastAsia"/>
                <w:color w:val="000000" w:themeColor="text1"/>
                <w:szCs w:val="24"/>
              </w:rPr>
              <w:t>=</w:t>
            </w:r>
            <w:r>
              <w:rPr>
                <w:rFonts w:hint="eastAsia" w:cs="Times New Roman" w:eastAsiaTheme="minorEastAsia"/>
                <w:color w:val="000000" w:themeColor="text1"/>
                <w:szCs w:val="24"/>
              </w:rPr>
              <w:t>10.0</w:t>
            </w:r>
            <w:r>
              <w:rPr>
                <w:rFonts w:cs="Times New Roman" w:eastAsiaTheme="minorEastAsia"/>
                <w:color w:val="000000" w:themeColor="text1"/>
                <w:szCs w:val="24"/>
              </w:rPr>
              <w:t>m×</w:t>
            </w:r>
            <w:r>
              <w:rPr>
                <w:rFonts w:hint="eastAsia" w:cs="Times New Roman" w:eastAsiaTheme="minorEastAsia"/>
                <w:color w:val="000000" w:themeColor="text1"/>
                <w:szCs w:val="24"/>
              </w:rPr>
              <w:t>3</w:t>
            </w:r>
            <w:r>
              <w:rPr>
                <w:rFonts w:cs="Times New Roman" w:eastAsiaTheme="minorEastAsia"/>
                <w:color w:val="000000" w:themeColor="text1"/>
                <w:szCs w:val="24"/>
              </w:rPr>
              <w:t>.0m×</w:t>
            </w:r>
            <w:r>
              <w:rPr>
                <w:rFonts w:hint="eastAsia" w:cs="Times New Roman" w:eastAsiaTheme="minorEastAsia"/>
                <w:color w:val="000000" w:themeColor="text1"/>
                <w:szCs w:val="24"/>
              </w:rPr>
              <w:t>5</w:t>
            </w:r>
            <w:r>
              <w:rPr>
                <w:rFonts w:cs="Times New Roman" w:eastAsiaTheme="minorEastAsia"/>
                <w:color w:val="000000" w:themeColor="text1"/>
                <w:szCs w:val="24"/>
              </w:rPr>
              <w:t>.</w:t>
            </w:r>
            <w:r>
              <w:rPr>
                <w:rFonts w:hint="eastAsia" w:cs="Times New Roman" w:eastAsiaTheme="minorEastAsia"/>
                <w:color w:val="000000" w:themeColor="text1"/>
                <w:szCs w:val="24"/>
              </w:rPr>
              <w:t>0</w:t>
            </w:r>
            <w:r>
              <w:rPr>
                <w:rFonts w:cs="Times New Roman" w:eastAsiaTheme="minorEastAsia"/>
                <w:color w:val="000000" w:themeColor="text1"/>
                <w:szCs w:val="24"/>
              </w:rPr>
              <w:t>m</w:t>
            </w:r>
            <w:r>
              <w:rPr>
                <w:rFonts w:hint="eastAsia" w:cs="Times New Roman" w:eastAsiaTheme="minorEastAsia"/>
                <w:color w:val="000000" w:themeColor="text1"/>
                <w:szCs w:val="24"/>
              </w:rPr>
              <w:t>（地下式）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3670" w:type="dxa"/>
            <w:vAlign w:val="center"/>
          </w:tcPr>
          <w:p>
            <w:pPr>
              <w:ind w:firstLine="0" w:firstLineChars="0"/>
              <w:rPr>
                <w:rFonts w:cs="Times New Roman"/>
                <w:color w:val="000000" w:themeColor="text1"/>
              </w:rPr>
            </w:pPr>
            <w:r>
              <w:rPr>
                <w:rFonts w:cs="Times New Roman"/>
                <w:color w:val="000000" w:themeColor="text1"/>
              </w:rPr>
              <w:t>建筑尺寸（</w:t>
            </w:r>
            <w:r>
              <w:rPr>
                <w:rFonts w:hint="eastAsia" w:cs="Times New Roman"/>
                <w:color w:val="000000" w:themeColor="text1"/>
              </w:rPr>
              <w:t>格栅</w:t>
            </w:r>
            <w:r>
              <w:rPr>
                <w:rFonts w:cs="Times New Roman"/>
                <w:color w:val="000000" w:themeColor="text1"/>
              </w:rPr>
              <w:t>池）</w:t>
            </w:r>
          </w:p>
        </w:tc>
        <w:tc>
          <w:tcPr>
            <w:tcW w:w="4552" w:type="dxa"/>
            <w:vAlign w:val="center"/>
          </w:tcPr>
          <w:p>
            <w:pPr>
              <w:ind w:firstLine="0" w:firstLineChars="0"/>
              <w:jc w:val="left"/>
              <w:rPr>
                <w:rFonts w:cs="Times New Roman" w:eastAsiaTheme="minorEastAsia"/>
                <w:color w:val="000000" w:themeColor="text1"/>
                <w:szCs w:val="24"/>
              </w:rPr>
            </w:pPr>
            <w:r>
              <w:rPr>
                <w:rFonts w:cs="Times New Roman" w:eastAsiaTheme="minorEastAsia"/>
                <w:color w:val="000000" w:themeColor="text1"/>
                <w:szCs w:val="24"/>
              </w:rPr>
              <w:t>L×W×H=</w:t>
            </w:r>
            <w:r>
              <w:rPr>
                <w:rFonts w:hint="eastAsia" w:cs="Times New Roman" w:eastAsiaTheme="minorEastAsia"/>
                <w:color w:val="000000" w:themeColor="text1"/>
                <w:szCs w:val="24"/>
              </w:rPr>
              <w:t>2.7</w:t>
            </w:r>
            <w:r>
              <w:rPr>
                <w:rFonts w:cs="Times New Roman" w:eastAsiaTheme="minorEastAsia"/>
                <w:color w:val="000000" w:themeColor="text1"/>
                <w:szCs w:val="24"/>
              </w:rPr>
              <w:t>m×</w:t>
            </w:r>
            <w:r>
              <w:rPr>
                <w:rFonts w:hint="eastAsia" w:cs="Times New Roman" w:eastAsiaTheme="minorEastAsia"/>
                <w:color w:val="000000" w:themeColor="text1"/>
                <w:szCs w:val="24"/>
              </w:rPr>
              <w:t>1.26</w:t>
            </w:r>
            <w:r>
              <w:rPr>
                <w:rFonts w:cs="Times New Roman" w:eastAsiaTheme="minorEastAsia"/>
                <w:color w:val="000000" w:themeColor="text1"/>
                <w:szCs w:val="24"/>
              </w:rPr>
              <w:t>m×</w:t>
            </w:r>
            <w:r>
              <w:rPr>
                <w:rFonts w:hint="eastAsia" w:cs="Times New Roman" w:eastAsiaTheme="minorEastAsia"/>
                <w:color w:val="000000" w:themeColor="text1"/>
                <w:szCs w:val="24"/>
              </w:rPr>
              <w:t>1.3</w:t>
            </w:r>
            <w:r>
              <w:rPr>
                <w:rFonts w:cs="Times New Roman" w:eastAsiaTheme="minorEastAsia"/>
                <w:color w:val="000000" w:themeColor="text1"/>
                <w:szCs w:val="24"/>
              </w:rPr>
              <w:t>m</w:t>
            </w:r>
            <w:r>
              <w:rPr>
                <w:rFonts w:hint="eastAsia" w:cs="Times New Roman" w:eastAsiaTheme="minorEastAsia"/>
                <w:color w:val="000000" w:themeColor="text1"/>
                <w:szCs w:val="24"/>
              </w:rPr>
              <w:t>（地上式）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70" w:type="dxa"/>
            <w:vAlign w:val="center"/>
          </w:tcPr>
          <w:p>
            <w:pPr>
              <w:ind w:firstLine="0" w:firstLineChars="0"/>
              <w:rPr>
                <w:rFonts w:cs="Times New Roman"/>
                <w:color w:val="000000" w:themeColor="text1"/>
              </w:rPr>
            </w:pPr>
            <w:r>
              <w:rPr>
                <w:rFonts w:cs="Times New Roman"/>
                <w:color w:val="000000" w:themeColor="text1"/>
              </w:rPr>
              <w:t>建筑尺寸（初沉池）</w:t>
            </w:r>
          </w:p>
        </w:tc>
        <w:tc>
          <w:tcPr>
            <w:tcW w:w="4552" w:type="dxa"/>
            <w:vAlign w:val="center"/>
          </w:tcPr>
          <w:p>
            <w:pPr>
              <w:ind w:firstLine="0" w:firstLineChars="0"/>
              <w:jc w:val="left"/>
              <w:rPr>
                <w:rFonts w:cs="Times New Roman" w:eastAsiaTheme="minorEastAsia"/>
                <w:color w:val="000000" w:themeColor="text1"/>
                <w:szCs w:val="24"/>
              </w:rPr>
            </w:pPr>
            <w:r>
              <w:rPr>
                <w:rFonts w:cs="Times New Roman" w:eastAsiaTheme="minorEastAsia"/>
                <w:color w:val="000000" w:themeColor="text1"/>
                <w:szCs w:val="24"/>
              </w:rPr>
              <w:t>L×W×H=</w:t>
            </w:r>
            <w:r>
              <w:rPr>
                <w:rFonts w:hint="eastAsia" w:cs="Times New Roman" w:eastAsiaTheme="minorEastAsia"/>
                <w:color w:val="000000" w:themeColor="text1"/>
                <w:szCs w:val="24"/>
              </w:rPr>
              <w:t>3.0</w:t>
            </w:r>
            <w:r>
              <w:rPr>
                <w:rFonts w:cs="Times New Roman" w:eastAsiaTheme="minorEastAsia"/>
                <w:color w:val="000000" w:themeColor="text1"/>
                <w:szCs w:val="24"/>
              </w:rPr>
              <w:t>m×</w:t>
            </w:r>
            <w:r>
              <w:rPr>
                <w:rFonts w:hint="eastAsia" w:cs="Times New Roman" w:eastAsiaTheme="minorEastAsia"/>
                <w:color w:val="000000" w:themeColor="text1"/>
                <w:szCs w:val="24"/>
              </w:rPr>
              <w:t>3.0</w:t>
            </w:r>
            <w:r>
              <w:rPr>
                <w:rFonts w:cs="Times New Roman" w:eastAsiaTheme="minorEastAsia"/>
                <w:color w:val="000000" w:themeColor="text1"/>
                <w:szCs w:val="24"/>
              </w:rPr>
              <w:t>m×</w:t>
            </w:r>
            <w:r>
              <w:rPr>
                <w:rFonts w:hint="eastAsia" w:cs="Times New Roman" w:eastAsiaTheme="minorEastAsia"/>
                <w:color w:val="000000" w:themeColor="text1"/>
                <w:szCs w:val="24"/>
              </w:rPr>
              <w:t>5.0</w:t>
            </w:r>
            <w:r>
              <w:rPr>
                <w:rFonts w:cs="Times New Roman" w:eastAsiaTheme="minorEastAsia"/>
                <w:color w:val="000000" w:themeColor="text1"/>
                <w:szCs w:val="24"/>
              </w:rPr>
              <w:t>m</w:t>
            </w:r>
            <w:r>
              <w:rPr>
                <w:rFonts w:hint="eastAsia" w:cs="Times New Roman" w:eastAsiaTheme="minorEastAsia"/>
                <w:color w:val="000000" w:themeColor="text1"/>
                <w:szCs w:val="24"/>
              </w:rPr>
              <w:t>（半地下式）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70" w:type="dxa"/>
            <w:vAlign w:val="center"/>
          </w:tcPr>
          <w:p>
            <w:pPr>
              <w:ind w:firstLine="0" w:firstLineChars="0"/>
              <w:rPr>
                <w:rFonts w:cs="Times New Roman"/>
                <w:color w:val="000000" w:themeColor="text1"/>
              </w:rPr>
            </w:pPr>
            <w:r>
              <w:rPr>
                <w:rFonts w:cs="Times New Roman"/>
                <w:color w:val="000000" w:themeColor="text1"/>
              </w:rPr>
              <w:t>建筑尺寸（</w:t>
            </w:r>
            <w:r>
              <w:rPr>
                <w:rFonts w:hint="eastAsia" w:cs="Times New Roman"/>
                <w:color w:val="000000" w:themeColor="text1"/>
              </w:rPr>
              <w:t>隔油</w:t>
            </w:r>
            <w:r>
              <w:rPr>
                <w:rFonts w:cs="Times New Roman"/>
                <w:color w:val="000000" w:themeColor="text1"/>
              </w:rPr>
              <w:t>池</w:t>
            </w:r>
            <w:r>
              <w:rPr>
                <w:rFonts w:hint="eastAsia" w:cs="Times New Roman"/>
                <w:color w:val="000000" w:themeColor="text1"/>
              </w:rPr>
              <w:t>/暂存池</w:t>
            </w:r>
            <w:r>
              <w:rPr>
                <w:rFonts w:cs="Times New Roman"/>
                <w:color w:val="000000" w:themeColor="text1"/>
              </w:rPr>
              <w:t>）</w:t>
            </w:r>
          </w:p>
        </w:tc>
        <w:tc>
          <w:tcPr>
            <w:tcW w:w="4552" w:type="dxa"/>
            <w:vAlign w:val="center"/>
          </w:tcPr>
          <w:p>
            <w:pPr>
              <w:ind w:firstLine="0" w:firstLineChars="0"/>
              <w:jc w:val="left"/>
              <w:rPr>
                <w:rFonts w:cs="Times New Roman" w:eastAsiaTheme="minorEastAsia"/>
                <w:color w:val="000000" w:themeColor="text1"/>
                <w:szCs w:val="24"/>
              </w:rPr>
            </w:pPr>
            <w:r>
              <w:rPr>
                <w:rFonts w:cs="Times New Roman" w:eastAsiaTheme="minorEastAsia"/>
                <w:color w:val="000000" w:themeColor="text1"/>
                <w:szCs w:val="24"/>
              </w:rPr>
              <w:t>L×W×H=</w:t>
            </w:r>
            <w:r>
              <w:rPr>
                <w:rFonts w:hint="eastAsia" w:cs="Times New Roman" w:eastAsiaTheme="minorEastAsia"/>
                <w:color w:val="000000" w:themeColor="text1"/>
                <w:szCs w:val="24"/>
              </w:rPr>
              <w:t>3.0</w:t>
            </w:r>
            <w:r>
              <w:rPr>
                <w:rFonts w:cs="Times New Roman" w:eastAsiaTheme="minorEastAsia"/>
                <w:color w:val="000000" w:themeColor="text1"/>
                <w:szCs w:val="24"/>
              </w:rPr>
              <w:t>m×</w:t>
            </w:r>
            <w:r>
              <w:rPr>
                <w:rFonts w:hint="eastAsia" w:cs="Times New Roman" w:eastAsiaTheme="minorEastAsia"/>
                <w:color w:val="000000" w:themeColor="text1"/>
                <w:szCs w:val="24"/>
              </w:rPr>
              <w:t>2.5</w:t>
            </w:r>
            <w:r>
              <w:rPr>
                <w:rFonts w:cs="Times New Roman" w:eastAsiaTheme="minorEastAsia"/>
                <w:color w:val="000000" w:themeColor="text1"/>
                <w:szCs w:val="24"/>
              </w:rPr>
              <w:t>m×</w:t>
            </w:r>
            <w:r>
              <w:rPr>
                <w:rFonts w:hint="eastAsia" w:cs="Times New Roman" w:eastAsiaTheme="minorEastAsia"/>
                <w:color w:val="000000" w:themeColor="text1"/>
                <w:szCs w:val="24"/>
              </w:rPr>
              <w:t>5.0</w:t>
            </w:r>
            <w:r>
              <w:rPr>
                <w:rFonts w:cs="Times New Roman" w:eastAsiaTheme="minorEastAsia"/>
                <w:color w:val="000000" w:themeColor="text1"/>
                <w:szCs w:val="24"/>
              </w:rPr>
              <w:t>m</w:t>
            </w:r>
            <w:r>
              <w:rPr>
                <w:rFonts w:hint="eastAsia" w:cs="Times New Roman" w:eastAsiaTheme="minorEastAsia"/>
                <w:color w:val="000000" w:themeColor="text1"/>
                <w:szCs w:val="24"/>
              </w:rPr>
              <w:t>（半地下式）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70" w:type="dxa"/>
            <w:vAlign w:val="center"/>
          </w:tcPr>
          <w:p>
            <w:pPr>
              <w:ind w:firstLine="0" w:firstLineChars="0"/>
              <w:rPr>
                <w:rFonts w:cs="Times New Roman"/>
                <w:color w:val="000000" w:themeColor="text1"/>
              </w:rPr>
            </w:pPr>
            <w:r>
              <w:rPr>
                <w:rFonts w:cs="Times New Roman"/>
                <w:color w:val="000000" w:themeColor="text1"/>
              </w:rPr>
              <w:t>建筑尺寸（</w:t>
            </w:r>
            <w:r>
              <w:rPr>
                <w:rFonts w:hint="eastAsia" w:cs="Times New Roman"/>
                <w:color w:val="000000" w:themeColor="text1"/>
              </w:rPr>
              <w:t>调节池</w:t>
            </w:r>
            <w:r>
              <w:rPr>
                <w:rFonts w:cs="Times New Roman"/>
                <w:color w:val="000000" w:themeColor="text1"/>
              </w:rPr>
              <w:t>）</w:t>
            </w:r>
          </w:p>
        </w:tc>
        <w:tc>
          <w:tcPr>
            <w:tcW w:w="4552" w:type="dxa"/>
            <w:vAlign w:val="center"/>
          </w:tcPr>
          <w:p>
            <w:pPr>
              <w:ind w:firstLine="0" w:firstLineChars="0"/>
              <w:jc w:val="left"/>
              <w:rPr>
                <w:rFonts w:cs="Times New Roman" w:eastAsiaTheme="minorEastAsia"/>
                <w:color w:val="000000" w:themeColor="text1"/>
                <w:szCs w:val="24"/>
              </w:rPr>
            </w:pPr>
            <w:r>
              <w:rPr>
                <w:rFonts w:cs="Times New Roman" w:eastAsiaTheme="minorEastAsia"/>
                <w:color w:val="000000" w:themeColor="text1"/>
                <w:szCs w:val="24"/>
              </w:rPr>
              <w:t>L×W×H=</w:t>
            </w:r>
            <w:r>
              <w:rPr>
                <w:rFonts w:hint="eastAsia" w:cs="Times New Roman" w:eastAsiaTheme="minorEastAsia"/>
                <w:color w:val="000000" w:themeColor="text1"/>
                <w:szCs w:val="24"/>
              </w:rPr>
              <w:t>17</w:t>
            </w:r>
            <w:r>
              <w:rPr>
                <w:rFonts w:cs="Times New Roman" w:eastAsiaTheme="minorEastAsia"/>
                <w:color w:val="000000" w:themeColor="text1"/>
                <w:szCs w:val="24"/>
              </w:rPr>
              <w:t>m×</w:t>
            </w:r>
            <w:r>
              <w:rPr>
                <w:rFonts w:hint="eastAsia" w:cs="Times New Roman" w:eastAsiaTheme="minorEastAsia"/>
                <w:color w:val="000000" w:themeColor="text1"/>
                <w:szCs w:val="24"/>
              </w:rPr>
              <w:t>3.0</w:t>
            </w:r>
            <w:r>
              <w:rPr>
                <w:rFonts w:cs="Times New Roman" w:eastAsiaTheme="minorEastAsia"/>
                <w:color w:val="000000" w:themeColor="text1"/>
                <w:szCs w:val="24"/>
              </w:rPr>
              <w:t>m×</w:t>
            </w:r>
            <w:r>
              <w:rPr>
                <w:rFonts w:hint="eastAsia" w:cs="Times New Roman" w:eastAsiaTheme="minorEastAsia"/>
                <w:color w:val="000000" w:themeColor="text1"/>
                <w:szCs w:val="24"/>
              </w:rPr>
              <w:t>5</w:t>
            </w:r>
            <w:r>
              <w:rPr>
                <w:rFonts w:cs="Times New Roman" w:eastAsiaTheme="minorEastAsia"/>
                <w:color w:val="000000" w:themeColor="text1"/>
                <w:szCs w:val="24"/>
              </w:rPr>
              <w:t>.</w:t>
            </w:r>
            <w:r>
              <w:rPr>
                <w:rFonts w:hint="eastAsia" w:cs="Times New Roman" w:eastAsiaTheme="minorEastAsia"/>
                <w:color w:val="000000" w:themeColor="text1"/>
                <w:szCs w:val="24"/>
              </w:rPr>
              <w:t>0</w:t>
            </w:r>
            <w:r>
              <w:rPr>
                <w:rFonts w:cs="Times New Roman" w:eastAsiaTheme="minorEastAsia"/>
                <w:color w:val="000000" w:themeColor="text1"/>
                <w:szCs w:val="24"/>
              </w:rPr>
              <w:t>m</w:t>
            </w:r>
            <w:r>
              <w:rPr>
                <w:rFonts w:hint="eastAsia" w:cs="Times New Roman" w:eastAsiaTheme="minorEastAsia"/>
                <w:color w:val="000000" w:themeColor="text1"/>
                <w:szCs w:val="24"/>
              </w:rPr>
              <w:t>（半地上式）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70" w:type="dxa"/>
            <w:vAlign w:val="center"/>
          </w:tcPr>
          <w:p>
            <w:pPr>
              <w:autoSpaceDE w:val="0"/>
              <w:autoSpaceDN w:val="0"/>
              <w:adjustRightInd w:val="0"/>
              <w:spacing w:line="315" w:lineRule="atLeast"/>
              <w:ind w:firstLine="0" w:firstLineChars="0"/>
              <w:rPr>
                <w:rFonts w:cs="Times New Roman" w:eastAsiaTheme="minorEastAsia"/>
                <w:color w:val="000000" w:themeColor="text1"/>
                <w:szCs w:val="24"/>
              </w:rPr>
            </w:pPr>
            <w:r>
              <w:rPr>
                <w:rFonts w:cs="Times New Roman" w:eastAsiaTheme="minorEastAsia"/>
                <w:color w:val="000000" w:themeColor="text1"/>
                <w:szCs w:val="24"/>
              </w:rPr>
              <w:t>池壁防水防腐</w:t>
            </w:r>
          </w:p>
        </w:tc>
        <w:tc>
          <w:tcPr>
            <w:tcW w:w="4552" w:type="dxa"/>
            <w:vAlign w:val="center"/>
          </w:tcPr>
          <w:p>
            <w:pPr>
              <w:autoSpaceDE w:val="0"/>
              <w:autoSpaceDN w:val="0"/>
              <w:adjustRightInd w:val="0"/>
              <w:spacing w:line="315" w:lineRule="atLeast"/>
              <w:ind w:firstLine="0" w:firstLineChars="0"/>
              <w:rPr>
                <w:rFonts w:cs="Times New Roman" w:eastAsiaTheme="minorEastAsia"/>
                <w:color w:val="000000" w:themeColor="text1"/>
                <w:szCs w:val="24"/>
              </w:rPr>
            </w:pPr>
            <w:r>
              <w:rPr>
                <w:rFonts w:cs="Times New Roman" w:eastAsiaTheme="minorEastAsia"/>
                <w:szCs w:val="24"/>
              </w:rPr>
              <w:t>环氧煤沥青</w:t>
            </w:r>
          </w:p>
        </w:tc>
      </w:tr>
    </w:tbl>
    <w:p>
      <w:pPr>
        <w:ind w:firstLine="560"/>
        <w:rPr>
          <w:rFonts w:cs="Times New Roman" w:eastAsiaTheme="minorEastAsia"/>
          <w:sz w:val="28"/>
          <w:szCs w:val="28"/>
        </w:rPr>
      </w:pPr>
      <w:r>
        <w:rPr>
          <w:rFonts w:cs="Times New Roman" w:eastAsiaTheme="minorEastAsia"/>
          <w:sz w:val="28"/>
          <w:szCs w:val="28"/>
        </w:rPr>
        <w:t>主要设备参数：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设备名称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厌氧进水泵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设备数量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设备用途</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将调节池水提升进入厌氧反应器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输送介质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水泵类型</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自动耦合式潜水泵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设计流量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Q=</w:t>
            </w:r>
            <w:r>
              <w:rPr>
                <w:rFonts w:hint="eastAsia" w:cs="Times New Roman" w:eastAsiaTheme="minorEastAsia"/>
                <w:szCs w:val="24"/>
              </w:rPr>
              <w:t>5</w:t>
            </w:r>
            <w:r>
              <w:rPr>
                <w:rFonts w:cs="Times New Roman" w:eastAsiaTheme="minorEastAsia"/>
                <w:szCs w:val="24"/>
              </w:rPr>
              <w:t>.0m</w:t>
            </w:r>
            <w:r>
              <w:rPr>
                <w:rFonts w:cs="Times New Roman" w:eastAsiaTheme="minorEastAsia"/>
                <w:szCs w:val="24"/>
                <w:vertAlign w:val="superscript"/>
              </w:rPr>
              <w:t>3</w:t>
            </w:r>
            <w:r>
              <w:rPr>
                <w:rFonts w:cs="Times New Roman" w:eastAsiaTheme="minorEastAsia"/>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设计扬程</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H=</w:t>
            </w:r>
            <w:r>
              <w:rPr>
                <w:rFonts w:hint="eastAsia" w:cs="Times New Roman" w:eastAsiaTheme="minorEastAsia"/>
                <w:szCs w:val="24"/>
              </w:rPr>
              <w:t>12</w:t>
            </w:r>
            <w:r>
              <w:rPr>
                <w:rFonts w:cs="Times New Roman" w:eastAsiaTheme="minorEastAsia"/>
                <w:szCs w:val="24"/>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电机功率</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hint="eastAsia" w:cs="Times New Roman" w:eastAsiaTheme="minorEastAsia"/>
                <w:szCs w:val="24"/>
              </w:rPr>
              <w:t>0.75</w:t>
            </w:r>
            <w:r>
              <w:rPr>
                <w:rFonts w:cs="Times New Roman" w:eastAsiaTheme="minorEastAsia"/>
                <w:szCs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额定电压</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3相380V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电机防护等级</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电机绝缘等级</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F级绝缘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材质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过流不锈钢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设备名称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格栅机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设备数量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设备用途</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去除大颗粒杂质及悬浮物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输送介质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设计流量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Q=10m</w:t>
            </w:r>
            <w:r>
              <w:rPr>
                <w:rFonts w:cs="Times New Roman" w:eastAsiaTheme="minorEastAsia"/>
                <w:szCs w:val="24"/>
                <w:vertAlign w:val="superscript"/>
              </w:rPr>
              <w:t>3</w:t>
            </w:r>
            <w:r>
              <w:rPr>
                <w:rFonts w:cs="Times New Roman" w:eastAsiaTheme="minorEastAsia"/>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功率</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外框架材料</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过滤截留材料</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传动件材质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轴承材质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设备名称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潜水搅拌机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设备数量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hint="eastAsia" w:cs="Times New Roman" w:eastAsiaTheme="minorEastAsia"/>
                <w:szCs w:val="24"/>
              </w:rPr>
              <w:t>2</w:t>
            </w:r>
            <w:r>
              <w:rPr>
                <w:rFonts w:cs="Times New Roman" w:eastAsiaTheme="minorEastAsia"/>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设备用途</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调节池均衡水质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输送介质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电机功率</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hint="eastAsia" w:cs="Times New Roman" w:eastAsiaTheme="minorEastAsia"/>
                <w:szCs w:val="24"/>
              </w:rPr>
              <w:t>2.2</w:t>
            </w:r>
            <w:r>
              <w:rPr>
                <w:rFonts w:cs="Times New Roman" w:eastAsiaTheme="minorEastAsia"/>
                <w:szCs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材质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SS304安装系统</w:t>
            </w:r>
          </w:p>
        </w:tc>
      </w:tr>
    </w:tbl>
    <w:p>
      <w:pPr>
        <w:pStyle w:val="4"/>
        <w:keepNext w:val="0"/>
        <w:keepLines w:val="0"/>
        <w:spacing w:before="190" w:after="190"/>
        <w:ind w:firstLine="0" w:firstLineChars="0"/>
        <w:jc w:val="left"/>
        <w:rPr>
          <w:rFonts w:cs="Times New Roman"/>
          <w:sz w:val="28"/>
          <w:szCs w:val="28"/>
        </w:rPr>
      </w:pPr>
      <w:bookmarkStart w:id="94" w:name="_Toc29968"/>
      <w:bookmarkStart w:id="95" w:name="_Toc459884215"/>
      <w:bookmarkStart w:id="96" w:name="_Toc459885109"/>
      <w:bookmarkStart w:id="97" w:name="_Toc518055159"/>
      <w:bookmarkStart w:id="98" w:name="_Toc73367158"/>
      <w:bookmarkStart w:id="99" w:name="_Toc518055160"/>
      <w:bookmarkStart w:id="100" w:name="_Toc459885110"/>
      <w:bookmarkStart w:id="101" w:name="_Toc459884216"/>
      <w:r>
        <w:rPr>
          <w:rFonts w:cs="Times New Roman"/>
          <w:sz w:val="28"/>
          <w:szCs w:val="28"/>
        </w:rPr>
        <w:t>4.2</w:t>
      </w:r>
      <w:r>
        <w:rPr>
          <w:rFonts w:hint="eastAsia" w:cs="Times New Roman"/>
          <w:sz w:val="28"/>
          <w:szCs w:val="28"/>
        </w:rPr>
        <w:t>厌氧处理系统</w:t>
      </w:r>
      <w:bookmarkEnd w:id="94"/>
      <w:bookmarkEnd w:id="95"/>
      <w:bookmarkEnd w:id="96"/>
      <w:bookmarkEnd w:id="97"/>
    </w:p>
    <w:p>
      <w:pPr>
        <w:ind w:firstLine="560"/>
        <w:rPr>
          <w:rFonts w:cs="Times New Roman"/>
          <w:sz w:val="28"/>
          <w:szCs w:val="28"/>
        </w:rPr>
      </w:pPr>
      <w:r>
        <w:rPr>
          <w:rFonts w:hint="eastAsia" w:cs="Times New Roman"/>
          <w:sz w:val="28"/>
          <w:szCs w:val="28"/>
        </w:rPr>
        <w:t>厌氧反应器主要用于去废水中的</w:t>
      </w:r>
      <w:r>
        <w:rPr>
          <w:rFonts w:cs="Times New Roman"/>
          <w:sz w:val="28"/>
          <w:szCs w:val="28"/>
        </w:rPr>
        <w:t>COD</w:t>
      </w:r>
      <w:r>
        <w:rPr>
          <w:rFonts w:cs="Times New Roman"/>
          <w:sz w:val="28"/>
          <w:szCs w:val="28"/>
          <w:vertAlign w:val="subscript"/>
        </w:rPr>
        <w:t>Cr</w:t>
      </w:r>
      <w:r>
        <w:rPr>
          <w:rFonts w:hint="eastAsia" w:cs="Times New Roman"/>
          <w:sz w:val="28"/>
          <w:szCs w:val="28"/>
        </w:rPr>
        <w:t>有机物，该反应器设计处理水量为</w:t>
      </w:r>
      <w:r>
        <w:rPr>
          <w:rFonts w:cs="Times New Roman"/>
          <w:sz w:val="28"/>
          <w:szCs w:val="28"/>
        </w:rPr>
        <w:t>30 m</w:t>
      </w:r>
      <w:r>
        <w:rPr>
          <w:rFonts w:cs="Times New Roman"/>
          <w:sz w:val="28"/>
          <w:szCs w:val="28"/>
          <w:vertAlign w:val="superscript"/>
        </w:rPr>
        <w:t>3</w:t>
      </w:r>
      <w:r>
        <w:rPr>
          <w:rFonts w:cs="Times New Roman"/>
          <w:sz w:val="28"/>
          <w:szCs w:val="28"/>
        </w:rPr>
        <w:t>/d</w:t>
      </w:r>
      <w:r>
        <w:rPr>
          <w:rFonts w:hint="eastAsia" w:cs="Times New Roman"/>
          <w:sz w:val="28"/>
          <w:szCs w:val="28"/>
        </w:rPr>
        <w:t>，共设置一台，主要参数如下：</w:t>
      </w:r>
    </w:p>
    <w:p>
      <w:pPr>
        <w:ind w:firstLine="560"/>
        <w:rPr>
          <w:rFonts w:cs="Times New Roman"/>
          <w:sz w:val="28"/>
          <w:szCs w:val="28"/>
        </w:rPr>
      </w:pPr>
      <w:r>
        <w:rPr>
          <w:rFonts w:hint="eastAsia" w:cs="Times New Roman"/>
          <w:sz w:val="28"/>
          <w:szCs w:val="28"/>
        </w:rPr>
        <w:t>构筑物设计参数表：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b/>
                <w:szCs w:val="24"/>
              </w:rPr>
            </w:pPr>
            <w:r>
              <w:rPr>
                <w:rFonts w:hint="eastAsia" w:cs="Times New Roman"/>
                <w:b/>
                <w:szCs w:val="24"/>
              </w:rPr>
              <w:t>构筑物名称</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b/>
                <w:szCs w:val="24"/>
              </w:rPr>
            </w:pPr>
            <w:r>
              <w:rPr>
                <w:rFonts w:hint="eastAsia" w:cs="Times New Roman"/>
                <w:b/>
                <w:szCs w:val="24"/>
              </w:rPr>
              <w:t>厌氧反应器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b/>
                <w:szCs w:val="24"/>
              </w:rPr>
            </w:pPr>
            <w:r>
              <w:rPr>
                <w:rFonts w:hint="eastAsia" w:cs="Times New Roman"/>
                <w:b/>
                <w:szCs w:val="24"/>
              </w:rPr>
              <w:t>项目</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b/>
                <w:szCs w:val="24"/>
              </w:rPr>
            </w:pPr>
            <w:r>
              <w:rPr>
                <w:rFonts w:hint="eastAsia" w:cs="Times New Roman"/>
                <w:b/>
                <w:szCs w:val="24"/>
              </w:rPr>
              <w:t>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建筑形式</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地上式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构筑物材料</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碳钢防腐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设备数量</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1</w:t>
            </w:r>
            <w:r>
              <w:rPr>
                <w:rFonts w:hint="eastAsia" w:cs="Times New Roman"/>
                <w:szCs w:val="24"/>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建筑尺寸（净空）</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D×H=Φ5.0m×1</w:t>
            </w:r>
            <w:r>
              <w:rPr>
                <w:rFonts w:hint="eastAsia" w:cs="Times New Roman"/>
                <w:szCs w:val="24"/>
              </w:rPr>
              <w:t>0</w:t>
            </w:r>
            <w:r>
              <w:rPr>
                <w:rFonts w:cs="Times New Roman"/>
                <w:szCs w:val="24"/>
              </w:rPr>
              <w:t>.0m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有效水深（或保护超高）</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9.5m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沼气产率</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0.35</w:t>
            </w:r>
            <w:r>
              <w:rPr>
                <w:rFonts w:hint="eastAsia" w:cs="Times New Roman"/>
                <w:szCs w:val="24"/>
              </w:rPr>
              <w:t>～</w:t>
            </w:r>
            <w:r>
              <w:rPr>
                <w:rFonts w:cs="Times New Roman"/>
                <w:szCs w:val="24"/>
              </w:rPr>
              <w:t>0.40m</w:t>
            </w:r>
            <w:r>
              <w:rPr>
                <w:rFonts w:cs="Times New Roman"/>
                <w:szCs w:val="24"/>
                <w:vertAlign w:val="superscript"/>
              </w:rPr>
              <w:t>3</w:t>
            </w:r>
            <w:r>
              <w:rPr>
                <w:rFonts w:hint="eastAsia" w:cs="Times New Roman"/>
                <w:szCs w:val="24"/>
              </w:rPr>
              <w:t>沼气</w:t>
            </w:r>
            <w:r>
              <w:rPr>
                <w:rFonts w:cs="Times New Roman"/>
                <w:szCs w:val="24"/>
              </w:rPr>
              <w:t>/kgCOD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反应区污泥浓度</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20~40 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运行温度</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33</w:t>
            </w:r>
            <w:r>
              <w:rPr>
                <w:rFonts w:hint="eastAsia" w:cs="Times New Roman"/>
                <w:szCs w:val="24"/>
              </w:rPr>
              <w:t>～</w:t>
            </w:r>
            <w:r>
              <w:rPr>
                <w:rFonts w:cs="Times New Roman"/>
                <w:szCs w:val="24"/>
              </w:rPr>
              <w:t>37℃</w:t>
            </w:r>
            <w:r>
              <w:rPr>
                <w:rFonts w:hint="eastAsia" w:cs="Times New Roman"/>
                <w:szCs w:val="24"/>
              </w:rPr>
              <w:t>，最适温度</w:t>
            </w:r>
            <w:r>
              <w:rPr>
                <w:rFonts w:cs="Times New Roman"/>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布水器</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非标，碳钢防腐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气液分离器</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非标，</w:t>
            </w:r>
            <w:r>
              <w:rPr>
                <w:rFonts w:cs="Times New Roman"/>
                <w:szCs w:val="24"/>
              </w:rPr>
              <w:t>SS304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三相分离器</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非标，碳钢防腐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保温</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彩钢板</w:t>
            </w:r>
            <w:r>
              <w:rPr>
                <w:rFonts w:cs="Times New Roman"/>
                <w:szCs w:val="24"/>
              </w:rPr>
              <w:t>0.5mm</w:t>
            </w:r>
            <w:r>
              <w:rPr>
                <w:rFonts w:hint="eastAsia" w:cs="Times New Roman"/>
                <w:szCs w:val="24"/>
              </w:rPr>
              <w:t>，岩棉板</w:t>
            </w:r>
            <w:r>
              <w:rPr>
                <w:rFonts w:cs="Times New Roman"/>
                <w:szCs w:val="24"/>
              </w:rPr>
              <w:t>100mm</w:t>
            </w:r>
          </w:p>
        </w:tc>
      </w:tr>
    </w:tbl>
    <w:p>
      <w:pPr>
        <w:ind w:firstLine="560"/>
        <w:rPr>
          <w:rFonts w:cs="Times New Roman"/>
          <w:sz w:val="28"/>
          <w:szCs w:val="28"/>
        </w:rPr>
      </w:pPr>
      <w:r>
        <w:rPr>
          <w:rFonts w:hint="eastAsia" w:cs="Times New Roman"/>
          <w:sz w:val="28"/>
          <w:szCs w:val="28"/>
        </w:rPr>
        <w:t>主要设备参数：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b/>
                <w:szCs w:val="24"/>
              </w:rPr>
            </w:pPr>
            <w:r>
              <w:rPr>
                <w:rFonts w:hint="eastAsia" w:cs="Times New Roman"/>
                <w:b/>
                <w:szCs w:val="24"/>
              </w:rPr>
              <w:t>设备名称</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b/>
                <w:szCs w:val="24"/>
              </w:rPr>
            </w:pPr>
            <w:r>
              <w:rPr>
                <w:rFonts w:hint="eastAsia" w:cs="Times New Roman"/>
                <w:b/>
                <w:szCs w:val="24"/>
              </w:rPr>
              <w:t>厌氧循环泵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设备数量</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2</w:t>
            </w:r>
            <w:r>
              <w:rPr>
                <w:rFonts w:hint="eastAsia" w:cs="Times New Roman"/>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设备用途</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厌氧外循环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输送介质</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水泵类型</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卧式离心泵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设计流量</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Q=30m</w:t>
            </w:r>
            <w:r>
              <w:rPr>
                <w:rFonts w:cs="Times New Roman"/>
                <w:szCs w:val="24"/>
                <w:vertAlign w:val="superscript"/>
              </w:rPr>
              <w:t>3</w:t>
            </w:r>
            <w:r>
              <w:rPr>
                <w:rFonts w:cs="Times New Roman"/>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设计扬程</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H=18m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val="0"/>
              <w:spacing w:before="0" w:beforeAutospacing="0" w:after="0" w:afterAutospacing="0" w:line="240" w:lineRule="auto"/>
              <w:ind w:firstLine="0" w:firstLineChars="0"/>
              <w:jc w:val="both"/>
              <w:rPr>
                <w:rFonts w:ascii="Times New Roman" w:hAnsi="Times New Roman" w:cs="Times New Roman"/>
                <w:kern w:val="2"/>
              </w:rPr>
            </w:pPr>
            <w:r>
              <w:rPr>
                <w:rFonts w:hint="eastAsia" w:ascii="Times New Roman" w:hAnsi="Times New Roman"/>
                <w:kern w:val="2"/>
              </w:rPr>
              <w:t>电机功率</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4.0kw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val="0"/>
              <w:spacing w:before="0" w:beforeAutospacing="0" w:after="0" w:afterAutospacing="0" w:line="240" w:lineRule="auto"/>
              <w:ind w:firstLine="0" w:firstLineChars="0"/>
              <w:jc w:val="both"/>
              <w:rPr>
                <w:rFonts w:ascii="Times New Roman" w:hAnsi="Times New Roman" w:cs="Times New Roman"/>
                <w:kern w:val="2"/>
              </w:rPr>
            </w:pPr>
            <w:r>
              <w:rPr>
                <w:rFonts w:hint="eastAsia" w:ascii="Times New Roman" w:hAnsi="Times New Roman"/>
                <w:kern w:val="2"/>
              </w:rPr>
              <w:t>额定电压</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3</w:t>
            </w:r>
            <w:r>
              <w:rPr>
                <w:rFonts w:hint="eastAsia" w:cs="Times New Roman"/>
                <w:szCs w:val="24"/>
              </w:rPr>
              <w:t>相</w:t>
            </w:r>
            <w:r>
              <w:rPr>
                <w:rFonts w:cs="Times New Roman"/>
                <w:szCs w:val="24"/>
              </w:rPr>
              <w:t>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val="0"/>
              <w:spacing w:before="0" w:beforeAutospacing="0" w:after="0" w:afterAutospacing="0" w:line="240" w:lineRule="auto"/>
              <w:ind w:firstLine="0" w:firstLineChars="0"/>
              <w:jc w:val="both"/>
              <w:rPr>
                <w:rFonts w:ascii="Times New Roman" w:hAnsi="Times New Roman" w:cs="Times New Roman"/>
                <w:kern w:val="2"/>
              </w:rPr>
            </w:pPr>
            <w:r>
              <w:rPr>
                <w:rFonts w:hint="eastAsia" w:ascii="Times New Roman" w:hAnsi="Times New Roman"/>
                <w:kern w:val="2"/>
              </w:rPr>
              <w:t>电机防护等级</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val="0"/>
              <w:spacing w:before="0" w:beforeAutospacing="0" w:after="0" w:afterAutospacing="0" w:line="240" w:lineRule="auto"/>
              <w:ind w:firstLine="0" w:firstLineChars="0"/>
              <w:jc w:val="both"/>
              <w:rPr>
                <w:rFonts w:ascii="Times New Roman" w:hAnsi="Times New Roman" w:cs="Times New Roman"/>
                <w:kern w:val="2"/>
              </w:rPr>
            </w:pPr>
            <w:r>
              <w:rPr>
                <w:rFonts w:hint="eastAsia" w:ascii="Times New Roman" w:hAnsi="Times New Roman"/>
                <w:kern w:val="2"/>
              </w:rPr>
              <w:t>电机绝缘等级</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F</w:t>
            </w:r>
            <w:r>
              <w:rPr>
                <w:rFonts w:hint="eastAsia" w:cs="Times New Roman"/>
                <w:szCs w:val="24"/>
              </w:rPr>
              <w:t>级绝缘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val="0"/>
              <w:spacing w:before="0" w:beforeAutospacing="0" w:after="0" w:afterAutospacing="0" w:line="240" w:lineRule="auto"/>
              <w:ind w:firstLine="0" w:firstLineChars="0"/>
              <w:jc w:val="both"/>
              <w:rPr>
                <w:rFonts w:ascii="Times New Roman" w:hAnsi="Times New Roman" w:cs="Times New Roman"/>
                <w:kern w:val="2"/>
              </w:rPr>
            </w:pPr>
            <w:r>
              <w:rPr>
                <w:rFonts w:hint="eastAsia" w:ascii="Times New Roman" w:hAnsi="Times New Roman"/>
                <w:kern w:val="2"/>
              </w:rPr>
              <w:t>材质</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过流不锈钢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val="0"/>
              <w:spacing w:before="0" w:beforeAutospacing="0" w:after="0" w:afterAutospacing="0" w:line="240" w:lineRule="auto"/>
              <w:ind w:firstLine="0" w:firstLineChars="0"/>
              <w:jc w:val="both"/>
              <w:rPr>
                <w:rFonts w:ascii="Times New Roman" w:hAnsi="Times New Roman" w:cs="Times New Roman"/>
                <w:kern w:val="2"/>
              </w:rPr>
            </w:pPr>
            <w:r>
              <w:rPr>
                <w:rFonts w:hint="eastAsia" w:ascii="Times New Roman" w:hAnsi="Times New Roman"/>
                <w:kern w:val="2"/>
              </w:rPr>
              <w:t>备注</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混凝土基础预留孔二次灌浆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b/>
                <w:szCs w:val="24"/>
              </w:rPr>
            </w:pPr>
            <w:r>
              <w:rPr>
                <w:rFonts w:hint="eastAsia" w:cs="Times New Roman"/>
                <w:b/>
                <w:szCs w:val="24"/>
              </w:rPr>
              <w:t>设备名称</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b/>
                <w:szCs w:val="24"/>
              </w:rPr>
            </w:pPr>
            <w:r>
              <w:rPr>
                <w:rFonts w:hint="eastAsia" w:cs="Times New Roman"/>
                <w:b/>
                <w:szCs w:val="24"/>
              </w:rPr>
              <w:t>安全水封罐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结构形式</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钢结构圆筒形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数量</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1</w:t>
            </w:r>
            <w:r>
              <w:rPr>
                <w:rFonts w:hint="eastAsia" w:cs="Times New Roman"/>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主要材质</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SS304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布置形式</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地上基础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工作压力</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3~5kPa</w:t>
            </w:r>
            <w:r>
              <w:rPr>
                <w:rFonts w:hint="eastAsia" w:cs="Times New Roman"/>
                <w:szCs w:val="24"/>
              </w:rPr>
              <w:t>（</w:t>
            </w:r>
            <w:r>
              <w:rPr>
                <w:rFonts w:cs="Times New Roman"/>
                <w:szCs w:val="24"/>
              </w:rPr>
              <w:t>300~500mm</w:t>
            </w:r>
            <w:r>
              <w:rPr>
                <w:rFonts w:hint="eastAsia" w:cs="Times New Roman"/>
                <w:szCs w:val="24"/>
              </w:rPr>
              <w:t>水柱）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left"/>
              <w:rPr>
                <w:rFonts w:cs="Times New Roman"/>
                <w:b/>
              </w:rPr>
            </w:pPr>
            <w:r>
              <w:rPr>
                <w:rFonts w:hint="eastAsia" w:cs="Times New Roman"/>
                <w:b/>
              </w:rPr>
              <w:t>设备名称</w:t>
            </w:r>
          </w:p>
        </w:tc>
        <w:tc>
          <w:tcPr>
            <w:tcW w:w="4573"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left"/>
              <w:rPr>
                <w:rFonts w:cs="Times New Roman"/>
                <w:b/>
              </w:rPr>
            </w:pPr>
            <w:r>
              <w:rPr>
                <w:rFonts w:hint="eastAsia" w:cs="Times New Roman"/>
                <w:b/>
              </w:rPr>
              <w:t>汽水分离罐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left"/>
              <w:rPr>
                <w:rFonts w:cs="Times New Roman"/>
              </w:rPr>
            </w:pPr>
            <w:r>
              <w:rPr>
                <w:rFonts w:hint="eastAsia" w:cs="Times New Roman"/>
              </w:rPr>
              <w:t>结构形式</w:t>
            </w:r>
          </w:p>
        </w:tc>
        <w:tc>
          <w:tcPr>
            <w:tcW w:w="4573"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left"/>
              <w:rPr>
                <w:rFonts w:cs="Times New Roman"/>
              </w:rPr>
            </w:pPr>
            <w:r>
              <w:rPr>
                <w:rFonts w:hint="eastAsia" w:cs="Times New Roman"/>
              </w:rPr>
              <w:t>钢结构圆筒形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left"/>
              <w:rPr>
                <w:rFonts w:cs="Times New Roman"/>
              </w:rPr>
            </w:pPr>
            <w:r>
              <w:rPr>
                <w:rFonts w:hint="eastAsia" w:cs="Times New Roman"/>
              </w:rPr>
              <w:t>数量</w:t>
            </w:r>
          </w:p>
        </w:tc>
        <w:tc>
          <w:tcPr>
            <w:tcW w:w="4573"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left"/>
              <w:rPr>
                <w:rFonts w:cs="Times New Roman"/>
              </w:rPr>
            </w:pPr>
            <w:r>
              <w:rPr>
                <w:rFonts w:cs="Times New Roman"/>
              </w:rPr>
              <w:t>1</w:t>
            </w:r>
            <w:r>
              <w:rPr>
                <w:rFonts w:hint="eastAsia" w:cs="Times New Roma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left"/>
              <w:rPr>
                <w:rFonts w:cs="Times New Roman"/>
              </w:rPr>
            </w:pPr>
            <w:r>
              <w:rPr>
                <w:rFonts w:hint="eastAsia" w:cs="Times New Roman"/>
              </w:rPr>
              <w:t>主要材质</w:t>
            </w:r>
          </w:p>
        </w:tc>
        <w:tc>
          <w:tcPr>
            <w:tcW w:w="4573"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left"/>
              <w:rPr>
                <w:rFonts w:cs="Times New Roman"/>
              </w:rPr>
            </w:pPr>
            <w:r>
              <w:rPr>
                <w:rFonts w:cs="Times New Roman"/>
              </w:rPr>
              <w:t>SS304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left"/>
              <w:rPr>
                <w:rFonts w:cs="Times New Roman"/>
              </w:rPr>
            </w:pPr>
            <w:r>
              <w:rPr>
                <w:rFonts w:hint="eastAsia" w:cs="Times New Roman"/>
              </w:rPr>
              <w:t>布置形式</w:t>
            </w:r>
          </w:p>
        </w:tc>
        <w:tc>
          <w:tcPr>
            <w:tcW w:w="4573"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left"/>
              <w:rPr>
                <w:rFonts w:cs="Times New Roman"/>
              </w:rPr>
            </w:pPr>
            <w:r>
              <w:rPr>
                <w:rFonts w:hint="eastAsia" w:cs="Times New Roman"/>
              </w:rPr>
              <w:t>厌氧顶端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b/>
                <w:szCs w:val="24"/>
              </w:rPr>
            </w:pPr>
            <w:r>
              <w:rPr>
                <w:rFonts w:hint="eastAsia" w:cs="Times New Roman"/>
                <w:b/>
                <w:szCs w:val="24"/>
              </w:rPr>
              <w:t>设备名称</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b/>
                <w:szCs w:val="24"/>
              </w:rPr>
            </w:pPr>
            <w:r>
              <w:rPr>
                <w:rFonts w:hint="eastAsia" w:cs="Times New Roman"/>
                <w:b/>
                <w:szCs w:val="24"/>
              </w:rPr>
              <w:t>沼气火炬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设备数量</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cs="Times New Roman"/>
                <w:szCs w:val="24"/>
              </w:rPr>
              <w:t>1</w:t>
            </w:r>
            <w:r>
              <w:rPr>
                <w:rFonts w:hint="eastAsia" w:cs="Times New Roman"/>
                <w:szCs w:val="24"/>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设备用途</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沼气燃烧安全处置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输送介质</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沼气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处理量</w:t>
            </w:r>
          </w:p>
        </w:tc>
        <w:tc>
          <w:tcPr>
            <w:tcW w:w="457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cs="Times New Roman"/>
                <w:szCs w:val="24"/>
              </w:rPr>
            </w:pPr>
            <w:r>
              <w:rPr>
                <w:rFonts w:cs="Times New Roman"/>
                <w:szCs w:val="24"/>
              </w:rPr>
              <w:t>50Nm</w:t>
            </w:r>
            <w:r>
              <w:rPr>
                <w:rFonts w:cs="Times New Roman"/>
                <w:szCs w:val="24"/>
                <w:vertAlign w:val="superscript"/>
              </w:rPr>
              <w:t>3</w:t>
            </w:r>
            <w:r>
              <w:rPr>
                <w:rFonts w:cs="Times New Roman"/>
                <w:szCs w:val="24"/>
              </w:rPr>
              <w:t>/h</w:t>
            </w:r>
          </w:p>
          <w:p>
            <w:pPr>
              <w:autoSpaceDE w:val="0"/>
              <w:autoSpaceDN w:val="0"/>
              <w:adjustRightInd w:val="0"/>
              <w:spacing w:line="315" w:lineRule="atLeast"/>
              <w:ind w:firstLine="0" w:firstLineChars="0"/>
              <w:rPr>
                <w:rFonts w:cs="Times New Roman"/>
                <w:szCs w:val="24"/>
              </w:rPr>
            </w:pPr>
          </w:p>
        </w:tc>
      </w:tr>
    </w:tbl>
    <w:p>
      <w:pPr>
        <w:pStyle w:val="4"/>
        <w:keepNext w:val="0"/>
        <w:keepLines w:val="0"/>
        <w:spacing w:before="190" w:after="190"/>
        <w:ind w:firstLine="0" w:firstLineChars="0"/>
        <w:jc w:val="left"/>
        <w:rPr>
          <w:rFonts w:cs="Times New Roman"/>
          <w:sz w:val="28"/>
          <w:szCs w:val="28"/>
        </w:rPr>
      </w:pPr>
      <w:r>
        <w:rPr>
          <w:rFonts w:hint="eastAsia" w:cs="Times New Roman"/>
          <w:sz w:val="28"/>
          <w:szCs w:val="28"/>
        </w:rPr>
        <w:t>4.3</w:t>
      </w:r>
      <w:r>
        <w:rPr>
          <w:rFonts w:cs="Times New Roman"/>
          <w:sz w:val="28"/>
          <w:szCs w:val="28"/>
        </w:rPr>
        <w:t>二级硝化反硝化系统</w:t>
      </w:r>
      <w:bookmarkEnd w:id="98"/>
      <w:bookmarkEnd w:id="99"/>
      <w:bookmarkEnd w:id="100"/>
      <w:bookmarkEnd w:id="101"/>
    </w:p>
    <w:p>
      <w:pPr>
        <w:ind w:firstLine="560"/>
        <w:rPr>
          <w:rFonts w:cs="Times New Roman" w:eastAsiaTheme="minorEastAsia"/>
          <w:sz w:val="28"/>
          <w:szCs w:val="28"/>
        </w:rPr>
      </w:pPr>
      <w:r>
        <w:rPr>
          <w:rFonts w:cs="Times New Roman" w:eastAsiaTheme="minorEastAsia"/>
          <w:sz w:val="28"/>
          <w:szCs w:val="28"/>
        </w:rPr>
        <w:t>二级硝化反硝化主要用于进一步去厌氧出水中的COD</w:t>
      </w:r>
      <w:r>
        <w:rPr>
          <w:rFonts w:cs="Times New Roman" w:eastAsiaTheme="minorEastAsia"/>
          <w:sz w:val="28"/>
          <w:szCs w:val="28"/>
          <w:vertAlign w:val="subscript"/>
        </w:rPr>
        <w:t>Cr</w:t>
      </w:r>
      <w:r>
        <w:rPr>
          <w:rFonts w:cs="Times New Roman" w:eastAsiaTheme="minorEastAsia"/>
          <w:sz w:val="28"/>
          <w:szCs w:val="28"/>
        </w:rPr>
        <w:t>、氨氮污染物，主要参数如下：</w:t>
      </w:r>
    </w:p>
    <w:p>
      <w:pPr>
        <w:ind w:firstLine="560"/>
        <w:rPr>
          <w:rFonts w:cs="Times New Roman"/>
          <w:sz w:val="28"/>
          <w:szCs w:val="28"/>
        </w:rPr>
      </w:pPr>
      <w:r>
        <w:rPr>
          <w:rFonts w:cs="Times New Roman"/>
          <w:sz w:val="28"/>
          <w:szCs w:val="28"/>
        </w:rPr>
        <w:t>构筑物设计参数表：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构筑物名称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一级反硝化池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项目</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建筑形式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半地下式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构筑物材料</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钢混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水利停留时间</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1.7d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建筑尺寸（净空）</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L×W×H=</w:t>
            </w:r>
            <w:r>
              <w:rPr>
                <w:rFonts w:hint="eastAsia" w:cs="Times New Roman" w:eastAsiaTheme="minorEastAsia"/>
                <w:szCs w:val="24"/>
              </w:rPr>
              <w:t>5.0</w:t>
            </w:r>
            <w:r>
              <w:rPr>
                <w:rFonts w:cs="Times New Roman" w:eastAsiaTheme="minorEastAsia"/>
                <w:szCs w:val="24"/>
              </w:rPr>
              <w:t>m×</w:t>
            </w:r>
            <w:r>
              <w:rPr>
                <w:rFonts w:hint="eastAsia" w:cs="Times New Roman" w:eastAsiaTheme="minorEastAsia"/>
                <w:szCs w:val="24"/>
              </w:rPr>
              <w:t>2</w:t>
            </w:r>
            <w:r>
              <w:rPr>
                <w:rFonts w:cs="Times New Roman" w:eastAsiaTheme="minorEastAsia"/>
                <w:szCs w:val="24"/>
              </w:rPr>
              <w:t>.0m×</w:t>
            </w:r>
            <w:r>
              <w:rPr>
                <w:rFonts w:hint="eastAsia" w:cs="Times New Roman" w:eastAsiaTheme="minorEastAsia"/>
                <w:szCs w:val="24"/>
              </w:rPr>
              <w:t>6.5</w:t>
            </w:r>
            <w:r>
              <w:rPr>
                <w:rFonts w:cs="Times New Roman" w:eastAsiaTheme="minorEastAsia"/>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hint="eastAsia" w:cs="Times New Roman" w:eastAsiaTheme="minorEastAsia"/>
                <w:szCs w:val="24"/>
              </w:rPr>
              <w:t>超高</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hint="eastAsia" w:cs="Times New Roman" w:eastAsiaTheme="minorEastAsia"/>
                <w:szCs w:val="24"/>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池壁防水防腐</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环氧煤沥青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有效水深（或保护超高）</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hint="eastAsia" w:cs="Times New Roman" w:eastAsiaTheme="minorEastAsia"/>
                <w:szCs w:val="24"/>
              </w:rPr>
              <w:t>5.0</w:t>
            </w:r>
            <w:r>
              <w:rPr>
                <w:rFonts w:cs="Times New Roman" w:eastAsiaTheme="minorEastAsia"/>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设计MLSS</w:t>
            </w:r>
          </w:p>
        </w:tc>
        <w:tc>
          <w:tcPr>
            <w:tcW w:w="4573" w:type="dxa"/>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15000mg/L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脱氮速率</w:t>
            </w:r>
          </w:p>
        </w:tc>
        <w:tc>
          <w:tcPr>
            <w:tcW w:w="4573" w:type="dxa"/>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0.1 kgNO</w:t>
            </w:r>
            <w:r>
              <w:rPr>
                <w:rFonts w:cs="Times New Roman" w:eastAsiaTheme="minorEastAsia"/>
                <w:szCs w:val="24"/>
                <w:vertAlign w:val="subscript"/>
              </w:rPr>
              <w:t>3</w:t>
            </w:r>
            <w:r>
              <w:rPr>
                <w:rFonts w:cs="Times New Roman" w:eastAsiaTheme="minorEastAsia"/>
                <w:szCs w:val="24"/>
              </w:rPr>
              <w:t>-N∕kgMLSS.d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构筑物名称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一级硝化池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项目</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建筑形式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半地下式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构筑物材料</w:t>
            </w:r>
          </w:p>
        </w:tc>
        <w:tc>
          <w:tcPr>
            <w:tcW w:w="4573" w:type="dxa"/>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钢混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水利停留时间</w:t>
            </w:r>
          </w:p>
        </w:tc>
        <w:tc>
          <w:tcPr>
            <w:tcW w:w="4573" w:type="dxa"/>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5.76d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建筑尺寸（净空）</w:t>
            </w:r>
          </w:p>
        </w:tc>
        <w:tc>
          <w:tcPr>
            <w:tcW w:w="4573" w:type="dxa"/>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L×W×H=7.0m×5.0m×6.5m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池壁防水防腐</w:t>
            </w:r>
          </w:p>
        </w:tc>
        <w:tc>
          <w:tcPr>
            <w:tcW w:w="4573" w:type="dxa"/>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环氧煤沥青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有效水深（或保护超高）</w:t>
            </w:r>
          </w:p>
        </w:tc>
        <w:tc>
          <w:tcPr>
            <w:tcW w:w="4573" w:type="dxa"/>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设计MLSS</w:t>
            </w:r>
          </w:p>
        </w:tc>
        <w:tc>
          <w:tcPr>
            <w:tcW w:w="4573" w:type="dxa"/>
          </w:tcPr>
          <w:p>
            <w:pPr>
              <w:autoSpaceDE w:val="0"/>
              <w:autoSpaceDN w:val="0"/>
              <w:adjustRightInd w:val="0"/>
              <w:spacing w:line="315" w:lineRule="atLeast"/>
              <w:ind w:firstLine="0" w:firstLineChars="0"/>
              <w:rPr>
                <w:rFonts w:cs="Times New Roman"/>
                <w:szCs w:val="24"/>
              </w:rPr>
            </w:pPr>
            <w:r>
              <w:rPr>
                <w:rFonts w:hint="eastAsia" w:cs="Times New Roman"/>
                <w:szCs w:val="24"/>
              </w:rPr>
              <w:t>15000mg/L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脱氮速率</w:t>
            </w:r>
          </w:p>
        </w:tc>
        <w:tc>
          <w:tcPr>
            <w:tcW w:w="4573" w:type="dxa"/>
          </w:tcPr>
          <w:p>
            <w:pPr>
              <w:autoSpaceDE w:val="0"/>
              <w:autoSpaceDN w:val="0"/>
              <w:adjustRightInd w:val="0"/>
              <w:spacing w:line="315" w:lineRule="atLeast"/>
              <w:ind w:firstLine="0" w:firstLineChars="0"/>
              <w:rPr>
                <w:rFonts w:cs="Times New Roman"/>
                <w:szCs w:val="24"/>
              </w:rPr>
            </w:pPr>
            <w:r>
              <w:rPr>
                <w:rFonts w:hint="eastAsia" w:cs="Times New Roman"/>
                <w:szCs w:val="24"/>
              </w:rPr>
              <w:t>0.04 kgNH3-N/kgMLSS.d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构筑物名称</w:t>
            </w:r>
          </w:p>
        </w:tc>
        <w:tc>
          <w:tcPr>
            <w:tcW w:w="4573" w:type="dxa"/>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二级反硝化池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项目</w:t>
            </w:r>
          </w:p>
        </w:tc>
        <w:tc>
          <w:tcPr>
            <w:tcW w:w="4573" w:type="dxa"/>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建筑形式</w:t>
            </w:r>
          </w:p>
        </w:tc>
        <w:tc>
          <w:tcPr>
            <w:tcW w:w="4573" w:type="dxa"/>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半地下式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构筑物材料</w:t>
            </w:r>
          </w:p>
        </w:tc>
        <w:tc>
          <w:tcPr>
            <w:tcW w:w="4573" w:type="dxa"/>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钢混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color w:val="000000" w:themeColor="text1"/>
                <w:szCs w:val="24"/>
              </w:rPr>
            </w:pPr>
            <w:r>
              <w:rPr>
                <w:rFonts w:cs="Times New Roman" w:eastAsiaTheme="minorEastAsia"/>
                <w:color w:val="000000" w:themeColor="text1"/>
                <w:szCs w:val="24"/>
              </w:rPr>
              <w:t>水利停留时间</w:t>
            </w:r>
          </w:p>
        </w:tc>
        <w:tc>
          <w:tcPr>
            <w:tcW w:w="4573" w:type="dxa"/>
            <w:vAlign w:val="center"/>
          </w:tcPr>
          <w:p>
            <w:pPr>
              <w:autoSpaceDE w:val="0"/>
              <w:autoSpaceDN w:val="0"/>
              <w:adjustRightInd w:val="0"/>
              <w:spacing w:line="315" w:lineRule="atLeast"/>
              <w:ind w:firstLine="0" w:firstLineChars="0"/>
              <w:rPr>
                <w:rFonts w:cs="Times New Roman"/>
                <w:color w:val="000000" w:themeColor="text1"/>
                <w:szCs w:val="24"/>
              </w:rPr>
            </w:pPr>
            <w:r>
              <w:rPr>
                <w:rFonts w:hint="eastAsia" w:cs="Times New Roman"/>
                <w:color w:val="000000" w:themeColor="text1"/>
                <w:szCs w:val="24"/>
              </w:rPr>
              <w:t>1.3d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color w:val="000000" w:themeColor="text1"/>
                <w:szCs w:val="24"/>
              </w:rPr>
            </w:pPr>
            <w:r>
              <w:rPr>
                <w:rFonts w:cs="Times New Roman" w:eastAsiaTheme="minorEastAsia"/>
                <w:color w:val="000000" w:themeColor="text1"/>
                <w:szCs w:val="24"/>
              </w:rPr>
              <w:t>建筑尺寸（净空）</w:t>
            </w:r>
          </w:p>
        </w:tc>
        <w:tc>
          <w:tcPr>
            <w:tcW w:w="4573" w:type="dxa"/>
            <w:vAlign w:val="center"/>
          </w:tcPr>
          <w:p>
            <w:pPr>
              <w:autoSpaceDE w:val="0"/>
              <w:autoSpaceDN w:val="0"/>
              <w:adjustRightInd w:val="0"/>
              <w:spacing w:line="315" w:lineRule="atLeast"/>
              <w:ind w:firstLine="0" w:firstLineChars="0"/>
              <w:rPr>
                <w:rFonts w:cs="Times New Roman"/>
                <w:color w:val="000000" w:themeColor="text1"/>
                <w:szCs w:val="24"/>
              </w:rPr>
            </w:pPr>
            <w:r>
              <w:rPr>
                <w:rFonts w:hint="eastAsia" w:cs="Times New Roman"/>
                <w:color w:val="000000" w:themeColor="text1"/>
                <w:szCs w:val="24"/>
              </w:rPr>
              <w:t>L×W×H=4m×2m×6.5m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池壁防水防腐</w:t>
            </w:r>
          </w:p>
        </w:tc>
        <w:tc>
          <w:tcPr>
            <w:tcW w:w="4573" w:type="dxa"/>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环氧煤沥青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有效水深（或保护超高）</w:t>
            </w:r>
          </w:p>
        </w:tc>
        <w:tc>
          <w:tcPr>
            <w:tcW w:w="4573" w:type="dxa"/>
            <w:vAlign w:val="center"/>
          </w:tcPr>
          <w:p>
            <w:pPr>
              <w:autoSpaceDE w:val="0"/>
              <w:autoSpaceDN w:val="0"/>
              <w:adjustRightInd w:val="0"/>
              <w:spacing w:line="315" w:lineRule="atLeast"/>
              <w:ind w:firstLine="0" w:firstLineChars="0"/>
              <w:rPr>
                <w:rFonts w:cs="Times New Roman"/>
                <w:szCs w:val="24"/>
              </w:rPr>
            </w:pPr>
            <w:r>
              <w:rPr>
                <w:rFonts w:hint="eastAsia" w:cs="Times New Roman"/>
                <w:szCs w:val="24"/>
              </w:rPr>
              <w:t>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设计MLSS</w:t>
            </w:r>
          </w:p>
        </w:tc>
        <w:tc>
          <w:tcPr>
            <w:tcW w:w="4573" w:type="dxa"/>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15000mg/L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脱氮速率</w:t>
            </w:r>
          </w:p>
        </w:tc>
        <w:tc>
          <w:tcPr>
            <w:tcW w:w="4573" w:type="dxa"/>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0.1 kgNO</w:t>
            </w:r>
            <w:r>
              <w:rPr>
                <w:rFonts w:cs="Times New Roman" w:eastAsiaTheme="minorEastAsia"/>
                <w:szCs w:val="24"/>
                <w:vertAlign w:val="subscript"/>
              </w:rPr>
              <w:t>3</w:t>
            </w:r>
            <w:r>
              <w:rPr>
                <w:rFonts w:cs="Times New Roman" w:eastAsiaTheme="minorEastAsia"/>
                <w:szCs w:val="24"/>
              </w:rPr>
              <w:t>-N∕kgMLSS.d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构筑物名称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二级硝化池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项目</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建筑形式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半地下式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构筑物材料</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钢混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水利停留时间</w:t>
            </w:r>
          </w:p>
        </w:tc>
        <w:tc>
          <w:tcPr>
            <w:tcW w:w="4573" w:type="dxa"/>
            <w:vAlign w:val="center"/>
          </w:tcPr>
          <w:p>
            <w:pPr>
              <w:autoSpaceDE w:val="0"/>
              <w:autoSpaceDN w:val="0"/>
              <w:adjustRightInd w:val="0"/>
              <w:spacing w:line="315" w:lineRule="atLeast"/>
              <w:ind w:firstLine="0" w:firstLineChars="0"/>
              <w:rPr>
                <w:rFonts w:cs="Times New Roman" w:eastAsiaTheme="minorEastAsia"/>
                <w:color w:val="000000" w:themeColor="text1"/>
                <w:szCs w:val="24"/>
              </w:rPr>
            </w:pPr>
            <w:r>
              <w:rPr>
                <w:rFonts w:hint="eastAsia" w:cs="Times New Roman" w:eastAsiaTheme="minorEastAsia"/>
                <w:color w:val="000000" w:themeColor="text1"/>
                <w:szCs w:val="24"/>
              </w:rPr>
              <w:t>2</w:t>
            </w:r>
            <w:r>
              <w:rPr>
                <w:rFonts w:cs="Times New Roman" w:eastAsiaTheme="minorEastAsia"/>
                <w:color w:val="000000" w:themeColor="text1"/>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建筑尺寸（净空）</w:t>
            </w:r>
          </w:p>
        </w:tc>
        <w:tc>
          <w:tcPr>
            <w:tcW w:w="4573" w:type="dxa"/>
            <w:vAlign w:val="center"/>
          </w:tcPr>
          <w:p>
            <w:pPr>
              <w:autoSpaceDE w:val="0"/>
              <w:autoSpaceDN w:val="0"/>
              <w:adjustRightInd w:val="0"/>
              <w:spacing w:line="315" w:lineRule="atLeast"/>
              <w:ind w:firstLine="0" w:firstLineChars="0"/>
              <w:rPr>
                <w:rFonts w:cs="Times New Roman" w:eastAsiaTheme="minorEastAsia"/>
                <w:color w:val="000000" w:themeColor="text1"/>
                <w:szCs w:val="24"/>
              </w:rPr>
            </w:pPr>
            <w:r>
              <w:rPr>
                <w:rFonts w:cs="Times New Roman" w:eastAsiaTheme="minorEastAsia"/>
                <w:color w:val="000000" w:themeColor="text1"/>
                <w:szCs w:val="24"/>
              </w:rPr>
              <w:t>L×W×H=</w:t>
            </w:r>
            <w:r>
              <w:rPr>
                <w:rFonts w:hint="eastAsia" w:cs="Times New Roman" w:eastAsiaTheme="minorEastAsia"/>
                <w:color w:val="000000" w:themeColor="text1"/>
                <w:szCs w:val="24"/>
              </w:rPr>
              <w:t>4</w:t>
            </w:r>
            <w:r>
              <w:rPr>
                <w:rFonts w:cs="Times New Roman" w:eastAsiaTheme="minorEastAsia"/>
                <w:color w:val="000000" w:themeColor="text1"/>
                <w:szCs w:val="24"/>
              </w:rPr>
              <w:t>m×</w:t>
            </w:r>
            <w:r>
              <w:rPr>
                <w:rFonts w:hint="eastAsia" w:cs="Times New Roman" w:eastAsiaTheme="minorEastAsia"/>
                <w:color w:val="000000" w:themeColor="text1"/>
                <w:szCs w:val="24"/>
              </w:rPr>
              <w:t>3</w:t>
            </w:r>
            <w:r>
              <w:rPr>
                <w:rFonts w:cs="Times New Roman" w:eastAsiaTheme="minorEastAsia"/>
                <w:color w:val="000000" w:themeColor="text1"/>
                <w:szCs w:val="24"/>
              </w:rPr>
              <w:t>m×</w:t>
            </w:r>
            <w:r>
              <w:rPr>
                <w:rFonts w:hint="eastAsia" w:cs="Times New Roman" w:eastAsiaTheme="minorEastAsia"/>
                <w:color w:val="000000" w:themeColor="text1"/>
                <w:szCs w:val="24"/>
              </w:rPr>
              <w:t>6.5</w:t>
            </w:r>
            <w:r>
              <w:rPr>
                <w:rFonts w:cs="Times New Roman" w:eastAsiaTheme="minorEastAsia"/>
                <w:color w:val="000000" w:themeColor="text1"/>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池壁防水防腐</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环氧煤沥青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有效水深（或保护超高）</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hint="eastAsia" w:cs="Times New Roman" w:eastAsiaTheme="minorEastAsia"/>
                <w:szCs w:val="24"/>
              </w:rPr>
              <w:t>5</w:t>
            </w:r>
            <w:r>
              <w:rPr>
                <w:rFonts w:cs="Times New Roman" w:eastAsiaTheme="minorEastAsia"/>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设计MLSS</w:t>
            </w:r>
          </w:p>
        </w:tc>
        <w:tc>
          <w:tcPr>
            <w:tcW w:w="4573" w:type="dxa"/>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15000mg/L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脱氮速率</w:t>
            </w:r>
          </w:p>
        </w:tc>
        <w:tc>
          <w:tcPr>
            <w:tcW w:w="4573" w:type="dxa"/>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0.04 kgNH</w:t>
            </w:r>
            <w:r>
              <w:rPr>
                <w:rFonts w:cs="Times New Roman" w:eastAsiaTheme="minorEastAsia"/>
                <w:szCs w:val="24"/>
                <w:vertAlign w:val="subscript"/>
              </w:rPr>
              <w:t>3</w:t>
            </w:r>
            <w:r>
              <w:rPr>
                <w:rFonts w:cs="Times New Roman" w:eastAsiaTheme="minorEastAsia"/>
                <w:szCs w:val="24"/>
              </w:rPr>
              <w:t>-N/kgMLSS.d</w:t>
            </w:r>
          </w:p>
        </w:tc>
      </w:tr>
    </w:tbl>
    <w:p>
      <w:pPr>
        <w:ind w:firstLine="480"/>
        <w:rPr>
          <w:rFonts w:cs="Times New Roman"/>
        </w:rPr>
      </w:pPr>
      <w:r>
        <w:rPr>
          <w:rFonts w:cs="Times New Roman"/>
        </w:rPr>
        <w:t>主要设备参数：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设备名称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一级液下搅拌器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设备数量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hint="eastAsia" w:cs="Times New Roman" w:eastAsiaTheme="minorEastAsia"/>
                <w:szCs w:val="24"/>
              </w:rPr>
              <w:t>1</w:t>
            </w:r>
            <w:r>
              <w:rPr>
                <w:rFonts w:cs="Times New Roman" w:eastAsiaTheme="minorEastAsia"/>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设备用途</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防止反硝化池内污泥堆积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输送介质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电机功率</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材质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SS304安装系统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设备名称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一级射流循环泵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设备数量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hint="eastAsia" w:cs="Times New Roman" w:eastAsiaTheme="minorEastAsia"/>
                <w:szCs w:val="24"/>
              </w:rPr>
              <w:t>4</w:t>
            </w:r>
            <w:r>
              <w:rPr>
                <w:rFonts w:cs="Times New Roman" w:eastAsiaTheme="minorEastAsia"/>
                <w:szCs w:val="24"/>
              </w:rPr>
              <w:t>台（两用</w:t>
            </w:r>
            <w:r>
              <w:rPr>
                <w:rFonts w:hint="eastAsia" w:cs="Times New Roman" w:eastAsiaTheme="minorEastAsia"/>
                <w:szCs w:val="24"/>
              </w:rPr>
              <w:t>两</w:t>
            </w:r>
            <w:r>
              <w:rPr>
                <w:rFonts w:cs="Times New Roman" w:eastAsiaTheme="minorEastAsia"/>
                <w:szCs w:val="24"/>
              </w:rPr>
              <w:t>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设备用途</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射流曝气器配套循环水泵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输送介质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水泵类型</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卧式离心泵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额定电压</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3相380V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额定频率</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电机防护等级</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电机绝缘等级</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F级绝缘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材质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备注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混凝土基础预留孔二次灌浆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设备名称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一级射流器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设备数量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hint="eastAsia" w:cs="Times New Roman" w:eastAsiaTheme="minorEastAsia"/>
                <w:szCs w:val="24"/>
              </w:rPr>
              <w:t>2</w:t>
            </w:r>
            <w:r>
              <w:rPr>
                <w:rFonts w:cs="Times New Roman" w:eastAsiaTheme="minorEastAsia"/>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设备用途</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硝化池曝气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设备名称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二级液下搅拌器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设备数量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设备用途</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防止反硝化池内污泥堆积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输送介质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电机功率</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0.</w:t>
            </w:r>
            <w:r>
              <w:rPr>
                <w:rFonts w:hint="eastAsia" w:cs="Times New Roman" w:eastAsiaTheme="minorEastAsia"/>
                <w:szCs w:val="24"/>
              </w:rPr>
              <w:t>3</w:t>
            </w:r>
            <w:r>
              <w:rPr>
                <w:rFonts w:cs="Times New Roman" w:eastAsiaTheme="minorEastAsia"/>
                <w:szCs w:val="24"/>
              </w:rPr>
              <w:t>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材质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SS304安装系统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设备名称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二级射流循环泵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设备数量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设备用途</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射流曝气器配套循环水泵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输送介质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水泵类型</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卧式离心泵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额定电压</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3相380V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额定频率</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电机防护等级</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电机绝缘等级</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F级绝缘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材质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备注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混凝土基础预留孔二次灌浆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设备名称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二级射流器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设备数量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设备用途</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硝化池曝气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材质</w:t>
            </w:r>
          </w:p>
        </w:tc>
        <w:tc>
          <w:tcPr>
            <w:tcW w:w="4573" w:type="dxa"/>
            <w:vAlign w:val="center"/>
          </w:tcPr>
          <w:p>
            <w:pPr>
              <w:autoSpaceDE w:val="0"/>
              <w:autoSpaceDN w:val="0"/>
              <w:adjustRightInd w:val="0"/>
              <w:spacing w:line="315" w:lineRule="atLeast"/>
              <w:ind w:firstLine="0" w:firstLineChars="0"/>
              <w:rPr>
                <w:rFonts w:hint="eastAsia" w:cs="Times New Roman" w:eastAsiaTheme="minorEastAsia"/>
                <w:szCs w:val="24"/>
                <w:lang w:eastAsia="zh-CN"/>
              </w:rPr>
            </w:pPr>
            <w:r>
              <w:rPr>
                <w:rFonts w:hint="eastAsia" w:cs="Times New Roman" w:eastAsiaTheme="minorEastAsia"/>
                <w:szCs w:val="24"/>
                <w:lang w:val="en-US" w:eastAsia="zh-CN"/>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设备名称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硝酸盐回流泵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设备数量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hint="eastAsia" w:cs="Times New Roman" w:eastAsiaTheme="minorEastAsia"/>
                <w:szCs w:val="24"/>
              </w:rPr>
              <w:t>2</w:t>
            </w:r>
            <w:r>
              <w:rPr>
                <w:rFonts w:cs="Times New Roman" w:eastAsiaTheme="minorEastAsia"/>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设备用途</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将硝化池内混合液回流至反硝化池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输送介质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hint="eastAsia" w:cs="Times New Roman" w:eastAsiaTheme="minorEastAsia"/>
                <w:szCs w:val="24"/>
              </w:rPr>
              <w:t>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水泵类型</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卧式离心泵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额定电压</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3相380V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额定频率</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电机防护等级</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电机绝缘等级</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F级绝缘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材质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备注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混凝土基础预留孔二次灌浆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设备名称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冷却塔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设备数量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设备用途</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好氧池废水冷却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功率</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hint="eastAsia" w:cs="Times New Roman" w:eastAsiaTheme="minorEastAsia"/>
                <w:szCs w:val="24"/>
              </w:rPr>
              <w:t>3</w:t>
            </w:r>
            <w:r>
              <w:rPr>
                <w:rFonts w:cs="Times New Roman" w:eastAsiaTheme="minorEastAsia"/>
                <w:szCs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设备名称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冷却污泥泵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设备数量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设备用途</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冷却水提升至板式换热器内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输送介质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水泵类型</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卧式离心泵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额定电压</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3相380V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额定频率</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电机防护等级</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电机绝缘等级</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F级绝缘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材质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备注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混凝土基础预留孔二次灌浆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设备名称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冷却水泵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设备数量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设备用途</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废水提升至板式换热器内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输送介质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hint="eastAsia" w:cs="Times New Roman" w:eastAsiaTheme="minorEastAsia"/>
                <w:szCs w:val="24"/>
              </w:rPr>
              <w:t>清水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水泵类型</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自吸泵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额定电压</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3相380V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额定频率</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电机防护等级</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电机绝缘等级</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F级绝缘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材质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备注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混凝土基础预留孔二次灌浆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设备名称</w:t>
            </w:r>
          </w:p>
        </w:tc>
        <w:tc>
          <w:tcPr>
            <w:tcW w:w="4573" w:type="dxa"/>
            <w:vAlign w:val="center"/>
          </w:tcPr>
          <w:p>
            <w:pPr>
              <w:autoSpaceDE w:val="0"/>
              <w:autoSpaceDN w:val="0"/>
              <w:adjustRightInd w:val="0"/>
              <w:spacing w:line="315" w:lineRule="atLeast"/>
              <w:ind w:firstLine="0" w:firstLineChars="0"/>
              <w:rPr>
                <w:rFonts w:cs="Times New Roman" w:eastAsiaTheme="minorEastAsia"/>
                <w:b/>
                <w:szCs w:val="24"/>
              </w:rPr>
            </w:pPr>
            <w:r>
              <w:rPr>
                <w:rFonts w:cs="Times New Roman" w:eastAsiaTheme="minorEastAsia"/>
                <w:b/>
                <w:szCs w:val="24"/>
              </w:rPr>
              <w:t>鼓风机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设备数量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2台（一用一备）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设备用途</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硝化池供氧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输送介质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类型</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罗茨鼓风机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风量</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Q=</w:t>
            </w:r>
            <w:r>
              <w:rPr>
                <w:rFonts w:hint="eastAsia" w:cs="Times New Roman" w:eastAsiaTheme="minorEastAsia"/>
                <w:szCs w:val="24"/>
              </w:rPr>
              <w:t>19.1</w:t>
            </w:r>
            <w:r>
              <w:rPr>
                <w:rFonts w:cs="Times New Roman" w:eastAsiaTheme="minorEastAsia"/>
                <w:szCs w:val="24"/>
              </w:rPr>
              <w:t>m</w:t>
            </w:r>
            <w:r>
              <w:rPr>
                <w:rFonts w:cs="Times New Roman" w:eastAsiaTheme="minorEastAsia"/>
                <w:szCs w:val="24"/>
                <w:vertAlign w:val="superscript"/>
              </w:rPr>
              <w:t>3</w:t>
            </w:r>
            <w:r>
              <w:rPr>
                <w:rFonts w:cs="Times New Roman" w:eastAsiaTheme="minorEastAsia"/>
                <w:szCs w:val="24"/>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风压</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P=</w:t>
            </w:r>
            <w:r>
              <w:rPr>
                <w:rFonts w:hint="eastAsia" w:cs="Times New Roman" w:eastAsiaTheme="minorEastAsia"/>
                <w:szCs w:val="24"/>
              </w:rPr>
              <w:t>60</w:t>
            </w:r>
            <w:r>
              <w:rPr>
                <w:rFonts w:cs="Times New Roman" w:eastAsiaTheme="minorEastAsia"/>
                <w:szCs w:val="24"/>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材质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6" w:type="dxa"/>
            <w:vAlign w:val="center"/>
          </w:tcPr>
          <w:p>
            <w:pPr>
              <w:pStyle w:val="29"/>
              <w:ind w:firstLine="0" w:firstLineChars="0"/>
              <w:rPr>
                <w:rFonts w:ascii="Times New Roman" w:hAnsi="Times New Roman" w:cs="Times New Roman"/>
              </w:rPr>
            </w:pPr>
            <w:r>
              <w:rPr>
                <w:rFonts w:ascii="Times New Roman" w:hAnsi="Times New Roman" w:cs="Times New Roman"/>
              </w:rPr>
              <w:t>备注</w:t>
            </w:r>
          </w:p>
        </w:tc>
        <w:tc>
          <w:tcPr>
            <w:tcW w:w="4573" w:type="dxa"/>
            <w:vAlign w:val="center"/>
          </w:tcPr>
          <w:p>
            <w:pPr>
              <w:autoSpaceDE w:val="0"/>
              <w:autoSpaceDN w:val="0"/>
              <w:adjustRightInd w:val="0"/>
              <w:spacing w:line="315" w:lineRule="atLeast"/>
              <w:ind w:firstLine="0" w:firstLineChars="0"/>
              <w:rPr>
                <w:rFonts w:cs="Times New Roman" w:eastAsiaTheme="minorEastAsia"/>
                <w:szCs w:val="24"/>
              </w:rPr>
            </w:pPr>
            <w:r>
              <w:rPr>
                <w:rFonts w:cs="Times New Roman" w:eastAsiaTheme="minorEastAsia"/>
                <w:szCs w:val="24"/>
              </w:rPr>
              <w:t>混凝土基础预留孔二次灌浆，可变频</w:t>
            </w:r>
          </w:p>
        </w:tc>
      </w:tr>
    </w:tbl>
    <w:p>
      <w:pPr>
        <w:pStyle w:val="3"/>
        <w:adjustRightInd w:val="0"/>
        <w:spacing w:beforeLines="0" w:afterLines="0" w:line="240" w:lineRule="auto"/>
        <w:ind w:firstLine="0" w:firstLineChars="0"/>
        <w:jc w:val="left"/>
        <w:textAlignment w:val="baseline"/>
        <w:rPr>
          <w:rFonts w:cs="Times New Roman"/>
          <w:bCs w:val="0"/>
          <w:szCs w:val="32"/>
        </w:rPr>
      </w:pPr>
      <w:bookmarkStart w:id="102" w:name="_Toc518055164"/>
      <w:bookmarkStart w:id="103" w:name="_Toc459884219"/>
      <w:bookmarkStart w:id="104" w:name="_Toc459885113"/>
      <w:bookmarkStart w:id="105" w:name="_Toc73367159"/>
      <w:r>
        <w:rPr>
          <w:rFonts w:cs="Times New Roman"/>
          <w:bCs w:val="0"/>
          <w:szCs w:val="32"/>
        </w:rPr>
        <w:t>五、相关专业设计</w:t>
      </w:r>
      <w:bookmarkEnd w:id="102"/>
      <w:bookmarkEnd w:id="103"/>
      <w:bookmarkEnd w:id="104"/>
      <w:bookmarkEnd w:id="105"/>
    </w:p>
    <w:p>
      <w:pPr>
        <w:pStyle w:val="4"/>
        <w:keepNext w:val="0"/>
        <w:keepLines w:val="0"/>
        <w:spacing w:beforeLines="0" w:afterLines="0"/>
        <w:ind w:firstLine="0" w:firstLineChars="0"/>
        <w:jc w:val="left"/>
        <w:rPr>
          <w:rFonts w:cs="Times New Roman"/>
          <w:sz w:val="28"/>
          <w:szCs w:val="28"/>
        </w:rPr>
      </w:pPr>
      <w:bookmarkStart w:id="106" w:name="_Toc459884220"/>
      <w:bookmarkStart w:id="107" w:name="_Toc518055165"/>
      <w:bookmarkStart w:id="108" w:name="_Toc73367160"/>
      <w:bookmarkStart w:id="109" w:name="_Toc459885114"/>
      <w:r>
        <w:rPr>
          <w:rFonts w:cs="Times New Roman"/>
          <w:sz w:val="28"/>
          <w:szCs w:val="28"/>
        </w:rPr>
        <w:t>5.1电气设计</w:t>
      </w:r>
      <w:bookmarkEnd w:id="106"/>
      <w:bookmarkEnd w:id="107"/>
      <w:bookmarkEnd w:id="108"/>
      <w:bookmarkEnd w:id="109"/>
    </w:p>
    <w:p>
      <w:pPr>
        <w:ind w:firstLine="560"/>
        <w:rPr>
          <w:rFonts w:cs="Times New Roman" w:eastAsiaTheme="minorEastAsia"/>
          <w:sz w:val="28"/>
          <w:szCs w:val="28"/>
        </w:rPr>
      </w:pPr>
      <w:r>
        <w:rPr>
          <w:rFonts w:cs="Times New Roman" w:eastAsiaTheme="minorEastAsia"/>
          <w:sz w:val="28"/>
          <w:szCs w:val="28"/>
        </w:rPr>
        <w:t>本工程主体采用生物处理工艺，对电源的可靠性要求较高，长时间停电，造成供氧中断，将会使微生物成批死亡，而严重影响污水处理厂的正常运行。因此，本污水处理单元的供电应按二类负荷要求，供电电源电压0.4kV，由厂配电间供出。</w:t>
      </w:r>
    </w:p>
    <w:p>
      <w:pPr>
        <w:ind w:firstLine="0" w:firstLineChars="0"/>
        <w:outlineLvl w:val="2"/>
        <w:rPr>
          <w:rFonts w:cs="Times New Roman"/>
          <w:b/>
          <w:sz w:val="28"/>
          <w:szCs w:val="28"/>
        </w:rPr>
      </w:pPr>
      <w:bookmarkStart w:id="110" w:name="_Toc73367161"/>
      <w:r>
        <w:rPr>
          <w:rFonts w:cs="Times New Roman"/>
          <w:b/>
          <w:sz w:val="28"/>
          <w:szCs w:val="28"/>
        </w:rPr>
        <w:t>5.1.1设计标准</w:t>
      </w:r>
      <w:bookmarkEnd w:id="11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98"/>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1</w:t>
            </w:r>
          </w:p>
        </w:tc>
        <w:tc>
          <w:tcPr>
            <w:tcW w:w="4798" w:type="dxa"/>
            <w:vAlign w:val="center"/>
          </w:tcPr>
          <w:p>
            <w:pPr>
              <w:ind w:firstLine="0" w:firstLineChars="0"/>
              <w:rPr>
                <w:rFonts w:cs="Times New Roman" w:eastAsiaTheme="minorEastAsia"/>
                <w:szCs w:val="24"/>
              </w:rPr>
            </w:pPr>
            <w:r>
              <w:rPr>
                <w:rFonts w:cs="Times New Roman" w:eastAsiaTheme="minorEastAsia"/>
                <w:szCs w:val="24"/>
              </w:rPr>
              <w:t>《供配电系统设计规范》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GB50052-95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2</w:t>
            </w:r>
          </w:p>
        </w:tc>
        <w:tc>
          <w:tcPr>
            <w:tcW w:w="4798" w:type="dxa"/>
            <w:vAlign w:val="center"/>
          </w:tcPr>
          <w:p>
            <w:pPr>
              <w:ind w:firstLine="0" w:firstLineChars="0"/>
              <w:rPr>
                <w:rFonts w:cs="Times New Roman" w:eastAsiaTheme="minorEastAsia"/>
                <w:szCs w:val="24"/>
              </w:rPr>
            </w:pPr>
            <w:r>
              <w:rPr>
                <w:rFonts w:cs="Times New Roman" w:eastAsiaTheme="minorEastAsia"/>
                <w:szCs w:val="24"/>
              </w:rPr>
              <w:t>《低压配电设计规范》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GB50054-95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3</w:t>
            </w:r>
          </w:p>
        </w:tc>
        <w:tc>
          <w:tcPr>
            <w:tcW w:w="4798" w:type="dxa"/>
            <w:vAlign w:val="center"/>
          </w:tcPr>
          <w:p>
            <w:pPr>
              <w:ind w:firstLine="0" w:firstLineChars="0"/>
              <w:rPr>
                <w:rFonts w:cs="Times New Roman" w:eastAsiaTheme="minorEastAsia"/>
                <w:szCs w:val="24"/>
              </w:rPr>
            </w:pPr>
            <w:r>
              <w:rPr>
                <w:rFonts w:cs="Times New Roman" w:eastAsiaTheme="minorEastAsia"/>
                <w:szCs w:val="24"/>
              </w:rPr>
              <w:t>《通用用电设备配电设计规范》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GB50055-93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4</w:t>
            </w:r>
          </w:p>
        </w:tc>
        <w:tc>
          <w:tcPr>
            <w:tcW w:w="4798" w:type="dxa"/>
            <w:vAlign w:val="center"/>
          </w:tcPr>
          <w:p>
            <w:pPr>
              <w:ind w:firstLine="0" w:firstLineChars="0"/>
              <w:rPr>
                <w:rFonts w:cs="Times New Roman" w:eastAsiaTheme="minorEastAsia"/>
                <w:szCs w:val="24"/>
              </w:rPr>
            </w:pPr>
            <w:r>
              <w:rPr>
                <w:rFonts w:cs="Times New Roman" w:eastAsiaTheme="minorEastAsia"/>
                <w:szCs w:val="24"/>
              </w:rPr>
              <w:t>《建筑物防雷设计规范》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GB50057-94 2000版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5</w:t>
            </w:r>
          </w:p>
        </w:tc>
        <w:tc>
          <w:tcPr>
            <w:tcW w:w="4798" w:type="dxa"/>
            <w:vAlign w:val="center"/>
          </w:tcPr>
          <w:p>
            <w:pPr>
              <w:ind w:firstLine="0" w:firstLineChars="0"/>
              <w:rPr>
                <w:rFonts w:cs="Times New Roman" w:eastAsiaTheme="minorEastAsia"/>
                <w:szCs w:val="24"/>
              </w:rPr>
            </w:pPr>
            <w:r>
              <w:rPr>
                <w:rFonts w:cs="Times New Roman" w:eastAsiaTheme="minorEastAsia"/>
                <w:szCs w:val="24"/>
              </w:rPr>
              <w:t>《建筑照明设计标准》</w:t>
            </w:r>
          </w:p>
        </w:tc>
        <w:tc>
          <w:tcPr>
            <w:tcW w:w="2490" w:type="dxa"/>
            <w:vAlign w:val="center"/>
          </w:tcPr>
          <w:p>
            <w:pPr>
              <w:ind w:firstLine="0" w:firstLineChars="0"/>
              <w:rPr>
                <w:rFonts w:cs="Times New Roman" w:eastAsiaTheme="minorEastAsia"/>
                <w:szCs w:val="24"/>
              </w:rPr>
            </w:pPr>
            <w:r>
              <w:rPr>
                <w:rFonts w:cs="Times New Roman" w:eastAsiaTheme="minorEastAsia"/>
                <w:szCs w:val="24"/>
              </w:rPr>
              <w:t>GB50034-2004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6</w:t>
            </w:r>
          </w:p>
        </w:tc>
        <w:tc>
          <w:tcPr>
            <w:tcW w:w="4798" w:type="dxa"/>
            <w:vAlign w:val="center"/>
          </w:tcPr>
          <w:p>
            <w:pPr>
              <w:ind w:firstLine="0" w:firstLineChars="0"/>
              <w:rPr>
                <w:rFonts w:cs="Times New Roman" w:eastAsiaTheme="minorEastAsia"/>
                <w:szCs w:val="24"/>
              </w:rPr>
            </w:pPr>
            <w:r>
              <w:rPr>
                <w:rFonts w:cs="Times New Roman" w:eastAsiaTheme="minorEastAsia"/>
                <w:szCs w:val="24"/>
              </w:rPr>
              <w:t>《电力工程电缆设计规范》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GB50217-94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7</w:t>
            </w:r>
          </w:p>
        </w:tc>
        <w:tc>
          <w:tcPr>
            <w:tcW w:w="4798" w:type="dxa"/>
            <w:vAlign w:val="center"/>
          </w:tcPr>
          <w:p>
            <w:pPr>
              <w:ind w:firstLine="0" w:firstLineChars="0"/>
              <w:rPr>
                <w:rFonts w:cs="Times New Roman" w:eastAsiaTheme="minorEastAsia"/>
                <w:szCs w:val="24"/>
              </w:rPr>
            </w:pPr>
            <w:r>
              <w:rPr>
                <w:rFonts w:cs="Times New Roman" w:eastAsiaTheme="minorEastAsia"/>
                <w:szCs w:val="24"/>
              </w:rPr>
              <w:t>《分散型控制系统工程设计规定》</w:t>
            </w:r>
          </w:p>
        </w:tc>
        <w:tc>
          <w:tcPr>
            <w:tcW w:w="2490" w:type="dxa"/>
            <w:vAlign w:val="center"/>
          </w:tcPr>
          <w:p>
            <w:pPr>
              <w:ind w:firstLine="0" w:firstLineChars="0"/>
              <w:rPr>
                <w:rFonts w:cs="Times New Roman" w:eastAsiaTheme="minorEastAsia"/>
                <w:szCs w:val="24"/>
              </w:rPr>
            </w:pPr>
            <w:r>
              <w:rPr>
                <w:rFonts w:cs="Times New Roman" w:eastAsiaTheme="minorEastAsia"/>
                <w:szCs w:val="24"/>
              </w:rPr>
              <w:t>HG/T20573-94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8</w:t>
            </w:r>
          </w:p>
        </w:tc>
        <w:tc>
          <w:tcPr>
            <w:tcW w:w="4798" w:type="dxa"/>
            <w:vAlign w:val="center"/>
          </w:tcPr>
          <w:p>
            <w:pPr>
              <w:ind w:firstLine="0" w:firstLineChars="0"/>
              <w:rPr>
                <w:rFonts w:cs="Times New Roman" w:eastAsiaTheme="minorEastAsia"/>
                <w:szCs w:val="24"/>
              </w:rPr>
            </w:pPr>
            <w:r>
              <w:rPr>
                <w:rFonts w:cs="Times New Roman" w:eastAsiaTheme="minorEastAsia"/>
                <w:szCs w:val="24"/>
              </w:rPr>
              <w:t>《控制室设计规定》</w:t>
            </w:r>
          </w:p>
        </w:tc>
        <w:tc>
          <w:tcPr>
            <w:tcW w:w="2490" w:type="dxa"/>
            <w:vAlign w:val="center"/>
          </w:tcPr>
          <w:p>
            <w:pPr>
              <w:ind w:firstLine="0" w:firstLineChars="0"/>
              <w:rPr>
                <w:rFonts w:cs="Times New Roman" w:eastAsiaTheme="minorEastAsia"/>
                <w:szCs w:val="24"/>
              </w:rPr>
            </w:pPr>
            <w:r>
              <w:rPr>
                <w:rFonts w:cs="Times New Roman" w:eastAsiaTheme="minorEastAsia"/>
                <w:szCs w:val="24"/>
              </w:rPr>
              <w:t>HG20508-92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9</w:t>
            </w:r>
          </w:p>
        </w:tc>
        <w:tc>
          <w:tcPr>
            <w:tcW w:w="4798" w:type="dxa"/>
            <w:vAlign w:val="center"/>
          </w:tcPr>
          <w:p>
            <w:pPr>
              <w:ind w:firstLine="0" w:firstLineChars="0"/>
              <w:rPr>
                <w:rFonts w:cs="Times New Roman" w:eastAsiaTheme="minorEastAsia"/>
                <w:szCs w:val="24"/>
              </w:rPr>
            </w:pPr>
            <w:r>
              <w:rPr>
                <w:rFonts w:cs="Times New Roman" w:eastAsiaTheme="minorEastAsia"/>
                <w:szCs w:val="24"/>
              </w:rPr>
              <w:t>《仪表配管、配线设计规定》</w:t>
            </w:r>
            <w:r>
              <w:rPr>
                <w:rFonts w:cs="Times New Roman" w:eastAsiaTheme="minorEastAsia"/>
                <w:szCs w:val="24"/>
              </w:rPr>
              <w:tab/>
            </w:r>
          </w:p>
        </w:tc>
        <w:tc>
          <w:tcPr>
            <w:tcW w:w="2490" w:type="dxa"/>
            <w:vAlign w:val="center"/>
          </w:tcPr>
          <w:p>
            <w:pPr>
              <w:ind w:firstLine="0" w:firstLineChars="0"/>
              <w:rPr>
                <w:rFonts w:cs="Times New Roman" w:eastAsiaTheme="minorEastAsia"/>
                <w:szCs w:val="24"/>
              </w:rPr>
            </w:pPr>
            <w:r>
              <w:rPr>
                <w:rFonts w:cs="Times New Roman" w:eastAsiaTheme="minorEastAsia"/>
                <w:szCs w:val="24"/>
              </w:rPr>
              <w:t>HG20512-92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10</w:t>
            </w:r>
          </w:p>
        </w:tc>
        <w:tc>
          <w:tcPr>
            <w:tcW w:w="4798" w:type="dxa"/>
            <w:vAlign w:val="center"/>
          </w:tcPr>
          <w:p>
            <w:pPr>
              <w:ind w:firstLine="0" w:firstLineChars="0"/>
              <w:rPr>
                <w:rFonts w:cs="Times New Roman" w:eastAsiaTheme="minorEastAsia"/>
                <w:szCs w:val="24"/>
              </w:rPr>
            </w:pPr>
            <w:r>
              <w:rPr>
                <w:rFonts w:cs="Times New Roman" w:eastAsiaTheme="minorEastAsia"/>
                <w:szCs w:val="24"/>
              </w:rPr>
              <w:t>《仪表系统接地设计规定》</w:t>
            </w:r>
          </w:p>
        </w:tc>
        <w:tc>
          <w:tcPr>
            <w:tcW w:w="2490" w:type="dxa"/>
            <w:vAlign w:val="center"/>
          </w:tcPr>
          <w:p>
            <w:pPr>
              <w:ind w:firstLine="0" w:firstLineChars="0"/>
              <w:rPr>
                <w:rFonts w:cs="Times New Roman" w:eastAsiaTheme="minorEastAsia"/>
                <w:szCs w:val="24"/>
              </w:rPr>
            </w:pPr>
            <w:r>
              <w:rPr>
                <w:rFonts w:cs="Times New Roman" w:eastAsiaTheme="minorEastAsia"/>
                <w:szCs w:val="24"/>
              </w:rPr>
              <w:t>HG20513-92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11</w:t>
            </w:r>
          </w:p>
        </w:tc>
        <w:tc>
          <w:tcPr>
            <w:tcW w:w="4798" w:type="dxa"/>
            <w:vAlign w:val="center"/>
          </w:tcPr>
          <w:p>
            <w:pPr>
              <w:ind w:firstLine="0" w:firstLineChars="0"/>
              <w:rPr>
                <w:rFonts w:cs="Times New Roman" w:eastAsiaTheme="minorEastAsia"/>
                <w:szCs w:val="24"/>
              </w:rPr>
            </w:pPr>
            <w:r>
              <w:rPr>
                <w:rFonts w:cs="Times New Roman" w:eastAsiaTheme="minorEastAsia"/>
                <w:szCs w:val="24"/>
              </w:rPr>
              <w:t>《电力工程电缆设计规范》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GB50217-94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12</w:t>
            </w:r>
          </w:p>
        </w:tc>
        <w:tc>
          <w:tcPr>
            <w:tcW w:w="4798" w:type="dxa"/>
            <w:vAlign w:val="center"/>
          </w:tcPr>
          <w:p>
            <w:pPr>
              <w:ind w:firstLine="0" w:firstLineChars="0"/>
              <w:rPr>
                <w:rFonts w:cs="Times New Roman" w:eastAsiaTheme="minorEastAsia"/>
                <w:szCs w:val="24"/>
              </w:rPr>
            </w:pPr>
            <w:r>
              <w:rPr>
                <w:rFonts w:cs="Times New Roman" w:eastAsiaTheme="minorEastAsia"/>
                <w:szCs w:val="24"/>
              </w:rPr>
              <w:t>《仪表供电设计规定》</w:t>
            </w:r>
          </w:p>
        </w:tc>
        <w:tc>
          <w:tcPr>
            <w:tcW w:w="2490" w:type="dxa"/>
            <w:vAlign w:val="center"/>
          </w:tcPr>
          <w:p>
            <w:pPr>
              <w:ind w:firstLine="0" w:firstLineChars="0"/>
              <w:rPr>
                <w:rFonts w:cs="Times New Roman" w:eastAsiaTheme="minorEastAsia"/>
                <w:szCs w:val="24"/>
              </w:rPr>
            </w:pPr>
            <w:r>
              <w:rPr>
                <w:rFonts w:cs="Times New Roman" w:eastAsiaTheme="minorEastAsia"/>
                <w:szCs w:val="24"/>
              </w:rPr>
              <w:t>HG20509-92</w:t>
            </w:r>
          </w:p>
        </w:tc>
      </w:tr>
    </w:tbl>
    <w:p>
      <w:pPr>
        <w:ind w:firstLine="0" w:firstLineChars="0"/>
        <w:outlineLvl w:val="2"/>
        <w:rPr>
          <w:rFonts w:cs="Times New Roman"/>
          <w:b/>
          <w:sz w:val="28"/>
          <w:szCs w:val="28"/>
        </w:rPr>
      </w:pPr>
      <w:bookmarkStart w:id="111" w:name="_Toc73367162"/>
      <w:r>
        <w:rPr>
          <w:rFonts w:cs="Times New Roman"/>
          <w:b/>
          <w:sz w:val="28"/>
          <w:szCs w:val="28"/>
        </w:rPr>
        <w:t>5.1.2电气设备</w:t>
      </w:r>
      <w:bookmarkEnd w:id="111"/>
    </w:p>
    <w:p>
      <w:pPr>
        <w:ind w:firstLine="560"/>
        <w:rPr>
          <w:rFonts w:cs="Times New Roman" w:eastAsiaTheme="minorEastAsia"/>
          <w:sz w:val="28"/>
          <w:szCs w:val="28"/>
        </w:rPr>
      </w:pPr>
      <w:r>
        <w:rPr>
          <w:rFonts w:cs="Times New Roman" w:eastAsiaTheme="minorEastAsia"/>
          <w:sz w:val="28"/>
          <w:szCs w:val="28"/>
        </w:rPr>
        <w:t>（1）据本工程的用电负荷，由招标方提供两路380V电源至渗沥液处理站低压配电间内，380V系统为单母线接线方式，设双电源自动切换装置。招标方提供的开关柜为抽屉柜。380V低压配电系统采用动力中心和电动机控制中心混合方式。开关柜柜体及柜内元件应能满足50kA短路电流和50kA-1s热稳定电流的要求；框架空气断路器和塑壳空气断路器的额定短路开断电流应不小于50kA。开关柜内应留有不少于30%的备用回路，且每种类型、规格的回路至少有1个备用，每个备用单元应完成全部接线。投标方还应单独考虑6个配电回路供本建筑物的照明、空调、通风机用，开关规格在设计联络会上确定。因整个电厂的开关柜招标工作尚未开展，为保证全厂电控元件的互换性和统一性，投标方设计的最终选用的开关柜型式必须由招标方确认。</w:t>
      </w:r>
    </w:p>
    <w:p>
      <w:pPr>
        <w:ind w:firstLine="560"/>
        <w:rPr>
          <w:rFonts w:cs="Times New Roman" w:eastAsiaTheme="minorEastAsia"/>
          <w:sz w:val="28"/>
          <w:szCs w:val="28"/>
        </w:rPr>
      </w:pPr>
      <w:r>
        <w:rPr>
          <w:rFonts w:cs="Times New Roman" w:eastAsiaTheme="minorEastAsia"/>
          <w:sz w:val="28"/>
          <w:szCs w:val="28"/>
        </w:rPr>
        <w:t>（2）卖方负责低压配电柜和之后的系统内各用电点的全部配供电系统（电缆由招标方供货，电缆桥架由中标方供货）。弱电控制设备的所有电气控制安装连接、控制柜的供货及安装。</w:t>
      </w:r>
    </w:p>
    <w:p>
      <w:pPr>
        <w:ind w:firstLine="560"/>
        <w:rPr>
          <w:rFonts w:cs="Times New Roman" w:eastAsiaTheme="minorEastAsia"/>
          <w:sz w:val="28"/>
          <w:szCs w:val="28"/>
        </w:rPr>
      </w:pPr>
      <w:r>
        <w:rPr>
          <w:rFonts w:cs="Times New Roman" w:eastAsiaTheme="minorEastAsia"/>
          <w:sz w:val="28"/>
          <w:szCs w:val="28"/>
        </w:rPr>
        <w:t>（3）卖方须在投标方案中给出所有用电设备的使用功率及总负荷容量。</w:t>
      </w:r>
    </w:p>
    <w:p>
      <w:pPr>
        <w:ind w:firstLine="560"/>
        <w:rPr>
          <w:rFonts w:cs="Times New Roman" w:eastAsiaTheme="minorEastAsia"/>
          <w:sz w:val="28"/>
          <w:szCs w:val="28"/>
        </w:rPr>
      </w:pPr>
      <w:r>
        <w:rPr>
          <w:rFonts w:cs="Times New Roman" w:eastAsiaTheme="minorEastAsia"/>
          <w:sz w:val="28"/>
          <w:szCs w:val="28"/>
        </w:rPr>
        <w:t>（4）供配电保护、计量：柜内主要元器件采用</w:t>
      </w:r>
      <w:r>
        <w:rPr>
          <w:rFonts w:hint="eastAsia" w:cs="Times New Roman" w:eastAsiaTheme="minorEastAsia"/>
          <w:sz w:val="28"/>
          <w:szCs w:val="28"/>
          <w:lang w:eastAsia="zh-CN"/>
        </w:rPr>
        <w:t>品牌自选</w:t>
      </w:r>
      <w:r>
        <w:rPr>
          <w:rFonts w:cs="Times New Roman" w:eastAsiaTheme="minorEastAsia"/>
          <w:sz w:val="28"/>
          <w:szCs w:val="28"/>
        </w:rPr>
        <w:t>。为保证全厂电控元件的互换性和统一性，中标方最终选用的电气元器件由买方确认。电动机保护回路设短路、过电流及过载保护。一般配电回路设短路及过电流保护。低压开关总进线柜内设电流及电度计量仪。30KW及以上电机配置电流表或电度表。低压母线配置电压表。22kW及以上电动机回路采用智能型电动机控制器，相关具体要求见附件《电气通用技术要求》。柜内仪表通过开关柜内电流互感器(CT)或电压互感器(PT)连接，需位于远方的仪表应通过开关柜内的电气变送器连接。绝缘导线应采用搪锡铜质多股绞线。</w:t>
      </w:r>
    </w:p>
    <w:p>
      <w:pPr>
        <w:ind w:firstLine="560"/>
        <w:rPr>
          <w:rFonts w:cs="Times New Roman" w:eastAsiaTheme="minorEastAsia"/>
          <w:sz w:val="28"/>
          <w:szCs w:val="28"/>
        </w:rPr>
      </w:pPr>
      <w:r>
        <w:rPr>
          <w:rFonts w:cs="Times New Roman" w:eastAsiaTheme="minorEastAsia"/>
          <w:sz w:val="28"/>
          <w:szCs w:val="28"/>
        </w:rPr>
        <w:t>（5）对所有需要外部连接的控制、仪表和继电器将提供端子排。端子排的额定值不小于10A、600V，并带有隔板、标签带和端子螺丝。每一个端子排将有不少于20%的备用端子。端子排、接线鼻、接线端子均要求搪锡，现场不得有裸露的铜质、银质材料。</w:t>
      </w:r>
    </w:p>
    <w:p>
      <w:pPr>
        <w:ind w:firstLine="560"/>
        <w:rPr>
          <w:rFonts w:cs="Times New Roman" w:eastAsiaTheme="minorEastAsia"/>
          <w:sz w:val="28"/>
          <w:szCs w:val="28"/>
        </w:rPr>
      </w:pPr>
      <w:r>
        <w:rPr>
          <w:rFonts w:cs="Times New Roman" w:eastAsiaTheme="minorEastAsia"/>
          <w:sz w:val="28"/>
          <w:szCs w:val="28"/>
        </w:rPr>
        <w:t>（6）水泵、污泥泵的控制：水泵、污泥泵等按运行要求设置现场手动操作箱，操作面板上设“就地/远方”转换开关。“就地”状态下，由操作箱面板上的按钮直接控制水泵、污泥泵的运行；“远方”状态下，由自动化控制装置控制水泵、污泥泵的运行。</w:t>
      </w:r>
    </w:p>
    <w:p>
      <w:pPr>
        <w:ind w:firstLine="560"/>
        <w:rPr>
          <w:rFonts w:cs="Times New Roman" w:eastAsiaTheme="minorEastAsia"/>
          <w:sz w:val="28"/>
          <w:szCs w:val="28"/>
        </w:rPr>
      </w:pPr>
      <w:r>
        <w:rPr>
          <w:rFonts w:cs="Times New Roman" w:eastAsiaTheme="minorEastAsia"/>
          <w:sz w:val="28"/>
          <w:szCs w:val="28"/>
        </w:rPr>
        <w:t>电动机主要监控信号包括：</w:t>
      </w:r>
    </w:p>
    <w:p>
      <w:pPr>
        <w:ind w:firstLine="560"/>
        <w:rPr>
          <w:rFonts w:cs="Times New Roman" w:eastAsiaTheme="minorEastAsia"/>
          <w:sz w:val="28"/>
          <w:szCs w:val="28"/>
        </w:rPr>
      </w:pPr>
      <w:r>
        <w:rPr>
          <w:rFonts w:cs="Times New Roman" w:eastAsiaTheme="minorEastAsia"/>
          <w:sz w:val="28"/>
          <w:szCs w:val="28"/>
        </w:rPr>
        <w:t>运行/停止状态；</w:t>
      </w:r>
    </w:p>
    <w:p>
      <w:pPr>
        <w:ind w:firstLine="560"/>
        <w:rPr>
          <w:rFonts w:cs="Times New Roman" w:eastAsiaTheme="minorEastAsia"/>
          <w:sz w:val="28"/>
          <w:szCs w:val="28"/>
        </w:rPr>
      </w:pPr>
      <w:r>
        <w:rPr>
          <w:rFonts w:cs="Times New Roman" w:eastAsiaTheme="minorEastAsia"/>
          <w:sz w:val="28"/>
          <w:szCs w:val="28"/>
        </w:rPr>
        <w:t>电气故障保护动作状态；</w:t>
      </w:r>
    </w:p>
    <w:p>
      <w:pPr>
        <w:ind w:firstLine="560"/>
        <w:rPr>
          <w:rFonts w:cs="Times New Roman" w:eastAsiaTheme="minorEastAsia"/>
          <w:sz w:val="28"/>
          <w:szCs w:val="28"/>
        </w:rPr>
      </w:pPr>
      <w:r>
        <w:rPr>
          <w:rFonts w:cs="Times New Roman" w:eastAsiaTheme="minorEastAsia"/>
          <w:sz w:val="28"/>
          <w:szCs w:val="28"/>
        </w:rPr>
        <w:t>机械故障保护状态；</w:t>
      </w:r>
    </w:p>
    <w:p>
      <w:pPr>
        <w:ind w:firstLine="560"/>
        <w:rPr>
          <w:rFonts w:cs="Times New Roman" w:eastAsiaTheme="minorEastAsia"/>
          <w:sz w:val="28"/>
          <w:szCs w:val="28"/>
        </w:rPr>
      </w:pPr>
      <w:r>
        <w:rPr>
          <w:rFonts w:cs="Times New Roman" w:eastAsiaTheme="minorEastAsia"/>
          <w:sz w:val="28"/>
          <w:szCs w:val="28"/>
        </w:rPr>
        <w:t>远方/就地控制状态；</w:t>
      </w:r>
    </w:p>
    <w:p>
      <w:pPr>
        <w:ind w:firstLine="560"/>
        <w:rPr>
          <w:rFonts w:cs="Times New Roman" w:eastAsiaTheme="minorEastAsia"/>
          <w:sz w:val="28"/>
          <w:szCs w:val="28"/>
        </w:rPr>
      </w:pPr>
      <w:r>
        <w:rPr>
          <w:rFonts w:cs="Times New Roman" w:eastAsiaTheme="minorEastAsia"/>
          <w:sz w:val="28"/>
          <w:szCs w:val="28"/>
        </w:rPr>
        <w:t>运行/停止命令。</w:t>
      </w:r>
    </w:p>
    <w:p>
      <w:pPr>
        <w:ind w:firstLine="560"/>
        <w:rPr>
          <w:rFonts w:cs="Times New Roman" w:eastAsiaTheme="minorEastAsia"/>
          <w:sz w:val="28"/>
          <w:szCs w:val="28"/>
        </w:rPr>
      </w:pPr>
      <w:r>
        <w:rPr>
          <w:rFonts w:cs="Times New Roman" w:eastAsiaTheme="minorEastAsia"/>
          <w:sz w:val="28"/>
          <w:szCs w:val="28"/>
        </w:rPr>
        <w:t>搅拌器、电动闸门、闸阀的控制与水泵、污泥泵的控制方式同。</w:t>
      </w:r>
    </w:p>
    <w:p>
      <w:pPr>
        <w:ind w:firstLine="560"/>
        <w:rPr>
          <w:rFonts w:cs="Times New Roman" w:eastAsiaTheme="minorEastAsia"/>
          <w:sz w:val="28"/>
          <w:szCs w:val="28"/>
        </w:rPr>
      </w:pPr>
      <w:r>
        <w:rPr>
          <w:rFonts w:cs="Times New Roman" w:eastAsiaTheme="minorEastAsia"/>
          <w:sz w:val="28"/>
          <w:szCs w:val="28"/>
        </w:rPr>
        <w:t>（7）变频器及软启动器的监控：</w:t>
      </w:r>
    </w:p>
    <w:p>
      <w:pPr>
        <w:ind w:firstLine="560"/>
        <w:rPr>
          <w:rFonts w:cs="Times New Roman" w:eastAsiaTheme="minorEastAsia"/>
          <w:sz w:val="28"/>
          <w:szCs w:val="28"/>
        </w:rPr>
      </w:pPr>
      <w:r>
        <w:rPr>
          <w:rFonts w:cs="Times New Roman" w:eastAsiaTheme="minorEastAsia"/>
          <w:sz w:val="28"/>
          <w:szCs w:val="28"/>
        </w:rPr>
        <w:t>系统内需要降压启动的电动机要求采用软启动器或变频器；需要调速运行的电动机要求采用变频器控制。软启动器和变频器选择要求见通用技术要求，在合同签订前应征得招标方同意。同时,投标方应对采购的软启动器和变频器质量负全部责任。</w:t>
      </w:r>
    </w:p>
    <w:p>
      <w:pPr>
        <w:ind w:firstLine="560"/>
        <w:rPr>
          <w:rFonts w:cs="Times New Roman" w:eastAsiaTheme="minorEastAsia"/>
          <w:sz w:val="28"/>
          <w:szCs w:val="28"/>
        </w:rPr>
      </w:pPr>
      <w:r>
        <w:rPr>
          <w:rFonts w:cs="Times New Roman" w:eastAsiaTheme="minorEastAsia"/>
          <w:sz w:val="28"/>
          <w:szCs w:val="28"/>
        </w:rPr>
        <w:t>（8）电缆敷设：</w:t>
      </w:r>
    </w:p>
    <w:p>
      <w:pPr>
        <w:ind w:firstLine="560"/>
        <w:rPr>
          <w:rFonts w:cs="Times New Roman" w:eastAsiaTheme="minorEastAsia"/>
          <w:sz w:val="28"/>
          <w:szCs w:val="28"/>
        </w:rPr>
      </w:pPr>
      <w:r>
        <w:rPr>
          <w:rFonts w:cs="Times New Roman" w:eastAsiaTheme="minorEastAsia"/>
          <w:sz w:val="28"/>
          <w:szCs w:val="28"/>
        </w:rPr>
        <w:t>电力线路全部采用电缆敷设，敷设方式为电缆沟、电缆桥架和直埋等方式，原则上工艺车间内全部采用电缆桥架敷设，考虑必要的防腐措施。</w:t>
      </w:r>
    </w:p>
    <w:p>
      <w:pPr>
        <w:ind w:firstLine="560"/>
        <w:rPr>
          <w:rFonts w:cs="Times New Roman" w:eastAsiaTheme="minorEastAsia"/>
          <w:sz w:val="28"/>
          <w:szCs w:val="28"/>
        </w:rPr>
      </w:pPr>
      <w:r>
        <w:rPr>
          <w:rFonts w:cs="Times New Roman" w:eastAsiaTheme="minorEastAsia"/>
          <w:sz w:val="28"/>
          <w:szCs w:val="28"/>
        </w:rPr>
        <w:t>（9）配电系统母线上要求设置过电压浪涌保护器，保护器应选用知名品牌并征得甲方同意。</w:t>
      </w:r>
    </w:p>
    <w:p>
      <w:pPr>
        <w:ind w:firstLine="560"/>
        <w:rPr>
          <w:rFonts w:cs="Times New Roman" w:eastAsiaTheme="minorEastAsia"/>
          <w:sz w:val="28"/>
          <w:szCs w:val="28"/>
        </w:rPr>
      </w:pPr>
      <w:r>
        <w:rPr>
          <w:rFonts w:cs="Times New Roman" w:eastAsiaTheme="minorEastAsia"/>
          <w:sz w:val="28"/>
          <w:szCs w:val="28"/>
        </w:rPr>
        <w:t>除了目前技术说明中给定的特殊规定以外，供方必须遵守中国现行的设计规范和标准的规定，具体包括国际GB1094、GB311等有关条文规定。</w:t>
      </w:r>
    </w:p>
    <w:p>
      <w:pPr>
        <w:ind w:firstLine="560"/>
        <w:rPr>
          <w:rFonts w:cs="Times New Roman" w:eastAsiaTheme="minorEastAsia"/>
          <w:sz w:val="28"/>
          <w:szCs w:val="28"/>
        </w:rPr>
      </w:pPr>
      <w:r>
        <w:rPr>
          <w:rFonts w:cs="Times New Roman" w:eastAsiaTheme="minorEastAsia"/>
          <w:sz w:val="28"/>
          <w:szCs w:val="28"/>
        </w:rPr>
        <w:t>所有材料零部件，电气设备等必须遵守国际电工学会标准，即IEC标准最新版本中有关条文的规定。</w:t>
      </w:r>
    </w:p>
    <w:p>
      <w:pPr>
        <w:ind w:firstLine="560"/>
        <w:rPr>
          <w:rFonts w:cs="Times New Roman" w:eastAsiaTheme="minorEastAsia"/>
          <w:sz w:val="28"/>
          <w:szCs w:val="28"/>
        </w:rPr>
      </w:pPr>
      <w:r>
        <w:rPr>
          <w:rFonts w:cs="Times New Roman" w:eastAsiaTheme="minorEastAsia"/>
          <w:sz w:val="28"/>
          <w:szCs w:val="28"/>
        </w:rPr>
        <w:t>（10）卖方应提供渗滤液处理系统内所有电气配电、控制、保护设备；现场分散安装的盘/箱/柜、操作箱，检修箱设备等；系统内部设备之间的电缆（招标方供货）、电缆桥架、桥架托臂盖板等附件、镀锌保护管、防火封堵材料等；系统内部设备接地材料等；上述设备、材料均由卖方方设计、供货及安装。</w:t>
      </w:r>
    </w:p>
    <w:p>
      <w:pPr>
        <w:ind w:firstLine="560"/>
        <w:rPr>
          <w:rFonts w:cs="Times New Roman" w:eastAsiaTheme="minorEastAsia"/>
          <w:sz w:val="28"/>
          <w:szCs w:val="28"/>
        </w:rPr>
      </w:pPr>
      <w:r>
        <w:rPr>
          <w:rFonts w:cs="Times New Roman" w:eastAsiaTheme="minorEastAsia"/>
          <w:sz w:val="28"/>
          <w:szCs w:val="28"/>
        </w:rPr>
        <w:t>（11）电机、控制箱等设备以及电缆、桥架、接地等材料的具体要求参照电气通用技术要求。</w:t>
      </w:r>
    </w:p>
    <w:p>
      <w:pPr>
        <w:ind w:firstLine="0" w:firstLineChars="0"/>
        <w:outlineLvl w:val="2"/>
        <w:rPr>
          <w:rFonts w:cs="Times New Roman"/>
          <w:b/>
          <w:sz w:val="28"/>
          <w:szCs w:val="28"/>
        </w:rPr>
      </w:pPr>
      <w:bookmarkStart w:id="112" w:name="_Toc73367163"/>
      <w:r>
        <w:rPr>
          <w:rFonts w:cs="Times New Roman"/>
          <w:b/>
          <w:sz w:val="28"/>
          <w:szCs w:val="28"/>
        </w:rPr>
        <w:t>5.1.3接地保护与防雷</w:t>
      </w:r>
      <w:bookmarkEnd w:id="112"/>
    </w:p>
    <w:p>
      <w:pPr>
        <w:ind w:firstLine="560"/>
        <w:rPr>
          <w:rFonts w:cs="Times New Roman" w:eastAsiaTheme="minorEastAsia"/>
          <w:sz w:val="28"/>
          <w:szCs w:val="28"/>
        </w:rPr>
      </w:pPr>
      <w:r>
        <w:rPr>
          <w:rFonts w:cs="Times New Roman" w:eastAsiaTheme="minorEastAsia"/>
          <w:sz w:val="28"/>
          <w:szCs w:val="28"/>
        </w:rPr>
        <w:t>采用PEN制，配电装置均设集中接地装置，其接地电阻小于4欧姆。低压馈电线距离超过50m，设重复接地装置。其接地电阻不大于10欧姆。</w:t>
      </w:r>
    </w:p>
    <w:p>
      <w:pPr>
        <w:ind w:firstLine="560"/>
        <w:rPr>
          <w:rFonts w:cs="Times New Roman" w:eastAsiaTheme="minorEastAsia"/>
          <w:sz w:val="28"/>
          <w:szCs w:val="28"/>
        </w:rPr>
      </w:pPr>
      <w:r>
        <w:rPr>
          <w:rFonts w:cs="Times New Roman" w:eastAsiaTheme="minorEastAsia"/>
          <w:sz w:val="28"/>
          <w:szCs w:val="28"/>
        </w:rPr>
        <w:t>本工程建筑物、构筑物均按三类防雷建筑物考虑，屋顶设避雷带，或避雷针做为接闪器，防雷接地与保护接地共用接地装置，其接地电阻不大于10欧姆。</w:t>
      </w:r>
    </w:p>
    <w:p>
      <w:pPr>
        <w:pStyle w:val="4"/>
        <w:keepNext w:val="0"/>
        <w:keepLines w:val="0"/>
        <w:spacing w:beforeLines="0" w:afterLines="0"/>
        <w:ind w:firstLine="0" w:firstLineChars="0"/>
        <w:jc w:val="left"/>
        <w:rPr>
          <w:rFonts w:cs="Times New Roman"/>
          <w:sz w:val="28"/>
          <w:szCs w:val="28"/>
        </w:rPr>
      </w:pPr>
      <w:bookmarkStart w:id="113" w:name="_Toc459885115"/>
      <w:bookmarkStart w:id="114" w:name="_Toc73367164"/>
      <w:bookmarkStart w:id="115" w:name="_Toc459884221"/>
      <w:bookmarkStart w:id="116" w:name="_Toc518055166"/>
      <w:r>
        <w:rPr>
          <w:rFonts w:cs="Times New Roman"/>
          <w:sz w:val="28"/>
          <w:szCs w:val="28"/>
        </w:rPr>
        <w:t>5.2过程检测和控制系统</w:t>
      </w:r>
      <w:bookmarkEnd w:id="113"/>
      <w:bookmarkEnd w:id="114"/>
      <w:bookmarkEnd w:id="115"/>
      <w:bookmarkEnd w:id="116"/>
    </w:p>
    <w:p>
      <w:pPr>
        <w:ind w:firstLine="0" w:firstLineChars="0"/>
        <w:outlineLvl w:val="2"/>
        <w:rPr>
          <w:rFonts w:cs="Times New Roman"/>
          <w:b/>
          <w:sz w:val="28"/>
          <w:szCs w:val="28"/>
        </w:rPr>
      </w:pPr>
      <w:bookmarkStart w:id="117" w:name="_Toc73367165"/>
      <w:r>
        <w:rPr>
          <w:rFonts w:cs="Times New Roman"/>
          <w:b/>
          <w:sz w:val="28"/>
          <w:szCs w:val="28"/>
        </w:rPr>
        <w:t>5.2.1引用的相关标准</w:t>
      </w:r>
      <w:bookmarkEnd w:id="117"/>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98"/>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1</w:t>
            </w:r>
          </w:p>
        </w:tc>
        <w:tc>
          <w:tcPr>
            <w:tcW w:w="4798" w:type="dxa"/>
            <w:vAlign w:val="center"/>
          </w:tcPr>
          <w:p>
            <w:pPr>
              <w:ind w:firstLine="0" w:firstLineChars="0"/>
              <w:rPr>
                <w:rFonts w:cs="Times New Roman" w:eastAsiaTheme="minorEastAsia"/>
                <w:szCs w:val="24"/>
              </w:rPr>
            </w:pPr>
            <w:r>
              <w:rPr>
                <w:rFonts w:cs="Times New Roman" w:eastAsiaTheme="minorEastAsia"/>
                <w:szCs w:val="24"/>
              </w:rPr>
              <w:t>《分散型控制系统工程设计规定》</w:t>
            </w:r>
          </w:p>
        </w:tc>
        <w:tc>
          <w:tcPr>
            <w:tcW w:w="2490" w:type="dxa"/>
            <w:vAlign w:val="center"/>
          </w:tcPr>
          <w:p>
            <w:pPr>
              <w:ind w:firstLine="0" w:firstLineChars="0"/>
              <w:rPr>
                <w:rFonts w:cs="Times New Roman" w:eastAsiaTheme="minorEastAsia"/>
                <w:szCs w:val="24"/>
              </w:rPr>
            </w:pPr>
            <w:r>
              <w:rPr>
                <w:rFonts w:cs="Times New Roman" w:eastAsiaTheme="minorEastAsia"/>
                <w:szCs w:val="24"/>
              </w:rPr>
              <w:t>HG/T20573-94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2</w:t>
            </w:r>
          </w:p>
        </w:tc>
        <w:tc>
          <w:tcPr>
            <w:tcW w:w="4798" w:type="dxa"/>
            <w:vAlign w:val="center"/>
          </w:tcPr>
          <w:p>
            <w:pPr>
              <w:ind w:firstLine="0" w:firstLineChars="0"/>
              <w:rPr>
                <w:rFonts w:cs="Times New Roman" w:eastAsiaTheme="minorEastAsia"/>
                <w:szCs w:val="24"/>
              </w:rPr>
            </w:pPr>
            <w:r>
              <w:rPr>
                <w:rFonts w:cs="Times New Roman" w:eastAsiaTheme="minorEastAsia"/>
                <w:szCs w:val="24"/>
              </w:rPr>
              <w:t>《控制室设计规定》</w:t>
            </w:r>
          </w:p>
        </w:tc>
        <w:tc>
          <w:tcPr>
            <w:tcW w:w="2490" w:type="dxa"/>
            <w:vAlign w:val="center"/>
          </w:tcPr>
          <w:p>
            <w:pPr>
              <w:ind w:firstLine="0" w:firstLineChars="0"/>
              <w:rPr>
                <w:rFonts w:cs="Times New Roman" w:eastAsiaTheme="minorEastAsia"/>
                <w:szCs w:val="24"/>
              </w:rPr>
            </w:pPr>
            <w:r>
              <w:rPr>
                <w:rFonts w:cs="Times New Roman" w:eastAsiaTheme="minorEastAsia"/>
                <w:szCs w:val="24"/>
              </w:rPr>
              <w:t>HG20508-92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3</w:t>
            </w:r>
          </w:p>
        </w:tc>
        <w:tc>
          <w:tcPr>
            <w:tcW w:w="4798" w:type="dxa"/>
            <w:vAlign w:val="center"/>
          </w:tcPr>
          <w:p>
            <w:pPr>
              <w:ind w:firstLine="0" w:firstLineChars="0"/>
              <w:rPr>
                <w:rFonts w:cs="Times New Roman" w:eastAsiaTheme="minorEastAsia"/>
                <w:szCs w:val="24"/>
              </w:rPr>
            </w:pPr>
            <w:r>
              <w:rPr>
                <w:rFonts w:cs="Times New Roman" w:eastAsiaTheme="minorEastAsia"/>
                <w:szCs w:val="24"/>
              </w:rPr>
              <w:t>《自动化仪表选型规定》</w:t>
            </w:r>
          </w:p>
        </w:tc>
        <w:tc>
          <w:tcPr>
            <w:tcW w:w="2490" w:type="dxa"/>
            <w:vAlign w:val="center"/>
          </w:tcPr>
          <w:p>
            <w:pPr>
              <w:ind w:firstLine="0" w:firstLineChars="0"/>
              <w:rPr>
                <w:rFonts w:cs="Times New Roman" w:eastAsiaTheme="minorEastAsia"/>
                <w:szCs w:val="24"/>
              </w:rPr>
            </w:pPr>
            <w:r>
              <w:rPr>
                <w:rFonts w:cs="Times New Roman" w:eastAsiaTheme="minorEastAsia"/>
                <w:szCs w:val="24"/>
              </w:rPr>
              <w:t>HG20507-92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4</w:t>
            </w:r>
          </w:p>
        </w:tc>
        <w:tc>
          <w:tcPr>
            <w:tcW w:w="4798" w:type="dxa"/>
            <w:vAlign w:val="center"/>
          </w:tcPr>
          <w:p>
            <w:pPr>
              <w:ind w:firstLine="0" w:firstLineChars="0"/>
              <w:rPr>
                <w:rFonts w:cs="Times New Roman" w:eastAsiaTheme="minorEastAsia"/>
                <w:szCs w:val="24"/>
              </w:rPr>
            </w:pPr>
            <w:r>
              <w:rPr>
                <w:rFonts w:cs="Times New Roman" w:eastAsiaTheme="minorEastAsia"/>
                <w:szCs w:val="24"/>
              </w:rPr>
              <w:t>《仪表配管、配线设计规定》</w:t>
            </w:r>
          </w:p>
        </w:tc>
        <w:tc>
          <w:tcPr>
            <w:tcW w:w="2490" w:type="dxa"/>
            <w:vAlign w:val="center"/>
          </w:tcPr>
          <w:p>
            <w:pPr>
              <w:ind w:firstLine="0" w:firstLineChars="0"/>
              <w:rPr>
                <w:rFonts w:cs="Times New Roman" w:eastAsiaTheme="minorEastAsia"/>
                <w:szCs w:val="24"/>
              </w:rPr>
            </w:pPr>
            <w:r>
              <w:rPr>
                <w:rFonts w:cs="Times New Roman" w:eastAsiaTheme="minorEastAsia"/>
                <w:szCs w:val="24"/>
              </w:rPr>
              <w:t>HG20512-92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5</w:t>
            </w:r>
          </w:p>
        </w:tc>
        <w:tc>
          <w:tcPr>
            <w:tcW w:w="4798" w:type="dxa"/>
            <w:vAlign w:val="center"/>
          </w:tcPr>
          <w:p>
            <w:pPr>
              <w:ind w:firstLine="0" w:firstLineChars="0"/>
              <w:rPr>
                <w:rFonts w:cs="Times New Roman" w:eastAsiaTheme="minorEastAsia"/>
                <w:szCs w:val="24"/>
              </w:rPr>
            </w:pPr>
            <w:r>
              <w:rPr>
                <w:rFonts w:cs="Times New Roman" w:eastAsiaTheme="minorEastAsia"/>
                <w:szCs w:val="24"/>
              </w:rPr>
              <w:t>《仪表系统接地设计规定》</w:t>
            </w:r>
          </w:p>
        </w:tc>
        <w:tc>
          <w:tcPr>
            <w:tcW w:w="2490" w:type="dxa"/>
            <w:vAlign w:val="center"/>
          </w:tcPr>
          <w:p>
            <w:pPr>
              <w:ind w:firstLine="0" w:firstLineChars="0"/>
              <w:rPr>
                <w:rFonts w:cs="Times New Roman" w:eastAsiaTheme="minorEastAsia"/>
                <w:szCs w:val="24"/>
              </w:rPr>
            </w:pPr>
            <w:r>
              <w:rPr>
                <w:rFonts w:cs="Times New Roman" w:eastAsiaTheme="minorEastAsia"/>
                <w:szCs w:val="24"/>
              </w:rPr>
              <w:t>HG20513-92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6</w:t>
            </w:r>
          </w:p>
        </w:tc>
        <w:tc>
          <w:tcPr>
            <w:tcW w:w="4798" w:type="dxa"/>
            <w:vAlign w:val="center"/>
          </w:tcPr>
          <w:p>
            <w:pPr>
              <w:ind w:firstLine="0" w:firstLineChars="0"/>
              <w:rPr>
                <w:rFonts w:cs="Times New Roman" w:eastAsiaTheme="minorEastAsia"/>
                <w:szCs w:val="24"/>
              </w:rPr>
            </w:pPr>
            <w:r>
              <w:rPr>
                <w:rFonts w:cs="Times New Roman" w:eastAsiaTheme="minorEastAsia"/>
                <w:szCs w:val="24"/>
              </w:rPr>
              <w:t>《电力工程电缆设计规范》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GB50217-94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7</w:t>
            </w:r>
          </w:p>
        </w:tc>
        <w:tc>
          <w:tcPr>
            <w:tcW w:w="4798" w:type="dxa"/>
            <w:vAlign w:val="center"/>
          </w:tcPr>
          <w:p>
            <w:pPr>
              <w:ind w:firstLine="0" w:firstLineChars="0"/>
              <w:rPr>
                <w:rFonts w:cs="Times New Roman" w:eastAsiaTheme="minorEastAsia"/>
                <w:szCs w:val="24"/>
              </w:rPr>
            </w:pPr>
            <w:r>
              <w:rPr>
                <w:rFonts w:cs="Times New Roman" w:eastAsiaTheme="minorEastAsia"/>
                <w:szCs w:val="24"/>
              </w:rPr>
              <w:t>《仪表供电设计规定》</w:t>
            </w:r>
          </w:p>
        </w:tc>
        <w:tc>
          <w:tcPr>
            <w:tcW w:w="2490" w:type="dxa"/>
            <w:vAlign w:val="center"/>
          </w:tcPr>
          <w:p>
            <w:pPr>
              <w:ind w:firstLine="0" w:firstLineChars="0"/>
              <w:rPr>
                <w:rFonts w:cs="Times New Roman" w:eastAsiaTheme="minorEastAsia"/>
                <w:szCs w:val="24"/>
              </w:rPr>
            </w:pPr>
            <w:r>
              <w:rPr>
                <w:rFonts w:cs="Times New Roman" w:eastAsiaTheme="minorEastAsia"/>
                <w:szCs w:val="24"/>
              </w:rPr>
              <w:t>HG20509-92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8</w:t>
            </w:r>
          </w:p>
        </w:tc>
        <w:tc>
          <w:tcPr>
            <w:tcW w:w="4798" w:type="dxa"/>
            <w:vAlign w:val="center"/>
          </w:tcPr>
          <w:p>
            <w:pPr>
              <w:ind w:firstLine="0" w:firstLineChars="0"/>
              <w:rPr>
                <w:rFonts w:cs="Times New Roman" w:eastAsiaTheme="minorEastAsia"/>
                <w:szCs w:val="24"/>
              </w:rPr>
            </w:pPr>
            <w:r>
              <w:rPr>
                <w:rFonts w:cs="Times New Roman" w:eastAsiaTheme="minorEastAsia"/>
                <w:szCs w:val="24"/>
              </w:rPr>
              <w:t>《给水排水手册》第8册</w:t>
            </w:r>
          </w:p>
        </w:tc>
        <w:tc>
          <w:tcPr>
            <w:tcW w:w="2490" w:type="dxa"/>
            <w:vAlign w:val="center"/>
          </w:tcPr>
          <w:p>
            <w:pPr>
              <w:ind w:firstLine="0" w:firstLineChars="0"/>
              <w:rPr>
                <w:rFonts w:cs="Times New Roman" w:eastAsiaTheme="minorEastAsia"/>
                <w:szCs w:val="24"/>
              </w:rPr>
            </w:pPr>
          </w:p>
        </w:tc>
      </w:tr>
    </w:tbl>
    <w:p>
      <w:pPr>
        <w:ind w:firstLine="0" w:firstLineChars="0"/>
        <w:outlineLvl w:val="2"/>
        <w:rPr>
          <w:rFonts w:cs="Times New Roman"/>
          <w:b/>
          <w:sz w:val="28"/>
          <w:szCs w:val="28"/>
        </w:rPr>
      </w:pPr>
      <w:bookmarkStart w:id="118" w:name="_Toc73367166"/>
      <w:r>
        <w:rPr>
          <w:rFonts w:cs="Times New Roman"/>
          <w:b/>
          <w:sz w:val="28"/>
          <w:szCs w:val="28"/>
        </w:rPr>
        <w:t>5.2.2简述</w:t>
      </w:r>
      <w:bookmarkEnd w:id="118"/>
    </w:p>
    <w:p>
      <w:pPr>
        <w:ind w:firstLine="560"/>
        <w:rPr>
          <w:rFonts w:cs="Times New Roman" w:eastAsiaTheme="minorEastAsia"/>
          <w:sz w:val="28"/>
          <w:szCs w:val="28"/>
        </w:rPr>
      </w:pPr>
      <w:r>
        <w:rPr>
          <w:rFonts w:cs="Times New Roman" w:eastAsiaTheme="minorEastAsia"/>
          <w:sz w:val="28"/>
          <w:szCs w:val="28"/>
        </w:rPr>
        <w:t>设计方案力求满足本工程工艺的特性，保证处理单元安全和高效，减少人为因素给操作带来的不利影响。</w:t>
      </w:r>
    </w:p>
    <w:p>
      <w:pPr>
        <w:ind w:firstLine="560"/>
        <w:rPr>
          <w:rFonts w:cs="Times New Roman" w:eastAsiaTheme="minorEastAsia"/>
          <w:sz w:val="28"/>
          <w:szCs w:val="28"/>
        </w:rPr>
      </w:pPr>
      <w:r>
        <w:rPr>
          <w:rFonts w:cs="Times New Roman" w:eastAsiaTheme="minorEastAsia"/>
          <w:sz w:val="28"/>
          <w:szCs w:val="28"/>
        </w:rPr>
        <w:t>本方案自控系统的软件和硬件充分考虑用户的需求，并提供良好的技术手段，尽量选用与主厂区相同的设备，减小运行成本。</w:t>
      </w:r>
    </w:p>
    <w:p>
      <w:pPr>
        <w:ind w:firstLine="560"/>
        <w:rPr>
          <w:rFonts w:cs="Times New Roman" w:eastAsiaTheme="minorEastAsia"/>
        </w:rPr>
      </w:pPr>
      <w:r>
        <w:rPr>
          <w:rFonts w:cs="Times New Roman" w:eastAsiaTheme="minorEastAsia"/>
          <w:sz w:val="28"/>
          <w:szCs w:val="28"/>
        </w:rPr>
        <w:t>全厂采用就地控制和远程控制两种方式。就地控制采用现场手动控制；远程控制则通过I/O终端在中控室计算机上按照工艺要求进行程控或遥控。现场控制/远程控制的切换开关在现场按钮盒上。</w:t>
      </w:r>
    </w:p>
    <w:p>
      <w:pPr>
        <w:ind w:firstLine="0" w:firstLineChars="0"/>
        <w:outlineLvl w:val="2"/>
        <w:rPr>
          <w:rFonts w:cs="Times New Roman"/>
          <w:b/>
          <w:sz w:val="28"/>
          <w:szCs w:val="28"/>
        </w:rPr>
      </w:pPr>
      <w:bookmarkStart w:id="119" w:name="_Toc73367167"/>
      <w:r>
        <w:rPr>
          <w:rFonts w:cs="Times New Roman"/>
          <w:b/>
          <w:sz w:val="28"/>
          <w:szCs w:val="28"/>
        </w:rPr>
        <w:t>5.2.3仪表系统</w:t>
      </w:r>
      <w:bookmarkEnd w:id="119"/>
    </w:p>
    <w:p>
      <w:pPr>
        <w:ind w:firstLine="560"/>
        <w:rPr>
          <w:rFonts w:cs="Times New Roman" w:eastAsiaTheme="minorEastAsia"/>
          <w:sz w:val="28"/>
          <w:szCs w:val="28"/>
        </w:rPr>
      </w:pPr>
      <w:r>
        <w:rPr>
          <w:rFonts w:cs="Times New Roman" w:eastAsiaTheme="minorEastAsia"/>
          <w:sz w:val="28"/>
          <w:szCs w:val="28"/>
        </w:rPr>
        <w:t>仪表系统通过各种现场仪表对工艺参数进行连续检测、分析和记录，仪表检测值除供就地显示外，所有信息经PLC同时进入中心控制计算机。</w:t>
      </w:r>
    </w:p>
    <w:p>
      <w:pPr>
        <w:ind w:firstLine="560"/>
        <w:rPr>
          <w:rFonts w:cs="Times New Roman" w:eastAsiaTheme="minorEastAsia"/>
          <w:sz w:val="28"/>
          <w:szCs w:val="28"/>
        </w:rPr>
      </w:pPr>
      <w:r>
        <w:rPr>
          <w:rFonts w:cs="Times New Roman" w:eastAsiaTheme="minorEastAsia"/>
          <w:sz w:val="28"/>
          <w:szCs w:val="28"/>
        </w:rPr>
        <w:t>现场仪表主要包括液位计、流量计、温度计、pH表、溶氧仪等。</w:t>
      </w:r>
    </w:p>
    <w:p>
      <w:pPr>
        <w:ind w:firstLine="560"/>
        <w:rPr>
          <w:rFonts w:cs="Times New Roman" w:eastAsiaTheme="minorEastAsia"/>
          <w:sz w:val="28"/>
          <w:szCs w:val="28"/>
        </w:rPr>
      </w:pPr>
      <w:r>
        <w:rPr>
          <w:rFonts w:cs="Times New Roman" w:eastAsiaTheme="minorEastAsia"/>
          <w:sz w:val="28"/>
          <w:szCs w:val="28"/>
        </w:rPr>
        <w:t>仪表选用高精度、高稳定性、免维护或低维护量的数字式、智能化现场总线仪表；每套检测仪表配有就地显示功能，方便现场操作和维护；水质分析仪表应具备探头自清洗功能，清洗方式为机械清洗或其它液体清洗。</w:t>
      </w:r>
    </w:p>
    <w:p>
      <w:pPr>
        <w:pStyle w:val="4"/>
        <w:keepNext w:val="0"/>
        <w:keepLines w:val="0"/>
        <w:spacing w:beforeLines="0" w:afterLines="0"/>
        <w:ind w:firstLine="0" w:firstLineChars="0"/>
        <w:jc w:val="left"/>
        <w:rPr>
          <w:rFonts w:cs="Times New Roman"/>
          <w:sz w:val="28"/>
          <w:szCs w:val="28"/>
        </w:rPr>
      </w:pPr>
      <w:bookmarkStart w:id="120" w:name="_Toc459885116"/>
      <w:bookmarkStart w:id="121" w:name="_Toc518055167"/>
      <w:bookmarkStart w:id="122" w:name="_Toc459884222"/>
      <w:bookmarkStart w:id="123" w:name="_Toc73367168"/>
      <w:r>
        <w:rPr>
          <w:rFonts w:cs="Times New Roman"/>
          <w:sz w:val="28"/>
          <w:szCs w:val="28"/>
        </w:rPr>
        <w:t>5.3土建设计</w:t>
      </w:r>
      <w:bookmarkEnd w:id="120"/>
      <w:bookmarkEnd w:id="121"/>
      <w:bookmarkEnd w:id="122"/>
      <w:bookmarkEnd w:id="123"/>
    </w:p>
    <w:p>
      <w:pPr>
        <w:ind w:firstLine="0" w:firstLineChars="0"/>
        <w:outlineLvl w:val="2"/>
        <w:rPr>
          <w:rFonts w:cs="Times New Roman"/>
          <w:b/>
          <w:sz w:val="28"/>
          <w:szCs w:val="28"/>
        </w:rPr>
      </w:pPr>
      <w:bookmarkStart w:id="124" w:name="_Toc73367169"/>
      <w:r>
        <w:rPr>
          <w:rFonts w:cs="Times New Roman"/>
          <w:b/>
          <w:sz w:val="28"/>
          <w:szCs w:val="28"/>
        </w:rPr>
        <w:t>5.3.1 引用的相关标准</w:t>
      </w:r>
      <w:bookmarkEnd w:id="124"/>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98"/>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1</w:t>
            </w:r>
          </w:p>
        </w:tc>
        <w:tc>
          <w:tcPr>
            <w:tcW w:w="4798" w:type="dxa"/>
            <w:vAlign w:val="center"/>
          </w:tcPr>
          <w:p>
            <w:pPr>
              <w:ind w:firstLine="0" w:firstLineChars="0"/>
              <w:rPr>
                <w:rFonts w:cs="Times New Roman" w:eastAsiaTheme="minorEastAsia"/>
                <w:szCs w:val="24"/>
              </w:rPr>
            </w:pPr>
            <w:r>
              <w:rPr>
                <w:rFonts w:cs="Times New Roman" w:eastAsiaTheme="minorEastAsia"/>
                <w:szCs w:val="24"/>
              </w:rPr>
              <w:t>《混凝土结构设计规范》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KGB50010－2002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2</w:t>
            </w:r>
          </w:p>
        </w:tc>
        <w:tc>
          <w:tcPr>
            <w:tcW w:w="4798" w:type="dxa"/>
            <w:vAlign w:val="center"/>
          </w:tcPr>
          <w:p>
            <w:pPr>
              <w:ind w:firstLine="0" w:firstLineChars="0"/>
              <w:rPr>
                <w:rFonts w:cs="Times New Roman" w:eastAsiaTheme="minorEastAsia"/>
                <w:szCs w:val="24"/>
              </w:rPr>
            </w:pPr>
            <w:r>
              <w:rPr>
                <w:rFonts w:cs="Times New Roman" w:eastAsiaTheme="minorEastAsia"/>
                <w:szCs w:val="24"/>
              </w:rPr>
              <w:t>《砌体结构设计规范》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KGB50003－2001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3</w:t>
            </w:r>
          </w:p>
        </w:tc>
        <w:tc>
          <w:tcPr>
            <w:tcW w:w="4798" w:type="dxa"/>
            <w:vAlign w:val="center"/>
          </w:tcPr>
          <w:p>
            <w:pPr>
              <w:ind w:firstLine="0" w:firstLineChars="0"/>
              <w:rPr>
                <w:rFonts w:cs="Times New Roman" w:eastAsiaTheme="minorEastAsia"/>
                <w:szCs w:val="24"/>
              </w:rPr>
            </w:pPr>
            <w:r>
              <w:rPr>
                <w:rFonts w:cs="Times New Roman" w:eastAsiaTheme="minorEastAsia"/>
                <w:szCs w:val="24"/>
              </w:rPr>
              <w:t>《构筑物抗震设计规范》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KGB50191-94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4</w:t>
            </w:r>
          </w:p>
        </w:tc>
        <w:tc>
          <w:tcPr>
            <w:tcW w:w="4798" w:type="dxa"/>
            <w:vAlign w:val="center"/>
          </w:tcPr>
          <w:p>
            <w:pPr>
              <w:ind w:firstLine="0" w:firstLineChars="0"/>
              <w:rPr>
                <w:rFonts w:cs="Times New Roman" w:eastAsiaTheme="minorEastAsia"/>
                <w:szCs w:val="24"/>
              </w:rPr>
            </w:pPr>
            <w:r>
              <w:rPr>
                <w:rFonts w:cs="Times New Roman" w:eastAsiaTheme="minorEastAsia"/>
                <w:szCs w:val="24"/>
              </w:rPr>
              <w:t>《建筑抗震设计规范》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KGB50011－2001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5</w:t>
            </w:r>
          </w:p>
        </w:tc>
        <w:tc>
          <w:tcPr>
            <w:tcW w:w="4798" w:type="dxa"/>
            <w:vAlign w:val="center"/>
          </w:tcPr>
          <w:p>
            <w:pPr>
              <w:ind w:firstLine="0" w:firstLineChars="0"/>
              <w:rPr>
                <w:rFonts w:cs="Times New Roman" w:eastAsiaTheme="minorEastAsia"/>
                <w:szCs w:val="24"/>
              </w:rPr>
            </w:pPr>
            <w:r>
              <w:rPr>
                <w:rFonts w:cs="Times New Roman" w:eastAsiaTheme="minorEastAsia"/>
                <w:szCs w:val="24"/>
              </w:rPr>
              <w:t>《建筑地基基础设计规范》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KGB50007－2002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6</w:t>
            </w:r>
          </w:p>
        </w:tc>
        <w:tc>
          <w:tcPr>
            <w:tcW w:w="4798" w:type="dxa"/>
            <w:vAlign w:val="center"/>
          </w:tcPr>
          <w:p>
            <w:pPr>
              <w:ind w:firstLine="0" w:firstLineChars="0"/>
              <w:rPr>
                <w:rFonts w:cs="Times New Roman" w:eastAsiaTheme="minorEastAsia"/>
                <w:szCs w:val="24"/>
              </w:rPr>
            </w:pPr>
            <w:r>
              <w:rPr>
                <w:rFonts w:cs="Times New Roman" w:eastAsiaTheme="minorEastAsia"/>
                <w:szCs w:val="24"/>
              </w:rPr>
              <w:t>《建筑结构荷载规范》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KGB50009－2001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7</w:t>
            </w:r>
          </w:p>
        </w:tc>
        <w:tc>
          <w:tcPr>
            <w:tcW w:w="4798" w:type="dxa"/>
            <w:vAlign w:val="center"/>
          </w:tcPr>
          <w:p>
            <w:pPr>
              <w:ind w:firstLine="0" w:firstLineChars="0"/>
              <w:rPr>
                <w:rFonts w:cs="Times New Roman" w:eastAsiaTheme="minorEastAsia"/>
                <w:szCs w:val="24"/>
              </w:rPr>
            </w:pPr>
            <w:r>
              <w:rPr>
                <w:rFonts w:cs="Times New Roman" w:eastAsiaTheme="minorEastAsia"/>
                <w:szCs w:val="24"/>
              </w:rPr>
              <w:t>《建筑软弱地基基础设计规范》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KGBJ10-1-90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8</w:t>
            </w:r>
          </w:p>
        </w:tc>
        <w:tc>
          <w:tcPr>
            <w:tcW w:w="4798" w:type="dxa"/>
            <w:vAlign w:val="center"/>
          </w:tcPr>
          <w:p>
            <w:pPr>
              <w:ind w:firstLine="0" w:firstLineChars="0"/>
              <w:rPr>
                <w:rFonts w:cs="Times New Roman" w:eastAsiaTheme="minorEastAsia"/>
                <w:szCs w:val="24"/>
              </w:rPr>
            </w:pPr>
            <w:r>
              <w:rPr>
                <w:rFonts w:cs="Times New Roman" w:eastAsiaTheme="minorEastAsia"/>
                <w:szCs w:val="24"/>
              </w:rPr>
              <w:t>《工业建筑防腐设计规范》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KGB50046-95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9</w:t>
            </w:r>
          </w:p>
        </w:tc>
        <w:tc>
          <w:tcPr>
            <w:tcW w:w="4798" w:type="dxa"/>
            <w:vAlign w:val="center"/>
          </w:tcPr>
          <w:p>
            <w:pPr>
              <w:ind w:firstLine="0" w:firstLineChars="0"/>
              <w:rPr>
                <w:rFonts w:cs="Times New Roman" w:eastAsiaTheme="minorEastAsia"/>
                <w:szCs w:val="24"/>
              </w:rPr>
            </w:pPr>
            <w:r>
              <w:rPr>
                <w:rFonts w:cs="Times New Roman" w:eastAsiaTheme="minorEastAsia"/>
                <w:szCs w:val="24"/>
              </w:rPr>
              <w:t>《建筑模数协调统一标准》</w:t>
            </w:r>
          </w:p>
        </w:tc>
        <w:tc>
          <w:tcPr>
            <w:tcW w:w="2490" w:type="dxa"/>
            <w:vAlign w:val="center"/>
          </w:tcPr>
          <w:p>
            <w:pPr>
              <w:ind w:firstLine="0" w:firstLineChars="0"/>
              <w:rPr>
                <w:rFonts w:cs="Times New Roman" w:eastAsiaTheme="minorEastAsia"/>
                <w:szCs w:val="24"/>
              </w:rPr>
            </w:pPr>
            <w:r>
              <w:rPr>
                <w:rFonts w:cs="Times New Roman" w:eastAsiaTheme="minorEastAsia"/>
                <w:szCs w:val="24"/>
              </w:rPr>
              <w:t>KGBJ2-86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10</w:t>
            </w:r>
          </w:p>
        </w:tc>
        <w:tc>
          <w:tcPr>
            <w:tcW w:w="4798" w:type="dxa"/>
            <w:vAlign w:val="center"/>
          </w:tcPr>
          <w:p>
            <w:pPr>
              <w:ind w:firstLine="0" w:firstLineChars="0"/>
              <w:rPr>
                <w:rFonts w:cs="Times New Roman" w:eastAsiaTheme="minorEastAsia"/>
                <w:szCs w:val="24"/>
              </w:rPr>
            </w:pPr>
            <w:r>
              <w:rPr>
                <w:rFonts w:cs="Times New Roman" w:eastAsiaTheme="minorEastAsia"/>
                <w:szCs w:val="24"/>
              </w:rPr>
              <w:t>《给水排水工程结构设计规范》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KGBJ69-84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11</w:t>
            </w:r>
          </w:p>
        </w:tc>
        <w:tc>
          <w:tcPr>
            <w:tcW w:w="4798" w:type="dxa"/>
            <w:vAlign w:val="center"/>
          </w:tcPr>
          <w:p>
            <w:pPr>
              <w:ind w:firstLine="0" w:firstLineChars="0"/>
              <w:rPr>
                <w:rFonts w:cs="Times New Roman" w:eastAsiaTheme="minorEastAsia"/>
                <w:szCs w:val="24"/>
              </w:rPr>
            </w:pPr>
            <w:r>
              <w:rPr>
                <w:rFonts w:cs="Times New Roman" w:eastAsiaTheme="minorEastAsia"/>
                <w:szCs w:val="24"/>
              </w:rPr>
              <w:t>《地下工程防水技术规范》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KGBJ108-87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12</w:t>
            </w:r>
          </w:p>
        </w:tc>
        <w:tc>
          <w:tcPr>
            <w:tcW w:w="4798" w:type="dxa"/>
            <w:vAlign w:val="center"/>
          </w:tcPr>
          <w:p>
            <w:pPr>
              <w:ind w:firstLine="0" w:firstLineChars="0"/>
              <w:rPr>
                <w:rFonts w:cs="Times New Roman" w:eastAsiaTheme="minorEastAsia"/>
                <w:szCs w:val="24"/>
              </w:rPr>
            </w:pPr>
            <w:r>
              <w:rPr>
                <w:rFonts w:cs="Times New Roman" w:eastAsiaTheme="minorEastAsia"/>
                <w:szCs w:val="24"/>
              </w:rPr>
              <w:t>《工业厂房建筑模数协调标准》</w:t>
            </w:r>
          </w:p>
        </w:tc>
        <w:tc>
          <w:tcPr>
            <w:tcW w:w="2490" w:type="dxa"/>
            <w:vAlign w:val="center"/>
          </w:tcPr>
          <w:p>
            <w:pPr>
              <w:ind w:firstLine="0" w:firstLineChars="0"/>
              <w:rPr>
                <w:rFonts w:cs="Times New Roman" w:eastAsiaTheme="minorEastAsia"/>
                <w:szCs w:val="24"/>
              </w:rPr>
            </w:pPr>
            <w:r>
              <w:rPr>
                <w:rFonts w:cs="Times New Roman" w:eastAsiaTheme="minorEastAsia"/>
                <w:szCs w:val="24"/>
              </w:rPr>
              <w:t>KGB16-86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 w:type="dxa"/>
            <w:vAlign w:val="center"/>
          </w:tcPr>
          <w:p>
            <w:pPr>
              <w:ind w:firstLine="0" w:firstLineChars="0"/>
              <w:jc w:val="center"/>
              <w:rPr>
                <w:rFonts w:cs="Times New Roman" w:eastAsiaTheme="minorEastAsia"/>
                <w:szCs w:val="24"/>
              </w:rPr>
            </w:pPr>
            <w:r>
              <w:rPr>
                <w:rFonts w:cs="Times New Roman" w:eastAsiaTheme="minorEastAsia"/>
                <w:szCs w:val="24"/>
              </w:rPr>
              <w:t>13</w:t>
            </w:r>
          </w:p>
        </w:tc>
        <w:tc>
          <w:tcPr>
            <w:tcW w:w="4798" w:type="dxa"/>
            <w:vAlign w:val="center"/>
          </w:tcPr>
          <w:p>
            <w:pPr>
              <w:ind w:firstLine="0" w:firstLineChars="0"/>
              <w:rPr>
                <w:rFonts w:cs="Times New Roman" w:eastAsiaTheme="minorEastAsia"/>
                <w:szCs w:val="24"/>
              </w:rPr>
            </w:pPr>
            <w:r>
              <w:rPr>
                <w:rFonts w:cs="Times New Roman" w:eastAsiaTheme="minorEastAsia"/>
                <w:szCs w:val="24"/>
              </w:rPr>
              <w:t>《建筑设计防火规范》</w:t>
            </w:r>
          </w:p>
        </w:tc>
        <w:tc>
          <w:tcPr>
            <w:tcW w:w="2490" w:type="dxa"/>
            <w:vAlign w:val="center"/>
          </w:tcPr>
          <w:p>
            <w:pPr>
              <w:ind w:firstLine="0" w:firstLineChars="0"/>
              <w:rPr>
                <w:rFonts w:cs="Times New Roman" w:eastAsiaTheme="minorEastAsia"/>
                <w:szCs w:val="24"/>
              </w:rPr>
            </w:pPr>
            <w:r>
              <w:rPr>
                <w:rFonts w:cs="Times New Roman" w:eastAsiaTheme="minorEastAsia"/>
                <w:szCs w:val="24"/>
              </w:rPr>
              <w:t>KGBJ16-87</w:t>
            </w:r>
          </w:p>
        </w:tc>
      </w:tr>
    </w:tbl>
    <w:p>
      <w:pPr>
        <w:pStyle w:val="4"/>
        <w:keepNext w:val="0"/>
        <w:keepLines w:val="0"/>
        <w:spacing w:beforeLines="0" w:afterLines="0"/>
        <w:ind w:firstLine="0" w:firstLineChars="0"/>
        <w:jc w:val="left"/>
        <w:rPr>
          <w:rFonts w:cs="Times New Roman"/>
          <w:sz w:val="28"/>
          <w:szCs w:val="28"/>
        </w:rPr>
      </w:pPr>
      <w:bookmarkStart w:id="125" w:name="_Toc518055168"/>
      <w:bookmarkStart w:id="126" w:name="_Toc459884223"/>
      <w:bookmarkStart w:id="127" w:name="_Toc459885117"/>
      <w:bookmarkStart w:id="128" w:name="_Toc73367170"/>
      <w:r>
        <w:rPr>
          <w:rFonts w:cs="Times New Roman"/>
          <w:sz w:val="28"/>
          <w:szCs w:val="28"/>
        </w:rPr>
        <w:t>5.4给排水设计</w:t>
      </w:r>
      <w:bookmarkEnd w:id="125"/>
      <w:bookmarkEnd w:id="126"/>
      <w:bookmarkEnd w:id="127"/>
      <w:bookmarkEnd w:id="128"/>
    </w:p>
    <w:p>
      <w:pPr>
        <w:ind w:firstLine="0" w:firstLineChars="0"/>
        <w:outlineLvl w:val="2"/>
        <w:rPr>
          <w:rFonts w:cs="Times New Roman"/>
          <w:b/>
          <w:sz w:val="28"/>
          <w:szCs w:val="28"/>
        </w:rPr>
      </w:pPr>
      <w:bookmarkStart w:id="129" w:name="_Toc73367171"/>
      <w:r>
        <w:rPr>
          <w:rFonts w:cs="Times New Roman"/>
          <w:b/>
          <w:sz w:val="28"/>
          <w:szCs w:val="28"/>
        </w:rPr>
        <w:t>5.4.1给水</w:t>
      </w:r>
      <w:bookmarkEnd w:id="129"/>
    </w:p>
    <w:p>
      <w:pPr>
        <w:ind w:firstLine="560"/>
        <w:rPr>
          <w:rFonts w:cs="Times New Roman" w:eastAsiaTheme="minorEastAsia"/>
          <w:sz w:val="28"/>
          <w:szCs w:val="28"/>
        </w:rPr>
      </w:pPr>
      <w:r>
        <w:rPr>
          <w:rFonts w:cs="Times New Roman" w:eastAsiaTheme="minorEastAsia"/>
          <w:sz w:val="28"/>
          <w:szCs w:val="28"/>
        </w:rPr>
        <w:t>处理厂区内给水管接自市政自来水管，同时考虑接工业水和消防水。本系统内给水管道采用地下敷设，供给系统内药剂溶配和其它生活用水、设备冲洗水、地面冲洗水等。</w:t>
      </w:r>
    </w:p>
    <w:p>
      <w:pPr>
        <w:ind w:firstLine="0" w:firstLineChars="0"/>
        <w:outlineLvl w:val="2"/>
        <w:rPr>
          <w:rFonts w:cs="Times New Roman"/>
          <w:b/>
          <w:sz w:val="28"/>
          <w:szCs w:val="28"/>
        </w:rPr>
      </w:pPr>
      <w:bookmarkStart w:id="130" w:name="_Toc73367172"/>
      <w:r>
        <w:rPr>
          <w:rFonts w:cs="Times New Roman"/>
          <w:b/>
          <w:sz w:val="28"/>
          <w:szCs w:val="28"/>
        </w:rPr>
        <w:t>5.4.2排水</w:t>
      </w:r>
      <w:bookmarkEnd w:id="130"/>
    </w:p>
    <w:p>
      <w:pPr>
        <w:ind w:firstLine="560"/>
        <w:rPr>
          <w:rFonts w:cs="Times New Roman" w:eastAsiaTheme="minorEastAsia"/>
          <w:sz w:val="28"/>
          <w:szCs w:val="28"/>
        </w:rPr>
      </w:pPr>
      <w:r>
        <w:rPr>
          <w:rFonts w:cs="Times New Roman" w:eastAsiaTheme="minorEastAsia"/>
          <w:sz w:val="28"/>
          <w:szCs w:val="28"/>
        </w:rPr>
        <w:t>污水站内采用雨污分流制。雨水排入雨水管网</w:t>
      </w:r>
      <w:r>
        <w:rPr>
          <w:rFonts w:hint="eastAsia" w:cs="Times New Roman" w:eastAsiaTheme="minorEastAsia"/>
          <w:sz w:val="28"/>
          <w:szCs w:val="28"/>
        </w:rPr>
        <w:t>，</w:t>
      </w:r>
      <w:r>
        <w:rPr>
          <w:rFonts w:cs="Times New Roman" w:eastAsiaTheme="minorEastAsia"/>
          <w:sz w:val="28"/>
          <w:szCs w:val="28"/>
        </w:rPr>
        <w:t>污水经过处理后达标排放</w:t>
      </w:r>
      <w:r>
        <w:rPr>
          <w:rFonts w:hint="eastAsia" w:cs="Times New Roman" w:eastAsiaTheme="minorEastAsia"/>
          <w:sz w:val="28"/>
          <w:szCs w:val="28"/>
        </w:rPr>
        <w:t>。</w:t>
      </w:r>
    </w:p>
    <w:p>
      <w:pPr>
        <w:pStyle w:val="4"/>
        <w:keepNext w:val="0"/>
        <w:keepLines w:val="0"/>
        <w:spacing w:beforeLines="0" w:afterLines="0"/>
        <w:ind w:firstLine="0" w:firstLineChars="0"/>
        <w:jc w:val="left"/>
        <w:rPr>
          <w:rFonts w:cs="Times New Roman"/>
          <w:sz w:val="28"/>
          <w:szCs w:val="28"/>
        </w:rPr>
      </w:pPr>
      <w:bookmarkStart w:id="131" w:name="_Toc459885118"/>
      <w:bookmarkStart w:id="132" w:name="_Toc459884224"/>
      <w:bookmarkStart w:id="133" w:name="_Toc518055169"/>
      <w:bookmarkStart w:id="134" w:name="_Toc73367173"/>
      <w:r>
        <w:rPr>
          <w:rFonts w:cs="Times New Roman"/>
          <w:sz w:val="28"/>
          <w:szCs w:val="28"/>
        </w:rPr>
        <w:t>5.5总平面布置及建筑设计</w:t>
      </w:r>
      <w:bookmarkEnd w:id="131"/>
      <w:bookmarkEnd w:id="132"/>
      <w:bookmarkEnd w:id="133"/>
      <w:bookmarkEnd w:id="134"/>
    </w:p>
    <w:p>
      <w:pPr>
        <w:ind w:firstLine="560"/>
        <w:rPr>
          <w:rFonts w:cs="Times New Roman" w:eastAsiaTheme="minorEastAsia"/>
          <w:sz w:val="28"/>
          <w:szCs w:val="28"/>
        </w:rPr>
      </w:pPr>
      <w:r>
        <w:rPr>
          <w:rFonts w:cs="Times New Roman" w:eastAsiaTheme="minorEastAsia"/>
          <w:sz w:val="28"/>
          <w:szCs w:val="28"/>
        </w:rPr>
        <w:t>渗滤液处理车间包括污水预处理、生化处理、污泥处理和深度处理处理设备；</w:t>
      </w:r>
    </w:p>
    <w:p>
      <w:pPr>
        <w:ind w:firstLine="560"/>
        <w:rPr>
          <w:rFonts w:cs="Times New Roman" w:eastAsiaTheme="minorEastAsia"/>
          <w:sz w:val="28"/>
          <w:szCs w:val="28"/>
        </w:rPr>
      </w:pPr>
      <w:r>
        <w:rPr>
          <w:rFonts w:cs="Times New Roman" w:eastAsiaTheme="minorEastAsia"/>
          <w:sz w:val="28"/>
          <w:szCs w:val="28"/>
        </w:rPr>
        <w:t>各处理构筑之间的间距，考虑到各种管渠施工及维修方便；</w:t>
      </w:r>
    </w:p>
    <w:p>
      <w:pPr>
        <w:ind w:firstLine="560"/>
        <w:rPr>
          <w:rFonts w:cs="Times New Roman" w:eastAsiaTheme="minorEastAsia"/>
          <w:sz w:val="28"/>
          <w:szCs w:val="28"/>
        </w:rPr>
      </w:pPr>
      <w:r>
        <w:rPr>
          <w:rFonts w:cs="Times New Roman" w:eastAsiaTheme="minorEastAsia"/>
          <w:sz w:val="28"/>
          <w:szCs w:val="28"/>
        </w:rPr>
        <w:t>考虑人流、物流运输方便，主次道路分工明确；</w:t>
      </w:r>
    </w:p>
    <w:p>
      <w:pPr>
        <w:ind w:firstLine="560"/>
        <w:rPr>
          <w:rFonts w:cs="Times New Roman" w:eastAsiaTheme="minorEastAsia"/>
          <w:sz w:val="28"/>
          <w:szCs w:val="28"/>
        </w:rPr>
      </w:pPr>
      <w:r>
        <w:rPr>
          <w:rFonts w:cs="Times New Roman" w:eastAsiaTheme="minorEastAsia"/>
          <w:sz w:val="28"/>
          <w:szCs w:val="28"/>
        </w:rPr>
        <w:t>设置回流管、超越管和事故排放管，以便操作管理灵活方便，构筑物尽可能重力排置。</w:t>
      </w:r>
    </w:p>
    <w:p>
      <w:pPr>
        <w:pStyle w:val="2"/>
        <w:ind w:firstLine="560"/>
        <w:rPr>
          <w:sz w:val="28"/>
          <w:szCs w:val="28"/>
        </w:rPr>
      </w:pPr>
      <w:r>
        <w:rPr>
          <w:sz w:val="28"/>
          <w:szCs w:val="28"/>
        </w:rPr>
        <w:t>建筑设计按照相关标准</w:t>
      </w:r>
      <w:r>
        <w:rPr>
          <w:rFonts w:hint="eastAsia"/>
          <w:sz w:val="28"/>
          <w:szCs w:val="28"/>
        </w:rPr>
        <w:t>，</w:t>
      </w:r>
      <w:r>
        <w:rPr>
          <w:sz w:val="28"/>
          <w:szCs w:val="28"/>
        </w:rPr>
        <w:t>遵循节能环保的理念</w:t>
      </w:r>
      <w:r>
        <w:rPr>
          <w:rFonts w:hint="eastAsia"/>
          <w:sz w:val="28"/>
          <w:szCs w:val="28"/>
        </w:rPr>
        <w:t>，</w:t>
      </w:r>
      <w:r>
        <w:rPr>
          <w:sz w:val="28"/>
          <w:szCs w:val="28"/>
        </w:rPr>
        <w:t>风格与转运站的整体风格相一致</w:t>
      </w:r>
      <w:r>
        <w:rPr>
          <w:rFonts w:hint="eastAsia"/>
          <w:sz w:val="28"/>
          <w:szCs w:val="28"/>
        </w:rPr>
        <w:t>。</w:t>
      </w:r>
    </w:p>
    <w:p>
      <w:pPr>
        <w:pStyle w:val="4"/>
        <w:keepNext w:val="0"/>
        <w:keepLines w:val="0"/>
        <w:spacing w:beforeLines="0" w:afterLines="0"/>
        <w:ind w:firstLine="0" w:firstLineChars="0"/>
        <w:jc w:val="left"/>
        <w:rPr>
          <w:rFonts w:cs="Times New Roman"/>
          <w:sz w:val="28"/>
          <w:szCs w:val="28"/>
        </w:rPr>
      </w:pPr>
      <w:bookmarkStart w:id="135" w:name="_Toc459885119"/>
      <w:bookmarkStart w:id="136" w:name="_Toc518055170"/>
      <w:bookmarkStart w:id="137" w:name="_Toc459884225"/>
      <w:bookmarkStart w:id="138" w:name="_Toc73367174"/>
      <w:r>
        <w:rPr>
          <w:rFonts w:cs="Times New Roman"/>
          <w:sz w:val="28"/>
          <w:szCs w:val="28"/>
        </w:rPr>
        <w:t>5.6环保、安全、劳动保护</w:t>
      </w:r>
      <w:bookmarkEnd w:id="135"/>
      <w:bookmarkEnd w:id="136"/>
      <w:bookmarkEnd w:id="137"/>
      <w:bookmarkEnd w:id="138"/>
    </w:p>
    <w:p>
      <w:pPr>
        <w:ind w:firstLine="0" w:firstLineChars="0"/>
        <w:outlineLvl w:val="2"/>
        <w:rPr>
          <w:rFonts w:cs="Times New Roman"/>
          <w:b/>
          <w:sz w:val="28"/>
          <w:szCs w:val="28"/>
        </w:rPr>
      </w:pPr>
      <w:bookmarkStart w:id="139" w:name="_Toc73367175"/>
      <w:r>
        <w:rPr>
          <w:rFonts w:cs="Times New Roman"/>
          <w:b/>
          <w:sz w:val="28"/>
          <w:szCs w:val="28"/>
        </w:rPr>
        <w:t>5.6.1环保</w:t>
      </w:r>
      <w:bookmarkEnd w:id="139"/>
    </w:p>
    <w:p>
      <w:pPr>
        <w:ind w:firstLine="560"/>
        <w:rPr>
          <w:rFonts w:cs="Times New Roman" w:eastAsiaTheme="minorEastAsia"/>
          <w:sz w:val="28"/>
          <w:szCs w:val="28"/>
        </w:rPr>
      </w:pPr>
      <w:r>
        <w:rPr>
          <w:rFonts w:cs="Times New Roman" w:eastAsiaTheme="minorEastAsia"/>
          <w:sz w:val="28"/>
          <w:szCs w:val="28"/>
        </w:rPr>
        <w:t>建设废水处理站的目的在于改善和保护环境，造福人民。但它作为一个特殊的生产单位，建成后对周围的环境也产生一定的影响，为将影响降至最低限度，满足环境保护要求。设计时拟采用以下具体措施。</w:t>
      </w:r>
    </w:p>
    <w:p>
      <w:pPr>
        <w:ind w:firstLine="560"/>
        <w:rPr>
          <w:rFonts w:cs="Times New Roman" w:eastAsiaTheme="minorEastAsia"/>
          <w:sz w:val="28"/>
          <w:szCs w:val="28"/>
        </w:rPr>
      </w:pPr>
      <w:r>
        <w:rPr>
          <w:rFonts w:cs="Times New Roman" w:eastAsiaTheme="minorEastAsia"/>
          <w:sz w:val="28"/>
          <w:szCs w:val="28"/>
        </w:rPr>
        <w:t>厂区内生产废水通过污水管道汇集于本厂集水井，随处理工艺流程进行处理。</w:t>
      </w:r>
    </w:p>
    <w:p>
      <w:pPr>
        <w:ind w:firstLine="560"/>
        <w:rPr>
          <w:rFonts w:cs="Times New Roman" w:eastAsiaTheme="minorEastAsia"/>
          <w:sz w:val="28"/>
          <w:szCs w:val="28"/>
        </w:rPr>
      </w:pPr>
      <w:r>
        <w:rPr>
          <w:rFonts w:cs="Times New Roman" w:eastAsiaTheme="minorEastAsia"/>
          <w:sz w:val="28"/>
          <w:szCs w:val="28"/>
        </w:rPr>
        <w:t>废水处理后排出，出水水质符合城市污水再生利用工业用水水质的相关排放标准。</w:t>
      </w:r>
    </w:p>
    <w:p>
      <w:pPr>
        <w:ind w:firstLine="560"/>
        <w:rPr>
          <w:rFonts w:cs="Times New Roman" w:eastAsiaTheme="minorEastAsia"/>
          <w:sz w:val="28"/>
          <w:szCs w:val="28"/>
        </w:rPr>
      </w:pPr>
      <w:r>
        <w:rPr>
          <w:rFonts w:cs="Times New Roman" w:eastAsiaTheme="minorEastAsia"/>
          <w:sz w:val="28"/>
          <w:szCs w:val="28"/>
        </w:rPr>
        <w:t>水处理工艺中排出的污泥经浓缩脱水后形成泥饼，可运至垃圾仓。</w:t>
      </w:r>
    </w:p>
    <w:p>
      <w:pPr>
        <w:ind w:firstLine="560"/>
        <w:rPr>
          <w:rFonts w:cs="Times New Roman" w:eastAsiaTheme="minorEastAsia"/>
          <w:sz w:val="28"/>
          <w:szCs w:val="28"/>
        </w:rPr>
      </w:pPr>
      <w:r>
        <w:rPr>
          <w:rFonts w:cs="Times New Roman" w:eastAsiaTheme="minorEastAsia"/>
          <w:sz w:val="28"/>
          <w:szCs w:val="28"/>
        </w:rPr>
        <w:t>鼓风机为本工程的强噪声源，为降低噪声污染，在鼓风机进出风口上设消音器，在机房进行建筑吸音降噪处理。机房与值班室分隔，设双层窗、密封门，保护值班人员不受噪声危害。</w:t>
      </w:r>
    </w:p>
    <w:p>
      <w:pPr>
        <w:ind w:firstLine="560"/>
        <w:rPr>
          <w:rFonts w:cs="Times New Roman" w:eastAsiaTheme="minorEastAsia"/>
          <w:sz w:val="28"/>
          <w:szCs w:val="28"/>
        </w:rPr>
      </w:pPr>
      <w:r>
        <w:rPr>
          <w:rFonts w:cs="Times New Roman" w:eastAsiaTheme="minorEastAsia"/>
          <w:sz w:val="28"/>
          <w:szCs w:val="28"/>
        </w:rPr>
        <w:t>在污水处理站建筑物周围道路两旁种植花草，以美化厂区环境。</w:t>
      </w:r>
    </w:p>
    <w:p>
      <w:pPr>
        <w:ind w:firstLine="0" w:firstLineChars="0"/>
        <w:outlineLvl w:val="2"/>
        <w:rPr>
          <w:rFonts w:cs="Times New Roman"/>
          <w:b/>
          <w:sz w:val="28"/>
          <w:szCs w:val="28"/>
        </w:rPr>
      </w:pPr>
      <w:bookmarkStart w:id="140" w:name="_Toc73367176"/>
      <w:r>
        <w:rPr>
          <w:rFonts w:cs="Times New Roman"/>
          <w:b/>
          <w:sz w:val="28"/>
          <w:szCs w:val="28"/>
        </w:rPr>
        <w:t>5.6.2 安全</w:t>
      </w:r>
      <w:bookmarkEnd w:id="140"/>
    </w:p>
    <w:p>
      <w:pPr>
        <w:ind w:firstLine="560"/>
        <w:rPr>
          <w:rFonts w:cs="Times New Roman" w:eastAsiaTheme="minorEastAsia"/>
          <w:sz w:val="28"/>
          <w:szCs w:val="28"/>
        </w:rPr>
      </w:pPr>
      <w:r>
        <w:rPr>
          <w:rFonts w:cs="Times New Roman" w:eastAsiaTheme="minorEastAsia"/>
          <w:sz w:val="28"/>
          <w:szCs w:val="28"/>
        </w:rPr>
        <w:t>经分析，污水处理站不安全因素主要由以下：</w:t>
      </w:r>
    </w:p>
    <w:p>
      <w:pPr>
        <w:ind w:firstLine="560"/>
        <w:rPr>
          <w:rFonts w:cs="Times New Roman" w:eastAsiaTheme="minorEastAsia"/>
          <w:sz w:val="28"/>
          <w:szCs w:val="28"/>
        </w:rPr>
      </w:pPr>
      <w:r>
        <w:rPr>
          <w:rFonts w:cs="Times New Roman"/>
          <w:sz w:val="28"/>
          <w:szCs w:val="28"/>
        </w:rPr>
        <w:t>（1）</w:t>
      </w:r>
      <w:r>
        <w:rPr>
          <w:rFonts w:cs="Times New Roman" w:eastAsiaTheme="minorEastAsia"/>
          <w:sz w:val="28"/>
          <w:szCs w:val="28"/>
        </w:rPr>
        <w:t>触电事故</w:t>
      </w:r>
    </w:p>
    <w:p>
      <w:pPr>
        <w:ind w:firstLine="560"/>
        <w:rPr>
          <w:rFonts w:cs="Times New Roman" w:eastAsiaTheme="minorEastAsia"/>
          <w:sz w:val="28"/>
          <w:szCs w:val="28"/>
        </w:rPr>
      </w:pPr>
      <w:r>
        <w:rPr>
          <w:rFonts w:cs="Times New Roman" w:eastAsiaTheme="minorEastAsia"/>
          <w:sz w:val="28"/>
          <w:szCs w:val="28"/>
        </w:rPr>
        <w:t>给排水工程中，大型用电器具很多，当工人不按安全操作规程操作或一些用电设备、机电设备维修不及时，均有可能造成触电事故。</w:t>
      </w:r>
    </w:p>
    <w:p>
      <w:pPr>
        <w:ind w:firstLine="560"/>
        <w:rPr>
          <w:rFonts w:cs="Times New Roman" w:eastAsiaTheme="minorEastAsia"/>
          <w:sz w:val="28"/>
          <w:szCs w:val="28"/>
        </w:rPr>
      </w:pPr>
      <w:r>
        <w:rPr>
          <w:rFonts w:cs="Times New Roman"/>
          <w:sz w:val="28"/>
          <w:szCs w:val="28"/>
        </w:rPr>
        <w:t>（2）</w:t>
      </w:r>
      <w:r>
        <w:rPr>
          <w:rFonts w:cs="Times New Roman" w:eastAsiaTheme="minorEastAsia"/>
          <w:sz w:val="28"/>
          <w:szCs w:val="28"/>
        </w:rPr>
        <w:t>意外伤亡</w:t>
      </w:r>
    </w:p>
    <w:p>
      <w:pPr>
        <w:ind w:firstLine="560"/>
        <w:rPr>
          <w:rFonts w:cs="Times New Roman" w:eastAsiaTheme="minorEastAsia"/>
          <w:sz w:val="28"/>
          <w:szCs w:val="28"/>
        </w:rPr>
      </w:pPr>
      <w:r>
        <w:rPr>
          <w:rFonts w:cs="Times New Roman" w:eastAsiaTheme="minorEastAsia"/>
          <w:sz w:val="28"/>
          <w:szCs w:val="28"/>
        </w:rPr>
        <w:t>每个生产维修车间，工序作业时，工人操作不慎，可能造成机械损伤和其他事故。</w:t>
      </w:r>
    </w:p>
    <w:p>
      <w:pPr>
        <w:ind w:firstLine="560"/>
        <w:rPr>
          <w:rFonts w:cs="Times New Roman" w:eastAsiaTheme="minorEastAsia"/>
          <w:sz w:val="28"/>
          <w:szCs w:val="28"/>
        </w:rPr>
      </w:pPr>
      <w:r>
        <w:rPr>
          <w:rFonts w:cs="Times New Roman"/>
          <w:sz w:val="28"/>
          <w:szCs w:val="28"/>
        </w:rPr>
        <w:t>（3）</w:t>
      </w:r>
      <w:r>
        <w:rPr>
          <w:rFonts w:cs="Times New Roman" w:eastAsiaTheme="minorEastAsia"/>
          <w:sz w:val="28"/>
          <w:szCs w:val="28"/>
        </w:rPr>
        <w:t>职业危害</w:t>
      </w:r>
    </w:p>
    <w:p>
      <w:pPr>
        <w:ind w:firstLine="560"/>
        <w:rPr>
          <w:rFonts w:cs="Times New Roman" w:eastAsiaTheme="minorEastAsia"/>
          <w:sz w:val="28"/>
          <w:szCs w:val="28"/>
        </w:rPr>
      </w:pPr>
      <w:r>
        <w:rPr>
          <w:rFonts w:cs="Times New Roman" w:eastAsiaTheme="minorEastAsia"/>
          <w:sz w:val="28"/>
          <w:szCs w:val="28"/>
        </w:rPr>
        <w:t>本工程项目职业危害主要有：机电设备的噪声和生化池的臭味。</w:t>
      </w:r>
    </w:p>
    <w:p>
      <w:pPr>
        <w:ind w:firstLine="560"/>
        <w:rPr>
          <w:rFonts w:cs="Times New Roman" w:eastAsiaTheme="minorEastAsia"/>
          <w:sz w:val="28"/>
          <w:szCs w:val="28"/>
        </w:rPr>
      </w:pPr>
      <w:r>
        <w:rPr>
          <w:rFonts w:cs="Times New Roman" w:eastAsiaTheme="minorEastAsia"/>
          <w:sz w:val="28"/>
          <w:szCs w:val="28"/>
        </w:rPr>
        <w:t>主要安全措施如下：</w:t>
      </w:r>
    </w:p>
    <w:p>
      <w:pPr>
        <w:ind w:firstLine="560"/>
        <w:rPr>
          <w:rFonts w:cs="Times New Roman" w:eastAsiaTheme="minorEastAsia"/>
          <w:sz w:val="28"/>
          <w:szCs w:val="28"/>
        </w:rPr>
      </w:pPr>
      <w:r>
        <w:rPr>
          <w:rFonts w:cs="Times New Roman" w:eastAsiaTheme="minorEastAsia"/>
          <w:sz w:val="28"/>
          <w:szCs w:val="28"/>
        </w:rPr>
        <w:t>在污水处理厂运转之前，应对各操作人员进行培训，制定必要的安全操作规程和管理制度，并张榜上墙，使每个人都有安全意识，牢记安全规程，时时刻刻将不安全的隐患消灭于萌芽状态。</w:t>
      </w:r>
    </w:p>
    <w:p>
      <w:pPr>
        <w:ind w:firstLine="560"/>
        <w:rPr>
          <w:rFonts w:cs="Times New Roman" w:eastAsiaTheme="minorEastAsia"/>
          <w:sz w:val="28"/>
          <w:szCs w:val="28"/>
        </w:rPr>
      </w:pPr>
      <w:r>
        <w:rPr>
          <w:rFonts w:cs="Times New Roman" w:eastAsiaTheme="minorEastAsia"/>
          <w:sz w:val="28"/>
          <w:szCs w:val="28"/>
        </w:rPr>
        <w:t>各处理构筑物的平台走道和临空天桥均设置保护栏杆，栏杆高度和强度应符合国家劳动保护规定。</w:t>
      </w:r>
    </w:p>
    <w:p>
      <w:pPr>
        <w:ind w:firstLine="560"/>
        <w:rPr>
          <w:rFonts w:cs="Times New Roman" w:eastAsiaTheme="minorEastAsia"/>
          <w:sz w:val="28"/>
          <w:szCs w:val="28"/>
        </w:rPr>
      </w:pPr>
      <w:r>
        <w:rPr>
          <w:rFonts w:cs="Times New Roman" w:eastAsiaTheme="minorEastAsia"/>
          <w:sz w:val="28"/>
          <w:szCs w:val="28"/>
        </w:rPr>
        <w:t>在泵房、风机房、化验室等建筑物内设置通风系统。</w:t>
      </w:r>
    </w:p>
    <w:p>
      <w:pPr>
        <w:ind w:firstLine="560"/>
        <w:rPr>
          <w:rFonts w:cs="Times New Roman" w:eastAsiaTheme="minorEastAsia"/>
          <w:sz w:val="28"/>
          <w:szCs w:val="28"/>
        </w:rPr>
      </w:pPr>
      <w:r>
        <w:rPr>
          <w:rFonts w:cs="Times New Roman" w:eastAsiaTheme="minorEastAsia"/>
          <w:sz w:val="28"/>
          <w:szCs w:val="28"/>
        </w:rPr>
        <w:t>在站内须配置安全帽、安全带等抢救器材和工具箱等劳动保护设备，在构筑物边应备有救生圈，救生衣等救生设备，以防万一。</w:t>
      </w:r>
    </w:p>
    <w:p>
      <w:pPr>
        <w:ind w:firstLine="560"/>
        <w:rPr>
          <w:rFonts w:cs="Times New Roman" w:eastAsiaTheme="minorEastAsia"/>
          <w:sz w:val="28"/>
          <w:szCs w:val="28"/>
        </w:rPr>
      </w:pPr>
      <w:r>
        <w:rPr>
          <w:rFonts w:cs="Times New Roman" w:eastAsiaTheme="minorEastAsia"/>
          <w:sz w:val="28"/>
          <w:szCs w:val="28"/>
        </w:rPr>
        <w:t>站内的管道、闸阀须设闸阀井，操作杆接至地面，以便操作。</w:t>
      </w:r>
    </w:p>
    <w:p>
      <w:pPr>
        <w:ind w:firstLine="560"/>
        <w:rPr>
          <w:rFonts w:cs="Times New Roman" w:eastAsiaTheme="minorEastAsia"/>
          <w:sz w:val="28"/>
          <w:szCs w:val="28"/>
        </w:rPr>
      </w:pPr>
      <w:r>
        <w:rPr>
          <w:rFonts w:cs="Times New Roman" w:eastAsiaTheme="minorEastAsia"/>
          <w:sz w:val="28"/>
          <w:szCs w:val="28"/>
        </w:rPr>
        <w:t>所有电气设备的安装，防护，须满足电器设备有关安全规定。设备的布置留有足够安全操作距离。</w:t>
      </w:r>
    </w:p>
    <w:p>
      <w:pPr>
        <w:ind w:firstLine="560"/>
        <w:rPr>
          <w:rFonts w:cs="Times New Roman" w:eastAsiaTheme="minorEastAsia"/>
          <w:sz w:val="28"/>
          <w:szCs w:val="28"/>
        </w:rPr>
      </w:pPr>
      <w:r>
        <w:rPr>
          <w:rFonts w:cs="Times New Roman" w:eastAsiaTheme="minorEastAsia"/>
          <w:sz w:val="28"/>
          <w:szCs w:val="28"/>
        </w:rPr>
        <w:t>容易产生噪声的设备、设置隔振垫，同时将管理用房与机房分开，并采取有效的隔声措施如隔声罩。</w:t>
      </w:r>
    </w:p>
    <w:p>
      <w:pPr>
        <w:ind w:firstLine="560"/>
        <w:rPr>
          <w:rFonts w:cs="Times New Roman" w:eastAsiaTheme="minorEastAsia"/>
          <w:sz w:val="28"/>
          <w:szCs w:val="28"/>
        </w:rPr>
      </w:pPr>
      <w:r>
        <w:rPr>
          <w:rFonts w:cs="Times New Roman" w:eastAsiaTheme="minorEastAsia"/>
          <w:sz w:val="28"/>
          <w:szCs w:val="28"/>
        </w:rPr>
        <w:t>化验试剂由专人负责管理。</w:t>
      </w:r>
    </w:p>
    <w:p>
      <w:pPr>
        <w:ind w:firstLine="560"/>
        <w:rPr>
          <w:rFonts w:cs="Times New Roman" w:eastAsiaTheme="minorEastAsia"/>
          <w:sz w:val="28"/>
          <w:szCs w:val="28"/>
        </w:rPr>
      </w:pPr>
      <w:r>
        <w:rPr>
          <w:rFonts w:cs="Times New Roman" w:eastAsiaTheme="minorEastAsia"/>
          <w:sz w:val="28"/>
          <w:szCs w:val="28"/>
        </w:rPr>
        <w:t>水池需检、维修时，应对池子进行换气通风。</w:t>
      </w:r>
    </w:p>
    <w:p>
      <w:pPr>
        <w:ind w:firstLine="560"/>
        <w:rPr>
          <w:rFonts w:cs="Times New Roman" w:eastAsiaTheme="minorEastAsia"/>
          <w:sz w:val="28"/>
          <w:szCs w:val="28"/>
        </w:rPr>
      </w:pPr>
      <w:r>
        <w:rPr>
          <w:rFonts w:cs="Times New Roman" w:eastAsiaTheme="minorEastAsia"/>
          <w:sz w:val="28"/>
          <w:szCs w:val="28"/>
        </w:rPr>
        <w:t>所有电气设备的安装、防护等均需满足电气设备安全的有关规定。</w:t>
      </w:r>
    </w:p>
    <w:p>
      <w:pPr>
        <w:ind w:firstLine="560"/>
        <w:rPr>
          <w:rFonts w:cs="Times New Roman" w:eastAsiaTheme="minorEastAsia"/>
          <w:sz w:val="28"/>
          <w:szCs w:val="28"/>
        </w:rPr>
      </w:pPr>
      <w:r>
        <w:rPr>
          <w:rFonts w:cs="Times New Roman" w:eastAsiaTheme="minorEastAsia"/>
          <w:sz w:val="28"/>
          <w:szCs w:val="28"/>
        </w:rPr>
        <w:t>对工艺过程中所需要的絮凝剂、消毒化学药品应严格管理，专人负责。</w:t>
      </w:r>
    </w:p>
    <w:p>
      <w:pPr>
        <w:ind w:firstLine="560"/>
        <w:rPr>
          <w:rFonts w:cs="Times New Roman" w:eastAsiaTheme="minorEastAsia"/>
          <w:sz w:val="28"/>
          <w:szCs w:val="28"/>
        </w:rPr>
      </w:pPr>
      <w:r>
        <w:rPr>
          <w:rFonts w:cs="Times New Roman" w:eastAsiaTheme="minorEastAsia"/>
          <w:sz w:val="28"/>
          <w:szCs w:val="28"/>
        </w:rPr>
        <w:t>浮物也应经常人工清扫，保持水流畅通。</w:t>
      </w:r>
    </w:p>
    <w:p>
      <w:pPr>
        <w:widowControl/>
        <w:spacing w:line="240" w:lineRule="auto"/>
        <w:ind w:firstLine="0" w:firstLineChars="0"/>
        <w:jc w:val="left"/>
        <w:rPr>
          <w:rFonts w:cs="Times New Roman" w:eastAsiaTheme="minorEastAsia"/>
        </w:rPr>
      </w:pPr>
    </w:p>
    <w:p>
      <w:pPr>
        <w:widowControl/>
        <w:spacing w:line="240" w:lineRule="auto"/>
        <w:ind w:firstLine="0" w:firstLineChars="0"/>
        <w:jc w:val="left"/>
        <w:rPr>
          <w:rFonts w:cs="Times New Roman" w:eastAsiaTheme="minorEastAsia"/>
        </w:rPr>
        <w:sectPr>
          <w:footerReference r:id="rId13" w:type="default"/>
          <w:pgSz w:w="11906" w:h="16838"/>
          <w:pgMar w:top="1440" w:right="1418" w:bottom="1440" w:left="1418" w:header="1077" w:footer="964" w:gutter="0"/>
          <w:pgNumType w:fmt="decimal"/>
          <w:cols w:space="425" w:num="1"/>
          <w:docGrid w:type="lines" w:linePitch="381" w:charSpace="0"/>
        </w:sectPr>
      </w:pPr>
      <w:r>
        <w:rPr>
          <w:rFonts w:cs="Times New Roman" w:eastAsiaTheme="minorEastAsia"/>
        </w:rPr>
        <w:br w:type="page"/>
      </w:r>
    </w:p>
    <w:p>
      <w:pPr>
        <w:pStyle w:val="3"/>
        <w:adjustRightInd w:val="0"/>
        <w:spacing w:beforeLines="0" w:afterLines="0" w:line="240" w:lineRule="auto"/>
        <w:ind w:firstLine="0" w:firstLineChars="0"/>
        <w:jc w:val="left"/>
        <w:textAlignment w:val="baseline"/>
        <w:rPr>
          <w:rFonts w:cs="Times New Roman"/>
          <w:bCs w:val="0"/>
          <w:szCs w:val="32"/>
        </w:rPr>
      </w:pPr>
      <w:bookmarkStart w:id="141" w:name="_Toc459884229"/>
      <w:bookmarkStart w:id="142" w:name="_Toc459885123"/>
      <w:bookmarkStart w:id="143" w:name="_Toc73367177"/>
      <w:bookmarkStart w:id="144" w:name="_Toc518055173"/>
      <w:bookmarkStart w:id="145" w:name="_Toc459884231"/>
      <w:bookmarkStart w:id="146" w:name="_Toc459885125"/>
      <w:r>
        <w:rPr>
          <w:rFonts w:cs="Times New Roman"/>
          <w:bCs w:val="0"/>
          <w:szCs w:val="32"/>
        </w:rPr>
        <w:t>六、</w:t>
      </w:r>
      <w:bookmarkEnd w:id="141"/>
      <w:bookmarkEnd w:id="142"/>
      <w:r>
        <w:rPr>
          <w:rFonts w:cs="Times New Roman"/>
          <w:bCs w:val="0"/>
          <w:szCs w:val="32"/>
        </w:rPr>
        <w:t>系统设备清单</w:t>
      </w:r>
      <w:bookmarkEnd w:id="143"/>
      <w:bookmarkEnd w:id="144"/>
    </w:p>
    <w:p>
      <w:pPr>
        <w:pStyle w:val="4"/>
        <w:keepNext w:val="0"/>
        <w:keepLines w:val="0"/>
        <w:spacing w:beforeLines="0" w:afterLines="0"/>
        <w:ind w:firstLine="0" w:firstLineChars="0"/>
        <w:jc w:val="left"/>
        <w:rPr>
          <w:rFonts w:cs="Times New Roman"/>
          <w:sz w:val="28"/>
          <w:szCs w:val="28"/>
        </w:rPr>
      </w:pPr>
      <w:bookmarkStart w:id="147" w:name="_Toc73367178"/>
      <w:r>
        <w:rPr>
          <w:rFonts w:hint="eastAsia" w:cs="Times New Roman"/>
          <w:sz w:val="28"/>
          <w:szCs w:val="28"/>
        </w:rPr>
        <w:t>6.1渗滤液处理主要建筑物/构筑物清单</w:t>
      </w:r>
      <w:bookmarkEnd w:id="147"/>
    </w:p>
    <w:p>
      <w:pPr>
        <w:pStyle w:val="4"/>
        <w:keepNext w:val="0"/>
        <w:keepLines w:val="0"/>
        <w:spacing w:beforeLines="0" w:afterLines="0"/>
        <w:ind w:firstLine="0" w:firstLineChars="0"/>
        <w:jc w:val="left"/>
        <w:rPr>
          <w:rFonts w:cs="Times New Roman"/>
          <w:sz w:val="28"/>
          <w:szCs w:val="28"/>
        </w:rPr>
      </w:pP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4343"/>
        <w:gridCol w:w="3530"/>
        <w:gridCol w:w="1292"/>
        <w:gridCol w:w="1728"/>
        <w:gridCol w:w="1295"/>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53" w:type="pct"/>
            <w:shd w:val="clear" w:color="auto" w:fill="C7DAF1" w:themeFill="text2" w:themeFillTint="32"/>
            <w:vAlign w:val="center"/>
          </w:tcPr>
          <w:p>
            <w:pPr>
              <w:adjustRightInd w:val="0"/>
              <w:snapToGrid w:val="0"/>
              <w:ind w:firstLine="0" w:firstLineChars="0"/>
              <w:jc w:val="center"/>
              <w:rPr>
                <w:rFonts w:ascii="宋体" w:cs="Times New Roman"/>
                <w:b/>
                <w:bCs/>
                <w:szCs w:val="24"/>
              </w:rPr>
            </w:pPr>
            <w:r>
              <w:rPr>
                <w:rFonts w:hint="eastAsia" w:ascii="宋体" w:cs="Times New Roman"/>
                <w:b/>
                <w:bCs/>
                <w:szCs w:val="24"/>
              </w:rPr>
              <w:t>序号</w:t>
            </w:r>
          </w:p>
        </w:tc>
        <w:tc>
          <w:tcPr>
            <w:tcW w:w="1533" w:type="pct"/>
            <w:shd w:val="clear" w:color="auto" w:fill="C7DAF1" w:themeFill="text2" w:themeFillTint="32"/>
            <w:vAlign w:val="center"/>
          </w:tcPr>
          <w:p>
            <w:pPr>
              <w:adjustRightInd w:val="0"/>
              <w:snapToGrid w:val="0"/>
              <w:ind w:firstLine="0" w:firstLineChars="0"/>
              <w:jc w:val="center"/>
              <w:rPr>
                <w:rFonts w:ascii="宋体" w:cs="Times New Roman"/>
                <w:b/>
                <w:bCs/>
                <w:szCs w:val="24"/>
              </w:rPr>
            </w:pPr>
            <w:r>
              <w:rPr>
                <w:rFonts w:hint="eastAsia" w:ascii="宋体" w:cs="Times New Roman"/>
                <w:b/>
                <w:bCs/>
                <w:szCs w:val="24"/>
              </w:rPr>
              <w:t>名   称</w:t>
            </w:r>
          </w:p>
        </w:tc>
        <w:tc>
          <w:tcPr>
            <w:tcW w:w="1246" w:type="pct"/>
            <w:shd w:val="clear" w:color="auto" w:fill="C7DAF1" w:themeFill="text2" w:themeFillTint="32"/>
            <w:vAlign w:val="center"/>
          </w:tcPr>
          <w:p>
            <w:pPr>
              <w:adjustRightInd w:val="0"/>
              <w:snapToGrid w:val="0"/>
              <w:ind w:firstLine="0" w:firstLineChars="0"/>
              <w:jc w:val="center"/>
              <w:rPr>
                <w:rFonts w:ascii="宋体" w:cs="Times New Roman"/>
                <w:b/>
                <w:bCs/>
                <w:szCs w:val="24"/>
              </w:rPr>
            </w:pPr>
            <w:r>
              <w:rPr>
                <w:rFonts w:hint="eastAsia" w:ascii="宋体" w:cs="Times New Roman"/>
                <w:b/>
                <w:bCs/>
                <w:szCs w:val="24"/>
              </w:rPr>
              <w:t>规    格（L</w:t>
            </w:r>
            <w:r>
              <w:rPr>
                <w:rFonts w:hint="eastAsia" w:ascii="宋体" w:cs="Times New Roman"/>
                <w:b/>
                <w:bCs/>
                <w:szCs w:val="24"/>
                <w:lang w:val="en-GB"/>
              </w:rPr>
              <w:t>×</w:t>
            </w:r>
            <w:r>
              <w:rPr>
                <w:rFonts w:hint="eastAsia" w:ascii="宋体" w:cs="Times New Roman"/>
                <w:b/>
                <w:bCs/>
                <w:szCs w:val="24"/>
              </w:rPr>
              <w:t>B</w:t>
            </w:r>
            <w:r>
              <w:rPr>
                <w:rFonts w:hint="eastAsia" w:ascii="宋体" w:cs="Times New Roman"/>
                <w:b/>
                <w:bCs/>
                <w:szCs w:val="24"/>
                <w:lang w:val="en-GB"/>
              </w:rPr>
              <w:t>×</w:t>
            </w:r>
            <w:r>
              <w:rPr>
                <w:rFonts w:hint="eastAsia" w:ascii="宋体" w:cs="Times New Roman"/>
                <w:b/>
                <w:bCs/>
                <w:szCs w:val="24"/>
              </w:rPr>
              <w:t>H）</w:t>
            </w:r>
          </w:p>
        </w:tc>
        <w:tc>
          <w:tcPr>
            <w:tcW w:w="456" w:type="pct"/>
            <w:shd w:val="clear" w:color="auto" w:fill="C7DAF1" w:themeFill="text2" w:themeFillTint="32"/>
            <w:vAlign w:val="center"/>
          </w:tcPr>
          <w:p>
            <w:pPr>
              <w:adjustRightInd w:val="0"/>
              <w:snapToGrid w:val="0"/>
              <w:ind w:firstLine="0" w:firstLineChars="0"/>
              <w:jc w:val="center"/>
              <w:rPr>
                <w:rFonts w:ascii="宋体" w:cs="Times New Roman"/>
                <w:b/>
                <w:bCs/>
                <w:szCs w:val="24"/>
              </w:rPr>
            </w:pPr>
            <w:r>
              <w:rPr>
                <w:rFonts w:hint="eastAsia" w:ascii="宋体" w:cs="Times New Roman"/>
                <w:b/>
                <w:bCs/>
                <w:szCs w:val="24"/>
              </w:rPr>
              <w:t>数量</w:t>
            </w:r>
          </w:p>
        </w:tc>
        <w:tc>
          <w:tcPr>
            <w:tcW w:w="610" w:type="pct"/>
            <w:shd w:val="clear" w:color="auto" w:fill="C7DAF1" w:themeFill="text2" w:themeFillTint="32"/>
            <w:vAlign w:val="center"/>
          </w:tcPr>
          <w:p>
            <w:pPr>
              <w:adjustRightInd w:val="0"/>
              <w:snapToGrid w:val="0"/>
              <w:ind w:firstLine="0" w:firstLineChars="0"/>
              <w:jc w:val="center"/>
              <w:rPr>
                <w:rFonts w:ascii="宋体" w:cs="Times New Roman"/>
                <w:b/>
                <w:bCs/>
                <w:szCs w:val="24"/>
              </w:rPr>
            </w:pPr>
            <w:r>
              <w:rPr>
                <w:rFonts w:hint="eastAsia" w:ascii="宋体" w:cs="Times New Roman"/>
                <w:b/>
                <w:bCs/>
                <w:szCs w:val="24"/>
              </w:rPr>
              <w:t>类型</w:t>
            </w:r>
          </w:p>
        </w:tc>
        <w:tc>
          <w:tcPr>
            <w:tcW w:w="457" w:type="pct"/>
            <w:shd w:val="clear" w:color="auto" w:fill="C7DAF1" w:themeFill="text2" w:themeFillTint="32"/>
            <w:vAlign w:val="center"/>
          </w:tcPr>
          <w:p>
            <w:pPr>
              <w:adjustRightInd w:val="0"/>
              <w:snapToGrid w:val="0"/>
              <w:ind w:firstLine="0" w:firstLineChars="0"/>
              <w:jc w:val="center"/>
              <w:rPr>
                <w:rFonts w:ascii="宋体" w:cs="Times New Roman"/>
                <w:b/>
                <w:bCs/>
                <w:szCs w:val="24"/>
              </w:rPr>
            </w:pPr>
            <w:r>
              <w:rPr>
                <w:rFonts w:hint="eastAsia" w:ascii="宋体" w:cs="Times New Roman"/>
                <w:b/>
                <w:bCs/>
                <w:szCs w:val="24"/>
              </w:rPr>
              <w:t>结构类型</w:t>
            </w:r>
          </w:p>
        </w:tc>
        <w:tc>
          <w:tcPr>
            <w:tcW w:w="444" w:type="pct"/>
            <w:shd w:val="clear" w:color="auto" w:fill="C7DAF1" w:themeFill="text2" w:themeFillTint="32"/>
            <w:vAlign w:val="center"/>
          </w:tcPr>
          <w:p>
            <w:pPr>
              <w:adjustRightInd w:val="0"/>
              <w:snapToGrid w:val="0"/>
              <w:ind w:firstLine="0" w:firstLineChars="0"/>
              <w:jc w:val="center"/>
              <w:rPr>
                <w:rFonts w:ascii="宋体" w:cs="Times New Roman"/>
                <w:b/>
                <w:bCs/>
                <w:szCs w:val="24"/>
              </w:rPr>
            </w:pPr>
            <w:r>
              <w:rPr>
                <w:rFonts w:hint="eastAsia" w:ascii="宋体" w:cs="Times New Roman"/>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5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w:t>
            </w:r>
          </w:p>
        </w:tc>
        <w:tc>
          <w:tcPr>
            <w:tcW w:w="153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三通一平</w:t>
            </w:r>
          </w:p>
        </w:tc>
        <w:tc>
          <w:tcPr>
            <w:tcW w:w="1246" w:type="pct"/>
            <w:vAlign w:val="center"/>
          </w:tcPr>
          <w:p>
            <w:pPr>
              <w:adjustRightInd w:val="0"/>
              <w:snapToGrid w:val="0"/>
              <w:ind w:firstLine="0" w:firstLineChars="0"/>
              <w:jc w:val="center"/>
              <w:rPr>
                <w:rFonts w:cs="Times New Roman"/>
                <w:color w:val="000000"/>
                <w:kern w:val="0"/>
                <w:szCs w:val="24"/>
              </w:rPr>
            </w:pPr>
          </w:p>
        </w:tc>
        <w:tc>
          <w:tcPr>
            <w:tcW w:w="45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1项</w:t>
            </w:r>
          </w:p>
        </w:tc>
        <w:tc>
          <w:tcPr>
            <w:tcW w:w="610" w:type="pct"/>
            <w:vAlign w:val="center"/>
          </w:tcPr>
          <w:p>
            <w:pPr>
              <w:adjustRightInd w:val="0"/>
              <w:snapToGrid w:val="0"/>
              <w:ind w:firstLine="0" w:firstLineChars="0"/>
              <w:jc w:val="center"/>
              <w:rPr>
                <w:rFonts w:cs="Times New Roman"/>
                <w:color w:val="000000"/>
                <w:kern w:val="0"/>
                <w:szCs w:val="24"/>
              </w:rPr>
            </w:pPr>
          </w:p>
        </w:tc>
        <w:tc>
          <w:tcPr>
            <w:tcW w:w="457" w:type="pct"/>
            <w:vAlign w:val="center"/>
          </w:tcPr>
          <w:p>
            <w:pPr>
              <w:adjustRightInd w:val="0"/>
              <w:snapToGrid w:val="0"/>
              <w:ind w:firstLine="0" w:firstLineChars="0"/>
              <w:jc w:val="center"/>
              <w:rPr>
                <w:rFonts w:cs="Times New Roman"/>
                <w:color w:val="000000"/>
                <w:kern w:val="0"/>
                <w:szCs w:val="24"/>
              </w:rPr>
            </w:pPr>
          </w:p>
        </w:tc>
        <w:tc>
          <w:tcPr>
            <w:tcW w:w="444" w:type="pct"/>
            <w:vAlign w:val="center"/>
          </w:tcPr>
          <w:p>
            <w:pPr>
              <w:adjustRightInd w:val="0"/>
              <w:snapToGrid w:val="0"/>
              <w:ind w:firstLine="0" w:firstLineChars="0"/>
              <w:jc w:val="center"/>
              <w:rPr>
                <w:rFonts w:cs="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5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2</w:t>
            </w:r>
          </w:p>
        </w:tc>
        <w:tc>
          <w:tcPr>
            <w:tcW w:w="153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进出、水管连接及施工</w:t>
            </w:r>
          </w:p>
        </w:tc>
        <w:tc>
          <w:tcPr>
            <w:tcW w:w="1246" w:type="pct"/>
            <w:vAlign w:val="center"/>
          </w:tcPr>
          <w:p>
            <w:pPr>
              <w:adjustRightInd w:val="0"/>
              <w:snapToGrid w:val="0"/>
              <w:ind w:firstLine="0" w:firstLineChars="0"/>
              <w:jc w:val="center"/>
              <w:rPr>
                <w:rFonts w:cs="Times New Roman"/>
                <w:color w:val="000000"/>
                <w:kern w:val="0"/>
                <w:szCs w:val="24"/>
              </w:rPr>
            </w:pPr>
          </w:p>
        </w:tc>
        <w:tc>
          <w:tcPr>
            <w:tcW w:w="45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1项</w:t>
            </w:r>
          </w:p>
        </w:tc>
        <w:tc>
          <w:tcPr>
            <w:tcW w:w="610" w:type="pct"/>
            <w:vAlign w:val="center"/>
          </w:tcPr>
          <w:p>
            <w:pPr>
              <w:adjustRightInd w:val="0"/>
              <w:snapToGrid w:val="0"/>
              <w:ind w:firstLine="0" w:firstLineChars="0"/>
              <w:jc w:val="center"/>
              <w:rPr>
                <w:rFonts w:cs="Times New Roman"/>
                <w:color w:val="000000"/>
                <w:kern w:val="0"/>
                <w:szCs w:val="24"/>
              </w:rPr>
            </w:pPr>
          </w:p>
        </w:tc>
        <w:tc>
          <w:tcPr>
            <w:tcW w:w="457" w:type="pct"/>
            <w:vAlign w:val="center"/>
          </w:tcPr>
          <w:p>
            <w:pPr>
              <w:adjustRightInd w:val="0"/>
              <w:snapToGrid w:val="0"/>
              <w:ind w:firstLine="0" w:firstLineChars="0"/>
              <w:jc w:val="center"/>
              <w:rPr>
                <w:rFonts w:cs="Times New Roman"/>
                <w:color w:val="000000"/>
                <w:kern w:val="0"/>
                <w:szCs w:val="24"/>
              </w:rPr>
            </w:pPr>
          </w:p>
        </w:tc>
        <w:tc>
          <w:tcPr>
            <w:tcW w:w="444" w:type="pct"/>
            <w:vAlign w:val="center"/>
          </w:tcPr>
          <w:p>
            <w:pPr>
              <w:adjustRightInd w:val="0"/>
              <w:snapToGrid w:val="0"/>
              <w:ind w:firstLine="0" w:firstLineChars="0"/>
              <w:jc w:val="center"/>
              <w:rPr>
                <w:rFonts w:cs="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5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3</w:t>
            </w:r>
          </w:p>
        </w:tc>
        <w:tc>
          <w:tcPr>
            <w:tcW w:w="153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事故水池</w:t>
            </w:r>
          </w:p>
        </w:tc>
        <w:tc>
          <w:tcPr>
            <w:tcW w:w="124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themeColor="text1"/>
                <w:kern w:val="0"/>
                <w:szCs w:val="24"/>
              </w:rPr>
              <w:t>10000×3000×5000mm</w:t>
            </w:r>
          </w:p>
        </w:tc>
        <w:tc>
          <w:tcPr>
            <w:tcW w:w="45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1座</w:t>
            </w:r>
          </w:p>
        </w:tc>
        <w:tc>
          <w:tcPr>
            <w:tcW w:w="610"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地下式</w:t>
            </w:r>
          </w:p>
        </w:tc>
        <w:tc>
          <w:tcPr>
            <w:tcW w:w="457"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钢砼</w:t>
            </w:r>
          </w:p>
        </w:tc>
        <w:tc>
          <w:tcPr>
            <w:tcW w:w="444" w:type="pct"/>
            <w:vAlign w:val="center"/>
          </w:tcPr>
          <w:p>
            <w:pPr>
              <w:adjustRightInd w:val="0"/>
              <w:snapToGrid w:val="0"/>
              <w:ind w:firstLine="0" w:firstLineChars="0"/>
              <w:jc w:val="center"/>
              <w:rPr>
                <w:rFonts w:cs="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5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4</w:t>
            </w:r>
          </w:p>
        </w:tc>
        <w:tc>
          <w:tcPr>
            <w:tcW w:w="153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集水池</w:t>
            </w:r>
          </w:p>
        </w:tc>
        <w:tc>
          <w:tcPr>
            <w:tcW w:w="124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2000×2000×4000mm</w:t>
            </w:r>
          </w:p>
        </w:tc>
        <w:tc>
          <w:tcPr>
            <w:tcW w:w="45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1座</w:t>
            </w:r>
          </w:p>
        </w:tc>
        <w:tc>
          <w:tcPr>
            <w:tcW w:w="610"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地下式</w:t>
            </w:r>
          </w:p>
        </w:tc>
        <w:tc>
          <w:tcPr>
            <w:tcW w:w="457"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钢砼</w:t>
            </w:r>
          </w:p>
        </w:tc>
        <w:tc>
          <w:tcPr>
            <w:tcW w:w="444" w:type="pct"/>
            <w:vAlign w:val="center"/>
          </w:tcPr>
          <w:p>
            <w:pPr>
              <w:adjustRightInd w:val="0"/>
              <w:snapToGrid w:val="0"/>
              <w:ind w:firstLine="0" w:firstLineChars="0"/>
              <w:jc w:val="center"/>
              <w:rPr>
                <w:rFonts w:cs="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25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5</w:t>
            </w:r>
          </w:p>
        </w:tc>
        <w:tc>
          <w:tcPr>
            <w:tcW w:w="153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格栅池</w:t>
            </w:r>
          </w:p>
        </w:tc>
        <w:tc>
          <w:tcPr>
            <w:tcW w:w="124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2700×1260×1300mm</w:t>
            </w:r>
          </w:p>
        </w:tc>
        <w:tc>
          <w:tcPr>
            <w:tcW w:w="45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1座</w:t>
            </w:r>
          </w:p>
        </w:tc>
        <w:tc>
          <w:tcPr>
            <w:tcW w:w="610"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半地下式</w:t>
            </w:r>
          </w:p>
        </w:tc>
        <w:tc>
          <w:tcPr>
            <w:tcW w:w="457"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钢砼</w:t>
            </w:r>
          </w:p>
        </w:tc>
        <w:tc>
          <w:tcPr>
            <w:tcW w:w="444" w:type="pct"/>
            <w:vAlign w:val="center"/>
          </w:tcPr>
          <w:p>
            <w:pPr>
              <w:adjustRightInd w:val="0"/>
              <w:snapToGrid w:val="0"/>
              <w:ind w:firstLine="0" w:firstLineChars="0"/>
              <w:jc w:val="center"/>
              <w:rPr>
                <w:rFonts w:cs="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25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6</w:t>
            </w:r>
          </w:p>
        </w:tc>
        <w:tc>
          <w:tcPr>
            <w:tcW w:w="153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沉淀池</w:t>
            </w:r>
          </w:p>
        </w:tc>
        <w:tc>
          <w:tcPr>
            <w:tcW w:w="124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3000×3000×5000mm</w:t>
            </w:r>
          </w:p>
        </w:tc>
        <w:tc>
          <w:tcPr>
            <w:tcW w:w="45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1座</w:t>
            </w:r>
          </w:p>
        </w:tc>
        <w:tc>
          <w:tcPr>
            <w:tcW w:w="610"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半地下式</w:t>
            </w:r>
          </w:p>
        </w:tc>
        <w:tc>
          <w:tcPr>
            <w:tcW w:w="457"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钢砼</w:t>
            </w:r>
          </w:p>
        </w:tc>
        <w:tc>
          <w:tcPr>
            <w:tcW w:w="444" w:type="pct"/>
            <w:vAlign w:val="center"/>
          </w:tcPr>
          <w:p>
            <w:pPr>
              <w:adjustRightInd w:val="0"/>
              <w:snapToGrid w:val="0"/>
              <w:ind w:firstLine="0" w:firstLineChars="0"/>
              <w:jc w:val="center"/>
              <w:rPr>
                <w:rFonts w:cs="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25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7</w:t>
            </w:r>
          </w:p>
        </w:tc>
        <w:tc>
          <w:tcPr>
            <w:tcW w:w="153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隔油池（含气浮进水池）</w:t>
            </w:r>
          </w:p>
        </w:tc>
        <w:tc>
          <w:tcPr>
            <w:tcW w:w="124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2500×1500×5000mm</w:t>
            </w:r>
          </w:p>
        </w:tc>
        <w:tc>
          <w:tcPr>
            <w:tcW w:w="45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2座</w:t>
            </w:r>
          </w:p>
        </w:tc>
        <w:tc>
          <w:tcPr>
            <w:tcW w:w="610"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半地下式</w:t>
            </w:r>
          </w:p>
        </w:tc>
        <w:tc>
          <w:tcPr>
            <w:tcW w:w="457"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钢砼</w:t>
            </w:r>
          </w:p>
        </w:tc>
        <w:tc>
          <w:tcPr>
            <w:tcW w:w="444" w:type="pct"/>
            <w:vAlign w:val="center"/>
          </w:tcPr>
          <w:p>
            <w:pPr>
              <w:adjustRightInd w:val="0"/>
              <w:snapToGrid w:val="0"/>
              <w:ind w:firstLine="0" w:firstLineChars="0"/>
              <w:jc w:val="center"/>
              <w:rPr>
                <w:rFonts w:cs="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25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8</w:t>
            </w:r>
          </w:p>
        </w:tc>
        <w:tc>
          <w:tcPr>
            <w:tcW w:w="153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调节池</w:t>
            </w:r>
          </w:p>
        </w:tc>
        <w:tc>
          <w:tcPr>
            <w:tcW w:w="124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themeColor="text1"/>
                <w:kern w:val="0"/>
                <w:szCs w:val="24"/>
              </w:rPr>
              <w:t>17000×3000×5000mm</w:t>
            </w:r>
          </w:p>
        </w:tc>
        <w:tc>
          <w:tcPr>
            <w:tcW w:w="45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1座</w:t>
            </w:r>
          </w:p>
        </w:tc>
        <w:tc>
          <w:tcPr>
            <w:tcW w:w="610"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半地下式</w:t>
            </w:r>
          </w:p>
        </w:tc>
        <w:tc>
          <w:tcPr>
            <w:tcW w:w="457"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钢砼</w:t>
            </w:r>
          </w:p>
        </w:tc>
        <w:tc>
          <w:tcPr>
            <w:tcW w:w="444" w:type="pct"/>
            <w:vAlign w:val="center"/>
          </w:tcPr>
          <w:p>
            <w:pPr>
              <w:adjustRightInd w:val="0"/>
              <w:snapToGrid w:val="0"/>
              <w:ind w:firstLine="0" w:firstLineChars="0"/>
              <w:jc w:val="center"/>
              <w:rPr>
                <w:rFonts w:cs="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25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9</w:t>
            </w:r>
          </w:p>
        </w:tc>
        <w:tc>
          <w:tcPr>
            <w:tcW w:w="153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厌氧反应器基础</w:t>
            </w:r>
          </w:p>
        </w:tc>
        <w:tc>
          <w:tcPr>
            <w:tcW w:w="1246" w:type="pct"/>
            <w:vAlign w:val="center"/>
          </w:tcPr>
          <w:p>
            <w:pPr>
              <w:adjustRightInd w:val="0"/>
              <w:snapToGrid w:val="0"/>
              <w:ind w:firstLine="0" w:firstLineChars="0"/>
              <w:jc w:val="center"/>
              <w:rPr>
                <w:rFonts w:cs="Times New Roman"/>
                <w:color w:val="000000"/>
                <w:kern w:val="0"/>
                <w:szCs w:val="24"/>
              </w:rPr>
            </w:pPr>
            <w:r>
              <w:rPr>
                <w:rFonts w:cs="Times New Roman"/>
                <w:color w:val="000000"/>
                <w:kern w:val="0"/>
                <w:szCs w:val="24"/>
              </w:rPr>
              <w:t xml:space="preserve">Ø </w:t>
            </w:r>
            <w:r>
              <w:rPr>
                <w:rFonts w:hint="eastAsia" w:cs="Times New Roman"/>
                <w:color w:val="000000"/>
                <w:kern w:val="0"/>
                <w:szCs w:val="24"/>
              </w:rPr>
              <w:t>5800×500mm</w:t>
            </w:r>
          </w:p>
        </w:tc>
        <w:tc>
          <w:tcPr>
            <w:tcW w:w="45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1座</w:t>
            </w:r>
          </w:p>
        </w:tc>
        <w:tc>
          <w:tcPr>
            <w:tcW w:w="610"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地上式</w:t>
            </w:r>
          </w:p>
        </w:tc>
        <w:tc>
          <w:tcPr>
            <w:tcW w:w="457"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钢砼</w:t>
            </w:r>
          </w:p>
        </w:tc>
        <w:tc>
          <w:tcPr>
            <w:tcW w:w="444" w:type="pct"/>
            <w:vAlign w:val="center"/>
          </w:tcPr>
          <w:p>
            <w:pPr>
              <w:adjustRightInd w:val="0"/>
              <w:snapToGrid w:val="0"/>
              <w:ind w:firstLine="0" w:firstLineChars="0"/>
              <w:jc w:val="center"/>
              <w:rPr>
                <w:rFonts w:cs="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5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10</w:t>
            </w:r>
          </w:p>
        </w:tc>
        <w:tc>
          <w:tcPr>
            <w:tcW w:w="153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生化处理构筑物（含两级A/O池，膜池，清水池，污泥浓缩池，冷却水池）</w:t>
            </w:r>
          </w:p>
        </w:tc>
        <w:tc>
          <w:tcPr>
            <w:tcW w:w="124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16000×5000×6500mm</w:t>
            </w:r>
          </w:p>
        </w:tc>
        <w:tc>
          <w:tcPr>
            <w:tcW w:w="45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1座</w:t>
            </w:r>
          </w:p>
        </w:tc>
        <w:tc>
          <w:tcPr>
            <w:tcW w:w="610"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半地下式</w:t>
            </w:r>
          </w:p>
        </w:tc>
        <w:tc>
          <w:tcPr>
            <w:tcW w:w="457"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钢砼</w:t>
            </w:r>
          </w:p>
        </w:tc>
        <w:tc>
          <w:tcPr>
            <w:tcW w:w="444" w:type="pct"/>
            <w:vAlign w:val="center"/>
          </w:tcPr>
          <w:p>
            <w:pPr>
              <w:adjustRightInd w:val="0"/>
              <w:snapToGrid w:val="0"/>
              <w:ind w:firstLine="0" w:firstLineChars="0"/>
              <w:jc w:val="center"/>
              <w:rPr>
                <w:rFonts w:cs="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5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11</w:t>
            </w:r>
          </w:p>
        </w:tc>
        <w:tc>
          <w:tcPr>
            <w:tcW w:w="153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设备间/污泥间/锅炉间/配电间/风机房</w:t>
            </w:r>
          </w:p>
        </w:tc>
        <w:tc>
          <w:tcPr>
            <w:tcW w:w="124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35000×5000×4200mm</w:t>
            </w:r>
          </w:p>
        </w:tc>
        <w:tc>
          <w:tcPr>
            <w:tcW w:w="45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1间</w:t>
            </w:r>
          </w:p>
        </w:tc>
        <w:tc>
          <w:tcPr>
            <w:tcW w:w="610"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地上式</w:t>
            </w:r>
          </w:p>
        </w:tc>
        <w:tc>
          <w:tcPr>
            <w:tcW w:w="457"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砖砌</w:t>
            </w:r>
          </w:p>
        </w:tc>
        <w:tc>
          <w:tcPr>
            <w:tcW w:w="444" w:type="pct"/>
            <w:vAlign w:val="center"/>
          </w:tcPr>
          <w:p>
            <w:pPr>
              <w:adjustRightInd w:val="0"/>
              <w:snapToGrid w:val="0"/>
              <w:ind w:firstLine="0" w:firstLineChars="0"/>
              <w:jc w:val="center"/>
              <w:rPr>
                <w:rFonts w:cs="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5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12</w:t>
            </w:r>
          </w:p>
        </w:tc>
        <w:tc>
          <w:tcPr>
            <w:tcW w:w="1533" w:type="pct"/>
            <w:vAlign w:val="center"/>
          </w:tcPr>
          <w:p>
            <w:pPr>
              <w:adjustRightInd w:val="0"/>
              <w:snapToGrid w:val="0"/>
              <w:ind w:firstLine="0" w:firstLineChars="0"/>
              <w:jc w:val="center"/>
              <w:rPr>
                <w:rFonts w:hint="eastAsia" w:eastAsia="宋体" w:cs="Times New Roman"/>
                <w:color w:val="000000"/>
                <w:kern w:val="0"/>
                <w:szCs w:val="24"/>
                <w:lang w:val="en-US" w:eastAsia="zh-CN"/>
              </w:rPr>
            </w:pPr>
            <w:r>
              <w:rPr>
                <w:rFonts w:hint="eastAsia" w:cs="Times New Roman"/>
                <w:color w:val="000000"/>
                <w:kern w:val="0"/>
                <w:szCs w:val="24"/>
              </w:rPr>
              <w:t>水泵、风机基础</w:t>
            </w:r>
            <w:r>
              <w:rPr>
                <w:rFonts w:hint="eastAsia" w:cs="Times New Roman"/>
                <w:color w:val="000000"/>
                <w:kern w:val="0"/>
                <w:szCs w:val="24"/>
                <w:lang w:val="en-US" w:eastAsia="zh-CN"/>
              </w:rPr>
              <w:t>等</w:t>
            </w:r>
          </w:p>
        </w:tc>
        <w:tc>
          <w:tcPr>
            <w:tcW w:w="1246" w:type="pct"/>
            <w:vAlign w:val="center"/>
          </w:tcPr>
          <w:p>
            <w:pPr>
              <w:adjustRightInd w:val="0"/>
              <w:snapToGrid w:val="0"/>
              <w:ind w:firstLine="0" w:firstLineChars="0"/>
              <w:jc w:val="center"/>
              <w:rPr>
                <w:rFonts w:cs="Times New Roman"/>
                <w:color w:val="000000"/>
                <w:kern w:val="0"/>
                <w:szCs w:val="24"/>
              </w:rPr>
            </w:pPr>
          </w:p>
        </w:tc>
        <w:tc>
          <w:tcPr>
            <w:tcW w:w="45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1批</w:t>
            </w:r>
          </w:p>
        </w:tc>
        <w:tc>
          <w:tcPr>
            <w:tcW w:w="610"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地上式</w:t>
            </w:r>
          </w:p>
        </w:tc>
        <w:tc>
          <w:tcPr>
            <w:tcW w:w="457" w:type="pct"/>
            <w:vAlign w:val="center"/>
          </w:tcPr>
          <w:p>
            <w:pPr>
              <w:adjustRightInd w:val="0"/>
              <w:snapToGrid w:val="0"/>
              <w:ind w:firstLine="0" w:firstLineChars="0"/>
              <w:jc w:val="center"/>
              <w:rPr>
                <w:rFonts w:cs="Times New Roman"/>
                <w:color w:val="000000"/>
                <w:kern w:val="0"/>
                <w:szCs w:val="24"/>
              </w:rPr>
            </w:pPr>
          </w:p>
        </w:tc>
        <w:tc>
          <w:tcPr>
            <w:tcW w:w="444" w:type="pct"/>
            <w:vAlign w:val="center"/>
          </w:tcPr>
          <w:p>
            <w:pPr>
              <w:adjustRightInd w:val="0"/>
              <w:snapToGrid w:val="0"/>
              <w:ind w:firstLine="0" w:firstLineChars="0"/>
              <w:jc w:val="center"/>
              <w:rPr>
                <w:rFonts w:cs="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5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13</w:t>
            </w:r>
          </w:p>
        </w:tc>
        <w:tc>
          <w:tcPr>
            <w:tcW w:w="153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标准出水口</w:t>
            </w:r>
          </w:p>
        </w:tc>
        <w:tc>
          <w:tcPr>
            <w:tcW w:w="124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3000×1000×1200mm</w:t>
            </w:r>
          </w:p>
        </w:tc>
        <w:tc>
          <w:tcPr>
            <w:tcW w:w="456"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1座</w:t>
            </w:r>
          </w:p>
        </w:tc>
        <w:tc>
          <w:tcPr>
            <w:tcW w:w="610"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地下式</w:t>
            </w:r>
          </w:p>
        </w:tc>
        <w:tc>
          <w:tcPr>
            <w:tcW w:w="457" w:type="pct"/>
            <w:vAlign w:val="center"/>
          </w:tcPr>
          <w:p>
            <w:pPr>
              <w:adjustRightInd w:val="0"/>
              <w:snapToGrid w:val="0"/>
              <w:ind w:firstLine="0" w:firstLineChars="0"/>
              <w:jc w:val="center"/>
              <w:rPr>
                <w:rFonts w:cs="Times New Roman"/>
                <w:color w:val="000000"/>
                <w:kern w:val="0"/>
                <w:szCs w:val="24"/>
              </w:rPr>
            </w:pPr>
          </w:p>
        </w:tc>
        <w:tc>
          <w:tcPr>
            <w:tcW w:w="444" w:type="pct"/>
            <w:vAlign w:val="center"/>
          </w:tcPr>
          <w:p>
            <w:pPr>
              <w:adjustRightInd w:val="0"/>
              <w:snapToGrid w:val="0"/>
              <w:ind w:firstLine="0" w:firstLineChars="0"/>
              <w:jc w:val="center"/>
              <w:rPr>
                <w:rFonts w:cs="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53" w:type="pct"/>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14</w:t>
            </w:r>
          </w:p>
        </w:tc>
        <w:tc>
          <w:tcPr>
            <w:tcW w:w="4746" w:type="pct"/>
            <w:gridSpan w:val="6"/>
            <w:vAlign w:val="center"/>
          </w:tcPr>
          <w:p>
            <w:pPr>
              <w:adjustRightInd w:val="0"/>
              <w:snapToGrid w:val="0"/>
              <w:ind w:firstLine="0" w:firstLineChars="0"/>
              <w:jc w:val="center"/>
              <w:rPr>
                <w:rFonts w:cs="Times New Roman"/>
                <w:color w:val="000000"/>
                <w:kern w:val="0"/>
                <w:szCs w:val="24"/>
              </w:rPr>
            </w:pPr>
            <w:r>
              <w:rPr>
                <w:rFonts w:hint="eastAsia" w:cs="Times New Roman"/>
                <w:color w:val="000000"/>
                <w:kern w:val="0"/>
                <w:szCs w:val="24"/>
              </w:rPr>
              <w:t>土建构筑物/建筑物单元由业主负责</w:t>
            </w:r>
          </w:p>
        </w:tc>
      </w:tr>
    </w:tbl>
    <w:p>
      <w:pPr>
        <w:pStyle w:val="4"/>
        <w:keepNext w:val="0"/>
        <w:keepLines w:val="0"/>
        <w:spacing w:beforeLines="0" w:afterLines="0"/>
        <w:ind w:firstLine="0" w:firstLineChars="0"/>
        <w:jc w:val="left"/>
        <w:rPr>
          <w:rFonts w:cs="Times New Roman"/>
          <w:sz w:val="28"/>
          <w:szCs w:val="28"/>
        </w:rPr>
      </w:pPr>
      <w:bookmarkStart w:id="148" w:name="_Toc73367179"/>
      <w:r>
        <w:rPr>
          <w:rFonts w:hint="eastAsia" w:cs="Times New Roman"/>
          <w:sz w:val="28"/>
          <w:szCs w:val="28"/>
        </w:rPr>
        <w:t>6.2渗滤液处理系统设备清单</w:t>
      </w:r>
      <w:bookmarkEnd w:id="148"/>
    </w:p>
    <w:tbl>
      <w:tblPr>
        <w:tblStyle w:val="15"/>
        <w:tblW w:w="14175" w:type="dxa"/>
        <w:tblInd w:w="93" w:type="dxa"/>
        <w:tblLayout w:type="autofit"/>
        <w:tblCellMar>
          <w:top w:w="0" w:type="dxa"/>
          <w:left w:w="108" w:type="dxa"/>
          <w:bottom w:w="0" w:type="dxa"/>
          <w:right w:w="108" w:type="dxa"/>
        </w:tblCellMar>
      </w:tblPr>
      <w:tblGrid>
        <w:gridCol w:w="1008"/>
        <w:gridCol w:w="2693"/>
        <w:gridCol w:w="6804"/>
        <w:gridCol w:w="850"/>
        <w:gridCol w:w="993"/>
        <w:gridCol w:w="1827"/>
      </w:tblGrid>
      <w:tr>
        <w:tblPrEx>
          <w:tblCellMar>
            <w:top w:w="0" w:type="dxa"/>
            <w:left w:w="108" w:type="dxa"/>
            <w:bottom w:w="0" w:type="dxa"/>
            <w:right w:w="108" w:type="dxa"/>
          </w:tblCellMar>
        </w:tblPrEx>
        <w:trPr>
          <w:trHeight w:val="454" w:hRule="atLeast"/>
          <w:tblHead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Cs w:val="24"/>
              </w:rPr>
            </w:pPr>
            <w:r>
              <w:rPr>
                <w:rFonts w:cs="Times New Roman"/>
                <w:b/>
                <w:bCs/>
                <w:color w:val="000000"/>
                <w:kern w:val="0"/>
                <w:szCs w:val="24"/>
              </w:rPr>
              <w:t>序号</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Cs w:val="24"/>
              </w:rPr>
            </w:pPr>
            <w:r>
              <w:rPr>
                <w:rFonts w:cs="Times New Roman"/>
                <w:b/>
                <w:bCs/>
                <w:color w:val="000000"/>
                <w:kern w:val="0"/>
                <w:szCs w:val="24"/>
              </w:rPr>
              <w:t>名称</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Cs w:val="24"/>
              </w:rPr>
            </w:pPr>
            <w:r>
              <w:rPr>
                <w:rFonts w:cs="Times New Roman"/>
                <w:b/>
                <w:bCs/>
                <w:color w:val="000000"/>
                <w:kern w:val="0"/>
                <w:szCs w:val="24"/>
              </w:rPr>
              <w:t>规格及型号</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Cs w:val="24"/>
              </w:rPr>
            </w:pPr>
            <w:r>
              <w:rPr>
                <w:rFonts w:cs="Times New Roman"/>
                <w:b/>
                <w:bCs/>
                <w:color w:val="000000"/>
                <w:kern w:val="0"/>
                <w:szCs w:val="24"/>
              </w:rPr>
              <w:t>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Cs w:val="24"/>
              </w:rPr>
            </w:pPr>
            <w:r>
              <w:rPr>
                <w:rFonts w:cs="Times New Roman"/>
                <w:b/>
                <w:bCs/>
                <w:color w:val="000000"/>
                <w:kern w:val="0"/>
                <w:szCs w:val="24"/>
              </w:rPr>
              <w:t>数量</w:t>
            </w:r>
          </w:p>
        </w:tc>
        <w:tc>
          <w:tcPr>
            <w:tcW w:w="182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s="Times New Roman"/>
                <w:b/>
                <w:bCs/>
                <w:color w:val="000000"/>
                <w:kern w:val="0"/>
                <w:szCs w:val="24"/>
                <w:lang w:eastAsia="zh-CN"/>
              </w:rPr>
            </w:pPr>
            <w:r>
              <w:rPr>
                <w:rFonts w:hint="eastAsia" w:cs="Times New Roman"/>
                <w:b/>
                <w:bCs/>
                <w:color w:val="000000"/>
                <w:kern w:val="0"/>
                <w:szCs w:val="24"/>
                <w:lang w:eastAsia="zh-CN"/>
              </w:rPr>
              <w:t>备注</w:t>
            </w: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noWrap/>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一、</w:t>
            </w:r>
            <w:r>
              <w:rPr>
                <w:rFonts w:hint="eastAsia" w:cs="Times New Roman"/>
                <w:color w:val="000000"/>
                <w:kern w:val="0"/>
                <w:szCs w:val="24"/>
              </w:rPr>
              <w:t>集水</w:t>
            </w:r>
            <w:r>
              <w:rPr>
                <w:rFonts w:cs="Times New Roman"/>
                <w:color w:val="000000"/>
                <w:kern w:val="0"/>
                <w:szCs w:val="24"/>
              </w:rPr>
              <w:t>池</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竖轴搅拌机</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材质：碳钢衬塑，桨叶2叶，双层，材质：碳钢衬塑，电压：三相/380V</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集水池</w:t>
            </w:r>
            <w:r>
              <w:rPr>
                <w:rFonts w:cs="Times New Roman"/>
                <w:color w:val="000000"/>
                <w:kern w:val="0"/>
                <w:szCs w:val="24"/>
              </w:rPr>
              <w:t>提升泵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潜污泵；Q=10m³/h，H=15m，Pn=</w:t>
            </w:r>
            <w:r>
              <w:rPr>
                <w:rFonts w:hint="eastAsia" w:cs="Times New Roman"/>
                <w:color w:val="000000"/>
                <w:kern w:val="0"/>
                <w:szCs w:val="24"/>
              </w:rPr>
              <w:t>1.5</w:t>
            </w:r>
            <w:r>
              <w:rPr>
                <w:rFonts w:cs="Times New Roman"/>
                <w:color w:val="000000"/>
                <w:kern w:val="0"/>
                <w:szCs w:val="24"/>
              </w:rPr>
              <w:t>kW</w:t>
            </w:r>
            <w:r>
              <w:rPr>
                <w:rFonts w:hint="eastAsia" w:cs="Times New Roman"/>
                <w:color w:val="000000"/>
                <w:kern w:val="0"/>
                <w:szCs w:val="24"/>
              </w:rPr>
              <w:t>，切割型叶轮</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超声波液位计</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4~20ma，220V，有效测量深度4.0m</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auto" w:fill="C7DAF1" w:themeFill="text2" w:themeFillTint="32"/>
            <w:noWrap/>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二、格栅池</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 xml:space="preserve">1 </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格栅机</w:t>
            </w:r>
            <w:r>
              <w:rPr>
                <w:rFonts w:hint="eastAsia" w:cs="Times New Roman"/>
                <w:color w:val="000000"/>
                <w:kern w:val="0"/>
                <w:szCs w:val="24"/>
              </w:rPr>
              <w:t>（含冲洗水泵）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10m</w:t>
            </w:r>
            <w:r>
              <w:rPr>
                <w:rFonts w:cs="Times New Roman"/>
                <w:color w:val="000000"/>
                <w:kern w:val="0"/>
                <w:szCs w:val="24"/>
                <w:vertAlign w:val="superscript"/>
              </w:rPr>
              <w:t>3</w:t>
            </w:r>
            <w:r>
              <w:rPr>
                <w:rFonts w:cs="Times New Roman"/>
                <w:color w:val="000000"/>
                <w:kern w:val="0"/>
                <w:szCs w:val="24"/>
              </w:rPr>
              <w:t>/h，栅隙</w:t>
            </w:r>
            <w:r>
              <w:rPr>
                <w:rFonts w:hint="eastAsia" w:cs="Times New Roman"/>
                <w:color w:val="000000"/>
                <w:kern w:val="0"/>
                <w:szCs w:val="24"/>
              </w:rPr>
              <w:t>4</w:t>
            </w:r>
            <w:r>
              <w:rPr>
                <w:rFonts w:cs="Times New Roman"/>
                <w:color w:val="000000"/>
                <w:kern w:val="0"/>
                <w:szCs w:val="24"/>
              </w:rPr>
              <w:t>mm；冲洗用自来水1-2m</w:t>
            </w:r>
            <w:r>
              <w:rPr>
                <w:rFonts w:cs="Times New Roman"/>
                <w:color w:val="000000"/>
                <w:kern w:val="0"/>
                <w:szCs w:val="24"/>
                <w:vertAlign w:val="superscript"/>
              </w:rPr>
              <w:t>3</w:t>
            </w:r>
            <w:r>
              <w:rPr>
                <w:rFonts w:cs="Times New Roman"/>
                <w:color w:val="000000"/>
                <w:kern w:val="0"/>
                <w:szCs w:val="24"/>
              </w:rPr>
              <w:t>/h（间歇冲洗），压力5~7 bar，1.</w:t>
            </w:r>
            <w:r>
              <w:rPr>
                <w:rFonts w:hint="eastAsia" w:cs="Times New Roman"/>
                <w:color w:val="000000"/>
                <w:kern w:val="0"/>
                <w:szCs w:val="24"/>
              </w:rPr>
              <w:t>1</w:t>
            </w:r>
            <w:r>
              <w:rPr>
                <w:rFonts w:cs="Times New Roman"/>
                <w:color w:val="000000"/>
                <w:kern w:val="0"/>
                <w:szCs w:val="24"/>
              </w:rPr>
              <w:t>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auto" w:fill="C7DAF1" w:themeFill="text2" w:themeFillTint="32"/>
            <w:noWrap/>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三、沉淀池</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絮凝搅拌机</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材质：碳钢衬塑，转速：一台78R/MIN，一台18R/MIN。电压：三相/380V</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沉淀池排泥泵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螺杆泵，G30-1,5M</w:t>
            </w:r>
            <w:r>
              <w:rPr>
                <w:rFonts w:hint="eastAsia" w:cs="Times New Roman"/>
                <w:color w:val="000000"/>
                <w:kern w:val="0"/>
                <w:szCs w:val="24"/>
                <w:vertAlign w:val="superscript"/>
              </w:rPr>
              <w:t>3</w:t>
            </w:r>
            <w:r>
              <w:rPr>
                <w:rFonts w:hint="eastAsia" w:cs="Times New Roman"/>
                <w:color w:val="000000"/>
                <w:kern w:val="0"/>
                <w:szCs w:val="24"/>
              </w:rPr>
              <w:t>/h，p=2.2KW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PAM加药系统</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含配药/加药系统，全自动配药，100L/h，1.0MPA，0.37KW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座</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PAC加药系统</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含配药/加药200L/h，0.7MPA，0.37KW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座</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沉淀导流系统</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PP材质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auto" w:fill="C7DAF1" w:themeFill="text2" w:themeFillTint="32"/>
            <w:noWrap/>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四、隔油池</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隔油池刮渣/油系统</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olor w:val="000000"/>
                <w:kern w:val="0"/>
              </w:rPr>
              <w:t>浮渣撇除系统，链条链轮尼龙材质，耐油型平带刮板</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隔油池出水堰</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PP材质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气浮机进水泵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潜污泵；Q=10m³/h，H=15m，Pn=</w:t>
            </w:r>
            <w:r>
              <w:rPr>
                <w:rFonts w:hint="eastAsia" w:cs="Times New Roman"/>
                <w:color w:val="000000"/>
                <w:kern w:val="0"/>
                <w:szCs w:val="24"/>
              </w:rPr>
              <w:t>1.5</w:t>
            </w:r>
            <w:r>
              <w:rPr>
                <w:rFonts w:cs="Times New Roman"/>
                <w:color w:val="000000"/>
                <w:kern w:val="0"/>
                <w:szCs w:val="24"/>
              </w:rPr>
              <w:t>kW</w:t>
            </w:r>
            <w:r>
              <w:rPr>
                <w:rFonts w:hint="eastAsia" w:cs="Times New Roman"/>
                <w:color w:val="000000"/>
                <w:kern w:val="0"/>
                <w:szCs w:val="24"/>
              </w:rPr>
              <w:t>，切割型叶轮</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超声波液位计</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4~20ma，220V，有效测量深度5.0m</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气浮机进水电磁流量计</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0-15m</w:t>
            </w:r>
            <w:r>
              <w:rPr>
                <w:rFonts w:hint="eastAsia" w:cs="Times New Roman"/>
                <w:color w:val="000000"/>
                <w:kern w:val="0"/>
                <w:szCs w:val="24"/>
                <w:vertAlign w:val="superscript"/>
              </w:rPr>
              <w:t>3</w:t>
            </w:r>
            <w:r>
              <w:rPr>
                <w:rFonts w:hint="eastAsia" w:cs="Times New Roman"/>
                <w:color w:val="000000"/>
                <w:kern w:val="0"/>
                <w:szCs w:val="24"/>
              </w:rPr>
              <w:t>/h，4~20ma，220V，带信号输出，带瞬时流量和总流量</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auto" w:fill="C7DAF1" w:themeFill="text2" w:themeFillTint="32"/>
            <w:noWrap/>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五、气浮机</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涡凹气浮机</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处理能力10m</w:t>
            </w:r>
            <w:r>
              <w:rPr>
                <w:rFonts w:hint="eastAsia" w:cs="Times New Roman"/>
                <w:color w:val="000000"/>
                <w:kern w:val="0"/>
                <w:szCs w:val="24"/>
                <w:vertAlign w:val="superscript"/>
              </w:rPr>
              <w:t>3</w:t>
            </w:r>
            <w:r>
              <w:rPr>
                <w:rFonts w:hint="eastAsia" w:cs="Times New Roman"/>
                <w:color w:val="000000"/>
                <w:kern w:val="0"/>
                <w:szCs w:val="24"/>
              </w:rPr>
              <w:t>/h，碳钢防腐</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座</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气浮机排泥泵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螺杆泵，G30-1,5M3/h，p=2.2KW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气浮机PAM、PAC加药系统</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沉淀池共用一套，</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沉淀箱（池）</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处理能力10m</w:t>
            </w:r>
            <w:r>
              <w:rPr>
                <w:rFonts w:hint="eastAsia" w:cs="Times New Roman"/>
                <w:color w:val="000000"/>
                <w:kern w:val="0"/>
                <w:szCs w:val="24"/>
                <w:vertAlign w:val="superscript"/>
              </w:rPr>
              <w:t>3</w:t>
            </w:r>
            <w:r>
              <w:rPr>
                <w:rFonts w:hint="eastAsia" w:cs="Times New Roman"/>
                <w:color w:val="000000"/>
                <w:kern w:val="0"/>
                <w:szCs w:val="24"/>
              </w:rPr>
              <w:t>/h，碳钢防腐</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浮渣收集池提升泵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潜污泵；Q=10m³/h，H=15m，Pn=</w:t>
            </w:r>
            <w:r>
              <w:rPr>
                <w:rFonts w:hint="eastAsia" w:cs="Times New Roman"/>
                <w:color w:val="000000"/>
                <w:kern w:val="0"/>
                <w:szCs w:val="24"/>
              </w:rPr>
              <w:t>1.5</w:t>
            </w:r>
            <w:r>
              <w:rPr>
                <w:rFonts w:cs="Times New Roman"/>
                <w:color w:val="000000"/>
                <w:kern w:val="0"/>
                <w:szCs w:val="24"/>
              </w:rPr>
              <w:t>kW</w:t>
            </w:r>
            <w:r>
              <w:rPr>
                <w:rFonts w:hint="eastAsia" w:cs="Times New Roman"/>
                <w:color w:val="000000"/>
                <w:kern w:val="0"/>
                <w:szCs w:val="24"/>
              </w:rPr>
              <w:t>，切割型叶轮</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auto" w:fill="C7DAF1" w:themeFill="text2" w:themeFillTint="32"/>
            <w:noWrap/>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六、调节池</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调节池提升泵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潜污泵；Q=</w:t>
            </w:r>
            <w:r>
              <w:rPr>
                <w:rFonts w:hint="eastAsia" w:cs="Times New Roman"/>
                <w:color w:val="000000"/>
                <w:kern w:val="0"/>
                <w:szCs w:val="24"/>
              </w:rPr>
              <w:t>5</w:t>
            </w:r>
            <w:r>
              <w:rPr>
                <w:rFonts w:cs="Times New Roman"/>
                <w:color w:val="000000"/>
                <w:kern w:val="0"/>
                <w:szCs w:val="24"/>
              </w:rPr>
              <w:t>m³/h，H=1</w:t>
            </w:r>
            <w:r>
              <w:rPr>
                <w:rFonts w:hint="eastAsia" w:cs="Times New Roman"/>
                <w:color w:val="000000"/>
                <w:kern w:val="0"/>
                <w:szCs w:val="24"/>
              </w:rPr>
              <w:t>2</w:t>
            </w:r>
            <w:r>
              <w:rPr>
                <w:rFonts w:cs="Times New Roman"/>
                <w:color w:val="000000"/>
                <w:kern w:val="0"/>
                <w:szCs w:val="24"/>
              </w:rPr>
              <w:t>m，Pn=</w:t>
            </w:r>
            <w:r>
              <w:rPr>
                <w:rFonts w:hint="eastAsia" w:cs="Times New Roman"/>
                <w:color w:val="000000"/>
                <w:kern w:val="0"/>
                <w:szCs w:val="24"/>
              </w:rPr>
              <w:t>0.75</w:t>
            </w:r>
            <w:r>
              <w:rPr>
                <w:rFonts w:cs="Times New Roman"/>
                <w:color w:val="000000"/>
                <w:kern w:val="0"/>
                <w:szCs w:val="24"/>
              </w:rPr>
              <w:t xml:space="preserve">kW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color w:val="000000"/>
                <w:kern w:val="0"/>
                <w:szCs w:val="24"/>
              </w:rPr>
            </w:pPr>
            <w:r>
              <w:rPr>
                <w:rFonts w:eastAsia="仿宋"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调节池进水电磁流量计</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0-6m</w:t>
            </w:r>
            <w:r>
              <w:rPr>
                <w:rFonts w:hint="eastAsia" w:cs="Times New Roman"/>
                <w:color w:val="000000"/>
                <w:kern w:val="0"/>
                <w:szCs w:val="24"/>
                <w:vertAlign w:val="superscript"/>
              </w:rPr>
              <w:t>3</w:t>
            </w:r>
            <w:r>
              <w:rPr>
                <w:rFonts w:hint="eastAsia" w:cs="Times New Roman"/>
                <w:color w:val="000000"/>
                <w:kern w:val="0"/>
                <w:szCs w:val="24"/>
              </w:rPr>
              <w:t>/h，4~20ma，220V，带信号输出，带瞬时流量和总流量</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color w:val="000000"/>
                <w:kern w:val="0"/>
                <w:szCs w:val="24"/>
              </w:rPr>
            </w:pPr>
            <w:r>
              <w:rPr>
                <w:rFonts w:hint="eastAsia" w:eastAsia="仿宋"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调节池液位计</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4~20ma，220V，有效测量深度5.0m</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潜水搅拌机</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SS304安装系统</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碱加药系统</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含药箱、加药系统，PH在线仪等</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noWrap/>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七</w:t>
            </w:r>
            <w:r>
              <w:rPr>
                <w:rFonts w:cs="Times New Roman"/>
                <w:color w:val="000000"/>
                <w:kern w:val="0"/>
                <w:szCs w:val="24"/>
              </w:rPr>
              <w:t>、厌氧反应系统</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厌氧循环泵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卧式离心泵，Q=</w:t>
            </w:r>
            <w:r>
              <w:rPr>
                <w:rFonts w:hint="eastAsia" w:cs="Times New Roman"/>
                <w:color w:val="000000"/>
                <w:kern w:val="0"/>
                <w:szCs w:val="24"/>
              </w:rPr>
              <w:t>30</w:t>
            </w:r>
            <w:r>
              <w:rPr>
                <w:rFonts w:cs="Times New Roman"/>
                <w:color w:val="000000"/>
                <w:kern w:val="0"/>
                <w:szCs w:val="24"/>
              </w:rPr>
              <w:t>m</w:t>
            </w:r>
            <w:r>
              <w:rPr>
                <w:rFonts w:cs="Times New Roman"/>
                <w:color w:val="000000"/>
                <w:kern w:val="0"/>
                <w:szCs w:val="24"/>
                <w:vertAlign w:val="superscript"/>
              </w:rPr>
              <w:t>3</w:t>
            </w:r>
            <w:r>
              <w:rPr>
                <w:rFonts w:cs="Times New Roman"/>
                <w:color w:val="000000"/>
                <w:kern w:val="0"/>
                <w:szCs w:val="24"/>
              </w:rPr>
              <w:t>/h，H=</w:t>
            </w:r>
            <w:r>
              <w:rPr>
                <w:rFonts w:hint="eastAsia" w:cs="Times New Roman"/>
                <w:color w:val="000000"/>
                <w:kern w:val="0"/>
                <w:szCs w:val="24"/>
              </w:rPr>
              <w:t>18</w:t>
            </w:r>
            <w:r>
              <w:rPr>
                <w:rFonts w:cs="Times New Roman"/>
                <w:color w:val="000000"/>
                <w:kern w:val="0"/>
                <w:szCs w:val="24"/>
              </w:rPr>
              <w:t>m，</w:t>
            </w:r>
            <w:r>
              <w:rPr>
                <w:rFonts w:hint="eastAsia" w:cs="Times New Roman"/>
                <w:color w:val="000000"/>
                <w:kern w:val="0"/>
                <w:szCs w:val="24"/>
              </w:rPr>
              <w:t>4.0</w:t>
            </w:r>
            <w:r>
              <w:rPr>
                <w:rFonts w:cs="Times New Roman"/>
                <w:color w:val="000000"/>
                <w:kern w:val="0"/>
                <w:szCs w:val="24"/>
              </w:rPr>
              <w:t>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厌氧罐</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 xml:space="preserve">Ø </w:t>
            </w:r>
            <w:r>
              <w:rPr>
                <w:rFonts w:hint="eastAsia" w:cs="Times New Roman"/>
                <w:color w:val="000000"/>
                <w:kern w:val="0"/>
                <w:szCs w:val="24"/>
              </w:rPr>
              <w:t>5.0</w:t>
            </w:r>
            <w:r>
              <w:rPr>
                <w:rFonts w:cs="Times New Roman"/>
                <w:color w:val="000000"/>
                <w:kern w:val="0"/>
                <w:szCs w:val="24"/>
              </w:rPr>
              <w:t>×1</w:t>
            </w:r>
            <w:r>
              <w:rPr>
                <w:rFonts w:hint="eastAsia" w:cs="Times New Roman"/>
                <w:color w:val="000000"/>
                <w:kern w:val="0"/>
                <w:szCs w:val="24"/>
              </w:rPr>
              <w:t>0</w:t>
            </w:r>
            <w:r>
              <w:rPr>
                <w:rFonts w:cs="Times New Roman"/>
                <w:color w:val="000000"/>
                <w:kern w:val="0"/>
                <w:szCs w:val="24"/>
              </w:rPr>
              <w:t>m，含罐体保温防腐，彩钢板0.5mm，岩棉板100mm</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座</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厌氧布水器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 xml:space="preserve">Ø </w:t>
            </w:r>
            <w:r>
              <w:rPr>
                <w:rFonts w:hint="eastAsia" w:cs="Times New Roman"/>
                <w:color w:val="000000"/>
                <w:kern w:val="0"/>
                <w:szCs w:val="24"/>
              </w:rPr>
              <w:t>5</w:t>
            </w:r>
            <w:r>
              <w:rPr>
                <w:rFonts w:cs="Times New Roman"/>
                <w:color w:val="000000"/>
                <w:kern w:val="0"/>
                <w:szCs w:val="24"/>
              </w:rPr>
              <w:t>m布水器，非标件，碳钢</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三相分离器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eastAsia="宋体" w:cs="Times New Roman"/>
                <w:color w:val="000000"/>
                <w:kern w:val="0"/>
                <w:szCs w:val="24"/>
                <w:lang w:val="en-US" w:eastAsia="zh-CN"/>
              </w:rPr>
            </w:pPr>
            <w:r>
              <w:rPr>
                <w:rFonts w:cs="Times New Roman"/>
                <w:color w:val="000000"/>
                <w:kern w:val="0"/>
                <w:szCs w:val="24"/>
              </w:rPr>
              <w:t>非标件，Φ</w:t>
            </w:r>
            <w:r>
              <w:rPr>
                <w:rFonts w:hint="eastAsia" w:cs="Times New Roman"/>
                <w:color w:val="000000"/>
                <w:kern w:val="0"/>
                <w:szCs w:val="24"/>
              </w:rPr>
              <w:t>5</w:t>
            </w:r>
            <w:r>
              <w:rPr>
                <w:rFonts w:cs="Times New Roman"/>
                <w:color w:val="000000"/>
                <w:kern w:val="0"/>
                <w:szCs w:val="24"/>
              </w:rPr>
              <w:t>m，与罐体配套，</w:t>
            </w:r>
            <w:r>
              <w:rPr>
                <w:rFonts w:hint="eastAsia" w:cs="Times New Roman"/>
                <w:color w:val="000000"/>
                <w:kern w:val="0"/>
                <w:szCs w:val="24"/>
                <w:lang w:val="en-US" w:eastAsia="zh-CN"/>
              </w:rPr>
              <w:t>SS304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分离器支架和安装平台</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Ø</w:t>
            </w:r>
            <w:r>
              <w:rPr>
                <w:rFonts w:hint="eastAsia" w:cs="Times New Roman"/>
                <w:color w:val="000000"/>
                <w:kern w:val="0"/>
                <w:szCs w:val="24"/>
              </w:rPr>
              <w:t>5</w:t>
            </w:r>
            <w:r>
              <w:rPr>
                <w:rFonts w:cs="Times New Roman"/>
                <w:color w:val="000000"/>
                <w:kern w:val="0"/>
                <w:szCs w:val="24"/>
              </w:rPr>
              <w:t>m,Q235B</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6</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反应器辅件</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非标（</w:t>
            </w:r>
            <w:r>
              <w:rPr>
                <w:rFonts w:hint="eastAsia" w:cs="Times New Roman"/>
                <w:color w:val="000000"/>
                <w:kern w:val="0"/>
                <w:szCs w:val="24"/>
              </w:rPr>
              <w:t>内部加热盘管</w:t>
            </w:r>
            <w:r>
              <w:rPr>
                <w:rFonts w:cs="Times New Roman"/>
                <w:color w:val="000000"/>
                <w:kern w:val="0"/>
                <w:szCs w:val="24"/>
              </w:rPr>
              <w:t>、顶部盖板、加强板、加强型钢）</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项</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7</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水封罐</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主要材质304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座</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8</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脱水罐</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主要材质304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座</w:t>
            </w:r>
            <w:r>
              <w:rPr>
                <w:rFonts w:cs="Times New Roman"/>
                <w:color w:val="000000"/>
                <w:kern w:val="0"/>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9</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厌氧温度传感器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4~20ma，220V，带现场显示，带信号传输</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沼气脱硫设施</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火炬</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主体304材质，独立系统，带PLC控制，点火方式：自动。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厌氧沼气防爆电动阀</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防爆等级CT6，4~20ma</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rFonts w:hint="eastAsia"/>
                <w:color w:val="000000"/>
                <w:kern w:val="0"/>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rFonts w:hint="eastAsia"/>
                <w:color w:val="000000"/>
                <w:kern w:val="0"/>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厌氧循环电磁流量计</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防爆等级CT6，4~20ma，0~40m</w:t>
            </w:r>
            <w:r>
              <w:rPr>
                <w:rFonts w:hint="eastAsia"/>
                <w:color w:val="000000"/>
                <w:kern w:val="0"/>
                <w:vertAlign w:val="superscript"/>
              </w:rPr>
              <w:t>3</w:t>
            </w:r>
            <w:r>
              <w:rPr>
                <w:rFonts w:hint="eastAsia"/>
                <w:color w:val="000000"/>
                <w:kern w:val="0"/>
              </w:rPr>
              <w:t>/h，24V，带信号输出，法兰DN100</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rFonts w:hint="eastAsia"/>
                <w:color w:val="000000"/>
                <w:kern w:val="0"/>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rFonts w:hint="eastAsia"/>
                <w:color w:val="000000"/>
                <w:kern w:val="0"/>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r>
              <w:rPr>
                <w:rFonts w:hint="eastAsia"/>
                <w:color w:val="000000"/>
                <w:kern w:val="0"/>
              </w:rPr>
              <w:t>可燃气体检测仪</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rFonts w:hint="eastAsia"/>
                <w:color w:val="000000"/>
                <w:kern w:val="0"/>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rFonts w:hint="eastAsia"/>
                <w:color w:val="000000"/>
                <w:kern w:val="0"/>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noWrap/>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八</w:t>
            </w:r>
            <w:r>
              <w:rPr>
                <w:rFonts w:cs="Times New Roman"/>
                <w:color w:val="000000"/>
                <w:kern w:val="0"/>
                <w:szCs w:val="24"/>
              </w:rPr>
              <w:t>、好氧系统</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一级液下搅拌器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SS304安装系统</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一级射流循环泵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卧式离心泵，</w:t>
            </w:r>
            <w:r>
              <w:rPr>
                <w:rFonts w:hint="eastAsia" w:cs="Times New Roman"/>
                <w:color w:val="000000"/>
                <w:kern w:val="0"/>
                <w:szCs w:val="24"/>
              </w:rPr>
              <w:t>过流部件SS304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4</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一级射流器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316</w:t>
            </w:r>
            <w:r>
              <w:rPr>
                <w:rFonts w:hint="eastAsia" w:cs="Times New Roman"/>
                <w:color w:val="000000"/>
                <w:kern w:val="0"/>
                <w:szCs w:val="24"/>
              </w:rPr>
              <w:t>材质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硝酸盐回流泵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卧式离心泵</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二级液下搅拌器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SS304安装系统</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6</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二级射流循环泵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卧式离心泵，</w:t>
            </w:r>
            <w:r>
              <w:rPr>
                <w:rFonts w:hint="eastAsia" w:cs="Times New Roman"/>
                <w:color w:val="000000"/>
                <w:kern w:val="0"/>
                <w:szCs w:val="24"/>
              </w:rPr>
              <w:t>过流部件SS304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7</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二级射流器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316材质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8</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冷却塔</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Q=</w:t>
            </w:r>
            <w:r>
              <w:rPr>
                <w:rFonts w:hint="eastAsia" w:cs="Times New Roman"/>
                <w:color w:val="000000"/>
                <w:kern w:val="0"/>
                <w:szCs w:val="24"/>
              </w:rPr>
              <w:t>8</w:t>
            </w:r>
            <w:r>
              <w:rPr>
                <w:rFonts w:cs="Times New Roman"/>
                <w:color w:val="000000"/>
                <w:kern w:val="0"/>
                <w:szCs w:val="24"/>
              </w:rPr>
              <w:t>0m</w:t>
            </w:r>
            <w:r>
              <w:rPr>
                <w:rFonts w:cs="Times New Roman"/>
                <w:color w:val="000000"/>
                <w:kern w:val="0"/>
                <w:szCs w:val="24"/>
                <w:vertAlign w:val="superscript"/>
              </w:rPr>
              <w:t>3</w:t>
            </w:r>
            <w:r>
              <w:rPr>
                <w:rFonts w:cs="Times New Roman"/>
                <w:color w:val="000000"/>
                <w:kern w:val="0"/>
                <w:szCs w:val="24"/>
              </w:rPr>
              <w:t>/h，玻璃钢材质，</w:t>
            </w:r>
            <w:r>
              <w:rPr>
                <w:rFonts w:hint="eastAsia" w:cs="Times New Roman"/>
                <w:color w:val="000000"/>
                <w:kern w:val="0"/>
                <w:szCs w:val="24"/>
              </w:rPr>
              <w:t>3</w:t>
            </w:r>
            <w:r>
              <w:rPr>
                <w:rFonts w:cs="Times New Roman"/>
                <w:color w:val="000000"/>
                <w:kern w:val="0"/>
                <w:szCs w:val="24"/>
              </w:rPr>
              <w:t>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座</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9</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冷却污泥泵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卧式离心泵</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10</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冷却进水泵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卧式离心泵</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板式换热器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板片为不锈钢材质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O池溶氧仪</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4-20ma输出，220V，带检测温度，测量深度3.2m，配保护套管，带信号输出</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曝气池曝气风机</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Q=19.1m</w:t>
            </w:r>
            <w:r>
              <w:rPr>
                <w:rFonts w:hint="eastAsia" w:cs="Times New Roman"/>
                <w:color w:val="000000"/>
                <w:kern w:val="0"/>
                <w:szCs w:val="24"/>
                <w:vertAlign w:val="superscript"/>
              </w:rPr>
              <w:t>3</w:t>
            </w:r>
            <w:r>
              <w:rPr>
                <w:rFonts w:hint="eastAsia" w:cs="Times New Roman"/>
                <w:color w:val="000000"/>
                <w:kern w:val="0"/>
                <w:szCs w:val="24"/>
              </w:rPr>
              <w:t>/min,60Kpa，变频</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2</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noWrap/>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九</w:t>
            </w:r>
            <w:r>
              <w:rPr>
                <w:rFonts w:cs="Times New Roman"/>
                <w:color w:val="000000"/>
                <w:kern w:val="0"/>
                <w:szCs w:val="24"/>
              </w:rPr>
              <w:t>、MBR系统</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cs="Times New Roman"/>
              </w:rPr>
            </w:pPr>
            <w:r>
              <w:rPr>
                <w:rFonts w:cs="Times New Roman"/>
              </w:rPr>
              <w:t>1</w:t>
            </w:r>
          </w:p>
        </w:tc>
        <w:tc>
          <w:tcPr>
            <w:tcW w:w="2693" w:type="dxa"/>
            <w:tcBorders>
              <w:top w:val="nil"/>
              <w:left w:val="nil"/>
              <w:bottom w:val="single" w:color="auto" w:sz="4" w:space="0"/>
              <w:right w:val="single" w:color="auto" w:sz="4" w:space="0"/>
            </w:tcBorders>
            <w:shd w:val="clear" w:color="auto" w:fill="auto"/>
            <w:vAlign w:val="center"/>
          </w:tcPr>
          <w:p>
            <w:pPr>
              <w:ind w:firstLine="0" w:firstLineChars="0"/>
              <w:rPr>
                <w:rFonts w:cs="Times New Roman"/>
              </w:rPr>
            </w:pPr>
            <w:r>
              <w:rPr>
                <w:rFonts w:hint="eastAsia" w:cs="Times New Roman"/>
              </w:rPr>
              <w:t>MBR管式膜组件</w:t>
            </w:r>
          </w:p>
        </w:tc>
        <w:tc>
          <w:tcPr>
            <w:tcW w:w="6804" w:type="dxa"/>
            <w:tcBorders>
              <w:top w:val="nil"/>
              <w:left w:val="nil"/>
              <w:bottom w:val="single" w:color="auto" w:sz="4" w:space="0"/>
              <w:right w:val="single" w:color="auto" w:sz="4" w:space="0"/>
            </w:tcBorders>
            <w:shd w:val="clear" w:color="auto" w:fill="auto"/>
            <w:vAlign w:val="center"/>
          </w:tcPr>
          <w:p>
            <w:pPr>
              <w:ind w:firstLine="0" w:firstLineChars="0"/>
            </w:pPr>
            <w:r>
              <w:rPr>
                <w:rFonts w:hint="eastAsia"/>
              </w:rPr>
              <w:t>出力30m3/d，配套循环泵、反洗泵、清洗装置等附属系统</w:t>
            </w:r>
          </w:p>
          <w:p>
            <w:pPr>
              <w:pStyle w:val="2"/>
              <w:ind w:firstLine="480"/>
            </w:pPr>
            <w:r>
              <w:rPr>
                <w:rFonts w:hint="eastAsia"/>
                <w:color w:val="000000"/>
                <w:kern w:val="0"/>
              </w:rPr>
              <w:t>膜材质PVDF,通量60-70L/m2.h</w:t>
            </w:r>
          </w:p>
        </w:tc>
        <w:tc>
          <w:tcPr>
            <w:tcW w:w="850"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rPr>
            </w:pPr>
            <w:r>
              <w:rPr>
                <w:rFonts w:hint="eastAsia" w:cs="Times New Roman"/>
              </w:rPr>
              <w:t>套</w:t>
            </w:r>
          </w:p>
        </w:tc>
        <w:tc>
          <w:tcPr>
            <w:tcW w:w="993"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rPr>
            </w:pPr>
            <w:r>
              <w:rPr>
                <w:rFonts w:hint="eastAsia" w:cs="Times New Roman"/>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十</w:t>
            </w:r>
            <w:r>
              <w:rPr>
                <w:rFonts w:cs="Times New Roman"/>
                <w:color w:val="000000"/>
                <w:kern w:val="0"/>
                <w:szCs w:val="24"/>
              </w:rPr>
              <w:t>、污泥处理</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污泥脱水进料泵</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螺杆泵，G30-1,5M3/h，p=2.2KW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污泥脱水机</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流量3m</w:t>
            </w:r>
            <w:r>
              <w:rPr>
                <w:rFonts w:hint="eastAsia" w:cs="Times New Roman"/>
                <w:color w:val="000000"/>
                <w:kern w:val="0"/>
                <w:szCs w:val="24"/>
                <w:vertAlign w:val="superscript"/>
              </w:rPr>
              <w:t>3</w:t>
            </w:r>
            <w:r>
              <w:rPr>
                <w:rFonts w:hint="eastAsia" w:cs="Times New Roman"/>
                <w:color w:val="000000"/>
                <w:kern w:val="0"/>
                <w:szCs w:val="24"/>
              </w:rPr>
              <w:t>/h，绝干污泥量30-40KG/天</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座</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絮凝剂制备</w:t>
            </w:r>
            <w:r>
              <w:rPr>
                <w:rFonts w:hint="eastAsia" w:cs="Times New Roman"/>
                <w:color w:val="000000"/>
                <w:kern w:val="0"/>
                <w:szCs w:val="24"/>
              </w:rPr>
              <w:t>/投加</w:t>
            </w:r>
            <w:r>
              <w:rPr>
                <w:rFonts w:cs="Times New Roman"/>
                <w:color w:val="000000"/>
                <w:kern w:val="0"/>
                <w:szCs w:val="24"/>
              </w:rPr>
              <w:t>装置</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含配药/加药系统，全自动配药，计量泵200L/h，0.7Mpa，0.37KW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十一</w:t>
            </w:r>
            <w:r>
              <w:rPr>
                <w:rFonts w:cs="Times New Roman"/>
                <w:color w:val="000000"/>
                <w:kern w:val="0"/>
                <w:szCs w:val="24"/>
              </w:rPr>
              <w:t>、</w:t>
            </w:r>
            <w:r>
              <w:rPr>
                <w:rFonts w:hint="eastAsia" w:cs="Times New Roman"/>
                <w:color w:val="000000"/>
                <w:kern w:val="0"/>
                <w:szCs w:val="24"/>
              </w:rPr>
              <w:t>泡沫处理系统</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消泡剂投加装置</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pPr>
            <w:r>
              <w:rPr>
                <w:rFonts w:hint="eastAsia"/>
              </w:rPr>
              <w:t>计量泵，100L/h，1.0Mpa，0.37KW，搅拌机0.75KW</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十二</w:t>
            </w:r>
            <w:r>
              <w:rPr>
                <w:rFonts w:cs="Times New Roman"/>
                <w:color w:val="000000"/>
                <w:kern w:val="0"/>
                <w:szCs w:val="24"/>
              </w:rPr>
              <w:t>、</w:t>
            </w:r>
            <w:r>
              <w:rPr>
                <w:rFonts w:hint="eastAsia" w:cs="Times New Roman"/>
                <w:color w:val="000000"/>
                <w:kern w:val="0"/>
                <w:szCs w:val="24"/>
              </w:rPr>
              <w:t>厌氧加热</w:t>
            </w:r>
            <w:r>
              <w:rPr>
                <w:rFonts w:cs="Times New Roman"/>
                <w:color w:val="000000"/>
                <w:kern w:val="0"/>
                <w:szCs w:val="24"/>
              </w:rPr>
              <w:t>系统</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tcPr>
          <w:p>
            <w:pPr>
              <w:ind w:firstLine="0" w:firstLineChars="0"/>
              <w:rPr>
                <w:rFonts w:cs="Times New Roman"/>
              </w:rPr>
            </w:pPr>
            <w:r>
              <w:rPr>
                <w:rFonts w:hint="eastAsia" w:cs="Times New Roman"/>
              </w:rPr>
              <w:t>电热水锅炉</w:t>
            </w:r>
          </w:p>
        </w:tc>
        <w:tc>
          <w:tcPr>
            <w:tcW w:w="6804" w:type="dxa"/>
            <w:tcBorders>
              <w:top w:val="nil"/>
              <w:left w:val="nil"/>
              <w:bottom w:val="single" w:color="auto" w:sz="4" w:space="0"/>
              <w:right w:val="single" w:color="auto" w:sz="4" w:space="0"/>
            </w:tcBorders>
            <w:shd w:val="clear" w:color="auto" w:fill="auto"/>
          </w:tcPr>
          <w:p>
            <w:pPr>
              <w:ind w:firstLine="0" w:firstLineChars="0"/>
              <w:rPr>
                <w:rFonts w:cs="Times New Roman"/>
              </w:rPr>
            </w:pPr>
            <w:r>
              <w:rPr>
                <w:rFonts w:hint="eastAsia" w:cs="Times New Roman"/>
              </w:rPr>
              <w:t>60KW</w:t>
            </w:r>
          </w:p>
        </w:tc>
        <w:tc>
          <w:tcPr>
            <w:tcW w:w="850" w:type="dxa"/>
            <w:tcBorders>
              <w:top w:val="nil"/>
              <w:left w:val="nil"/>
              <w:bottom w:val="single" w:color="auto" w:sz="4" w:space="0"/>
              <w:right w:val="single" w:color="auto" w:sz="4" w:space="0"/>
            </w:tcBorders>
            <w:shd w:val="clear" w:color="auto" w:fill="auto"/>
            <w:noWrap/>
          </w:tcPr>
          <w:p>
            <w:pPr>
              <w:ind w:firstLine="0" w:firstLineChars="0"/>
              <w:jc w:val="center"/>
              <w:rPr>
                <w:rFonts w:cs="Times New Roman"/>
              </w:rPr>
            </w:pPr>
            <w:r>
              <w:rPr>
                <w:rFonts w:hint="eastAsia" w:cs="Times New Roman"/>
              </w:rPr>
              <w:t>台</w:t>
            </w:r>
          </w:p>
        </w:tc>
        <w:tc>
          <w:tcPr>
            <w:tcW w:w="993" w:type="dxa"/>
            <w:tcBorders>
              <w:top w:val="nil"/>
              <w:left w:val="nil"/>
              <w:bottom w:val="single" w:color="auto" w:sz="4" w:space="0"/>
              <w:right w:val="single" w:color="auto" w:sz="4" w:space="0"/>
            </w:tcBorders>
            <w:shd w:val="clear" w:color="auto" w:fill="auto"/>
          </w:tcPr>
          <w:p>
            <w:pPr>
              <w:ind w:firstLine="0" w:firstLineChars="0"/>
              <w:jc w:val="center"/>
              <w:rPr>
                <w:rFonts w:cs="Times New Roman"/>
              </w:rPr>
            </w:pPr>
            <w:r>
              <w:rPr>
                <w:rFonts w:hint="eastAsia" w:cs="Times New Roman"/>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sz w:val="21"/>
                <w:szCs w:val="21"/>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tcPr>
          <w:p>
            <w:pPr>
              <w:ind w:firstLine="0" w:firstLineChars="0"/>
              <w:rPr>
                <w:rFonts w:cs="Times New Roman"/>
              </w:rPr>
            </w:pPr>
            <w:r>
              <w:rPr>
                <w:rFonts w:hint="eastAsia" w:cs="Times New Roman"/>
              </w:rPr>
              <w:t>软水系统</w:t>
            </w:r>
          </w:p>
        </w:tc>
        <w:tc>
          <w:tcPr>
            <w:tcW w:w="6804" w:type="dxa"/>
            <w:tcBorders>
              <w:top w:val="nil"/>
              <w:left w:val="nil"/>
              <w:bottom w:val="single" w:color="auto" w:sz="4" w:space="0"/>
              <w:right w:val="single" w:color="auto" w:sz="4" w:space="0"/>
            </w:tcBorders>
            <w:shd w:val="clear" w:color="auto" w:fill="auto"/>
          </w:tcPr>
          <w:p>
            <w:pPr>
              <w:ind w:firstLine="0" w:firstLineChars="0"/>
              <w:rPr>
                <w:rFonts w:cs="Times New Roman"/>
              </w:rPr>
            </w:pPr>
            <w:r>
              <w:rPr>
                <w:rFonts w:hint="eastAsia" w:cs="Times New Roman"/>
              </w:rPr>
              <w:t>含软水处理器，树脂罐，盐水箱</w:t>
            </w:r>
          </w:p>
        </w:tc>
        <w:tc>
          <w:tcPr>
            <w:tcW w:w="850" w:type="dxa"/>
            <w:tcBorders>
              <w:top w:val="nil"/>
              <w:left w:val="nil"/>
              <w:bottom w:val="single" w:color="auto" w:sz="4" w:space="0"/>
              <w:right w:val="single" w:color="auto" w:sz="4" w:space="0"/>
            </w:tcBorders>
            <w:shd w:val="clear" w:color="auto" w:fill="auto"/>
            <w:noWrap/>
          </w:tcPr>
          <w:p>
            <w:pPr>
              <w:ind w:firstLine="0" w:firstLineChars="0"/>
              <w:jc w:val="center"/>
              <w:rPr>
                <w:rFonts w:cs="Times New Roman"/>
              </w:rPr>
            </w:pPr>
            <w:r>
              <w:rPr>
                <w:rFonts w:hint="eastAsia" w:cs="Times New Roman"/>
              </w:rPr>
              <w:t>套</w:t>
            </w:r>
          </w:p>
        </w:tc>
        <w:tc>
          <w:tcPr>
            <w:tcW w:w="993" w:type="dxa"/>
            <w:tcBorders>
              <w:top w:val="nil"/>
              <w:left w:val="nil"/>
              <w:bottom w:val="single" w:color="auto" w:sz="4" w:space="0"/>
              <w:right w:val="single" w:color="auto" w:sz="4" w:space="0"/>
            </w:tcBorders>
            <w:shd w:val="clear" w:color="auto" w:fill="auto"/>
          </w:tcPr>
          <w:p>
            <w:pPr>
              <w:ind w:firstLine="0" w:firstLineChars="0"/>
              <w:jc w:val="center"/>
              <w:rPr>
                <w:rFonts w:cs="Times New Roman"/>
              </w:rPr>
            </w:pPr>
            <w:r>
              <w:rPr>
                <w:rFonts w:hint="eastAsia" w:cs="Times New Roman"/>
              </w:rPr>
              <w:t>1</w:t>
            </w:r>
          </w:p>
        </w:tc>
        <w:tc>
          <w:tcPr>
            <w:tcW w:w="1827" w:type="dxa"/>
            <w:tcBorders>
              <w:top w:val="nil"/>
              <w:left w:val="nil"/>
              <w:bottom w:val="single" w:color="auto" w:sz="4" w:space="0"/>
              <w:right w:val="single" w:color="auto" w:sz="4" w:space="0"/>
            </w:tcBorders>
            <w:shd w:val="clear" w:color="auto" w:fill="auto"/>
            <w:noWrap/>
            <w:vAlign w:val="center"/>
          </w:tcPr>
          <w:p>
            <w:pPr>
              <w:ind w:firstLine="0" w:firstLineChars="0"/>
              <w:jc w:val="center"/>
              <w:rPr>
                <w:rFonts w:cs="Times New Roman"/>
                <w:color w:val="000000"/>
                <w:sz w:val="21"/>
                <w:szCs w:val="21"/>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tcPr>
          <w:p>
            <w:pPr>
              <w:ind w:firstLine="0" w:firstLineChars="0"/>
              <w:rPr>
                <w:rFonts w:cs="Times New Roman"/>
              </w:rPr>
            </w:pPr>
            <w:r>
              <w:rPr>
                <w:rFonts w:hint="eastAsia" w:cs="Times New Roman"/>
              </w:rPr>
              <w:t>热交换泵</w:t>
            </w:r>
          </w:p>
        </w:tc>
        <w:tc>
          <w:tcPr>
            <w:tcW w:w="6804" w:type="dxa"/>
            <w:tcBorders>
              <w:top w:val="nil"/>
              <w:left w:val="nil"/>
              <w:bottom w:val="single" w:color="auto" w:sz="4" w:space="0"/>
              <w:right w:val="single" w:color="auto" w:sz="4" w:space="0"/>
            </w:tcBorders>
            <w:shd w:val="clear" w:color="auto" w:fill="auto"/>
          </w:tcPr>
          <w:p>
            <w:pPr>
              <w:ind w:firstLine="0" w:firstLineChars="0"/>
              <w:rPr>
                <w:rFonts w:cs="Times New Roman"/>
              </w:rPr>
            </w:pPr>
            <w:r>
              <w:rPr>
                <w:rFonts w:hint="eastAsia" w:cs="Times New Roman"/>
              </w:rPr>
              <w:t>T40，8m</w:t>
            </w:r>
            <w:r>
              <w:rPr>
                <w:rFonts w:hint="eastAsia" w:cs="Times New Roman"/>
                <w:vertAlign w:val="superscript"/>
              </w:rPr>
              <w:t>3</w:t>
            </w:r>
            <w:r>
              <w:rPr>
                <w:rFonts w:hint="eastAsia" w:cs="Times New Roman"/>
              </w:rPr>
              <w:t>/h，H=15m，1.5KW</w:t>
            </w:r>
          </w:p>
        </w:tc>
        <w:tc>
          <w:tcPr>
            <w:tcW w:w="850" w:type="dxa"/>
            <w:tcBorders>
              <w:top w:val="nil"/>
              <w:left w:val="nil"/>
              <w:bottom w:val="single" w:color="auto" w:sz="4" w:space="0"/>
              <w:right w:val="single" w:color="auto" w:sz="4" w:space="0"/>
            </w:tcBorders>
            <w:shd w:val="clear" w:color="auto" w:fill="auto"/>
            <w:noWrap/>
          </w:tcPr>
          <w:p>
            <w:pPr>
              <w:ind w:firstLine="0" w:firstLineChars="0"/>
              <w:jc w:val="center"/>
              <w:rPr>
                <w:rFonts w:cs="Times New Roman"/>
              </w:rPr>
            </w:pPr>
            <w:r>
              <w:rPr>
                <w:rFonts w:hint="eastAsia" w:cs="Times New Roman"/>
              </w:rPr>
              <w:t>台</w:t>
            </w:r>
          </w:p>
        </w:tc>
        <w:tc>
          <w:tcPr>
            <w:tcW w:w="993" w:type="dxa"/>
            <w:tcBorders>
              <w:top w:val="nil"/>
              <w:left w:val="nil"/>
              <w:bottom w:val="single" w:color="auto" w:sz="4" w:space="0"/>
              <w:right w:val="single" w:color="auto" w:sz="4" w:space="0"/>
            </w:tcBorders>
            <w:shd w:val="clear" w:color="auto" w:fill="auto"/>
          </w:tcPr>
          <w:p>
            <w:pPr>
              <w:ind w:firstLine="0" w:firstLineChars="0"/>
              <w:jc w:val="center"/>
              <w:rPr>
                <w:rFonts w:cs="Times New Roman"/>
              </w:rPr>
            </w:pPr>
            <w:r>
              <w:rPr>
                <w:rFonts w:hint="eastAsia" w:cs="Times New Roman"/>
              </w:rPr>
              <w:t>2</w:t>
            </w:r>
          </w:p>
        </w:tc>
        <w:tc>
          <w:tcPr>
            <w:tcW w:w="1827"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color w:val="000000"/>
                <w:sz w:val="21"/>
                <w:szCs w:val="21"/>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十三、出水系统</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sz w:val="21"/>
                <w:szCs w:val="21"/>
              </w:rPr>
            </w:pPr>
            <w:r>
              <w:rPr>
                <w:rFonts w:hint="eastAsia" w:cs="Times New Roman"/>
                <w:color w:val="000000"/>
                <w:sz w:val="21"/>
                <w:szCs w:val="21"/>
              </w:rPr>
              <w:t>次钠投加系统</w:t>
            </w:r>
          </w:p>
        </w:tc>
        <w:tc>
          <w:tcPr>
            <w:tcW w:w="6804" w:type="dxa"/>
            <w:tcBorders>
              <w:top w:val="nil"/>
              <w:left w:val="nil"/>
              <w:bottom w:val="single" w:color="auto" w:sz="4" w:space="0"/>
              <w:right w:val="single" w:color="auto" w:sz="4" w:space="0"/>
            </w:tcBorders>
            <w:shd w:val="clear" w:color="auto" w:fill="auto"/>
            <w:vAlign w:val="center"/>
          </w:tcPr>
          <w:p>
            <w:pPr>
              <w:ind w:firstLine="0" w:firstLineChars="0"/>
              <w:rPr>
                <w:rFonts w:cs="Times New Roman"/>
                <w:color w:val="000000"/>
                <w:sz w:val="21"/>
                <w:szCs w:val="21"/>
              </w:rPr>
            </w:pPr>
            <w:r>
              <w:rPr>
                <w:rFonts w:hint="eastAsia" w:cs="Times New Roman"/>
                <w:color w:val="000000"/>
                <w:sz w:val="21"/>
                <w:szCs w:val="21"/>
              </w:rPr>
              <w:t>含加药箱、加药泵</w:t>
            </w:r>
          </w:p>
        </w:tc>
        <w:tc>
          <w:tcPr>
            <w:tcW w:w="850"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color w:val="000000"/>
                <w:sz w:val="21"/>
                <w:szCs w:val="21"/>
              </w:rPr>
            </w:pPr>
            <w:r>
              <w:rPr>
                <w:rFonts w:hint="eastAsia" w:cs="Times New Roman"/>
                <w:color w:val="000000"/>
                <w:sz w:val="21"/>
                <w:szCs w:val="21"/>
              </w:rPr>
              <w:t>套</w:t>
            </w:r>
          </w:p>
        </w:tc>
        <w:tc>
          <w:tcPr>
            <w:tcW w:w="993"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color w:val="000000"/>
                <w:sz w:val="21"/>
                <w:szCs w:val="21"/>
              </w:rPr>
            </w:pPr>
            <w:r>
              <w:rPr>
                <w:rFonts w:hint="eastAsia" w:cs="Times New Roman"/>
                <w:color w:val="000000"/>
                <w:sz w:val="21"/>
                <w:szCs w:val="21"/>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sz w:val="20"/>
                <w:szCs w:val="20"/>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2</w:t>
            </w:r>
          </w:p>
        </w:tc>
        <w:tc>
          <w:tcPr>
            <w:tcW w:w="2693" w:type="dxa"/>
            <w:tcBorders>
              <w:top w:val="nil"/>
              <w:left w:val="nil"/>
              <w:bottom w:val="single" w:color="auto" w:sz="4" w:space="0"/>
              <w:right w:val="single" w:color="auto" w:sz="4" w:space="0"/>
            </w:tcBorders>
            <w:shd w:val="clear" w:color="auto" w:fill="auto"/>
            <w:vAlign w:val="center"/>
          </w:tcPr>
          <w:p>
            <w:pPr>
              <w:ind w:firstLine="0" w:firstLineChars="0"/>
              <w:jc w:val="left"/>
              <w:rPr>
                <w:rFonts w:cs="Times New Roman"/>
                <w:color w:val="000000"/>
                <w:sz w:val="21"/>
                <w:szCs w:val="21"/>
              </w:rPr>
            </w:pPr>
            <w:r>
              <w:rPr>
                <w:rFonts w:hint="eastAsia" w:cs="Times New Roman"/>
                <w:color w:val="000000"/>
                <w:sz w:val="21"/>
                <w:szCs w:val="21"/>
              </w:rPr>
              <w:t>出水外排泵</w:t>
            </w:r>
          </w:p>
        </w:tc>
        <w:tc>
          <w:tcPr>
            <w:tcW w:w="6804" w:type="dxa"/>
            <w:tcBorders>
              <w:top w:val="nil"/>
              <w:left w:val="nil"/>
              <w:bottom w:val="single" w:color="auto" w:sz="4" w:space="0"/>
              <w:right w:val="single" w:color="auto" w:sz="4" w:space="0"/>
            </w:tcBorders>
            <w:shd w:val="clear" w:color="auto" w:fill="auto"/>
            <w:vAlign w:val="center"/>
          </w:tcPr>
          <w:p>
            <w:pPr>
              <w:ind w:firstLine="0" w:firstLineChars="0"/>
              <w:rPr>
                <w:rFonts w:cs="Times New Roman"/>
                <w:color w:val="000000"/>
                <w:sz w:val="21"/>
                <w:szCs w:val="21"/>
              </w:rPr>
            </w:pPr>
            <w:r>
              <w:rPr>
                <w:rFonts w:hint="eastAsia" w:cs="Times New Roman"/>
                <w:color w:val="000000"/>
                <w:sz w:val="21"/>
                <w:szCs w:val="21"/>
              </w:rPr>
              <w:t>Q=10m³/h，H=10m,0.75KW</w:t>
            </w:r>
          </w:p>
        </w:tc>
        <w:tc>
          <w:tcPr>
            <w:tcW w:w="850"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color w:val="000000"/>
                <w:sz w:val="21"/>
                <w:szCs w:val="21"/>
              </w:rPr>
            </w:pPr>
            <w:r>
              <w:rPr>
                <w:rFonts w:hint="eastAsia" w:cs="Times New Roman"/>
                <w:color w:val="000000"/>
                <w:sz w:val="21"/>
                <w:szCs w:val="21"/>
              </w:rPr>
              <w:t>台</w:t>
            </w:r>
          </w:p>
        </w:tc>
        <w:tc>
          <w:tcPr>
            <w:tcW w:w="993"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color w:val="000000"/>
                <w:sz w:val="21"/>
                <w:szCs w:val="21"/>
              </w:rPr>
            </w:pPr>
            <w:r>
              <w:rPr>
                <w:rFonts w:hint="eastAsia" w:cs="Times New Roman"/>
                <w:color w:val="000000"/>
                <w:sz w:val="21"/>
                <w:szCs w:val="21"/>
              </w:rPr>
              <w:t>1</w:t>
            </w:r>
          </w:p>
        </w:tc>
        <w:tc>
          <w:tcPr>
            <w:tcW w:w="1827" w:type="dxa"/>
            <w:tcBorders>
              <w:top w:val="nil"/>
              <w:left w:val="nil"/>
              <w:bottom w:val="single" w:color="auto" w:sz="4" w:space="0"/>
              <w:right w:val="single" w:color="auto" w:sz="4" w:space="0"/>
            </w:tcBorders>
            <w:shd w:val="clear" w:color="auto" w:fill="auto"/>
            <w:noWrap/>
            <w:vAlign w:val="center"/>
          </w:tcPr>
          <w:p>
            <w:pPr>
              <w:ind w:firstLine="0" w:firstLineChars="0"/>
              <w:jc w:val="center"/>
              <w:rPr>
                <w:rFonts w:cs="Times New Roman"/>
                <w:color w:val="000000"/>
                <w:sz w:val="20"/>
                <w:szCs w:val="20"/>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3</w:t>
            </w:r>
          </w:p>
        </w:tc>
        <w:tc>
          <w:tcPr>
            <w:tcW w:w="2693" w:type="dxa"/>
            <w:tcBorders>
              <w:top w:val="nil"/>
              <w:left w:val="nil"/>
              <w:bottom w:val="single" w:color="auto" w:sz="4" w:space="0"/>
              <w:right w:val="single" w:color="auto" w:sz="4" w:space="0"/>
            </w:tcBorders>
            <w:shd w:val="clear" w:color="auto" w:fill="auto"/>
            <w:vAlign w:val="center"/>
          </w:tcPr>
          <w:p>
            <w:pPr>
              <w:ind w:firstLine="0" w:firstLineChars="0"/>
              <w:jc w:val="left"/>
              <w:rPr>
                <w:rFonts w:cs="Times New Roman"/>
                <w:color w:val="000000"/>
                <w:sz w:val="21"/>
                <w:szCs w:val="21"/>
              </w:rPr>
            </w:pPr>
            <w:r>
              <w:rPr>
                <w:rFonts w:hint="eastAsia" w:cs="Times New Roman"/>
                <w:color w:val="000000"/>
                <w:sz w:val="21"/>
                <w:szCs w:val="21"/>
              </w:rPr>
              <w:t>巴歇尔槽</w:t>
            </w:r>
          </w:p>
        </w:tc>
        <w:tc>
          <w:tcPr>
            <w:tcW w:w="6804" w:type="dxa"/>
            <w:tcBorders>
              <w:top w:val="nil"/>
              <w:left w:val="nil"/>
              <w:bottom w:val="single" w:color="auto" w:sz="4" w:space="0"/>
              <w:right w:val="single" w:color="auto" w:sz="4" w:space="0"/>
            </w:tcBorders>
            <w:shd w:val="clear" w:color="auto" w:fill="auto"/>
            <w:vAlign w:val="center"/>
          </w:tcPr>
          <w:p>
            <w:pPr>
              <w:ind w:firstLine="0" w:firstLineChars="0"/>
              <w:rPr>
                <w:rFonts w:cs="Times New Roman"/>
                <w:color w:val="000000"/>
                <w:sz w:val="21"/>
                <w:szCs w:val="21"/>
              </w:rPr>
            </w:pPr>
          </w:p>
        </w:tc>
        <w:tc>
          <w:tcPr>
            <w:tcW w:w="850"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color w:val="000000"/>
                <w:sz w:val="21"/>
                <w:szCs w:val="21"/>
              </w:rPr>
            </w:pPr>
            <w:r>
              <w:rPr>
                <w:rFonts w:hint="eastAsia" w:cs="Times New Roman"/>
                <w:color w:val="000000"/>
                <w:sz w:val="21"/>
                <w:szCs w:val="21"/>
              </w:rPr>
              <w:t>座</w:t>
            </w:r>
          </w:p>
        </w:tc>
        <w:tc>
          <w:tcPr>
            <w:tcW w:w="993"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color w:val="000000"/>
                <w:sz w:val="21"/>
                <w:szCs w:val="21"/>
              </w:rPr>
            </w:pPr>
            <w:r>
              <w:rPr>
                <w:rFonts w:hint="eastAsia" w:cs="Times New Roman"/>
                <w:color w:val="000000"/>
                <w:sz w:val="21"/>
                <w:szCs w:val="21"/>
              </w:rPr>
              <w:t>1</w:t>
            </w:r>
          </w:p>
        </w:tc>
        <w:tc>
          <w:tcPr>
            <w:tcW w:w="1827" w:type="dxa"/>
            <w:tcBorders>
              <w:top w:val="nil"/>
              <w:left w:val="nil"/>
              <w:bottom w:val="single" w:color="auto" w:sz="4" w:space="0"/>
              <w:right w:val="single" w:color="auto" w:sz="4" w:space="0"/>
            </w:tcBorders>
            <w:shd w:val="clear" w:color="auto" w:fill="auto"/>
            <w:vAlign w:val="center"/>
          </w:tcPr>
          <w:p>
            <w:pPr>
              <w:ind w:firstLine="0" w:firstLineChars="0"/>
              <w:jc w:val="center"/>
              <w:rPr>
                <w:rFonts w:cs="Times New Roman"/>
                <w:color w:val="000000"/>
                <w:sz w:val="20"/>
                <w:szCs w:val="20"/>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十四</w:t>
            </w:r>
            <w:r>
              <w:rPr>
                <w:rFonts w:cs="Times New Roman"/>
                <w:color w:val="000000"/>
                <w:kern w:val="0"/>
                <w:szCs w:val="24"/>
              </w:rPr>
              <w:t>、管道阀门</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污水管道阀门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eastAsia="宋体" w:cs="Times New Roman"/>
                <w:color w:val="000000"/>
                <w:kern w:val="0"/>
                <w:szCs w:val="24"/>
                <w:lang w:val="en-US" w:eastAsia="zh-CN"/>
              </w:rPr>
            </w:pPr>
            <w:r>
              <w:rPr>
                <w:rFonts w:cs="Times New Roman"/>
                <w:color w:val="000000"/>
                <w:kern w:val="0"/>
                <w:szCs w:val="24"/>
              </w:rPr>
              <w:t>DN65，DN80，DN150，DN200，DN250，不锈钢/</w:t>
            </w:r>
            <w:r>
              <w:rPr>
                <w:rFonts w:hint="eastAsia" w:cs="Times New Roman"/>
                <w:color w:val="000000"/>
                <w:kern w:val="0"/>
                <w:szCs w:val="24"/>
                <w:lang w:val="en-US" w:eastAsia="zh-CN"/>
              </w:rPr>
              <w:t>UPVC</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排泥管道阀门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DN65，DN80，不锈钢/</w:t>
            </w:r>
            <w:r>
              <w:rPr>
                <w:rFonts w:hint="eastAsia" w:cs="Times New Roman"/>
                <w:color w:val="000000"/>
                <w:kern w:val="0"/>
                <w:szCs w:val="24"/>
                <w:lang w:val="en-US" w:eastAsia="zh-CN"/>
              </w:rPr>
              <w:t>UPVC</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除臭管道阀门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eastAsia="宋体" w:cs="Times New Roman"/>
                <w:color w:val="000000"/>
                <w:kern w:val="0"/>
                <w:szCs w:val="24"/>
                <w:lang w:val="en-US" w:eastAsia="zh-CN"/>
              </w:rPr>
            </w:pPr>
            <w:r>
              <w:rPr>
                <w:rFonts w:cs="Times New Roman"/>
                <w:color w:val="000000"/>
                <w:kern w:val="0"/>
                <w:szCs w:val="24"/>
              </w:rPr>
              <w:t>DN300，DN150，DN100，DN80，</w:t>
            </w:r>
            <w:r>
              <w:rPr>
                <w:rFonts w:hint="eastAsia" w:cs="Times New Roman"/>
                <w:color w:val="000000"/>
                <w:kern w:val="0"/>
                <w:szCs w:val="24"/>
                <w:lang w:val="en-US" w:eastAsia="zh-CN"/>
              </w:rPr>
              <w:t>PP</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曝气管道阀门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DN</w:t>
            </w:r>
            <w:r>
              <w:rPr>
                <w:rFonts w:hint="eastAsia" w:cs="Times New Roman"/>
                <w:color w:val="000000"/>
                <w:kern w:val="0"/>
                <w:szCs w:val="24"/>
              </w:rPr>
              <w:t>200</w:t>
            </w:r>
            <w:r>
              <w:rPr>
                <w:rFonts w:cs="Times New Roman"/>
                <w:color w:val="000000"/>
                <w:kern w:val="0"/>
                <w:szCs w:val="24"/>
              </w:rPr>
              <w:t>，碳钢</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蒸汽管道阀门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DN50，碳钢</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6</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工业水管道阀门管道阀门</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DN40，碳钢</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7</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厌氧沼气管道阀门管道阀门（厌氧区域内）</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DN</w:t>
            </w:r>
            <w:r>
              <w:rPr>
                <w:rFonts w:hint="eastAsia" w:cs="Times New Roman"/>
                <w:color w:val="000000"/>
                <w:kern w:val="0"/>
                <w:szCs w:val="24"/>
              </w:rPr>
              <w:t>80</w:t>
            </w:r>
            <w:r>
              <w:rPr>
                <w:rFonts w:cs="Times New Roman"/>
                <w:color w:val="000000"/>
                <w:kern w:val="0"/>
                <w:szCs w:val="24"/>
              </w:rPr>
              <w:t>，不锈钢304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十五</w:t>
            </w:r>
            <w:r>
              <w:rPr>
                <w:rFonts w:cs="Times New Roman"/>
                <w:color w:val="000000"/>
                <w:kern w:val="0"/>
                <w:szCs w:val="24"/>
              </w:rPr>
              <w:t>、电气自控</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仪表电缆</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批</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4175" w:type="dxa"/>
            <w:gridSpan w:val="6"/>
            <w:tcBorders>
              <w:top w:val="nil"/>
              <w:left w:val="single" w:color="auto" w:sz="4" w:space="0"/>
              <w:bottom w:val="single" w:color="auto" w:sz="4" w:space="0"/>
              <w:right w:val="single" w:color="auto" w:sz="4" w:space="0"/>
            </w:tcBorders>
            <w:shd w:val="clear" w:color="000000" w:fill="C5D9F1"/>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kern w:val="0"/>
                <w:szCs w:val="24"/>
              </w:rPr>
              <w:t>十六</w:t>
            </w:r>
            <w:r>
              <w:rPr>
                <w:rFonts w:cs="Times New Roman"/>
                <w:color w:val="000000"/>
                <w:kern w:val="0"/>
                <w:szCs w:val="24"/>
              </w:rPr>
              <w:t>、电气系统</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抽屉柜</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变频柜</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套</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现场按钮箱</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不锈钢，非标</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hint="eastAsia" w:cs="Times New Roman"/>
                <w:color w:val="000000"/>
                <w:kern w:val="0"/>
                <w:szCs w:val="24"/>
              </w:rPr>
              <w:t>10</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电缆</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批</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5</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cs="Times New Roman"/>
                <w:color w:val="000000"/>
                <w:kern w:val="0"/>
                <w:szCs w:val="24"/>
              </w:rPr>
              <w:t>桥架、穿线管及附件</w:t>
            </w:r>
          </w:p>
        </w:tc>
        <w:tc>
          <w:tcPr>
            <w:tcW w:w="6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4"/>
              </w:rPr>
            </w:pPr>
            <w:r>
              <w:rPr>
                <w:rFonts w:hint="eastAsia" w:cs="Times New Roman"/>
                <w:color w:val="000000" w:themeColor="text1"/>
                <w:kern w:val="0"/>
                <w:szCs w:val="24"/>
                <w:lang w:val="en-US" w:eastAsia="zh-CN"/>
              </w:rPr>
              <w:t>镀锌</w:t>
            </w:r>
            <w:r>
              <w:rPr>
                <w:rFonts w:cs="Times New Roman"/>
                <w:color w:val="000000"/>
                <w:kern w:val="0"/>
                <w:szCs w:val="24"/>
              </w:rPr>
              <w:t>材质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批</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4"/>
              </w:rPr>
            </w:pPr>
            <w:r>
              <w:rPr>
                <w:rFonts w:cs="Times New Roman"/>
                <w:color w:val="000000"/>
                <w:kern w:val="0"/>
                <w:szCs w:val="24"/>
              </w:rPr>
              <w:t>1</w:t>
            </w:r>
          </w:p>
        </w:tc>
        <w:tc>
          <w:tcPr>
            <w:tcW w:w="182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Cs w:val="24"/>
              </w:rPr>
            </w:pPr>
          </w:p>
        </w:tc>
      </w:tr>
    </w:tbl>
    <w:p>
      <w:pPr>
        <w:ind w:firstLine="0" w:firstLineChars="0"/>
        <w:rPr>
          <w:rFonts w:cs="Times New Roman" w:eastAsiaTheme="minorEastAsia"/>
        </w:rPr>
      </w:pPr>
    </w:p>
    <w:bookmarkEnd w:id="145"/>
    <w:bookmarkEnd w:id="146"/>
    <w:p>
      <w:pPr>
        <w:ind w:firstLine="0" w:firstLineChars="0"/>
        <w:rPr>
          <w:rFonts w:cs="Times New Roman" w:eastAsiaTheme="minorEastAsia"/>
        </w:rPr>
        <w:sectPr>
          <w:pgSz w:w="16838" w:h="11906" w:orient="landscape"/>
          <w:pgMar w:top="1800" w:right="1440" w:bottom="1800" w:left="1440" w:header="851" w:footer="992" w:gutter="0"/>
          <w:pgNumType w:fmt="decimal"/>
          <w:cols w:space="425" w:num="1"/>
          <w:docGrid w:type="linesAndChars" w:linePitch="381" w:charSpace="0"/>
        </w:sectPr>
      </w:pPr>
    </w:p>
    <w:p>
      <w:pPr>
        <w:pStyle w:val="3"/>
        <w:adjustRightInd w:val="0"/>
        <w:spacing w:beforeLines="0" w:afterLines="0" w:line="240" w:lineRule="auto"/>
        <w:ind w:firstLine="0" w:firstLineChars="0"/>
        <w:jc w:val="left"/>
        <w:textAlignment w:val="baseline"/>
        <w:rPr>
          <w:rFonts w:cs="Times New Roman"/>
          <w:bCs w:val="0"/>
          <w:szCs w:val="32"/>
        </w:rPr>
      </w:pPr>
      <w:bookmarkStart w:id="149" w:name="_Toc459884258"/>
      <w:bookmarkStart w:id="150" w:name="_Toc459885152"/>
      <w:bookmarkStart w:id="151" w:name="_Toc73367180"/>
      <w:bookmarkStart w:id="152" w:name="_Toc518055176"/>
      <w:bookmarkStart w:id="153" w:name="OLE_LINK2"/>
      <w:bookmarkStart w:id="154" w:name="OLE_LINK1"/>
      <w:r>
        <w:rPr>
          <w:rFonts w:hint="eastAsia" w:cs="Times New Roman"/>
          <w:bCs w:val="0"/>
          <w:szCs w:val="32"/>
        </w:rPr>
        <w:t>七</w:t>
      </w:r>
      <w:r>
        <w:rPr>
          <w:rFonts w:cs="Times New Roman"/>
          <w:bCs w:val="0"/>
          <w:szCs w:val="32"/>
        </w:rPr>
        <w:t>、</w:t>
      </w:r>
      <w:bookmarkEnd w:id="149"/>
      <w:bookmarkEnd w:id="150"/>
      <w:r>
        <w:rPr>
          <w:rFonts w:cs="Times New Roman"/>
          <w:bCs w:val="0"/>
          <w:szCs w:val="32"/>
        </w:rPr>
        <w:t>项目工程实施</w:t>
      </w:r>
      <w:bookmarkEnd w:id="151"/>
      <w:bookmarkEnd w:id="152"/>
    </w:p>
    <w:p>
      <w:pPr>
        <w:pStyle w:val="4"/>
        <w:keepNext w:val="0"/>
        <w:keepLines w:val="0"/>
        <w:spacing w:beforeLines="0" w:afterLines="0"/>
        <w:ind w:firstLine="0" w:firstLineChars="0"/>
        <w:jc w:val="left"/>
        <w:rPr>
          <w:rFonts w:cs="Times New Roman"/>
          <w:sz w:val="28"/>
          <w:szCs w:val="28"/>
        </w:rPr>
      </w:pPr>
      <w:bookmarkStart w:id="155" w:name="_Toc518055177"/>
      <w:bookmarkStart w:id="156" w:name="_Toc73367181"/>
      <w:bookmarkStart w:id="157" w:name="_Toc513531458"/>
      <w:r>
        <w:rPr>
          <w:rFonts w:hint="eastAsia" w:cs="Times New Roman"/>
          <w:sz w:val="28"/>
          <w:szCs w:val="28"/>
        </w:rPr>
        <w:t>7</w:t>
      </w:r>
      <w:r>
        <w:rPr>
          <w:rFonts w:cs="Times New Roman"/>
          <w:sz w:val="28"/>
          <w:szCs w:val="28"/>
        </w:rPr>
        <w:t>.1 工程建设进度计划</w:t>
      </w:r>
      <w:bookmarkEnd w:id="155"/>
      <w:bookmarkEnd w:id="156"/>
      <w:bookmarkEnd w:id="157"/>
    </w:p>
    <w:p>
      <w:pPr>
        <w:ind w:firstLine="0" w:firstLineChars="0"/>
        <w:outlineLvl w:val="2"/>
        <w:rPr>
          <w:rFonts w:cs="Times New Roman"/>
          <w:b/>
          <w:sz w:val="28"/>
          <w:szCs w:val="28"/>
        </w:rPr>
      </w:pPr>
      <w:bookmarkStart w:id="158" w:name="_Toc73367182"/>
      <w:bookmarkStart w:id="159" w:name="_Toc513531459"/>
      <w:bookmarkStart w:id="160" w:name="_Toc336360634"/>
      <w:bookmarkStart w:id="161" w:name="_Toc133832750"/>
      <w:bookmarkStart w:id="162" w:name="_Toc206094434"/>
      <w:r>
        <w:rPr>
          <w:rFonts w:hint="eastAsia" w:cs="Times New Roman"/>
          <w:b/>
          <w:sz w:val="28"/>
          <w:szCs w:val="28"/>
        </w:rPr>
        <w:t>7</w:t>
      </w:r>
      <w:r>
        <w:rPr>
          <w:rFonts w:cs="Times New Roman"/>
          <w:b/>
          <w:sz w:val="28"/>
          <w:szCs w:val="28"/>
        </w:rPr>
        <w:t>.1.1 项目建设安排与进度</w:t>
      </w:r>
      <w:bookmarkEnd w:id="158"/>
      <w:bookmarkEnd w:id="159"/>
      <w:bookmarkEnd w:id="160"/>
      <w:bookmarkEnd w:id="161"/>
      <w:bookmarkEnd w:id="162"/>
    </w:p>
    <w:p>
      <w:pPr>
        <w:ind w:firstLine="560"/>
        <w:rPr>
          <w:rFonts w:cs="Times New Roman" w:eastAsiaTheme="minorEastAsia"/>
          <w:sz w:val="28"/>
          <w:szCs w:val="28"/>
        </w:rPr>
      </w:pPr>
      <w:r>
        <w:rPr>
          <w:rFonts w:cs="Times New Roman" w:eastAsiaTheme="minorEastAsia"/>
          <w:sz w:val="28"/>
          <w:szCs w:val="28"/>
        </w:rPr>
        <w:t>本工程计划工期总日历天数120天。</w:t>
      </w:r>
    </w:p>
    <w:p>
      <w:pPr>
        <w:ind w:firstLine="560"/>
        <w:rPr>
          <w:rFonts w:cs="Times New Roman" w:eastAsiaTheme="minorEastAsia"/>
          <w:sz w:val="28"/>
          <w:szCs w:val="28"/>
        </w:rPr>
      </w:pPr>
      <w:r>
        <w:rPr>
          <w:rFonts w:cs="Times New Roman" w:eastAsiaTheme="minorEastAsia"/>
          <w:sz w:val="28"/>
          <w:szCs w:val="28"/>
        </w:rPr>
        <w:t>为保证工期按期完工，根据本工程特点编制科学合理的进度计划，采取分解进度总目标，分阶段组织施工。以各施工阶段的进度的控制点为目标，合理安排劳力、资金、材料、机械设备的使用计划,保障供给。以施工质量、安全为重点，严格管理，以总进度计划为依据，确保工程按期完成，圆满实现工程总进度计划。</w:t>
      </w:r>
    </w:p>
    <w:p>
      <w:pPr>
        <w:ind w:firstLine="560"/>
        <w:rPr>
          <w:rFonts w:cs="Times New Roman" w:eastAsiaTheme="minorEastAsia"/>
          <w:sz w:val="28"/>
          <w:szCs w:val="28"/>
        </w:rPr>
      </w:pPr>
      <w:r>
        <w:rPr>
          <w:rFonts w:cs="Times New Roman" w:eastAsiaTheme="minorEastAsia"/>
          <w:sz w:val="28"/>
          <w:szCs w:val="28"/>
        </w:rPr>
        <w:t>工程总进度计划见下表：</w:t>
      </w:r>
    </w:p>
    <w:p>
      <w:pPr>
        <w:ind w:firstLine="0" w:firstLineChars="0"/>
        <w:jc w:val="center"/>
        <w:rPr>
          <w:rFonts w:cs="Times New Roman" w:eastAsiaTheme="minorEastAsia"/>
          <w:szCs w:val="24"/>
        </w:rPr>
      </w:pPr>
      <w:r>
        <w:rPr>
          <w:rFonts w:cs="Times New Roman" w:eastAsiaTheme="minorEastAsia"/>
          <w:szCs w:val="24"/>
        </w:rPr>
        <w:t>表8.1-1工程总进度计划表</w:t>
      </w:r>
    </w:p>
    <w:tbl>
      <w:tblPr>
        <w:tblStyle w:val="15"/>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499"/>
        <w:gridCol w:w="499"/>
        <w:gridCol w:w="499"/>
        <w:gridCol w:w="499"/>
        <w:gridCol w:w="499"/>
        <w:gridCol w:w="499"/>
        <w:gridCol w:w="499"/>
        <w:gridCol w:w="469"/>
        <w:gridCol w:w="529"/>
        <w:gridCol w:w="534"/>
        <w:gridCol w:w="534"/>
        <w:gridCol w:w="534"/>
        <w:gridCol w:w="534"/>
        <w:gridCol w:w="534"/>
        <w:gridCol w:w="534"/>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7" w:type="dxa"/>
            <w:vAlign w:val="center"/>
          </w:tcPr>
          <w:p>
            <w:pPr>
              <w:ind w:left="481" w:hanging="481" w:hangingChars="228"/>
              <w:jc w:val="center"/>
              <w:rPr>
                <w:rFonts w:cs="Times New Roman" w:eastAsiaTheme="minorEastAsia"/>
                <w:b/>
                <w:sz w:val="21"/>
                <w:szCs w:val="21"/>
              </w:rPr>
            </w:pPr>
            <w:r>
              <w:rPr>
                <w:rFonts w:cs="Times New Roman" w:eastAsiaTheme="minorEastAsia"/>
                <w:b/>
                <w:sz w:val="21"/>
                <w:szCs w:val="21"/>
              </w:rPr>
              <w:t>项目</w:t>
            </w:r>
          </w:p>
        </w:tc>
        <w:tc>
          <w:tcPr>
            <w:tcW w:w="8229" w:type="dxa"/>
            <w:gridSpan w:val="16"/>
            <w:vAlign w:val="center"/>
          </w:tcPr>
          <w:p>
            <w:pPr>
              <w:ind w:left="481" w:hanging="481" w:hangingChars="228"/>
              <w:jc w:val="center"/>
              <w:rPr>
                <w:rFonts w:cs="Times New Roman" w:eastAsiaTheme="minorEastAsia"/>
                <w:b/>
                <w:sz w:val="21"/>
                <w:szCs w:val="21"/>
              </w:rPr>
            </w:pPr>
            <w:r>
              <w:rPr>
                <w:rFonts w:cs="Times New Roman" w:eastAsiaTheme="minorEastAsia"/>
                <w:b/>
                <w:sz w:val="21"/>
                <w:szCs w:val="21"/>
              </w:rPr>
              <w:t>工程进度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7" w:type="dxa"/>
            <w:vMerge w:val="restart"/>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阶段名称</w:t>
            </w:r>
          </w:p>
        </w:tc>
        <w:tc>
          <w:tcPr>
            <w:tcW w:w="1996" w:type="dxa"/>
            <w:gridSpan w:val="4"/>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1个月</w:t>
            </w:r>
          </w:p>
        </w:tc>
        <w:tc>
          <w:tcPr>
            <w:tcW w:w="1966" w:type="dxa"/>
            <w:gridSpan w:val="4"/>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2个月</w:t>
            </w:r>
          </w:p>
        </w:tc>
        <w:tc>
          <w:tcPr>
            <w:tcW w:w="2131" w:type="dxa"/>
            <w:gridSpan w:val="4"/>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3个月</w:t>
            </w:r>
          </w:p>
        </w:tc>
        <w:tc>
          <w:tcPr>
            <w:tcW w:w="2136" w:type="dxa"/>
            <w:gridSpan w:val="4"/>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7" w:type="dxa"/>
            <w:vMerge w:val="continue"/>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1</w:t>
            </w:r>
          </w:p>
        </w:tc>
        <w:tc>
          <w:tcPr>
            <w:tcW w:w="499"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10</w:t>
            </w:r>
          </w:p>
        </w:tc>
        <w:tc>
          <w:tcPr>
            <w:tcW w:w="499"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20</w:t>
            </w:r>
          </w:p>
        </w:tc>
        <w:tc>
          <w:tcPr>
            <w:tcW w:w="499"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30</w:t>
            </w:r>
          </w:p>
        </w:tc>
        <w:tc>
          <w:tcPr>
            <w:tcW w:w="499"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1</w:t>
            </w:r>
          </w:p>
        </w:tc>
        <w:tc>
          <w:tcPr>
            <w:tcW w:w="499"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10</w:t>
            </w:r>
          </w:p>
        </w:tc>
        <w:tc>
          <w:tcPr>
            <w:tcW w:w="499"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20</w:t>
            </w:r>
          </w:p>
        </w:tc>
        <w:tc>
          <w:tcPr>
            <w:tcW w:w="469"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30</w:t>
            </w:r>
          </w:p>
        </w:tc>
        <w:tc>
          <w:tcPr>
            <w:tcW w:w="529"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1</w:t>
            </w:r>
          </w:p>
        </w:tc>
        <w:tc>
          <w:tcPr>
            <w:tcW w:w="534"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10</w:t>
            </w:r>
          </w:p>
        </w:tc>
        <w:tc>
          <w:tcPr>
            <w:tcW w:w="534"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20</w:t>
            </w:r>
          </w:p>
        </w:tc>
        <w:tc>
          <w:tcPr>
            <w:tcW w:w="534"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30</w:t>
            </w:r>
          </w:p>
        </w:tc>
        <w:tc>
          <w:tcPr>
            <w:tcW w:w="534"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1</w:t>
            </w:r>
          </w:p>
        </w:tc>
        <w:tc>
          <w:tcPr>
            <w:tcW w:w="534"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10</w:t>
            </w:r>
          </w:p>
        </w:tc>
        <w:tc>
          <w:tcPr>
            <w:tcW w:w="534"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20</w:t>
            </w:r>
          </w:p>
        </w:tc>
        <w:tc>
          <w:tcPr>
            <w:tcW w:w="534"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7"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设计</w:t>
            </w:r>
          </w:p>
        </w:tc>
        <w:tc>
          <w:tcPr>
            <w:tcW w:w="499"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pict>
                <v:line id="直线 273" o:spid="_x0000_s2114" o:spt="20" style="position:absolute;left:0pt;margin-left:-2.4pt;margin-top:12pt;height:0pt;width:56pt;z-index:251672576;mso-width-relative:page;mso-height-relative:page;" filled="f" stroked="t" coordsize="21600,21600" o:gfxdata="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i04&#10;y9kAAAAIAQAADwAAAAAAAAABACAAAAAiAAAAZHJzL2Rvd25yZXYueG1sUEsBAhQAFAAAAAgAh07i&#10;QIOMgJToAQAA4AMAAA4AAAAAAAAAAQAgAAAAKAEAAGRycy9lMm9Eb2MueG1sUEsFBgAAAAAGAAYA&#10;WQEAAIIFAAAAAA==&#10;">
                  <v:path arrowok="t"/>
                  <v:fill on="f" focussize="0,0"/>
                  <v:stroke weight="3pt" color="#FF0000" joinstyle="round"/>
                  <v:imagedata o:title=""/>
                  <o:lock v:ext="edit" aspectratio="f"/>
                </v:line>
              </w:pict>
            </w: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69" w:type="dxa"/>
            <w:vAlign w:val="center"/>
          </w:tcPr>
          <w:p>
            <w:pPr>
              <w:ind w:left="479" w:hanging="478" w:hangingChars="228"/>
              <w:jc w:val="center"/>
              <w:rPr>
                <w:rFonts w:cs="Times New Roman" w:eastAsiaTheme="minorEastAsia"/>
                <w:sz w:val="21"/>
                <w:szCs w:val="21"/>
              </w:rPr>
            </w:pPr>
          </w:p>
        </w:tc>
        <w:tc>
          <w:tcPr>
            <w:tcW w:w="529"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7"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设备采购</w:t>
            </w: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pict>
                <v:line id="直线 274" o:spid="_x0000_s2117" o:spt="20" style="position:absolute;left:0pt;flip:y;margin-left:7.2pt;margin-top:9.45pt;height:0pt;width:122.15pt;z-index:251673600;mso-width-relative:page;mso-height-relative:page;" filled="f" stroked="t" coordsize="21600,21600" o:gfxdata="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jDdQ1wAAAAgBAAAPAAAAAAAAAAEAIAAAACIAAABkcnMvZG93bnJldi54bWxQSwECFAAU&#10;AAAACACHTuJAFy9U/vIBAADrAwAADgAAAAAAAAABACAAAAAmAQAAZHJzL2Uyb0RvYy54bWxQSwUG&#10;AAAAAAYABgBZAQAAigUAAAAA&#10;">
                  <v:path arrowok="t"/>
                  <v:fill on="f" focussize="0,0"/>
                  <v:stroke weight="3pt" color="#FF0000" joinstyle="round"/>
                  <v:imagedata o:title=""/>
                  <o:lock v:ext="edit" aspectratio="f"/>
                </v:line>
              </w:pict>
            </w: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69" w:type="dxa"/>
            <w:vAlign w:val="center"/>
          </w:tcPr>
          <w:p>
            <w:pPr>
              <w:ind w:left="479" w:hanging="478" w:hangingChars="228"/>
              <w:jc w:val="center"/>
              <w:rPr>
                <w:rFonts w:cs="Times New Roman" w:eastAsiaTheme="minorEastAsia"/>
                <w:sz w:val="21"/>
                <w:szCs w:val="21"/>
              </w:rPr>
            </w:pPr>
          </w:p>
        </w:tc>
        <w:tc>
          <w:tcPr>
            <w:tcW w:w="529"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7"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设备制作</w:t>
            </w: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pict>
                <v:line id="直线 275" o:spid="_x0000_s2113" o:spt="20" style="position:absolute;left:0pt;margin-left:2.45pt;margin-top:9.35pt;height:0pt;width:161.9pt;z-index:251674624;mso-width-relative:page;mso-height-relative:page;" filled="f" stroked="t" coordsize="21600,21600" o:gfxdata="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lV&#10;Q9cAAAAHAQAADwAAAAAAAAABACAAAAAiAAAAZHJzL2Rvd25yZXYueG1sUEsBAhQAFAAAAAgAh07i&#10;QEfNwuTqAQAA4QMAAA4AAAAAAAAAAQAgAAAAJgEAAGRycy9lMm9Eb2MueG1sUEsFBgAAAAAGAAYA&#10;WQEAAIIFAAAAAA==&#10;">
                  <v:path arrowok="t"/>
                  <v:fill on="f" focussize="0,0"/>
                  <v:stroke weight="3pt" color="#FF0000" joinstyle="round"/>
                  <v:imagedata o:title=""/>
                  <o:lock v:ext="edit" aspectratio="f"/>
                </v:line>
              </w:pict>
            </w: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69" w:type="dxa"/>
            <w:vAlign w:val="center"/>
          </w:tcPr>
          <w:p>
            <w:pPr>
              <w:ind w:left="479" w:hanging="478" w:hangingChars="228"/>
              <w:jc w:val="center"/>
              <w:rPr>
                <w:rFonts w:cs="Times New Roman" w:eastAsiaTheme="minorEastAsia"/>
                <w:sz w:val="21"/>
                <w:szCs w:val="21"/>
              </w:rPr>
            </w:pPr>
          </w:p>
        </w:tc>
        <w:tc>
          <w:tcPr>
            <w:tcW w:w="529"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7"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设备安装</w:t>
            </w: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pict>
                <v:line id="直线 276" o:spid="_x0000_s2116" o:spt="20" style="position:absolute;left:0pt;margin-left:8.85pt;margin-top:5.9pt;height:0pt;width:158.2pt;z-index:251675648;mso-width-relative:page;mso-height-relative:page;" filled="f" stroked="t" coordsize="21600,21600" o:gfxdata="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3H+Kz&#10;1wAAAAgBAAAPAAAAAAAAAAEAIAAAACIAAABkcnMvZG93bnJldi54bWxQSwECFAAUAAAACACHTuJA&#10;qd1KJukBAADhAwAADgAAAAAAAAABACAAAAAmAQAAZHJzL2Uyb0RvYy54bWxQSwUGAAAAAAYABgBZ&#10;AQAAgQUAAAAA&#10;">
                  <v:path arrowok="t"/>
                  <v:fill on="f" focussize="0,0"/>
                  <v:stroke weight="3pt" color="#FF0000" joinstyle="round"/>
                  <v:imagedata o:title=""/>
                  <o:lock v:ext="edit" aspectratio="f"/>
                </v:line>
              </w:pict>
            </w:r>
          </w:p>
        </w:tc>
        <w:tc>
          <w:tcPr>
            <w:tcW w:w="499" w:type="dxa"/>
            <w:vAlign w:val="center"/>
          </w:tcPr>
          <w:p>
            <w:pPr>
              <w:ind w:left="479" w:hanging="478" w:hangingChars="228"/>
              <w:jc w:val="center"/>
              <w:rPr>
                <w:rFonts w:cs="Times New Roman" w:eastAsiaTheme="minorEastAsia"/>
                <w:sz w:val="21"/>
                <w:szCs w:val="21"/>
              </w:rPr>
            </w:pPr>
          </w:p>
        </w:tc>
        <w:tc>
          <w:tcPr>
            <w:tcW w:w="469" w:type="dxa"/>
            <w:vAlign w:val="center"/>
          </w:tcPr>
          <w:p>
            <w:pPr>
              <w:ind w:left="479" w:hanging="478" w:hangingChars="228"/>
              <w:jc w:val="center"/>
              <w:rPr>
                <w:rFonts w:cs="Times New Roman" w:eastAsiaTheme="minorEastAsia"/>
                <w:sz w:val="21"/>
                <w:szCs w:val="21"/>
              </w:rPr>
            </w:pPr>
          </w:p>
        </w:tc>
        <w:tc>
          <w:tcPr>
            <w:tcW w:w="529"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7"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设备调试</w:t>
            </w: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69" w:type="dxa"/>
            <w:vAlign w:val="center"/>
          </w:tcPr>
          <w:p>
            <w:pPr>
              <w:ind w:left="479" w:hanging="478" w:hangingChars="228"/>
              <w:jc w:val="center"/>
              <w:rPr>
                <w:rFonts w:cs="Times New Roman" w:eastAsiaTheme="minorEastAsia"/>
                <w:sz w:val="21"/>
                <w:szCs w:val="21"/>
              </w:rPr>
            </w:pPr>
          </w:p>
        </w:tc>
        <w:tc>
          <w:tcPr>
            <w:tcW w:w="529"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pict>
                <v:line id="直线 277" o:spid="_x0000_s2112" o:spt="20" style="position:absolute;left:0pt;margin-left:13pt;margin-top:11.4pt;height:0pt;width:76.6pt;z-index:251676672;mso-width-relative:page;mso-height-relative:page;" filled="f" stroked="t" coordsize="21600,21600" o:gfxdata="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2q&#10;PhPZAAAACAEAAA8AAAAAAAAAAQAgAAAAIgAAAGRycy9kb3ducmV2LnhtbFBLAQIUABQAAAAIAIdO&#10;4kATWhqC6QEAAOADAAAOAAAAAAAAAAEAIAAAACgBAABkcnMvZTJvRG9jLnhtbFBLBQYAAAAABgAG&#10;AFkBAACDBQAAAAA=&#10;">
                  <v:path arrowok="t"/>
                  <v:fill on="f" focussize="0,0"/>
                  <v:stroke weight="3pt" color="#FF0000" joinstyle="round"/>
                  <v:imagedata o:title=""/>
                  <o:lock v:ext="edit" aspectratio="f"/>
                </v:line>
              </w:pict>
            </w: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7"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运行调试</w:t>
            </w: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69" w:type="dxa"/>
            <w:vAlign w:val="center"/>
          </w:tcPr>
          <w:p>
            <w:pPr>
              <w:ind w:left="479" w:hanging="478" w:hangingChars="228"/>
              <w:jc w:val="center"/>
              <w:rPr>
                <w:rFonts w:cs="Times New Roman" w:eastAsiaTheme="minorEastAsia"/>
                <w:sz w:val="21"/>
                <w:szCs w:val="21"/>
              </w:rPr>
            </w:pPr>
          </w:p>
        </w:tc>
        <w:tc>
          <w:tcPr>
            <w:tcW w:w="529"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pict>
                <v:line id="直线 278" o:spid="_x0000_s2115" o:spt="20" style="position:absolute;left:0pt;margin-left:14.65pt;margin-top:10.75pt;height:0pt;width:83.05pt;z-index:251677696;mso-width-relative:page;mso-height-relative:page;" filled="f" stroked="t" coordsize="21600,21600" o:gfxdata="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7V862gAAAAgBAAAPAAAAAAAAAAEAIAAAACIAAABkcnMvZG93bnJldi54bWxQSwECFAAUAAAA&#10;CACHTuJA3JZhj+wBAADhAwAADgAAAAAAAAABACAAAAApAQAAZHJzL2Uyb0RvYy54bWxQSwUGAAAA&#10;AAYABgBZAQAAhwUAAAAA&#10;">
                  <v:path arrowok="t"/>
                  <v:fill on="f" focussize="0,0"/>
                  <v:stroke weight="3pt" color="#FF0000" joinstyle="round"/>
                  <v:imagedata o:title=""/>
                  <o:lock v:ext="edit" aspectratio="f"/>
                </v:line>
              </w:pict>
            </w: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7"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t>项目验收</w:t>
            </w: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99" w:type="dxa"/>
            <w:vAlign w:val="center"/>
          </w:tcPr>
          <w:p>
            <w:pPr>
              <w:ind w:left="479" w:hanging="478" w:hangingChars="228"/>
              <w:jc w:val="center"/>
              <w:rPr>
                <w:rFonts w:cs="Times New Roman" w:eastAsiaTheme="minorEastAsia"/>
                <w:sz w:val="21"/>
                <w:szCs w:val="21"/>
              </w:rPr>
            </w:pPr>
          </w:p>
        </w:tc>
        <w:tc>
          <w:tcPr>
            <w:tcW w:w="469" w:type="dxa"/>
            <w:vAlign w:val="center"/>
          </w:tcPr>
          <w:p>
            <w:pPr>
              <w:ind w:left="479" w:hanging="478" w:hangingChars="228"/>
              <w:jc w:val="center"/>
              <w:rPr>
                <w:rFonts w:cs="Times New Roman" w:eastAsiaTheme="minorEastAsia"/>
                <w:sz w:val="21"/>
                <w:szCs w:val="21"/>
              </w:rPr>
            </w:pPr>
          </w:p>
        </w:tc>
        <w:tc>
          <w:tcPr>
            <w:tcW w:w="529"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p>
        </w:tc>
        <w:tc>
          <w:tcPr>
            <w:tcW w:w="534" w:type="dxa"/>
            <w:vAlign w:val="center"/>
          </w:tcPr>
          <w:p>
            <w:pPr>
              <w:ind w:left="479" w:hanging="478" w:hangingChars="228"/>
              <w:jc w:val="center"/>
              <w:rPr>
                <w:rFonts w:cs="Times New Roman" w:eastAsiaTheme="minorEastAsia"/>
                <w:sz w:val="21"/>
                <w:szCs w:val="21"/>
              </w:rPr>
            </w:pPr>
            <w:r>
              <w:rPr>
                <w:rFonts w:cs="Times New Roman" w:eastAsiaTheme="minorEastAsia"/>
                <w:sz w:val="21"/>
                <w:szCs w:val="21"/>
              </w:rPr>
              <w:pict>
                <v:line id="直线 279" o:spid="_x0000_s2118" o:spt="20" style="position:absolute;left:0pt;flip:y;margin-left:1.8pt;margin-top:9.2pt;height:0pt;width:15.85pt;z-index:251678720;mso-width-relative:page;mso-height-relative:page;" filled="f" stroked="t" coordsize="21600,21600" o:gfxdata="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10mdQAAAAGAQAADwAAAAAAAAABACAAAAAiAAAAZHJzL2Rvd25yZXYueG1sUEsBAhQAFAAAAAgA&#10;h07iQIyQUenwAQAA6gMAAA4AAAAAAAAAAQAgAAAAIwEAAGRycy9lMm9Eb2MueG1sUEsFBgAAAAAG&#10;AAYAWQEAAIUFAAAAAA==&#10;">
                  <v:path arrowok="t"/>
                  <v:fill on="f" focussize="0,0"/>
                  <v:stroke weight="3pt" color="#FF0000" joinstyle="round"/>
                  <v:imagedata o:title=""/>
                  <o:lock v:ext="edit" aspectratio="f"/>
                </v:line>
              </w:pict>
            </w:r>
          </w:p>
        </w:tc>
      </w:tr>
    </w:tbl>
    <w:p>
      <w:pPr>
        <w:ind w:firstLine="0" w:firstLineChars="0"/>
        <w:outlineLvl w:val="2"/>
        <w:rPr>
          <w:rFonts w:cs="Times New Roman"/>
          <w:b/>
          <w:sz w:val="28"/>
          <w:szCs w:val="28"/>
        </w:rPr>
      </w:pPr>
      <w:bookmarkStart w:id="163" w:name="_Toc336360635"/>
      <w:bookmarkStart w:id="164" w:name="_Toc206094435"/>
      <w:bookmarkStart w:id="165" w:name="_Toc73367183"/>
      <w:bookmarkStart w:id="166" w:name="_Toc133832751"/>
      <w:bookmarkStart w:id="167" w:name="_Toc513531460"/>
      <w:r>
        <w:rPr>
          <w:rFonts w:hint="eastAsia" w:cs="Times New Roman"/>
          <w:b/>
          <w:sz w:val="28"/>
          <w:szCs w:val="28"/>
        </w:rPr>
        <w:t>7</w:t>
      </w:r>
      <w:r>
        <w:rPr>
          <w:rFonts w:cs="Times New Roman"/>
          <w:b/>
          <w:sz w:val="28"/>
          <w:szCs w:val="28"/>
        </w:rPr>
        <w:t>.1.2 建设进度保证</w:t>
      </w:r>
      <w:bookmarkEnd w:id="163"/>
      <w:bookmarkEnd w:id="164"/>
      <w:bookmarkEnd w:id="165"/>
      <w:bookmarkEnd w:id="166"/>
      <w:bookmarkEnd w:id="167"/>
    </w:p>
    <w:p>
      <w:pPr>
        <w:snapToGrid w:val="0"/>
        <w:ind w:firstLine="560"/>
        <w:rPr>
          <w:rFonts w:cs="Times New Roman" w:eastAsiaTheme="minorEastAsia"/>
          <w:sz w:val="28"/>
          <w:szCs w:val="28"/>
        </w:rPr>
      </w:pPr>
      <w:r>
        <w:rPr>
          <w:rFonts w:cs="Times New Roman" w:eastAsiaTheme="minorEastAsia"/>
          <w:sz w:val="28"/>
          <w:szCs w:val="28"/>
        </w:rPr>
        <w:t>本项目建设过程中工作量大、耗时较长的内容有：</w:t>
      </w:r>
    </w:p>
    <w:p>
      <w:pPr>
        <w:tabs>
          <w:tab w:val="left" w:pos="1260"/>
        </w:tabs>
        <w:snapToGrid w:val="0"/>
        <w:ind w:firstLine="560"/>
        <w:rPr>
          <w:rFonts w:cs="Times New Roman" w:eastAsiaTheme="minorEastAsia"/>
          <w:sz w:val="28"/>
          <w:szCs w:val="28"/>
        </w:rPr>
      </w:pPr>
      <w:r>
        <w:rPr>
          <w:rFonts w:cs="Times New Roman" w:eastAsiaTheme="minorEastAsia"/>
          <w:sz w:val="28"/>
          <w:szCs w:val="28"/>
        </w:rPr>
        <w:t>1）项目关键工艺与设备供应商的选择和确认；</w:t>
      </w:r>
    </w:p>
    <w:p>
      <w:pPr>
        <w:tabs>
          <w:tab w:val="left" w:pos="1260"/>
        </w:tabs>
        <w:snapToGrid w:val="0"/>
        <w:ind w:firstLine="560"/>
        <w:rPr>
          <w:rFonts w:cs="Times New Roman" w:eastAsiaTheme="minorEastAsia"/>
          <w:sz w:val="28"/>
          <w:szCs w:val="28"/>
        </w:rPr>
      </w:pPr>
      <w:r>
        <w:rPr>
          <w:rFonts w:cs="Times New Roman" w:eastAsiaTheme="minorEastAsia"/>
          <w:sz w:val="28"/>
          <w:szCs w:val="28"/>
        </w:rPr>
        <w:t>2）现场土建施工；</w:t>
      </w:r>
    </w:p>
    <w:p>
      <w:pPr>
        <w:tabs>
          <w:tab w:val="left" w:pos="1260"/>
        </w:tabs>
        <w:snapToGrid w:val="0"/>
        <w:ind w:firstLine="560"/>
        <w:rPr>
          <w:rFonts w:cs="Times New Roman" w:eastAsiaTheme="minorEastAsia"/>
          <w:sz w:val="28"/>
          <w:szCs w:val="28"/>
        </w:rPr>
      </w:pPr>
      <w:r>
        <w:rPr>
          <w:rFonts w:cs="Times New Roman" w:eastAsiaTheme="minorEastAsia"/>
          <w:sz w:val="28"/>
          <w:szCs w:val="28"/>
        </w:rPr>
        <w:t>3）处理系统的工艺运行调试。</w:t>
      </w:r>
    </w:p>
    <w:p>
      <w:pPr>
        <w:snapToGrid w:val="0"/>
        <w:ind w:firstLine="536"/>
        <w:rPr>
          <w:rFonts w:cs="Times New Roman" w:eastAsiaTheme="minorEastAsia"/>
          <w:spacing w:val="-6"/>
          <w:sz w:val="28"/>
          <w:szCs w:val="28"/>
        </w:rPr>
      </w:pPr>
      <w:r>
        <w:rPr>
          <w:rFonts w:cs="Times New Roman" w:eastAsiaTheme="minorEastAsia"/>
          <w:spacing w:val="-6"/>
          <w:sz w:val="28"/>
          <w:szCs w:val="28"/>
        </w:rPr>
        <w:t>为保证项目建设及时完成，建议建设单位从以下方面考虑加快工作进展：</w:t>
      </w:r>
    </w:p>
    <w:p>
      <w:pPr>
        <w:tabs>
          <w:tab w:val="left" w:pos="900"/>
        </w:tabs>
        <w:snapToGrid w:val="0"/>
        <w:ind w:firstLine="560"/>
        <w:rPr>
          <w:rFonts w:cs="Times New Roman" w:eastAsiaTheme="minorEastAsia"/>
          <w:sz w:val="28"/>
          <w:szCs w:val="28"/>
        </w:rPr>
      </w:pPr>
      <w:r>
        <w:rPr>
          <w:rFonts w:cs="Times New Roman" w:eastAsiaTheme="minorEastAsia"/>
          <w:sz w:val="28"/>
          <w:szCs w:val="28"/>
        </w:rPr>
        <w:t>1）加快相关项目建设立项与审批程序；</w:t>
      </w:r>
    </w:p>
    <w:p>
      <w:pPr>
        <w:tabs>
          <w:tab w:val="left" w:pos="900"/>
        </w:tabs>
        <w:snapToGrid w:val="0"/>
        <w:ind w:firstLine="560"/>
        <w:rPr>
          <w:rFonts w:cs="Times New Roman" w:eastAsiaTheme="minorEastAsia"/>
          <w:sz w:val="28"/>
          <w:szCs w:val="28"/>
        </w:rPr>
      </w:pPr>
      <w:r>
        <w:rPr>
          <w:rFonts w:cs="Times New Roman" w:eastAsiaTheme="minorEastAsia"/>
          <w:sz w:val="28"/>
          <w:szCs w:val="28"/>
        </w:rPr>
        <w:t>2）建立高效的项目管理架构和先进的管理制度；</w:t>
      </w:r>
    </w:p>
    <w:p>
      <w:pPr>
        <w:tabs>
          <w:tab w:val="left" w:pos="900"/>
        </w:tabs>
        <w:snapToGrid w:val="0"/>
        <w:ind w:firstLine="560"/>
        <w:rPr>
          <w:rFonts w:cs="Times New Roman" w:eastAsiaTheme="minorEastAsia"/>
          <w:sz w:val="28"/>
          <w:szCs w:val="28"/>
        </w:rPr>
      </w:pPr>
      <w:r>
        <w:rPr>
          <w:rFonts w:cs="Times New Roman" w:eastAsiaTheme="minorEastAsia"/>
          <w:sz w:val="28"/>
          <w:szCs w:val="28"/>
        </w:rPr>
        <w:t>3）在工程实施中加强施工管理，配备对于相关项目施工管理经验丰富的管理人员和施工队伍，确保工程进度按计划实施，施工质量达到最优。</w:t>
      </w:r>
    </w:p>
    <w:p>
      <w:pPr>
        <w:pStyle w:val="4"/>
        <w:keepNext w:val="0"/>
        <w:keepLines w:val="0"/>
        <w:spacing w:beforeLines="0" w:afterLines="0"/>
        <w:ind w:firstLine="0" w:firstLineChars="0"/>
        <w:jc w:val="left"/>
        <w:rPr>
          <w:rFonts w:cs="Times New Roman"/>
          <w:sz w:val="28"/>
          <w:szCs w:val="28"/>
        </w:rPr>
      </w:pPr>
      <w:bookmarkStart w:id="168" w:name="_Toc518055178"/>
      <w:bookmarkStart w:id="169" w:name="_Toc73367184"/>
      <w:bookmarkStart w:id="170" w:name="_Toc513531461"/>
      <w:r>
        <w:rPr>
          <w:rFonts w:hint="eastAsia" w:cs="Times New Roman"/>
          <w:sz w:val="28"/>
          <w:szCs w:val="28"/>
        </w:rPr>
        <w:t>7</w:t>
      </w:r>
      <w:r>
        <w:rPr>
          <w:rFonts w:cs="Times New Roman"/>
          <w:sz w:val="28"/>
          <w:szCs w:val="28"/>
        </w:rPr>
        <w:t>.2 调试与试运行</w:t>
      </w:r>
      <w:bookmarkEnd w:id="168"/>
      <w:bookmarkEnd w:id="169"/>
      <w:bookmarkEnd w:id="170"/>
    </w:p>
    <w:p>
      <w:pPr>
        <w:ind w:firstLine="560"/>
        <w:rPr>
          <w:rFonts w:cs="Times New Roman" w:eastAsiaTheme="minorEastAsia"/>
          <w:kern w:val="0"/>
          <w:sz w:val="28"/>
          <w:szCs w:val="28"/>
        </w:rPr>
      </w:pPr>
      <w:r>
        <w:rPr>
          <w:rFonts w:cs="Times New Roman" w:eastAsiaTheme="minorEastAsia"/>
          <w:kern w:val="0"/>
          <w:sz w:val="28"/>
          <w:szCs w:val="28"/>
        </w:rPr>
        <w:t>安装工作经预验收合格后，经业主同意可进行调试和试运行。调试期间卖方将派出有丰富调试经验的专业工程师，组织安装人员、必要的设备制造商、污水处理厂操作管理人员对设备进行调试。</w:t>
      </w:r>
    </w:p>
    <w:p>
      <w:pPr>
        <w:ind w:firstLine="0" w:firstLineChars="0"/>
        <w:outlineLvl w:val="2"/>
        <w:rPr>
          <w:rFonts w:cs="Times New Roman"/>
          <w:b/>
          <w:sz w:val="28"/>
          <w:szCs w:val="28"/>
        </w:rPr>
      </w:pPr>
      <w:bookmarkStart w:id="171" w:name="_Toc194506253"/>
      <w:bookmarkStart w:id="172" w:name="_Toc147983983"/>
      <w:bookmarkStart w:id="173" w:name="_Toc73367185"/>
      <w:bookmarkStart w:id="174" w:name="_Toc513531462"/>
      <w:bookmarkStart w:id="175" w:name="_Toc179975226"/>
      <w:r>
        <w:rPr>
          <w:rFonts w:hint="eastAsia" w:cs="Times New Roman"/>
          <w:b/>
          <w:sz w:val="28"/>
          <w:szCs w:val="28"/>
        </w:rPr>
        <w:t>7</w:t>
      </w:r>
      <w:r>
        <w:rPr>
          <w:rFonts w:cs="Times New Roman"/>
          <w:b/>
          <w:sz w:val="28"/>
          <w:szCs w:val="28"/>
        </w:rPr>
        <w:t>.2.1 调试通用技术要求</w:t>
      </w:r>
      <w:bookmarkEnd w:id="171"/>
      <w:bookmarkEnd w:id="172"/>
      <w:bookmarkEnd w:id="173"/>
      <w:bookmarkEnd w:id="174"/>
      <w:bookmarkEnd w:id="175"/>
    </w:p>
    <w:p>
      <w:pPr>
        <w:ind w:firstLine="560"/>
        <w:rPr>
          <w:rFonts w:cs="Times New Roman" w:eastAsiaTheme="minorEastAsia"/>
          <w:kern w:val="0"/>
          <w:sz w:val="28"/>
          <w:szCs w:val="28"/>
        </w:rPr>
      </w:pPr>
      <w:r>
        <w:rPr>
          <w:rFonts w:cs="Times New Roman" w:eastAsiaTheme="minorEastAsia"/>
          <w:kern w:val="0"/>
          <w:sz w:val="28"/>
          <w:szCs w:val="28"/>
        </w:rPr>
        <w:t>（1）调试前应查阅所有设备的安装质量记录，对不符合要求的必须整改并进行整改并进行复验，所有设备安装质量应符合标书及制造成厂规定的技术要求。</w:t>
      </w:r>
    </w:p>
    <w:p>
      <w:pPr>
        <w:ind w:firstLine="560"/>
        <w:rPr>
          <w:rFonts w:cs="Times New Roman" w:eastAsiaTheme="minorEastAsia"/>
          <w:kern w:val="0"/>
          <w:sz w:val="28"/>
          <w:szCs w:val="28"/>
        </w:rPr>
      </w:pPr>
      <w:r>
        <w:rPr>
          <w:rFonts w:cs="Times New Roman" w:eastAsiaTheme="minorEastAsia"/>
          <w:kern w:val="0"/>
          <w:sz w:val="28"/>
          <w:szCs w:val="28"/>
        </w:rPr>
        <w:t>（2）系统设备调试应编制调试运转方案。</w:t>
      </w:r>
    </w:p>
    <w:p>
      <w:pPr>
        <w:ind w:firstLine="560"/>
        <w:rPr>
          <w:rFonts w:cs="Times New Roman" w:eastAsiaTheme="minorEastAsia"/>
          <w:kern w:val="0"/>
          <w:sz w:val="28"/>
          <w:szCs w:val="28"/>
        </w:rPr>
      </w:pPr>
      <w:r>
        <w:rPr>
          <w:rFonts w:cs="Times New Roman" w:eastAsiaTheme="minorEastAsia"/>
          <w:kern w:val="0"/>
          <w:sz w:val="28"/>
          <w:szCs w:val="28"/>
        </w:rPr>
        <w:t>（3）调试前应检查所需工具、材料、各种油料、动力等准备充足，确保试车阶段的供应，同时设备运转时安全防护措施应配备齐全。</w:t>
      </w:r>
    </w:p>
    <w:p>
      <w:pPr>
        <w:ind w:firstLine="560"/>
        <w:rPr>
          <w:rFonts w:cs="Times New Roman" w:eastAsiaTheme="minorEastAsia"/>
          <w:kern w:val="0"/>
          <w:sz w:val="28"/>
          <w:szCs w:val="28"/>
        </w:rPr>
      </w:pPr>
      <w:r>
        <w:rPr>
          <w:rFonts w:cs="Times New Roman" w:eastAsiaTheme="minorEastAsia"/>
          <w:kern w:val="0"/>
          <w:sz w:val="28"/>
          <w:szCs w:val="28"/>
        </w:rPr>
        <w:t>（4）试运转的步骤一般为先辅机后主机，先部件后整机，先空载后带负荷，先单机后联动的步骤进行，上一步未符合要求，应整改合格后方可进行下一步的调试工作。</w:t>
      </w:r>
    </w:p>
    <w:p>
      <w:pPr>
        <w:ind w:firstLine="560"/>
        <w:rPr>
          <w:rFonts w:cs="Times New Roman" w:eastAsiaTheme="minorEastAsia"/>
          <w:kern w:val="0"/>
          <w:sz w:val="28"/>
          <w:szCs w:val="28"/>
        </w:rPr>
      </w:pPr>
      <w:r>
        <w:rPr>
          <w:rFonts w:cs="Times New Roman" w:eastAsiaTheme="minorEastAsia"/>
          <w:kern w:val="0"/>
          <w:sz w:val="28"/>
          <w:szCs w:val="28"/>
        </w:rPr>
        <w:t>（5）试运转前应对不参与运转的系统及附件拆除或隔断。</w:t>
      </w:r>
    </w:p>
    <w:p>
      <w:pPr>
        <w:ind w:firstLine="560"/>
        <w:rPr>
          <w:rFonts w:cs="Times New Roman" w:eastAsiaTheme="minorEastAsia"/>
          <w:kern w:val="0"/>
          <w:sz w:val="28"/>
          <w:szCs w:val="28"/>
        </w:rPr>
      </w:pPr>
      <w:r>
        <w:rPr>
          <w:rFonts w:cs="Times New Roman" w:eastAsiaTheme="minorEastAsia"/>
          <w:kern w:val="0"/>
          <w:sz w:val="28"/>
          <w:szCs w:val="28"/>
        </w:rPr>
        <w:t>（6）设备的转动部位，通过手工盘动，同时应检查润滑情况是否良好，涉及设备的冷却系统应先开启。</w:t>
      </w:r>
    </w:p>
    <w:p>
      <w:pPr>
        <w:ind w:firstLine="560"/>
        <w:rPr>
          <w:rFonts w:cs="Times New Roman" w:eastAsiaTheme="minorEastAsia"/>
          <w:kern w:val="0"/>
          <w:sz w:val="28"/>
          <w:szCs w:val="28"/>
        </w:rPr>
      </w:pPr>
      <w:r>
        <w:rPr>
          <w:rFonts w:cs="Times New Roman" w:eastAsiaTheme="minorEastAsia"/>
          <w:kern w:val="0"/>
          <w:sz w:val="28"/>
          <w:szCs w:val="28"/>
        </w:rPr>
        <w:t>（7）首次启动应采用点动的方式，以检查设备的运转方向是否准确、判断设备无碰撞方可正常启动。</w:t>
      </w:r>
    </w:p>
    <w:p>
      <w:pPr>
        <w:ind w:firstLine="560"/>
        <w:rPr>
          <w:rFonts w:cs="Times New Roman" w:eastAsiaTheme="minorEastAsia"/>
          <w:kern w:val="0"/>
          <w:sz w:val="28"/>
          <w:szCs w:val="28"/>
        </w:rPr>
      </w:pPr>
      <w:r>
        <w:rPr>
          <w:rFonts w:cs="Times New Roman" w:eastAsiaTheme="minorEastAsia"/>
          <w:kern w:val="0"/>
          <w:sz w:val="28"/>
          <w:szCs w:val="28"/>
        </w:rPr>
        <w:t>（8）在试运转过程中，应对设备的振动、温度、噪声、工作电流、转速、润滑冷却系统进行观察和测量，并做好测量记录。</w:t>
      </w:r>
    </w:p>
    <w:p>
      <w:pPr>
        <w:ind w:firstLine="560"/>
        <w:rPr>
          <w:rFonts w:cs="Times New Roman" w:eastAsiaTheme="minorEastAsia"/>
          <w:kern w:val="0"/>
          <w:sz w:val="28"/>
          <w:szCs w:val="28"/>
        </w:rPr>
      </w:pPr>
      <w:r>
        <w:rPr>
          <w:rFonts w:cs="Times New Roman" w:eastAsiaTheme="minorEastAsia"/>
          <w:kern w:val="0"/>
          <w:sz w:val="28"/>
          <w:szCs w:val="28"/>
        </w:rPr>
        <w:t>（9）运转时测量滚动轴承的工作温度不超过70°C，滑动轴承的工作温度不超过60°C，轴承温升应小于35°C。</w:t>
      </w:r>
    </w:p>
    <w:p>
      <w:pPr>
        <w:ind w:firstLine="560"/>
        <w:rPr>
          <w:rFonts w:cs="Times New Roman" w:eastAsiaTheme="minorEastAsia"/>
          <w:kern w:val="0"/>
          <w:sz w:val="28"/>
          <w:szCs w:val="28"/>
        </w:rPr>
      </w:pPr>
      <w:r>
        <w:rPr>
          <w:rFonts w:cs="Times New Roman" w:eastAsiaTheme="minorEastAsia"/>
          <w:kern w:val="0"/>
          <w:sz w:val="28"/>
          <w:szCs w:val="28"/>
        </w:rPr>
        <w:t>（10）阶段设备的调试应在业主、监理、制造厂等有关人员到场的情况下进行。</w:t>
      </w:r>
    </w:p>
    <w:p>
      <w:pPr>
        <w:ind w:firstLine="0" w:firstLineChars="0"/>
        <w:outlineLvl w:val="2"/>
        <w:rPr>
          <w:rFonts w:cs="Times New Roman"/>
          <w:b/>
          <w:sz w:val="28"/>
          <w:szCs w:val="28"/>
        </w:rPr>
      </w:pPr>
      <w:bookmarkStart w:id="176" w:name="_Toc194506255"/>
      <w:bookmarkStart w:id="177" w:name="_Toc513531463"/>
      <w:bookmarkStart w:id="178" w:name="_Toc73367186"/>
      <w:r>
        <w:rPr>
          <w:rFonts w:hint="eastAsia" w:cs="Times New Roman"/>
          <w:b/>
          <w:sz w:val="28"/>
          <w:szCs w:val="28"/>
        </w:rPr>
        <w:t>7</w:t>
      </w:r>
      <w:r>
        <w:rPr>
          <w:rFonts w:cs="Times New Roman"/>
          <w:b/>
          <w:sz w:val="28"/>
          <w:szCs w:val="28"/>
        </w:rPr>
        <w:t>.2.2 调试和工艺运行中所需检测设备</w:t>
      </w:r>
      <w:bookmarkEnd w:id="176"/>
      <w:bookmarkEnd w:id="177"/>
      <w:bookmarkEnd w:id="178"/>
    </w:p>
    <w:p>
      <w:pPr>
        <w:ind w:firstLine="560"/>
        <w:rPr>
          <w:rFonts w:cs="Times New Roman" w:eastAsiaTheme="minorEastAsia"/>
          <w:kern w:val="0"/>
          <w:sz w:val="28"/>
          <w:szCs w:val="28"/>
        </w:rPr>
      </w:pPr>
      <w:r>
        <w:rPr>
          <w:rFonts w:cs="Times New Roman" w:eastAsiaTheme="minorEastAsia"/>
          <w:kern w:val="0"/>
          <w:sz w:val="28"/>
          <w:szCs w:val="28"/>
        </w:rPr>
        <w:t>渗沥液水质分析项目检测标准方法如下表所示：</w:t>
      </w:r>
    </w:p>
    <w:p>
      <w:pPr>
        <w:ind w:firstLine="480"/>
        <w:jc w:val="center"/>
        <w:rPr>
          <w:rFonts w:cs="Times New Roman" w:eastAsiaTheme="minorEastAsia"/>
          <w:kern w:val="0"/>
          <w:szCs w:val="24"/>
        </w:rPr>
      </w:pPr>
      <w:r>
        <w:rPr>
          <w:rFonts w:cs="Times New Roman" w:eastAsiaTheme="minorEastAsia"/>
          <w:kern w:val="0"/>
          <w:szCs w:val="24"/>
        </w:rPr>
        <w:t>表8.2-1水质分析项目检测标准方法表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5"/>
        <w:gridCol w:w="1460"/>
        <w:gridCol w:w="2871"/>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blHeader/>
          <w:jc w:val="center"/>
        </w:trPr>
        <w:tc>
          <w:tcPr>
            <w:tcW w:w="965"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序号</w:t>
            </w:r>
          </w:p>
        </w:tc>
        <w:tc>
          <w:tcPr>
            <w:tcW w:w="1460"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分析项目</w:t>
            </w:r>
          </w:p>
        </w:tc>
        <w:tc>
          <w:tcPr>
            <w:tcW w:w="2871"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检验方法</w:t>
            </w:r>
          </w:p>
        </w:tc>
        <w:tc>
          <w:tcPr>
            <w:tcW w:w="2871"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65"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1</w:t>
            </w:r>
          </w:p>
        </w:tc>
        <w:tc>
          <w:tcPr>
            <w:tcW w:w="1460"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COD</w:t>
            </w:r>
          </w:p>
        </w:tc>
        <w:tc>
          <w:tcPr>
            <w:tcW w:w="2871"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重铬酸钾法</w:t>
            </w:r>
          </w:p>
        </w:tc>
        <w:tc>
          <w:tcPr>
            <w:tcW w:w="2871"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GB/T11914-1989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65"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2</w:t>
            </w:r>
          </w:p>
        </w:tc>
        <w:tc>
          <w:tcPr>
            <w:tcW w:w="1460"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BOD</w:t>
            </w:r>
          </w:p>
        </w:tc>
        <w:tc>
          <w:tcPr>
            <w:tcW w:w="2871"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稀释与接种法</w:t>
            </w:r>
          </w:p>
        </w:tc>
        <w:tc>
          <w:tcPr>
            <w:tcW w:w="2871"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GB/T7488-1987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3" w:hRule="atLeast"/>
          <w:jc w:val="center"/>
        </w:trPr>
        <w:tc>
          <w:tcPr>
            <w:tcW w:w="965"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3</w:t>
            </w:r>
          </w:p>
        </w:tc>
        <w:tc>
          <w:tcPr>
            <w:tcW w:w="1460"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NH</w:t>
            </w:r>
            <w:r>
              <w:rPr>
                <w:rFonts w:cs="Times New Roman" w:eastAsiaTheme="minorEastAsia"/>
                <w:kern w:val="0"/>
                <w:szCs w:val="24"/>
                <w:vertAlign w:val="subscript"/>
              </w:rPr>
              <w:t>3</w:t>
            </w:r>
            <w:r>
              <w:rPr>
                <w:rFonts w:cs="Times New Roman" w:eastAsiaTheme="minorEastAsia"/>
                <w:kern w:val="0"/>
                <w:szCs w:val="24"/>
              </w:rPr>
              <w:t>-N</w:t>
            </w:r>
          </w:p>
        </w:tc>
        <w:tc>
          <w:tcPr>
            <w:tcW w:w="2871"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蒸馏和滴定法</w:t>
            </w:r>
          </w:p>
        </w:tc>
        <w:tc>
          <w:tcPr>
            <w:tcW w:w="2871"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GB/T7479-1987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65"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4</w:t>
            </w:r>
          </w:p>
        </w:tc>
        <w:tc>
          <w:tcPr>
            <w:tcW w:w="1460"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TP</w:t>
            </w:r>
          </w:p>
        </w:tc>
        <w:tc>
          <w:tcPr>
            <w:tcW w:w="2871"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分光光度法</w:t>
            </w:r>
          </w:p>
        </w:tc>
        <w:tc>
          <w:tcPr>
            <w:tcW w:w="2871"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GB/T11893-89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65"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5</w:t>
            </w:r>
          </w:p>
        </w:tc>
        <w:tc>
          <w:tcPr>
            <w:tcW w:w="1460"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SS</w:t>
            </w:r>
          </w:p>
        </w:tc>
        <w:tc>
          <w:tcPr>
            <w:tcW w:w="2871"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重量法</w:t>
            </w:r>
          </w:p>
        </w:tc>
        <w:tc>
          <w:tcPr>
            <w:tcW w:w="2871"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GB/T11901-1989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65"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6</w:t>
            </w:r>
          </w:p>
        </w:tc>
        <w:tc>
          <w:tcPr>
            <w:tcW w:w="1460"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NO</w:t>
            </w:r>
            <w:r>
              <w:rPr>
                <w:rFonts w:cs="Times New Roman" w:eastAsiaTheme="minorEastAsia"/>
                <w:kern w:val="0"/>
                <w:szCs w:val="24"/>
                <w:vertAlign w:val="subscript"/>
              </w:rPr>
              <w:t>3</w:t>
            </w:r>
            <w:r>
              <w:rPr>
                <w:rFonts w:cs="Times New Roman" w:eastAsiaTheme="minorEastAsia"/>
                <w:kern w:val="0"/>
                <w:szCs w:val="24"/>
                <w:vertAlign w:val="superscript"/>
              </w:rPr>
              <w:t>-</w:t>
            </w:r>
          </w:p>
        </w:tc>
        <w:tc>
          <w:tcPr>
            <w:tcW w:w="2871"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国标比色法</w:t>
            </w:r>
          </w:p>
        </w:tc>
        <w:tc>
          <w:tcPr>
            <w:tcW w:w="2871" w:type="dxa"/>
            <w:vAlign w:val="center"/>
          </w:tcPr>
          <w:p>
            <w:pPr>
              <w:ind w:firstLine="480"/>
              <w:jc w:val="center"/>
              <w:rPr>
                <w:rFonts w:cs="Times New Roman"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65"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7</w:t>
            </w:r>
          </w:p>
        </w:tc>
        <w:tc>
          <w:tcPr>
            <w:tcW w:w="1460"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色度</w:t>
            </w:r>
          </w:p>
        </w:tc>
        <w:tc>
          <w:tcPr>
            <w:tcW w:w="2871"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国标稀释倍数法</w:t>
            </w:r>
          </w:p>
        </w:tc>
        <w:tc>
          <w:tcPr>
            <w:tcW w:w="2871" w:type="dxa"/>
            <w:vAlign w:val="center"/>
          </w:tcPr>
          <w:p>
            <w:pPr>
              <w:ind w:firstLine="480"/>
              <w:jc w:val="center"/>
              <w:rPr>
                <w:rFonts w:cs="Times New Roman"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65"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8</w:t>
            </w:r>
          </w:p>
        </w:tc>
        <w:tc>
          <w:tcPr>
            <w:tcW w:w="1460"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pH</w:t>
            </w:r>
          </w:p>
        </w:tc>
        <w:tc>
          <w:tcPr>
            <w:tcW w:w="2871" w:type="dxa"/>
            <w:vAlign w:val="center"/>
          </w:tcPr>
          <w:p>
            <w:pPr>
              <w:ind w:firstLine="0" w:firstLineChars="0"/>
              <w:jc w:val="center"/>
              <w:rPr>
                <w:rFonts w:cs="Times New Roman" w:eastAsiaTheme="minorEastAsia"/>
                <w:kern w:val="0"/>
                <w:szCs w:val="24"/>
              </w:rPr>
            </w:pPr>
            <w:r>
              <w:rPr>
                <w:rFonts w:cs="Times New Roman" w:eastAsiaTheme="minorEastAsia"/>
                <w:kern w:val="0"/>
                <w:szCs w:val="24"/>
              </w:rPr>
              <w:t>酸度计法</w:t>
            </w:r>
          </w:p>
        </w:tc>
        <w:tc>
          <w:tcPr>
            <w:tcW w:w="2871" w:type="dxa"/>
            <w:vAlign w:val="center"/>
          </w:tcPr>
          <w:p>
            <w:pPr>
              <w:ind w:firstLine="480"/>
              <w:jc w:val="center"/>
              <w:rPr>
                <w:rFonts w:cs="Times New Roman" w:eastAsiaTheme="minorEastAsia"/>
                <w:kern w:val="0"/>
                <w:szCs w:val="24"/>
              </w:rPr>
            </w:pPr>
          </w:p>
        </w:tc>
      </w:tr>
    </w:tbl>
    <w:p>
      <w:pPr>
        <w:ind w:firstLine="0" w:firstLineChars="0"/>
        <w:outlineLvl w:val="2"/>
        <w:rPr>
          <w:rFonts w:cs="Times New Roman"/>
          <w:b/>
          <w:sz w:val="28"/>
          <w:szCs w:val="28"/>
        </w:rPr>
      </w:pPr>
      <w:bookmarkStart w:id="179" w:name="_Toc513531464"/>
      <w:bookmarkStart w:id="180" w:name="_Toc147983986"/>
      <w:bookmarkStart w:id="181" w:name="_Toc73367187"/>
      <w:bookmarkStart w:id="182" w:name="_Toc179975229"/>
      <w:bookmarkStart w:id="183" w:name="_Toc194506257"/>
      <w:r>
        <w:rPr>
          <w:rFonts w:hint="eastAsia" w:cs="Times New Roman"/>
          <w:b/>
          <w:sz w:val="28"/>
          <w:szCs w:val="28"/>
        </w:rPr>
        <w:t>7</w:t>
      </w:r>
      <w:r>
        <w:rPr>
          <w:rFonts w:cs="Times New Roman"/>
          <w:b/>
          <w:sz w:val="28"/>
          <w:szCs w:val="28"/>
        </w:rPr>
        <w:t>.2.3调试方案</w:t>
      </w:r>
      <w:bookmarkEnd w:id="179"/>
      <w:bookmarkEnd w:id="180"/>
      <w:bookmarkEnd w:id="181"/>
      <w:bookmarkEnd w:id="182"/>
      <w:bookmarkEnd w:id="183"/>
    </w:p>
    <w:p>
      <w:pPr>
        <w:ind w:firstLine="560"/>
        <w:rPr>
          <w:rFonts w:cs="Times New Roman" w:eastAsiaTheme="minorEastAsia"/>
          <w:kern w:val="0"/>
          <w:sz w:val="28"/>
          <w:szCs w:val="28"/>
        </w:rPr>
      </w:pPr>
      <w:r>
        <w:rPr>
          <w:rFonts w:cs="Times New Roman" w:eastAsiaTheme="minorEastAsia"/>
          <w:kern w:val="0"/>
          <w:sz w:val="28"/>
          <w:szCs w:val="28"/>
        </w:rPr>
        <w:t>污水处理工艺调试可分为单机调试和系统联动调试，各阶段调试方案分述如下。</w:t>
      </w:r>
    </w:p>
    <w:p>
      <w:pPr>
        <w:ind w:firstLine="560"/>
        <w:rPr>
          <w:rFonts w:cs="Times New Roman" w:eastAsiaTheme="minorEastAsia"/>
          <w:sz w:val="28"/>
          <w:szCs w:val="28"/>
        </w:rPr>
      </w:pPr>
      <w:bookmarkStart w:id="184" w:name="_Toc194506258"/>
      <w:r>
        <w:rPr>
          <w:rFonts w:cs="Times New Roman" w:eastAsiaTheme="minorEastAsia"/>
          <w:sz w:val="28"/>
          <w:szCs w:val="28"/>
        </w:rPr>
        <w:t>（1）单机调试</w:t>
      </w:r>
      <w:bookmarkEnd w:id="184"/>
    </w:p>
    <w:p>
      <w:pPr>
        <w:ind w:firstLine="560"/>
        <w:rPr>
          <w:rFonts w:cs="Times New Roman" w:eastAsiaTheme="minorEastAsia"/>
          <w:kern w:val="0"/>
          <w:sz w:val="28"/>
          <w:szCs w:val="28"/>
        </w:rPr>
      </w:pPr>
      <w:r>
        <w:rPr>
          <w:rFonts w:cs="Times New Roman" w:eastAsiaTheme="minorEastAsia"/>
          <w:kern w:val="0"/>
          <w:sz w:val="28"/>
          <w:szCs w:val="28"/>
        </w:rPr>
        <w:t>单机调试前向建设方递交一份调试进度计划，报业主批准。待各设备安装完成，现场卫生清扫完毕，依据《安装分项工程质量检验评定表》通过验收后，进驻现场调试。</w:t>
      </w:r>
    </w:p>
    <w:p>
      <w:pPr>
        <w:ind w:firstLine="560"/>
        <w:rPr>
          <w:rFonts w:cs="Times New Roman" w:eastAsiaTheme="minorEastAsia"/>
          <w:kern w:val="0"/>
          <w:sz w:val="28"/>
          <w:szCs w:val="28"/>
        </w:rPr>
      </w:pPr>
      <w:r>
        <w:rPr>
          <w:rFonts w:hint="eastAsia" w:ascii="宋体" w:hAnsi="宋体" w:cs="宋体"/>
          <w:kern w:val="0"/>
          <w:sz w:val="28"/>
          <w:szCs w:val="28"/>
        </w:rPr>
        <w:t>①</w:t>
      </w:r>
      <w:r>
        <w:rPr>
          <w:rFonts w:cs="Times New Roman" w:eastAsiaTheme="minorEastAsia"/>
          <w:kern w:val="0"/>
          <w:sz w:val="28"/>
          <w:szCs w:val="28"/>
        </w:rPr>
        <w:t>系统管路以及阀门等配件的调试</w:t>
      </w:r>
    </w:p>
    <w:p>
      <w:pPr>
        <w:ind w:firstLine="560"/>
        <w:rPr>
          <w:rFonts w:cs="Times New Roman" w:eastAsiaTheme="minorEastAsia"/>
          <w:kern w:val="0"/>
          <w:sz w:val="28"/>
          <w:szCs w:val="28"/>
        </w:rPr>
      </w:pPr>
      <w:r>
        <w:rPr>
          <w:rFonts w:cs="Times New Roman" w:eastAsiaTheme="minorEastAsia"/>
          <w:kern w:val="0"/>
          <w:sz w:val="28"/>
          <w:szCs w:val="28"/>
        </w:rPr>
        <w:t>各系统管路以及阀门等配件的调试，是整个污水处理厂系统调试的基础。本阶段的调试内容是整个处理流程调试的准备工作。其中给水管路试压、排水管道试水、给排水管道的防腐、以及阀门等配件的检测，在安装工程过程中，就已检测完成，本阶段该部分工作主要是上述检测相应资料的整理和归类。</w:t>
      </w:r>
    </w:p>
    <w:p>
      <w:pPr>
        <w:ind w:firstLine="560"/>
        <w:rPr>
          <w:rFonts w:cs="Times New Roman" w:eastAsiaTheme="minorEastAsia"/>
          <w:kern w:val="0"/>
          <w:sz w:val="28"/>
          <w:szCs w:val="28"/>
        </w:rPr>
      </w:pPr>
      <w:r>
        <w:rPr>
          <w:rFonts w:cs="Times New Roman" w:eastAsiaTheme="minorEastAsia"/>
          <w:kern w:val="0"/>
          <w:sz w:val="28"/>
          <w:szCs w:val="28"/>
        </w:rPr>
        <w:t>在施工现场的清理过程中，对全部管道以及阀门再作一遍检查，要求明装管道内外清洁，暗装管道内部清洁；防腐符合国家规范或设计要求；各阀门等配件操作灵活、阀门的润滑部位加入油脂防止生锈、开关方向标示明显、开关度指示位置正确等；对给水管道，在正式通水投入使用之前，还应作冲洗试验；鼓风机的通风管道，在正式联上曝气管道之前，应进行吹洗，清理管道内的铁屑等杂物，避免影响曝气管的使用。</w:t>
      </w:r>
    </w:p>
    <w:p>
      <w:pPr>
        <w:ind w:firstLine="560"/>
        <w:rPr>
          <w:rFonts w:cs="Times New Roman" w:eastAsiaTheme="minorEastAsia"/>
          <w:kern w:val="0"/>
          <w:sz w:val="28"/>
          <w:szCs w:val="28"/>
        </w:rPr>
      </w:pPr>
      <w:r>
        <w:rPr>
          <w:rFonts w:hint="eastAsia" w:ascii="宋体" w:hAnsi="宋体" w:cs="宋体"/>
          <w:kern w:val="0"/>
          <w:sz w:val="28"/>
          <w:szCs w:val="28"/>
        </w:rPr>
        <w:t>②</w:t>
      </w:r>
      <w:r>
        <w:rPr>
          <w:rFonts w:cs="Times New Roman" w:eastAsiaTheme="minorEastAsia"/>
          <w:kern w:val="0"/>
          <w:sz w:val="28"/>
          <w:szCs w:val="28"/>
        </w:rPr>
        <w:t>设备的单机调试阶段</w:t>
      </w:r>
    </w:p>
    <w:p>
      <w:pPr>
        <w:ind w:firstLine="560"/>
        <w:rPr>
          <w:rFonts w:cs="Times New Roman" w:eastAsiaTheme="minorEastAsia"/>
          <w:kern w:val="0"/>
          <w:sz w:val="28"/>
          <w:szCs w:val="28"/>
        </w:rPr>
      </w:pPr>
      <w:r>
        <w:rPr>
          <w:rFonts w:cs="Times New Roman" w:eastAsiaTheme="minorEastAsia"/>
          <w:kern w:val="0"/>
          <w:sz w:val="28"/>
          <w:szCs w:val="28"/>
        </w:rPr>
        <w:t>设备的单机调试阶段，主要对各单机设备进行资料整理、安装检查、安全检查、单机设备的运行和控制方式的检查、以及各性能参数的测定比照，主要由工程总承包方、污水处理厂操作管理人员、监理单位、以及必要的设备制造商参加。</w:t>
      </w:r>
    </w:p>
    <w:p>
      <w:pPr>
        <w:ind w:firstLine="560"/>
        <w:rPr>
          <w:rFonts w:cs="Times New Roman" w:eastAsiaTheme="minorEastAsia"/>
          <w:kern w:val="0"/>
          <w:sz w:val="28"/>
          <w:szCs w:val="28"/>
        </w:rPr>
      </w:pPr>
      <w:r>
        <w:rPr>
          <w:rFonts w:cs="Times New Roman" w:eastAsiaTheme="minorEastAsia"/>
          <w:kern w:val="0"/>
          <w:sz w:val="28"/>
          <w:szCs w:val="28"/>
        </w:rPr>
        <w:t>设备的单机调试方案应由总承包方设计，根据工艺流程或者安装完成的先后顺序进行调试，经业主、设备制造商审核后会同各单位全过程参与，直到没有异议为止。</w:t>
      </w:r>
    </w:p>
    <w:p>
      <w:pPr>
        <w:ind w:firstLine="560"/>
        <w:rPr>
          <w:rFonts w:cs="Times New Roman" w:eastAsiaTheme="minorEastAsia"/>
          <w:kern w:val="0"/>
          <w:sz w:val="28"/>
          <w:szCs w:val="28"/>
        </w:rPr>
      </w:pPr>
      <w:r>
        <w:rPr>
          <w:rFonts w:cs="Times New Roman" w:eastAsiaTheme="minorEastAsia"/>
          <w:kern w:val="0"/>
          <w:sz w:val="28"/>
          <w:szCs w:val="28"/>
        </w:rPr>
        <w:t>A、单机无负荷试车</w:t>
      </w:r>
    </w:p>
    <w:p>
      <w:pPr>
        <w:ind w:firstLine="560"/>
        <w:rPr>
          <w:rFonts w:cs="Times New Roman" w:eastAsiaTheme="minorEastAsia"/>
          <w:kern w:val="0"/>
          <w:sz w:val="28"/>
          <w:szCs w:val="28"/>
        </w:rPr>
      </w:pPr>
      <w:r>
        <w:rPr>
          <w:rFonts w:cs="Times New Roman" w:eastAsiaTheme="minorEastAsia"/>
          <w:kern w:val="0"/>
          <w:sz w:val="28"/>
          <w:szCs w:val="28"/>
        </w:rPr>
        <w:t>对各设备的安装、电气接线、电机转向、噪音进行调试，使各设备达到最佳运行状态，试车成功后方可进入单机带负荷试车。主要调试内容见下表。</w:t>
      </w:r>
    </w:p>
    <w:p>
      <w:pPr>
        <w:autoSpaceDE w:val="0"/>
        <w:autoSpaceDN w:val="0"/>
        <w:adjustRightInd w:val="0"/>
        <w:ind w:firstLine="182" w:firstLineChars="83"/>
        <w:jc w:val="center"/>
        <w:rPr>
          <w:rFonts w:cs="Times New Roman" w:eastAsiaTheme="minorEastAsia"/>
          <w:kern w:val="0"/>
          <w:szCs w:val="24"/>
        </w:rPr>
      </w:pPr>
      <w:r>
        <w:rPr>
          <w:rFonts w:cs="Times New Roman" w:eastAsiaTheme="minorEastAsia"/>
          <w:kern w:val="0"/>
          <w:szCs w:val="24"/>
        </w:rPr>
        <w:t>表8.2-2 主要工艺调试内容</w:t>
      </w:r>
    </w:p>
    <w:tbl>
      <w:tblPr>
        <w:tblStyle w:val="15"/>
        <w:tblW w:w="856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67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0" w:type="dxa"/>
            <w:shd w:val="clear" w:color="auto" w:fill="auto"/>
            <w:vAlign w:val="center"/>
          </w:tcPr>
          <w:p>
            <w:pPr>
              <w:ind w:firstLine="0" w:firstLineChars="0"/>
              <w:jc w:val="center"/>
              <w:rPr>
                <w:rFonts w:cs="Times New Roman" w:eastAsiaTheme="minorEastAsia"/>
                <w:kern w:val="0"/>
                <w:szCs w:val="24"/>
              </w:rPr>
            </w:pPr>
            <w:r>
              <w:rPr>
                <w:rFonts w:cs="Times New Roman" w:eastAsiaTheme="minorEastAsia"/>
                <w:kern w:val="0"/>
                <w:szCs w:val="24"/>
              </w:rPr>
              <w:t>项目</w:t>
            </w:r>
          </w:p>
        </w:tc>
        <w:tc>
          <w:tcPr>
            <w:tcW w:w="6764" w:type="dxa"/>
            <w:shd w:val="clear" w:color="auto" w:fill="auto"/>
            <w:vAlign w:val="center"/>
          </w:tcPr>
          <w:p>
            <w:pPr>
              <w:ind w:firstLine="0" w:firstLineChars="0"/>
              <w:jc w:val="center"/>
              <w:rPr>
                <w:rFonts w:cs="Times New Roman" w:eastAsiaTheme="minorEastAsia"/>
                <w:kern w:val="0"/>
                <w:szCs w:val="24"/>
              </w:rPr>
            </w:pPr>
            <w:r>
              <w:rPr>
                <w:rFonts w:cs="Times New Roman" w:eastAsiaTheme="minorEastAsia"/>
                <w:kern w:val="0"/>
                <w:szCs w:val="24"/>
              </w:rPr>
              <w:t>主要调试内容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0" w:type="dxa"/>
            <w:vAlign w:val="center"/>
          </w:tcPr>
          <w:p>
            <w:pPr>
              <w:ind w:firstLine="0" w:firstLineChars="0"/>
              <w:rPr>
                <w:rFonts w:cs="Times New Roman" w:eastAsiaTheme="minorEastAsia"/>
                <w:kern w:val="0"/>
                <w:szCs w:val="24"/>
              </w:rPr>
            </w:pPr>
            <w:r>
              <w:rPr>
                <w:rFonts w:cs="Times New Roman" w:eastAsiaTheme="minorEastAsia"/>
                <w:kern w:val="0"/>
                <w:szCs w:val="24"/>
              </w:rPr>
              <w:t>生化处理系统</w:t>
            </w:r>
          </w:p>
        </w:tc>
        <w:tc>
          <w:tcPr>
            <w:tcW w:w="6764" w:type="dxa"/>
          </w:tcPr>
          <w:p>
            <w:pPr>
              <w:autoSpaceDE w:val="0"/>
              <w:autoSpaceDN w:val="0"/>
              <w:adjustRightInd w:val="0"/>
              <w:ind w:firstLine="0" w:firstLineChars="0"/>
              <w:jc w:val="left"/>
              <w:rPr>
                <w:rFonts w:cs="Times New Roman" w:eastAsiaTheme="minorEastAsia"/>
                <w:kern w:val="0"/>
                <w:szCs w:val="24"/>
              </w:rPr>
            </w:pPr>
            <w:r>
              <w:rPr>
                <w:rFonts w:cs="Times New Roman" w:eastAsiaTheme="minorEastAsia"/>
                <w:kern w:val="0"/>
                <w:szCs w:val="24"/>
              </w:rPr>
              <w:t>1 检查所有设备装配螺栓是否牢固，管路安装是否正确，并且出液管路是否开放。检查搅拌机组轴承润滑油量是否充足；</w:t>
            </w:r>
          </w:p>
          <w:p>
            <w:pPr>
              <w:autoSpaceDE w:val="0"/>
              <w:autoSpaceDN w:val="0"/>
              <w:adjustRightInd w:val="0"/>
              <w:ind w:firstLine="0" w:firstLineChars="0"/>
              <w:jc w:val="left"/>
              <w:rPr>
                <w:rFonts w:cs="Times New Roman" w:eastAsiaTheme="minorEastAsia"/>
                <w:kern w:val="0"/>
                <w:szCs w:val="24"/>
              </w:rPr>
            </w:pPr>
            <w:r>
              <w:rPr>
                <w:rFonts w:cs="Times New Roman" w:eastAsiaTheme="minorEastAsia"/>
                <w:kern w:val="0"/>
                <w:szCs w:val="24"/>
              </w:rPr>
              <w:t>2 各系统管路应做好防腐工作，管道色标应与工厂其它管协调统一。施工完毕后在各阀门及设备上挂上不易脱色的标志牌；</w:t>
            </w:r>
          </w:p>
          <w:p>
            <w:pPr>
              <w:autoSpaceDE w:val="0"/>
              <w:autoSpaceDN w:val="0"/>
              <w:adjustRightInd w:val="0"/>
              <w:ind w:firstLine="0" w:firstLineChars="0"/>
              <w:jc w:val="left"/>
              <w:rPr>
                <w:rFonts w:cs="Times New Roman" w:eastAsiaTheme="minorEastAsia"/>
                <w:kern w:val="0"/>
                <w:szCs w:val="24"/>
              </w:rPr>
            </w:pPr>
            <w:r>
              <w:rPr>
                <w:rFonts w:cs="Times New Roman" w:eastAsiaTheme="minorEastAsia"/>
                <w:kern w:val="0"/>
                <w:szCs w:val="24"/>
              </w:rPr>
              <w:t>3 检查各用电设备接线是否正确；</w:t>
            </w:r>
          </w:p>
          <w:p>
            <w:pPr>
              <w:autoSpaceDE w:val="0"/>
              <w:autoSpaceDN w:val="0"/>
              <w:adjustRightInd w:val="0"/>
              <w:ind w:firstLine="0" w:firstLineChars="0"/>
              <w:jc w:val="left"/>
              <w:rPr>
                <w:rFonts w:cs="Times New Roman" w:eastAsiaTheme="minorEastAsia"/>
                <w:kern w:val="0"/>
                <w:szCs w:val="24"/>
              </w:rPr>
            </w:pPr>
            <w:r>
              <w:rPr>
                <w:rFonts w:cs="Times New Roman" w:eastAsiaTheme="minorEastAsia"/>
                <w:kern w:val="0"/>
                <w:szCs w:val="24"/>
              </w:rPr>
              <w:t>4 各设备润滑油的添加、电机转向、振动、进出口阀门的密闭情况；</w:t>
            </w:r>
          </w:p>
          <w:p>
            <w:pPr>
              <w:ind w:firstLine="0" w:firstLineChars="0"/>
              <w:rPr>
                <w:rFonts w:cs="Times New Roman" w:eastAsiaTheme="minorEastAsia"/>
                <w:kern w:val="0"/>
                <w:szCs w:val="24"/>
              </w:rPr>
            </w:pPr>
            <w:r>
              <w:rPr>
                <w:rFonts w:cs="Times New Roman" w:eastAsiaTheme="minorEastAsia"/>
                <w:kern w:val="0"/>
                <w:szCs w:val="24"/>
              </w:rPr>
              <w:t>5 主要构筑物满水渗漏试验。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0" w:type="dxa"/>
            <w:vAlign w:val="center"/>
          </w:tcPr>
          <w:p>
            <w:pPr>
              <w:autoSpaceDE w:val="0"/>
              <w:autoSpaceDN w:val="0"/>
              <w:adjustRightInd w:val="0"/>
              <w:ind w:firstLine="0" w:firstLineChars="0"/>
              <w:rPr>
                <w:rFonts w:cs="Times New Roman" w:eastAsiaTheme="minorEastAsia"/>
                <w:kern w:val="0"/>
                <w:szCs w:val="24"/>
              </w:rPr>
            </w:pPr>
            <w:r>
              <w:rPr>
                <w:rFonts w:cs="Times New Roman" w:eastAsiaTheme="minorEastAsia"/>
                <w:kern w:val="0"/>
                <w:szCs w:val="24"/>
              </w:rPr>
              <w:t>曝气系统</w:t>
            </w:r>
          </w:p>
        </w:tc>
        <w:tc>
          <w:tcPr>
            <w:tcW w:w="6764" w:type="dxa"/>
          </w:tcPr>
          <w:p>
            <w:pPr>
              <w:autoSpaceDE w:val="0"/>
              <w:autoSpaceDN w:val="0"/>
              <w:adjustRightInd w:val="0"/>
              <w:ind w:firstLine="0" w:firstLineChars="0"/>
              <w:jc w:val="left"/>
              <w:rPr>
                <w:rFonts w:cs="Times New Roman" w:eastAsiaTheme="minorEastAsia"/>
                <w:kern w:val="0"/>
                <w:szCs w:val="24"/>
              </w:rPr>
            </w:pPr>
            <w:r>
              <w:rPr>
                <w:rFonts w:cs="Times New Roman" w:eastAsiaTheme="minorEastAsia"/>
                <w:kern w:val="0"/>
                <w:szCs w:val="24"/>
              </w:rPr>
              <w:t>1 风管走向，固定是否完好；</w:t>
            </w:r>
          </w:p>
          <w:p>
            <w:pPr>
              <w:autoSpaceDE w:val="0"/>
              <w:autoSpaceDN w:val="0"/>
              <w:adjustRightInd w:val="0"/>
              <w:ind w:firstLine="0" w:firstLineChars="0"/>
              <w:jc w:val="left"/>
              <w:rPr>
                <w:rFonts w:cs="Times New Roman" w:eastAsiaTheme="minorEastAsia"/>
                <w:kern w:val="0"/>
                <w:szCs w:val="24"/>
              </w:rPr>
            </w:pPr>
            <w:r>
              <w:rPr>
                <w:rFonts w:cs="Times New Roman" w:eastAsiaTheme="minorEastAsia"/>
                <w:kern w:val="0"/>
                <w:szCs w:val="24"/>
              </w:rPr>
              <w:t>2 鼓风机启动电流、空载电流；空载噪音、温度测试点发热情况、机房温度变化等；空气管道的试压；</w:t>
            </w:r>
          </w:p>
          <w:p>
            <w:pPr>
              <w:ind w:firstLine="0" w:firstLineChars="0"/>
              <w:rPr>
                <w:rFonts w:cs="Times New Roman" w:eastAsiaTheme="minorEastAsia"/>
                <w:kern w:val="0"/>
                <w:szCs w:val="24"/>
              </w:rPr>
            </w:pPr>
            <w:r>
              <w:rPr>
                <w:rFonts w:cs="Times New Roman" w:eastAsiaTheme="minorEastAsia"/>
                <w:kern w:val="0"/>
                <w:szCs w:val="24"/>
              </w:rPr>
              <w:t>3 曝气管安装高差复核；曝气清水试验。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0" w:type="dxa"/>
            <w:vAlign w:val="center"/>
          </w:tcPr>
          <w:p>
            <w:pPr>
              <w:autoSpaceDE w:val="0"/>
              <w:autoSpaceDN w:val="0"/>
              <w:adjustRightInd w:val="0"/>
              <w:ind w:firstLine="0" w:firstLineChars="0"/>
              <w:rPr>
                <w:rFonts w:cs="Times New Roman" w:eastAsiaTheme="minorEastAsia"/>
                <w:kern w:val="0"/>
                <w:szCs w:val="24"/>
              </w:rPr>
            </w:pPr>
            <w:r>
              <w:rPr>
                <w:rFonts w:cs="Times New Roman" w:eastAsiaTheme="minorEastAsia"/>
                <w:kern w:val="0"/>
                <w:szCs w:val="24"/>
              </w:rPr>
              <w:t>膜系统</w:t>
            </w:r>
          </w:p>
        </w:tc>
        <w:tc>
          <w:tcPr>
            <w:tcW w:w="6764" w:type="dxa"/>
          </w:tcPr>
          <w:p>
            <w:pPr>
              <w:ind w:firstLine="0" w:firstLineChars="0"/>
              <w:rPr>
                <w:rFonts w:cs="Times New Roman" w:eastAsiaTheme="minorEastAsia"/>
                <w:kern w:val="0"/>
                <w:szCs w:val="24"/>
              </w:rPr>
            </w:pPr>
            <w:r>
              <w:rPr>
                <w:rFonts w:cs="Times New Roman" w:eastAsiaTheme="minorEastAsia"/>
                <w:kern w:val="0"/>
                <w:szCs w:val="24"/>
              </w:rPr>
              <w:t>1 检查总电源电缆连接是否正常</w:t>
            </w:r>
          </w:p>
          <w:p>
            <w:pPr>
              <w:ind w:firstLine="0" w:firstLineChars="0"/>
              <w:rPr>
                <w:rFonts w:cs="Times New Roman" w:eastAsiaTheme="minorEastAsia"/>
                <w:kern w:val="0"/>
                <w:szCs w:val="24"/>
              </w:rPr>
            </w:pPr>
            <w:r>
              <w:rPr>
                <w:rFonts w:cs="Times New Roman" w:eastAsiaTheme="minorEastAsia"/>
                <w:kern w:val="0"/>
                <w:szCs w:val="24"/>
              </w:rPr>
              <w:t>2 进、出水管路是否连接正常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0" w:type="dxa"/>
            <w:vAlign w:val="center"/>
          </w:tcPr>
          <w:p>
            <w:pPr>
              <w:ind w:firstLine="0" w:firstLineChars="0"/>
              <w:rPr>
                <w:rFonts w:cs="Times New Roman" w:eastAsiaTheme="minorEastAsia"/>
                <w:kern w:val="0"/>
                <w:szCs w:val="24"/>
              </w:rPr>
            </w:pPr>
            <w:r>
              <w:rPr>
                <w:rFonts w:cs="Times New Roman" w:eastAsiaTheme="minorEastAsia"/>
                <w:kern w:val="0"/>
                <w:szCs w:val="24"/>
              </w:rPr>
              <w:t>污泥处理系统</w:t>
            </w:r>
          </w:p>
        </w:tc>
        <w:tc>
          <w:tcPr>
            <w:tcW w:w="6764" w:type="dxa"/>
          </w:tcPr>
          <w:p>
            <w:pPr>
              <w:autoSpaceDE w:val="0"/>
              <w:autoSpaceDN w:val="0"/>
              <w:adjustRightInd w:val="0"/>
              <w:ind w:firstLine="0" w:firstLineChars="0"/>
              <w:jc w:val="left"/>
              <w:rPr>
                <w:rFonts w:cs="Times New Roman" w:eastAsiaTheme="minorEastAsia"/>
                <w:kern w:val="0"/>
                <w:szCs w:val="24"/>
              </w:rPr>
            </w:pPr>
            <w:r>
              <w:rPr>
                <w:rFonts w:cs="Times New Roman" w:eastAsiaTheme="minorEastAsia"/>
                <w:kern w:val="0"/>
                <w:szCs w:val="24"/>
              </w:rPr>
              <w:t>1 电气接线、电机转向、响应测试；</w:t>
            </w:r>
          </w:p>
          <w:p>
            <w:pPr>
              <w:autoSpaceDE w:val="0"/>
              <w:autoSpaceDN w:val="0"/>
              <w:adjustRightInd w:val="0"/>
              <w:ind w:firstLine="0" w:firstLineChars="0"/>
              <w:jc w:val="left"/>
              <w:rPr>
                <w:rFonts w:cs="Times New Roman" w:eastAsiaTheme="minorEastAsia"/>
                <w:kern w:val="0"/>
                <w:szCs w:val="24"/>
              </w:rPr>
            </w:pPr>
            <w:r>
              <w:rPr>
                <w:rFonts w:cs="Times New Roman" w:eastAsiaTheme="minorEastAsia"/>
                <w:kern w:val="0"/>
                <w:szCs w:val="24"/>
              </w:rPr>
              <w:t>2 压缩空气压力测试；</w:t>
            </w:r>
          </w:p>
        </w:tc>
      </w:tr>
    </w:tbl>
    <w:p>
      <w:pPr>
        <w:ind w:firstLine="560"/>
        <w:rPr>
          <w:rFonts w:cs="Times New Roman" w:eastAsiaTheme="minorEastAsia"/>
          <w:kern w:val="0"/>
          <w:sz w:val="28"/>
          <w:szCs w:val="28"/>
        </w:rPr>
      </w:pPr>
      <w:r>
        <w:rPr>
          <w:rFonts w:cs="Times New Roman" w:eastAsiaTheme="minorEastAsia"/>
          <w:kern w:val="0"/>
          <w:sz w:val="28"/>
          <w:szCs w:val="28"/>
        </w:rPr>
        <w:t>B、单机调试设备出现故障时，必须先修复或者调换直至无故障，才能进入后续工作。</w:t>
      </w:r>
    </w:p>
    <w:p>
      <w:pPr>
        <w:ind w:firstLine="560"/>
        <w:rPr>
          <w:rFonts w:cs="Times New Roman" w:eastAsiaTheme="minorEastAsia"/>
          <w:kern w:val="0"/>
          <w:sz w:val="28"/>
          <w:szCs w:val="28"/>
        </w:rPr>
      </w:pPr>
      <w:r>
        <w:rPr>
          <w:rFonts w:hint="eastAsia" w:ascii="宋体" w:hAnsi="宋体" w:cs="宋体"/>
          <w:kern w:val="0"/>
          <w:sz w:val="28"/>
          <w:szCs w:val="28"/>
        </w:rPr>
        <w:t>③</w:t>
      </w:r>
      <w:r>
        <w:rPr>
          <w:rFonts w:cs="Times New Roman" w:eastAsiaTheme="minorEastAsia"/>
          <w:kern w:val="0"/>
          <w:sz w:val="28"/>
          <w:szCs w:val="28"/>
        </w:rPr>
        <w:t>单机带负荷试车</w:t>
      </w:r>
    </w:p>
    <w:p>
      <w:pPr>
        <w:ind w:firstLine="560"/>
        <w:rPr>
          <w:rFonts w:cs="Times New Roman" w:eastAsiaTheme="minorEastAsia"/>
          <w:kern w:val="0"/>
          <w:sz w:val="28"/>
          <w:szCs w:val="28"/>
        </w:rPr>
      </w:pPr>
      <w:r>
        <w:rPr>
          <w:rFonts w:cs="Times New Roman" w:eastAsiaTheme="minorEastAsia"/>
          <w:kern w:val="0"/>
          <w:sz w:val="28"/>
          <w:szCs w:val="28"/>
        </w:rPr>
        <w:t>可根据处理流程分为生化处理系统、超滤处理系统、污泥处理系统进行调试。</w:t>
      </w:r>
    </w:p>
    <w:p>
      <w:pPr>
        <w:ind w:firstLine="560"/>
        <w:rPr>
          <w:rFonts w:cs="Times New Roman" w:eastAsiaTheme="minorEastAsia"/>
          <w:kern w:val="0"/>
          <w:sz w:val="28"/>
          <w:szCs w:val="28"/>
        </w:rPr>
      </w:pPr>
      <w:r>
        <w:rPr>
          <w:rFonts w:cs="Times New Roman" w:eastAsiaTheme="minorEastAsia"/>
          <w:kern w:val="0"/>
          <w:sz w:val="28"/>
          <w:szCs w:val="28"/>
        </w:rPr>
        <w:t>1）鼓风机调试要点：</w:t>
      </w:r>
    </w:p>
    <w:p>
      <w:pPr>
        <w:ind w:firstLine="560"/>
        <w:rPr>
          <w:rFonts w:cs="Times New Roman" w:eastAsiaTheme="minorEastAsia"/>
          <w:kern w:val="0"/>
          <w:sz w:val="28"/>
          <w:szCs w:val="28"/>
        </w:rPr>
      </w:pPr>
      <w:r>
        <w:rPr>
          <w:rFonts w:cs="Times New Roman" w:eastAsiaTheme="minorEastAsia"/>
          <w:kern w:val="0"/>
          <w:sz w:val="28"/>
          <w:szCs w:val="28"/>
        </w:rPr>
        <w:t>a、进行启动前的运转准备工作：</w:t>
      </w:r>
    </w:p>
    <w:p>
      <w:pPr>
        <w:ind w:firstLine="560"/>
        <w:rPr>
          <w:rFonts w:cs="Times New Roman" w:eastAsiaTheme="minorEastAsia"/>
          <w:kern w:val="0"/>
          <w:sz w:val="28"/>
          <w:szCs w:val="28"/>
        </w:rPr>
      </w:pPr>
      <w:r>
        <w:rPr>
          <w:rFonts w:cs="Times New Roman" w:eastAsiaTheme="minorEastAsia"/>
          <w:kern w:val="0"/>
          <w:sz w:val="28"/>
          <w:szCs w:val="28"/>
        </w:rPr>
        <w:drawing>
          <wp:anchor distT="0" distB="0" distL="114300" distR="114300" simplePos="0" relativeHeight="251670528" behindDoc="1" locked="1" layoutInCell="1" allowOverlap="1">
            <wp:simplePos x="0" y="0"/>
            <wp:positionH relativeFrom="column">
              <wp:posOffset>2806700</wp:posOffset>
            </wp:positionH>
            <wp:positionV relativeFrom="paragraph">
              <wp:posOffset>6324600</wp:posOffset>
            </wp:positionV>
            <wp:extent cx="1384300" cy="203200"/>
            <wp:effectExtent l="0" t="0" r="6350" b="6350"/>
            <wp:wrapNone/>
            <wp:docPr id="3" name="图片 3"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84300" cy="203200"/>
                    </a:xfrm>
                    <a:prstGeom prst="rect">
                      <a:avLst/>
                    </a:prstGeom>
                    <a:noFill/>
                    <a:ln>
                      <a:noFill/>
                    </a:ln>
                  </pic:spPr>
                </pic:pic>
              </a:graphicData>
            </a:graphic>
          </wp:anchor>
        </w:drawing>
      </w:r>
      <w:r>
        <w:rPr>
          <w:rFonts w:cs="Times New Roman" w:eastAsiaTheme="minorEastAsia"/>
          <w:kern w:val="0"/>
          <w:sz w:val="28"/>
          <w:szCs w:val="28"/>
        </w:rPr>
        <w:t>气路：检查进气系统、消音器、伸缩节和空气过滤器的清洁度和安装是否正确，特别应注意检查叶轮前面的部位、进气口和进气管；另外要求出风管的阀门除鼓风机出口处的电动阀门外，全部完全开启；</w:t>
      </w:r>
    </w:p>
    <w:p>
      <w:pPr>
        <w:ind w:firstLine="560"/>
        <w:rPr>
          <w:rFonts w:cs="Times New Roman" w:eastAsiaTheme="minorEastAsia"/>
          <w:kern w:val="0"/>
          <w:sz w:val="28"/>
          <w:szCs w:val="28"/>
        </w:rPr>
      </w:pPr>
      <w:r>
        <w:rPr>
          <w:rFonts w:cs="Times New Roman" w:eastAsiaTheme="minorEastAsia"/>
          <w:kern w:val="0"/>
          <w:sz w:val="28"/>
          <w:szCs w:val="28"/>
        </w:rPr>
        <w:t>油路：检查油箱是否清洁，油路是否畅通；油号是否符合规定要求，加油是否到了规定的油位；检查放空阀的功能和控制是否正确；检查扩压器的控制系统的功能和控制是否正确；检查进口导叶控制系统的功能和控制是否正确；检查油冷却系统的冷却效果是否达标；</w:t>
      </w:r>
    </w:p>
    <w:p>
      <w:pPr>
        <w:ind w:firstLine="560"/>
        <w:rPr>
          <w:rFonts w:cs="Times New Roman" w:eastAsiaTheme="minorEastAsia"/>
          <w:kern w:val="0"/>
          <w:sz w:val="28"/>
          <w:szCs w:val="28"/>
        </w:rPr>
      </w:pPr>
      <w:r>
        <w:rPr>
          <w:rFonts w:cs="Times New Roman" w:eastAsiaTheme="minorEastAsia"/>
          <w:kern w:val="0"/>
          <w:sz w:val="28"/>
          <w:szCs w:val="28"/>
        </w:rPr>
        <w:t>b、试运行：</w:t>
      </w:r>
    </w:p>
    <w:p>
      <w:pPr>
        <w:ind w:firstLine="560"/>
        <w:rPr>
          <w:rFonts w:cs="Times New Roman" w:eastAsiaTheme="minorEastAsia"/>
          <w:kern w:val="0"/>
          <w:sz w:val="28"/>
          <w:szCs w:val="28"/>
        </w:rPr>
      </w:pPr>
      <w:r>
        <w:rPr>
          <w:rFonts w:cs="Times New Roman" w:eastAsiaTheme="minorEastAsia"/>
          <w:kern w:val="0"/>
          <w:sz w:val="28"/>
          <w:szCs w:val="28"/>
        </w:rPr>
        <w:t>目的是检查开/停顺序和电缆连接是否正确，试运转时，恒温器、恒压器和各种安全检测装置是否已经过试验，并有满意的结果。启动鼓风机前必须手动盘车检查，各部分不应有不正常的撞击声；瞬间启动机组主电机，检查主电动机的转动方向是否正确。</w:t>
      </w:r>
    </w:p>
    <w:p>
      <w:pPr>
        <w:ind w:firstLine="560"/>
        <w:rPr>
          <w:rFonts w:cs="Times New Roman" w:eastAsiaTheme="minorEastAsia"/>
          <w:kern w:val="0"/>
          <w:sz w:val="28"/>
          <w:szCs w:val="28"/>
        </w:rPr>
      </w:pPr>
      <w:r>
        <w:rPr>
          <w:rFonts w:cs="Times New Roman" w:eastAsiaTheme="minorEastAsia"/>
          <w:kern w:val="0"/>
          <w:sz w:val="28"/>
          <w:szCs w:val="28"/>
        </w:rPr>
        <w:t>c、机组运行中有下列情况之一应立即停车：</w:t>
      </w:r>
    </w:p>
    <w:p>
      <w:pPr>
        <w:numPr>
          <w:ilvl w:val="0"/>
          <w:numId w:val="34"/>
        </w:numPr>
        <w:ind w:firstLine="480" w:firstLineChars="0"/>
        <w:rPr>
          <w:rFonts w:cs="Times New Roman" w:eastAsiaTheme="minorEastAsia"/>
          <w:kern w:val="0"/>
          <w:sz w:val="28"/>
          <w:szCs w:val="28"/>
        </w:rPr>
      </w:pPr>
      <w:r>
        <w:rPr>
          <w:rFonts w:cs="Times New Roman" w:eastAsiaTheme="minorEastAsia"/>
          <w:kern w:val="0"/>
          <w:sz w:val="28"/>
          <w:szCs w:val="28"/>
        </w:rPr>
        <w:t>机组突然发生强烈震动或机壳内有磨刮声；</w:t>
      </w:r>
    </w:p>
    <w:p>
      <w:pPr>
        <w:numPr>
          <w:ilvl w:val="0"/>
          <w:numId w:val="34"/>
        </w:numPr>
        <w:ind w:firstLine="480" w:firstLineChars="0"/>
        <w:rPr>
          <w:rFonts w:cs="Times New Roman" w:eastAsiaTheme="minorEastAsia"/>
          <w:kern w:val="0"/>
          <w:sz w:val="28"/>
          <w:szCs w:val="28"/>
        </w:rPr>
      </w:pPr>
      <w:r>
        <w:rPr>
          <w:rFonts w:cs="Times New Roman" w:eastAsiaTheme="minorEastAsia"/>
          <w:kern w:val="0"/>
          <w:sz w:val="28"/>
          <w:szCs w:val="28"/>
        </w:rPr>
        <w:t>任一轴承处冒烟雾；</w:t>
      </w:r>
    </w:p>
    <w:p>
      <w:pPr>
        <w:numPr>
          <w:ilvl w:val="0"/>
          <w:numId w:val="34"/>
        </w:numPr>
        <w:ind w:firstLine="480" w:firstLineChars="0"/>
        <w:rPr>
          <w:rFonts w:cs="Times New Roman" w:eastAsiaTheme="minorEastAsia"/>
          <w:kern w:val="0"/>
          <w:sz w:val="28"/>
          <w:szCs w:val="28"/>
        </w:rPr>
      </w:pPr>
      <w:r>
        <w:rPr>
          <w:rFonts w:cs="Times New Roman" w:eastAsiaTheme="minorEastAsia"/>
          <w:kern w:val="0"/>
          <w:sz w:val="28"/>
          <w:szCs w:val="28"/>
        </w:rPr>
        <w:t>油压下降；</w:t>
      </w:r>
    </w:p>
    <w:p>
      <w:pPr>
        <w:numPr>
          <w:ilvl w:val="0"/>
          <w:numId w:val="34"/>
        </w:numPr>
        <w:ind w:firstLine="480" w:firstLineChars="0"/>
        <w:rPr>
          <w:rFonts w:cs="Times New Roman" w:eastAsiaTheme="minorEastAsia"/>
          <w:kern w:val="0"/>
          <w:sz w:val="28"/>
          <w:szCs w:val="28"/>
        </w:rPr>
      </w:pPr>
      <w:r>
        <w:rPr>
          <w:rFonts w:cs="Times New Roman" w:eastAsiaTheme="minorEastAsia"/>
          <w:kern w:val="0"/>
          <w:sz w:val="28"/>
          <w:szCs w:val="28"/>
        </w:rPr>
        <w:t>轴承温度忽然升高超过允许值，采取各种措施后仍不能降低；</w:t>
      </w:r>
    </w:p>
    <w:p>
      <w:pPr>
        <w:numPr>
          <w:ilvl w:val="0"/>
          <w:numId w:val="34"/>
        </w:numPr>
        <w:ind w:firstLine="480" w:firstLineChars="0"/>
        <w:rPr>
          <w:rFonts w:cs="Times New Roman" w:eastAsiaTheme="minorEastAsia"/>
          <w:kern w:val="0"/>
          <w:sz w:val="28"/>
          <w:szCs w:val="28"/>
        </w:rPr>
      </w:pPr>
      <w:r>
        <w:rPr>
          <w:rFonts w:cs="Times New Roman" w:eastAsiaTheme="minorEastAsia"/>
          <w:kern w:val="0"/>
          <w:sz w:val="28"/>
          <w:szCs w:val="28"/>
        </w:rPr>
        <w:t>油位降至最低油位，加油后油位未上升；</w:t>
      </w:r>
    </w:p>
    <w:p>
      <w:pPr>
        <w:numPr>
          <w:ilvl w:val="0"/>
          <w:numId w:val="34"/>
        </w:numPr>
        <w:ind w:firstLine="480" w:firstLineChars="0"/>
        <w:rPr>
          <w:rFonts w:cs="Times New Roman" w:eastAsiaTheme="minorEastAsia"/>
          <w:kern w:val="0"/>
          <w:sz w:val="28"/>
          <w:szCs w:val="28"/>
        </w:rPr>
      </w:pPr>
      <w:r>
        <w:rPr>
          <w:rFonts w:cs="Times New Roman" w:eastAsiaTheme="minorEastAsia"/>
          <w:kern w:val="0"/>
          <w:sz w:val="28"/>
          <w:szCs w:val="28"/>
        </w:rPr>
        <w:t>转子轴向窜动是否超过0.5mm；</w:t>
      </w:r>
    </w:p>
    <w:p>
      <w:pPr>
        <w:ind w:firstLine="560"/>
        <w:rPr>
          <w:rFonts w:cs="Times New Roman" w:eastAsiaTheme="minorEastAsia"/>
          <w:kern w:val="0"/>
          <w:sz w:val="28"/>
          <w:szCs w:val="28"/>
        </w:rPr>
      </w:pPr>
      <w:r>
        <w:rPr>
          <w:rFonts w:cs="Times New Roman" w:eastAsiaTheme="minorEastAsia"/>
          <w:kern w:val="0"/>
          <w:sz w:val="28"/>
          <w:szCs w:val="28"/>
        </w:rPr>
        <w:t>2）曝气搅拌系统的调试要点：</w:t>
      </w:r>
    </w:p>
    <w:p>
      <w:pPr>
        <w:ind w:firstLine="560"/>
        <w:rPr>
          <w:rFonts w:cs="Times New Roman" w:eastAsiaTheme="minorEastAsia"/>
          <w:kern w:val="0"/>
          <w:sz w:val="28"/>
          <w:szCs w:val="28"/>
        </w:rPr>
      </w:pPr>
      <w:r>
        <w:rPr>
          <w:rFonts w:cs="Times New Roman" w:eastAsiaTheme="minorEastAsia"/>
          <w:kern w:val="0"/>
          <w:sz w:val="28"/>
          <w:szCs w:val="28"/>
        </w:rPr>
        <w:t>首先检查气路的安装，要求管道安装横平竖直，固定牢固；曝气池清理干净后，放水至射流泵进水口以上1000mm～1500mm；开启各阀门，开启鼓风机；观察各组曝气是否均匀，有无不曝气或大量曝气存在，并按要求进行调整，直到满足设计要求。清水试验结束后，放水到设计正常水位，开启鼓风机，调整每组曝气系统的进气阀开启度，使每个池子内的各曝气强度均匀可靠。</w:t>
      </w:r>
    </w:p>
    <w:p>
      <w:pPr>
        <w:ind w:firstLine="560"/>
        <w:rPr>
          <w:rFonts w:cs="Times New Roman" w:eastAsiaTheme="minorEastAsia"/>
          <w:kern w:val="0"/>
          <w:sz w:val="28"/>
          <w:szCs w:val="28"/>
        </w:rPr>
      </w:pPr>
      <w:r>
        <w:rPr>
          <w:rFonts w:cs="Times New Roman" w:eastAsiaTheme="minorEastAsia"/>
          <w:kern w:val="0"/>
          <w:sz w:val="28"/>
          <w:szCs w:val="28"/>
        </w:rPr>
        <w:t>3）泵类设备调试要点</w:t>
      </w:r>
    </w:p>
    <w:p>
      <w:pPr>
        <w:ind w:firstLine="560"/>
        <w:rPr>
          <w:rFonts w:cs="Times New Roman" w:eastAsiaTheme="minorEastAsia"/>
          <w:kern w:val="0"/>
          <w:sz w:val="28"/>
          <w:szCs w:val="28"/>
        </w:rPr>
      </w:pPr>
      <w:r>
        <w:rPr>
          <w:rFonts w:cs="Times New Roman" w:eastAsiaTheme="minorEastAsia"/>
          <w:kern w:val="0"/>
          <w:sz w:val="28"/>
          <w:szCs w:val="28"/>
        </w:rPr>
        <w:t>离心泵的调试（试车）：</w:t>
      </w:r>
    </w:p>
    <w:p>
      <w:pPr>
        <w:ind w:firstLine="560"/>
        <w:rPr>
          <w:rFonts w:cs="Times New Roman" w:eastAsiaTheme="minorEastAsia"/>
          <w:kern w:val="0"/>
          <w:sz w:val="28"/>
          <w:szCs w:val="28"/>
        </w:rPr>
      </w:pPr>
      <w:r>
        <w:rPr>
          <w:rFonts w:cs="Times New Roman" w:eastAsiaTheme="minorEastAsia"/>
          <w:kern w:val="0"/>
          <w:sz w:val="28"/>
          <w:szCs w:val="28"/>
        </w:rPr>
        <w:t>A、离心泵的试运转前的检查应符合下列要求：</w:t>
      </w:r>
    </w:p>
    <w:p>
      <w:pPr>
        <w:ind w:firstLine="560"/>
        <w:rPr>
          <w:rFonts w:cs="Times New Roman" w:eastAsiaTheme="minorEastAsia"/>
          <w:kern w:val="0"/>
          <w:sz w:val="28"/>
          <w:szCs w:val="28"/>
        </w:rPr>
      </w:pPr>
      <w:r>
        <w:rPr>
          <w:rFonts w:cs="Times New Roman" w:eastAsiaTheme="minorEastAsia"/>
          <w:kern w:val="0"/>
          <w:sz w:val="28"/>
          <w:szCs w:val="28"/>
        </w:rPr>
        <w:t>a、泵的进口根据现场情况可装上临时滤网。</w:t>
      </w:r>
    </w:p>
    <w:p>
      <w:pPr>
        <w:ind w:firstLine="560"/>
        <w:rPr>
          <w:rFonts w:cs="Times New Roman" w:eastAsiaTheme="minorEastAsia"/>
          <w:kern w:val="0"/>
          <w:sz w:val="28"/>
          <w:szCs w:val="28"/>
        </w:rPr>
      </w:pPr>
      <w:r>
        <w:rPr>
          <w:rFonts w:cs="Times New Roman" w:eastAsiaTheme="minorEastAsia"/>
          <w:kern w:val="0"/>
          <w:sz w:val="28"/>
          <w:szCs w:val="28"/>
        </w:rPr>
        <w:t>b、驱动机转向应与泵一致。</w:t>
      </w:r>
    </w:p>
    <w:p>
      <w:pPr>
        <w:ind w:firstLine="560"/>
        <w:rPr>
          <w:rFonts w:cs="Times New Roman" w:eastAsiaTheme="minorEastAsia"/>
          <w:kern w:val="0"/>
          <w:sz w:val="28"/>
          <w:szCs w:val="28"/>
        </w:rPr>
      </w:pPr>
      <w:r>
        <w:rPr>
          <w:rFonts w:cs="Times New Roman" w:eastAsiaTheme="minorEastAsia"/>
          <w:kern w:val="0"/>
          <w:sz w:val="28"/>
          <w:szCs w:val="28"/>
        </w:rPr>
        <w:t>c、各固定部位应无松动。</w:t>
      </w:r>
    </w:p>
    <w:p>
      <w:pPr>
        <w:ind w:firstLine="560"/>
        <w:rPr>
          <w:rFonts w:cs="Times New Roman" w:eastAsiaTheme="minorEastAsia"/>
          <w:kern w:val="0"/>
          <w:sz w:val="28"/>
          <w:szCs w:val="28"/>
        </w:rPr>
      </w:pPr>
      <w:r>
        <w:rPr>
          <w:rFonts w:cs="Times New Roman" w:eastAsiaTheme="minorEastAsia"/>
          <w:kern w:val="0"/>
          <w:sz w:val="28"/>
          <w:szCs w:val="28"/>
        </w:rPr>
        <w:t>d、各指示仪表、安全保护装置及中控装置均应灵敏、准确、可靠。</w:t>
      </w:r>
    </w:p>
    <w:p>
      <w:pPr>
        <w:ind w:firstLine="560"/>
        <w:rPr>
          <w:rFonts w:cs="Times New Roman" w:eastAsiaTheme="minorEastAsia"/>
          <w:kern w:val="0"/>
          <w:sz w:val="28"/>
          <w:szCs w:val="28"/>
        </w:rPr>
      </w:pPr>
      <w:r>
        <w:rPr>
          <w:rFonts w:cs="Times New Roman" w:eastAsiaTheme="minorEastAsia"/>
          <w:kern w:val="0"/>
          <w:sz w:val="28"/>
          <w:szCs w:val="28"/>
        </w:rPr>
        <w:t>e、盘车应灵活，无异常现象。</w:t>
      </w:r>
    </w:p>
    <w:p>
      <w:pPr>
        <w:ind w:firstLine="560"/>
        <w:rPr>
          <w:rFonts w:cs="Times New Roman" w:eastAsiaTheme="minorEastAsia"/>
          <w:kern w:val="0"/>
          <w:sz w:val="28"/>
          <w:szCs w:val="28"/>
        </w:rPr>
      </w:pPr>
      <w:r>
        <w:rPr>
          <w:rFonts w:cs="Times New Roman" w:eastAsiaTheme="minorEastAsia"/>
          <w:kern w:val="0"/>
          <w:sz w:val="28"/>
          <w:szCs w:val="28"/>
        </w:rPr>
        <w:t>B、离心泵的启动应符合下列要求：</w:t>
      </w:r>
    </w:p>
    <w:p>
      <w:pPr>
        <w:ind w:firstLine="560"/>
        <w:rPr>
          <w:rFonts w:cs="Times New Roman" w:eastAsiaTheme="minorEastAsia"/>
          <w:kern w:val="0"/>
          <w:sz w:val="28"/>
          <w:szCs w:val="28"/>
        </w:rPr>
      </w:pPr>
      <w:r>
        <w:rPr>
          <w:rFonts w:cs="Times New Roman" w:eastAsiaTheme="minorEastAsia"/>
          <w:kern w:val="0"/>
          <w:sz w:val="28"/>
          <w:szCs w:val="28"/>
        </w:rPr>
        <w:t>a、离心泵应打开吸入管路阀门。</w:t>
      </w:r>
    </w:p>
    <w:p>
      <w:pPr>
        <w:ind w:firstLine="560"/>
        <w:rPr>
          <w:rFonts w:cs="Times New Roman" w:eastAsiaTheme="minorEastAsia"/>
          <w:kern w:val="0"/>
          <w:sz w:val="28"/>
          <w:szCs w:val="28"/>
        </w:rPr>
      </w:pPr>
      <w:r>
        <w:rPr>
          <w:rFonts w:cs="Times New Roman" w:eastAsiaTheme="minorEastAsia"/>
          <w:kern w:val="0"/>
          <w:sz w:val="28"/>
          <w:szCs w:val="28"/>
        </w:rPr>
        <w:t>b、吸入管路应充满输送液体，排尽空气，不得在无液体情况下启动。</w:t>
      </w:r>
    </w:p>
    <w:p>
      <w:pPr>
        <w:ind w:firstLine="560"/>
        <w:rPr>
          <w:rFonts w:cs="Times New Roman" w:eastAsiaTheme="minorEastAsia"/>
          <w:kern w:val="0"/>
          <w:sz w:val="28"/>
          <w:szCs w:val="28"/>
        </w:rPr>
      </w:pPr>
      <w:r>
        <w:rPr>
          <w:rFonts w:cs="Times New Roman" w:eastAsiaTheme="minorEastAsia"/>
          <w:kern w:val="0"/>
          <w:sz w:val="28"/>
          <w:szCs w:val="28"/>
        </w:rPr>
        <w:t>c、泵启动后，应快速通过喘振区。</w:t>
      </w:r>
    </w:p>
    <w:p>
      <w:pPr>
        <w:ind w:firstLine="560"/>
        <w:rPr>
          <w:rFonts w:cs="Times New Roman" w:eastAsiaTheme="minorEastAsia"/>
          <w:kern w:val="0"/>
          <w:sz w:val="28"/>
          <w:szCs w:val="28"/>
        </w:rPr>
      </w:pPr>
      <w:r>
        <w:rPr>
          <w:rFonts w:cs="Times New Roman" w:eastAsiaTheme="minorEastAsia"/>
          <w:kern w:val="0"/>
          <w:sz w:val="28"/>
          <w:szCs w:val="28"/>
        </w:rPr>
        <w:t>d、转速正常后，打开出口伐，出口管路阀门开启，不宜超过3min，将泵调整到设计工况，不得在性能曲线高峰处运行。</w:t>
      </w:r>
    </w:p>
    <w:p>
      <w:pPr>
        <w:ind w:firstLine="560"/>
        <w:rPr>
          <w:rFonts w:cs="Times New Roman" w:eastAsiaTheme="minorEastAsia"/>
          <w:kern w:val="0"/>
          <w:sz w:val="28"/>
          <w:szCs w:val="28"/>
        </w:rPr>
      </w:pPr>
      <w:r>
        <w:rPr>
          <w:rFonts w:cs="Times New Roman" w:eastAsiaTheme="minorEastAsia"/>
          <w:kern w:val="0"/>
          <w:sz w:val="28"/>
          <w:szCs w:val="28"/>
        </w:rPr>
        <w:t>C、离心泵试运转时，应符合下列要求：</w:t>
      </w:r>
    </w:p>
    <w:p>
      <w:pPr>
        <w:ind w:firstLine="560"/>
        <w:rPr>
          <w:rFonts w:cs="Times New Roman" w:eastAsiaTheme="minorEastAsia"/>
          <w:kern w:val="0"/>
          <w:sz w:val="28"/>
          <w:szCs w:val="28"/>
        </w:rPr>
      </w:pPr>
      <w:r>
        <w:rPr>
          <w:rFonts w:cs="Times New Roman" w:eastAsiaTheme="minorEastAsia"/>
          <w:kern w:val="0"/>
          <w:sz w:val="28"/>
          <w:szCs w:val="28"/>
        </w:rPr>
        <w:t>a、各固定连接部位不应有松动。</w:t>
      </w:r>
    </w:p>
    <w:p>
      <w:pPr>
        <w:ind w:firstLine="560"/>
        <w:rPr>
          <w:rFonts w:cs="Times New Roman" w:eastAsiaTheme="minorEastAsia"/>
          <w:kern w:val="0"/>
          <w:sz w:val="28"/>
          <w:szCs w:val="28"/>
        </w:rPr>
      </w:pPr>
      <w:r>
        <w:rPr>
          <w:rFonts w:cs="Times New Roman" w:eastAsiaTheme="minorEastAsia"/>
          <w:kern w:val="0"/>
          <w:sz w:val="28"/>
          <w:szCs w:val="28"/>
        </w:rPr>
        <w:t>b、转子及各运动部件运转应正常，不得有异常声响和磨擦现象。</w:t>
      </w:r>
    </w:p>
    <w:p>
      <w:pPr>
        <w:ind w:firstLine="560"/>
        <w:rPr>
          <w:rFonts w:cs="Times New Roman" w:eastAsiaTheme="minorEastAsia"/>
          <w:kern w:val="0"/>
          <w:sz w:val="28"/>
          <w:szCs w:val="28"/>
        </w:rPr>
      </w:pPr>
      <w:r>
        <w:rPr>
          <w:rFonts w:cs="Times New Roman" w:eastAsiaTheme="minorEastAsia"/>
          <w:kern w:val="0"/>
          <w:sz w:val="28"/>
          <w:szCs w:val="28"/>
        </w:rPr>
        <w:t>c、附属系统的运转应正常，管道连接应牢固且无渗漏。</w:t>
      </w:r>
    </w:p>
    <w:p>
      <w:pPr>
        <w:ind w:firstLine="560"/>
        <w:rPr>
          <w:rFonts w:cs="Times New Roman" w:eastAsiaTheme="minorEastAsia"/>
          <w:kern w:val="0"/>
          <w:sz w:val="28"/>
          <w:szCs w:val="28"/>
        </w:rPr>
      </w:pPr>
      <w:r>
        <w:rPr>
          <w:rFonts w:cs="Times New Roman" w:eastAsiaTheme="minorEastAsia"/>
          <w:kern w:val="0"/>
          <w:sz w:val="28"/>
          <w:szCs w:val="28"/>
        </w:rPr>
        <w:t>d、滑动轴承的温度不应大于70</w:t>
      </w:r>
      <w:r>
        <w:rPr>
          <w:rFonts w:cs="Times New Roman"/>
          <w:kern w:val="0"/>
          <w:sz w:val="28"/>
          <w:szCs w:val="28"/>
        </w:rPr>
        <w:t>℃</w:t>
      </w:r>
      <w:r>
        <w:rPr>
          <w:rFonts w:cs="Times New Roman" w:eastAsiaTheme="minorEastAsia"/>
          <w:kern w:val="0"/>
          <w:sz w:val="28"/>
          <w:szCs w:val="28"/>
        </w:rPr>
        <w:t>，滚动轴承的温度不应大于80</w:t>
      </w:r>
      <w:r>
        <w:rPr>
          <w:rFonts w:cs="Times New Roman"/>
          <w:kern w:val="0"/>
          <w:sz w:val="28"/>
          <w:szCs w:val="28"/>
        </w:rPr>
        <w:t>℃</w:t>
      </w:r>
      <w:r>
        <w:rPr>
          <w:rFonts w:cs="Times New Roman" w:eastAsiaTheme="minorEastAsia"/>
          <w:kern w:val="0"/>
          <w:sz w:val="28"/>
          <w:szCs w:val="28"/>
        </w:rPr>
        <w:t>，特殊轴承的温度应符合设计技术文件的规定。</w:t>
      </w:r>
    </w:p>
    <w:p>
      <w:pPr>
        <w:ind w:firstLine="560"/>
        <w:rPr>
          <w:rFonts w:cs="Times New Roman" w:eastAsiaTheme="minorEastAsia"/>
          <w:kern w:val="0"/>
          <w:sz w:val="28"/>
          <w:szCs w:val="28"/>
        </w:rPr>
      </w:pPr>
      <w:r>
        <w:rPr>
          <w:rFonts w:cs="Times New Roman" w:eastAsiaTheme="minorEastAsia"/>
          <w:kern w:val="0"/>
          <w:sz w:val="28"/>
          <w:szCs w:val="28"/>
        </w:rPr>
        <w:t>D、泵停止运转后，应符合下列要求：</w:t>
      </w:r>
    </w:p>
    <w:p>
      <w:pPr>
        <w:ind w:firstLine="560"/>
        <w:rPr>
          <w:rFonts w:cs="Times New Roman" w:eastAsiaTheme="minorEastAsia"/>
          <w:kern w:val="0"/>
          <w:sz w:val="28"/>
          <w:szCs w:val="28"/>
        </w:rPr>
      </w:pPr>
      <w:r>
        <w:rPr>
          <w:rFonts w:cs="Times New Roman" w:eastAsiaTheme="minorEastAsia"/>
          <w:kern w:val="0"/>
          <w:sz w:val="28"/>
          <w:szCs w:val="28"/>
        </w:rPr>
        <w:t>离心泵应关闭泵的入口阀门，待泵冷却后，再依次关闭附属系统阀门。</w:t>
      </w:r>
    </w:p>
    <w:p>
      <w:pPr>
        <w:ind w:firstLine="560"/>
        <w:rPr>
          <w:rFonts w:cs="Times New Roman" w:eastAsiaTheme="minorEastAsia"/>
          <w:kern w:val="0"/>
          <w:sz w:val="28"/>
          <w:szCs w:val="28"/>
        </w:rPr>
      </w:pPr>
      <w:r>
        <w:rPr>
          <w:rFonts w:cs="Times New Roman" w:eastAsiaTheme="minorEastAsia"/>
          <w:kern w:val="0"/>
          <w:sz w:val="28"/>
          <w:szCs w:val="28"/>
        </w:rPr>
        <w:t>停泵后，应放尽泵内积水，防止锈蚀、冻裂。</w:t>
      </w:r>
    </w:p>
    <w:p>
      <w:pPr>
        <w:ind w:firstLine="560"/>
        <w:rPr>
          <w:rFonts w:cs="Times New Roman" w:eastAsiaTheme="minorEastAsia"/>
          <w:kern w:val="0"/>
          <w:sz w:val="28"/>
          <w:szCs w:val="28"/>
        </w:rPr>
      </w:pPr>
      <w:r>
        <w:rPr>
          <w:rFonts w:cs="Times New Roman" w:eastAsiaTheme="minorEastAsia"/>
          <w:kern w:val="0"/>
          <w:sz w:val="28"/>
          <w:szCs w:val="28"/>
        </w:rPr>
        <w:t>拆下临时滤网，将管道复位。</w:t>
      </w:r>
    </w:p>
    <w:p>
      <w:pPr>
        <w:ind w:firstLine="560"/>
        <w:rPr>
          <w:rFonts w:cs="Times New Roman" w:eastAsiaTheme="minorEastAsia"/>
          <w:kern w:val="0"/>
          <w:sz w:val="28"/>
          <w:szCs w:val="28"/>
        </w:rPr>
      </w:pPr>
      <w:r>
        <w:rPr>
          <w:rFonts w:cs="Times New Roman" w:eastAsiaTheme="minorEastAsia"/>
          <w:kern w:val="0"/>
          <w:sz w:val="28"/>
          <w:szCs w:val="28"/>
        </w:rPr>
        <w:t>4）离心脱水机设备调试要点：</w:t>
      </w:r>
    </w:p>
    <w:p>
      <w:pPr>
        <w:ind w:firstLine="560"/>
        <w:rPr>
          <w:rFonts w:cs="Times New Roman" w:eastAsiaTheme="minorEastAsia"/>
          <w:kern w:val="0"/>
          <w:sz w:val="28"/>
          <w:szCs w:val="28"/>
        </w:rPr>
      </w:pPr>
      <w:r>
        <w:rPr>
          <w:rFonts w:cs="Times New Roman" w:eastAsiaTheme="minorEastAsia"/>
          <w:kern w:val="0"/>
          <w:sz w:val="28"/>
          <w:szCs w:val="28"/>
        </w:rPr>
        <w:t>调试方法：</w:t>
      </w:r>
    </w:p>
    <w:p>
      <w:pPr>
        <w:ind w:firstLine="560"/>
        <w:rPr>
          <w:rFonts w:cs="Times New Roman" w:eastAsiaTheme="minorEastAsia"/>
          <w:kern w:val="0"/>
          <w:sz w:val="28"/>
          <w:szCs w:val="28"/>
        </w:rPr>
      </w:pPr>
      <w:r>
        <w:rPr>
          <w:rFonts w:cs="Times New Roman" w:eastAsiaTheme="minorEastAsia"/>
          <w:kern w:val="0"/>
          <w:sz w:val="28"/>
          <w:szCs w:val="28"/>
        </w:rPr>
        <w:t>A、试验用仪表、量具应附带有效使用周期检定合格证，精度不低于被测量件的精度要求。</w:t>
      </w:r>
    </w:p>
    <w:p>
      <w:pPr>
        <w:ind w:firstLine="560"/>
        <w:rPr>
          <w:rFonts w:cs="Times New Roman" w:eastAsiaTheme="minorEastAsia"/>
          <w:kern w:val="0"/>
          <w:sz w:val="28"/>
          <w:szCs w:val="28"/>
        </w:rPr>
      </w:pPr>
      <w:r>
        <w:rPr>
          <w:rFonts w:cs="Times New Roman" w:eastAsiaTheme="minorEastAsia"/>
          <w:kern w:val="0"/>
          <w:sz w:val="28"/>
          <w:szCs w:val="28"/>
        </w:rPr>
        <w:t>B、电气系统安全性能实验按GB/T 14048.1 进行。</w:t>
      </w:r>
    </w:p>
    <w:p>
      <w:pPr>
        <w:ind w:firstLine="560"/>
        <w:rPr>
          <w:rFonts w:cs="Times New Roman" w:eastAsiaTheme="minorEastAsia"/>
          <w:kern w:val="0"/>
          <w:sz w:val="28"/>
          <w:szCs w:val="28"/>
        </w:rPr>
      </w:pPr>
      <w:r>
        <w:rPr>
          <w:rFonts w:cs="Times New Roman" w:eastAsiaTheme="minorEastAsia"/>
          <w:kern w:val="0"/>
          <w:sz w:val="28"/>
          <w:szCs w:val="28"/>
        </w:rPr>
        <w:t>C、空载试验</w:t>
      </w:r>
    </w:p>
    <w:p>
      <w:pPr>
        <w:ind w:firstLine="560"/>
        <w:rPr>
          <w:rFonts w:cs="Times New Roman" w:eastAsiaTheme="minorEastAsia"/>
          <w:kern w:val="0"/>
          <w:sz w:val="28"/>
          <w:szCs w:val="28"/>
        </w:rPr>
      </w:pPr>
      <w:r>
        <w:rPr>
          <w:rFonts w:cs="Times New Roman" w:eastAsiaTheme="minorEastAsia"/>
          <w:kern w:val="0"/>
          <w:sz w:val="28"/>
          <w:szCs w:val="28"/>
        </w:rPr>
        <w:t>a、驱动装置空载试验</w:t>
      </w:r>
    </w:p>
    <w:p>
      <w:pPr>
        <w:ind w:firstLine="560"/>
        <w:rPr>
          <w:rFonts w:cs="Times New Roman" w:eastAsiaTheme="minorEastAsia"/>
          <w:kern w:val="0"/>
          <w:sz w:val="28"/>
          <w:szCs w:val="28"/>
        </w:rPr>
      </w:pPr>
      <w:r>
        <w:rPr>
          <w:rFonts w:cs="Times New Roman" w:eastAsiaTheme="minorEastAsia"/>
          <w:kern w:val="0"/>
          <w:sz w:val="28"/>
          <w:szCs w:val="28"/>
        </w:rPr>
        <w:t>驱动装置按规定加足润滑油（脂），接上电机电源，单机进行空载运转，先</w:t>
      </w:r>
      <w:r>
        <w:rPr>
          <w:rFonts w:cs="Times New Roman" w:eastAsiaTheme="minorEastAsia"/>
          <w:kern w:val="0"/>
          <w:sz w:val="28"/>
          <w:szCs w:val="28"/>
        </w:rPr>
        <w:drawing>
          <wp:anchor distT="0" distB="0" distL="114300" distR="114300" simplePos="0" relativeHeight="251671552" behindDoc="1" locked="1" layoutInCell="1" allowOverlap="1">
            <wp:simplePos x="0" y="0"/>
            <wp:positionH relativeFrom="column">
              <wp:posOffset>4305300</wp:posOffset>
            </wp:positionH>
            <wp:positionV relativeFrom="paragraph">
              <wp:posOffset>10020300</wp:posOffset>
            </wp:positionV>
            <wp:extent cx="533400" cy="508000"/>
            <wp:effectExtent l="0" t="0" r="0" b="6350"/>
            <wp:wrapNone/>
            <wp:docPr id="1" name="图片 1"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3400" cy="508000"/>
                    </a:xfrm>
                    <a:prstGeom prst="rect">
                      <a:avLst/>
                    </a:prstGeom>
                    <a:noFill/>
                    <a:ln>
                      <a:noFill/>
                    </a:ln>
                  </pic:spPr>
                </pic:pic>
              </a:graphicData>
            </a:graphic>
          </wp:anchor>
        </w:drawing>
      </w:r>
      <w:r>
        <w:rPr>
          <w:rFonts w:cs="Times New Roman" w:eastAsiaTheme="minorEastAsia"/>
          <w:kern w:val="0"/>
          <w:sz w:val="28"/>
          <w:szCs w:val="28"/>
        </w:rPr>
        <w:t>点动数次，无异常现象，再运转10min。检验没有异常现象，再进行整机组装实验。</w:t>
      </w:r>
    </w:p>
    <w:p>
      <w:pPr>
        <w:ind w:firstLine="560"/>
        <w:rPr>
          <w:rFonts w:cs="Times New Roman" w:eastAsiaTheme="minorEastAsia"/>
          <w:kern w:val="0"/>
          <w:sz w:val="28"/>
          <w:szCs w:val="28"/>
        </w:rPr>
      </w:pPr>
      <w:r>
        <w:rPr>
          <w:rFonts w:cs="Times New Roman" w:eastAsiaTheme="minorEastAsia"/>
          <w:kern w:val="0"/>
          <w:sz w:val="28"/>
          <w:szCs w:val="28"/>
        </w:rPr>
        <w:t>D、整机负荷试验</w:t>
      </w:r>
    </w:p>
    <w:p>
      <w:pPr>
        <w:ind w:firstLine="560"/>
        <w:rPr>
          <w:rFonts w:cs="Times New Roman" w:eastAsiaTheme="minorEastAsia"/>
          <w:kern w:val="0"/>
          <w:sz w:val="28"/>
          <w:szCs w:val="28"/>
        </w:rPr>
      </w:pPr>
      <w:r>
        <w:rPr>
          <w:rFonts w:cs="Times New Roman" w:eastAsiaTheme="minorEastAsia"/>
          <w:kern w:val="0"/>
          <w:sz w:val="28"/>
          <w:szCs w:val="28"/>
        </w:rPr>
        <w:t>a、整机负荷试验在使用现场进行，试验方法同前的规定进行。</w:t>
      </w:r>
    </w:p>
    <w:p>
      <w:pPr>
        <w:ind w:firstLine="560"/>
        <w:rPr>
          <w:rFonts w:cs="Times New Roman" w:eastAsiaTheme="minorEastAsia"/>
          <w:kern w:val="0"/>
          <w:sz w:val="28"/>
          <w:szCs w:val="28"/>
        </w:rPr>
      </w:pPr>
      <w:r>
        <w:rPr>
          <w:rFonts w:cs="Times New Roman" w:eastAsiaTheme="minorEastAsia"/>
          <w:kern w:val="0"/>
          <w:sz w:val="28"/>
          <w:szCs w:val="28"/>
        </w:rPr>
        <w:t>b、负荷试验连续运行时间应不少于72h。</w:t>
      </w:r>
    </w:p>
    <w:p>
      <w:pPr>
        <w:ind w:firstLine="560"/>
        <w:rPr>
          <w:rFonts w:cs="Times New Roman" w:eastAsiaTheme="minorEastAsia"/>
          <w:sz w:val="28"/>
          <w:szCs w:val="28"/>
        </w:rPr>
      </w:pPr>
      <w:bookmarkStart w:id="185" w:name="_Toc194506259"/>
      <w:r>
        <w:rPr>
          <w:rFonts w:cs="Times New Roman" w:eastAsiaTheme="minorEastAsia"/>
          <w:sz w:val="28"/>
          <w:szCs w:val="28"/>
        </w:rPr>
        <w:t>（2）联动调试</w:t>
      </w:r>
      <w:bookmarkEnd w:id="185"/>
    </w:p>
    <w:p>
      <w:pPr>
        <w:ind w:firstLine="560"/>
        <w:rPr>
          <w:rFonts w:cs="Times New Roman" w:eastAsiaTheme="minorEastAsia"/>
          <w:sz w:val="28"/>
          <w:szCs w:val="28"/>
        </w:rPr>
      </w:pPr>
      <w:r>
        <w:rPr>
          <w:rFonts w:cs="Times New Roman" w:eastAsiaTheme="minorEastAsia"/>
          <w:sz w:val="28"/>
          <w:szCs w:val="28"/>
        </w:rPr>
        <w:t>1）无负荷联动试车（清水试验）</w:t>
      </w:r>
    </w:p>
    <w:p>
      <w:pPr>
        <w:ind w:firstLine="560"/>
        <w:rPr>
          <w:rFonts w:cs="Times New Roman" w:eastAsiaTheme="minorEastAsia"/>
          <w:kern w:val="0"/>
          <w:sz w:val="28"/>
          <w:szCs w:val="28"/>
        </w:rPr>
      </w:pPr>
      <w:r>
        <w:rPr>
          <w:rFonts w:cs="Times New Roman" w:eastAsiaTheme="minorEastAsia"/>
          <w:kern w:val="0"/>
          <w:sz w:val="28"/>
          <w:szCs w:val="28"/>
        </w:rPr>
        <w:t>主要检测水位对各设备的启停控制、设备之间的连锁、工控机对运行信号的采集、数据处理、模拟量的转化、自控程序进行部分修改等。</w:t>
      </w:r>
    </w:p>
    <w:p>
      <w:pPr>
        <w:ind w:firstLine="560"/>
        <w:rPr>
          <w:rFonts w:cs="Times New Roman" w:eastAsiaTheme="minorEastAsia"/>
          <w:kern w:val="0"/>
          <w:sz w:val="28"/>
          <w:szCs w:val="28"/>
        </w:rPr>
      </w:pPr>
      <w:r>
        <w:rPr>
          <w:rFonts w:cs="Times New Roman" w:eastAsiaTheme="minorEastAsia"/>
          <w:kern w:val="0"/>
          <w:sz w:val="28"/>
          <w:szCs w:val="28"/>
        </w:rPr>
        <w:t>上位机提供人机接口，显示过程数据及由操作人员向PLC发出操作指令，同时它可以记录报警、操作人员的任何操作、数据的历史记录。PLC和CPU是整个系统的控制中心，所有马达及泵的起停都由它控制。主要设备既可由现场控制，也可通过计算机集中控制。</w:t>
      </w:r>
    </w:p>
    <w:p>
      <w:pPr>
        <w:ind w:firstLine="560"/>
        <w:rPr>
          <w:rFonts w:cs="Times New Roman" w:eastAsiaTheme="minorEastAsia"/>
          <w:kern w:val="0"/>
          <w:sz w:val="28"/>
          <w:szCs w:val="28"/>
        </w:rPr>
      </w:pPr>
      <w:r>
        <w:rPr>
          <w:rFonts w:cs="Times New Roman" w:eastAsiaTheme="minorEastAsia"/>
          <w:kern w:val="0"/>
          <w:sz w:val="28"/>
          <w:szCs w:val="28"/>
        </w:rPr>
        <w:t>A、液位自动控制</w:t>
      </w:r>
    </w:p>
    <w:p>
      <w:pPr>
        <w:ind w:firstLine="560"/>
        <w:rPr>
          <w:rFonts w:cs="Times New Roman" w:eastAsiaTheme="minorEastAsia"/>
          <w:kern w:val="0"/>
          <w:sz w:val="28"/>
          <w:szCs w:val="28"/>
        </w:rPr>
      </w:pPr>
      <w:r>
        <w:rPr>
          <w:rFonts w:cs="Times New Roman" w:eastAsiaTheme="minorEastAsia"/>
          <w:kern w:val="0"/>
          <w:sz w:val="28"/>
          <w:szCs w:val="28"/>
        </w:rPr>
        <w:t>各水泵启停均受相应构筑物内水位控制，通过模拟池内水位变化情况，对液位控制器接线进行测试，检测继电器响应准确性，对其中低水位控制器常开触点接线做必要的调整。</w:t>
      </w:r>
    </w:p>
    <w:p>
      <w:pPr>
        <w:ind w:firstLine="560"/>
        <w:rPr>
          <w:rFonts w:cs="Times New Roman" w:eastAsiaTheme="minorEastAsia"/>
          <w:kern w:val="0"/>
          <w:sz w:val="28"/>
          <w:szCs w:val="28"/>
        </w:rPr>
      </w:pPr>
      <w:r>
        <w:rPr>
          <w:rFonts w:cs="Times New Roman" w:eastAsiaTheme="minorEastAsia"/>
          <w:kern w:val="0"/>
          <w:sz w:val="28"/>
          <w:szCs w:val="28"/>
        </w:rPr>
        <w:t>B、进水流量控制</w:t>
      </w:r>
    </w:p>
    <w:p>
      <w:pPr>
        <w:ind w:firstLine="560"/>
        <w:rPr>
          <w:rFonts w:cs="Times New Roman" w:eastAsiaTheme="minorEastAsia"/>
          <w:kern w:val="0"/>
          <w:sz w:val="28"/>
          <w:szCs w:val="28"/>
        </w:rPr>
      </w:pPr>
      <w:r>
        <w:rPr>
          <w:rFonts w:cs="Times New Roman" w:eastAsiaTheme="minorEastAsia"/>
          <w:kern w:val="0"/>
          <w:sz w:val="28"/>
          <w:szCs w:val="28"/>
        </w:rPr>
        <w:t>根据现场进水量变化，通过调节工艺废水阀门，确保各工艺废水水量达到设计要求，并通过流量计进行显示。</w:t>
      </w:r>
    </w:p>
    <w:p>
      <w:pPr>
        <w:ind w:firstLine="560"/>
        <w:rPr>
          <w:rFonts w:cs="Times New Roman" w:eastAsiaTheme="minorEastAsia"/>
          <w:kern w:val="0"/>
          <w:sz w:val="28"/>
          <w:szCs w:val="28"/>
        </w:rPr>
      </w:pPr>
      <w:r>
        <w:rPr>
          <w:rFonts w:cs="Times New Roman" w:eastAsiaTheme="minorEastAsia"/>
          <w:kern w:val="0"/>
          <w:sz w:val="28"/>
          <w:szCs w:val="28"/>
        </w:rPr>
        <w:t>C、自控系统</w:t>
      </w:r>
    </w:p>
    <w:p>
      <w:pPr>
        <w:ind w:firstLine="560"/>
        <w:rPr>
          <w:rFonts w:cs="Times New Roman" w:eastAsiaTheme="minorEastAsia"/>
          <w:kern w:val="0"/>
          <w:sz w:val="28"/>
          <w:szCs w:val="28"/>
        </w:rPr>
      </w:pPr>
      <w:r>
        <w:rPr>
          <w:rFonts w:cs="Times New Roman" w:eastAsiaTheme="minorEastAsia"/>
          <w:kern w:val="0"/>
          <w:sz w:val="28"/>
          <w:szCs w:val="28"/>
        </w:rPr>
        <w:t>自动系统中，控制柜在出厂前，专业电器工程师将在生产车间对各元器件安装、布线，调试安全性，调试通过后方可出厂。</w:t>
      </w:r>
    </w:p>
    <w:p>
      <w:pPr>
        <w:ind w:firstLine="560"/>
        <w:rPr>
          <w:rFonts w:cs="Times New Roman" w:eastAsiaTheme="minorEastAsia"/>
          <w:kern w:val="0"/>
          <w:sz w:val="28"/>
          <w:szCs w:val="28"/>
        </w:rPr>
      </w:pPr>
      <w:r>
        <w:rPr>
          <w:rFonts w:cs="Times New Roman" w:eastAsiaTheme="minorEastAsia"/>
          <w:kern w:val="0"/>
          <w:sz w:val="28"/>
          <w:szCs w:val="28"/>
        </w:rPr>
        <w:t>现场调试主要包括控制电缆的接线测试，通讯信号传输测试，控制程序测试等。以上必要测试完成后，将结合操作人员对控制功能设置、命令对话框、操作画面、数据处理、历史记录保存等进行修改和完善。</w:t>
      </w:r>
    </w:p>
    <w:p>
      <w:pPr>
        <w:ind w:firstLine="560"/>
        <w:rPr>
          <w:rFonts w:cs="Times New Roman" w:eastAsiaTheme="minorEastAsia"/>
          <w:sz w:val="28"/>
          <w:szCs w:val="28"/>
        </w:rPr>
      </w:pPr>
      <w:r>
        <w:rPr>
          <w:rFonts w:cs="Times New Roman" w:eastAsiaTheme="minorEastAsia"/>
          <w:sz w:val="28"/>
          <w:szCs w:val="28"/>
        </w:rPr>
        <w:t>2）带负荷联动试车（污泥调试）</w:t>
      </w:r>
    </w:p>
    <w:p>
      <w:pPr>
        <w:ind w:firstLine="560"/>
        <w:rPr>
          <w:rFonts w:cs="Times New Roman" w:eastAsiaTheme="minorEastAsia"/>
          <w:kern w:val="0"/>
          <w:sz w:val="28"/>
          <w:szCs w:val="28"/>
        </w:rPr>
      </w:pPr>
      <w:r>
        <w:rPr>
          <w:rFonts w:cs="Times New Roman" w:eastAsiaTheme="minorEastAsia"/>
          <w:kern w:val="0"/>
          <w:sz w:val="28"/>
          <w:szCs w:val="28"/>
        </w:rPr>
        <w:t>A：活性污泥的阶段培养</w:t>
      </w:r>
    </w:p>
    <w:p>
      <w:pPr>
        <w:ind w:firstLine="560"/>
        <w:rPr>
          <w:rFonts w:cs="Times New Roman" w:eastAsiaTheme="minorEastAsia"/>
          <w:kern w:val="0"/>
          <w:sz w:val="28"/>
          <w:szCs w:val="28"/>
        </w:rPr>
      </w:pPr>
      <w:r>
        <w:rPr>
          <w:rFonts w:cs="Times New Roman" w:eastAsiaTheme="minorEastAsia"/>
          <w:kern w:val="0"/>
          <w:sz w:val="28"/>
          <w:szCs w:val="28"/>
        </w:rPr>
        <w:t>活性污泥的培养主要指微生物接种培菌。指一定环境条件下，在硝化曝气池中形成处理污水所需要浓度和种类的微生物（污泥）。从周围市政污水处理取脱水活性污泥50吨左右，每日计划10吨，排到污泥池中溶解，配置成污泥浓度为15g/L左右。再通过临时泵抽入生化系统进行曝气，曝气量调到1000-5000Nm3/h。所取的脱水活性污泥的COD约1000mg/L，NH3-N为5毫克/升左右。渗滤液进水方式为间歇式进水，每次进水30分钟后停止30分钟，流量控制在2-5m3/h不等。</w:t>
      </w:r>
    </w:p>
    <w:p>
      <w:pPr>
        <w:ind w:firstLine="560"/>
        <w:rPr>
          <w:rFonts w:cs="Times New Roman" w:eastAsiaTheme="minorEastAsia"/>
          <w:kern w:val="0"/>
          <w:sz w:val="28"/>
          <w:szCs w:val="28"/>
        </w:rPr>
      </w:pPr>
      <w:r>
        <w:rPr>
          <w:rFonts w:cs="Times New Roman" w:eastAsiaTheme="minorEastAsia"/>
          <w:kern w:val="0"/>
          <w:sz w:val="28"/>
          <w:szCs w:val="28"/>
        </w:rPr>
        <w:t>结合本工程的实际情况，培菌考虑采用射流曝气法。空气由鼓风机出来从射流器的上部进入，水由射流泵的出口进入到射流器的底部进入，在射流器的中间形成气水混合体喷射出来。在不进渗滤液连续的曝气情况下，数小时后，开始由少到多的进渗滤液。经过数日曝气、循环（视SV30的体积增加的变化）之后约2-5d即可连续进水，并开启超滤进水泵和超滤设备超滤浓液和清液都回流到反硝化池并流至硝化池循环运行，约10-20d可见有较多数量的活性污泥出现，则可加大进水量，提高负荷，使污泥浓度和运行负荷达到设计值，即使渗滤液经处理后达标排放所需要的污泥浓度和运行负荷。</w:t>
      </w:r>
    </w:p>
    <w:p>
      <w:pPr>
        <w:ind w:firstLine="560"/>
        <w:rPr>
          <w:rFonts w:cs="Times New Roman" w:eastAsiaTheme="minorEastAsia"/>
          <w:kern w:val="0"/>
          <w:sz w:val="28"/>
          <w:szCs w:val="28"/>
        </w:rPr>
      </w:pPr>
      <w:r>
        <w:rPr>
          <w:rFonts w:cs="Times New Roman" w:eastAsiaTheme="minorEastAsia"/>
          <w:kern w:val="0"/>
          <w:sz w:val="28"/>
          <w:szCs w:val="28"/>
        </w:rPr>
        <w:t>B：污泥培养时应注意的问题</w:t>
      </w:r>
    </w:p>
    <w:p>
      <w:pPr>
        <w:ind w:firstLine="560"/>
        <w:rPr>
          <w:rFonts w:cs="Times New Roman" w:eastAsiaTheme="minorEastAsia"/>
          <w:kern w:val="0"/>
          <w:sz w:val="28"/>
          <w:szCs w:val="28"/>
        </w:rPr>
      </w:pPr>
      <w:r>
        <w:rPr>
          <w:rFonts w:cs="Times New Roman" w:eastAsiaTheme="minorEastAsia"/>
          <w:kern w:val="0"/>
          <w:sz w:val="28"/>
          <w:szCs w:val="28"/>
        </w:rPr>
        <w:t>a）温度</w:t>
      </w:r>
    </w:p>
    <w:p>
      <w:pPr>
        <w:ind w:firstLine="560"/>
        <w:rPr>
          <w:rFonts w:cs="Times New Roman" w:eastAsiaTheme="minorEastAsia"/>
          <w:kern w:val="0"/>
          <w:sz w:val="28"/>
          <w:szCs w:val="28"/>
        </w:rPr>
      </w:pPr>
      <w:r>
        <w:rPr>
          <w:rFonts w:cs="Times New Roman" w:eastAsiaTheme="minorEastAsia"/>
          <w:kern w:val="0"/>
          <w:sz w:val="28"/>
          <w:szCs w:val="28"/>
        </w:rPr>
        <w:t>污水温度随气温会有变化，一般春秋季节污水温度在15-20</w:t>
      </w:r>
      <w:r>
        <w:rPr>
          <w:rFonts w:cs="Times New Roman"/>
          <w:kern w:val="0"/>
          <w:sz w:val="28"/>
          <w:szCs w:val="28"/>
        </w:rPr>
        <w:t>℃</w:t>
      </w:r>
      <w:r>
        <w:rPr>
          <w:rFonts w:cs="Times New Roman" w:eastAsiaTheme="minorEastAsia"/>
          <w:kern w:val="0"/>
          <w:sz w:val="28"/>
          <w:szCs w:val="28"/>
        </w:rPr>
        <w:t>之间，适合进行好氧活性污泥的培养。温度越高，污泥培养越快。因此，污水处理厂一般应避免在冬季培养活性污泥。若一定要在冬季进行培养，可适当投入接种污泥，并控制较低的运行负荷。一般而言，冬季培养污泥时，培养时间会增加30%-50%。</w:t>
      </w:r>
    </w:p>
    <w:p>
      <w:pPr>
        <w:ind w:firstLine="560"/>
        <w:rPr>
          <w:rFonts w:cs="Times New Roman" w:eastAsiaTheme="minorEastAsia"/>
          <w:kern w:val="0"/>
          <w:sz w:val="28"/>
          <w:szCs w:val="28"/>
        </w:rPr>
      </w:pPr>
      <w:r>
        <w:rPr>
          <w:rFonts w:cs="Times New Roman" w:eastAsiaTheme="minorEastAsia"/>
          <w:kern w:val="0"/>
          <w:sz w:val="28"/>
          <w:szCs w:val="28"/>
        </w:rPr>
        <w:t>b）污水水质</w:t>
      </w:r>
    </w:p>
    <w:p>
      <w:pPr>
        <w:ind w:firstLine="560"/>
        <w:rPr>
          <w:rFonts w:cs="Times New Roman" w:eastAsiaTheme="minorEastAsia"/>
          <w:kern w:val="0"/>
          <w:sz w:val="28"/>
          <w:szCs w:val="28"/>
        </w:rPr>
      </w:pPr>
      <w:r>
        <w:rPr>
          <w:rFonts w:cs="Times New Roman" w:eastAsiaTheme="minorEastAsia"/>
          <w:kern w:val="0"/>
          <w:sz w:val="28"/>
          <w:szCs w:val="28"/>
        </w:rPr>
        <w:t>一般来说，城市污水对于微生物，营养成分是平衡的，但污水有机质浓度低时，培养速度较慢。为缩短培养时间，可在进水中增加有机质营养，如在生化池内投入一定量的粪便。</w:t>
      </w:r>
    </w:p>
    <w:p>
      <w:pPr>
        <w:ind w:firstLine="560"/>
        <w:rPr>
          <w:rFonts w:cs="Times New Roman" w:eastAsiaTheme="minorEastAsia"/>
          <w:kern w:val="0"/>
          <w:sz w:val="28"/>
          <w:szCs w:val="28"/>
        </w:rPr>
      </w:pPr>
      <w:r>
        <w:rPr>
          <w:rFonts w:cs="Times New Roman" w:eastAsiaTheme="minorEastAsia"/>
          <w:kern w:val="0"/>
          <w:sz w:val="28"/>
          <w:szCs w:val="28"/>
        </w:rPr>
        <w:t>c）曝气量</w:t>
      </w:r>
    </w:p>
    <w:p>
      <w:pPr>
        <w:ind w:firstLine="560"/>
        <w:rPr>
          <w:rFonts w:cs="Times New Roman" w:eastAsiaTheme="minorEastAsia"/>
          <w:kern w:val="0"/>
          <w:sz w:val="28"/>
          <w:szCs w:val="28"/>
        </w:rPr>
      </w:pPr>
      <w:r>
        <w:rPr>
          <w:rFonts w:cs="Times New Roman" w:eastAsiaTheme="minorEastAsia"/>
          <w:kern w:val="0"/>
          <w:sz w:val="28"/>
          <w:szCs w:val="28"/>
        </w:rPr>
        <w:t>污泥培养初期，由于污泥尚未大量形成，产生的污泥絮凝性能不太好，还处于离散状态，加之污泥浓度较低，因此曝气量一定不能太大，一般控制在设计正常值的1/2左右即可。否则，絮状污泥不易形成。</w:t>
      </w:r>
    </w:p>
    <w:p>
      <w:pPr>
        <w:ind w:firstLine="560"/>
        <w:rPr>
          <w:rFonts w:cs="Times New Roman" w:eastAsiaTheme="minorEastAsia"/>
          <w:kern w:val="0"/>
          <w:sz w:val="28"/>
          <w:szCs w:val="28"/>
        </w:rPr>
      </w:pPr>
      <w:r>
        <w:rPr>
          <w:rFonts w:cs="Times New Roman" w:eastAsiaTheme="minorEastAsia"/>
          <w:kern w:val="0"/>
          <w:sz w:val="28"/>
          <w:szCs w:val="28"/>
        </w:rPr>
        <w:t>e）观测</w:t>
      </w:r>
    </w:p>
    <w:p>
      <w:pPr>
        <w:ind w:firstLine="560"/>
        <w:rPr>
          <w:rFonts w:cs="Times New Roman" w:eastAsiaTheme="minorEastAsia"/>
          <w:kern w:val="0"/>
          <w:sz w:val="28"/>
          <w:szCs w:val="28"/>
        </w:rPr>
      </w:pPr>
      <w:r>
        <w:rPr>
          <w:rFonts w:cs="Times New Roman" w:eastAsiaTheme="minorEastAsia"/>
          <w:kern w:val="0"/>
          <w:sz w:val="28"/>
          <w:szCs w:val="28"/>
        </w:rPr>
        <w:t>污泥培养过程中，不仅要测量曝气池混合液的SV30和MLSS，还应随时观察污泥的生物相，了解菌胶团及指示微生物的生长情况，以便根据情况对培养过程进行必要的调整。</w:t>
      </w:r>
    </w:p>
    <w:p>
      <w:pPr>
        <w:ind w:firstLine="560"/>
        <w:rPr>
          <w:rFonts w:cs="Times New Roman" w:eastAsiaTheme="minorEastAsia"/>
          <w:kern w:val="0"/>
          <w:sz w:val="28"/>
          <w:szCs w:val="28"/>
        </w:rPr>
      </w:pPr>
      <w:r>
        <w:rPr>
          <w:rFonts w:cs="Times New Roman" w:eastAsiaTheme="minorEastAsia"/>
          <w:kern w:val="0"/>
          <w:sz w:val="28"/>
          <w:szCs w:val="28"/>
        </w:rPr>
        <w:t>C）目标</w:t>
      </w:r>
    </w:p>
    <w:p>
      <w:pPr>
        <w:ind w:firstLine="560"/>
        <w:rPr>
          <w:rFonts w:cs="Times New Roman" w:eastAsiaTheme="minorEastAsia"/>
          <w:kern w:val="0"/>
          <w:sz w:val="28"/>
          <w:szCs w:val="28"/>
        </w:rPr>
      </w:pPr>
      <w:r>
        <w:rPr>
          <w:rFonts w:cs="Times New Roman" w:eastAsiaTheme="minorEastAsia"/>
          <w:kern w:val="0"/>
          <w:sz w:val="28"/>
          <w:szCs w:val="28"/>
        </w:rPr>
        <w:t>活性污泥的培养，不仅仅是要培养出污泥及MLSS达到设计值，更重要的是让活性污泥微生物发挥净化作用，使出水水质达到设计要求，使整个生物处理系统的各项指标达到设计要求。</w:t>
      </w:r>
    </w:p>
    <w:p>
      <w:pPr>
        <w:ind w:firstLine="0" w:firstLineChars="0"/>
        <w:outlineLvl w:val="2"/>
        <w:rPr>
          <w:rFonts w:cs="Times New Roman"/>
          <w:b/>
          <w:sz w:val="28"/>
          <w:szCs w:val="28"/>
        </w:rPr>
      </w:pPr>
      <w:bookmarkStart w:id="186" w:name="_Toc194506260"/>
      <w:bookmarkStart w:id="187" w:name="_Toc73367188"/>
      <w:bookmarkStart w:id="188" w:name="_Toc513531465"/>
      <w:r>
        <w:rPr>
          <w:rFonts w:hint="eastAsia" w:cs="Times New Roman"/>
          <w:b/>
          <w:sz w:val="28"/>
          <w:szCs w:val="28"/>
        </w:rPr>
        <w:t>7</w:t>
      </w:r>
      <w:r>
        <w:rPr>
          <w:rFonts w:cs="Times New Roman"/>
          <w:b/>
          <w:sz w:val="28"/>
          <w:szCs w:val="28"/>
        </w:rPr>
        <w:t>.2.4试运行</w:t>
      </w:r>
      <w:bookmarkEnd w:id="186"/>
      <w:bookmarkEnd w:id="187"/>
      <w:bookmarkEnd w:id="188"/>
    </w:p>
    <w:p>
      <w:pPr>
        <w:ind w:firstLine="560"/>
        <w:rPr>
          <w:rFonts w:cs="Times New Roman" w:eastAsiaTheme="minorEastAsia"/>
          <w:kern w:val="0"/>
          <w:sz w:val="28"/>
          <w:szCs w:val="28"/>
        </w:rPr>
      </w:pPr>
      <w:r>
        <w:rPr>
          <w:rFonts w:cs="Times New Roman" w:eastAsiaTheme="minorEastAsia"/>
          <w:kern w:val="0"/>
          <w:sz w:val="28"/>
          <w:szCs w:val="28"/>
        </w:rPr>
        <w:t>各项调试均成功结束后，检查设备连续运转性能；进出水水质变化规律；污水处理实际电耗、药耗；污泥处理量等指标。</w:t>
      </w:r>
    </w:p>
    <w:p>
      <w:pPr>
        <w:ind w:firstLine="560"/>
        <w:rPr>
          <w:rFonts w:cs="Times New Roman" w:eastAsiaTheme="minorEastAsia"/>
          <w:kern w:val="0"/>
          <w:sz w:val="28"/>
          <w:szCs w:val="28"/>
        </w:rPr>
      </w:pPr>
      <w:r>
        <w:rPr>
          <w:rFonts w:cs="Times New Roman" w:eastAsiaTheme="minorEastAsia"/>
          <w:kern w:val="0"/>
          <w:sz w:val="28"/>
          <w:szCs w:val="28"/>
        </w:rPr>
        <w:t>试运行期间，将协助污水处理厂工作人员制订完备的操作管理规程和运行记录，并将这些记录电子文档化，便于存档和查询。</w:t>
      </w:r>
    </w:p>
    <w:p>
      <w:pPr>
        <w:ind w:firstLine="560"/>
        <w:rPr>
          <w:rFonts w:cs="Times New Roman" w:eastAsiaTheme="minorEastAsia"/>
          <w:kern w:val="0"/>
          <w:sz w:val="28"/>
          <w:szCs w:val="28"/>
        </w:rPr>
      </w:pPr>
      <w:r>
        <w:rPr>
          <w:rFonts w:cs="Times New Roman" w:eastAsiaTheme="minorEastAsia"/>
          <w:kern w:val="0"/>
          <w:sz w:val="28"/>
          <w:szCs w:val="28"/>
        </w:rPr>
        <w:t>这些记录或规程主要包括：</w:t>
      </w:r>
    </w:p>
    <w:p>
      <w:pPr>
        <w:numPr>
          <w:ilvl w:val="0"/>
          <w:numId w:val="35"/>
        </w:numPr>
        <w:ind w:left="0" w:firstLine="480" w:firstLineChars="0"/>
        <w:rPr>
          <w:rFonts w:cs="Times New Roman" w:eastAsiaTheme="minorEastAsia"/>
          <w:kern w:val="0"/>
          <w:sz w:val="28"/>
          <w:szCs w:val="28"/>
        </w:rPr>
      </w:pPr>
      <w:r>
        <w:rPr>
          <w:rFonts w:cs="Times New Roman" w:eastAsiaTheme="minorEastAsia"/>
          <w:kern w:val="0"/>
          <w:sz w:val="28"/>
          <w:szCs w:val="28"/>
        </w:rPr>
        <w:t>岗位责任制度</w:t>
      </w:r>
    </w:p>
    <w:p>
      <w:pPr>
        <w:numPr>
          <w:ilvl w:val="0"/>
          <w:numId w:val="35"/>
        </w:numPr>
        <w:ind w:left="0" w:firstLine="480" w:firstLineChars="0"/>
        <w:rPr>
          <w:rFonts w:cs="Times New Roman" w:eastAsiaTheme="minorEastAsia"/>
          <w:kern w:val="0"/>
          <w:sz w:val="28"/>
          <w:szCs w:val="28"/>
        </w:rPr>
      </w:pPr>
      <w:r>
        <w:rPr>
          <w:rFonts w:cs="Times New Roman" w:eastAsiaTheme="minorEastAsia"/>
          <w:kern w:val="0"/>
          <w:sz w:val="28"/>
          <w:szCs w:val="28"/>
        </w:rPr>
        <w:t>设备操作规程</w:t>
      </w:r>
    </w:p>
    <w:p>
      <w:pPr>
        <w:numPr>
          <w:ilvl w:val="0"/>
          <w:numId w:val="35"/>
        </w:numPr>
        <w:ind w:left="0" w:firstLine="480" w:firstLineChars="0"/>
        <w:rPr>
          <w:rFonts w:cs="Times New Roman" w:eastAsiaTheme="minorEastAsia"/>
          <w:kern w:val="0"/>
          <w:sz w:val="28"/>
          <w:szCs w:val="28"/>
        </w:rPr>
      </w:pPr>
      <w:r>
        <w:rPr>
          <w:rFonts w:cs="Times New Roman" w:eastAsiaTheme="minorEastAsia"/>
          <w:kern w:val="0"/>
          <w:sz w:val="28"/>
          <w:szCs w:val="28"/>
        </w:rPr>
        <w:t>设施巡视制度</w:t>
      </w:r>
    </w:p>
    <w:p>
      <w:pPr>
        <w:numPr>
          <w:ilvl w:val="0"/>
          <w:numId w:val="35"/>
        </w:numPr>
        <w:ind w:left="0" w:firstLine="480" w:firstLineChars="0"/>
        <w:rPr>
          <w:rFonts w:cs="Times New Roman" w:eastAsiaTheme="minorEastAsia"/>
          <w:kern w:val="0"/>
          <w:sz w:val="28"/>
          <w:szCs w:val="28"/>
        </w:rPr>
      </w:pPr>
      <w:r>
        <w:rPr>
          <w:rFonts w:cs="Times New Roman" w:eastAsiaTheme="minorEastAsia"/>
          <w:kern w:val="0"/>
          <w:sz w:val="28"/>
          <w:szCs w:val="28"/>
        </w:rPr>
        <w:t>安全操作制度</w:t>
      </w:r>
    </w:p>
    <w:p>
      <w:pPr>
        <w:numPr>
          <w:ilvl w:val="0"/>
          <w:numId w:val="35"/>
        </w:numPr>
        <w:ind w:left="0" w:firstLine="480" w:firstLineChars="0"/>
        <w:rPr>
          <w:rFonts w:cs="Times New Roman" w:eastAsiaTheme="minorEastAsia"/>
          <w:kern w:val="0"/>
          <w:sz w:val="28"/>
          <w:szCs w:val="28"/>
        </w:rPr>
      </w:pPr>
      <w:r>
        <w:rPr>
          <w:rFonts w:cs="Times New Roman" w:eastAsiaTheme="minorEastAsia"/>
          <w:kern w:val="0"/>
          <w:sz w:val="28"/>
          <w:szCs w:val="28"/>
        </w:rPr>
        <w:t>设备保养制度</w:t>
      </w:r>
    </w:p>
    <w:p>
      <w:pPr>
        <w:numPr>
          <w:ilvl w:val="0"/>
          <w:numId w:val="35"/>
        </w:numPr>
        <w:ind w:left="0" w:firstLine="480" w:firstLineChars="0"/>
        <w:rPr>
          <w:rFonts w:cs="Times New Roman" w:eastAsiaTheme="minorEastAsia"/>
          <w:kern w:val="0"/>
          <w:sz w:val="28"/>
          <w:szCs w:val="28"/>
        </w:rPr>
      </w:pPr>
      <w:r>
        <w:rPr>
          <w:rFonts w:cs="Times New Roman" w:eastAsiaTheme="minorEastAsia"/>
          <w:kern w:val="0"/>
          <w:sz w:val="28"/>
          <w:szCs w:val="28"/>
        </w:rPr>
        <w:t>交接班制度</w:t>
      </w:r>
    </w:p>
    <w:p>
      <w:pPr>
        <w:numPr>
          <w:ilvl w:val="0"/>
          <w:numId w:val="35"/>
        </w:numPr>
        <w:ind w:left="0" w:firstLine="480" w:firstLineChars="0"/>
        <w:rPr>
          <w:rFonts w:cs="Times New Roman" w:eastAsiaTheme="minorEastAsia"/>
          <w:kern w:val="0"/>
          <w:sz w:val="28"/>
          <w:szCs w:val="28"/>
        </w:rPr>
      </w:pPr>
      <w:r>
        <w:rPr>
          <w:rFonts w:cs="Times New Roman" w:eastAsiaTheme="minorEastAsia"/>
          <w:kern w:val="0"/>
          <w:sz w:val="28"/>
          <w:szCs w:val="28"/>
        </w:rPr>
        <w:t>设备运行记录</w:t>
      </w:r>
    </w:p>
    <w:p>
      <w:pPr>
        <w:numPr>
          <w:ilvl w:val="0"/>
          <w:numId w:val="35"/>
        </w:numPr>
        <w:ind w:left="0" w:firstLine="480" w:firstLineChars="0"/>
        <w:rPr>
          <w:rFonts w:cs="Times New Roman" w:eastAsiaTheme="minorEastAsia"/>
          <w:kern w:val="0"/>
          <w:sz w:val="28"/>
          <w:szCs w:val="28"/>
        </w:rPr>
      </w:pPr>
      <w:r>
        <w:rPr>
          <w:rFonts w:cs="Times New Roman" w:eastAsiaTheme="minorEastAsia"/>
          <w:kern w:val="0"/>
          <w:sz w:val="28"/>
          <w:szCs w:val="28"/>
        </w:rPr>
        <w:t>分析化验记录</w:t>
      </w:r>
    </w:p>
    <w:p>
      <w:pPr>
        <w:numPr>
          <w:ilvl w:val="0"/>
          <w:numId w:val="35"/>
        </w:numPr>
        <w:ind w:left="0" w:firstLine="480" w:firstLineChars="0"/>
        <w:rPr>
          <w:rFonts w:cs="Times New Roman" w:eastAsiaTheme="minorEastAsia"/>
          <w:kern w:val="0"/>
          <w:sz w:val="28"/>
          <w:szCs w:val="28"/>
        </w:rPr>
      </w:pPr>
      <w:r>
        <w:rPr>
          <w:rFonts w:cs="Times New Roman" w:eastAsiaTheme="minorEastAsia"/>
          <w:kern w:val="0"/>
          <w:sz w:val="28"/>
          <w:szCs w:val="28"/>
        </w:rPr>
        <w:t>设备故障处理记录</w:t>
      </w:r>
    </w:p>
    <w:p>
      <w:pPr>
        <w:numPr>
          <w:ilvl w:val="0"/>
          <w:numId w:val="35"/>
        </w:numPr>
        <w:ind w:left="0" w:firstLine="480" w:firstLineChars="0"/>
        <w:rPr>
          <w:rFonts w:cs="Times New Roman" w:eastAsiaTheme="minorEastAsia"/>
          <w:kern w:val="0"/>
          <w:sz w:val="28"/>
          <w:szCs w:val="28"/>
        </w:rPr>
      </w:pPr>
      <w:r>
        <w:rPr>
          <w:rFonts w:cs="Times New Roman" w:eastAsiaTheme="minorEastAsia"/>
          <w:kern w:val="0"/>
          <w:sz w:val="28"/>
          <w:szCs w:val="28"/>
        </w:rPr>
        <w:t>事故处理记录</w:t>
      </w:r>
    </w:p>
    <w:p>
      <w:pPr>
        <w:numPr>
          <w:ilvl w:val="0"/>
          <w:numId w:val="35"/>
        </w:numPr>
        <w:ind w:left="0" w:firstLine="480" w:firstLineChars="0"/>
        <w:rPr>
          <w:rFonts w:cs="Times New Roman" w:eastAsiaTheme="minorEastAsia"/>
          <w:kern w:val="0"/>
          <w:sz w:val="28"/>
          <w:szCs w:val="28"/>
        </w:rPr>
      </w:pPr>
      <w:r>
        <w:rPr>
          <w:rFonts w:cs="Times New Roman" w:eastAsiaTheme="minorEastAsia"/>
          <w:kern w:val="0"/>
          <w:sz w:val="28"/>
          <w:szCs w:val="28"/>
        </w:rPr>
        <w:t>重大安全事故处理记录</w:t>
      </w:r>
    </w:p>
    <w:p>
      <w:pPr>
        <w:numPr>
          <w:ilvl w:val="0"/>
          <w:numId w:val="35"/>
        </w:numPr>
        <w:ind w:left="0" w:firstLine="480" w:firstLineChars="0"/>
        <w:rPr>
          <w:rFonts w:cs="Times New Roman" w:eastAsiaTheme="minorEastAsia"/>
          <w:kern w:val="0"/>
          <w:sz w:val="28"/>
          <w:szCs w:val="28"/>
        </w:rPr>
      </w:pPr>
      <w:r>
        <w:rPr>
          <w:rFonts w:cs="Times New Roman" w:eastAsiaTheme="minorEastAsia"/>
          <w:kern w:val="0"/>
          <w:sz w:val="28"/>
          <w:szCs w:val="28"/>
        </w:rPr>
        <w:t>预防性设备保养工作时间表</w:t>
      </w:r>
    </w:p>
    <w:p>
      <w:pPr>
        <w:numPr>
          <w:ilvl w:val="0"/>
          <w:numId w:val="35"/>
        </w:numPr>
        <w:ind w:left="0" w:firstLine="480" w:firstLineChars="0"/>
        <w:rPr>
          <w:rFonts w:cs="Times New Roman" w:eastAsiaTheme="minorEastAsia"/>
          <w:kern w:val="0"/>
          <w:sz w:val="28"/>
          <w:szCs w:val="28"/>
        </w:rPr>
      </w:pPr>
      <w:r>
        <w:rPr>
          <w:rFonts w:cs="Times New Roman" w:eastAsiaTheme="minorEastAsia"/>
          <w:kern w:val="0"/>
          <w:sz w:val="28"/>
          <w:szCs w:val="28"/>
        </w:rPr>
        <w:t>库存备品备件数目及额外增加数目记录</w:t>
      </w:r>
    </w:p>
    <w:p>
      <w:pPr>
        <w:ind w:firstLine="0" w:firstLineChars="0"/>
        <w:outlineLvl w:val="2"/>
        <w:rPr>
          <w:rFonts w:cs="Times New Roman"/>
          <w:b/>
          <w:sz w:val="28"/>
          <w:szCs w:val="28"/>
        </w:rPr>
      </w:pPr>
      <w:bookmarkStart w:id="189" w:name="_Toc194506261"/>
      <w:bookmarkStart w:id="190" w:name="_Toc73367189"/>
      <w:bookmarkStart w:id="191" w:name="_Toc513531466"/>
      <w:r>
        <w:rPr>
          <w:rFonts w:hint="eastAsia" w:cs="Times New Roman"/>
          <w:b/>
          <w:sz w:val="28"/>
          <w:szCs w:val="28"/>
        </w:rPr>
        <w:t>7</w:t>
      </w:r>
      <w:r>
        <w:rPr>
          <w:rFonts w:cs="Times New Roman"/>
          <w:b/>
          <w:sz w:val="28"/>
          <w:szCs w:val="28"/>
        </w:rPr>
        <w:t>.2.5连续运行检测</w:t>
      </w:r>
      <w:bookmarkEnd w:id="189"/>
      <w:bookmarkEnd w:id="190"/>
      <w:bookmarkEnd w:id="191"/>
      <w:r>
        <w:rPr>
          <w:rFonts w:cs="Times New Roman"/>
          <w:b/>
          <w:sz w:val="28"/>
          <w:szCs w:val="28"/>
        </w:rPr>
        <w:tab/>
      </w:r>
    </w:p>
    <w:p>
      <w:pPr>
        <w:ind w:firstLine="560"/>
        <w:rPr>
          <w:rFonts w:cs="Times New Roman" w:eastAsiaTheme="minorEastAsia"/>
          <w:kern w:val="0"/>
          <w:sz w:val="28"/>
          <w:szCs w:val="28"/>
        </w:rPr>
      </w:pPr>
      <w:r>
        <w:rPr>
          <w:rFonts w:cs="Times New Roman" w:eastAsiaTheme="minorEastAsia"/>
          <w:kern w:val="0"/>
          <w:sz w:val="28"/>
          <w:szCs w:val="28"/>
        </w:rPr>
        <w:t>成功而满意试运行后，在业主监督下，对设备及其部件至少进行连续7天的运行性能检测工作。检测过程如发现设备质量问题而使设备性能与原定技术要求所偏离，投标方均负责解决。检测工作经业主验收合格后，可根据合同条款要求，办理移交手续。</w:t>
      </w:r>
    </w:p>
    <w:p>
      <w:pPr>
        <w:ind w:firstLine="0" w:firstLineChars="0"/>
        <w:outlineLvl w:val="2"/>
        <w:rPr>
          <w:rFonts w:cs="Times New Roman"/>
          <w:b/>
          <w:sz w:val="28"/>
          <w:szCs w:val="28"/>
        </w:rPr>
      </w:pPr>
      <w:bookmarkStart w:id="192" w:name="_Toc194506262"/>
      <w:bookmarkStart w:id="193" w:name="_Toc73367190"/>
      <w:bookmarkStart w:id="194" w:name="_Toc513531467"/>
      <w:r>
        <w:rPr>
          <w:rFonts w:hint="eastAsia" w:cs="Times New Roman"/>
          <w:b/>
          <w:sz w:val="28"/>
          <w:szCs w:val="28"/>
        </w:rPr>
        <w:t>7</w:t>
      </w:r>
      <w:r>
        <w:rPr>
          <w:rFonts w:cs="Times New Roman"/>
          <w:b/>
          <w:sz w:val="28"/>
          <w:szCs w:val="28"/>
        </w:rPr>
        <w:t>.2.6调试报告</w:t>
      </w:r>
      <w:bookmarkEnd w:id="192"/>
      <w:bookmarkEnd w:id="193"/>
      <w:bookmarkEnd w:id="194"/>
    </w:p>
    <w:p>
      <w:pPr>
        <w:ind w:firstLine="560"/>
        <w:rPr>
          <w:rFonts w:cs="Times New Roman" w:eastAsiaTheme="minorEastAsia"/>
          <w:kern w:val="0"/>
          <w:sz w:val="28"/>
          <w:szCs w:val="28"/>
        </w:rPr>
      </w:pPr>
      <w:r>
        <w:rPr>
          <w:rFonts w:cs="Times New Roman" w:eastAsiaTheme="minorEastAsia"/>
          <w:kern w:val="0"/>
          <w:sz w:val="28"/>
          <w:szCs w:val="28"/>
        </w:rPr>
        <w:t>试运行结束后，提供完整的调试报告，报告主要包括如下内容：</w:t>
      </w:r>
    </w:p>
    <w:p>
      <w:pPr>
        <w:numPr>
          <w:ilvl w:val="0"/>
          <w:numId w:val="36"/>
        </w:numPr>
        <w:ind w:firstLine="480" w:firstLineChars="0"/>
        <w:rPr>
          <w:rFonts w:cs="Times New Roman" w:eastAsiaTheme="minorEastAsia"/>
          <w:kern w:val="0"/>
          <w:sz w:val="28"/>
          <w:szCs w:val="28"/>
        </w:rPr>
      </w:pPr>
      <w:r>
        <w:rPr>
          <w:rFonts w:cs="Times New Roman" w:eastAsiaTheme="minorEastAsia"/>
          <w:kern w:val="0"/>
          <w:sz w:val="28"/>
          <w:szCs w:val="28"/>
        </w:rPr>
        <w:t>单机无负荷试车质量评定表</w:t>
      </w:r>
    </w:p>
    <w:p>
      <w:pPr>
        <w:numPr>
          <w:ilvl w:val="0"/>
          <w:numId w:val="36"/>
        </w:numPr>
        <w:ind w:firstLine="480" w:firstLineChars="0"/>
        <w:rPr>
          <w:rFonts w:cs="Times New Roman" w:eastAsiaTheme="minorEastAsia"/>
          <w:kern w:val="0"/>
          <w:sz w:val="28"/>
          <w:szCs w:val="28"/>
        </w:rPr>
      </w:pPr>
      <w:r>
        <w:rPr>
          <w:rFonts w:cs="Times New Roman" w:eastAsiaTheme="minorEastAsia"/>
          <w:kern w:val="0"/>
          <w:sz w:val="28"/>
          <w:szCs w:val="28"/>
        </w:rPr>
        <w:t>单机带负荷试车质量评定表</w:t>
      </w:r>
    </w:p>
    <w:p>
      <w:pPr>
        <w:numPr>
          <w:ilvl w:val="0"/>
          <w:numId w:val="36"/>
        </w:numPr>
        <w:ind w:firstLine="480" w:firstLineChars="0"/>
        <w:rPr>
          <w:rFonts w:cs="Times New Roman" w:eastAsiaTheme="minorEastAsia"/>
          <w:kern w:val="0"/>
          <w:sz w:val="28"/>
          <w:szCs w:val="28"/>
        </w:rPr>
      </w:pPr>
      <w:r>
        <w:rPr>
          <w:rFonts w:cs="Times New Roman" w:eastAsiaTheme="minorEastAsia"/>
          <w:kern w:val="0"/>
          <w:sz w:val="28"/>
          <w:szCs w:val="28"/>
        </w:rPr>
        <w:t>无负荷联动试车评定</w:t>
      </w:r>
    </w:p>
    <w:p>
      <w:pPr>
        <w:numPr>
          <w:ilvl w:val="0"/>
          <w:numId w:val="36"/>
        </w:numPr>
        <w:ind w:firstLine="480" w:firstLineChars="0"/>
        <w:rPr>
          <w:rFonts w:cs="Times New Roman" w:eastAsiaTheme="minorEastAsia"/>
          <w:kern w:val="0"/>
          <w:sz w:val="28"/>
          <w:szCs w:val="28"/>
        </w:rPr>
      </w:pPr>
      <w:r>
        <w:rPr>
          <w:rFonts w:cs="Times New Roman" w:eastAsiaTheme="minorEastAsia"/>
          <w:kern w:val="0"/>
          <w:sz w:val="28"/>
          <w:szCs w:val="28"/>
        </w:rPr>
        <w:t>带负荷联动试车评定</w:t>
      </w:r>
    </w:p>
    <w:p>
      <w:pPr>
        <w:numPr>
          <w:ilvl w:val="0"/>
          <w:numId w:val="36"/>
        </w:numPr>
        <w:ind w:firstLine="480" w:firstLineChars="0"/>
        <w:rPr>
          <w:rFonts w:cs="Times New Roman" w:eastAsiaTheme="minorEastAsia"/>
          <w:kern w:val="0"/>
          <w:sz w:val="28"/>
          <w:szCs w:val="28"/>
        </w:rPr>
      </w:pPr>
      <w:r>
        <w:rPr>
          <w:rFonts w:cs="Times New Roman" w:eastAsiaTheme="minorEastAsia"/>
          <w:kern w:val="0"/>
          <w:sz w:val="28"/>
          <w:szCs w:val="28"/>
        </w:rPr>
        <w:t>污水处理实际成本分析</w:t>
      </w:r>
    </w:p>
    <w:p>
      <w:pPr>
        <w:numPr>
          <w:ilvl w:val="0"/>
          <w:numId w:val="36"/>
        </w:numPr>
        <w:ind w:firstLine="480" w:firstLineChars="0"/>
        <w:rPr>
          <w:rFonts w:cs="Times New Roman" w:eastAsiaTheme="minorEastAsia"/>
          <w:kern w:val="0"/>
          <w:sz w:val="28"/>
          <w:szCs w:val="28"/>
        </w:rPr>
      </w:pPr>
      <w:r>
        <w:rPr>
          <w:rFonts w:cs="Times New Roman" w:eastAsiaTheme="minorEastAsia"/>
          <w:kern w:val="0"/>
          <w:sz w:val="28"/>
          <w:szCs w:val="28"/>
        </w:rPr>
        <w:t>调试结论</w:t>
      </w:r>
    </w:p>
    <w:p>
      <w:pPr>
        <w:numPr>
          <w:ilvl w:val="0"/>
          <w:numId w:val="36"/>
        </w:numPr>
        <w:ind w:firstLine="480" w:firstLineChars="0"/>
        <w:rPr>
          <w:rFonts w:cs="Times New Roman" w:eastAsiaTheme="minorEastAsia"/>
          <w:kern w:val="0"/>
          <w:sz w:val="28"/>
          <w:szCs w:val="28"/>
        </w:rPr>
      </w:pPr>
      <w:r>
        <w:rPr>
          <w:rFonts w:cs="Times New Roman" w:eastAsiaTheme="minorEastAsia"/>
          <w:kern w:val="0"/>
          <w:sz w:val="28"/>
          <w:szCs w:val="28"/>
        </w:rPr>
        <w:t>存在的问题及完善建议</w:t>
      </w:r>
    </w:p>
    <w:p>
      <w:pPr>
        <w:numPr>
          <w:ilvl w:val="0"/>
          <w:numId w:val="36"/>
        </w:numPr>
        <w:ind w:firstLine="480" w:firstLineChars="0"/>
        <w:rPr>
          <w:rFonts w:cs="Times New Roman" w:eastAsiaTheme="minorEastAsia"/>
          <w:kern w:val="0"/>
          <w:sz w:val="28"/>
          <w:szCs w:val="28"/>
        </w:rPr>
      </w:pPr>
      <w:r>
        <w:rPr>
          <w:rFonts w:cs="Times New Roman" w:eastAsiaTheme="minorEastAsia"/>
          <w:kern w:val="0"/>
          <w:sz w:val="28"/>
          <w:szCs w:val="28"/>
        </w:rPr>
        <w:t>质量或安全事故处理记录</w:t>
      </w:r>
    </w:p>
    <w:p>
      <w:pPr>
        <w:numPr>
          <w:ilvl w:val="0"/>
          <w:numId w:val="36"/>
        </w:numPr>
        <w:ind w:firstLine="480" w:firstLineChars="0"/>
        <w:rPr>
          <w:rFonts w:cs="Times New Roman" w:eastAsiaTheme="minorEastAsia"/>
          <w:kern w:val="0"/>
          <w:sz w:val="28"/>
          <w:szCs w:val="28"/>
        </w:rPr>
      </w:pPr>
      <w:r>
        <w:rPr>
          <w:rFonts w:cs="Times New Roman" w:eastAsiaTheme="minorEastAsia"/>
          <w:kern w:val="0"/>
          <w:sz w:val="28"/>
          <w:szCs w:val="28"/>
        </w:rPr>
        <w:t>部分调试运行记录</w:t>
      </w:r>
    </w:p>
    <w:p>
      <w:pPr>
        <w:ind w:firstLine="0" w:firstLineChars="0"/>
        <w:outlineLvl w:val="2"/>
        <w:rPr>
          <w:rFonts w:cs="Times New Roman"/>
          <w:b/>
          <w:sz w:val="28"/>
          <w:szCs w:val="28"/>
        </w:rPr>
      </w:pPr>
      <w:bookmarkStart w:id="195" w:name="_Toc147983987"/>
      <w:bookmarkStart w:id="196" w:name="_Toc73367191"/>
      <w:bookmarkStart w:id="197" w:name="_Toc179975230"/>
      <w:bookmarkStart w:id="198" w:name="_Toc513531468"/>
      <w:bookmarkStart w:id="199" w:name="_Toc194506263"/>
      <w:r>
        <w:rPr>
          <w:rFonts w:hint="eastAsia" w:cs="Times New Roman"/>
          <w:b/>
          <w:sz w:val="28"/>
          <w:szCs w:val="28"/>
        </w:rPr>
        <w:t>7</w:t>
      </w:r>
      <w:r>
        <w:rPr>
          <w:rFonts w:cs="Times New Roman"/>
          <w:b/>
          <w:sz w:val="28"/>
          <w:szCs w:val="28"/>
        </w:rPr>
        <w:t>.2.7资料的准备和移交</w:t>
      </w:r>
      <w:bookmarkEnd w:id="195"/>
      <w:bookmarkEnd w:id="196"/>
      <w:bookmarkEnd w:id="197"/>
      <w:bookmarkEnd w:id="198"/>
      <w:bookmarkEnd w:id="199"/>
    </w:p>
    <w:p>
      <w:pPr>
        <w:ind w:firstLine="560"/>
        <w:rPr>
          <w:rFonts w:cs="Times New Roman" w:eastAsiaTheme="minorEastAsia"/>
          <w:kern w:val="0"/>
          <w:sz w:val="28"/>
          <w:szCs w:val="28"/>
        </w:rPr>
      </w:pPr>
      <w:r>
        <w:rPr>
          <w:rFonts w:cs="Times New Roman" w:eastAsiaTheme="minorEastAsia"/>
          <w:kern w:val="0"/>
          <w:sz w:val="28"/>
          <w:szCs w:val="28"/>
        </w:rPr>
        <w:t>调试工作完成后，按不同性质、不同功能，对全部过程中发生的文件资料整理装订成册，移交给业主。资料主要包括：</w:t>
      </w:r>
    </w:p>
    <w:p>
      <w:pPr>
        <w:ind w:firstLine="560"/>
        <w:rPr>
          <w:rFonts w:cs="Times New Roman" w:eastAsiaTheme="minorEastAsia"/>
          <w:kern w:val="0"/>
          <w:sz w:val="28"/>
          <w:szCs w:val="28"/>
        </w:rPr>
      </w:pPr>
      <w:r>
        <w:rPr>
          <w:rFonts w:cs="Times New Roman" w:eastAsiaTheme="minorEastAsia"/>
          <w:kern w:val="0"/>
          <w:sz w:val="28"/>
          <w:szCs w:val="28"/>
        </w:rPr>
        <w:t>（1）设计施工图、设计变更记录、竣工图、各类书面传真、备忘录；</w:t>
      </w:r>
    </w:p>
    <w:p>
      <w:pPr>
        <w:ind w:firstLine="560"/>
        <w:rPr>
          <w:rFonts w:cs="Times New Roman" w:eastAsiaTheme="minorEastAsia"/>
          <w:kern w:val="0"/>
          <w:sz w:val="28"/>
          <w:szCs w:val="28"/>
        </w:rPr>
      </w:pPr>
      <w:r>
        <w:rPr>
          <w:rFonts w:cs="Times New Roman" w:eastAsiaTheme="minorEastAsia"/>
          <w:kern w:val="0"/>
          <w:sz w:val="28"/>
          <w:szCs w:val="28"/>
        </w:rPr>
        <w:t>（2）设备基座、管线接口、动力驱动、仪表以及构成设备整体的部件图；</w:t>
      </w:r>
    </w:p>
    <w:p>
      <w:pPr>
        <w:ind w:firstLine="560"/>
        <w:rPr>
          <w:rFonts w:cs="Times New Roman" w:eastAsiaTheme="minorEastAsia"/>
          <w:kern w:val="0"/>
          <w:sz w:val="28"/>
          <w:szCs w:val="28"/>
        </w:rPr>
      </w:pPr>
      <w:r>
        <w:rPr>
          <w:rFonts w:cs="Times New Roman" w:eastAsiaTheme="minorEastAsia"/>
          <w:kern w:val="0"/>
          <w:sz w:val="28"/>
          <w:szCs w:val="28"/>
        </w:rPr>
        <w:t>（3）运行和保养手册：操作步骤、基本保养常识、运行安全操作须知；</w:t>
      </w:r>
    </w:p>
    <w:p>
      <w:pPr>
        <w:ind w:firstLine="560"/>
        <w:rPr>
          <w:rFonts w:cs="Times New Roman" w:eastAsiaTheme="minorEastAsia"/>
          <w:kern w:val="0"/>
          <w:sz w:val="28"/>
          <w:szCs w:val="28"/>
        </w:rPr>
      </w:pPr>
      <w:r>
        <w:rPr>
          <w:rFonts w:cs="Times New Roman" w:eastAsiaTheme="minorEastAsia"/>
          <w:kern w:val="0"/>
          <w:sz w:val="28"/>
          <w:szCs w:val="28"/>
        </w:rPr>
        <w:t>（4）制造厂商的说明书、通讯地址、电话；</w:t>
      </w:r>
    </w:p>
    <w:p>
      <w:pPr>
        <w:ind w:firstLine="560"/>
        <w:rPr>
          <w:rFonts w:cs="Times New Roman" w:eastAsiaTheme="minorEastAsia"/>
          <w:kern w:val="0"/>
          <w:sz w:val="28"/>
          <w:szCs w:val="28"/>
        </w:rPr>
      </w:pPr>
      <w:r>
        <w:rPr>
          <w:rFonts w:cs="Times New Roman" w:eastAsiaTheme="minorEastAsia"/>
          <w:kern w:val="0"/>
          <w:sz w:val="28"/>
          <w:szCs w:val="28"/>
        </w:rPr>
        <w:t>（5）保养记录系统；</w:t>
      </w:r>
    </w:p>
    <w:p>
      <w:pPr>
        <w:ind w:firstLine="560"/>
        <w:rPr>
          <w:rFonts w:cs="Times New Roman" w:eastAsiaTheme="minorEastAsia"/>
          <w:kern w:val="0"/>
          <w:sz w:val="28"/>
          <w:szCs w:val="28"/>
        </w:rPr>
      </w:pPr>
      <w:r>
        <w:rPr>
          <w:rFonts w:cs="Times New Roman" w:eastAsiaTheme="minorEastAsia"/>
          <w:kern w:val="0"/>
          <w:sz w:val="28"/>
          <w:szCs w:val="28"/>
        </w:rPr>
        <w:t>（6）维修记录系统；</w:t>
      </w:r>
    </w:p>
    <w:p>
      <w:pPr>
        <w:ind w:firstLine="560"/>
        <w:rPr>
          <w:rFonts w:cs="Times New Roman" w:eastAsiaTheme="minorEastAsia"/>
          <w:kern w:val="0"/>
          <w:sz w:val="28"/>
          <w:szCs w:val="28"/>
        </w:rPr>
      </w:pPr>
      <w:r>
        <w:rPr>
          <w:rFonts w:cs="Times New Roman" w:eastAsiaTheme="minorEastAsia"/>
          <w:kern w:val="0"/>
          <w:sz w:val="28"/>
          <w:szCs w:val="28"/>
        </w:rPr>
        <w:t>（7）其他记录。</w:t>
      </w:r>
      <w:bookmarkEnd w:id="153"/>
      <w:bookmarkEnd w:id="154"/>
    </w:p>
    <w:p>
      <w:pPr>
        <w:pStyle w:val="3"/>
        <w:adjustRightInd w:val="0"/>
        <w:spacing w:beforeLines="0" w:afterLines="0" w:line="240" w:lineRule="auto"/>
        <w:ind w:firstLine="0" w:firstLineChars="0"/>
        <w:jc w:val="left"/>
        <w:textAlignment w:val="baseline"/>
      </w:pPr>
      <w:bookmarkStart w:id="200" w:name="_Toc73367192"/>
      <w:r>
        <w:rPr>
          <w:rFonts w:hint="eastAsia"/>
        </w:rPr>
        <w:t>B、臭气处理系统</w:t>
      </w:r>
      <w:bookmarkEnd w:id="200"/>
    </w:p>
    <w:p>
      <w:pPr>
        <w:pStyle w:val="3"/>
        <w:adjustRightInd w:val="0"/>
        <w:spacing w:beforeLines="0" w:afterLines="0" w:line="240" w:lineRule="auto"/>
        <w:ind w:firstLine="0" w:firstLineChars="0"/>
        <w:jc w:val="left"/>
        <w:textAlignment w:val="baseline"/>
        <w:rPr>
          <w:rFonts w:cs="Times New Roman"/>
          <w:bCs w:val="0"/>
          <w:szCs w:val="32"/>
        </w:rPr>
      </w:pPr>
      <w:bookmarkStart w:id="201" w:name="_Toc7650"/>
      <w:bookmarkStart w:id="202" w:name="_Toc73367193"/>
      <w:bookmarkStart w:id="203" w:name="_Toc14236"/>
      <w:bookmarkStart w:id="204" w:name="_Toc1359"/>
      <w:r>
        <w:rPr>
          <w:rFonts w:hint="eastAsia" w:cs="Times New Roman"/>
          <w:bCs w:val="0"/>
          <w:szCs w:val="32"/>
        </w:rPr>
        <w:t>一、项目概况</w:t>
      </w:r>
      <w:bookmarkEnd w:id="201"/>
      <w:bookmarkEnd w:id="202"/>
      <w:bookmarkEnd w:id="203"/>
      <w:bookmarkEnd w:id="204"/>
    </w:p>
    <w:p>
      <w:pPr>
        <w:ind w:firstLine="480"/>
        <w:rPr>
          <w:rFonts w:ascii="宋体" w:hAnsi="宋体"/>
          <w:bCs/>
          <w:szCs w:val="24"/>
        </w:rPr>
      </w:pPr>
      <w:bookmarkStart w:id="205" w:name="_Toc32066"/>
      <w:bookmarkStart w:id="206" w:name="_Toc7807"/>
      <w:r>
        <w:rPr>
          <w:rFonts w:hint="eastAsia" w:ascii="宋体" w:hAnsi="宋体"/>
          <w:bCs/>
          <w:szCs w:val="24"/>
        </w:rPr>
        <w:t>项目名称：</w:t>
      </w:r>
      <w:r>
        <w:rPr>
          <w:rFonts w:hint="eastAsia"/>
        </w:rPr>
        <w:t>配套除臭系统</w:t>
      </w:r>
    </w:p>
    <w:p>
      <w:pPr>
        <w:ind w:firstLine="480"/>
        <w:rPr>
          <w:rFonts w:ascii="宋体" w:hAnsi="宋体"/>
          <w:bCs/>
          <w:szCs w:val="24"/>
        </w:rPr>
      </w:pPr>
      <w:r>
        <w:rPr>
          <w:rFonts w:hint="eastAsia" w:ascii="宋体" w:hAnsi="宋体"/>
          <w:bCs/>
          <w:szCs w:val="24"/>
        </w:rPr>
        <w:t>工程规模：4000m</w:t>
      </w:r>
      <w:r>
        <w:rPr>
          <w:rFonts w:hint="eastAsia" w:ascii="宋体" w:hAnsi="宋体"/>
          <w:bCs/>
          <w:szCs w:val="24"/>
          <w:vertAlign w:val="superscript"/>
        </w:rPr>
        <w:t>3</w:t>
      </w:r>
      <w:r>
        <w:rPr>
          <w:rFonts w:hint="eastAsia" w:ascii="宋体" w:hAnsi="宋体"/>
          <w:bCs/>
          <w:szCs w:val="24"/>
        </w:rPr>
        <w:t>/h</w:t>
      </w:r>
    </w:p>
    <w:p>
      <w:pPr>
        <w:ind w:firstLine="480"/>
        <w:rPr>
          <w:rFonts w:ascii="宋体" w:hAnsi="宋体"/>
          <w:bCs/>
          <w:szCs w:val="24"/>
        </w:rPr>
      </w:pPr>
      <w:r>
        <w:rPr>
          <w:rFonts w:ascii="Arial" w:hAnsi="Arial" w:cs="Arial"/>
        </w:rPr>
        <w:t>除臭构筑物</w:t>
      </w:r>
      <w:r>
        <w:rPr>
          <w:rFonts w:hint="eastAsia" w:ascii="Arial" w:hAnsi="Arial" w:cs="Arial"/>
        </w:rPr>
        <w:t>：</w:t>
      </w:r>
      <w:r>
        <w:rPr>
          <w:rFonts w:hint="eastAsia"/>
        </w:rPr>
        <w:t>集水池、沉淀池、隔油池、气浮机、细格栅、调节池、AO池、膜池、污泥浓缩池。</w:t>
      </w:r>
    </w:p>
    <w:p>
      <w:pPr>
        <w:ind w:firstLine="480"/>
      </w:pPr>
      <w:r>
        <w:rPr>
          <w:rFonts w:hint="eastAsia" w:ascii="宋体" w:hAnsi="宋体"/>
        </w:rPr>
        <w:t>在无外界污染源干扰条件下，治理后的气体排放量执行《恶臭污染物排放标准》（GB14554-93）中表2的15米烟囱集中排放标准</w:t>
      </w:r>
    </w:p>
    <w:p>
      <w:pPr>
        <w:pStyle w:val="3"/>
        <w:adjustRightInd w:val="0"/>
        <w:spacing w:beforeLines="0" w:afterLines="0" w:line="240" w:lineRule="auto"/>
        <w:ind w:firstLine="0" w:firstLineChars="0"/>
        <w:jc w:val="left"/>
        <w:textAlignment w:val="baseline"/>
        <w:rPr>
          <w:rFonts w:cs="Times New Roman"/>
          <w:bCs w:val="0"/>
          <w:szCs w:val="32"/>
        </w:rPr>
      </w:pPr>
      <w:bookmarkStart w:id="207" w:name="_Toc73367194"/>
      <w:bookmarkStart w:id="208" w:name="_Toc30337"/>
      <w:r>
        <w:rPr>
          <w:rFonts w:hint="eastAsia" w:cs="Times New Roman"/>
          <w:bCs w:val="0"/>
          <w:szCs w:val="32"/>
        </w:rPr>
        <w:t>二、除臭系统设计参数、设计依据和原则</w:t>
      </w:r>
      <w:bookmarkEnd w:id="205"/>
      <w:bookmarkEnd w:id="206"/>
      <w:bookmarkEnd w:id="207"/>
      <w:bookmarkEnd w:id="208"/>
    </w:p>
    <w:p>
      <w:pPr>
        <w:pStyle w:val="4"/>
        <w:keepNext w:val="0"/>
        <w:keepLines w:val="0"/>
        <w:spacing w:beforeLines="0" w:afterLines="0"/>
        <w:ind w:firstLine="0" w:firstLineChars="0"/>
        <w:jc w:val="left"/>
        <w:rPr>
          <w:rFonts w:cs="Times New Roman"/>
          <w:sz w:val="28"/>
          <w:szCs w:val="28"/>
        </w:rPr>
      </w:pPr>
      <w:bookmarkStart w:id="209" w:name="_Toc73367195"/>
      <w:bookmarkStart w:id="210" w:name="_Toc5230"/>
      <w:r>
        <w:rPr>
          <w:rFonts w:hint="eastAsia" w:cs="Times New Roman"/>
          <w:sz w:val="28"/>
          <w:szCs w:val="28"/>
        </w:rPr>
        <w:t>2.1设计依据</w:t>
      </w:r>
      <w:bookmarkEnd w:id="209"/>
      <w:bookmarkEnd w:id="210"/>
    </w:p>
    <w:p>
      <w:pPr>
        <w:autoSpaceDE w:val="0"/>
        <w:autoSpaceDN w:val="0"/>
        <w:adjustRightInd w:val="0"/>
        <w:ind w:firstLine="550" w:firstLineChars="250"/>
        <w:jc w:val="left"/>
        <w:rPr>
          <w:rFonts w:ascii="宋体" w:hAnsi="宋体"/>
        </w:rPr>
      </w:pPr>
      <w:r>
        <w:rPr>
          <w:rFonts w:hint="eastAsia" w:ascii="宋体" w:hAnsi="宋体"/>
        </w:rPr>
        <w:t>业主提供的基础资料</w:t>
      </w:r>
    </w:p>
    <w:p>
      <w:pPr>
        <w:autoSpaceDE w:val="0"/>
        <w:autoSpaceDN w:val="0"/>
        <w:adjustRightInd w:val="0"/>
        <w:ind w:firstLine="480"/>
        <w:jc w:val="left"/>
        <w:rPr>
          <w:rFonts w:ascii="宋体" w:hAnsi="宋体" w:cs="宋体"/>
          <w:kern w:val="0"/>
          <w:szCs w:val="24"/>
        </w:rPr>
      </w:pPr>
      <w:r>
        <w:rPr>
          <w:rFonts w:hint="eastAsia" w:ascii="宋体" w:hAnsi="宋体" w:cs="宋体"/>
          <w:kern w:val="0"/>
          <w:szCs w:val="24"/>
        </w:rPr>
        <w:t>《恶臭污染物排放标准》</w:t>
      </w:r>
      <w:r>
        <w:rPr>
          <w:rFonts w:ascii="宋体" w:hAnsi="宋体" w:cs="宋体"/>
          <w:kern w:val="0"/>
          <w:szCs w:val="24"/>
        </w:rPr>
        <w:t>GB14554-1993</w:t>
      </w:r>
    </w:p>
    <w:p>
      <w:pPr>
        <w:autoSpaceDE w:val="0"/>
        <w:autoSpaceDN w:val="0"/>
        <w:adjustRightInd w:val="0"/>
        <w:ind w:firstLine="480"/>
        <w:jc w:val="left"/>
        <w:rPr>
          <w:rFonts w:ascii="宋体" w:hAnsi="宋体" w:cs="宋体"/>
          <w:kern w:val="0"/>
          <w:szCs w:val="24"/>
        </w:rPr>
      </w:pPr>
      <w:r>
        <w:rPr>
          <w:rFonts w:hint="eastAsia" w:ascii="宋体" w:hAnsi="宋体" w:cs="宋体"/>
          <w:kern w:val="0"/>
          <w:szCs w:val="24"/>
        </w:rPr>
        <w:t>《大气污染物综合排放标准》</w:t>
      </w:r>
      <w:r>
        <w:rPr>
          <w:rFonts w:ascii="宋体" w:hAnsi="宋体" w:cs="宋体"/>
          <w:kern w:val="0"/>
          <w:szCs w:val="24"/>
        </w:rPr>
        <w:t xml:space="preserve"> GB16297-1996</w:t>
      </w:r>
    </w:p>
    <w:p>
      <w:pPr>
        <w:autoSpaceDE w:val="0"/>
        <w:autoSpaceDN w:val="0"/>
        <w:adjustRightInd w:val="0"/>
        <w:ind w:firstLine="480"/>
        <w:jc w:val="left"/>
        <w:rPr>
          <w:rFonts w:ascii="宋体" w:hAnsi="宋体" w:cs="宋体"/>
          <w:kern w:val="0"/>
          <w:szCs w:val="24"/>
        </w:rPr>
      </w:pPr>
      <w:r>
        <w:rPr>
          <w:rFonts w:hint="eastAsia" w:ascii="宋体" w:hAnsi="宋体" w:cs="宋体"/>
          <w:kern w:val="0"/>
          <w:szCs w:val="24"/>
        </w:rPr>
        <w:t>《环境空气质量标准》</w:t>
      </w:r>
      <w:r>
        <w:rPr>
          <w:rFonts w:ascii="宋体" w:hAnsi="宋体" w:cs="宋体"/>
          <w:kern w:val="0"/>
          <w:szCs w:val="24"/>
        </w:rPr>
        <w:t xml:space="preserve"> GB3095-1996</w:t>
      </w:r>
    </w:p>
    <w:p>
      <w:pPr>
        <w:autoSpaceDE w:val="0"/>
        <w:autoSpaceDN w:val="0"/>
        <w:adjustRightInd w:val="0"/>
        <w:ind w:firstLine="480"/>
        <w:jc w:val="left"/>
        <w:rPr>
          <w:rFonts w:ascii="宋体" w:hAnsi="宋体" w:cs="宋体"/>
          <w:kern w:val="0"/>
          <w:szCs w:val="24"/>
        </w:rPr>
      </w:pPr>
      <w:r>
        <w:rPr>
          <w:rFonts w:hint="eastAsia" w:ascii="宋体" w:hAnsi="宋体" w:cs="宋体"/>
          <w:kern w:val="0"/>
          <w:szCs w:val="24"/>
        </w:rPr>
        <w:t>《空气质量恶臭的测定三点比较式臭袋法》</w:t>
      </w:r>
      <w:r>
        <w:rPr>
          <w:rFonts w:ascii="宋体" w:hAnsi="宋体" w:cs="宋体"/>
          <w:kern w:val="0"/>
          <w:szCs w:val="24"/>
        </w:rPr>
        <w:t xml:space="preserve"> GB/T14675-1993</w:t>
      </w:r>
    </w:p>
    <w:p>
      <w:pPr>
        <w:autoSpaceDE w:val="0"/>
        <w:autoSpaceDN w:val="0"/>
        <w:adjustRightInd w:val="0"/>
        <w:ind w:firstLine="480"/>
        <w:jc w:val="left"/>
        <w:rPr>
          <w:rFonts w:ascii="宋体" w:hAnsi="宋体" w:cs="宋体"/>
          <w:kern w:val="0"/>
          <w:szCs w:val="24"/>
        </w:rPr>
      </w:pPr>
      <w:r>
        <w:rPr>
          <w:rFonts w:hint="eastAsia" w:ascii="宋体" w:hAnsi="宋体" w:cs="宋体"/>
          <w:kern w:val="0"/>
          <w:szCs w:val="24"/>
        </w:rPr>
        <w:t>《工业企业噪声控制设计规范》                    GBJ－87-85</w:t>
      </w:r>
    </w:p>
    <w:p>
      <w:pPr>
        <w:autoSpaceDE w:val="0"/>
        <w:autoSpaceDN w:val="0"/>
        <w:adjustRightInd w:val="0"/>
        <w:ind w:firstLine="480"/>
        <w:jc w:val="left"/>
        <w:rPr>
          <w:rFonts w:ascii="宋体" w:hAnsi="宋体" w:cs="宋体"/>
          <w:kern w:val="0"/>
          <w:szCs w:val="24"/>
        </w:rPr>
      </w:pPr>
      <w:r>
        <w:rPr>
          <w:rFonts w:hint="eastAsia" w:ascii="宋体" w:hAnsi="宋体" w:cs="宋体"/>
          <w:kern w:val="0"/>
          <w:szCs w:val="24"/>
        </w:rPr>
        <w:t>《钢制焊接常压容器技术条件》                    JB2880</w:t>
      </w:r>
    </w:p>
    <w:p>
      <w:pPr>
        <w:autoSpaceDE w:val="0"/>
        <w:autoSpaceDN w:val="0"/>
        <w:adjustRightInd w:val="0"/>
        <w:ind w:firstLine="480"/>
        <w:jc w:val="left"/>
        <w:rPr>
          <w:rFonts w:ascii="宋体" w:hAnsi="宋体" w:cs="宋体"/>
          <w:kern w:val="0"/>
          <w:szCs w:val="24"/>
        </w:rPr>
      </w:pPr>
      <w:r>
        <w:rPr>
          <w:rFonts w:hint="eastAsia" w:ascii="宋体" w:hAnsi="宋体" w:cs="宋体"/>
          <w:kern w:val="0"/>
          <w:szCs w:val="24"/>
        </w:rPr>
        <w:t>《压缩机、风机、泵安装工程施工及验收规范》      GB50275-98</w:t>
      </w:r>
    </w:p>
    <w:p>
      <w:pPr>
        <w:autoSpaceDE w:val="0"/>
        <w:autoSpaceDN w:val="0"/>
        <w:adjustRightInd w:val="0"/>
        <w:ind w:firstLine="480"/>
        <w:jc w:val="left"/>
        <w:rPr>
          <w:rFonts w:ascii="宋体" w:hAnsi="宋体" w:cs="宋体"/>
          <w:kern w:val="0"/>
          <w:szCs w:val="24"/>
        </w:rPr>
      </w:pPr>
      <w:r>
        <w:rPr>
          <w:rFonts w:hint="eastAsia" w:ascii="宋体" w:hAnsi="宋体" w:cs="宋体"/>
          <w:kern w:val="0"/>
          <w:szCs w:val="24"/>
        </w:rPr>
        <w:t>《玻璃钢管和管件》                              HGT21633-1991</w:t>
      </w:r>
    </w:p>
    <w:p>
      <w:pPr>
        <w:autoSpaceDE w:val="0"/>
        <w:autoSpaceDN w:val="0"/>
        <w:adjustRightInd w:val="0"/>
        <w:ind w:firstLine="480"/>
        <w:jc w:val="left"/>
        <w:rPr>
          <w:rFonts w:ascii="宋体" w:hAnsi="宋体" w:cs="宋体"/>
          <w:kern w:val="0"/>
          <w:szCs w:val="24"/>
        </w:rPr>
      </w:pPr>
      <w:r>
        <w:rPr>
          <w:rFonts w:hint="eastAsia" w:ascii="宋体" w:hAnsi="宋体" w:cs="宋体"/>
          <w:kern w:val="0"/>
          <w:szCs w:val="24"/>
        </w:rPr>
        <w:t>《通风与空调工程施工质量验收规范》              GB50243-2002</w:t>
      </w:r>
    </w:p>
    <w:p>
      <w:pPr>
        <w:autoSpaceDE w:val="0"/>
        <w:autoSpaceDN w:val="0"/>
        <w:adjustRightInd w:val="0"/>
        <w:ind w:firstLine="480"/>
        <w:jc w:val="left"/>
        <w:rPr>
          <w:rFonts w:ascii="宋体" w:hAnsi="宋体" w:cs="宋体"/>
          <w:kern w:val="0"/>
          <w:szCs w:val="24"/>
        </w:rPr>
      </w:pPr>
      <w:r>
        <w:rPr>
          <w:rFonts w:hint="eastAsia" w:ascii="宋体" w:hAnsi="宋体" w:cs="宋体"/>
          <w:kern w:val="0"/>
          <w:szCs w:val="24"/>
        </w:rPr>
        <w:t xml:space="preserve">《化工管路设计手册》                            </w:t>
      </w:r>
      <w:r>
        <w:rPr>
          <w:rFonts w:ascii="宋体" w:hAnsi="宋体" w:cs="宋体"/>
          <w:kern w:val="0"/>
          <w:szCs w:val="24"/>
        </w:rPr>
        <w:t>HG20593-97</w:t>
      </w:r>
    </w:p>
    <w:p>
      <w:pPr>
        <w:autoSpaceDE w:val="0"/>
        <w:autoSpaceDN w:val="0"/>
        <w:adjustRightInd w:val="0"/>
        <w:ind w:firstLine="480"/>
        <w:jc w:val="left"/>
        <w:rPr>
          <w:rFonts w:ascii="宋体" w:hAnsi="宋体" w:cs="宋体"/>
          <w:kern w:val="0"/>
          <w:szCs w:val="24"/>
        </w:rPr>
      </w:pPr>
      <w:r>
        <w:rPr>
          <w:rFonts w:hint="eastAsia" w:ascii="宋体" w:hAnsi="宋体" w:cs="宋体"/>
          <w:kern w:val="0"/>
          <w:szCs w:val="24"/>
        </w:rPr>
        <w:t xml:space="preserve">《管路法兰技术条件》                            </w:t>
      </w:r>
      <w:r>
        <w:rPr>
          <w:rFonts w:ascii="宋体" w:hAnsi="宋体" w:cs="宋体"/>
          <w:kern w:val="0"/>
          <w:szCs w:val="24"/>
        </w:rPr>
        <w:t>JB/T74-94</w:t>
      </w:r>
    </w:p>
    <w:p>
      <w:pPr>
        <w:autoSpaceDE w:val="0"/>
        <w:autoSpaceDN w:val="0"/>
        <w:adjustRightInd w:val="0"/>
        <w:ind w:firstLine="480"/>
        <w:jc w:val="left"/>
        <w:rPr>
          <w:rFonts w:ascii="宋体" w:hAnsi="宋体" w:cs="宋体"/>
          <w:kern w:val="0"/>
          <w:szCs w:val="24"/>
        </w:rPr>
      </w:pPr>
      <w:r>
        <w:rPr>
          <w:rFonts w:hint="eastAsia" w:ascii="宋体" w:hAnsi="宋体" w:cs="宋体"/>
          <w:kern w:val="0"/>
          <w:szCs w:val="24"/>
        </w:rPr>
        <w:t xml:space="preserve">《管路法兰类型》                                </w:t>
      </w:r>
      <w:r>
        <w:rPr>
          <w:rFonts w:ascii="宋体" w:hAnsi="宋体" w:cs="宋体"/>
          <w:kern w:val="0"/>
          <w:szCs w:val="24"/>
        </w:rPr>
        <w:t>JB/T74-94</w:t>
      </w:r>
    </w:p>
    <w:p>
      <w:pPr>
        <w:autoSpaceDE w:val="0"/>
        <w:autoSpaceDN w:val="0"/>
        <w:adjustRightInd w:val="0"/>
        <w:ind w:firstLine="480"/>
        <w:jc w:val="left"/>
        <w:rPr>
          <w:rFonts w:ascii="宋体" w:hAnsi="宋体" w:cs="宋体"/>
          <w:kern w:val="0"/>
          <w:szCs w:val="24"/>
        </w:rPr>
      </w:pPr>
      <w:r>
        <w:rPr>
          <w:rFonts w:hint="eastAsia" w:ascii="宋体" w:hAnsi="宋体" w:cs="宋体"/>
          <w:kern w:val="0"/>
          <w:szCs w:val="24"/>
        </w:rPr>
        <w:t>《化工设备、管道外防腐设计条件》                HGJ34-90</w:t>
      </w:r>
    </w:p>
    <w:p>
      <w:pPr>
        <w:autoSpaceDE w:val="0"/>
        <w:autoSpaceDN w:val="0"/>
        <w:adjustRightInd w:val="0"/>
        <w:ind w:firstLine="480"/>
        <w:jc w:val="left"/>
        <w:rPr>
          <w:rFonts w:ascii="宋体" w:hAnsi="宋体" w:cs="宋体"/>
          <w:kern w:val="0"/>
          <w:szCs w:val="24"/>
        </w:rPr>
      </w:pPr>
      <w:r>
        <w:rPr>
          <w:rFonts w:hint="eastAsia" w:ascii="宋体" w:hAnsi="宋体" w:cs="宋体"/>
          <w:kern w:val="0"/>
          <w:szCs w:val="24"/>
        </w:rPr>
        <w:t>《现场设备、工业管道焊接工程施工及验收规范》    GB50236-98</w:t>
      </w:r>
    </w:p>
    <w:p>
      <w:pPr>
        <w:autoSpaceDE w:val="0"/>
        <w:autoSpaceDN w:val="0"/>
        <w:adjustRightInd w:val="0"/>
        <w:ind w:left="-2" w:firstLine="480"/>
        <w:jc w:val="left"/>
        <w:rPr>
          <w:rFonts w:ascii="宋体" w:hAnsi="宋体" w:cs="宋体"/>
          <w:kern w:val="0"/>
          <w:szCs w:val="24"/>
        </w:rPr>
      </w:pPr>
      <w:r>
        <w:rPr>
          <w:rFonts w:hint="eastAsia" w:ascii="宋体" w:hAnsi="宋体" w:cs="宋体"/>
          <w:kern w:val="0"/>
          <w:szCs w:val="24"/>
        </w:rPr>
        <w:t>《爆炸和火灾危险环境电力装置设计规范》</w:t>
      </w:r>
      <w:r>
        <w:rPr>
          <w:rFonts w:hint="eastAsia" w:ascii="宋体" w:hAnsi="宋体" w:cs="宋体"/>
          <w:kern w:val="0"/>
          <w:szCs w:val="24"/>
        </w:rPr>
        <w:tab/>
      </w:r>
      <w:r>
        <w:rPr>
          <w:rFonts w:hint="eastAsia" w:ascii="宋体" w:hAnsi="宋体" w:cs="宋体"/>
          <w:kern w:val="0"/>
          <w:szCs w:val="24"/>
        </w:rPr>
        <w:tab/>
      </w:r>
      <w:r>
        <w:rPr>
          <w:rFonts w:hint="eastAsia" w:ascii="宋体" w:hAnsi="宋体" w:cs="宋体"/>
          <w:kern w:val="0"/>
          <w:szCs w:val="24"/>
        </w:rPr>
        <w:t xml:space="preserve">      GB50058-92</w:t>
      </w:r>
    </w:p>
    <w:p>
      <w:pPr>
        <w:pStyle w:val="4"/>
        <w:keepNext w:val="0"/>
        <w:keepLines w:val="0"/>
        <w:spacing w:beforeLines="0" w:afterLines="0"/>
        <w:ind w:firstLine="0" w:firstLineChars="0"/>
        <w:jc w:val="left"/>
        <w:rPr>
          <w:rFonts w:cs="Times New Roman"/>
          <w:sz w:val="28"/>
          <w:szCs w:val="28"/>
        </w:rPr>
      </w:pPr>
      <w:bookmarkStart w:id="211" w:name="_Toc2042"/>
      <w:bookmarkStart w:id="212" w:name="_Toc73367196"/>
      <w:r>
        <w:rPr>
          <w:rFonts w:hint="eastAsia" w:cs="Times New Roman"/>
          <w:sz w:val="28"/>
          <w:szCs w:val="28"/>
        </w:rPr>
        <w:t>2.2设计原则</w:t>
      </w:r>
      <w:bookmarkEnd w:id="211"/>
      <w:bookmarkEnd w:id="212"/>
    </w:p>
    <w:p>
      <w:pPr>
        <w:ind w:firstLine="480"/>
        <w:rPr>
          <w:rFonts w:ascii="宋体" w:hAnsi="宋体"/>
        </w:rPr>
      </w:pPr>
      <w:r>
        <w:rPr>
          <w:rFonts w:ascii="宋体" w:hAnsi="宋体"/>
        </w:rPr>
        <w:t>（1）工艺先进，运行稳定，废气达标排放；</w:t>
      </w:r>
    </w:p>
    <w:p>
      <w:pPr>
        <w:ind w:firstLine="480"/>
        <w:rPr>
          <w:rFonts w:ascii="宋体" w:hAnsi="宋体"/>
        </w:rPr>
      </w:pPr>
      <w:r>
        <w:rPr>
          <w:rFonts w:ascii="宋体" w:hAnsi="宋体"/>
        </w:rPr>
        <w:t>（2）工程造价合理；</w:t>
      </w:r>
    </w:p>
    <w:p>
      <w:pPr>
        <w:ind w:firstLine="480"/>
        <w:rPr>
          <w:rFonts w:ascii="宋体" w:hAnsi="宋体"/>
        </w:rPr>
      </w:pPr>
      <w:r>
        <w:rPr>
          <w:rFonts w:ascii="宋体" w:hAnsi="宋体"/>
        </w:rPr>
        <w:t>（3）运行费用低；</w:t>
      </w:r>
    </w:p>
    <w:p>
      <w:pPr>
        <w:ind w:firstLine="480"/>
        <w:rPr>
          <w:rFonts w:ascii="宋体" w:hAnsi="宋体"/>
        </w:rPr>
      </w:pPr>
      <w:r>
        <w:rPr>
          <w:rFonts w:ascii="宋体" w:hAnsi="宋体"/>
        </w:rPr>
        <w:t>（4）设备运行自动化，维修简单。</w:t>
      </w:r>
    </w:p>
    <w:p>
      <w:pPr>
        <w:pStyle w:val="4"/>
        <w:keepNext w:val="0"/>
        <w:keepLines w:val="0"/>
        <w:spacing w:beforeLines="0" w:afterLines="0"/>
        <w:ind w:firstLine="0" w:firstLineChars="0"/>
        <w:jc w:val="left"/>
        <w:rPr>
          <w:rFonts w:cs="Times New Roman"/>
          <w:sz w:val="28"/>
          <w:szCs w:val="28"/>
        </w:rPr>
      </w:pPr>
      <w:bookmarkStart w:id="213" w:name="_Toc14156"/>
      <w:bookmarkStart w:id="214" w:name="_Toc73367197"/>
      <w:r>
        <w:rPr>
          <w:rFonts w:hint="eastAsia" w:cs="Times New Roman"/>
          <w:sz w:val="28"/>
          <w:szCs w:val="28"/>
        </w:rPr>
        <w:t>2.3进气指标</w:t>
      </w:r>
      <w:bookmarkEnd w:id="213"/>
      <w:bookmarkEnd w:id="214"/>
    </w:p>
    <w:p>
      <w:pPr>
        <w:pStyle w:val="30"/>
        <w:rPr>
          <w:rFonts w:ascii="宋体" w:hAnsi="宋体"/>
          <w:szCs w:val="22"/>
        </w:rPr>
      </w:pPr>
      <w:r>
        <w:rPr>
          <w:rFonts w:hint="eastAsia" w:ascii="宋体" w:hAnsi="宋体"/>
          <w:szCs w:val="22"/>
        </w:rPr>
        <w:t>设计进气浓度</w:t>
      </w:r>
      <w:r>
        <w:rPr>
          <w:rFonts w:ascii="宋体" w:hAnsi="宋体"/>
          <w:szCs w:val="22"/>
        </w:rPr>
        <w:t>如下：</w:t>
      </w:r>
    </w:p>
    <w:p>
      <w:pPr>
        <w:tabs>
          <w:tab w:val="left" w:pos="9639"/>
        </w:tabs>
        <w:ind w:firstLine="277" w:firstLineChars="132"/>
        <w:jc w:val="center"/>
        <w:rPr>
          <w:rFonts w:asciiTheme="minorEastAsia" w:hAnsiTheme="minorEastAsia" w:eastAsiaTheme="minorEastAsia"/>
          <w:sz w:val="21"/>
          <w:szCs w:val="21"/>
        </w:rPr>
      </w:pPr>
      <w:r>
        <w:rPr>
          <w:rFonts w:asciiTheme="minorEastAsia" w:hAnsiTheme="minorEastAsia" w:eastAsiaTheme="minorEastAsia"/>
          <w:sz w:val="21"/>
          <w:szCs w:val="21"/>
        </w:rPr>
        <w:t>表</w:t>
      </w:r>
      <w:r>
        <w:rPr>
          <w:rFonts w:hint="eastAsia" w:asciiTheme="minorEastAsia" w:hAnsiTheme="minorEastAsia" w:eastAsiaTheme="minorEastAsia"/>
          <w:sz w:val="21"/>
          <w:szCs w:val="21"/>
        </w:rPr>
        <w:t>1</w:t>
      </w:r>
      <w:r>
        <w:rPr>
          <w:rFonts w:asciiTheme="minorEastAsia" w:hAnsiTheme="minorEastAsia" w:eastAsiaTheme="minorEastAsia"/>
          <w:sz w:val="21"/>
          <w:szCs w:val="21"/>
        </w:rPr>
        <w:t xml:space="preserve">   设计进气浓度(单位：mg/m</w:t>
      </w:r>
      <w:r>
        <w:rPr>
          <w:rFonts w:asciiTheme="minorEastAsia" w:hAnsiTheme="minorEastAsia" w:eastAsiaTheme="minorEastAsia"/>
          <w:position w:val="7"/>
          <w:sz w:val="21"/>
          <w:szCs w:val="21"/>
          <w:vertAlign w:val="superscript"/>
        </w:rPr>
        <w:t>3</w:t>
      </w:r>
      <w:r>
        <w:rPr>
          <w:rFonts w:asciiTheme="minorEastAsia" w:hAnsiTheme="minorEastAsia" w:eastAsiaTheme="minorEastAsia"/>
          <w:sz w:val="21"/>
          <w:szCs w:val="21"/>
        </w:rPr>
        <w:t>)</w:t>
      </w:r>
    </w:p>
    <w:tbl>
      <w:tblPr>
        <w:tblStyle w:val="1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79"/>
        <w:gridCol w:w="1583"/>
        <w:gridCol w:w="1581"/>
        <w:gridCol w:w="1318"/>
        <w:gridCol w:w="2585"/>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86"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指标</w:t>
            </w:r>
          </w:p>
        </w:tc>
        <w:tc>
          <w:tcPr>
            <w:tcW w:w="787"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w w:val="99"/>
              </w:rPr>
              <w:t>氨</w:t>
            </w:r>
          </w:p>
        </w:tc>
        <w:tc>
          <w:tcPr>
            <w:tcW w:w="786"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w w:val="95"/>
              </w:rPr>
              <w:t>硫化氢</w:t>
            </w:r>
          </w:p>
        </w:tc>
        <w:tc>
          <w:tcPr>
            <w:tcW w:w="655"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甲硫醇</w:t>
            </w:r>
          </w:p>
        </w:tc>
        <w:tc>
          <w:tcPr>
            <w:tcW w:w="1285"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臭气浓度(无量纲)</w:t>
            </w:r>
          </w:p>
        </w:tc>
        <w:tc>
          <w:tcPr>
            <w:tcW w:w="901"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甲烷(体积%)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86"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进气</w:t>
            </w:r>
          </w:p>
        </w:tc>
        <w:tc>
          <w:tcPr>
            <w:tcW w:w="787"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≤5.0</w:t>
            </w:r>
          </w:p>
        </w:tc>
        <w:tc>
          <w:tcPr>
            <w:tcW w:w="786"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w w:val="95"/>
              </w:rPr>
              <w:t>≤30~50</w:t>
            </w:r>
          </w:p>
        </w:tc>
        <w:tc>
          <w:tcPr>
            <w:tcW w:w="655"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≤0.5</w:t>
            </w:r>
          </w:p>
        </w:tc>
        <w:tc>
          <w:tcPr>
            <w:tcW w:w="1285"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≤5000~8000</w:t>
            </w:r>
          </w:p>
        </w:tc>
        <w:tc>
          <w:tcPr>
            <w:tcW w:w="901"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≤1.5</w:t>
            </w:r>
          </w:p>
        </w:tc>
      </w:tr>
    </w:tbl>
    <w:p>
      <w:pPr>
        <w:pStyle w:val="4"/>
        <w:keepNext w:val="0"/>
        <w:keepLines w:val="0"/>
        <w:spacing w:beforeLines="0" w:afterLines="0"/>
        <w:ind w:firstLine="0" w:firstLineChars="0"/>
        <w:jc w:val="left"/>
        <w:rPr>
          <w:rFonts w:cs="Times New Roman"/>
          <w:sz w:val="28"/>
          <w:szCs w:val="28"/>
        </w:rPr>
      </w:pPr>
      <w:bookmarkStart w:id="215" w:name="_Toc30119"/>
      <w:bookmarkStart w:id="216" w:name="_Toc73367198"/>
      <w:r>
        <w:rPr>
          <w:rFonts w:hint="eastAsia" w:cs="Times New Roman"/>
          <w:sz w:val="28"/>
          <w:szCs w:val="28"/>
        </w:rPr>
        <w:t>2.4排放标准</w:t>
      </w:r>
      <w:bookmarkEnd w:id="215"/>
      <w:bookmarkEnd w:id="216"/>
    </w:p>
    <w:p>
      <w:pPr>
        <w:autoSpaceDE w:val="0"/>
        <w:autoSpaceDN w:val="0"/>
        <w:adjustRightInd w:val="0"/>
        <w:ind w:firstLine="480"/>
        <w:jc w:val="left"/>
        <w:rPr>
          <w:rFonts w:ascii="宋体" w:hAnsi="宋体"/>
        </w:rPr>
      </w:pPr>
      <w:r>
        <w:rPr>
          <w:rFonts w:hint="eastAsia" w:ascii="宋体" w:hAnsi="宋体"/>
        </w:rPr>
        <w:t>在无外界污染源干扰条件下，治理后的气体排放量执行《恶臭污染物排放标准》（GB14554-93）中表2的15米烟囱集中排放标准，具体如下表：</w:t>
      </w:r>
    </w:p>
    <w:p>
      <w:pPr>
        <w:tabs>
          <w:tab w:val="left" w:pos="578"/>
          <w:tab w:val="left" w:pos="9639"/>
        </w:tabs>
        <w:ind w:firstLine="278" w:firstLineChars="132"/>
        <w:jc w:val="center"/>
        <w:rPr>
          <w:rFonts w:asciiTheme="minorEastAsia" w:hAnsiTheme="minorEastAsia" w:eastAsiaTheme="minorEastAsia"/>
          <w:b/>
          <w:sz w:val="21"/>
          <w:szCs w:val="21"/>
        </w:rPr>
      </w:pPr>
      <w:r>
        <w:rPr>
          <w:rFonts w:asciiTheme="minorEastAsia" w:hAnsiTheme="minorEastAsia" w:eastAsiaTheme="minorEastAsia"/>
          <w:b/>
          <w:sz w:val="21"/>
          <w:szCs w:val="21"/>
        </w:rPr>
        <w:t>表</w:t>
      </w:r>
      <w:r>
        <w:rPr>
          <w:rFonts w:hint="eastAsia" w:asciiTheme="minorEastAsia" w:hAnsiTheme="minorEastAsia" w:eastAsiaTheme="minorEastAsia"/>
          <w:b/>
          <w:sz w:val="21"/>
          <w:szCs w:val="21"/>
        </w:rPr>
        <w:t>2</w:t>
      </w:r>
      <w:r>
        <w:rPr>
          <w:rFonts w:asciiTheme="minorEastAsia" w:hAnsiTheme="minorEastAsia" w:eastAsiaTheme="minorEastAsia"/>
          <w:b/>
          <w:sz w:val="21"/>
          <w:szCs w:val="21"/>
        </w:rPr>
        <w:t xml:space="preserve">    恶臭污染物排放标准</w:t>
      </w:r>
    </w:p>
    <w:tbl>
      <w:tblPr>
        <w:tblStyle w:val="15"/>
        <w:tblW w:w="501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373"/>
        <w:gridCol w:w="3665"/>
        <w:gridCol w:w="2521"/>
        <w:gridCol w:w="252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68" w:hRule="atLeast"/>
          <w:jc w:val="center"/>
        </w:trPr>
        <w:tc>
          <w:tcPr>
            <w:tcW w:w="681" w:type="pct"/>
            <w:vAlign w:val="center"/>
          </w:tcPr>
          <w:p>
            <w:pPr>
              <w:adjustRightInd w:val="0"/>
              <w:ind w:firstLine="0" w:firstLineChars="0"/>
              <w:rPr>
                <w:rFonts w:asciiTheme="minorEastAsia" w:hAnsiTheme="minorEastAsia" w:eastAsiaTheme="minorEastAsia"/>
              </w:rPr>
            </w:pPr>
            <w:r>
              <w:rPr>
                <w:rFonts w:asciiTheme="minorEastAsia" w:hAnsiTheme="minorEastAsia" w:eastAsiaTheme="minorEastAsia"/>
              </w:rPr>
              <w:t>序号</w:t>
            </w:r>
          </w:p>
        </w:tc>
        <w:tc>
          <w:tcPr>
            <w:tcW w:w="1817" w:type="pct"/>
            <w:vAlign w:val="center"/>
          </w:tcPr>
          <w:p>
            <w:pPr>
              <w:adjustRightInd w:val="0"/>
              <w:ind w:firstLine="0" w:firstLineChars="0"/>
              <w:jc w:val="center"/>
              <w:rPr>
                <w:rFonts w:asciiTheme="minorEastAsia" w:hAnsiTheme="minorEastAsia" w:eastAsiaTheme="minorEastAsia"/>
              </w:rPr>
            </w:pPr>
            <w:r>
              <w:rPr>
                <w:rFonts w:asciiTheme="minorEastAsia" w:hAnsiTheme="minorEastAsia" w:eastAsiaTheme="minorEastAsia"/>
              </w:rPr>
              <w:t>控制项目</w:t>
            </w:r>
          </w:p>
        </w:tc>
        <w:tc>
          <w:tcPr>
            <w:tcW w:w="1250" w:type="pct"/>
            <w:vAlign w:val="center"/>
          </w:tcPr>
          <w:p>
            <w:pPr>
              <w:adjustRightInd w:val="0"/>
              <w:ind w:firstLine="0" w:firstLineChars="0"/>
              <w:jc w:val="center"/>
              <w:rPr>
                <w:rFonts w:asciiTheme="minorEastAsia" w:hAnsiTheme="minorEastAsia" w:eastAsiaTheme="minorEastAsia"/>
              </w:rPr>
            </w:pPr>
            <w:r>
              <w:rPr>
                <w:rFonts w:asciiTheme="minorEastAsia" w:hAnsiTheme="minorEastAsia" w:eastAsiaTheme="minorEastAsia"/>
              </w:rPr>
              <w:t>排气筒高度,m</w:t>
            </w:r>
          </w:p>
        </w:tc>
        <w:tc>
          <w:tcPr>
            <w:tcW w:w="1250" w:type="pct"/>
            <w:vAlign w:val="center"/>
          </w:tcPr>
          <w:p>
            <w:pPr>
              <w:adjustRightInd w:val="0"/>
              <w:ind w:firstLine="0" w:firstLineChars="0"/>
              <w:jc w:val="center"/>
              <w:rPr>
                <w:rFonts w:asciiTheme="minorEastAsia" w:hAnsiTheme="minorEastAsia" w:eastAsiaTheme="minorEastAsia"/>
              </w:rPr>
            </w:pPr>
            <w:r>
              <w:rPr>
                <w:rFonts w:asciiTheme="minorEastAsia" w:hAnsiTheme="minorEastAsia" w:eastAsiaTheme="minorEastAsia"/>
              </w:rPr>
              <w:t>排放量, kg/h</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681" w:type="pct"/>
            <w:vAlign w:val="center"/>
          </w:tcPr>
          <w:p>
            <w:pPr>
              <w:adjustRightInd w:val="0"/>
              <w:ind w:firstLine="0" w:firstLineChars="0"/>
              <w:jc w:val="center"/>
              <w:rPr>
                <w:rFonts w:asciiTheme="minorEastAsia" w:hAnsiTheme="minorEastAsia" w:eastAsiaTheme="minorEastAsia"/>
              </w:rPr>
            </w:pPr>
            <w:r>
              <w:rPr>
                <w:rFonts w:asciiTheme="minorEastAsia" w:hAnsiTheme="minorEastAsia" w:eastAsiaTheme="minorEastAsia"/>
                <w:w w:val="99"/>
              </w:rPr>
              <w:t>1</w:t>
            </w:r>
          </w:p>
        </w:tc>
        <w:tc>
          <w:tcPr>
            <w:tcW w:w="1817" w:type="pct"/>
            <w:vAlign w:val="center"/>
          </w:tcPr>
          <w:p>
            <w:pPr>
              <w:adjustRightInd w:val="0"/>
              <w:ind w:firstLine="0" w:firstLineChars="0"/>
              <w:jc w:val="center"/>
              <w:rPr>
                <w:rFonts w:asciiTheme="minorEastAsia" w:hAnsiTheme="minorEastAsia" w:eastAsiaTheme="minorEastAsia"/>
              </w:rPr>
            </w:pPr>
            <w:r>
              <w:rPr>
                <w:rFonts w:asciiTheme="minorEastAsia" w:hAnsiTheme="minorEastAsia" w:eastAsiaTheme="minorEastAsia"/>
              </w:rPr>
              <w:t>硫化氢</w:t>
            </w:r>
          </w:p>
        </w:tc>
        <w:tc>
          <w:tcPr>
            <w:tcW w:w="1250" w:type="pct"/>
            <w:vAlign w:val="center"/>
          </w:tcPr>
          <w:p>
            <w:pPr>
              <w:adjustRightInd w:val="0"/>
              <w:ind w:firstLine="0" w:firstLineChars="0"/>
              <w:jc w:val="center"/>
              <w:rPr>
                <w:rFonts w:asciiTheme="minorEastAsia" w:hAnsiTheme="minorEastAsia" w:eastAsiaTheme="minorEastAsia"/>
              </w:rPr>
            </w:pPr>
            <w:r>
              <w:rPr>
                <w:rFonts w:asciiTheme="minorEastAsia" w:hAnsiTheme="minorEastAsia" w:eastAsiaTheme="minorEastAsia"/>
              </w:rPr>
              <w:t>15</w:t>
            </w:r>
          </w:p>
        </w:tc>
        <w:tc>
          <w:tcPr>
            <w:tcW w:w="1250" w:type="pct"/>
            <w:vAlign w:val="center"/>
          </w:tcPr>
          <w:p>
            <w:pPr>
              <w:adjustRightInd w:val="0"/>
              <w:ind w:firstLine="0" w:firstLineChars="0"/>
              <w:jc w:val="center"/>
              <w:rPr>
                <w:rFonts w:asciiTheme="minorEastAsia" w:hAnsiTheme="minorEastAsia" w:eastAsiaTheme="minorEastAsia"/>
              </w:rPr>
            </w:pPr>
            <w:r>
              <w:rPr>
                <w:rFonts w:asciiTheme="minorEastAsia" w:hAnsiTheme="minorEastAsia" w:eastAsiaTheme="minorEastAsia"/>
              </w:rPr>
              <w:t>0.33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681" w:type="pct"/>
            <w:vAlign w:val="center"/>
          </w:tcPr>
          <w:p>
            <w:pPr>
              <w:adjustRightInd w:val="0"/>
              <w:ind w:firstLine="0" w:firstLineChars="0"/>
              <w:jc w:val="center"/>
              <w:rPr>
                <w:rFonts w:asciiTheme="minorEastAsia" w:hAnsiTheme="minorEastAsia" w:eastAsiaTheme="minorEastAsia"/>
              </w:rPr>
            </w:pPr>
            <w:r>
              <w:rPr>
                <w:rFonts w:hint="eastAsia" w:asciiTheme="minorEastAsia" w:hAnsiTheme="minorEastAsia" w:eastAsiaTheme="minorEastAsia"/>
                <w:w w:val="99"/>
              </w:rPr>
              <w:t>2</w:t>
            </w:r>
          </w:p>
        </w:tc>
        <w:tc>
          <w:tcPr>
            <w:tcW w:w="1817" w:type="pct"/>
            <w:vAlign w:val="center"/>
          </w:tcPr>
          <w:p>
            <w:pPr>
              <w:adjustRightInd w:val="0"/>
              <w:ind w:firstLine="0" w:firstLineChars="0"/>
              <w:jc w:val="center"/>
              <w:rPr>
                <w:rFonts w:asciiTheme="minorEastAsia" w:hAnsiTheme="minorEastAsia" w:eastAsiaTheme="minorEastAsia"/>
              </w:rPr>
            </w:pPr>
            <w:r>
              <w:rPr>
                <w:rFonts w:asciiTheme="minorEastAsia" w:hAnsiTheme="minorEastAsia" w:eastAsiaTheme="minorEastAsia"/>
                <w:w w:val="99"/>
              </w:rPr>
              <w:t>氨</w:t>
            </w:r>
          </w:p>
        </w:tc>
        <w:tc>
          <w:tcPr>
            <w:tcW w:w="1250" w:type="pct"/>
            <w:vAlign w:val="center"/>
          </w:tcPr>
          <w:p>
            <w:pPr>
              <w:adjustRightInd w:val="0"/>
              <w:ind w:firstLine="0" w:firstLineChars="0"/>
              <w:jc w:val="center"/>
              <w:rPr>
                <w:rFonts w:asciiTheme="minorEastAsia" w:hAnsiTheme="minorEastAsia" w:eastAsiaTheme="minorEastAsia"/>
              </w:rPr>
            </w:pPr>
            <w:r>
              <w:rPr>
                <w:rFonts w:asciiTheme="minorEastAsia" w:hAnsiTheme="minorEastAsia" w:eastAsiaTheme="minorEastAsia"/>
              </w:rPr>
              <w:t>15</w:t>
            </w:r>
          </w:p>
        </w:tc>
        <w:tc>
          <w:tcPr>
            <w:tcW w:w="1250" w:type="pct"/>
            <w:vAlign w:val="center"/>
          </w:tcPr>
          <w:p>
            <w:pPr>
              <w:adjustRightInd w:val="0"/>
              <w:ind w:firstLine="0" w:firstLineChars="0"/>
              <w:jc w:val="center"/>
              <w:rPr>
                <w:rFonts w:asciiTheme="minorEastAsia" w:hAnsiTheme="minorEastAsia" w:eastAsiaTheme="minorEastAsia"/>
              </w:rPr>
            </w:pPr>
            <w:r>
              <w:rPr>
                <w:rFonts w:asciiTheme="minorEastAsia" w:hAnsiTheme="minorEastAsia" w:eastAsiaTheme="minorEastAsia"/>
              </w:rPr>
              <w:t>4.9</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681" w:type="pct"/>
            <w:vAlign w:val="center"/>
          </w:tcPr>
          <w:p>
            <w:pPr>
              <w:adjustRightInd w:val="0"/>
              <w:ind w:firstLine="0" w:firstLineChars="0"/>
              <w:jc w:val="center"/>
              <w:rPr>
                <w:rFonts w:asciiTheme="minorEastAsia" w:hAnsiTheme="minorEastAsia" w:eastAsiaTheme="minorEastAsia"/>
              </w:rPr>
            </w:pPr>
            <w:r>
              <w:rPr>
                <w:rFonts w:hint="eastAsia" w:asciiTheme="minorEastAsia" w:hAnsiTheme="minorEastAsia" w:eastAsiaTheme="minorEastAsia"/>
                <w:w w:val="99"/>
              </w:rPr>
              <w:t>3</w:t>
            </w:r>
          </w:p>
        </w:tc>
        <w:tc>
          <w:tcPr>
            <w:tcW w:w="1817" w:type="pct"/>
            <w:vAlign w:val="center"/>
          </w:tcPr>
          <w:p>
            <w:pPr>
              <w:adjustRightInd w:val="0"/>
              <w:ind w:firstLine="0" w:firstLineChars="0"/>
              <w:jc w:val="center"/>
              <w:rPr>
                <w:rFonts w:asciiTheme="minorEastAsia" w:hAnsiTheme="minorEastAsia" w:eastAsiaTheme="minorEastAsia"/>
              </w:rPr>
            </w:pPr>
            <w:r>
              <w:rPr>
                <w:rFonts w:asciiTheme="minorEastAsia" w:hAnsiTheme="minorEastAsia" w:eastAsiaTheme="minorEastAsia"/>
              </w:rPr>
              <w:t>臭气浓度(无量纲)</w:t>
            </w:r>
          </w:p>
        </w:tc>
        <w:tc>
          <w:tcPr>
            <w:tcW w:w="1250" w:type="pct"/>
            <w:vAlign w:val="center"/>
          </w:tcPr>
          <w:p>
            <w:pPr>
              <w:adjustRightInd w:val="0"/>
              <w:ind w:firstLine="0" w:firstLineChars="0"/>
              <w:jc w:val="center"/>
              <w:rPr>
                <w:rFonts w:asciiTheme="minorEastAsia" w:hAnsiTheme="minorEastAsia" w:eastAsiaTheme="minorEastAsia"/>
              </w:rPr>
            </w:pPr>
            <w:r>
              <w:rPr>
                <w:rFonts w:asciiTheme="minorEastAsia" w:hAnsiTheme="minorEastAsia" w:eastAsiaTheme="minorEastAsia"/>
              </w:rPr>
              <w:t>15</w:t>
            </w:r>
          </w:p>
        </w:tc>
        <w:tc>
          <w:tcPr>
            <w:tcW w:w="1250" w:type="pct"/>
            <w:vAlign w:val="center"/>
          </w:tcPr>
          <w:p>
            <w:pPr>
              <w:adjustRightInd w:val="0"/>
              <w:ind w:firstLine="0" w:firstLineChars="0"/>
              <w:jc w:val="center"/>
              <w:rPr>
                <w:rFonts w:asciiTheme="minorEastAsia" w:hAnsiTheme="minorEastAsia" w:eastAsiaTheme="minorEastAsia"/>
              </w:rPr>
            </w:pPr>
            <w:r>
              <w:rPr>
                <w:rFonts w:asciiTheme="minorEastAsia" w:hAnsiTheme="minorEastAsia" w:eastAsiaTheme="minorEastAsia"/>
              </w:rPr>
              <w:t>2000</w:t>
            </w:r>
          </w:p>
        </w:tc>
      </w:tr>
    </w:tbl>
    <w:p>
      <w:pPr>
        <w:pStyle w:val="4"/>
        <w:keepNext w:val="0"/>
        <w:keepLines w:val="0"/>
        <w:spacing w:beforeLines="0" w:afterLines="0"/>
        <w:ind w:firstLine="0" w:firstLineChars="0"/>
        <w:jc w:val="left"/>
        <w:rPr>
          <w:rFonts w:cs="Times New Roman"/>
          <w:sz w:val="28"/>
          <w:szCs w:val="28"/>
        </w:rPr>
      </w:pPr>
      <w:bookmarkStart w:id="217" w:name="_Toc73367199"/>
      <w:r>
        <w:rPr>
          <w:rFonts w:hint="eastAsia" w:cs="Times New Roman"/>
          <w:sz w:val="28"/>
          <w:szCs w:val="28"/>
        </w:rPr>
        <w:t>2.5除臭气量计算</w:t>
      </w:r>
      <w:bookmarkEnd w:id="217"/>
    </w:p>
    <w:p>
      <w:pPr>
        <w:tabs>
          <w:tab w:val="left" w:pos="9639"/>
        </w:tabs>
        <w:ind w:firstLine="210" w:firstLineChars="132"/>
        <w:jc w:val="center"/>
        <w:rPr>
          <w:rFonts w:asciiTheme="minorEastAsia" w:hAnsiTheme="minorEastAsia" w:eastAsiaTheme="minorEastAsia"/>
          <w:b/>
          <w:sz w:val="21"/>
          <w:szCs w:val="21"/>
        </w:rPr>
      </w:pPr>
      <w:r>
        <w:rPr>
          <w:rFonts w:asciiTheme="minorEastAsia" w:hAnsiTheme="minorEastAsia" w:eastAsiaTheme="minorEastAsia"/>
          <w:b/>
          <w:spacing w:val="-26"/>
          <w:sz w:val="21"/>
          <w:szCs w:val="21"/>
        </w:rPr>
        <w:t xml:space="preserve">表 </w:t>
      </w:r>
      <w:r>
        <w:rPr>
          <w:rFonts w:asciiTheme="minorEastAsia" w:hAnsiTheme="minorEastAsia" w:eastAsiaTheme="minorEastAsia"/>
          <w:b/>
          <w:sz w:val="21"/>
          <w:szCs w:val="21"/>
        </w:rPr>
        <w:t>5收集风量计算</w:t>
      </w:r>
    </w:p>
    <w:tbl>
      <w:tblPr>
        <w:tblStyle w:val="15"/>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01"/>
        <w:gridCol w:w="2162"/>
        <w:gridCol w:w="2680"/>
        <w:gridCol w:w="2015"/>
        <w:gridCol w:w="2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596"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序号</w:t>
            </w:r>
          </w:p>
        </w:tc>
        <w:tc>
          <w:tcPr>
            <w:tcW w:w="1073"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工艺段名称</w:t>
            </w:r>
          </w:p>
        </w:tc>
        <w:tc>
          <w:tcPr>
            <w:tcW w:w="1330"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构筑物</w:t>
            </w:r>
            <w:r>
              <w:rPr>
                <w:rFonts w:hint="eastAsia" w:asciiTheme="minorEastAsia" w:hAnsiTheme="minorEastAsia" w:eastAsiaTheme="minorEastAsia"/>
              </w:rPr>
              <w:t>集气体积（m</w:t>
            </w:r>
            <w:r>
              <w:rPr>
                <w:rFonts w:hint="eastAsia" w:asciiTheme="minorEastAsia" w:hAnsiTheme="minorEastAsia" w:eastAsiaTheme="minorEastAsia"/>
                <w:vertAlign w:val="superscript"/>
              </w:rPr>
              <w:t>3</w:t>
            </w:r>
            <w:r>
              <w:rPr>
                <w:rFonts w:hint="eastAsia" w:asciiTheme="minorEastAsia" w:hAnsiTheme="minorEastAsia" w:eastAsiaTheme="minorEastAsia"/>
              </w:rPr>
              <w:t>）</w:t>
            </w:r>
          </w:p>
        </w:tc>
        <w:tc>
          <w:tcPr>
            <w:tcW w:w="1000"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换风次数</w:t>
            </w:r>
          </w:p>
        </w:tc>
        <w:tc>
          <w:tcPr>
            <w:tcW w:w="998"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风量（m</w:t>
            </w:r>
            <w:r>
              <w:rPr>
                <w:rFonts w:asciiTheme="minorEastAsia" w:hAnsiTheme="minorEastAsia" w:eastAsiaTheme="minorEastAsia"/>
                <w:position w:val="7"/>
                <w:vertAlign w:val="superscript"/>
              </w:rPr>
              <w:t>3</w:t>
            </w:r>
            <w:r>
              <w:rPr>
                <w:rFonts w:asciiTheme="minorEastAsia" w:hAnsiTheme="minorEastAsia" w:eastAsiaTheme="minorEastAsia"/>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6"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w w:val="99"/>
              </w:rPr>
              <w:t>1</w:t>
            </w:r>
          </w:p>
        </w:tc>
        <w:tc>
          <w:tcPr>
            <w:tcW w:w="1073"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集水池</w:t>
            </w:r>
          </w:p>
        </w:tc>
        <w:tc>
          <w:tcPr>
            <w:tcW w:w="1330"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4</w:t>
            </w:r>
          </w:p>
        </w:tc>
        <w:tc>
          <w:tcPr>
            <w:tcW w:w="1000"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w w:val="99"/>
              </w:rPr>
              <w:t>10</w:t>
            </w:r>
          </w:p>
        </w:tc>
        <w:tc>
          <w:tcPr>
            <w:tcW w:w="998" w:type="pct"/>
            <w:vAlign w:val="center"/>
          </w:tcPr>
          <w:p>
            <w:pPr>
              <w:widowControl/>
              <w:ind w:firstLine="0" w:firstLineChars="0"/>
              <w:jc w:val="center"/>
              <w:rPr>
                <w:rFonts w:asciiTheme="minorEastAsia" w:hAnsiTheme="minorEastAsia" w:eastAsiaTheme="minorEastAsia"/>
                <w:color w:val="000000"/>
              </w:rPr>
            </w:pPr>
            <w:r>
              <w:rPr>
                <w:rFonts w:hint="eastAsia" w:asciiTheme="minorEastAsia" w:hAnsiTheme="minorEastAsia" w:eastAsiaTheme="minorEastAsia"/>
                <w:color w:val="000000"/>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596" w:type="pct"/>
            <w:vAlign w:val="center"/>
          </w:tcPr>
          <w:p>
            <w:pPr>
              <w:ind w:firstLine="0" w:firstLineChars="0"/>
              <w:jc w:val="center"/>
              <w:rPr>
                <w:rFonts w:asciiTheme="minorEastAsia" w:hAnsiTheme="minorEastAsia" w:eastAsiaTheme="minorEastAsia"/>
                <w:w w:val="99"/>
              </w:rPr>
            </w:pPr>
            <w:r>
              <w:rPr>
                <w:rFonts w:hint="eastAsia" w:asciiTheme="minorEastAsia" w:hAnsiTheme="minorEastAsia" w:eastAsiaTheme="minorEastAsia"/>
                <w:w w:val="99"/>
              </w:rPr>
              <w:t>2</w:t>
            </w:r>
          </w:p>
        </w:tc>
        <w:tc>
          <w:tcPr>
            <w:tcW w:w="1073"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格栅池</w:t>
            </w:r>
          </w:p>
        </w:tc>
        <w:tc>
          <w:tcPr>
            <w:tcW w:w="1330"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2</w:t>
            </w:r>
          </w:p>
        </w:tc>
        <w:tc>
          <w:tcPr>
            <w:tcW w:w="1000" w:type="pct"/>
            <w:vAlign w:val="center"/>
          </w:tcPr>
          <w:p>
            <w:pPr>
              <w:ind w:firstLine="0" w:firstLineChars="0"/>
              <w:jc w:val="center"/>
              <w:rPr>
                <w:rFonts w:asciiTheme="minorEastAsia" w:hAnsiTheme="minorEastAsia" w:eastAsiaTheme="minorEastAsia"/>
                <w:w w:val="99"/>
              </w:rPr>
            </w:pPr>
            <w:r>
              <w:rPr>
                <w:rFonts w:hint="eastAsia" w:asciiTheme="minorEastAsia" w:hAnsiTheme="minorEastAsia" w:eastAsiaTheme="minorEastAsia"/>
                <w:w w:val="99"/>
              </w:rPr>
              <w:t>10</w:t>
            </w:r>
          </w:p>
        </w:tc>
        <w:tc>
          <w:tcPr>
            <w:tcW w:w="998" w:type="pct"/>
            <w:vAlign w:val="center"/>
          </w:tcPr>
          <w:p>
            <w:pPr>
              <w:widowControl/>
              <w:ind w:firstLine="0" w:firstLineChars="0"/>
              <w:jc w:val="center"/>
              <w:rPr>
                <w:rFonts w:asciiTheme="minorEastAsia" w:hAnsiTheme="minorEastAsia" w:eastAsiaTheme="minorEastAsia"/>
                <w:color w:val="000000"/>
              </w:rPr>
            </w:pPr>
            <w:r>
              <w:rPr>
                <w:rFonts w:hint="eastAsia" w:asciiTheme="minorEastAsia" w:hAnsiTheme="minorEastAsia" w:eastAsiaTheme="minorEastAsia"/>
                <w:color w:val="00000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596" w:type="pct"/>
            <w:vAlign w:val="center"/>
          </w:tcPr>
          <w:p>
            <w:pPr>
              <w:ind w:firstLine="0" w:firstLineChars="0"/>
              <w:jc w:val="center"/>
              <w:rPr>
                <w:rFonts w:asciiTheme="minorEastAsia" w:hAnsiTheme="minorEastAsia" w:eastAsiaTheme="minorEastAsia"/>
                <w:w w:val="99"/>
              </w:rPr>
            </w:pPr>
            <w:r>
              <w:rPr>
                <w:rFonts w:hint="eastAsia" w:asciiTheme="minorEastAsia" w:hAnsiTheme="minorEastAsia" w:eastAsiaTheme="minorEastAsia"/>
                <w:w w:val="99"/>
              </w:rPr>
              <w:t>3</w:t>
            </w:r>
          </w:p>
        </w:tc>
        <w:tc>
          <w:tcPr>
            <w:tcW w:w="1073"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沉淀池</w:t>
            </w:r>
          </w:p>
        </w:tc>
        <w:tc>
          <w:tcPr>
            <w:tcW w:w="1330"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4.5</w:t>
            </w:r>
          </w:p>
        </w:tc>
        <w:tc>
          <w:tcPr>
            <w:tcW w:w="1000" w:type="pct"/>
            <w:vAlign w:val="center"/>
          </w:tcPr>
          <w:p>
            <w:pPr>
              <w:ind w:firstLine="0" w:firstLineChars="0"/>
              <w:jc w:val="center"/>
              <w:rPr>
                <w:rFonts w:asciiTheme="minorEastAsia" w:hAnsiTheme="minorEastAsia" w:eastAsiaTheme="minorEastAsia"/>
                <w:w w:val="99"/>
              </w:rPr>
            </w:pPr>
            <w:r>
              <w:rPr>
                <w:rFonts w:hint="eastAsia" w:asciiTheme="minorEastAsia" w:hAnsiTheme="minorEastAsia" w:eastAsiaTheme="minorEastAsia"/>
                <w:w w:val="99"/>
              </w:rPr>
              <w:t>10</w:t>
            </w:r>
          </w:p>
        </w:tc>
        <w:tc>
          <w:tcPr>
            <w:tcW w:w="998" w:type="pct"/>
            <w:vAlign w:val="center"/>
          </w:tcPr>
          <w:p>
            <w:pPr>
              <w:ind w:firstLine="0" w:firstLineChars="0"/>
              <w:jc w:val="center"/>
              <w:rPr>
                <w:rFonts w:asciiTheme="minorEastAsia" w:hAnsiTheme="minorEastAsia" w:eastAsiaTheme="minorEastAsia"/>
                <w:color w:val="000000"/>
              </w:rPr>
            </w:pPr>
            <w:r>
              <w:rPr>
                <w:rFonts w:hint="eastAsia" w:asciiTheme="minorEastAsia" w:hAnsiTheme="minorEastAsia" w:eastAsiaTheme="minorEastAsia"/>
                <w:color w:val="000000"/>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596" w:type="pct"/>
            <w:vAlign w:val="center"/>
          </w:tcPr>
          <w:p>
            <w:pPr>
              <w:ind w:firstLine="0" w:firstLineChars="0"/>
              <w:jc w:val="center"/>
              <w:rPr>
                <w:rFonts w:asciiTheme="minorEastAsia" w:hAnsiTheme="minorEastAsia" w:eastAsiaTheme="minorEastAsia"/>
                <w:w w:val="99"/>
              </w:rPr>
            </w:pPr>
            <w:r>
              <w:rPr>
                <w:rFonts w:hint="eastAsia" w:asciiTheme="minorEastAsia" w:hAnsiTheme="minorEastAsia" w:eastAsiaTheme="minorEastAsia"/>
                <w:w w:val="99"/>
              </w:rPr>
              <w:t>4</w:t>
            </w:r>
          </w:p>
        </w:tc>
        <w:tc>
          <w:tcPr>
            <w:tcW w:w="1073"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隔油池</w:t>
            </w:r>
          </w:p>
        </w:tc>
        <w:tc>
          <w:tcPr>
            <w:tcW w:w="1330"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13.5</w:t>
            </w:r>
          </w:p>
        </w:tc>
        <w:tc>
          <w:tcPr>
            <w:tcW w:w="1000" w:type="pct"/>
            <w:vAlign w:val="center"/>
          </w:tcPr>
          <w:p>
            <w:pPr>
              <w:ind w:firstLine="0" w:firstLineChars="0"/>
              <w:jc w:val="center"/>
              <w:rPr>
                <w:rFonts w:asciiTheme="minorEastAsia" w:hAnsiTheme="minorEastAsia" w:eastAsiaTheme="minorEastAsia"/>
                <w:w w:val="99"/>
              </w:rPr>
            </w:pPr>
            <w:r>
              <w:rPr>
                <w:rFonts w:hint="eastAsia" w:asciiTheme="minorEastAsia" w:hAnsiTheme="minorEastAsia" w:eastAsiaTheme="minorEastAsia"/>
                <w:w w:val="99"/>
              </w:rPr>
              <w:t>10</w:t>
            </w:r>
          </w:p>
        </w:tc>
        <w:tc>
          <w:tcPr>
            <w:tcW w:w="998" w:type="pct"/>
            <w:vAlign w:val="center"/>
          </w:tcPr>
          <w:p>
            <w:pPr>
              <w:ind w:firstLine="0" w:firstLineChars="0"/>
              <w:jc w:val="center"/>
              <w:rPr>
                <w:rFonts w:asciiTheme="minorEastAsia" w:hAnsiTheme="minorEastAsia" w:eastAsiaTheme="minorEastAsia"/>
                <w:color w:val="000000"/>
              </w:rPr>
            </w:pPr>
            <w:r>
              <w:rPr>
                <w:rFonts w:hint="eastAsia" w:asciiTheme="minorEastAsia" w:hAnsiTheme="minorEastAsia" w:eastAsiaTheme="minorEastAsia"/>
                <w:color w:val="000000"/>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596" w:type="pct"/>
            <w:vAlign w:val="center"/>
          </w:tcPr>
          <w:p>
            <w:pPr>
              <w:ind w:firstLine="0" w:firstLineChars="0"/>
              <w:jc w:val="center"/>
              <w:rPr>
                <w:rFonts w:asciiTheme="minorEastAsia" w:hAnsiTheme="minorEastAsia" w:eastAsiaTheme="minorEastAsia"/>
                <w:w w:val="99"/>
              </w:rPr>
            </w:pPr>
            <w:r>
              <w:rPr>
                <w:rFonts w:hint="eastAsia" w:asciiTheme="minorEastAsia" w:hAnsiTheme="minorEastAsia" w:eastAsiaTheme="minorEastAsia"/>
                <w:w w:val="99"/>
              </w:rPr>
              <w:t>5</w:t>
            </w:r>
          </w:p>
        </w:tc>
        <w:tc>
          <w:tcPr>
            <w:tcW w:w="1073"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调节池</w:t>
            </w:r>
          </w:p>
        </w:tc>
        <w:tc>
          <w:tcPr>
            <w:tcW w:w="1330"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60.3</w:t>
            </w:r>
          </w:p>
        </w:tc>
        <w:tc>
          <w:tcPr>
            <w:tcW w:w="1000" w:type="pct"/>
            <w:vAlign w:val="center"/>
          </w:tcPr>
          <w:p>
            <w:pPr>
              <w:ind w:firstLine="0" w:firstLineChars="0"/>
              <w:jc w:val="center"/>
              <w:rPr>
                <w:rFonts w:asciiTheme="minorEastAsia" w:hAnsiTheme="minorEastAsia" w:eastAsiaTheme="minorEastAsia"/>
                <w:w w:val="99"/>
              </w:rPr>
            </w:pPr>
            <w:r>
              <w:rPr>
                <w:rFonts w:asciiTheme="minorEastAsia" w:hAnsiTheme="minorEastAsia" w:eastAsiaTheme="minorEastAsia"/>
                <w:w w:val="99"/>
              </w:rPr>
              <w:t>10</w:t>
            </w:r>
          </w:p>
        </w:tc>
        <w:tc>
          <w:tcPr>
            <w:tcW w:w="998" w:type="pct"/>
            <w:vAlign w:val="center"/>
          </w:tcPr>
          <w:p>
            <w:pPr>
              <w:ind w:firstLine="0" w:firstLineChars="0"/>
              <w:jc w:val="center"/>
              <w:rPr>
                <w:rFonts w:asciiTheme="minorEastAsia" w:hAnsiTheme="minorEastAsia" w:eastAsiaTheme="minorEastAsia"/>
                <w:color w:val="000000"/>
              </w:rPr>
            </w:pPr>
            <w:r>
              <w:rPr>
                <w:rFonts w:hint="eastAsia" w:asciiTheme="minorEastAsia" w:hAnsiTheme="minorEastAsia" w:eastAsiaTheme="minorEastAsia"/>
                <w:color w:val="000000"/>
              </w:rPr>
              <w:t>603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596"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w w:val="99"/>
              </w:rPr>
              <w:t>6</w:t>
            </w:r>
          </w:p>
        </w:tc>
        <w:tc>
          <w:tcPr>
            <w:tcW w:w="1073"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生化反应池</w:t>
            </w:r>
          </w:p>
        </w:tc>
        <w:tc>
          <w:tcPr>
            <w:tcW w:w="1330"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120</w:t>
            </w:r>
          </w:p>
        </w:tc>
        <w:tc>
          <w:tcPr>
            <w:tcW w:w="1000"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w w:val="99"/>
              </w:rPr>
              <w:t>10</w:t>
            </w:r>
          </w:p>
        </w:tc>
        <w:tc>
          <w:tcPr>
            <w:tcW w:w="998" w:type="pct"/>
            <w:vAlign w:val="center"/>
          </w:tcPr>
          <w:p>
            <w:pPr>
              <w:ind w:firstLine="0" w:firstLineChars="0"/>
              <w:jc w:val="center"/>
              <w:rPr>
                <w:rFonts w:asciiTheme="minorEastAsia" w:hAnsiTheme="minorEastAsia" w:eastAsiaTheme="minorEastAsia"/>
                <w:color w:val="000000"/>
              </w:rPr>
            </w:pPr>
            <w:r>
              <w:rPr>
                <w:rFonts w:hint="eastAsia" w:asciiTheme="minorEastAsia" w:hAnsiTheme="minorEastAsia" w:eastAsiaTheme="minorEastAsia"/>
                <w:color w:val="000000"/>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596"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w w:val="99"/>
              </w:rPr>
              <w:t>7</w:t>
            </w:r>
          </w:p>
        </w:tc>
        <w:tc>
          <w:tcPr>
            <w:tcW w:w="1073"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设备间/污泥间</w:t>
            </w:r>
          </w:p>
        </w:tc>
        <w:tc>
          <w:tcPr>
            <w:tcW w:w="1330"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180</w:t>
            </w:r>
          </w:p>
        </w:tc>
        <w:tc>
          <w:tcPr>
            <w:tcW w:w="1000" w:type="pct"/>
            <w:vAlign w:val="center"/>
          </w:tcPr>
          <w:p>
            <w:pPr>
              <w:ind w:firstLine="0" w:firstLineChars="0"/>
              <w:jc w:val="center"/>
              <w:rPr>
                <w:rFonts w:asciiTheme="minorEastAsia" w:hAnsiTheme="minorEastAsia" w:eastAsiaTheme="minorEastAsia"/>
              </w:rPr>
            </w:pPr>
            <w:r>
              <w:rPr>
                <w:rFonts w:asciiTheme="minorEastAsia" w:hAnsiTheme="minorEastAsia" w:eastAsiaTheme="minorEastAsia"/>
                <w:w w:val="99"/>
              </w:rPr>
              <w:t>10</w:t>
            </w:r>
          </w:p>
        </w:tc>
        <w:tc>
          <w:tcPr>
            <w:tcW w:w="998" w:type="pct"/>
            <w:vAlign w:val="center"/>
          </w:tcPr>
          <w:p>
            <w:pPr>
              <w:ind w:firstLine="0" w:firstLineChars="0"/>
              <w:jc w:val="center"/>
              <w:rPr>
                <w:rFonts w:asciiTheme="minorEastAsia" w:hAnsiTheme="minorEastAsia" w:eastAsiaTheme="minorEastAsia"/>
                <w:color w:val="000000"/>
              </w:rPr>
            </w:pPr>
            <w:r>
              <w:rPr>
                <w:rFonts w:hint="eastAsia" w:asciiTheme="minorEastAsia" w:hAnsiTheme="minorEastAsia" w:eastAsiaTheme="minorEastAsia"/>
                <w:color w:val="000000"/>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596"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w w:val="99"/>
              </w:rPr>
              <w:t>8</w:t>
            </w:r>
          </w:p>
        </w:tc>
        <w:tc>
          <w:tcPr>
            <w:tcW w:w="1073" w:type="pct"/>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合计</w:t>
            </w:r>
          </w:p>
        </w:tc>
        <w:tc>
          <w:tcPr>
            <w:tcW w:w="1330" w:type="pct"/>
            <w:vAlign w:val="center"/>
          </w:tcPr>
          <w:p>
            <w:pPr>
              <w:ind w:firstLine="0" w:firstLineChars="0"/>
              <w:jc w:val="center"/>
              <w:rPr>
                <w:rFonts w:asciiTheme="minorEastAsia" w:hAnsiTheme="minorEastAsia" w:eastAsiaTheme="minorEastAsia"/>
              </w:rPr>
            </w:pPr>
          </w:p>
        </w:tc>
        <w:tc>
          <w:tcPr>
            <w:tcW w:w="1000" w:type="pct"/>
            <w:vAlign w:val="center"/>
          </w:tcPr>
          <w:p>
            <w:pPr>
              <w:ind w:firstLine="0" w:firstLineChars="0"/>
              <w:jc w:val="center"/>
              <w:rPr>
                <w:rFonts w:asciiTheme="minorEastAsia" w:hAnsiTheme="minorEastAsia" w:eastAsiaTheme="minorEastAsia"/>
              </w:rPr>
            </w:pPr>
          </w:p>
        </w:tc>
        <w:tc>
          <w:tcPr>
            <w:tcW w:w="998" w:type="pct"/>
            <w:vAlign w:val="center"/>
          </w:tcPr>
          <w:p>
            <w:pPr>
              <w:ind w:firstLine="0" w:firstLineChars="0"/>
              <w:jc w:val="center"/>
              <w:rPr>
                <w:rFonts w:asciiTheme="minorEastAsia" w:hAnsiTheme="minorEastAsia" w:eastAsiaTheme="minorEastAsia"/>
                <w:color w:val="000000"/>
              </w:rPr>
            </w:pPr>
            <w:r>
              <w:rPr>
                <w:rFonts w:hint="eastAsia" w:asciiTheme="minorEastAsia" w:hAnsiTheme="minorEastAsia" w:eastAsiaTheme="minorEastAsia"/>
                <w:color w:val="000000"/>
              </w:rPr>
              <w:t>3843</w:t>
            </w:r>
          </w:p>
        </w:tc>
      </w:tr>
    </w:tbl>
    <w:p>
      <w:pPr>
        <w:pStyle w:val="2"/>
        <w:tabs>
          <w:tab w:val="left" w:pos="9639"/>
        </w:tabs>
        <w:ind w:firstLine="253" w:firstLineChars="132"/>
        <w:rPr>
          <w:rFonts w:asciiTheme="minorEastAsia" w:hAnsiTheme="minorEastAsia" w:eastAsiaTheme="minorEastAsia"/>
          <w:sz w:val="21"/>
          <w:szCs w:val="21"/>
        </w:rPr>
      </w:pPr>
      <w:r>
        <w:rPr>
          <w:rFonts w:asciiTheme="minorEastAsia" w:hAnsiTheme="minorEastAsia" w:eastAsiaTheme="minorEastAsia"/>
          <w:spacing w:val="-9"/>
          <w:sz w:val="21"/>
          <w:szCs w:val="21"/>
        </w:rPr>
        <w:t xml:space="preserve">根据臭气排放点综合计算确定，放置 </w:t>
      </w:r>
      <w:r>
        <w:rPr>
          <w:rFonts w:asciiTheme="minorEastAsia" w:hAnsiTheme="minorEastAsia" w:eastAsiaTheme="minorEastAsia"/>
          <w:sz w:val="21"/>
          <w:szCs w:val="21"/>
        </w:rPr>
        <w:t>10%</w:t>
      </w:r>
      <w:r>
        <w:rPr>
          <w:rFonts w:asciiTheme="minorEastAsia" w:hAnsiTheme="minorEastAsia" w:eastAsiaTheme="minorEastAsia"/>
          <w:spacing w:val="-9"/>
          <w:sz w:val="21"/>
          <w:szCs w:val="21"/>
        </w:rPr>
        <w:t>的余量，确定垃圾中</w:t>
      </w:r>
      <w:r>
        <w:rPr>
          <w:rFonts w:asciiTheme="minorEastAsia" w:hAnsiTheme="minorEastAsia" w:eastAsiaTheme="minorEastAsia"/>
          <w:spacing w:val="-5"/>
          <w:sz w:val="21"/>
          <w:szCs w:val="21"/>
        </w:rPr>
        <w:t>转站改造项目的臭气处理量为</w:t>
      </w:r>
      <w:r>
        <w:rPr>
          <w:rFonts w:asciiTheme="minorEastAsia" w:hAnsiTheme="minorEastAsia" w:eastAsiaTheme="minorEastAsia"/>
          <w:sz w:val="21"/>
          <w:szCs w:val="21"/>
        </w:rPr>
        <w:t>4000m</w:t>
      </w:r>
      <w:r>
        <w:rPr>
          <w:rFonts w:asciiTheme="minorEastAsia" w:hAnsiTheme="minorEastAsia" w:eastAsiaTheme="minorEastAsia"/>
          <w:position w:val="8"/>
          <w:sz w:val="21"/>
          <w:szCs w:val="21"/>
          <w:vertAlign w:val="superscript"/>
        </w:rPr>
        <w:t>3</w:t>
      </w:r>
      <w:r>
        <w:rPr>
          <w:rFonts w:asciiTheme="minorEastAsia" w:hAnsiTheme="minorEastAsia" w:eastAsiaTheme="minorEastAsia"/>
          <w:sz w:val="21"/>
          <w:szCs w:val="21"/>
        </w:rPr>
        <w:t>/h</w:t>
      </w:r>
      <w:r>
        <w:rPr>
          <w:rFonts w:asciiTheme="minorEastAsia" w:hAnsiTheme="minorEastAsia" w:eastAsiaTheme="minorEastAsia"/>
          <w:spacing w:val="-6"/>
          <w:sz w:val="21"/>
          <w:szCs w:val="21"/>
        </w:rPr>
        <w:t xml:space="preserve">，设计风量富裕系数为 </w:t>
      </w:r>
      <w:r>
        <w:rPr>
          <w:rFonts w:asciiTheme="minorEastAsia" w:hAnsiTheme="minorEastAsia" w:eastAsiaTheme="minorEastAsia"/>
          <w:sz w:val="21"/>
          <w:szCs w:val="21"/>
        </w:rPr>
        <w:t>1.10。</w:t>
      </w:r>
    </w:p>
    <w:p>
      <w:pPr>
        <w:ind w:firstLine="0" w:firstLineChars="0"/>
      </w:pPr>
    </w:p>
    <w:p>
      <w:pPr>
        <w:ind w:firstLine="480"/>
      </w:pPr>
    </w:p>
    <w:p>
      <w:pPr>
        <w:pStyle w:val="5"/>
        <w:ind w:firstLine="482"/>
      </w:pPr>
      <w:r>
        <w:rPr>
          <w:rFonts w:hint="eastAsia"/>
        </w:rPr>
        <w:br w:type="page"/>
      </w:r>
      <w:bookmarkStart w:id="218" w:name="_Toc2212"/>
      <w:bookmarkStart w:id="219" w:name="_Toc9902"/>
    </w:p>
    <w:p>
      <w:pPr>
        <w:pStyle w:val="3"/>
        <w:adjustRightInd w:val="0"/>
        <w:spacing w:beforeLines="0" w:afterLines="0" w:line="240" w:lineRule="auto"/>
        <w:ind w:firstLine="0" w:firstLineChars="0"/>
        <w:jc w:val="left"/>
        <w:textAlignment w:val="baseline"/>
        <w:rPr>
          <w:rFonts w:cs="Times New Roman"/>
          <w:bCs w:val="0"/>
          <w:szCs w:val="32"/>
        </w:rPr>
      </w:pPr>
      <w:bookmarkStart w:id="220" w:name="_Toc73367200"/>
      <w:bookmarkStart w:id="221" w:name="_Toc6415"/>
      <w:r>
        <w:rPr>
          <w:rFonts w:hint="eastAsia" w:cs="Times New Roman"/>
          <w:bCs w:val="0"/>
          <w:szCs w:val="32"/>
        </w:rPr>
        <w:t>三、工艺介绍</w:t>
      </w:r>
      <w:bookmarkEnd w:id="220"/>
      <w:bookmarkEnd w:id="221"/>
    </w:p>
    <w:p>
      <w:pPr>
        <w:pStyle w:val="4"/>
        <w:keepNext w:val="0"/>
        <w:keepLines w:val="0"/>
        <w:spacing w:beforeLines="0" w:afterLines="0"/>
        <w:ind w:firstLine="0" w:firstLineChars="0"/>
        <w:jc w:val="left"/>
        <w:rPr>
          <w:rFonts w:cs="Times New Roman"/>
          <w:sz w:val="28"/>
          <w:szCs w:val="28"/>
        </w:rPr>
      </w:pPr>
      <w:bookmarkStart w:id="222" w:name="_Toc390443330"/>
      <w:bookmarkStart w:id="223" w:name="_Toc26295"/>
      <w:bookmarkStart w:id="224" w:name="_Toc11596"/>
      <w:bookmarkStart w:id="225" w:name="_Toc73367201"/>
      <w:bookmarkStart w:id="226" w:name="_Toc13122"/>
      <w:r>
        <w:rPr>
          <w:rFonts w:hint="eastAsia" w:cs="Times New Roman"/>
          <w:sz w:val="28"/>
          <w:szCs w:val="28"/>
        </w:rPr>
        <w:t>除臭工艺设备的选择</w:t>
      </w:r>
      <w:bookmarkEnd w:id="222"/>
      <w:bookmarkEnd w:id="223"/>
      <w:bookmarkEnd w:id="224"/>
      <w:bookmarkEnd w:id="225"/>
      <w:bookmarkEnd w:id="226"/>
    </w:p>
    <w:p>
      <w:pPr>
        <w:ind w:firstLine="480"/>
        <w:rPr>
          <w:rFonts w:ascii="宋体" w:hAnsi="宋体"/>
          <w:szCs w:val="24"/>
        </w:rPr>
      </w:pPr>
      <w:r>
        <w:rPr>
          <w:rFonts w:hint="eastAsia" w:ascii="宋体" w:hAnsi="宋体"/>
          <w:szCs w:val="24"/>
        </w:rPr>
        <w:t>本项目污水源</w:t>
      </w:r>
      <w:r>
        <w:rPr>
          <w:rFonts w:hint="eastAsia"/>
        </w:rPr>
        <w:t>以垃圾渗滤液为主。</w:t>
      </w:r>
      <w:r>
        <w:rPr>
          <w:rFonts w:hint="eastAsia" w:ascii="宋体" w:hAnsi="宋体"/>
        </w:rPr>
        <w:t>常用的废气处理方式包括物理吸附、化学反应、生物除臭、</w:t>
      </w:r>
      <w:r>
        <w:rPr>
          <w:rFonts w:ascii="宋体" w:hAnsi="宋体"/>
          <w:szCs w:val="24"/>
        </w:rPr>
        <w:t>离子</w:t>
      </w:r>
      <w:r>
        <w:rPr>
          <w:rFonts w:hint="eastAsia" w:ascii="宋体" w:hAnsi="宋体"/>
          <w:szCs w:val="24"/>
        </w:rPr>
        <w:t>基团</w:t>
      </w:r>
      <w:r>
        <w:rPr>
          <w:rFonts w:ascii="宋体" w:hAnsi="宋体"/>
          <w:szCs w:val="24"/>
        </w:rPr>
        <w:t>除臭法</w:t>
      </w:r>
      <w:r>
        <w:rPr>
          <w:rFonts w:hint="eastAsia" w:ascii="宋体" w:hAnsi="宋体"/>
          <w:szCs w:val="24"/>
        </w:rPr>
        <w:t>、紫外光解法等，各自优缺点、能耗、经济性、功能各有差异，下面将针对本项目的废气特点对以上处理工艺分别进行阐述比较</w:t>
      </w:r>
      <w:r>
        <w:rPr>
          <w:rFonts w:ascii="宋体" w:hAnsi="宋体"/>
          <w:szCs w:val="24"/>
        </w:rPr>
        <w:t>。</w:t>
      </w:r>
    </w:p>
    <w:p>
      <w:pPr>
        <w:ind w:firstLine="0" w:firstLineChars="0"/>
        <w:outlineLvl w:val="2"/>
        <w:rPr>
          <w:rFonts w:cs="Times New Roman"/>
          <w:b/>
          <w:sz w:val="28"/>
          <w:szCs w:val="28"/>
        </w:rPr>
      </w:pPr>
      <w:bookmarkStart w:id="227" w:name="_Toc11168"/>
      <w:bookmarkStart w:id="228" w:name="_Toc363467580"/>
      <w:bookmarkStart w:id="229" w:name="_Toc73367202"/>
      <w:bookmarkStart w:id="230" w:name="_Toc31526"/>
      <w:r>
        <w:rPr>
          <w:rFonts w:hint="eastAsia" w:cs="Times New Roman"/>
          <w:b/>
          <w:sz w:val="28"/>
          <w:szCs w:val="28"/>
        </w:rPr>
        <w:t>3.1化学除臭法</w:t>
      </w:r>
      <w:bookmarkEnd w:id="227"/>
      <w:bookmarkEnd w:id="228"/>
      <w:bookmarkEnd w:id="229"/>
      <w:bookmarkEnd w:id="230"/>
    </w:p>
    <w:p>
      <w:pPr>
        <w:ind w:firstLine="480"/>
        <w:rPr>
          <w:rFonts w:ascii="宋体" w:hAnsi="宋体"/>
          <w:snapToGrid w:val="0"/>
          <w:spacing w:val="-4"/>
          <w:szCs w:val="24"/>
        </w:rPr>
      </w:pPr>
      <w:r>
        <w:rPr>
          <w:rFonts w:ascii="宋体" w:hAnsi="宋体"/>
          <w:szCs w:val="24"/>
          <w:shd w:val="clear" w:color="auto" w:fill="FFFFFF"/>
        </w:rPr>
        <w:t>化学除臭法</w:t>
      </w:r>
      <w:r>
        <w:rPr>
          <w:rFonts w:hint="eastAsia" w:ascii="宋体" w:hAnsi="宋体"/>
          <w:szCs w:val="24"/>
          <w:shd w:val="clear" w:color="auto" w:fill="FFFFFF"/>
        </w:rPr>
        <w:t>一</w:t>
      </w:r>
      <w:r>
        <w:rPr>
          <w:rFonts w:ascii="宋体" w:hAnsi="宋体"/>
          <w:szCs w:val="24"/>
          <w:shd w:val="clear" w:color="auto" w:fill="FFFFFF"/>
        </w:rPr>
        <w:t>是利用化学</w:t>
      </w:r>
      <w:r>
        <w:rPr>
          <w:rFonts w:hint="eastAsia" w:ascii="宋体" w:hAnsi="宋体"/>
          <w:szCs w:val="24"/>
          <w:shd w:val="clear" w:color="auto" w:fill="FFFFFF"/>
        </w:rPr>
        <w:t>药剂</w:t>
      </w:r>
      <w:r>
        <w:rPr>
          <w:rFonts w:ascii="宋体" w:hAnsi="宋体"/>
          <w:szCs w:val="24"/>
          <w:shd w:val="clear" w:color="auto" w:fill="FFFFFF"/>
        </w:rPr>
        <w:t>(NaOH、NaCl或NaClO)</w:t>
      </w:r>
      <w:r>
        <w:rPr>
          <w:rFonts w:hint="eastAsia" w:ascii="宋体" w:hAnsi="宋体"/>
          <w:szCs w:val="24"/>
          <w:shd w:val="clear" w:color="auto" w:fill="FFFFFF"/>
        </w:rPr>
        <w:t>等</w:t>
      </w:r>
      <w:r>
        <w:rPr>
          <w:rFonts w:ascii="宋体" w:hAnsi="宋体"/>
          <w:szCs w:val="24"/>
          <w:shd w:val="clear" w:color="auto" w:fill="FFFFFF"/>
        </w:rPr>
        <w:t>与H</w:t>
      </w:r>
      <w:r>
        <w:rPr>
          <w:rFonts w:ascii="宋体" w:hAnsi="宋体"/>
          <w:szCs w:val="24"/>
          <w:shd w:val="clear" w:color="auto" w:fill="FFFFFF"/>
          <w:vertAlign w:val="subscript"/>
        </w:rPr>
        <w:t>2</w:t>
      </w:r>
      <w:r>
        <w:rPr>
          <w:rFonts w:ascii="宋体" w:hAnsi="宋体"/>
          <w:szCs w:val="24"/>
          <w:shd w:val="clear" w:color="auto" w:fill="FFFFFF"/>
        </w:rPr>
        <w:t>S、NH</w:t>
      </w:r>
      <w:r>
        <w:rPr>
          <w:rFonts w:ascii="宋体" w:hAnsi="宋体"/>
          <w:szCs w:val="24"/>
          <w:shd w:val="clear" w:color="auto" w:fill="FFFFFF"/>
          <w:vertAlign w:val="subscript"/>
        </w:rPr>
        <w:t>3</w:t>
      </w:r>
      <w:r>
        <w:rPr>
          <w:rFonts w:ascii="宋体" w:hAnsi="宋体"/>
          <w:szCs w:val="24"/>
          <w:shd w:val="clear" w:color="auto" w:fill="FFFFFF"/>
        </w:rPr>
        <w:t>等无机类致臭成分进行不可逆的化学反应生成新的无臭物质以达到脱臭的目的</w:t>
      </w:r>
      <w:r>
        <w:rPr>
          <w:rFonts w:hint="eastAsia" w:ascii="宋体" w:hAnsi="宋体"/>
          <w:szCs w:val="24"/>
          <w:shd w:val="clear" w:color="auto" w:fill="FFFFFF"/>
        </w:rPr>
        <w:t>，二是通过过氧化氢、次氯酸钠等强氧化剂处理废气达到杀菌消毒的效果。</w:t>
      </w:r>
      <w:r>
        <w:rPr>
          <w:rFonts w:ascii="宋体" w:hAnsi="宋体"/>
          <w:szCs w:val="24"/>
          <w:shd w:val="clear" w:color="auto" w:fill="FFFFFF"/>
        </w:rPr>
        <w:t>该方法需针对不同性质的恶臭气体，配置相应的化学药剂以提高药剂的利用率，将药液通过洗涤塔与恶臭气体相接触，从而发生反应，去除恶臭物质。此法对臭气成分的真对性很强，化学药剂成本较高。</w:t>
      </w:r>
    </w:p>
    <w:p>
      <w:pPr>
        <w:ind w:firstLine="0" w:firstLineChars="0"/>
        <w:outlineLvl w:val="2"/>
        <w:rPr>
          <w:rFonts w:cs="Times New Roman"/>
          <w:b/>
          <w:sz w:val="28"/>
          <w:szCs w:val="28"/>
        </w:rPr>
      </w:pPr>
      <w:bookmarkStart w:id="231" w:name="_Toc73367203"/>
      <w:bookmarkStart w:id="232" w:name="_Toc363467581"/>
      <w:bookmarkStart w:id="233" w:name="_Toc4772"/>
      <w:bookmarkStart w:id="234" w:name="_Toc26193"/>
      <w:r>
        <w:rPr>
          <w:rFonts w:hint="eastAsia" w:cs="Times New Roman"/>
          <w:b/>
          <w:sz w:val="28"/>
          <w:szCs w:val="28"/>
        </w:rPr>
        <w:t>3.1.2物理吸附法</w:t>
      </w:r>
      <w:bookmarkEnd w:id="231"/>
      <w:bookmarkEnd w:id="232"/>
      <w:bookmarkEnd w:id="233"/>
      <w:bookmarkEnd w:id="234"/>
    </w:p>
    <w:p>
      <w:pPr>
        <w:ind w:firstLine="480"/>
        <w:rPr>
          <w:rFonts w:ascii="宋体" w:hAnsi="宋体"/>
          <w:szCs w:val="24"/>
          <w:shd w:val="clear" w:color="auto" w:fill="FFFFFF"/>
        </w:rPr>
      </w:pPr>
      <w:r>
        <w:rPr>
          <w:rFonts w:hint="eastAsia" w:ascii="宋体" w:hAnsi="宋体"/>
          <w:szCs w:val="24"/>
          <w:shd w:val="clear" w:color="auto" w:fill="FFFFFF"/>
        </w:rPr>
        <w:t>物理吸附法的主要吸附介质包括沸石、锯末、碳泥、活性炭等，其中使用效率最高亦最常用的物理吸附质为活性炭。</w:t>
      </w:r>
    </w:p>
    <w:p>
      <w:pPr>
        <w:ind w:firstLine="480"/>
        <w:rPr>
          <w:rFonts w:ascii="宋体" w:hAnsi="宋体"/>
          <w:szCs w:val="24"/>
          <w:shd w:val="clear" w:color="auto" w:fill="FFFFFF"/>
        </w:rPr>
      </w:pPr>
      <w:r>
        <w:rPr>
          <w:rFonts w:ascii="宋体" w:hAnsi="宋体"/>
          <w:szCs w:val="24"/>
          <w:shd w:val="clear" w:color="auto" w:fill="FFFFFF"/>
        </w:rPr>
        <w:t>活性炭吸附除臭法是利用活性炭</w:t>
      </w:r>
      <w:r>
        <w:rPr>
          <w:rFonts w:hint="eastAsia" w:ascii="宋体" w:hAnsi="宋体"/>
          <w:szCs w:val="24"/>
          <w:shd w:val="clear" w:color="auto" w:fill="FFFFFF"/>
        </w:rPr>
        <w:t>极高的空隙率来捕捉臭气分子</w:t>
      </w:r>
      <w:r>
        <w:rPr>
          <w:rFonts w:ascii="宋体" w:hAnsi="宋体"/>
          <w:szCs w:val="24"/>
          <w:shd w:val="clear" w:color="auto" w:fill="FFFFFF"/>
        </w:rPr>
        <w:t>,在吸附塔内设置各种不同性质的活性炭,致臭物质和各种活性炭接触后,排出吸附塔,达到脱臭的目的。活性炭达到饱和后,需通过热空气、蒸汽或NaOH浸没进行再生或替换。</w:t>
      </w:r>
      <w:r>
        <w:rPr>
          <w:rFonts w:hint="eastAsia" w:ascii="宋体" w:hAnsi="宋体"/>
          <w:szCs w:val="24"/>
          <w:shd w:val="clear" w:color="auto" w:fill="FFFFFF"/>
        </w:rPr>
        <w:t>但</w:t>
      </w:r>
      <w:r>
        <w:rPr>
          <w:rFonts w:ascii="宋体" w:hAnsi="宋体"/>
          <w:szCs w:val="24"/>
          <w:shd w:val="clear" w:color="auto" w:fill="FFFFFF"/>
        </w:rPr>
        <w:t>活性炭的再生与替换价格较昂贵、劳动强度大且再生后的活性炭吸附能力降低。</w:t>
      </w:r>
    </w:p>
    <w:p>
      <w:pPr>
        <w:ind w:firstLine="0" w:firstLineChars="0"/>
        <w:outlineLvl w:val="2"/>
        <w:rPr>
          <w:rFonts w:cs="Times New Roman"/>
          <w:b/>
          <w:sz w:val="28"/>
          <w:szCs w:val="28"/>
        </w:rPr>
      </w:pPr>
      <w:bookmarkStart w:id="235" w:name="_Toc73367204"/>
      <w:bookmarkStart w:id="236" w:name="_Toc2391"/>
      <w:bookmarkStart w:id="237" w:name="_Toc363467582"/>
      <w:bookmarkStart w:id="238" w:name="_Toc31921"/>
      <w:r>
        <w:rPr>
          <w:rFonts w:hint="eastAsia" w:cs="Times New Roman"/>
          <w:b/>
          <w:sz w:val="28"/>
          <w:szCs w:val="28"/>
        </w:rPr>
        <w:t>3.1.3离子基团除臭法</w:t>
      </w:r>
      <w:bookmarkEnd w:id="235"/>
      <w:bookmarkEnd w:id="236"/>
      <w:bookmarkEnd w:id="237"/>
      <w:bookmarkEnd w:id="238"/>
    </w:p>
    <w:p>
      <w:pPr>
        <w:shd w:val="solid" w:color="FFFFFF" w:fill="auto"/>
        <w:autoSpaceDN w:val="0"/>
        <w:ind w:firstLine="480"/>
        <w:jc w:val="left"/>
        <w:rPr>
          <w:rFonts w:ascii="宋体" w:hAnsi="宋体"/>
          <w:szCs w:val="24"/>
          <w:shd w:val="clear" w:color="auto" w:fill="FFFFFF"/>
        </w:rPr>
      </w:pPr>
      <w:r>
        <w:rPr>
          <w:rFonts w:ascii="宋体" w:hAnsi="宋体"/>
          <w:snapToGrid w:val="0"/>
          <w:szCs w:val="24"/>
        </w:rPr>
        <w:t>该方法中包括离子发生装置和</w:t>
      </w:r>
      <w:r>
        <w:rPr>
          <w:rFonts w:hint="eastAsia" w:ascii="宋体" w:hAnsi="宋体"/>
          <w:snapToGrid w:val="0"/>
          <w:szCs w:val="24"/>
        </w:rPr>
        <w:t>反应装置</w:t>
      </w:r>
      <w:r>
        <w:rPr>
          <w:rFonts w:ascii="宋体" w:hAnsi="宋体"/>
          <w:snapToGrid w:val="0"/>
          <w:szCs w:val="24"/>
        </w:rPr>
        <w:t>。通过离子发生装置，将空气中的氧分子分解成带有正电或负电的正负氧离子，利用其较强的活性，在与恶臭气体分子接触中，打开恶臭气体分子的化学链，生成水和氧化物。借助通风管路系统向散发恶臭气体和臭气的空间送入可控浓度的正负氧离子空气，在极短的时间内与气体污染物分子发生反应，有效地扼制气体污染物的扩散和降低室内气体污染物的浓度。</w:t>
      </w:r>
      <w:r>
        <w:rPr>
          <w:rFonts w:ascii="宋体" w:hAnsi="宋体"/>
          <w:szCs w:val="24"/>
          <w:shd w:val="clear" w:color="auto" w:fill="FFFFFF"/>
        </w:rPr>
        <w:t>离子基团除臭法</w:t>
      </w:r>
      <w:r>
        <w:rPr>
          <w:rFonts w:hint="eastAsia" w:ascii="宋体" w:hAnsi="宋体"/>
          <w:szCs w:val="24"/>
          <w:shd w:val="clear" w:color="auto" w:fill="FFFFFF"/>
        </w:rPr>
        <w:t>由于是将空气中氧气分解产生离子，然后离子再和臭气污染物反应以分解污染物，对去除臭气中的VOCs效果明显。</w:t>
      </w:r>
    </w:p>
    <w:p>
      <w:pPr>
        <w:ind w:firstLine="0" w:firstLineChars="0"/>
        <w:outlineLvl w:val="2"/>
        <w:rPr>
          <w:rFonts w:cs="Times New Roman"/>
          <w:b/>
          <w:sz w:val="28"/>
          <w:szCs w:val="28"/>
        </w:rPr>
      </w:pPr>
      <w:bookmarkStart w:id="239" w:name="_Toc73367205"/>
      <w:bookmarkStart w:id="240" w:name="_Toc2726"/>
      <w:bookmarkStart w:id="241" w:name="_Toc363467584"/>
      <w:bookmarkStart w:id="242" w:name="_Toc29423"/>
      <w:r>
        <w:rPr>
          <w:rFonts w:hint="eastAsia" w:cs="Times New Roman"/>
          <w:b/>
          <w:sz w:val="28"/>
          <w:szCs w:val="28"/>
        </w:rPr>
        <w:t>3.1.4紫外光解除臭法</w:t>
      </w:r>
      <w:bookmarkEnd w:id="239"/>
      <w:bookmarkEnd w:id="240"/>
      <w:bookmarkEnd w:id="241"/>
      <w:bookmarkEnd w:id="242"/>
    </w:p>
    <w:p>
      <w:pPr>
        <w:widowControl/>
        <w:ind w:firstLine="480"/>
        <w:rPr>
          <w:rFonts w:ascii="宋体" w:hAnsi="宋体"/>
        </w:rPr>
      </w:pPr>
      <w:r>
        <w:rPr>
          <w:rFonts w:hint="eastAsia" w:ascii="宋体" w:hAnsi="宋体" w:cs="宋体"/>
          <w:color w:val="000000"/>
          <w:kern w:val="0"/>
          <w:szCs w:val="24"/>
        </w:rPr>
        <w:t>紫外光解除臭的原理与离子除臭相近，其利用高能高臭氧UV紫外线光束分解空气中的氧分子产生游离氧，因游离氧所携正负电子不平衡所以需与氧分子结合，进而产生臭氧。UV＋O</w:t>
      </w:r>
      <w:r>
        <w:rPr>
          <w:rFonts w:hint="eastAsia" w:ascii="宋体" w:hAnsi="宋体" w:cs="宋体"/>
          <w:color w:val="000000"/>
          <w:kern w:val="0"/>
          <w:szCs w:val="24"/>
          <w:vertAlign w:val="subscript"/>
        </w:rPr>
        <w:t>2</w:t>
      </w:r>
      <w:r>
        <w:rPr>
          <w:rFonts w:hint="eastAsia" w:ascii="宋体" w:hAnsi="宋体" w:cs="宋体"/>
          <w:color w:val="000000"/>
          <w:kern w:val="0"/>
          <w:szCs w:val="24"/>
        </w:rPr>
        <w:t>→O</w:t>
      </w:r>
      <w:r>
        <w:rPr>
          <w:rFonts w:hint="eastAsia" w:ascii="宋体" w:hAnsi="宋体" w:cs="宋体"/>
          <w:color w:val="000000"/>
          <w:kern w:val="0"/>
          <w:szCs w:val="24"/>
          <w:vertAlign w:val="superscript"/>
        </w:rPr>
        <w:t>-</w:t>
      </w:r>
      <w:r>
        <w:rPr>
          <w:rFonts w:hint="eastAsia" w:ascii="宋体" w:hAnsi="宋体" w:cs="宋体"/>
          <w:color w:val="000000"/>
          <w:kern w:val="0"/>
          <w:szCs w:val="24"/>
        </w:rPr>
        <w:t>+O</w:t>
      </w:r>
      <w:r>
        <w:rPr>
          <w:rFonts w:hint="eastAsia" w:ascii="宋体" w:hAnsi="宋体" w:cs="宋体"/>
          <w:color w:val="000000"/>
          <w:kern w:val="0"/>
          <w:szCs w:val="24"/>
          <w:vertAlign w:val="superscript"/>
        </w:rPr>
        <w:t>＊</w:t>
      </w:r>
      <w:r>
        <w:rPr>
          <w:rFonts w:hint="eastAsia" w:ascii="宋体" w:hAnsi="宋体" w:cs="宋体"/>
          <w:color w:val="000000"/>
          <w:kern w:val="0"/>
          <w:szCs w:val="24"/>
        </w:rPr>
        <w:t>(活性氧)O+O</w:t>
      </w:r>
      <w:r>
        <w:rPr>
          <w:rFonts w:hint="eastAsia" w:ascii="宋体" w:hAnsi="宋体" w:cs="宋体"/>
          <w:color w:val="000000"/>
          <w:kern w:val="0"/>
          <w:szCs w:val="24"/>
          <w:vertAlign w:val="subscript"/>
        </w:rPr>
        <w:t>2</w:t>
      </w:r>
      <w:r>
        <w:rPr>
          <w:rFonts w:hint="eastAsia" w:ascii="宋体" w:hAnsi="宋体" w:cs="宋体"/>
          <w:color w:val="000000"/>
          <w:kern w:val="0"/>
          <w:szCs w:val="24"/>
        </w:rPr>
        <w:t>→O</w:t>
      </w:r>
      <w:r>
        <w:rPr>
          <w:rFonts w:hint="eastAsia" w:ascii="宋体" w:hAnsi="宋体" w:cs="宋体"/>
          <w:color w:val="000000"/>
          <w:kern w:val="0"/>
          <w:szCs w:val="24"/>
          <w:vertAlign w:val="subscript"/>
        </w:rPr>
        <w:t>3</w:t>
      </w:r>
      <w:r>
        <w:rPr>
          <w:rFonts w:hint="eastAsia" w:ascii="宋体" w:hAnsi="宋体" w:cs="宋体"/>
          <w:color w:val="000000"/>
          <w:kern w:val="0"/>
          <w:szCs w:val="24"/>
        </w:rPr>
        <w:t>(臭氧),通过臭氧分子极强的氧化作用，裂解恶臭气体物质。区别在于紫外光解系统可与废气直接接触，能耗低，利用高能UV光束裂解恶臭气体中细菌的分子键，破坏细菌的核酸（DNA），杀菌效果显著。</w:t>
      </w:r>
    </w:p>
    <w:p>
      <w:pPr>
        <w:ind w:firstLine="0" w:firstLineChars="0"/>
        <w:outlineLvl w:val="2"/>
        <w:rPr>
          <w:rFonts w:cs="Times New Roman"/>
          <w:b/>
          <w:sz w:val="28"/>
          <w:szCs w:val="28"/>
        </w:rPr>
      </w:pPr>
      <w:bookmarkStart w:id="243" w:name="_Toc32245"/>
      <w:bookmarkStart w:id="244" w:name="_Toc363467585"/>
      <w:bookmarkStart w:id="245" w:name="_Toc16327"/>
      <w:bookmarkStart w:id="246" w:name="_Toc73367206"/>
      <w:r>
        <w:rPr>
          <w:rFonts w:hint="eastAsia" w:cs="Times New Roman"/>
          <w:b/>
          <w:sz w:val="28"/>
          <w:szCs w:val="28"/>
        </w:rPr>
        <w:t>3.1.5生物除臭法</w:t>
      </w:r>
      <w:bookmarkEnd w:id="243"/>
      <w:bookmarkEnd w:id="244"/>
      <w:bookmarkEnd w:id="245"/>
      <w:bookmarkEnd w:id="246"/>
    </w:p>
    <w:p>
      <w:pPr>
        <w:shd w:val="solid" w:color="FFFFFF" w:fill="auto"/>
        <w:autoSpaceDN w:val="0"/>
        <w:ind w:firstLine="480"/>
        <w:jc w:val="left"/>
        <w:rPr>
          <w:rFonts w:ascii="宋体" w:hAnsi="宋体"/>
          <w:szCs w:val="24"/>
          <w:shd w:val="clear" w:color="auto" w:fill="FFFFFF"/>
        </w:rPr>
      </w:pPr>
      <w:r>
        <w:rPr>
          <w:rFonts w:ascii="宋体" w:hAnsi="宋体"/>
          <w:szCs w:val="24"/>
          <w:shd w:val="clear" w:color="auto" w:fill="FFFFFF"/>
        </w:rPr>
        <w:t>生物除臭法是通过微生物的生理代谢将恶臭物质加以转化,达到除臭的目的。</w:t>
      </w:r>
      <w:r>
        <w:rPr>
          <w:rFonts w:hint="eastAsia" w:ascii="宋体" w:hAnsi="宋体"/>
          <w:szCs w:val="24"/>
          <w:shd w:val="clear" w:color="auto" w:fill="FFFFFF"/>
        </w:rPr>
        <w:t>是常用的废气处理手段，</w:t>
      </w:r>
      <w:r>
        <w:rPr>
          <w:rFonts w:ascii="宋体" w:hAnsi="宋体"/>
          <w:szCs w:val="24"/>
          <w:shd w:val="clear" w:color="auto" w:fill="FFFFFF"/>
        </w:rPr>
        <w:t>目前多采用生物滤池法。生物滤池法是把收集的臭气先经过加湿处理,再通过长满微生物的、湿润多孔的生物滤层,利用微生物细胞对恶臭物质的吸附、吸收和降解功能以及微生物细胞个体小、表面积大、吸附性强和代谢类型多样的特点,将恶臭物质吸附后分解成CO</w:t>
      </w:r>
      <w:r>
        <w:rPr>
          <w:rFonts w:ascii="宋体" w:hAnsi="宋体"/>
          <w:szCs w:val="24"/>
          <w:shd w:val="clear" w:color="auto" w:fill="FFFFFF"/>
          <w:vertAlign w:val="subscript"/>
        </w:rPr>
        <w:t>2</w:t>
      </w:r>
      <w:r>
        <w:rPr>
          <w:rFonts w:ascii="宋体" w:hAnsi="宋体"/>
          <w:szCs w:val="24"/>
          <w:shd w:val="clear" w:color="auto" w:fill="FFFFFF"/>
        </w:rPr>
        <w:t>和其他无机物。</w:t>
      </w:r>
    </w:p>
    <w:p>
      <w:pPr>
        <w:ind w:firstLine="0" w:firstLineChars="0"/>
        <w:outlineLvl w:val="2"/>
        <w:rPr>
          <w:rFonts w:cs="Times New Roman"/>
          <w:b/>
          <w:sz w:val="28"/>
          <w:szCs w:val="28"/>
        </w:rPr>
      </w:pPr>
      <w:bookmarkStart w:id="247" w:name="_Toc363467586"/>
      <w:bookmarkStart w:id="248" w:name="_Toc73367207"/>
      <w:bookmarkStart w:id="249" w:name="_Toc19623"/>
      <w:bookmarkStart w:id="250" w:name="_Toc13017"/>
      <w:r>
        <w:rPr>
          <w:rFonts w:hint="eastAsia" w:cs="Times New Roman"/>
          <w:b/>
          <w:sz w:val="28"/>
          <w:szCs w:val="28"/>
        </w:rPr>
        <w:t>3.1.6工艺比选一览表</w:t>
      </w:r>
      <w:bookmarkEnd w:id="247"/>
      <w:bookmarkEnd w:id="248"/>
      <w:bookmarkEnd w:id="249"/>
      <w:bookmarkEnd w:id="250"/>
    </w:p>
    <w:p>
      <w:pPr>
        <w:ind w:firstLine="480"/>
        <w:rPr>
          <w:rFonts w:ascii="宋体" w:hAnsi="宋体"/>
          <w:szCs w:val="24"/>
          <w:shd w:val="clear" w:color="auto" w:fill="FFFFFF"/>
        </w:rPr>
      </w:pPr>
      <w:r>
        <w:rPr>
          <w:rFonts w:hint="eastAsia" w:ascii="宋体" w:hAnsi="宋体"/>
          <w:szCs w:val="24"/>
          <w:shd w:val="clear" w:color="auto" w:fill="FFFFFF"/>
        </w:rPr>
        <w:t>上述各种除臭工艺技术比选如下表所示。</w:t>
      </w:r>
    </w:p>
    <w:p>
      <w:pPr>
        <w:ind w:firstLine="480"/>
        <w:jc w:val="center"/>
        <w:rPr>
          <w:rFonts w:ascii="宋体" w:hAnsi="宋体"/>
          <w:snapToGrid w:val="0"/>
          <w:szCs w:val="24"/>
        </w:rPr>
      </w:pPr>
      <w:r>
        <w:rPr>
          <w:rFonts w:hint="eastAsia" w:ascii="宋体" w:hAnsi="宋体"/>
          <w:snapToGrid w:val="0"/>
          <w:szCs w:val="24"/>
        </w:rPr>
        <w:t>常见除臭工艺技术优缺点一览表</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260"/>
        <w:gridCol w:w="1984"/>
        <w:gridCol w:w="2125"/>
        <w:gridCol w:w="1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19" w:type="dxa"/>
            <w:vAlign w:val="center"/>
          </w:tcPr>
          <w:p>
            <w:pPr>
              <w:snapToGrid w:val="0"/>
              <w:ind w:firstLine="0" w:firstLineChars="0"/>
              <w:jc w:val="center"/>
              <w:rPr>
                <w:rFonts w:ascii="宋体" w:hAnsi="宋体"/>
                <w:szCs w:val="24"/>
              </w:rPr>
            </w:pPr>
            <w:r>
              <w:rPr>
                <w:rFonts w:ascii="宋体" w:hAnsi="宋体"/>
                <w:szCs w:val="24"/>
              </w:rPr>
              <w:t>工艺名称</w:t>
            </w:r>
          </w:p>
        </w:tc>
        <w:tc>
          <w:tcPr>
            <w:tcW w:w="1260" w:type="dxa"/>
            <w:vAlign w:val="center"/>
          </w:tcPr>
          <w:p>
            <w:pPr>
              <w:snapToGrid w:val="0"/>
              <w:ind w:firstLine="0" w:firstLineChars="0"/>
              <w:jc w:val="center"/>
              <w:rPr>
                <w:rFonts w:ascii="宋体" w:hAnsi="宋体"/>
                <w:szCs w:val="24"/>
              </w:rPr>
            </w:pPr>
            <w:r>
              <w:rPr>
                <w:rFonts w:ascii="宋体" w:hAnsi="宋体"/>
                <w:szCs w:val="24"/>
              </w:rPr>
              <w:t>适用范围</w:t>
            </w:r>
          </w:p>
        </w:tc>
        <w:tc>
          <w:tcPr>
            <w:tcW w:w="1984" w:type="dxa"/>
            <w:vAlign w:val="center"/>
          </w:tcPr>
          <w:p>
            <w:pPr>
              <w:snapToGrid w:val="0"/>
              <w:ind w:firstLine="0" w:firstLineChars="0"/>
              <w:jc w:val="center"/>
              <w:rPr>
                <w:rFonts w:ascii="宋体" w:hAnsi="宋体"/>
                <w:szCs w:val="24"/>
              </w:rPr>
            </w:pPr>
            <w:r>
              <w:rPr>
                <w:rFonts w:ascii="宋体" w:hAnsi="宋体"/>
                <w:szCs w:val="24"/>
              </w:rPr>
              <w:t>优点</w:t>
            </w:r>
          </w:p>
        </w:tc>
        <w:tc>
          <w:tcPr>
            <w:tcW w:w="2125" w:type="dxa"/>
            <w:vAlign w:val="center"/>
          </w:tcPr>
          <w:p>
            <w:pPr>
              <w:snapToGrid w:val="0"/>
              <w:ind w:firstLine="0" w:firstLineChars="0"/>
              <w:jc w:val="center"/>
              <w:rPr>
                <w:rFonts w:ascii="宋体" w:hAnsi="宋体"/>
                <w:szCs w:val="24"/>
              </w:rPr>
            </w:pPr>
            <w:r>
              <w:rPr>
                <w:rFonts w:ascii="宋体" w:hAnsi="宋体"/>
                <w:szCs w:val="24"/>
              </w:rPr>
              <w:t>缺点</w:t>
            </w:r>
          </w:p>
        </w:tc>
        <w:tc>
          <w:tcPr>
            <w:tcW w:w="1840" w:type="dxa"/>
            <w:vAlign w:val="center"/>
          </w:tcPr>
          <w:p>
            <w:pPr>
              <w:snapToGrid w:val="0"/>
              <w:ind w:firstLine="0" w:firstLineChars="0"/>
              <w:jc w:val="center"/>
              <w:rPr>
                <w:rFonts w:ascii="宋体" w:hAnsi="宋体"/>
                <w:szCs w:val="24"/>
              </w:rPr>
            </w:pPr>
            <w:r>
              <w:rPr>
                <w:rFonts w:ascii="宋体" w:hAnsi="宋体"/>
                <w:szCs w:val="24"/>
              </w:rPr>
              <w:t>去除效果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9" w:type="dxa"/>
            <w:vAlign w:val="center"/>
          </w:tcPr>
          <w:p>
            <w:pPr>
              <w:snapToGrid w:val="0"/>
              <w:ind w:firstLine="0" w:firstLineChars="0"/>
              <w:jc w:val="center"/>
              <w:rPr>
                <w:rFonts w:ascii="宋体" w:hAnsi="宋体"/>
                <w:szCs w:val="24"/>
              </w:rPr>
            </w:pPr>
            <w:r>
              <w:rPr>
                <w:rFonts w:ascii="宋体" w:hAnsi="宋体"/>
                <w:szCs w:val="24"/>
              </w:rPr>
              <w:t>生物</w:t>
            </w:r>
          </w:p>
          <w:p>
            <w:pPr>
              <w:snapToGrid w:val="0"/>
              <w:ind w:firstLine="0" w:firstLineChars="0"/>
              <w:jc w:val="center"/>
              <w:rPr>
                <w:rFonts w:ascii="宋体" w:hAnsi="宋体"/>
                <w:szCs w:val="24"/>
              </w:rPr>
            </w:pPr>
            <w:r>
              <w:rPr>
                <w:rFonts w:hint="eastAsia" w:ascii="宋体" w:hAnsi="宋体"/>
                <w:szCs w:val="24"/>
              </w:rPr>
              <w:t>滤池除臭</w:t>
            </w:r>
            <w:r>
              <w:rPr>
                <w:rFonts w:ascii="宋体" w:hAnsi="宋体"/>
                <w:szCs w:val="24"/>
              </w:rPr>
              <w:t>法</w:t>
            </w:r>
          </w:p>
        </w:tc>
        <w:tc>
          <w:tcPr>
            <w:tcW w:w="1260" w:type="dxa"/>
            <w:vAlign w:val="center"/>
          </w:tcPr>
          <w:p>
            <w:pPr>
              <w:snapToGrid w:val="0"/>
              <w:ind w:firstLine="0" w:firstLineChars="0"/>
              <w:jc w:val="center"/>
              <w:rPr>
                <w:rFonts w:ascii="宋体" w:hAnsi="宋体"/>
                <w:szCs w:val="24"/>
              </w:rPr>
            </w:pPr>
            <w:r>
              <w:rPr>
                <w:rFonts w:ascii="宋体" w:hAnsi="宋体"/>
                <w:szCs w:val="24"/>
              </w:rPr>
              <w:t>适</w:t>
            </w:r>
            <w:r>
              <w:rPr>
                <w:rFonts w:hint="eastAsia" w:ascii="宋体" w:hAnsi="宋体"/>
                <w:szCs w:val="24"/>
              </w:rPr>
              <w:t>用范围广，可</w:t>
            </w:r>
            <w:r>
              <w:rPr>
                <w:rFonts w:ascii="宋体" w:hAnsi="宋体"/>
                <w:szCs w:val="24"/>
              </w:rPr>
              <w:t>用于各种恶臭成分的降解处理</w:t>
            </w:r>
          </w:p>
        </w:tc>
        <w:tc>
          <w:tcPr>
            <w:tcW w:w="1984" w:type="dxa"/>
            <w:vAlign w:val="center"/>
          </w:tcPr>
          <w:p>
            <w:pPr>
              <w:snapToGrid w:val="0"/>
              <w:ind w:firstLine="0" w:firstLineChars="0"/>
              <w:jc w:val="center"/>
              <w:rPr>
                <w:rFonts w:ascii="宋体" w:hAnsi="宋体"/>
                <w:szCs w:val="24"/>
              </w:rPr>
            </w:pPr>
            <w:r>
              <w:rPr>
                <w:rFonts w:ascii="宋体" w:hAnsi="宋体"/>
                <w:szCs w:val="24"/>
              </w:rPr>
              <w:t>管理维护容易、运行费用较低、脱臭效果好，对高浓度臭气均具有很强的适应性</w:t>
            </w:r>
          </w:p>
        </w:tc>
        <w:tc>
          <w:tcPr>
            <w:tcW w:w="2125" w:type="dxa"/>
            <w:vAlign w:val="center"/>
          </w:tcPr>
          <w:p>
            <w:pPr>
              <w:snapToGrid w:val="0"/>
              <w:ind w:firstLine="0" w:firstLineChars="0"/>
              <w:jc w:val="center"/>
              <w:rPr>
                <w:rFonts w:ascii="宋体" w:hAnsi="宋体"/>
                <w:szCs w:val="24"/>
              </w:rPr>
            </w:pPr>
            <w:r>
              <w:rPr>
                <w:rFonts w:ascii="宋体" w:hAnsi="宋体"/>
                <w:szCs w:val="24"/>
              </w:rPr>
              <w:t>生物滤池的缺点是占地较大</w:t>
            </w:r>
          </w:p>
        </w:tc>
        <w:tc>
          <w:tcPr>
            <w:tcW w:w="1840" w:type="dxa"/>
            <w:vAlign w:val="center"/>
          </w:tcPr>
          <w:p>
            <w:pPr>
              <w:snapToGrid w:val="0"/>
              <w:ind w:firstLine="0" w:firstLineChars="0"/>
              <w:jc w:val="center"/>
              <w:rPr>
                <w:rFonts w:ascii="宋体" w:hAnsi="宋体"/>
                <w:szCs w:val="24"/>
              </w:rPr>
            </w:pPr>
            <w:r>
              <w:rPr>
                <w:rFonts w:ascii="宋体" w:hAnsi="宋体"/>
                <w:szCs w:val="24"/>
              </w:rPr>
              <w:t>对污水处理过程产生的富有N、S成分臭气的处理效果优良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9" w:type="dxa"/>
            <w:vAlign w:val="center"/>
          </w:tcPr>
          <w:p>
            <w:pPr>
              <w:snapToGrid w:val="0"/>
              <w:ind w:firstLine="0" w:firstLineChars="0"/>
              <w:jc w:val="center"/>
              <w:rPr>
                <w:rFonts w:ascii="宋体" w:hAnsi="宋体"/>
                <w:szCs w:val="24"/>
              </w:rPr>
            </w:pPr>
            <w:r>
              <w:rPr>
                <w:rFonts w:ascii="宋体" w:hAnsi="宋体"/>
                <w:szCs w:val="24"/>
              </w:rPr>
              <w:t>化学除臭技术</w:t>
            </w:r>
            <w:r>
              <w:rPr>
                <w:rFonts w:hint="eastAsia" w:ascii="宋体" w:hAnsi="宋体"/>
                <w:szCs w:val="24"/>
              </w:rPr>
              <w:t>（酸碱洗涤）</w:t>
            </w:r>
          </w:p>
        </w:tc>
        <w:tc>
          <w:tcPr>
            <w:tcW w:w="1260" w:type="dxa"/>
            <w:vAlign w:val="center"/>
          </w:tcPr>
          <w:p>
            <w:pPr>
              <w:snapToGrid w:val="0"/>
              <w:ind w:firstLine="0" w:firstLineChars="0"/>
              <w:jc w:val="center"/>
              <w:rPr>
                <w:rFonts w:ascii="宋体" w:hAnsi="宋体"/>
                <w:szCs w:val="24"/>
              </w:rPr>
            </w:pPr>
            <w:r>
              <w:rPr>
                <w:rFonts w:ascii="宋体" w:hAnsi="宋体"/>
                <w:szCs w:val="24"/>
              </w:rPr>
              <w:t>排放量大、高浓度的臭气排放场合</w:t>
            </w:r>
          </w:p>
        </w:tc>
        <w:tc>
          <w:tcPr>
            <w:tcW w:w="1984" w:type="dxa"/>
            <w:vAlign w:val="center"/>
          </w:tcPr>
          <w:p>
            <w:pPr>
              <w:snapToGrid w:val="0"/>
              <w:ind w:firstLine="0" w:firstLineChars="0"/>
              <w:jc w:val="center"/>
              <w:rPr>
                <w:rFonts w:ascii="宋体" w:hAnsi="宋体"/>
                <w:szCs w:val="24"/>
              </w:rPr>
            </w:pPr>
            <w:r>
              <w:rPr>
                <w:rFonts w:ascii="宋体" w:hAnsi="宋体"/>
                <w:szCs w:val="24"/>
              </w:rPr>
              <w:t>反应速度快、反应温度低、安全高效、运行可靠、占地相对最小</w:t>
            </w:r>
          </w:p>
        </w:tc>
        <w:tc>
          <w:tcPr>
            <w:tcW w:w="2125" w:type="dxa"/>
            <w:vAlign w:val="center"/>
          </w:tcPr>
          <w:p>
            <w:pPr>
              <w:snapToGrid w:val="0"/>
              <w:ind w:firstLine="0" w:firstLineChars="0"/>
              <w:jc w:val="center"/>
              <w:rPr>
                <w:rFonts w:ascii="宋体" w:hAnsi="宋体"/>
                <w:szCs w:val="24"/>
              </w:rPr>
            </w:pPr>
            <w:r>
              <w:rPr>
                <w:rFonts w:ascii="宋体" w:hAnsi="宋体"/>
                <w:szCs w:val="24"/>
              </w:rPr>
              <w:t>配备较多的附属设施，运行管理较为复杂，运行费用较高</w:t>
            </w:r>
          </w:p>
        </w:tc>
        <w:tc>
          <w:tcPr>
            <w:tcW w:w="1840" w:type="dxa"/>
            <w:vAlign w:val="center"/>
          </w:tcPr>
          <w:p>
            <w:pPr>
              <w:snapToGrid w:val="0"/>
              <w:ind w:firstLine="0" w:firstLineChars="0"/>
              <w:jc w:val="center"/>
              <w:rPr>
                <w:rFonts w:ascii="宋体" w:hAnsi="宋体"/>
                <w:szCs w:val="24"/>
              </w:rPr>
            </w:pPr>
            <w:r>
              <w:rPr>
                <w:rFonts w:ascii="宋体" w:hAnsi="宋体"/>
                <w:szCs w:val="24"/>
              </w:rPr>
              <w:t>与药液不反应的臭气较难去除，</w:t>
            </w:r>
            <w:r>
              <w:rPr>
                <w:rFonts w:hint="eastAsia" w:ascii="宋体" w:hAnsi="宋体"/>
                <w:szCs w:val="24"/>
              </w:rPr>
              <w:t>故总体去除率</w:t>
            </w:r>
            <w:r>
              <w:rPr>
                <w:rFonts w:ascii="宋体" w:hAnsi="宋体"/>
                <w:szCs w:val="24"/>
              </w:rPr>
              <w:t>较低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9" w:type="dxa"/>
            <w:vAlign w:val="center"/>
          </w:tcPr>
          <w:p>
            <w:pPr>
              <w:snapToGrid w:val="0"/>
              <w:ind w:firstLine="0" w:firstLineChars="0"/>
              <w:jc w:val="center"/>
              <w:rPr>
                <w:rFonts w:ascii="宋体" w:hAnsi="宋体"/>
                <w:szCs w:val="24"/>
              </w:rPr>
            </w:pPr>
            <w:r>
              <w:rPr>
                <w:rFonts w:ascii="宋体" w:hAnsi="宋体"/>
                <w:szCs w:val="24"/>
              </w:rPr>
              <w:t>活性炭</w:t>
            </w:r>
          </w:p>
          <w:p>
            <w:pPr>
              <w:snapToGrid w:val="0"/>
              <w:ind w:firstLine="0" w:firstLineChars="0"/>
              <w:jc w:val="center"/>
              <w:rPr>
                <w:rFonts w:ascii="宋体" w:hAnsi="宋体"/>
                <w:szCs w:val="24"/>
              </w:rPr>
            </w:pPr>
            <w:r>
              <w:rPr>
                <w:rFonts w:ascii="宋体" w:hAnsi="宋体"/>
                <w:szCs w:val="24"/>
              </w:rPr>
              <w:t>吸附</w:t>
            </w:r>
          </w:p>
        </w:tc>
        <w:tc>
          <w:tcPr>
            <w:tcW w:w="1260" w:type="dxa"/>
            <w:vAlign w:val="center"/>
          </w:tcPr>
          <w:p>
            <w:pPr>
              <w:snapToGrid w:val="0"/>
              <w:ind w:firstLine="0" w:firstLineChars="0"/>
              <w:jc w:val="center"/>
              <w:rPr>
                <w:rFonts w:ascii="宋体" w:hAnsi="宋体"/>
                <w:szCs w:val="24"/>
              </w:rPr>
            </w:pPr>
            <w:r>
              <w:rPr>
                <w:rFonts w:ascii="宋体" w:hAnsi="宋体"/>
                <w:szCs w:val="24"/>
              </w:rPr>
              <w:t>低浓度臭气和脱臭的后处理</w:t>
            </w:r>
          </w:p>
        </w:tc>
        <w:tc>
          <w:tcPr>
            <w:tcW w:w="1984" w:type="dxa"/>
            <w:vAlign w:val="center"/>
          </w:tcPr>
          <w:p>
            <w:pPr>
              <w:snapToGrid w:val="0"/>
              <w:ind w:firstLine="0" w:firstLineChars="0"/>
              <w:jc w:val="center"/>
              <w:rPr>
                <w:rFonts w:ascii="宋体" w:hAnsi="宋体"/>
                <w:szCs w:val="24"/>
              </w:rPr>
            </w:pPr>
            <w:r>
              <w:rPr>
                <w:rFonts w:ascii="宋体" w:hAnsi="宋体"/>
                <w:szCs w:val="24"/>
              </w:rPr>
              <w:t>初期投资比较低，维护容易而被广泛应用</w:t>
            </w:r>
          </w:p>
        </w:tc>
        <w:tc>
          <w:tcPr>
            <w:tcW w:w="2125" w:type="dxa"/>
            <w:vAlign w:val="center"/>
          </w:tcPr>
          <w:p>
            <w:pPr>
              <w:snapToGrid w:val="0"/>
              <w:ind w:firstLine="0" w:firstLineChars="0"/>
              <w:jc w:val="center"/>
              <w:rPr>
                <w:rFonts w:ascii="宋体" w:hAnsi="宋体"/>
                <w:szCs w:val="24"/>
              </w:rPr>
            </w:pPr>
            <w:r>
              <w:rPr>
                <w:rFonts w:ascii="宋体" w:hAnsi="宋体"/>
                <w:szCs w:val="24"/>
              </w:rPr>
              <w:t>活性炭吸附到一定量时会达到饱和，就必须再生或更换活性炭，因此运行成本较高</w:t>
            </w:r>
          </w:p>
        </w:tc>
        <w:tc>
          <w:tcPr>
            <w:tcW w:w="1840" w:type="dxa"/>
            <w:vAlign w:val="center"/>
          </w:tcPr>
          <w:p>
            <w:pPr>
              <w:snapToGrid w:val="0"/>
              <w:ind w:firstLine="0" w:firstLineChars="0"/>
              <w:jc w:val="center"/>
              <w:rPr>
                <w:rFonts w:ascii="宋体" w:hAnsi="宋体"/>
                <w:szCs w:val="24"/>
              </w:rPr>
            </w:pPr>
            <w:r>
              <w:rPr>
                <w:rFonts w:ascii="宋体" w:hAnsi="宋体"/>
                <w:szCs w:val="24"/>
              </w:rPr>
              <w:t>脱臭效果良好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9" w:type="dxa"/>
            <w:vAlign w:val="center"/>
          </w:tcPr>
          <w:p>
            <w:pPr>
              <w:snapToGrid w:val="0"/>
              <w:ind w:firstLine="0" w:firstLineChars="0"/>
              <w:jc w:val="center"/>
              <w:rPr>
                <w:rFonts w:ascii="宋体" w:hAnsi="宋体"/>
                <w:szCs w:val="24"/>
              </w:rPr>
            </w:pPr>
            <w:r>
              <w:rPr>
                <w:rFonts w:hint="eastAsia" w:ascii="宋体" w:hAnsi="宋体"/>
                <w:szCs w:val="24"/>
              </w:rPr>
              <w:t>紫外光</w:t>
            </w:r>
            <w:r>
              <w:rPr>
                <w:rFonts w:ascii="宋体" w:hAnsi="宋体"/>
                <w:szCs w:val="24"/>
              </w:rPr>
              <w:t>除臭</w:t>
            </w:r>
          </w:p>
        </w:tc>
        <w:tc>
          <w:tcPr>
            <w:tcW w:w="1260" w:type="dxa"/>
            <w:vAlign w:val="center"/>
          </w:tcPr>
          <w:p>
            <w:pPr>
              <w:snapToGrid w:val="0"/>
              <w:ind w:firstLine="0" w:firstLineChars="0"/>
              <w:jc w:val="center"/>
              <w:rPr>
                <w:rFonts w:ascii="宋体" w:hAnsi="宋体"/>
                <w:szCs w:val="24"/>
              </w:rPr>
            </w:pPr>
            <w:r>
              <w:rPr>
                <w:rFonts w:ascii="宋体" w:hAnsi="宋体"/>
                <w:szCs w:val="24"/>
              </w:rPr>
              <w:t>低浓度臭气</w:t>
            </w:r>
            <w:r>
              <w:rPr>
                <w:rFonts w:hint="eastAsia" w:ascii="宋体" w:hAnsi="宋体"/>
                <w:szCs w:val="24"/>
              </w:rPr>
              <w:t>，气体杀菌</w:t>
            </w:r>
          </w:p>
        </w:tc>
        <w:tc>
          <w:tcPr>
            <w:tcW w:w="1984" w:type="dxa"/>
            <w:vAlign w:val="center"/>
          </w:tcPr>
          <w:p>
            <w:pPr>
              <w:snapToGrid w:val="0"/>
              <w:ind w:firstLine="0" w:firstLineChars="0"/>
              <w:jc w:val="center"/>
              <w:rPr>
                <w:rFonts w:ascii="宋体" w:hAnsi="宋体"/>
                <w:szCs w:val="24"/>
              </w:rPr>
            </w:pPr>
            <w:r>
              <w:rPr>
                <w:rFonts w:ascii="宋体" w:hAnsi="宋体"/>
                <w:szCs w:val="24"/>
              </w:rPr>
              <w:t>结构较紧凑，安装位置较灵活</w:t>
            </w:r>
          </w:p>
        </w:tc>
        <w:tc>
          <w:tcPr>
            <w:tcW w:w="2125" w:type="dxa"/>
            <w:vAlign w:val="center"/>
          </w:tcPr>
          <w:p>
            <w:pPr>
              <w:snapToGrid w:val="0"/>
              <w:ind w:firstLine="0" w:firstLineChars="0"/>
              <w:jc w:val="center"/>
              <w:rPr>
                <w:rFonts w:ascii="宋体" w:hAnsi="宋体"/>
                <w:szCs w:val="24"/>
              </w:rPr>
            </w:pPr>
            <w:r>
              <w:rPr>
                <w:rFonts w:ascii="宋体" w:hAnsi="宋体"/>
                <w:szCs w:val="24"/>
              </w:rPr>
              <w:t>需要定期更换</w:t>
            </w:r>
            <w:r>
              <w:rPr>
                <w:rFonts w:hint="eastAsia" w:ascii="宋体" w:hAnsi="宋体"/>
                <w:szCs w:val="24"/>
              </w:rPr>
              <w:t>紫外灯</w:t>
            </w:r>
            <w:r>
              <w:rPr>
                <w:rFonts w:ascii="宋体" w:hAnsi="宋体"/>
                <w:szCs w:val="24"/>
              </w:rPr>
              <w:t>。</w:t>
            </w:r>
          </w:p>
        </w:tc>
        <w:tc>
          <w:tcPr>
            <w:tcW w:w="1840" w:type="dxa"/>
            <w:vAlign w:val="center"/>
          </w:tcPr>
          <w:p>
            <w:pPr>
              <w:snapToGrid w:val="0"/>
              <w:ind w:firstLine="0" w:firstLineChars="0"/>
              <w:jc w:val="center"/>
              <w:rPr>
                <w:rFonts w:ascii="宋体" w:hAnsi="宋体"/>
                <w:szCs w:val="24"/>
              </w:rPr>
            </w:pPr>
            <w:r>
              <w:rPr>
                <w:rFonts w:hint="eastAsia" w:ascii="宋体" w:hAnsi="宋体"/>
                <w:szCs w:val="24"/>
              </w:rPr>
              <w:t>低浓度废气</w:t>
            </w:r>
            <w:r>
              <w:rPr>
                <w:rFonts w:ascii="宋体" w:hAnsi="宋体"/>
                <w:szCs w:val="24"/>
              </w:rPr>
              <w:t>脱臭效果良好</w:t>
            </w:r>
            <w:r>
              <w:rPr>
                <w:rFonts w:hint="eastAsia" w:ascii="宋体" w:hAnsi="宋体"/>
                <w:szCs w:val="24"/>
              </w:rPr>
              <w:t>，高浓度废气脱臭效果较差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9" w:type="dxa"/>
            <w:vAlign w:val="center"/>
          </w:tcPr>
          <w:p>
            <w:pPr>
              <w:snapToGrid w:val="0"/>
              <w:ind w:firstLine="0" w:firstLineChars="0"/>
              <w:jc w:val="center"/>
              <w:rPr>
                <w:rFonts w:ascii="宋体" w:hAnsi="宋体"/>
                <w:szCs w:val="24"/>
              </w:rPr>
            </w:pPr>
            <w:r>
              <w:rPr>
                <w:rFonts w:hint="eastAsia" w:ascii="宋体" w:hAnsi="宋体"/>
                <w:szCs w:val="24"/>
              </w:rPr>
              <w:t>离子基团除臭法</w:t>
            </w:r>
          </w:p>
        </w:tc>
        <w:tc>
          <w:tcPr>
            <w:tcW w:w="1260" w:type="dxa"/>
            <w:vAlign w:val="center"/>
          </w:tcPr>
          <w:p>
            <w:pPr>
              <w:snapToGrid w:val="0"/>
              <w:ind w:firstLine="0" w:firstLineChars="0"/>
              <w:jc w:val="center"/>
              <w:rPr>
                <w:rFonts w:ascii="宋体" w:hAnsi="宋体"/>
                <w:szCs w:val="24"/>
              </w:rPr>
            </w:pPr>
            <w:r>
              <w:rPr>
                <w:rFonts w:ascii="宋体" w:hAnsi="宋体"/>
                <w:szCs w:val="24"/>
              </w:rPr>
              <w:t>低浓度臭气</w:t>
            </w:r>
          </w:p>
        </w:tc>
        <w:tc>
          <w:tcPr>
            <w:tcW w:w="1984" w:type="dxa"/>
            <w:vAlign w:val="center"/>
          </w:tcPr>
          <w:p>
            <w:pPr>
              <w:snapToGrid w:val="0"/>
              <w:ind w:firstLine="0" w:firstLineChars="0"/>
              <w:jc w:val="center"/>
              <w:rPr>
                <w:rFonts w:ascii="宋体" w:hAnsi="宋体"/>
                <w:szCs w:val="24"/>
              </w:rPr>
            </w:pPr>
            <w:r>
              <w:rPr>
                <w:rFonts w:hint="eastAsia" w:ascii="宋体" w:hAnsi="宋体"/>
                <w:szCs w:val="24"/>
              </w:rPr>
              <w:t>可根据不同工矿灵活调节处理量</w:t>
            </w:r>
          </w:p>
        </w:tc>
        <w:tc>
          <w:tcPr>
            <w:tcW w:w="2125" w:type="dxa"/>
            <w:vAlign w:val="center"/>
          </w:tcPr>
          <w:p>
            <w:pPr>
              <w:snapToGrid w:val="0"/>
              <w:ind w:firstLine="0" w:firstLineChars="0"/>
              <w:jc w:val="center"/>
              <w:rPr>
                <w:rFonts w:ascii="宋体" w:hAnsi="宋体"/>
                <w:szCs w:val="24"/>
              </w:rPr>
            </w:pPr>
            <w:r>
              <w:rPr>
                <w:rFonts w:hint="eastAsia" w:ascii="宋体" w:hAnsi="宋体"/>
                <w:szCs w:val="24"/>
              </w:rPr>
              <w:t>需定期更换离子发生管或维护离子发生器，高纯度的离子发生器投资较高</w:t>
            </w:r>
          </w:p>
        </w:tc>
        <w:tc>
          <w:tcPr>
            <w:tcW w:w="1840" w:type="dxa"/>
            <w:vAlign w:val="center"/>
          </w:tcPr>
          <w:p>
            <w:pPr>
              <w:snapToGrid w:val="0"/>
              <w:ind w:firstLine="0" w:firstLineChars="0"/>
              <w:jc w:val="center"/>
              <w:rPr>
                <w:rFonts w:ascii="宋体" w:hAnsi="宋体"/>
                <w:szCs w:val="24"/>
              </w:rPr>
            </w:pPr>
            <w:r>
              <w:rPr>
                <w:rFonts w:hint="eastAsia" w:ascii="宋体" w:hAnsi="宋体"/>
                <w:szCs w:val="24"/>
              </w:rPr>
              <w:t>一般</w:t>
            </w:r>
          </w:p>
        </w:tc>
      </w:tr>
    </w:tbl>
    <w:p>
      <w:pPr>
        <w:ind w:firstLine="0" w:firstLineChars="0"/>
        <w:outlineLvl w:val="2"/>
        <w:rPr>
          <w:rFonts w:cs="Times New Roman"/>
          <w:b/>
          <w:sz w:val="28"/>
          <w:szCs w:val="28"/>
        </w:rPr>
      </w:pPr>
      <w:bookmarkStart w:id="251" w:name="_Toc29883"/>
      <w:bookmarkStart w:id="252" w:name="_Toc23279"/>
      <w:bookmarkStart w:id="253" w:name="_Toc73367208"/>
      <w:r>
        <w:rPr>
          <w:rFonts w:hint="eastAsia" w:cs="Times New Roman"/>
          <w:b/>
          <w:sz w:val="28"/>
          <w:szCs w:val="28"/>
        </w:rPr>
        <w:t>3.1.7工艺选择</w:t>
      </w:r>
      <w:bookmarkEnd w:id="251"/>
      <w:bookmarkEnd w:id="252"/>
      <w:bookmarkEnd w:id="253"/>
    </w:p>
    <w:p>
      <w:pPr>
        <w:ind w:firstLine="480"/>
        <w:rPr>
          <w:rFonts w:ascii="宋体" w:hAnsi="宋体"/>
          <w:bCs/>
          <w:szCs w:val="24"/>
        </w:rPr>
      </w:pPr>
      <w:r>
        <w:rPr>
          <w:rFonts w:ascii="宋体" w:hAnsi="宋体"/>
          <w:szCs w:val="24"/>
          <w:shd w:val="clear" w:color="auto" w:fill="FFFFFF"/>
        </w:rPr>
        <w:t>根据以上各种脱臭方法的分析</w:t>
      </w:r>
      <w:r>
        <w:rPr>
          <w:rFonts w:hint="eastAsia" w:ascii="宋体" w:hAnsi="宋体"/>
          <w:szCs w:val="24"/>
          <w:shd w:val="clear" w:color="auto" w:fill="FFFFFF"/>
        </w:rPr>
        <w:t>：1、</w:t>
      </w:r>
      <w:r>
        <w:rPr>
          <w:rFonts w:ascii="宋体" w:hAnsi="宋体"/>
          <w:szCs w:val="24"/>
          <w:shd w:val="clear" w:color="auto" w:fill="FFFFFF"/>
        </w:rPr>
        <w:t>化学除臭法必须配备较多的附属设施,如药液贮存装置、药液输送装置和装置等,</w:t>
      </w:r>
      <w:r>
        <w:rPr>
          <w:rFonts w:hint="eastAsia" w:ascii="宋体" w:hAnsi="宋体"/>
          <w:szCs w:val="24"/>
          <w:shd w:val="clear" w:color="auto" w:fill="FFFFFF"/>
        </w:rPr>
        <w:t>处理针对性强，处理范围小</w:t>
      </w:r>
      <w:r>
        <w:rPr>
          <w:rFonts w:ascii="宋体" w:hAnsi="宋体"/>
          <w:szCs w:val="24"/>
          <w:shd w:val="clear" w:color="auto" w:fill="FFFFFF"/>
        </w:rPr>
        <w:t>,运行费用较高,与药液不反应的恶臭物质较难去除。</w:t>
      </w:r>
      <w:r>
        <w:rPr>
          <w:rFonts w:hint="eastAsia" w:ascii="宋体" w:hAnsi="宋体"/>
          <w:szCs w:val="24"/>
          <w:shd w:val="clear" w:color="auto" w:fill="FFFFFF"/>
        </w:rPr>
        <w:t>2、</w:t>
      </w:r>
      <w:r>
        <w:rPr>
          <w:rFonts w:ascii="宋体" w:hAnsi="宋体"/>
          <w:szCs w:val="24"/>
          <w:shd w:val="clear" w:color="auto" w:fill="FFFFFF"/>
        </w:rPr>
        <w:t>生物除臭法占地面积较大,但投资适中且运行管理简单。</w:t>
      </w:r>
      <w:r>
        <w:rPr>
          <w:rFonts w:hint="eastAsia" w:ascii="宋体" w:hAnsi="宋体"/>
          <w:szCs w:val="24"/>
          <w:shd w:val="clear" w:color="auto" w:fill="FFFFFF"/>
        </w:rPr>
        <w:t>3、活性炭吸附法处理效率高，需定期更换活性炭。4、</w:t>
      </w:r>
      <w:r>
        <w:rPr>
          <w:rFonts w:hint="eastAsia" w:ascii="宋体" w:hAnsi="宋体"/>
          <w:bCs/>
          <w:szCs w:val="24"/>
        </w:rPr>
        <w:t>离子除臭和紫外光解技术对于低浓度废气处理效果显著，且有杀菌效果。</w:t>
      </w:r>
    </w:p>
    <w:p>
      <w:pPr>
        <w:ind w:firstLine="482"/>
        <w:rPr>
          <w:rFonts w:ascii="宋体" w:hAnsi="宋体"/>
          <w:b/>
          <w:bCs/>
          <w:highlight w:val="yellow"/>
        </w:rPr>
      </w:pPr>
      <w:r>
        <w:rPr>
          <w:rFonts w:hint="eastAsia" w:ascii="宋体" w:hAnsi="宋体"/>
          <w:b/>
          <w:bCs/>
        </w:rPr>
        <w:t>综合考虑各种因素，本项目除臭工艺为：碱洗喷淋→活性炭吸附→排放。</w:t>
      </w:r>
    </w:p>
    <w:bookmarkEnd w:id="218"/>
    <w:bookmarkEnd w:id="219"/>
    <w:p>
      <w:pPr>
        <w:widowControl/>
        <w:ind w:firstLine="480"/>
        <w:jc w:val="left"/>
        <w:rPr>
          <w:rFonts w:ascii="宋体" w:hAnsi="宋体" w:cs="宋体"/>
          <w:kern w:val="0"/>
          <w:szCs w:val="24"/>
        </w:rPr>
      </w:pPr>
      <w:bookmarkStart w:id="254" w:name="_Toc13878"/>
      <w:bookmarkStart w:id="255" w:name="_Toc23108"/>
      <w:r>
        <w:rPr>
          <w:rFonts w:hint="eastAsia" w:ascii="宋体" w:hAnsi="宋体" w:cs="宋体"/>
          <w:kern w:val="0"/>
          <w:szCs w:val="24"/>
        </w:rPr>
        <w:t>本项目中废气收集系统管道采用PP材质风管。</w:t>
      </w:r>
    </w:p>
    <w:p>
      <w:pPr>
        <w:pStyle w:val="3"/>
        <w:adjustRightInd w:val="0"/>
        <w:spacing w:beforeLines="0" w:afterLines="0" w:line="240" w:lineRule="auto"/>
        <w:ind w:firstLine="0" w:firstLineChars="0"/>
        <w:jc w:val="left"/>
        <w:textAlignment w:val="baseline"/>
        <w:rPr>
          <w:rFonts w:cs="Times New Roman"/>
          <w:bCs w:val="0"/>
          <w:szCs w:val="32"/>
        </w:rPr>
      </w:pPr>
      <w:bookmarkStart w:id="256" w:name="_Toc73367211"/>
      <w:bookmarkStart w:id="257" w:name="_Toc16906"/>
      <w:r>
        <w:rPr>
          <w:rFonts w:hint="eastAsia" w:cs="Times New Roman"/>
          <w:bCs w:val="0"/>
          <w:szCs w:val="32"/>
        </w:rPr>
        <w:t>四、设备选型</w:t>
      </w:r>
      <w:bookmarkEnd w:id="254"/>
      <w:bookmarkEnd w:id="255"/>
      <w:bookmarkEnd w:id="256"/>
      <w:bookmarkEnd w:id="257"/>
    </w:p>
    <w:p>
      <w:pPr>
        <w:ind w:firstLine="480"/>
        <w:rPr>
          <w:rFonts w:ascii="宋体" w:hAnsi="宋体"/>
        </w:rPr>
      </w:pPr>
      <w:r>
        <w:rPr>
          <w:rFonts w:hint="eastAsia" w:ascii="宋体" w:hAnsi="宋体"/>
        </w:rPr>
        <w:t>选用一套碱洗喷淋塔、一套活性炭除臭设备。处理风量</w:t>
      </w:r>
      <w:r>
        <w:rPr>
          <w:rFonts w:hint="eastAsia" w:ascii="宋体" w:hAnsi="宋体"/>
          <w:bCs/>
        </w:rPr>
        <w:t>4000m</w:t>
      </w:r>
      <w:r>
        <w:rPr>
          <w:rFonts w:hint="eastAsia" w:ascii="宋体" w:hAnsi="宋体"/>
          <w:bCs/>
          <w:vertAlign w:val="superscript"/>
        </w:rPr>
        <w:t>3</w:t>
      </w:r>
      <w:r>
        <w:rPr>
          <w:rFonts w:hint="eastAsia" w:ascii="宋体" w:hAnsi="宋体"/>
          <w:bCs/>
        </w:rPr>
        <w:t>/h，处理后达标排放。</w:t>
      </w:r>
    </w:p>
    <w:p>
      <w:pPr>
        <w:ind w:firstLine="480"/>
      </w:pPr>
      <w:r>
        <w:rPr>
          <w:rFonts w:hint="eastAsia" w:ascii="宋体" w:hAnsi="宋体"/>
        </w:rPr>
        <w:t>除臭系统由除臭主体设备、风机、循环水系统、排污系统和电气自控系统等组成</w:t>
      </w:r>
      <w:r>
        <w:rPr>
          <w:rFonts w:hint="eastAsia" w:ascii="宋体" w:hAnsi="宋体"/>
          <w:szCs w:val="24"/>
        </w:rPr>
        <w:t>。</w:t>
      </w:r>
    </w:p>
    <w:p>
      <w:pPr>
        <w:pStyle w:val="4"/>
        <w:keepNext w:val="0"/>
        <w:keepLines w:val="0"/>
        <w:spacing w:beforeLines="0" w:afterLines="0"/>
        <w:ind w:firstLine="0" w:firstLineChars="0"/>
        <w:jc w:val="left"/>
        <w:rPr>
          <w:rFonts w:cs="Times New Roman"/>
          <w:sz w:val="28"/>
          <w:szCs w:val="28"/>
        </w:rPr>
      </w:pPr>
      <w:bookmarkStart w:id="258" w:name="_Toc73367213"/>
      <w:bookmarkStart w:id="259" w:name="_Toc17859"/>
      <w:bookmarkStart w:id="260" w:name="_Toc13972"/>
      <w:r>
        <w:rPr>
          <w:rFonts w:hint="eastAsia" w:cs="Times New Roman"/>
          <w:sz w:val="28"/>
          <w:szCs w:val="28"/>
        </w:rPr>
        <w:t>6.1 RPAT化学洗涤塔</w:t>
      </w:r>
      <w:bookmarkEnd w:id="258"/>
      <w:bookmarkEnd w:id="259"/>
    </w:p>
    <w:p>
      <w:pPr>
        <w:tabs>
          <w:tab w:val="left" w:pos="6804"/>
        </w:tabs>
        <w:ind w:firstLine="480"/>
        <w:rPr>
          <w:rFonts w:ascii="宋体" w:hAnsi="宋体"/>
        </w:rPr>
      </w:pPr>
      <w:r>
        <w:rPr>
          <w:rFonts w:hint="eastAsia" w:ascii="宋体" w:hAnsi="宋体"/>
        </w:rPr>
        <w:t>塔体采用</w:t>
      </w:r>
      <w:r>
        <w:rPr>
          <w:rFonts w:hint="eastAsia" w:ascii="宋体" w:hAnsi="宋体"/>
          <w:color w:val="000000" w:themeColor="text1"/>
        </w:rPr>
        <w:t>PP</w:t>
      </w:r>
      <w:r>
        <w:rPr>
          <w:rFonts w:hint="eastAsia" w:ascii="宋体" w:hAnsi="宋体"/>
        </w:rPr>
        <w:t>材质，设备底部为凸台水箱。</w:t>
      </w:r>
    </w:p>
    <w:p>
      <w:pPr>
        <w:tabs>
          <w:tab w:val="left" w:pos="6804"/>
        </w:tabs>
        <w:ind w:firstLine="480"/>
        <w:rPr>
          <w:rFonts w:ascii="Arial Unicode MS" w:hAnsi="Arial Unicode MS" w:cs="Arial Unicode MS"/>
        </w:rPr>
      </w:pPr>
      <w:r>
        <w:rPr>
          <w:rFonts w:hint="eastAsia" w:ascii="宋体" w:hAnsi="宋体"/>
        </w:rPr>
        <w:t>设备结构：</w:t>
      </w:r>
    </w:p>
    <w:p>
      <w:pPr>
        <w:tabs>
          <w:tab w:val="left" w:pos="6804"/>
        </w:tabs>
        <w:ind w:firstLine="480"/>
        <w:rPr>
          <w:rFonts w:ascii="宋体" w:hAnsi="宋体" w:cs="宋体"/>
          <w:szCs w:val="24"/>
        </w:rPr>
      </w:pPr>
      <w:r>
        <w:rPr>
          <w:rFonts w:hint="eastAsia" w:ascii="宋体" w:hAnsi="宋体" w:cs="宋体"/>
          <w:szCs w:val="24"/>
        </w:rPr>
        <w:t>1）布水：采用P</w:t>
      </w:r>
      <w:r>
        <w:rPr>
          <w:rFonts w:ascii="宋体" w:hAnsi="宋体" w:cs="宋体"/>
          <w:szCs w:val="24"/>
        </w:rPr>
        <w:t>P</w:t>
      </w:r>
      <w:r>
        <w:rPr>
          <w:rFonts w:hint="eastAsia" w:ascii="宋体" w:hAnsi="宋体" w:cs="宋体"/>
          <w:szCs w:val="24"/>
        </w:rPr>
        <w:t>涡流喷嘴散水喷淋，确保气液充分混合。</w:t>
      </w:r>
    </w:p>
    <w:p>
      <w:pPr>
        <w:ind w:firstLine="480"/>
        <w:rPr>
          <w:rFonts w:ascii="宋体" w:hAnsi="宋体" w:cs="宋体"/>
          <w:b/>
          <w:bCs/>
          <w:szCs w:val="24"/>
        </w:rPr>
      </w:pPr>
      <w:r>
        <w:rPr>
          <w:rFonts w:hint="eastAsia" w:ascii="宋体" w:hAnsi="宋体" w:cs="宋体"/>
          <w:szCs w:val="24"/>
        </w:rPr>
        <w:t>2）卧式离心泵为成套装置，配置带法兰的出水弯管、控制阀门等安全、有效和可靠运行所必须的附件。</w:t>
      </w:r>
    </w:p>
    <w:p>
      <w:pPr>
        <w:tabs>
          <w:tab w:val="left" w:pos="6804"/>
        </w:tabs>
        <w:ind w:firstLine="480"/>
        <w:rPr>
          <w:rFonts w:ascii="宋体" w:hAnsi="宋体" w:cs="宋体"/>
          <w:bCs/>
          <w:color w:val="auto"/>
          <w:szCs w:val="24"/>
        </w:rPr>
      </w:pPr>
      <w:r>
        <w:rPr>
          <w:rFonts w:hint="eastAsia" w:ascii="宋体" w:hAnsi="宋体" w:cs="宋体"/>
          <w:bCs/>
          <w:color w:val="auto"/>
          <w:szCs w:val="24"/>
        </w:rPr>
        <w:t>设备尺寸：φ1.</w:t>
      </w:r>
      <w:r>
        <w:rPr>
          <w:rFonts w:ascii="宋体" w:hAnsi="宋体" w:cs="宋体"/>
          <w:bCs/>
          <w:color w:val="auto"/>
          <w:szCs w:val="24"/>
        </w:rPr>
        <w:t>4</w:t>
      </w:r>
      <w:r>
        <w:rPr>
          <w:rFonts w:hint="eastAsia" w:ascii="宋体" w:hAnsi="宋体" w:cs="宋体"/>
          <w:bCs/>
          <w:color w:val="auto"/>
          <w:szCs w:val="24"/>
        </w:rPr>
        <w:t>×4.5m</w:t>
      </w:r>
    </w:p>
    <w:p>
      <w:pPr>
        <w:tabs>
          <w:tab w:val="left" w:pos="6804"/>
        </w:tabs>
        <w:ind w:firstLine="480"/>
        <w:rPr>
          <w:rFonts w:ascii="宋体" w:hAnsi="宋体" w:cs="宋体"/>
          <w:bCs/>
          <w:szCs w:val="24"/>
        </w:rPr>
      </w:pPr>
      <w:r>
        <w:rPr>
          <w:rFonts w:hint="eastAsia" w:ascii="宋体" w:hAnsi="宋体" w:cs="宋体"/>
          <w:bCs/>
          <w:szCs w:val="24"/>
        </w:rPr>
        <w:t>数量：1座</w:t>
      </w:r>
    </w:p>
    <w:p>
      <w:pPr>
        <w:tabs>
          <w:tab w:val="left" w:pos="6804"/>
        </w:tabs>
        <w:ind w:firstLine="480"/>
      </w:pPr>
      <w:r>
        <w:rPr>
          <w:rFonts w:hint="eastAsia" w:ascii="宋体" w:hAnsi="宋体" w:cs="宋体"/>
          <w:bCs/>
          <w:szCs w:val="24"/>
        </w:rPr>
        <w:t>配套加药装置：</w:t>
      </w:r>
      <w:r>
        <w:rPr>
          <w:rFonts w:ascii="宋体" w:hAnsi="宋体" w:cs="宋体"/>
          <w:bCs/>
          <w:szCs w:val="24"/>
        </w:rPr>
        <w:t>2</w:t>
      </w:r>
      <w:r>
        <w:rPr>
          <w:rFonts w:hint="eastAsia" w:ascii="宋体" w:hAnsi="宋体" w:cs="宋体"/>
          <w:bCs/>
          <w:szCs w:val="24"/>
        </w:rPr>
        <w:t>套</w:t>
      </w:r>
    </w:p>
    <w:p>
      <w:pPr>
        <w:pStyle w:val="4"/>
        <w:keepNext w:val="0"/>
        <w:keepLines w:val="0"/>
        <w:spacing w:beforeLines="0" w:afterLines="0"/>
        <w:ind w:firstLine="0" w:firstLineChars="0"/>
        <w:jc w:val="left"/>
        <w:rPr>
          <w:rFonts w:cs="Times New Roman"/>
          <w:color w:val="000000" w:themeColor="text1"/>
          <w:sz w:val="28"/>
          <w:szCs w:val="28"/>
        </w:rPr>
      </w:pPr>
      <w:bookmarkStart w:id="261" w:name="_Toc73367214"/>
      <w:bookmarkStart w:id="262" w:name="_Toc20816"/>
      <w:r>
        <w:rPr>
          <w:rFonts w:hint="eastAsia" w:cs="Times New Roman"/>
          <w:color w:val="000000" w:themeColor="text1"/>
          <w:sz w:val="28"/>
          <w:szCs w:val="28"/>
        </w:rPr>
        <w:t>6.2活性炭除臭设备</w:t>
      </w:r>
      <w:bookmarkEnd w:id="261"/>
      <w:bookmarkEnd w:id="262"/>
    </w:p>
    <w:p>
      <w:pPr>
        <w:ind w:firstLine="480"/>
        <w:rPr>
          <w:rFonts w:ascii="宋体" w:hAnsi="宋体"/>
          <w:color w:val="000000" w:themeColor="text1"/>
          <w:szCs w:val="24"/>
        </w:rPr>
      </w:pPr>
      <w:r>
        <w:rPr>
          <w:rFonts w:hint="eastAsia" w:ascii="宋体" w:hAnsi="宋体"/>
          <w:color w:val="000000" w:themeColor="text1"/>
          <w:szCs w:val="24"/>
        </w:rPr>
        <w:t>设备型号：</w:t>
      </w:r>
      <w:r>
        <w:rPr>
          <w:rFonts w:hint="eastAsia" w:ascii="宋体" w:hAnsi="宋体"/>
          <w:color w:val="000000" w:themeColor="text1"/>
        </w:rPr>
        <w:t>RBT-4000</w:t>
      </w:r>
    </w:p>
    <w:p>
      <w:pPr>
        <w:widowControl/>
        <w:ind w:firstLine="0" w:firstLineChars="0"/>
        <w:rPr>
          <w:rFonts w:ascii="宋体" w:hAnsi="宋体"/>
          <w:color w:val="000000" w:themeColor="text1"/>
        </w:rPr>
      </w:pPr>
      <w:r>
        <w:rPr>
          <w:rFonts w:hint="eastAsia" w:ascii="宋体" w:hAnsi="宋体"/>
          <w:color w:val="000000" w:themeColor="text1"/>
          <w:szCs w:val="24"/>
        </w:rPr>
        <w:t>总设备尺寸：</w:t>
      </w:r>
      <w:r>
        <w:rPr>
          <w:rFonts w:hint="eastAsia" w:ascii="宋体" w:hAnsi="宋体" w:cs="宋体"/>
          <w:color w:val="000000" w:themeColor="text1"/>
          <w:kern w:val="0"/>
          <w:szCs w:val="21"/>
        </w:rPr>
        <w:t>2</w:t>
      </w:r>
      <w:r>
        <w:rPr>
          <w:rFonts w:hint="eastAsia" w:ascii="宋体" w:hAnsi="宋体"/>
          <w:color w:val="000000" w:themeColor="text1"/>
        </w:rPr>
        <w:t>m×1.</w:t>
      </w:r>
      <w:r>
        <w:rPr>
          <w:rFonts w:ascii="宋体" w:hAnsi="宋体"/>
          <w:color w:val="000000" w:themeColor="text1"/>
        </w:rPr>
        <w:t>5</w:t>
      </w:r>
      <w:r>
        <w:rPr>
          <w:rFonts w:hint="eastAsia" w:ascii="宋体" w:hAnsi="宋体"/>
          <w:color w:val="000000" w:themeColor="text1"/>
        </w:rPr>
        <w:t>m×1.</w:t>
      </w:r>
      <w:r>
        <w:rPr>
          <w:rFonts w:ascii="宋体" w:hAnsi="宋体"/>
          <w:color w:val="000000" w:themeColor="text1"/>
        </w:rPr>
        <w:t>5</w:t>
      </w:r>
      <w:r>
        <w:rPr>
          <w:rFonts w:hint="eastAsia" w:ascii="宋体" w:hAnsi="宋体"/>
          <w:color w:val="000000" w:themeColor="text1"/>
        </w:rPr>
        <w:t>m。</w:t>
      </w:r>
    </w:p>
    <w:bookmarkEnd w:id="260"/>
    <w:p>
      <w:pPr>
        <w:pStyle w:val="4"/>
        <w:keepNext w:val="0"/>
        <w:keepLines w:val="0"/>
        <w:spacing w:beforeLines="0" w:afterLines="0"/>
        <w:ind w:firstLine="0" w:firstLineChars="0"/>
        <w:jc w:val="left"/>
        <w:rPr>
          <w:rFonts w:cs="Times New Roman"/>
          <w:sz w:val="28"/>
          <w:szCs w:val="28"/>
        </w:rPr>
      </w:pPr>
      <w:bookmarkStart w:id="263" w:name="_Toc73367215"/>
      <w:bookmarkStart w:id="264" w:name="_Toc17632"/>
      <w:r>
        <w:rPr>
          <w:rFonts w:hint="eastAsia" w:cs="Times New Roman"/>
          <w:sz w:val="28"/>
          <w:szCs w:val="28"/>
        </w:rPr>
        <w:t>6.3设备风机</w:t>
      </w:r>
      <w:bookmarkEnd w:id="263"/>
      <w:bookmarkEnd w:id="264"/>
    </w:p>
    <w:p>
      <w:pPr>
        <w:ind w:firstLine="480"/>
        <w:rPr>
          <w:rFonts w:ascii="宋体" w:hAnsi="宋体"/>
        </w:rPr>
      </w:pPr>
      <w:r>
        <w:rPr>
          <w:rFonts w:ascii="宋体" w:hAnsi="宋体"/>
        </w:rPr>
        <w:t>额定风量以20</w:t>
      </w:r>
      <w:r>
        <w:rPr>
          <w:rFonts w:hint="eastAsia" w:ascii="宋体" w:hAnsi="宋体"/>
        </w:rPr>
        <w:t>℃</w:t>
      </w:r>
      <w:r>
        <w:rPr>
          <w:rFonts w:ascii="宋体" w:hAnsi="宋体"/>
        </w:rPr>
        <w:t>、相对湿度为65%，1atm为准，风机的风量满足处理臭气量的要求。</w:t>
      </w:r>
    </w:p>
    <w:p>
      <w:pPr>
        <w:ind w:firstLine="480"/>
        <w:rPr>
          <w:rFonts w:ascii="宋体" w:hAnsi="宋体"/>
        </w:rPr>
      </w:pPr>
      <w:r>
        <w:rPr>
          <w:rFonts w:ascii="宋体" w:hAnsi="宋体"/>
        </w:rPr>
        <w:t>风机压力满足以下方面的压力损失：考虑臭气收集风管的管道风压损失，设备的自身风阻和臭气排放管的风压损失。</w:t>
      </w:r>
    </w:p>
    <w:p>
      <w:pPr>
        <w:ind w:firstLine="480"/>
        <w:rPr>
          <w:rFonts w:ascii="宋体" w:hAnsi="宋体"/>
        </w:rPr>
      </w:pPr>
      <w:r>
        <w:rPr>
          <w:rFonts w:ascii="宋体" w:hAnsi="宋体"/>
        </w:rPr>
        <w:t>风机主要</w:t>
      </w:r>
      <w:r>
        <w:rPr>
          <w:rFonts w:hint="eastAsia" w:ascii="宋体" w:hAnsi="宋体"/>
        </w:rPr>
        <w:t>材质为</w:t>
      </w:r>
      <w:r>
        <w:rPr>
          <w:rFonts w:ascii="宋体" w:hAnsi="宋体"/>
        </w:rPr>
        <w:t>玻璃钢材质。</w:t>
      </w:r>
    </w:p>
    <w:p>
      <w:pPr>
        <w:ind w:firstLine="480"/>
        <w:rPr>
          <w:rFonts w:ascii="宋体" w:hAnsi="宋体"/>
        </w:rPr>
      </w:pPr>
      <w:r>
        <w:rPr>
          <w:rFonts w:ascii="宋体" w:hAnsi="宋体"/>
        </w:rPr>
        <w:t>风机采用侧吸式离心风机，以卧式安装，与电机置于同一机座。</w:t>
      </w:r>
    </w:p>
    <w:p>
      <w:pPr>
        <w:ind w:firstLine="480"/>
        <w:rPr>
          <w:rFonts w:ascii="宋体" w:hAnsi="宋体"/>
        </w:rPr>
      </w:pPr>
      <w:r>
        <w:rPr>
          <w:rFonts w:ascii="宋体" w:hAnsi="宋体"/>
        </w:rPr>
        <w:t>轴与壳体贯通处，不泄漏气体。</w:t>
      </w:r>
    </w:p>
    <w:p>
      <w:pPr>
        <w:ind w:firstLine="480"/>
        <w:rPr>
          <w:rFonts w:ascii="宋体" w:hAnsi="宋体"/>
        </w:rPr>
      </w:pPr>
      <w:r>
        <w:rPr>
          <w:rFonts w:hint="eastAsia" w:ascii="宋体" w:hAnsi="宋体"/>
        </w:rPr>
        <w:t>风机</w:t>
      </w:r>
      <w:r>
        <w:rPr>
          <w:rFonts w:ascii="宋体" w:hAnsi="宋体"/>
        </w:rPr>
        <w:t>设置防振垫，隔振效率≥80％</w:t>
      </w:r>
      <w:r>
        <w:rPr>
          <w:rFonts w:hint="eastAsia" w:ascii="宋体" w:hAnsi="宋体"/>
        </w:rPr>
        <w:t>，风机在正常转速下，噪声不超过80dB(A)。</w:t>
      </w:r>
    </w:p>
    <w:p>
      <w:pPr>
        <w:ind w:firstLine="480"/>
        <w:rPr>
          <w:rFonts w:ascii="宋体" w:hAnsi="宋体"/>
        </w:rPr>
      </w:pPr>
      <w:r>
        <w:rPr>
          <w:rFonts w:ascii="宋体" w:hAnsi="宋体"/>
        </w:rPr>
        <w:t>防护等级IP55，电流380V、 3相、50HZ，F级绝缘，B级温升。</w:t>
      </w:r>
    </w:p>
    <w:p>
      <w:pPr>
        <w:ind w:firstLine="482"/>
        <w:rPr>
          <w:rFonts w:ascii="宋体" w:hAnsi="宋体"/>
          <w:b/>
          <w:bCs/>
        </w:rPr>
      </w:pPr>
      <w:r>
        <w:rPr>
          <w:rFonts w:hint="eastAsia" w:ascii="宋体" w:hAnsi="宋体"/>
          <w:b/>
          <w:bCs/>
        </w:rPr>
        <w:t>风量：4000m</w:t>
      </w:r>
      <w:r>
        <w:rPr>
          <w:rFonts w:hint="eastAsia" w:ascii="宋体" w:hAnsi="宋体"/>
          <w:b/>
          <w:bCs/>
          <w:vertAlign w:val="superscript"/>
        </w:rPr>
        <w:t>3</w:t>
      </w:r>
      <w:r>
        <w:rPr>
          <w:rFonts w:hint="eastAsia" w:ascii="宋体" w:hAnsi="宋体"/>
          <w:b/>
          <w:bCs/>
        </w:rPr>
        <w:t>/h</w:t>
      </w:r>
    </w:p>
    <w:p>
      <w:pPr>
        <w:ind w:firstLine="482"/>
        <w:rPr>
          <w:rFonts w:ascii="宋体" w:hAnsi="宋体"/>
          <w:b/>
          <w:bCs/>
        </w:rPr>
      </w:pPr>
      <w:r>
        <w:rPr>
          <w:rFonts w:hint="eastAsia" w:ascii="宋体" w:hAnsi="宋体"/>
          <w:b/>
          <w:bCs/>
        </w:rPr>
        <w:t>风压：2800Pa</w:t>
      </w:r>
    </w:p>
    <w:p>
      <w:pPr>
        <w:ind w:firstLine="482"/>
        <w:rPr>
          <w:rFonts w:ascii="宋体" w:hAnsi="宋体"/>
          <w:b/>
          <w:bCs/>
        </w:rPr>
      </w:pPr>
      <w:r>
        <w:rPr>
          <w:rFonts w:hint="eastAsia" w:ascii="宋体" w:hAnsi="宋体"/>
          <w:b/>
          <w:bCs/>
        </w:rPr>
        <w:t>电机功率：</w:t>
      </w:r>
      <w:r>
        <w:rPr>
          <w:rFonts w:ascii="宋体" w:hAnsi="宋体"/>
          <w:b/>
          <w:bCs/>
        </w:rPr>
        <w:t>7.5</w:t>
      </w:r>
      <w:r>
        <w:rPr>
          <w:rFonts w:hint="eastAsia" w:ascii="宋体" w:hAnsi="宋体"/>
          <w:b/>
          <w:bCs/>
        </w:rPr>
        <w:t>kw</w:t>
      </w:r>
    </w:p>
    <w:p>
      <w:pPr>
        <w:ind w:firstLine="482"/>
        <w:rPr>
          <w:rFonts w:ascii="宋体" w:hAnsi="宋体"/>
          <w:b/>
          <w:bCs/>
        </w:rPr>
      </w:pPr>
      <w:r>
        <w:rPr>
          <w:rFonts w:hint="eastAsia" w:ascii="宋体" w:hAnsi="宋体"/>
          <w:b/>
          <w:bCs/>
        </w:rPr>
        <w:t>数量：1台</w:t>
      </w:r>
    </w:p>
    <w:p>
      <w:pPr>
        <w:pStyle w:val="4"/>
        <w:keepNext w:val="0"/>
        <w:keepLines w:val="0"/>
        <w:spacing w:beforeLines="0" w:afterLines="0"/>
        <w:ind w:firstLine="0" w:firstLineChars="0"/>
        <w:jc w:val="left"/>
        <w:rPr>
          <w:rFonts w:cs="Times New Roman"/>
          <w:sz w:val="28"/>
          <w:szCs w:val="28"/>
        </w:rPr>
      </w:pPr>
      <w:bookmarkStart w:id="265" w:name="_Toc19319"/>
      <w:bookmarkStart w:id="266" w:name="_Toc73367216"/>
      <w:bookmarkStart w:id="267" w:name="_Toc23072"/>
      <w:r>
        <w:rPr>
          <w:rFonts w:hint="eastAsia" w:cs="Times New Roman"/>
          <w:sz w:val="28"/>
          <w:szCs w:val="28"/>
        </w:rPr>
        <w:t>6.4电气及控制系统</w:t>
      </w:r>
      <w:bookmarkEnd w:id="265"/>
      <w:bookmarkEnd w:id="266"/>
      <w:bookmarkEnd w:id="267"/>
    </w:p>
    <w:p>
      <w:pPr>
        <w:ind w:firstLine="480"/>
        <w:rPr>
          <w:rFonts w:ascii="宋体" w:hAnsi="宋体"/>
          <w:color w:val="000000" w:themeColor="text1"/>
        </w:rPr>
      </w:pPr>
      <w:r>
        <w:rPr>
          <w:rFonts w:hint="eastAsia" w:ascii="宋体" w:hAnsi="宋体"/>
          <w:color w:val="000000" w:themeColor="text1"/>
        </w:rPr>
        <w:t>本工程配有就地电控柜、PLC控制系统、就地电控柜至除臭设备的电缆等。</w:t>
      </w:r>
    </w:p>
    <w:p>
      <w:pPr>
        <w:ind w:firstLine="331" w:firstLineChars="150"/>
        <w:rPr>
          <w:rFonts w:ascii="宋体" w:hAnsi="宋体"/>
          <w:b/>
          <w:color w:val="000000" w:themeColor="text1"/>
        </w:rPr>
      </w:pPr>
      <w:r>
        <w:rPr>
          <w:rFonts w:hint="eastAsia" w:ascii="宋体" w:hAnsi="宋体"/>
          <w:b/>
          <w:color w:val="000000" w:themeColor="text1"/>
        </w:rPr>
        <w:t>电气主要设备配置：</w:t>
      </w:r>
    </w:p>
    <w:p>
      <w:pPr>
        <w:numPr>
          <w:ilvl w:val="0"/>
          <w:numId w:val="37"/>
        </w:numPr>
        <w:ind w:left="0" w:firstLine="480"/>
        <w:rPr>
          <w:rFonts w:ascii="宋体" w:hAnsi="宋体"/>
          <w:color w:val="000000" w:themeColor="text1"/>
        </w:rPr>
      </w:pPr>
      <w:r>
        <w:rPr>
          <w:rFonts w:hint="eastAsia" w:ascii="宋体" w:hAnsi="宋体"/>
          <w:color w:val="000000" w:themeColor="text1"/>
        </w:rPr>
        <w:t>PLC采用</w:t>
      </w:r>
      <w:r>
        <w:rPr>
          <w:rFonts w:hint="eastAsia"/>
          <w:color w:val="000000" w:themeColor="text1"/>
          <w:lang w:eastAsia="zh-CN"/>
        </w:rPr>
        <w:t>品牌自选</w:t>
      </w:r>
      <w:r>
        <w:rPr>
          <w:rFonts w:hint="eastAsia" w:ascii="宋体" w:hAnsi="宋体"/>
          <w:color w:val="000000" w:themeColor="text1"/>
        </w:rPr>
        <w:t>。</w:t>
      </w:r>
    </w:p>
    <w:p>
      <w:pPr>
        <w:numPr>
          <w:ilvl w:val="0"/>
          <w:numId w:val="37"/>
        </w:numPr>
        <w:ind w:left="0" w:firstLine="480"/>
        <w:rPr>
          <w:rFonts w:ascii="宋体" w:hAnsi="宋体"/>
          <w:color w:val="000000" w:themeColor="text1"/>
        </w:rPr>
      </w:pPr>
      <w:r>
        <w:rPr>
          <w:rFonts w:hint="eastAsia" w:ascii="宋体" w:hAnsi="宋体"/>
          <w:color w:val="000000" w:themeColor="text1"/>
        </w:rPr>
        <w:t>电气元器件采用</w:t>
      </w:r>
      <w:r>
        <w:rPr>
          <w:rFonts w:hint="eastAsia"/>
          <w:color w:val="000000" w:themeColor="text1"/>
          <w:lang w:eastAsia="zh-CN"/>
        </w:rPr>
        <w:t>品牌自选</w:t>
      </w:r>
      <w:r>
        <w:rPr>
          <w:rFonts w:hint="eastAsia" w:ascii="宋体" w:hAnsi="宋体"/>
          <w:color w:val="000000" w:themeColor="text1"/>
        </w:rPr>
        <w:t>。</w:t>
      </w:r>
    </w:p>
    <w:p>
      <w:pPr>
        <w:numPr>
          <w:ilvl w:val="0"/>
          <w:numId w:val="37"/>
        </w:numPr>
        <w:ind w:left="0" w:firstLine="480"/>
        <w:rPr>
          <w:rFonts w:ascii="宋体" w:hAnsi="宋体"/>
          <w:color w:val="000000" w:themeColor="text1"/>
        </w:rPr>
      </w:pPr>
      <w:r>
        <w:rPr>
          <w:rFonts w:hint="eastAsia" w:ascii="宋体" w:hAnsi="宋体"/>
          <w:color w:val="000000" w:themeColor="text1"/>
        </w:rPr>
        <w:t>电控柜为SS304不锈钢柜。</w:t>
      </w:r>
    </w:p>
    <w:p>
      <w:pPr>
        <w:ind w:firstLine="480"/>
        <w:rPr>
          <w:rFonts w:ascii="宋体" w:hAnsi="宋体"/>
        </w:rPr>
      </w:pPr>
      <w:r>
        <w:rPr>
          <w:rFonts w:hint="eastAsia" w:ascii="宋体" w:hAnsi="宋体"/>
        </w:rPr>
        <w:t>设备采用交流380V电源时，当电源电压、频率在下列范围内变化时，所有电气设备和控制系统能正常工作：交流电源在（＋5％～－10％)Ue、频率50±2％Hz范围内长期运行。</w:t>
      </w:r>
    </w:p>
    <w:p>
      <w:pPr>
        <w:ind w:firstLine="480"/>
        <w:rPr>
          <w:rFonts w:ascii="宋体" w:hAnsi="宋体"/>
        </w:rPr>
      </w:pPr>
      <w:r>
        <w:rPr>
          <w:rFonts w:hint="eastAsia" w:ascii="宋体" w:hAnsi="宋体"/>
        </w:rPr>
        <w:t>负荷分配在设计上尽量使三相负荷保持平衡。三相最大不平衡电流不超过5％。</w:t>
      </w:r>
    </w:p>
    <w:p>
      <w:pPr>
        <w:pStyle w:val="4"/>
        <w:keepNext w:val="0"/>
        <w:keepLines w:val="0"/>
        <w:spacing w:beforeLines="0" w:afterLines="0"/>
        <w:ind w:firstLine="0" w:firstLineChars="0"/>
        <w:jc w:val="left"/>
        <w:rPr>
          <w:rFonts w:cs="Times New Roman"/>
          <w:sz w:val="28"/>
          <w:szCs w:val="28"/>
        </w:rPr>
      </w:pPr>
      <w:bookmarkStart w:id="268" w:name="_Toc26637"/>
      <w:bookmarkStart w:id="269" w:name="_Toc73367217"/>
      <w:bookmarkStart w:id="270" w:name="_Toc29333"/>
      <w:r>
        <w:rPr>
          <w:rFonts w:hint="eastAsia" w:cs="Times New Roman"/>
          <w:sz w:val="28"/>
          <w:szCs w:val="28"/>
        </w:rPr>
        <w:t>6.5排气系统</w:t>
      </w:r>
      <w:bookmarkEnd w:id="268"/>
      <w:bookmarkEnd w:id="269"/>
      <w:bookmarkEnd w:id="270"/>
    </w:p>
    <w:p>
      <w:pPr>
        <w:ind w:firstLine="480"/>
        <w:rPr>
          <w:rFonts w:hAnsi="宋体"/>
        </w:rPr>
      </w:pPr>
      <w:r>
        <w:rPr>
          <w:rFonts w:hint="eastAsia" w:hAnsi="宋体"/>
        </w:rPr>
        <w:t>排气筒采用</w:t>
      </w:r>
      <w:r>
        <w:rPr>
          <w:rFonts w:hint="eastAsia" w:hAnsi="宋体"/>
          <w:lang w:val="en-US" w:eastAsia="zh-CN"/>
        </w:rPr>
        <w:t>PP</w:t>
      </w:r>
      <w:r>
        <w:rPr>
          <w:rFonts w:hint="eastAsia" w:hAnsi="宋体"/>
        </w:rPr>
        <w:t>管，排气筒总高度15米。排气筒支架采用镀锌角铁制作安装，顶部设置避雷针，烟囱支架接的防雷接地，根据现场实际情况安装独立接地装置或接入厂区现有接地网，支架高度13米。</w:t>
      </w:r>
    </w:p>
    <w:p>
      <w:pPr>
        <w:pStyle w:val="3"/>
        <w:adjustRightInd w:val="0"/>
        <w:spacing w:beforeLines="0" w:afterLines="0" w:line="240" w:lineRule="auto"/>
        <w:ind w:firstLine="0" w:firstLineChars="0"/>
        <w:jc w:val="left"/>
        <w:textAlignment w:val="baseline"/>
        <w:rPr>
          <w:rFonts w:cs="Times New Roman"/>
          <w:bCs w:val="0"/>
          <w:szCs w:val="32"/>
        </w:rPr>
      </w:pPr>
      <w:bookmarkStart w:id="271" w:name="_Toc28724"/>
      <w:bookmarkStart w:id="272" w:name="_Toc73367218"/>
      <w:r>
        <w:rPr>
          <w:rFonts w:hint="eastAsia" w:cs="Times New Roman"/>
          <w:bCs w:val="0"/>
          <w:szCs w:val="32"/>
        </w:rPr>
        <w:t>七、公用工程条件与工程界面划分</w:t>
      </w:r>
      <w:bookmarkEnd w:id="271"/>
      <w:bookmarkEnd w:id="272"/>
    </w:p>
    <w:p>
      <w:pPr>
        <w:pStyle w:val="4"/>
        <w:keepNext w:val="0"/>
        <w:keepLines w:val="0"/>
        <w:spacing w:beforeLines="0" w:afterLines="0"/>
        <w:ind w:firstLine="0" w:firstLineChars="0"/>
        <w:jc w:val="left"/>
        <w:rPr>
          <w:rFonts w:cs="Times New Roman"/>
          <w:sz w:val="28"/>
          <w:szCs w:val="28"/>
        </w:rPr>
      </w:pPr>
      <w:bookmarkStart w:id="273" w:name="_Toc391966673"/>
      <w:bookmarkStart w:id="274" w:name="_Toc73367219"/>
      <w:bookmarkStart w:id="275" w:name="_Toc4483"/>
      <w:r>
        <w:rPr>
          <w:rFonts w:hint="eastAsia" w:cs="Times New Roman"/>
          <w:sz w:val="28"/>
          <w:szCs w:val="28"/>
        </w:rPr>
        <w:t>7.1公用工程条件</w:t>
      </w:r>
      <w:bookmarkEnd w:id="273"/>
      <w:bookmarkEnd w:id="274"/>
      <w:bookmarkEnd w:id="275"/>
    </w:p>
    <w:p>
      <w:pPr>
        <w:ind w:right="191" w:rightChars="87" w:firstLine="482"/>
        <w:rPr>
          <w:rFonts w:ascii="宋体" w:hAnsi="宋体"/>
          <w:b/>
          <w:bCs/>
          <w:kern w:val="0"/>
          <w:szCs w:val="24"/>
        </w:rPr>
      </w:pPr>
      <w:r>
        <w:rPr>
          <w:rFonts w:hint="eastAsia" w:ascii="宋体" w:hAnsi="宋体"/>
          <w:b/>
          <w:bCs/>
          <w:kern w:val="0"/>
          <w:szCs w:val="24"/>
        </w:rPr>
        <w:t>（1）电源</w:t>
      </w:r>
    </w:p>
    <w:p>
      <w:pPr>
        <w:ind w:firstLine="480"/>
        <w:rPr>
          <w:rFonts w:ascii="宋体" w:hAnsi="宋体"/>
          <w:bCs/>
          <w:szCs w:val="24"/>
        </w:rPr>
      </w:pPr>
      <w:r>
        <w:rPr>
          <w:rFonts w:hint="eastAsia" w:ascii="宋体" w:hAnsi="宋体"/>
          <w:bCs/>
          <w:szCs w:val="24"/>
        </w:rPr>
        <w:t>低压电源：</w:t>
      </w:r>
      <w:r>
        <w:rPr>
          <w:rFonts w:ascii="宋体" w:hAnsi="宋体"/>
          <w:bCs/>
          <w:szCs w:val="24"/>
        </w:rPr>
        <w:t>AC380V</w:t>
      </w:r>
      <w:r>
        <w:rPr>
          <w:rFonts w:hint="eastAsia" w:ascii="宋体" w:hAnsi="宋体"/>
          <w:bCs/>
          <w:szCs w:val="24"/>
        </w:rPr>
        <w:t>±5</w:t>
      </w:r>
      <w:r>
        <w:rPr>
          <w:rFonts w:ascii="宋体" w:hAnsi="宋体"/>
          <w:bCs/>
          <w:szCs w:val="24"/>
        </w:rPr>
        <w:t>%</w:t>
      </w:r>
      <w:r>
        <w:rPr>
          <w:rFonts w:hint="eastAsia" w:ascii="宋体" w:hAnsi="宋体"/>
          <w:bCs/>
          <w:szCs w:val="24"/>
        </w:rPr>
        <w:t>×</w:t>
      </w:r>
      <w:r>
        <w:rPr>
          <w:rFonts w:ascii="宋体" w:hAnsi="宋体"/>
          <w:bCs/>
          <w:szCs w:val="24"/>
        </w:rPr>
        <w:t>3</w:t>
      </w:r>
      <w:r>
        <w:rPr>
          <w:rFonts w:hint="eastAsia" w:ascii="宋体" w:hAnsi="宋体"/>
          <w:bCs/>
          <w:szCs w:val="24"/>
        </w:rPr>
        <w:t>相×</w:t>
      </w:r>
      <w:r>
        <w:rPr>
          <w:rFonts w:ascii="宋体" w:hAnsi="宋体"/>
          <w:bCs/>
          <w:szCs w:val="24"/>
        </w:rPr>
        <w:t>4</w:t>
      </w:r>
      <w:r>
        <w:rPr>
          <w:rFonts w:hint="eastAsia" w:ascii="宋体" w:hAnsi="宋体"/>
          <w:bCs/>
          <w:szCs w:val="24"/>
        </w:rPr>
        <w:t>线制</w:t>
      </w:r>
    </w:p>
    <w:p>
      <w:pPr>
        <w:ind w:firstLine="480"/>
        <w:rPr>
          <w:rFonts w:ascii="宋体" w:hAnsi="宋体"/>
          <w:bCs/>
          <w:szCs w:val="24"/>
        </w:rPr>
      </w:pPr>
      <w:r>
        <w:rPr>
          <w:rFonts w:hint="eastAsia" w:ascii="宋体" w:hAnsi="宋体"/>
          <w:bCs/>
          <w:szCs w:val="24"/>
        </w:rPr>
        <w:t>频率</w:t>
      </w:r>
      <w:r>
        <w:rPr>
          <w:rFonts w:ascii="宋体" w:hAnsi="宋体"/>
          <w:bCs/>
          <w:szCs w:val="24"/>
        </w:rPr>
        <w:t>: 50H</w:t>
      </w:r>
      <w:r>
        <w:rPr>
          <w:rFonts w:hint="eastAsia" w:ascii="宋体" w:hAnsi="宋体"/>
          <w:bCs/>
          <w:szCs w:val="24"/>
        </w:rPr>
        <w:t>z±</w:t>
      </w:r>
      <w:r>
        <w:rPr>
          <w:rFonts w:ascii="宋体" w:hAnsi="宋体"/>
          <w:bCs/>
          <w:szCs w:val="24"/>
        </w:rPr>
        <w:t>0.5H</w:t>
      </w:r>
      <w:r>
        <w:rPr>
          <w:rFonts w:hint="eastAsia" w:ascii="宋体" w:hAnsi="宋体"/>
          <w:bCs/>
          <w:szCs w:val="24"/>
        </w:rPr>
        <w:t>z</w:t>
      </w:r>
    </w:p>
    <w:p>
      <w:pPr>
        <w:ind w:right="191" w:rightChars="87" w:firstLine="482"/>
        <w:rPr>
          <w:rFonts w:ascii="宋体" w:hAnsi="宋体"/>
          <w:b/>
          <w:bCs/>
          <w:kern w:val="0"/>
          <w:szCs w:val="24"/>
        </w:rPr>
      </w:pPr>
      <w:r>
        <w:rPr>
          <w:rFonts w:hint="eastAsia" w:ascii="宋体" w:hAnsi="宋体"/>
          <w:b/>
          <w:bCs/>
          <w:kern w:val="0"/>
          <w:szCs w:val="24"/>
        </w:rPr>
        <w:t>（2）供水</w:t>
      </w:r>
    </w:p>
    <w:p>
      <w:pPr>
        <w:ind w:firstLine="480"/>
        <w:rPr>
          <w:rFonts w:ascii="宋体" w:hAnsi="宋体"/>
          <w:bCs/>
          <w:szCs w:val="24"/>
        </w:rPr>
      </w:pPr>
      <w:r>
        <w:rPr>
          <w:rFonts w:hint="eastAsia" w:ascii="宋体" w:hAnsi="宋体"/>
          <w:bCs/>
          <w:szCs w:val="24"/>
        </w:rPr>
        <w:t>供水类型：自来水/中水/二沉池出水（若采用二沉池出水作为供水水源，则要求水源COD小于80mg/l）</w:t>
      </w:r>
    </w:p>
    <w:p>
      <w:pPr>
        <w:ind w:firstLine="480"/>
        <w:rPr>
          <w:rFonts w:ascii="宋体" w:hAnsi="宋体"/>
          <w:bCs/>
          <w:szCs w:val="24"/>
        </w:rPr>
      </w:pPr>
      <w:r>
        <w:rPr>
          <w:rFonts w:hint="eastAsia" w:ascii="宋体" w:hAnsi="宋体"/>
          <w:bCs/>
          <w:szCs w:val="24"/>
        </w:rPr>
        <w:t>供水压力：</w:t>
      </w:r>
      <w:r>
        <w:rPr>
          <w:rFonts w:ascii="宋体" w:hAnsi="宋体"/>
          <w:bCs/>
          <w:szCs w:val="24"/>
        </w:rPr>
        <w:t>0.</w:t>
      </w:r>
      <w:r>
        <w:rPr>
          <w:rFonts w:hint="eastAsia" w:ascii="宋体" w:hAnsi="宋体"/>
          <w:bCs/>
          <w:szCs w:val="24"/>
        </w:rPr>
        <w:t>4</w:t>
      </w:r>
      <w:r>
        <w:rPr>
          <w:rFonts w:ascii="宋体" w:hAnsi="宋体"/>
          <w:bCs/>
          <w:szCs w:val="24"/>
        </w:rPr>
        <w:t>MPa</w:t>
      </w:r>
    </w:p>
    <w:p>
      <w:pPr>
        <w:ind w:firstLine="480"/>
        <w:rPr>
          <w:rFonts w:ascii="宋体" w:hAnsi="宋体"/>
          <w:bCs/>
          <w:szCs w:val="24"/>
        </w:rPr>
      </w:pPr>
      <w:r>
        <w:rPr>
          <w:rFonts w:hint="eastAsia" w:ascii="宋体" w:hAnsi="宋体"/>
          <w:bCs/>
          <w:szCs w:val="24"/>
        </w:rPr>
        <w:t>供水管线管径：DN32</w:t>
      </w:r>
    </w:p>
    <w:p>
      <w:pPr>
        <w:ind w:firstLine="480"/>
        <w:rPr>
          <w:rFonts w:ascii="宋体" w:hAnsi="宋体"/>
          <w:bCs/>
          <w:szCs w:val="24"/>
        </w:rPr>
      </w:pPr>
      <w:r>
        <w:rPr>
          <w:rFonts w:hint="eastAsia" w:ascii="宋体" w:hAnsi="宋体"/>
          <w:bCs/>
          <w:szCs w:val="24"/>
        </w:rPr>
        <w:t>温供水度：常温</w:t>
      </w:r>
    </w:p>
    <w:p>
      <w:pPr>
        <w:ind w:right="191" w:rightChars="87" w:firstLine="482"/>
        <w:rPr>
          <w:rFonts w:ascii="宋体" w:hAnsi="宋体"/>
          <w:b/>
          <w:bCs/>
          <w:kern w:val="0"/>
          <w:szCs w:val="24"/>
        </w:rPr>
      </w:pPr>
      <w:r>
        <w:rPr>
          <w:rFonts w:hint="eastAsia" w:ascii="宋体" w:hAnsi="宋体"/>
          <w:b/>
          <w:bCs/>
          <w:kern w:val="0"/>
          <w:szCs w:val="24"/>
        </w:rPr>
        <w:t xml:space="preserve">（3）排水 </w:t>
      </w:r>
    </w:p>
    <w:p>
      <w:pPr>
        <w:ind w:firstLine="480"/>
        <w:rPr>
          <w:rFonts w:ascii="宋体" w:hAnsi="宋体"/>
          <w:bCs/>
          <w:szCs w:val="24"/>
        </w:rPr>
      </w:pPr>
      <w:r>
        <w:rPr>
          <w:rFonts w:hint="eastAsia" w:ascii="宋体" w:hAnsi="宋体"/>
          <w:bCs/>
          <w:szCs w:val="24"/>
        </w:rPr>
        <w:t>排水来源：生物滤池水箱内排水</w:t>
      </w:r>
    </w:p>
    <w:p>
      <w:pPr>
        <w:ind w:firstLine="480"/>
        <w:rPr>
          <w:rFonts w:ascii="宋体" w:hAnsi="宋体"/>
          <w:bCs/>
          <w:szCs w:val="24"/>
        </w:rPr>
      </w:pPr>
      <w:r>
        <w:rPr>
          <w:rFonts w:hint="eastAsia" w:ascii="宋体" w:hAnsi="宋体"/>
          <w:bCs/>
          <w:szCs w:val="24"/>
        </w:rPr>
        <w:t>排水管线总管径： DN65</w:t>
      </w:r>
    </w:p>
    <w:p>
      <w:pPr>
        <w:ind w:firstLine="480"/>
        <w:rPr>
          <w:rFonts w:ascii="宋体" w:hAnsi="宋体"/>
          <w:bCs/>
          <w:szCs w:val="24"/>
        </w:rPr>
      </w:pPr>
      <w:r>
        <w:rPr>
          <w:rFonts w:hint="eastAsia" w:ascii="宋体" w:hAnsi="宋体"/>
          <w:bCs/>
          <w:szCs w:val="24"/>
        </w:rPr>
        <w:t>排水去向：建议为集水井或附近水池</w:t>
      </w:r>
    </w:p>
    <w:p>
      <w:pPr>
        <w:ind w:right="191" w:rightChars="87" w:firstLine="482"/>
        <w:rPr>
          <w:rFonts w:ascii="宋体" w:hAnsi="宋体"/>
          <w:b/>
          <w:bCs/>
          <w:kern w:val="0"/>
          <w:szCs w:val="24"/>
        </w:rPr>
      </w:pPr>
      <w:r>
        <w:rPr>
          <w:rFonts w:hint="eastAsia" w:ascii="宋体" w:hAnsi="宋体"/>
          <w:b/>
          <w:bCs/>
          <w:kern w:val="0"/>
          <w:szCs w:val="24"/>
        </w:rPr>
        <w:t>（4）蒸汽</w:t>
      </w:r>
    </w:p>
    <w:p>
      <w:pPr>
        <w:ind w:firstLine="480"/>
        <w:rPr>
          <w:rFonts w:ascii="宋体" w:hAnsi="宋体"/>
          <w:bCs/>
          <w:szCs w:val="24"/>
        </w:rPr>
      </w:pPr>
      <w:r>
        <w:rPr>
          <w:rFonts w:hint="eastAsia" w:ascii="宋体" w:hAnsi="宋体"/>
          <w:bCs/>
          <w:szCs w:val="24"/>
        </w:rPr>
        <w:t>蒸汽压力：0.6MPa</w:t>
      </w:r>
    </w:p>
    <w:p>
      <w:pPr>
        <w:ind w:firstLine="480"/>
        <w:rPr>
          <w:rFonts w:ascii="宋体" w:hAnsi="宋体"/>
          <w:bCs/>
          <w:szCs w:val="24"/>
        </w:rPr>
      </w:pPr>
      <w:r>
        <w:rPr>
          <w:rFonts w:hint="eastAsia" w:ascii="宋体" w:hAnsi="宋体"/>
          <w:bCs/>
          <w:szCs w:val="24"/>
        </w:rPr>
        <w:t>蒸汽温度：200℃</w:t>
      </w:r>
    </w:p>
    <w:p>
      <w:pPr>
        <w:pStyle w:val="4"/>
        <w:keepNext w:val="0"/>
        <w:keepLines w:val="0"/>
        <w:spacing w:beforeLines="0" w:afterLines="0"/>
        <w:ind w:firstLine="0" w:firstLineChars="0"/>
        <w:jc w:val="left"/>
        <w:rPr>
          <w:rFonts w:cs="Times New Roman"/>
          <w:sz w:val="28"/>
          <w:szCs w:val="28"/>
        </w:rPr>
      </w:pPr>
      <w:bookmarkStart w:id="276" w:name="_Toc73367220"/>
      <w:bookmarkStart w:id="277" w:name="_Toc28730"/>
      <w:r>
        <w:rPr>
          <w:rFonts w:hint="eastAsia" w:cs="Times New Roman"/>
          <w:sz w:val="28"/>
          <w:szCs w:val="28"/>
        </w:rPr>
        <w:t>7.2工程界面划分</w:t>
      </w:r>
      <w:bookmarkEnd w:id="276"/>
      <w:bookmarkEnd w:id="277"/>
    </w:p>
    <w:p>
      <w:pPr>
        <w:ind w:firstLine="480"/>
        <w:rPr>
          <w:rFonts w:ascii="宋体" w:hAnsi="宋体"/>
          <w:bCs/>
          <w:szCs w:val="24"/>
        </w:rPr>
      </w:pPr>
      <w:r>
        <w:rPr>
          <w:rFonts w:hint="eastAsia" w:ascii="宋体" w:hAnsi="宋体"/>
          <w:bCs/>
          <w:szCs w:val="24"/>
        </w:rPr>
        <w:t>（1）除臭系统总进线电缆，由甲方负责送至乙方设备电气柜内（以卖方提供设备布置图为准），电缆长度需满足乙方柜内接线长度。除臭系统电气柜至除臭系统内各机泵设备、仪表等电缆由乙方自行供货和安装。</w:t>
      </w:r>
    </w:p>
    <w:p>
      <w:pPr>
        <w:ind w:firstLine="480"/>
        <w:rPr>
          <w:rFonts w:ascii="宋体" w:hAnsi="宋体"/>
          <w:bCs/>
          <w:szCs w:val="24"/>
        </w:rPr>
      </w:pPr>
      <w:r>
        <w:rPr>
          <w:rFonts w:hint="eastAsia" w:ascii="宋体" w:hAnsi="宋体"/>
          <w:bCs/>
          <w:szCs w:val="24"/>
        </w:rPr>
        <w:t>（2）除臭系统供水、排水管线、蒸汽管线由甲方送至除臭设备基础外1米范围内对接点处（以卖方提供条件图为准），除臭设备基础范围内的供排水管线及蒸汽管线由乙方自行供货和安装。</w:t>
      </w:r>
    </w:p>
    <w:p>
      <w:pPr>
        <w:ind w:firstLine="480"/>
        <w:rPr>
          <w:rFonts w:ascii="宋体" w:hAnsi="宋体"/>
          <w:bCs/>
          <w:szCs w:val="24"/>
        </w:rPr>
      </w:pPr>
      <w:r>
        <w:rPr>
          <w:rFonts w:hint="eastAsia" w:ascii="宋体" w:hAnsi="宋体"/>
          <w:bCs/>
          <w:szCs w:val="24"/>
        </w:rPr>
        <w:t>（3）设备基础（包括基础预埋件）、风管支墩等所有土建部分由甲方负责。</w:t>
      </w:r>
    </w:p>
    <w:p>
      <w:pPr>
        <w:pStyle w:val="3"/>
        <w:adjustRightInd w:val="0"/>
        <w:spacing w:beforeLines="0" w:afterLines="0" w:line="240" w:lineRule="auto"/>
        <w:ind w:firstLine="0" w:firstLineChars="0"/>
        <w:jc w:val="left"/>
        <w:textAlignment w:val="baseline"/>
        <w:rPr>
          <w:rFonts w:cs="Times New Roman"/>
          <w:bCs w:val="0"/>
          <w:szCs w:val="32"/>
        </w:rPr>
      </w:pPr>
      <w:bookmarkStart w:id="278" w:name="_Toc2400"/>
      <w:bookmarkStart w:id="279" w:name="_Toc73367221"/>
      <w:r>
        <w:rPr>
          <w:rFonts w:hint="eastAsia" w:cs="Times New Roman"/>
          <w:bCs w:val="0"/>
          <w:szCs w:val="32"/>
        </w:rPr>
        <w:t>八、除臭系统配置清单</w:t>
      </w:r>
      <w:bookmarkEnd w:id="278"/>
      <w:bookmarkEnd w:id="279"/>
    </w:p>
    <w:tbl>
      <w:tblPr>
        <w:tblStyle w:val="15"/>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3568"/>
        <w:gridCol w:w="720"/>
        <w:gridCol w:w="917"/>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46" w:type="dxa"/>
            <w:vAlign w:val="center"/>
          </w:tcPr>
          <w:p>
            <w:pPr>
              <w:widowControl/>
              <w:ind w:firstLine="0" w:firstLineChars="0"/>
              <w:jc w:val="center"/>
              <w:rPr>
                <w:rFonts w:ascii="宋体" w:hAnsi="宋体" w:cs="宋体"/>
                <w:b/>
                <w:kern w:val="0"/>
                <w:szCs w:val="21"/>
              </w:rPr>
            </w:pPr>
            <w:r>
              <w:rPr>
                <w:rFonts w:hint="eastAsia" w:ascii="宋体" w:hAnsi="宋体" w:cs="宋体"/>
                <w:b/>
                <w:kern w:val="0"/>
                <w:szCs w:val="21"/>
              </w:rPr>
              <w:t>序号</w:t>
            </w:r>
          </w:p>
        </w:tc>
        <w:tc>
          <w:tcPr>
            <w:tcW w:w="2268" w:type="dxa"/>
            <w:vAlign w:val="center"/>
          </w:tcPr>
          <w:p>
            <w:pPr>
              <w:widowControl/>
              <w:ind w:firstLine="0" w:firstLineChars="0"/>
              <w:jc w:val="center"/>
              <w:rPr>
                <w:rFonts w:ascii="宋体" w:hAnsi="宋体" w:cs="宋体"/>
                <w:b/>
                <w:kern w:val="0"/>
                <w:szCs w:val="21"/>
              </w:rPr>
            </w:pPr>
            <w:r>
              <w:rPr>
                <w:rFonts w:hint="eastAsia" w:ascii="宋体" w:hAnsi="宋体" w:cs="宋体"/>
                <w:b/>
                <w:kern w:val="0"/>
                <w:szCs w:val="21"/>
              </w:rPr>
              <w:t>名称</w:t>
            </w:r>
          </w:p>
        </w:tc>
        <w:tc>
          <w:tcPr>
            <w:tcW w:w="3568" w:type="dxa"/>
            <w:vAlign w:val="center"/>
          </w:tcPr>
          <w:p>
            <w:pPr>
              <w:widowControl/>
              <w:ind w:firstLine="0" w:firstLineChars="0"/>
              <w:jc w:val="center"/>
              <w:rPr>
                <w:rFonts w:ascii="宋体" w:hAnsi="宋体" w:cs="宋体"/>
                <w:b/>
                <w:kern w:val="0"/>
                <w:szCs w:val="21"/>
              </w:rPr>
            </w:pPr>
            <w:r>
              <w:rPr>
                <w:rFonts w:hint="eastAsia" w:ascii="宋体" w:hAnsi="宋体" w:cs="宋体"/>
                <w:b/>
                <w:kern w:val="0"/>
                <w:szCs w:val="21"/>
              </w:rPr>
              <w:t>型号规格</w:t>
            </w:r>
          </w:p>
        </w:tc>
        <w:tc>
          <w:tcPr>
            <w:tcW w:w="720" w:type="dxa"/>
            <w:vAlign w:val="center"/>
          </w:tcPr>
          <w:p>
            <w:pPr>
              <w:widowControl/>
              <w:ind w:firstLine="0" w:firstLineChars="0"/>
              <w:jc w:val="center"/>
              <w:rPr>
                <w:rFonts w:ascii="宋体" w:hAnsi="宋体" w:cs="宋体"/>
                <w:b/>
                <w:kern w:val="0"/>
                <w:szCs w:val="21"/>
              </w:rPr>
            </w:pPr>
            <w:r>
              <w:rPr>
                <w:rFonts w:hint="eastAsia" w:ascii="宋体" w:hAnsi="宋体" w:cs="宋体"/>
                <w:b/>
                <w:kern w:val="0"/>
                <w:szCs w:val="21"/>
              </w:rPr>
              <w:t>单位</w:t>
            </w:r>
          </w:p>
        </w:tc>
        <w:tc>
          <w:tcPr>
            <w:tcW w:w="917" w:type="dxa"/>
            <w:vAlign w:val="center"/>
          </w:tcPr>
          <w:p>
            <w:pPr>
              <w:widowControl/>
              <w:ind w:firstLine="0" w:firstLineChars="0"/>
              <w:jc w:val="center"/>
              <w:rPr>
                <w:rFonts w:ascii="宋体" w:hAnsi="宋体" w:cs="宋体"/>
                <w:b/>
                <w:kern w:val="0"/>
                <w:szCs w:val="21"/>
              </w:rPr>
            </w:pPr>
            <w:r>
              <w:rPr>
                <w:rFonts w:hint="eastAsia" w:ascii="宋体" w:hAnsi="宋体" w:cs="宋体"/>
                <w:b/>
                <w:kern w:val="0"/>
                <w:szCs w:val="21"/>
              </w:rPr>
              <w:t>数量</w:t>
            </w:r>
          </w:p>
        </w:tc>
        <w:tc>
          <w:tcPr>
            <w:tcW w:w="1844" w:type="dxa"/>
            <w:vAlign w:val="center"/>
          </w:tcPr>
          <w:p>
            <w:pPr>
              <w:widowControl/>
              <w:ind w:firstLine="0" w:firstLineChars="0"/>
              <w:jc w:val="center"/>
              <w:rPr>
                <w:rFonts w:ascii="宋体" w:hAnsi="宋体" w:cs="宋体"/>
                <w:b/>
                <w:kern w:val="0"/>
                <w:szCs w:val="21"/>
              </w:rPr>
            </w:pPr>
            <w:r>
              <w:rPr>
                <w:rFonts w:hint="eastAsia" w:ascii="宋体" w:hAnsi="宋体" w:cs="宋体"/>
                <w:b/>
                <w:kern w:val="0"/>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shd w:val="clear" w:color="auto" w:fill="FFFFFF"/>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szCs w:val="24"/>
              </w:rPr>
              <w:t>1</w:t>
            </w:r>
          </w:p>
        </w:tc>
        <w:tc>
          <w:tcPr>
            <w:tcW w:w="2268" w:type="dxa"/>
            <w:shd w:val="clear" w:color="auto" w:fill="FFFFFF"/>
            <w:vAlign w:val="center"/>
          </w:tcPr>
          <w:p>
            <w:pPr>
              <w:ind w:firstLine="0" w:firstLineChars="0"/>
              <w:rPr>
                <w:rFonts w:ascii="宋体" w:hAnsi="宋体"/>
                <w:color w:val="000000" w:themeColor="text1"/>
              </w:rPr>
            </w:pPr>
            <w:r>
              <w:rPr>
                <w:rFonts w:hint="eastAsia" w:ascii="宋体" w:hAnsi="宋体" w:cs="宋体"/>
                <w:bCs/>
                <w:color w:val="000000" w:themeColor="text1"/>
                <w:szCs w:val="24"/>
              </w:rPr>
              <w:t>碱洗喷淋塔（含喷淋系统、洗涤加湿填料、填料支撑等）</w:t>
            </w:r>
          </w:p>
        </w:tc>
        <w:tc>
          <w:tcPr>
            <w:tcW w:w="3568" w:type="dxa"/>
            <w:shd w:val="clear" w:color="auto" w:fill="FFFFFF"/>
            <w:vAlign w:val="center"/>
          </w:tcPr>
          <w:p>
            <w:pPr>
              <w:widowControl/>
              <w:ind w:firstLine="0" w:firstLineChars="0"/>
              <w:rPr>
                <w:color w:val="000000" w:themeColor="text1"/>
              </w:rPr>
            </w:pPr>
            <w:r>
              <w:rPr>
                <w:rFonts w:hint="eastAsia"/>
                <w:color w:val="000000" w:themeColor="text1"/>
              </w:rPr>
              <w:t>处理气量：4000</w:t>
            </w:r>
            <w:r>
              <w:rPr>
                <w:color w:val="000000" w:themeColor="text1"/>
              </w:rPr>
              <w:t>m</w:t>
            </w:r>
            <w:r>
              <w:rPr>
                <w:color w:val="000000" w:themeColor="text1"/>
                <w:vertAlign w:val="superscript"/>
              </w:rPr>
              <w:t>3</w:t>
            </w:r>
            <w:r>
              <w:rPr>
                <w:color w:val="000000" w:themeColor="text1"/>
              </w:rPr>
              <w:t>/h</w:t>
            </w:r>
          </w:p>
          <w:p>
            <w:pPr>
              <w:widowControl/>
              <w:ind w:firstLine="0" w:firstLineChars="0"/>
              <w:rPr>
                <w:color w:val="000000" w:themeColor="text1"/>
              </w:rPr>
            </w:pPr>
            <w:r>
              <w:rPr>
                <w:rFonts w:hint="eastAsia"/>
                <w:color w:val="000000" w:themeColor="text1"/>
              </w:rPr>
              <w:t>规格：φ1.</w:t>
            </w:r>
            <w:r>
              <w:rPr>
                <w:color w:val="000000" w:themeColor="text1"/>
              </w:rPr>
              <w:t>4</w:t>
            </w:r>
            <w:r>
              <w:rPr>
                <w:rFonts w:hint="eastAsia"/>
                <w:color w:val="000000" w:themeColor="text1"/>
              </w:rPr>
              <w:t>m×4.5m</w:t>
            </w:r>
          </w:p>
          <w:p>
            <w:pPr>
              <w:widowControl/>
              <w:ind w:firstLine="0" w:firstLineChars="0"/>
              <w:rPr>
                <w:rFonts w:hint="default" w:eastAsia="宋体"/>
                <w:color w:val="000000" w:themeColor="text1"/>
                <w:lang w:val="en-US" w:eastAsia="zh-CN"/>
              </w:rPr>
            </w:pPr>
            <w:r>
              <w:rPr>
                <w:rFonts w:hint="eastAsia"/>
                <w:color w:val="000000" w:themeColor="text1"/>
              </w:rPr>
              <w:t>材质：PP</w:t>
            </w:r>
          </w:p>
          <w:p>
            <w:pPr>
              <w:widowControl/>
              <w:ind w:firstLine="0" w:firstLineChars="0"/>
              <w:rPr>
                <w:color w:val="000000" w:themeColor="text1"/>
              </w:rPr>
            </w:pPr>
            <w:r>
              <w:rPr>
                <w:rFonts w:hint="eastAsia"/>
                <w:color w:val="000000" w:themeColor="text1"/>
              </w:rPr>
              <w:t>含凸台水箱</w:t>
            </w:r>
          </w:p>
        </w:tc>
        <w:tc>
          <w:tcPr>
            <w:tcW w:w="720" w:type="dxa"/>
            <w:shd w:val="clear" w:color="auto" w:fill="FFFFFF"/>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szCs w:val="24"/>
              </w:rPr>
              <w:t>套</w:t>
            </w:r>
          </w:p>
        </w:tc>
        <w:tc>
          <w:tcPr>
            <w:tcW w:w="917" w:type="dxa"/>
            <w:shd w:val="clear" w:color="auto" w:fill="FFFFFF"/>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szCs w:val="24"/>
              </w:rPr>
              <w:t>1</w:t>
            </w:r>
          </w:p>
        </w:tc>
        <w:tc>
          <w:tcPr>
            <w:tcW w:w="1844" w:type="dxa"/>
            <w:shd w:val="clear" w:color="auto" w:fill="FFFFFF"/>
            <w:vAlign w:val="center"/>
          </w:tcPr>
          <w:p>
            <w:pPr>
              <w:autoSpaceDN w:val="0"/>
              <w:ind w:firstLine="0" w:firstLineChars="0"/>
              <w:jc w:val="center"/>
              <w:textAlignment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shd w:val="clear" w:color="auto" w:fill="FFFFFF"/>
            <w:vAlign w:val="center"/>
          </w:tcPr>
          <w:p>
            <w:pPr>
              <w:autoSpaceDN w:val="0"/>
              <w:ind w:firstLine="0" w:firstLineChars="0"/>
              <w:jc w:val="center"/>
              <w:textAlignment w:val="center"/>
              <w:rPr>
                <w:rFonts w:ascii="宋体" w:hAnsi="宋体" w:cs="宋体"/>
                <w:kern w:val="0"/>
                <w:szCs w:val="21"/>
              </w:rPr>
            </w:pPr>
            <w:r>
              <w:rPr>
                <w:rFonts w:hint="eastAsia" w:ascii="宋体" w:hAnsi="宋体"/>
                <w:color w:val="000000"/>
              </w:rPr>
              <w:t>1.1</w:t>
            </w:r>
          </w:p>
        </w:tc>
        <w:tc>
          <w:tcPr>
            <w:tcW w:w="2268" w:type="dxa"/>
            <w:shd w:val="clear" w:color="auto" w:fill="FFFFFF"/>
            <w:vAlign w:val="center"/>
          </w:tcPr>
          <w:p>
            <w:pPr>
              <w:ind w:firstLine="0" w:firstLineChars="0"/>
              <w:jc w:val="center"/>
              <w:rPr>
                <w:rFonts w:ascii="宋体" w:hAnsi="宋体"/>
              </w:rPr>
            </w:pPr>
            <w:r>
              <w:rPr>
                <w:rFonts w:hint="eastAsia" w:ascii="宋体" w:hAnsi="宋体" w:cs="宋体"/>
                <w:bCs/>
                <w:szCs w:val="24"/>
              </w:rPr>
              <w:t>加药系统</w:t>
            </w:r>
          </w:p>
        </w:tc>
        <w:tc>
          <w:tcPr>
            <w:tcW w:w="3568" w:type="dxa"/>
            <w:shd w:val="clear" w:color="auto" w:fill="FFFFFF"/>
            <w:vAlign w:val="center"/>
          </w:tcPr>
          <w:p>
            <w:pPr>
              <w:ind w:firstLine="0" w:firstLineChars="0"/>
            </w:pPr>
            <w:r>
              <w:rPr>
                <w:rFonts w:hint="eastAsia"/>
              </w:rPr>
              <w:t>储药箱规格、材质：φ1m×1m，P</w:t>
            </w:r>
            <w:r>
              <w:t>E</w:t>
            </w:r>
            <w:r>
              <w:rPr>
                <w:rFonts w:hint="eastAsia" w:ascii="宋体" w:hAnsi="宋体" w:cs="宋体"/>
                <w:kern w:val="0"/>
                <w:szCs w:val="21"/>
              </w:rPr>
              <w:t>配套计量泵、搅拌机、液位计等</w:t>
            </w:r>
          </w:p>
        </w:tc>
        <w:tc>
          <w:tcPr>
            <w:tcW w:w="720"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color w:val="000000"/>
                <w:szCs w:val="24"/>
              </w:rPr>
              <w:t>套</w:t>
            </w:r>
          </w:p>
        </w:tc>
        <w:tc>
          <w:tcPr>
            <w:tcW w:w="917"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color w:val="000000"/>
                <w:szCs w:val="24"/>
              </w:rPr>
              <w:t>1</w:t>
            </w:r>
          </w:p>
        </w:tc>
        <w:tc>
          <w:tcPr>
            <w:tcW w:w="1844" w:type="dxa"/>
            <w:shd w:val="clear" w:color="auto" w:fill="FFFFFF"/>
            <w:vAlign w:val="center"/>
          </w:tcPr>
          <w:p>
            <w:pPr>
              <w:autoSpaceDN w:val="0"/>
              <w:ind w:firstLine="0" w:firstLineChars="0"/>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shd w:val="clear" w:color="auto" w:fill="FFFFFF"/>
            <w:vAlign w:val="center"/>
          </w:tcPr>
          <w:p>
            <w:pPr>
              <w:widowControl/>
              <w:ind w:firstLine="0" w:firstLineChars="0"/>
              <w:jc w:val="center"/>
              <w:rPr>
                <w:rFonts w:ascii="宋体" w:hAnsi="宋体"/>
                <w:color w:val="000000"/>
              </w:rPr>
            </w:pPr>
            <w:r>
              <w:rPr>
                <w:rFonts w:hint="eastAsia" w:ascii="宋体" w:hAnsi="宋体" w:cs="宋体"/>
                <w:kern w:val="0"/>
                <w:szCs w:val="21"/>
              </w:rPr>
              <w:t>1.2</w:t>
            </w:r>
          </w:p>
        </w:tc>
        <w:tc>
          <w:tcPr>
            <w:tcW w:w="2268" w:type="dxa"/>
            <w:shd w:val="clear" w:color="auto" w:fill="FFFFFF"/>
            <w:vAlign w:val="center"/>
          </w:tcPr>
          <w:p>
            <w:pPr>
              <w:widowControl/>
              <w:ind w:firstLine="0" w:firstLineChars="0"/>
              <w:jc w:val="center"/>
              <w:rPr>
                <w:rFonts w:ascii="宋体" w:hAnsi="宋体" w:cs="宋体"/>
                <w:bCs/>
                <w:szCs w:val="24"/>
              </w:rPr>
            </w:pPr>
            <w:r>
              <w:rPr>
                <w:rFonts w:hint="eastAsia" w:ascii="宋体" w:hAnsi="宋体" w:cs="宋体"/>
                <w:kern w:val="0"/>
                <w:szCs w:val="21"/>
              </w:rPr>
              <w:t>循环水泵</w:t>
            </w:r>
          </w:p>
        </w:tc>
        <w:tc>
          <w:tcPr>
            <w:tcW w:w="3568" w:type="dxa"/>
            <w:shd w:val="clear" w:color="auto" w:fill="FFFFFF"/>
            <w:vAlign w:val="center"/>
          </w:tcPr>
          <w:p>
            <w:pPr>
              <w:widowControl/>
              <w:ind w:firstLine="0" w:firstLineChars="0"/>
              <w:rPr>
                <w:rFonts w:ascii="宋体" w:hAnsi="宋体" w:cs="宋体"/>
                <w:kern w:val="0"/>
                <w:szCs w:val="21"/>
              </w:rPr>
            </w:pPr>
            <w:r>
              <w:rPr>
                <w:rFonts w:hint="eastAsia" w:ascii="宋体" w:hAnsi="宋体" w:cs="宋体"/>
                <w:kern w:val="0"/>
                <w:szCs w:val="21"/>
              </w:rPr>
              <w:t>额定流量：18m</w:t>
            </w:r>
            <w:r>
              <w:rPr>
                <w:rFonts w:hint="eastAsia" w:ascii="宋体" w:hAnsi="宋体" w:cs="宋体"/>
                <w:kern w:val="0"/>
                <w:szCs w:val="21"/>
                <w:vertAlign w:val="superscript"/>
              </w:rPr>
              <w:t>3</w:t>
            </w:r>
            <w:r>
              <w:rPr>
                <w:rFonts w:hint="eastAsia" w:ascii="宋体" w:hAnsi="宋体" w:cs="宋体"/>
                <w:kern w:val="0"/>
                <w:szCs w:val="21"/>
              </w:rPr>
              <w:t>/h</w:t>
            </w:r>
          </w:p>
          <w:p>
            <w:pPr>
              <w:widowControl/>
              <w:ind w:firstLine="0" w:firstLineChars="0"/>
              <w:rPr>
                <w:rFonts w:ascii="宋体" w:hAnsi="宋体" w:cs="宋体"/>
                <w:kern w:val="0"/>
                <w:szCs w:val="21"/>
              </w:rPr>
            </w:pPr>
            <w:r>
              <w:rPr>
                <w:rFonts w:hint="eastAsia" w:ascii="宋体" w:hAnsi="宋体" w:cs="宋体"/>
                <w:kern w:val="0"/>
                <w:szCs w:val="21"/>
              </w:rPr>
              <w:t>额定扬程：18m</w:t>
            </w:r>
          </w:p>
          <w:p>
            <w:pPr>
              <w:widowControl/>
              <w:ind w:firstLine="0" w:firstLineChars="0"/>
              <w:rPr>
                <w:rFonts w:ascii="宋体" w:hAnsi="宋体" w:cs="宋体"/>
                <w:kern w:val="0"/>
                <w:szCs w:val="21"/>
              </w:rPr>
            </w:pPr>
            <w:r>
              <w:rPr>
                <w:rFonts w:hint="eastAsia" w:ascii="宋体" w:hAnsi="宋体" w:cs="宋体"/>
                <w:kern w:val="0"/>
                <w:szCs w:val="21"/>
              </w:rPr>
              <w:t>电机功率：2.2kw</w:t>
            </w:r>
          </w:p>
          <w:p>
            <w:pPr>
              <w:widowControl/>
              <w:ind w:firstLine="0" w:firstLineChars="0"/>
            </w:pPr>
            <w:r>
              <w:rPr>
                <w:rFonts w:hint="eastAsia" w:ascii="宋体" w:hAnsi="宋体" w:cs="宋体"/>
                <w:kern w:val="0"/>
                <w:szCs w:val="21"/>
              </w:rPr>
              <w:t>材质：FRPP</w:t>
            </w:r>
          </w:p>
        </w:tc>
        <w:tc>
          <w:tcPr>
            <w:tcW w:w="720" w:type="dxa"/>
            <w:shd w:val="clear" w:color="auto" w:fill="FFFFFF"/>
            <w:vAlign w:val="center"/>
          </w:tcPr>
          <w:p>
            <w:pPr>
              <w:widowControl/>
              <w:ind w:firstLine="0" w:firstLineChars="0"/>
              <w:jc w:val="center"/>
              <w:rPr>
                <w:rFonts w:ascii="宋体" w:hAnsi="宋体"/>
                <w:color w:val="000000"/>
                <w:szCs w:val="24"/>
              </w:rPr>
            </w:pPr>
            <w:r>
              <w:rPr>
                <w:rFonts w:hint="eastAsia" w:ascii="宋体" w:hAnsi="宋体" w:cs="宋体"/>
                <w:kern w:val="0"/>
                <w:szCs w:val="21"/>
              </w:rPr>
              <w:t>台</w:t>
            </w:r>
          </w:p>
        </w:tc>
        <w:tc>
          <w:tcPr>
            <w:tcW w:w="917" w:type="dxa"/>
            <w:shd w:val="clear" w:color="auto" w:fill="FFFFFF"/>
            <w:vAlign w:val="center"/>
          </w:tcPr>
          <w:p>
            <w:pPr>
              <w:widowControl/>
              <w:ind w:firstLine="0" w:firstLineChars="0"/>
              <w:jc w:val="center"/>
              <w:rPr>
                <w:rFonts w:ascii="宋体" w:hAnsi="宋体" w:cs="宋体"/>
                <w:color w:val="000000"/>
                <w:szCs w:val="24"/>
              </w:rPr>
            </w:pPr>
            <w:r>
              <w:rPr>
                <w:rFonts w:ascii="宋体" w:hAnsi="宋体" w:cs="宋体"/>
                <w:kern w:val="0"/>
                <w:szCs w:val="21"/>
              </w:rPr>
              <w:t>2</w:t>
            </w:r>
          </w:p>
        </w:tc>
        <w:tc>
          <w:tcPr>
            <w:tcW w:w="1844" w:type="dxa"/>
            <w:shd w:val="clear" w:color="auto" w:fill="FFFFFF"/>
            <w:vAlign w:val="center"/>
          </w:tcPr>
          <w:p>
            <w:pPr>
              <w:widowControl/>
              <w:ind w:firstLine="0" w:firstLineChars="0"/>
              <w:jc w:val="center"/>
              <w:rPr>
                <w:rFonts w:ascii="宋体" w:hAns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1.3</w:t>
            </w:r>
          </w:p>
        </w:tc>
        <w:tc>
          <w:tcPr>
            <w:tcW w:w="2268"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pH计</w:t>
            </w:r>
          </w:p>
        </w:tc>
        <w:tc>
          <w:tcPr>
            <w:tcW w:w="3568" w:type="dxa"/>
            <w:shd w:val="clear" w:color="auto" w:fill="FFFFFF"/>
            <w:vAlign w:val="center"/>
          </w:tcPr>
          <w:p>
            <w:pPr>
              <w:widowControl/>
              <w:ind w:firstLine="0" w:firstLineChars="0"/>
              <w:rPr>
                <w:rFonts w:ascii="宋体" w:hAnsi="宋体" w:cs="宋体"/>
                <w:kern w:val="0"/>
                <w:szCs w:val="21"/>
              </w:rPr>
            </w:pPr>
            <w:r>
              <w:rPr>
                <w:rFonts w:hint="eastAsia" w:ascii="宋体" w:hAnsi="宋体" w:cs="宋体"/>
                <w:kern w:val="0"/>
                <w:szCs w:val="21"/>
              </w:rPr>
              <w:t>量程：1-14</w:t>
            </w:r>
          </w:p>
        </w:tc>
        <w:tc>
          <w:tcPr>
            <w:tcW w:w="720"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台</w:t>
            </w:r>
          </w:p>
        </w:tc>
        <w:tc>
          <w:tcPr>
            <w:tcW w:w="917"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844" w:type="dxa"/>
            <w:shd w:val="clear" w:color="auto" w:fill="FFFFFF"/>
            <w:vAlign w:val="center"/>
          </w:tcPr>
          <w:p>
            <w:pPr>
              <w:widowControl/>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1.4</w:t>
            </w:r>
          </w:p>
        </w:tc>
        <w:tc>
          <w:tcPr>
            <w:tcW w:w="2268"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液位开关</w:t>
            </w:r>
          </w:p>
        </w:tc>
        <w:tc>
          <w:tcPr>
            <w:tcW w:w="3568" w:type="dxa"/>
            <w:shd w:val="clear" w:color="auto" w:fill="FFFFFF"/>
            <w:vAlign w:val="center"/>
          </w:tcPr>
          <w:p>
            <w:pPr>
              <w:widowControl/>
              <w:ind w:firstLine="0" w:firstLineChars="0"/>
              <w:rPr>
                <w:rFonts w:ascii="宋体" w:hAnsi="宋体" w:cs="宋体"/>
                <w:kern w:val="0"/>
                <w:szCs w:val="21"/>
              </w:rPr>
            </w:pPr>
            <w:r>
              <w:rPr>
                <w:rFonts w:hint="eastAsia" w:ascii="宋体" w:hAnsi="宋体" w:cs="宋体"/>
                <w:kern w:val="0"/>
                <w:szCs w:val="21"/>
              </w:rPr>
              <w:t>量程：0-1m</w:t>
            </w:r>
          </w:p>
        </w:tc>
        <w:tc>
          <w:tcPr>
            <w:tcW w:w="720"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台</w:t>
            </w:r>
          </w:p>
        </w:tc>
        <w:tc>
          <w:tcPr>
            <w:tcW w:w="917" w:type="dxa"/>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844" w:type="dxa"/>
            <w:shd w:val="clear" w:color="auto" w:fill="FFFFFF"/>
            <w:vAlign w:val="center"/>
          </w:tcPr>
          <w:p>
            <w:pPr>
              <w:widowControl/>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268" w:type="dxa"/>
            <w:vAlign w:val="center"/>
          </w:tcPr>
          <w:p>
            <w:pPr>
              <w:widowControl/>
              <w:ind w:firstLine="0" w:firstLineChars="0"/>
              <w:jc w:val="center"/>
              <w:rPr>
                <w:rFonts w:ascii="宋体" w:hAnsi="宋体"/>
                <w:color w:val="000000" w:themeColor="text1"/>
              </w:rPr>
            </w:pPr>
            <w:r>
              <w:rPr>
                <w:rFonts w:hint="eastAsia" w:ascii="宋体" w:hAnsi="宋体"/>
                <w:color w:val="000000" w:themeColor="text1"/>
              </w:rPr>
              <w:t>活性炭吸附塔</w:t>
            </w:r>
          </w:p>
        </w:tc>
        <w:tc>
          <w:tcPr>
            <w:tcW w:w="3568" w:type="dxa"/>
            <w:vAlign w:val="center"/>
          </w:tcPr>
          <w:p>
            <w:pPr>
              <w:widowControl/>
              <w:ind w:firstLine="0" w:firstLineChars="0"/>
              <w:rPr>
                <w:rFonts w:ascii="宋体" w:hAnsi="宋体"/>
                <w:color w:val="000000" w:themeColor="text1"/>
                <w:szCs w:val="21"/>
              </w:rPr>
            </w:pPr>
            <w:r>
              <w:rPr>
                <w:rFonts w:hint="eastAsia" w:ascii="宋体" w:hAnsi="宋体" w:cs="宋体"/>
                <w:color w:val="000000" w:themeColor="text1"/>
                <w:kern w:val="0"/>
                <w:szCs w:val="21"/>
              </w:rPr>
              <w:t>处理气量：4000</w:t>
            </w:r>
            <w:r>
              <w:rPr>
                <w:rFonts w:ascii="宋体" w:hAnsi="宋体"/>
                <w:color w:val="000000" w:themeColor="text1"/>
                <w:szCs w:val="21"/>
              </w:rPr>
              <w:t>m</w:t>
            </w:r>
            <w:r>
              <w:rPr>
                <w:rFonts w:ascii="宋体" w:hAnsi="宋体"/>
                <w:color w:val="000000" w:themeColor="text1"/>
                <w:szCs w:val="21"/>
                <w:vertAlign w:val="superscript"/>
              </w:rPr>
              <w:t>3</w:t>
            </w:r>
            <w:r>
              <w:rPr>
                <w:rFonts w:ascii="宋体" w:hAnsi="宋体"/>
                <w:color w:val="000000" w:themeColor="text1"/>
                <w:szCs w:val="21"/>
              </w:rPr>
              <w:t>/h</w:t>
            </w:r>
          </w:p>
          <w:p>
            <w:pPr>
              <w:widowControl/>
              <w:ind w:firstLine="0" w:firstLineChars="0"/>
              <w:rPr>
                <w:rFonts w:ascii="宋体" w:hAnsi="宋体"/>
                <w:color w:val="000000" w:themeColor="text1"/>
              </w:rPr>
            </w:pPr>
            <w:r>
              <w:rPr>
                <w:rFonts w:hint="eastAsia" w:ascii="宋体" w:hAnsi="宋体" w:cs="宋体"/>
                <w:color w:val="000000" w:themeColor="text1"/>
                <w:kern w:val="0"/>
                <w:szCs w:val="21"/>
              </w:rPr>
              <w:t>规格：2</w:t>
            </w:r>
            <w:r>
              <w:rPr>
                <w:rFonts w:hint="eastAsia" w:ascii="宋体" w:hAnsi="宋体"/>
                <w:color w:val="000000" w:themeColor="text1"/>
              </w:rPr>
              <w:t>m×1.</w:t>
            </w:r>
            <w:r>
              <w:rPr>
                <w:rFonts w:ascii="宋体" w:hAnsi="宋体"/>
                <w:color w:val="000000" w:themeColor="text1"/>
              </w:rPr>
              <w:t>5</w:t>
            </w:r>
            <w:r>
              <w:rPr>
                <w:rFonts w:hint="eastAsia" w:ascii="宋体" w:hAnsi="宋体"/>
                <w:color w:val="000000" w:themeColor="text1"/>
              </w:rPr>
              <w:t>m×1.</w:t>
            </w:r>
            <w:r>
              <w:rPr>
                <w:rFonts w:ascii="宋体" w:hAnsi="宋体"/>
                <w:color w:val="000000" w:themeColor="text1"/>
              </w:rPr>
              <w:t>5</w:t>
            </w:r>
            <w:r>
              <w:rPr>
                <w:rFonts w:hint="eastAsia" w:ascii="宋体" w:hAnsi="宋体"/>
                <w:color w:val="000000" w:themeColor="text1"/>
              </w:rPr>
              <w:t>m</w:t>
            </w:r>
          </w:p>
          <w:p>
            <w:pPr>
              <w:pStyle w:val="2"/>
              <w:ind w:firstLine="0" w:firstLineChars="0"/>
              <w:rPr>
                <w:color w:val="000000" w:themeColor="text1"/>
              </w:rPr>
            </w:pPr>
            <w:r>
              <w:rPr>
                <w:rFonts w:hint="eastAsia"/>
                <w:color w:val="000000" w:themeColor="text1"/>
              </w:rPr>
              <w:t>活性炭装填量：1</w:t>
            </w:r>
            <w:r>
              <w:rPr>
                <w:color w:val="000000" w:themeColor="text1"/>
              </w:rPr>
              <w:t>.5</w:t>
            </w:r>
            <w:r>
              <w:rPr>
                <w:rFonts w:hint="eastAsia"/>
                <w:color w:val="000000" w:themeColor="text1"/>
              </w:rPr>
              <w:t>t</w:t>
            </w:r>
          </w:p>
          <w:p>
            <w:pPr>
              <w:pStyle w:val="2"/>
              <w:ind w:firstLine="0" w:firstLineChars="0"/>
              <w:rPr>
                <w:color w:val="000000" w:themeColor="text1"/>
              </w:rPr>
            </w:pPr>
            <w:r>
              <w:rPr>
                <w:rFonts w:hint="eastAsia" w:hAnsi="宋体" w:cs="宋体"/>
                <w:color w:val="000000" w:themeColor="text1"/>
                <w:kern w:val="0"/>
                <w:szCs w:val="21"/>
              </w:rPr>
              <w:t>材质：</w:t>
            </w:r>
            <w:r>
              <w:rPr>
                <w:rFonts w:hint="eastAsia"/>
                <w:color w:val="000000" w:themeColor="text1"/>
              </w:rPr>
              <w:t>PP</w:t>
            </w:r>
          </w:p>
        </w:tc>
        <w:tc>
          <w:tcPr>
            <w:tcW w:w="720" w:type="dxa"/>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917" w:type="dxa"/>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1844" w:type="dxa"/>
            <w:vAlign w:val="center"/>
          </w:tcPr>
          <w:p>
            <w:pPr>
              <w:ind w:firstLine="0" w:firstLineChars="0"/>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2.1</w:t>
            </w:r>
          </w:p>
        </w:tc>
        <w:tc>
          <w:tcPr>
            <w:tcW w:w="2268"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系统内工艺管道</w:t>
            </w:r>
          </w:p>
        </w:tc>
        <w:tc>
          <w:tcPr>
            <w:tcW w:w="3568" w:type="dxa"/>
            <w:vAlign w:val="center"/>
          </w:tcPr>
          <w:p>
            <w:pPr>
              <w:widowControl/>
              <w:ind w:firstLine="0" w:firstLineChars="0"/>
              <w:rPr>
                <w:rFonts w:ascii="宋体" w:hAnsi="宋体" w:cs="宋体"/>
                <w:kern w:val="0"/>
                <w:szCs w:val="21"/>
              </w:rPr>
            </w:pPr>
            <w:r>
              <w:rPr>
                <w:rFonts w:hint="eastAsia" w:ascii="宋体" w:hAnsi="宋体" w:cs="宋体"/>
                <w:kern w:val="0"/>
                <w:szCs w:val="21"/>
              </w:rPr>
              <w:t>材质：PP风管</w:t>
            </w:r>
          </w:p>
        </w:tc>
        <w:tc>
          <w:tcPr>
            <w:tcW w:w="720"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批</w:t>
            </w:r>
          </w:p>
        </w:tc>
        <w:tc>
          <w:tcPr>
            <w:tcW w:w="917"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844" w:type="dxa"/>
            <w:vAlign w:val="center"/>
          </w:tcPr>
          <w:p>
            <w:pPr>
              <w:widowControl/>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3</w:t>
            </w:r>
          </w:p>
        </w:tc>
        <w:tc>
          <w:tcPr>
            <w:tcW w:w="2268"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风机</w:t>
            </w:r>
          </w:p>
        </w:tc>
        <w:tc>
          <w:tcPr>
            <w:tcW w:w="3568" w:type="dxa"/>
            <w:vAlign w:val="center"/>
          </w:tcPr>
          <w:p>
            <w:pPr>
              <w:widowControl/>
              <w:ind w:firstLine="0" w:firstLineChars="0"/>
              <w:rPr>
                <w:rFonts w:ascii="宋体" w:hAnsi="宋体" w:cs="宋体"/>
                <w:kern w:val="0"/>
                <w:szCs w:val="21"/>
              </w:rPr>
            </w:pPr>
            <w:r>
              <w:rPr>
                <w:rFonts w:hint="eastAsia" w:ascii="宋体" w:hAnsi="宋体" w:cs="宋体"/>
                <w:kern w:val="0"/>
                <w:szCs w:val="21"/>
              </w:rPr>
              <w:t>风量：4000m</w:t>
            </w:r>
            <w:r>
              <w:rPr>
                <w:rFonts w:hint="eastAsia" w:ascii="宋体" w:hAnsi="宋体" w:cs="宋体"/>
                <w:kern w:val="0"/>
                <w:szCs w:val="21"/>
                <w:vertAlign w:val="superscript"/>
              </w:rPr>
              <w:t>3</w:t>
            </w:r>
            <w:r>
              <w:rPr>
                <w:rFonts w:hint="eastAsia" w:ascii="宋体" w:hAnsi="宋体" w:cs="宋体"/>
                <w:kern w:val="0"/>
                <w:szCs w:val="21"/>
              </w:rPr>
              <w:t>/h</w:t>
            </w:r>
          </w:p>
          <w:p>
            <w:pPr>
              <w:widowControl/>
              <w:ind w:firstLine="0" w:firstLineChars="0"/>
              <w:rPr>
                <w:rFonts w:ascii="宋体" w:hAnsi="宋体" w:cs="宋体"/>
                <w:kern w:val="0"/>
                <w:szCs w:val="21"/>
              </w:rPr>
            </w:pPr>
            <w:r>
              <w:rPr>
                <w:rFonts w:hint="eastAsia" w:ascii="宋体" w:hAnsi="宋体" w:cs="宋体"/>
                <w:kern w:val="0"/>
                <w:szCs w:val="21"/>
              </w:rPr>
              <w:t>风压：2800Pa</w:t>
            </w:r>
          </w:p>
          <w:p>
            <w:pPr>
              <w:widowControl/>
              <w:ind w:firstLine="0" w:firstLineChars="0"/>
              <w:rPr>
                <w:rFonts w:ascii="宋体" w:hAnsi="宋体" w:cs="宋体"/>
                <w:kern w:val="0"/>
                <w:szCs w:val="21"/>
              </w:rPr>
            </w:pPr>
            <w:r>
              <w:rPr>
                <w:rFonts w:hint="eastAsia" w:ascii="宋体" w:hAnsi="宋体" w:cs="宋体"/>
                <w:kern w:val="0"/>
                <w:szCs w:val="21"/>
              </w:rPr>
              <w:t>电机功率：</w:t>
            </w:r>
            <w:r>
              <w:rPr>
                <w:rFonts w:ascii="宋体" w:hAnsi="宋体" w:cs="宋体"/>
                <w:kern w:val="0"/>
                <w:szCs w:val="21"/>
              </w:rPr>
              <w:t>7.5</w:t>
            </w:r>
            <w:r>
              <w:rPr>
                <w:rFonts w:hint="eastAsia" w:ascii="宋体" w:hAnsi="宋体" w:cs="宋体"/>
                <w:kern w:val="0"/>
                <w:szCs w:val="21"/>
              </w:rPr>
              <w:t>kw</w:t>
            </w:r>
          </w:p>
        </w:tc>
        <w:tc>
          <w:tcPr>
            <w:tcW w:w="720"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台</w:t>
            </w:r>
          </w:p>
        </w:tc>
        <w:tc>
          <w:tcPr>
            <w:tcW w:w="917"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844" w:type="dxa"/>
            <w:vAlign w:val="center"/>
          </w:tcPr>
          <w:p>
            <w:pPr>
              <w:widowControl/>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w:t>
            </w:r>
          </w:p>
        </w:tc>
        <w:tc>
          <w:tcPr>
            <w:tcW w:w="2268"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排气系统</w:t>
            </w:r>
          </w:p>
        </w:tc>
        <w:tc>
          <w:tcPr>
            <w:tcW w:w="3568" w:type="dxa"/>
            <w:vAlign w:val="center"/>
          </w:tcPr>
          <w:p>
            <w:pPr>
              <w:widowControl/>
              <w:ind w:firstLine="0" w:firstLineChars="0"/>
              <w:rPr>
                <w:rFonts w:ascii="宋体" w:hAnsi="宋体" w:cs="宋体"/>
                <w:kern w:val="0"/>
                <w:szCs w:val="21"/>
              </w:rPr>
            </w:pPr>
            <w:r>
              <w:rPr>
                <w:rFonts w:hint="eastAsia" w:ascii="宋体" w:hAnsi="宋体" w:cs="宋体"/>
                <w:kern w:val="0"/>
                <w:szCs w:val="21"/>
              </w:rPr>
              <w:t>排气筒高度：距地面15米</w:t>
            </w:r>
          </w:p>
          <w:p>
            <w:pPr>
              <w:widowControl/>
              <w:ind w:firstLine="0" w:firstLineChars="0"/>
              <w:rPr>
                <w:rFonts w:ascii="宋体" w:hAnsi="宋体" w:cs="宋体"/>
                <w:kern w:val="0"/>
                <w:szCs w:val="21"/>
              </w:rPr>
            </w:pPr>
            <w:r>
              <w:rPr>
                <w:rFonts w:hint="eastAsia" w:ascii="宋体" w:hAnsi="宋体" w:cs="宋体"/>
                <w:kern w:val="0"/>
                <w:szCs w:val="21"/>
              </w:rPr>
              <w:t>规格材质：DN400，PP</w:t>
            </w:r>
          </w:p>
          <w:p>
            <w:pPr>
              <w:widowControl/>
              <w:ind w:firstLine="0" w:firstLineChars="0"/>
              <w:rPr>
                <w:rFonts w:ascii="宋体" w:hAnsi="宋体" w:cs="宋体"/>
                <w:kern w:val="0"/>
                <w:szCs w:val="21"/>
              </w:rPr>
            </w:pPr>
            <w:r>
              <w:rPr>
                <w:rFonts w:hint="eastAsia" w:ascii="宋体" w:hAnsi="宋体" w:cs="宋体"/>
                <w:kern w:val="0"/>
                <w:szCs w:val="21"/>
              </w:rPr>
              <w:t>鼠笼架：镀锌</w:t>
            </w:r>
          </w:p>
        </w:tc>
        <w:tc>
          <w:tcPr>
            <w:tcW w:w="720"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套</w:t>
            </w:r>
          </w:p>
        </w:tc>
        <w:tc>
          <w:tcPr>
            <w:tcW w:w="917"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844" w:type="dxa"/>
            <w:vAlign w:val="center"/>
          </w:tcPr>
          <w:p>
            <w:pPr>
              <w:widowControl/>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w:t>
            </w:r>
          </w:p>
        </w:tc>
        <w:tc>
          <w:tcPr>
            <w:tcW w:w="2268"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电气与自控系统</w:t>
            </w:r>
          </w:p>
        </w:tc>
        <w:tc>
          <w:tcPr>
            <w:tcW w:w="3568" w:type="dxa"/>
            <w:vAlign w:val="center"/>
          </w:tcPr>
          <w:p>
            <w:pPr>
              <w:widowControl/>
              <w:ind w:firstLine="0" w:firstLineChars="0"/>
              <w:rPr>
                <w:rFonts w:ascii="宋体" w:hAnsi="宋体" w:cs="宋体"/>
                <w:kern w:val="0"/>
                <w:szCs w:val="21"/>
              </w:rPr>
            </w:pPr>
            <w:r>
              <w:rPr>
                <w:rFonts w:hint="eastAsia" w:ascii="宋体" w:hAnsi="宋体" w:cs="宋体"/>
                <w:kern w:val="0"/>
                <w:szCs w:val="21"/>
              </w:rPr>
              <w:t>采用</w:t>
            </w:r>
            <w:r>
              <w:rPr>
                <w:rFonts w:hint="eastAsia"/>
                <w:color w:val="000000" w:themeColor="text1"/>
                <w:lang w:eastAsia="zh-CN"/>
              </w:rPr>
              <w:t>品牌自选</w:t>
            </w:r>
            <w:r>
              <w:rPr>
                <w:rFonts w:hint="eastAsia" w:ascii="宋体" w:hAnsi="宋体" w:cs="宋体"/>
                <w:kern w:val="0"/>
                <w:szCs w:val="21"/>
              </w:rPr>
              <w:t>PLC控制系统，</w:t>
            </w:r>
          </w:p>
          <w:p>
            <w:pPr>
              <w:widowControl/>
              <w:ind w:firstLine="0" w:firstLineChars="0"/>
              <w:rPr>
                <w:rFonts w:ascii="宋体" w:hAnsi="宋体" w:cs="宋体"/>
                <w:kern w:val="0"/>
                <w:szCs w:val="21"/>
              </w:rPr>
            </w:pPr>
            <w:r>
              <w:rPr>
                <w:rFonts w:hint="eastAsia" w:ascii="宋体" w:hAnsi="宋体" w:cs="宋体"/>
                <w:kern w:val="0"/>
                <w:szCs w:val="21"/>
              </w:rPr>
              <w:t>含就地电控柜至设备基础上各设备间的电缆，含通信模块</w:t>
            </w:r>
          </w:p>
          <w:p>
            <w:pPr>
              <w:pStyle w:val="2"/>
              <w:ind w:firstLine="0" w:firstLineChars="0"/>
            </w:pPr>
            <w:r>
              <w:rPr>
                <w:rFonts w:hint="eastAsia"/>
              </w:rPr>
              <w:t>元器件：</w:t>
            </w:r>
            <w:r>
              <w:rPr>
                <w:rFonts w:hint="eastAsia"/>
                <w:color w:val="000000" w:themeColor="text1"/>
                <w:lang w:eastAsia="zh-CN"/>
              </w:rPr>
              <w:t>品牌自选</w:t>
            </w:r>
          </w:p>
          <w:p>
            <w:pPr>
              <w:pStyle w:val="2"/>
              <w:ind w:firstLine="0" w:firstLineChars="0"/>
            </w:pPr>
            <w:r>
              <w:rPr>
                <w:rFonts w:hint="eastAsia"/>
              </w:rPr>
              <w:t>变频器：</w:t>
            </w:r>
            <w:r>
              <w:rPr>
                <w:rFonts w:hint="eastAsia"/>
                <w:color w:val="000000" w:themeColor="text1"/>
                <w:lang w:eastAsia="zh-CN"/>
              </w:rPr>
              <w:t>品牌自选</w:t>
            </w:r>
          </w:p>
        </w:tc>
        <w:tc>
          <w:tcPr>
            <w:tcW w:w="720"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套</w:t>
            </w:r>
          </w:p>
        </w:tc>
        <w:tc>
          <w:tcPr>
            <w:tcW w:w="917"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844" w:type="dxa"/>
            <w:vAlign w:val="center"/>
          </w:tcPr>
          <w:p>
            <w:pPr>
              <w:widowControl/>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6</w:t>
            </w:r>
          </w:p>
        </w:tc>
        <w:tc>
          <w:tcPr>
            <w:tcW w:w="2268"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加盖密封系统</w:t>
            </w:r>
          </w:p>
        </w:tc>
        <w:tc>
          <w:tcPr>
            <w:tcW w:w="3568" w:type="dxa"/>
            <w:vAlign w:val="center"/>
          </w:tcPr>
          <w:p>
            <w:pPr>
              <w:widowControl/>
              <w:ind w:firstLine="0" w:firstLineChars="0"/>
              <w:rPr>
                <w:rFonts w:ascii="宋体" w:hAnsi="宋体" w:cs="宋体"/>
                <w:kern w:val="0"/>
                <w:szCs w:val="21"/>
              </w:rPr>
            </w:pPr>
          </w:p>
        </w:tc>
        <w:tc>
          <w:tcPr>
            <w:tcW w:w="720"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项</w:t>
            </w:r>
          </w:p>
        </w:tc>
        <w:tc>
          <w:tcPr>
            <w:tcW w:w="917"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844" w:type="dxa"/>
            <w:vAlign w:val="center"/>
          </w:tcPr>
          <w:p>
            <w:pPr>
              <w:widowControl/>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6"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w:t>
            </w:r>
          </w:p>
        </w:tc>
        <w:tc>
          <w:tcPr>
            <w:tcW w:w="2268"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收集系统</w:t>
            </w:r>
          </w:p>
        </w:tc>
        <w:tc>
          <w:tcPr>
            <w:tcW w:w="3568" w:type="dxa"/>
            <w:vAlign w:val="center"/>
          </w:tcPr>
          <w:p>
            <w:pPr>
              <w:widowControl/>
              <w:ind w:firstLine="0" w:firstLineChars="0"/>
              <w:rPr>
                <w:rFonts w:ascii="宋体" w:hAnsi="宋体" w:cs="宋体"/>
                <w:kern w:val="0"/>
                <w:szCs w:val="21"/>
              </w:rPr>
            </w:pPr>
            <w:r>
              <w:rPr>
                <w:rFonts w:hint="eastAsia" w:ascii="宋体" w:hAnsi="宋体" w:cs="宋体"/>
                <w:kern w:val="0"/>
                <w:szCs w:val="21"/>
              </w:rPr>
              <w:t>PP风管、风阀</w:t>
            </w:r>
          </w:p>
          <w:p>
            <w:pPr>
              <w:widowControl/>
              <w:ind w:firstLine="0" w:firstLineChars="0"/>
              <w:rPr>
                <w:rFonts w:ascii="宋体" w:hAnsi="宋体" w:cs="宋体"/>
                <w:kern w:val="0"/>
                <w:szCs w:val="21"/>
              </w:rPr>
            </w:pPr>
            <w:r>
              <w:rPr>
                <w:rFonts w:hint="eastAsia" w:ascii="宋体" w:hAnsi="宋体" w:cs="宋体"/>
                <w:kern w:val="0"/>
                <w:szCs w:val="21"/>
              </w:rPr>
              <w:t>风管支架采用镀锌角铁材质，紧固件采用不锈钢304材质</w:t>
            </w:r>
          </w:p>
        </w:tc>
        <w:tc>
          <w:tcPr>
            <w:tcW w:w="720"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批</w:t>
            </w:r>
          </w:p>
        </w:tc>
        <w:tc>
          <w:tcPr>
            <w:tcW w:w="917"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844" w:type="dxa"/>
            <w:vAlign w:val="center"/>
          </w:tcPr>
          <w:p>
            <w:pPr>
              <w:widowControl/>
              <w:ind w:firstLine="0" w:firstLineChars="0"/>
              <w:jc w:val="center"/>
              <w:rPr>
                <w:rFonts w:ascii="宋体" w:hAnsi="宋体"/>
                <w:szCs w:val="21"/>
              </w:rPr>
            </w:pPr>
          </w:p>
        </w:tc>
      </w:tr>
    </w:tbl>
    <w:p>
      <w:pPr>
        <w:pStyle w:val="3"/>
        <w:adjustRightInd w:val="0"/>
        <w:spacing w:beforeLines="0" w:afterLines="0" w:line="240" w:lineRule="auto"/>
        <w:ind w:firstLine="0" w:firstLineChars="0"/>
        <w:jc w:val="left"/>
        <w:textAlignment w:val="baseline"/>
        <w:rPr>
          <w:rFonts w:cs="Times New Roman"/>
          <w:bCs w:val="0"/>
          <w:szCs w:val="32"/>
        </w:rPr>
      </w:pPr>
      <w:bookmarkStart w:id="280" w:name="_Toc73367222"/>
      <w:bookmarkStart w:id="281" w:name="_Toc17046"/>
      <w:r>
        <w:rPr>
          <w:rFonts w:hint="eastAsia" w:cs="Times New Roman"/>
          <w:bCs w:val="0"/>
          <w:szCs w:val="32"/>
        </w:rPr>
        <w:t>九、调试及试运行方案</w:t>
      </w:r>
      <w:bookmarkEnd w:id="280"/>
      <w:bookmarkEnd w:id="281"/>
    </w:p>
    <w:p>
      <w:pPr>
        <w:ind w:firstLine="480"/>
        <w:rPr>
          <w:szCs w:val="24"/>
        </w:rPr>
      </w:pPr>
      <w:bookmarkStart w:id="282" w:name="_Toc421024819"/>
      <w:bookmarkStart w:id="283" w:name="_Toc374720581"/>
      <w:bookmarkStart w:id="284" w:name="_Toc374803820"/>
      <w:bookmarkStart w:id="285" w:name="_Toc421029461"/>
      <w:bookmarkStart w:id="286" w:name="_Toc374720862"/>
      <w:bookmarkStart w:id="287" w:name="_Toc374718560"/>
      <w:bookmarkStart w:id="288" w:name="_Toc421473353"/>
      <w:bookmarkStart w:id="289" w:name="_Toc374697242"/>
      <w:bookmarkStart w:id="290" w:name="_Toc421029254"/>
      <w:bookmarkStart w:id="291" w:name="_Toc374718928"/>
      <w:bookmarkStart w:id="292" w:name="_Toc374804215"/>
      <w:r>
        <w:rPr>
          <w:rFonts w:hint="eastAsia"/>
          <w:szCs w:val="24"/>
        </w:rPr>
        <w:t>1、调试条件</w:t>
      </w:r>
      <w:bookmarkEnd w:id="282"/>
      <w:bookmarkEnd w:id="283"/>
      <w:bookmarkEnd w:id="284"/>
      <w:bookmarkEnd w:id="285"/>
      <w:bookmarkEnd w:id="286"/>
      <w:bookmarkEnd w:id="287"/>
      <w:bookmarkEnd w:id="288"/>
      <w:bookmarkEnd w:id="289"/>
      <w:bookmarkEnd w:id="290"/>
      <w:bookmarkEnd w:id="291"/>
      <w:bookmarkEnd w:id="292"/>
    </w:p>
    <w:p>
      <w:pPr>
        <w:ind w:firstLine="480"/>
        <w:rPr>
          <w:szCs w:val="24"/>
        </w:rPr>
      </w:pPr>
      <w:r>
        <w:rPr>
          <w:rFonts w:hint="eastAsia"/>
          <w:szCs w:val="24"/>
        </w:rPr>
        <w:t>土建构筑物全部施工完成；</w:t>
      </w:r>
    </w:p>
    <w:p>
      <w:pPr>
        <w:ind w:firstLine="480"/>
        <w:rPr>
          <w:szCs w:val="24"/>
        </w:rPr>
      </w:pPr>
      <w:r>
        <w:rPr>
          <w:rFonts w:hint="eastAsia"/>
          <w:szCs w:val="24"/>
        </w:rPr>
        <w:t>设备安装完成；</w:t>
      </w:r>
    </w:p>
    <w:p>
      <w:pPr>
        <w:ind w:firstLine="480"/>
        <w:rPr>
          <w:szCs w:val="24"/>
        </w:rPr>
      </w:pPr>
      <w:r>
        <w:rPr>
          <w:rFonts w:hint="eastAsia"/>
          <w:szCs w:val="24"/>
        </w:rPr>
        <w:t>电气安装完成；</w:t>
      </w:r>
    </w:p>
    <w:p>
      <w:pPr>
        <w:ind w:firstLine="480"/>
        <w:rPr>
          <w:szCs w:val="24"/>
        </w:rPr>
      </w:pPr>
      <w:r>
        <w:rPr>
          <w:rFonts w:hint="eastAsia"/>
          <w:szCs w:val="24"/>
        </w:rPr>
        <w:t>管道安装完成（给排水管道和通风管道）；</w:t>
      </w:r>
    </w:p>
    <w:p>
      <w:pPr>
        <w:ind w:firstLine="480"/>
        <w:rPr>
          <w:szCs w:val="24"/>
        </w:rPr>
      </w:pPr>
      <w:r>
        <w:rPr>
          <w:rFonts w:hint="eastAsia"/>
          <w:szCs w:val="24"/>
        </w:rPr>
        <w:t>相关配套项目，含人员、仪器，污水及进排管线，安全措施均已完善。</w:t>
      </w:r>
    </w:p>
    <w:p>
      <w:pPr>
        <w:ind w:firstLine="480"/>
        <w:rPr>
          <w:szCs w:val="24"/>
        </w:rPr>
      </w:pPr>
      <w:bookmarkStart w:id="293" w:name="_Toc374718929"/>
      <w:bookmarkStart w:id="294" w:name="_Toc421473354"/>
      <w:bookmarkStart w:id="295" w:name="_Toc374803821"/>
      <w:bookmarkStart w:id="296" w:name="_Toc374720863"/>
      <w:bookmarkStart w:id="297" w:name="_Toc421029462"/>
      <w:bookmarkStart w:id="298" w:name="_Toc374720582"/>
      <w:bookmarkStart w:id="299" w:name="_Toc374697243"/>
      <w:bookmarkStart w:id="300" w:name="_Toc421024820"/>
      <w:bookmarkStart w:id="301" w:name="_Toc374718561"/>
      <w:bookmarkStart w:id="302" w:name="_Toc374804216"/>
      <w:bookmarkStart w:id="303" w:name="_Toc421029255"/>
      <w:r>
        <w:rPr>
          <w:rFonts w:hint="eastAsia"/>
          <w:szCs w:val="24"/>
        </w:rPr>
        <w:t>2、</w:t>
      </w:r>
      <w:bookmarkEnd w:id="293"/>
      <w:bookmarkEnd w:id="294"/>
      <w:bookmarkEnd w:id="295"/>
      <w:bookmarkEnd w:id="296"/>
      <w:bookmarkEnd w:id="297"/>
      <w:bookmarkEnd w:id="298"/>
      <w:bookmarkEnd w:id="299"/>
      <w:bookmarkEnd w:id="300"/>
      <w:bookmarkEnd w:id="301"/>
      <w:bookmarkEnd w:id="302"/>
      <w:bookmarkEnd w:id="303"/>
      <w:r>
        <w:rPr>
          <w:rFonts w:hint="eastAsia"/>
          <w:szCs w:val="24"/>
        </w:rPr>
        <w:t>试运行准备</w:t>
      </w:r>
    </w:p>
    <w:p>
      <w:pPr>
        <w:ind w:firstLine="480"/>
        <w:rPr>
          <w:szCs w:val="24"/>
        </w:rPr>
      </w:pPr>
      <w:r>
        <w:rPr>
          <w:rFonts w:hint="eastAsia"/>
          <w:szCs w:val="24"/>
        </w:rPr>
        <w:t>组成调试运行专门小组；</w:t>
      </w:r>
    </w:p>
    <w:p>
      <w:pPr>
        <w:ind w:firstLine="480"/>
        <w:rPr>
          <w:szCs w:val="24"/>
        </w:rPr>
      </w:pPr>
      <w:r>
        <w:rPr>
          <w:rFonts w:hint="eastAsia"/>
          <w:szCs w:val="24"/>
        </w:rPr>
        <w:t>拟定调试及试运行计划安排；</w:t>
      </w:r>
    </w:p>
    <w:p>
      <w:pPr>
        <w:ind w:firstLine="480"/>
        <w:rPr>
          <w:szCs w:val="24"/>
        </w:rPr>
      </w:pPr>
      <w:r>
        <w:rPr>
          <w:rFonts w:hint="eastAsia"/>
          <w:szCs w:val="24"/>
        </w:rPr>
        <w:t>进行相应的物质准备，如水（含自来水），电准备；</w:t>
      </w:r>
    </w:p>
    <w:p>
      <w:pPr>
        <w:ind w:firstLine="480"/>
        <w:rPr>
          <w:szCs w:val="24"/>
        </w:rPr>
      </w:pPr>
      <w:r>
        <w:rPr>
          <w:rFonts w:hint="eastAsia"/>
          <w:szCs w:val="24"/>
        </w:rPr>
        <w:t>必须的检测设备、装置（PH计、试纸等）；</w:t>
      </w:r>
    </w:p>
    <w:p>
      <w:pPr>
        <w:ind w:firstLine="480"/>
        <w:rPr>
          <w:szCs w:val="24"/>
        </w:rPr>
      </w:pPr>
      <w:r>
        <w:rPr>
          <w:rFonts w:hint="eastAsia"/>
          <w:szCs w:val="24"/>
        </w:rPr>
        <w:t>建立调试记录、检测档案。</w:t>
      </w:r>
    </w:p>
    <w:p>
      <w:pPr>
        <w:ind w:firstLine="480"/>
        <w:rPr>
          <w:szCs w:val="24"/>
        </w:rPr>
      </w:pPr>
      <w:r>
        <w:rPr>
          <w:rFonts w:hint="eastAsia"/>
          <w:szCs w:val="24"/>
        </w:rPr>
        <w:t>3、风机试运行</w:t>
      </w:r>
    </w:p>
    <w:p>
      <w:pPr>
        <w:ind w:firstLine="480"/>
        <w:rPr>
          <w:szCs w:val="24"/>
        </w:rPr>
      </w:pPr>
      <w:r>
        <w:rPr>
          <w:rFonts w:hint="eastAsia"/>
          <w:szCs w:val="24"/>
        </w:rPr>
        <w:t>试运转时，叶轮旋转方向必须正确。经不少于2h的运转后，滑动轴承的温升不超过35℃，最高温升不超过70℃；滚动轴承温升不超过40℃，最高温升不超过80℃。</w:t>
      </w:r>
    </w:p>
    <w:p>
      <w:pPr>
        <w:ind w:firstLine="480"/>
        <w:rPr>
          <w:szCs w:val="24"/>
        </w:rPr>
      </w:pPr>
      <w:r>
        <w:rPr>
          <w:rFonts w:hint="eastAsia"/>
          <w:szCs w:val="24"/>
        </w:rPr>
        <w:t>检查数量：逐台检查。</w:t>
      </w:r>
    </w:p>
    <w:p>
      <w:pPr>
        <w:ind w:firstLine="480"/>
        <w:rPr>
          <w:szCs w:val="24"/>
        </w:rPr>
      </w:pPr>
      <w:r>
        <w:rPr>
          <w:rFonts w:hint="eastAsia"/>
          <w:szCs w:val="24"/>
        </w:rPr>
        <w:t>检查方法：检查试车记录或试车检查。</w:t>
      </w:r>
    </w:p>
    <w:p>
      <w:pPr>
        <w:ind w:firstLine="480"/>
        <w:rPr>
          <w:szCs w:val="24"/>
        </w:rPr>
      </w:pPr>
      <w:r>
        <w:rPr>
          <w:rFonts w:hint="eastAsia"/>
          <w:szCs w:val="24"/>
        </w:rPr>
        <w:t>风机运行的径向振幅必须符合技术要求，如无规定可按下表的规定检查。</w:t>
      </w:r>
    </w:p>
    <w:p>
      <w:pPr>
        <w:ind w:firstLine="480"/>
        <w:rPr>
          <w:szCs w:val="24"/>
        </w:rPr>
      </w:pPr>
      <w:r>
        <w:rPr>
          <w:rFonts w:hint="eastAsia"/>
          <w:szCs w:val="24"/>
        </w:rPr>
        <w:t>检查数量：逐台检查。</w:t>
      </w:r>
    </w:p>
    <w:p>
      <w:pPr>
        <w:ind w:firstLine="480"/>
        <w:rPr>
          <w:szCs w:val="24"/>
        </w:rPr>
      </w:pPr>
      <w:r>
        <w:rPr>
          <w:rFonts w:hint="eastAsia"/>
          <w:szCs w:val="24"/>
        </w:rPr>
        <w:t>检查方法：用测振仪检查。</w:t>
      </w:r>
      <w:r>
        <w:rPr>
          <w:rFonts w:hint="eastAsia"/>
          <w:szCs w:val="24"/>
        </w:rPr>
        <w:tab/>
      </w:r>
    </w:p>
    <w:p>
      <w:pPr>
        <w:ind w:firstLine="480"/>
        <w:rPr>
          <w:szCs w:val="24"/>
        </w:rPr>
      </w:pPr>
      <w:r>
        <w:rPr>
          <w:rFonts w:hint="eastAsia"/>
          <w:szCs w:val="24"/>
        </w:rPr>
        <w:t>通风机轴承处径向振幅（双幅）</w:t>
      </w:r>
    </w:p>
    <w:tbl>
      <w:tblPr>
        <w:tblStyle w:val="15"/>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8"/>
        <w:gridCol w:w="720"/>
        <w:gridCol w:w="1087"/>
        <w:gridCol w:w="983"/>
        <w:gridCol w:w="1024"/>
        <w:gridCol w:w="1160"/>
        <w:gridCol w:w="1183"/>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atLeast"/>
        </w:trPr>
        <w:tc>
          <w:tcPr>
            <w:tcW w:w="1018" w:type="dxa"/>
            <w:vAlign w:val="center"/>
          </w:tcPr>
          <w:p>
            <w:pPr>
              <w:ind w:firstLine="0" w:firstLineChars="0"/>
              <w:jc w:val="center"/>
              <w:rPr>
                <w:szCs w:val="24"/>
              </w:rPr>
            </w:pPr>
            <w:r>
              <w:rPr>
                <w:rFonts w:hint="eastAsia"/>
                <w:szCs w:val="24"/>
              </w:rPr>
              <w:t>转速</w:t>
            </w:r>
          </w:p>
          <w:p>
            <w:pPr>
              <w:ind w:firstLine="0" w:firstLineChars="0"/>
              <w:jc w:val="center"/>
              <w:rPr>
                <w:szCs w:val="24"/>
              </w:rPr>
            </w:pPr>
            <w:r>
              <w:rPr>
                <w:rFonts w:hint="eastAsia"/>
                <w:szCs w:val="24"/>
              </w:rPr>
              <w:t>（rpm）</w:t>
            </w:r>
          </w:p>
        </w:tc>
        <w:tc>
          <w:tcPr>
            <w:tcW w:w="720" w:type="dxa"/>
            <w:vAlign w:val="center"/>
          </w:tcPr>
          <w:p>
            <w:pPr>
              <w:ind w:firstLine="0" w:firstLineChars="0"/>
              <w:jc w:val="center"/>
              <w:rPr>
                <w:szCs w:val="24"/>
              </w:rPr>
            </w:pPr>
            <w:r>
              <w:rPr>
                <w:rFonts w:hint="eastAsia"/>
                <w:szCs w:val="24"/>
              </w:rPr>
              <w:t>&lt;375</w:t>
            </w:r>
          </w:p>
        </w:tc>
        <w:tc>
          <w:tcPr>
            <w:tcW w:w="1087" w:type="dxa"/>
            <w:vAlign w:val="center"/>
          </w:tcPr>
          <w:p>
            <w:pPr>
              <w:ind w:firstLine="0" w:firstLineChars="0"/>
              <w:jc w:val="center"/>
              <w:rPr>
                <w:szCs w:val="24"/>
              </w:rPr>
            </w:pPr>
            <w:r>
              <w:rPr>
                <w:rFonts w:hint="eastAsia"/>
                <w:szCs w:val="24"/>
              </w:rPr>
              <w:t>375-600</w:t>
            </w:r>
          </w:p>
        </w:tc>
        <w:tc>
          <w:tcPr>
            <w:tcW w:w="983" w:type="dxa"/>
            <w:vAlign w:val="center"/>
          </w:tcPr>
          <w:p>
            <w:pPr>
              <w:ind w:firstLine="0" w:firstLineChars="0"/>
              <w:jc w:val="center"/>
              <w:rPr>
                <w:szCs w:val="24"/>
              </w:rPr>
            </w:pPr>
            <w:r>
              <w:rPr>
                <w:rFonts w:hint="eastAsia"/>
                <w:szCs w:val="24"/>
              </w:rPr>
              <w:t>600-750</w:t>
            </w:r>
          </w:p>
        </w:tc>
        <w:tc>
          <w:tcPr>
            <w:tcW w:w="1024" w:type="dxa"/>
            <w:vAlign w:val="center"/>
          </w:tcPr>
          <w:p>
            <w:pPr>
              <w:ind w:firstLine="0" w:firstLineChars="0"/>
              <w:jc w:val="center"/>
              <w:rPr>
                <w:szCs w:val="24"/>
              </w:rPr>
            </w:pPr>
            <w:r>
              <w:rPr>
                <w:rFonts w:hint="eastAsia"/>
                <w:szCs w:val="24"/>
              </w:rPr>
              <w:t>750-1000</w:t>
            </w:r>
          </w:p>
        </w:tc>
        <w:tc>
          <w:tcPr>
            <w:tcW w:w="1160" w:type="dxa"/>
            <w:vAlign w:val="center"/>
          </w:tcPr>
          <w:p>
            <w:pPr>
              <w:ind w:firstLine="0" w:firstLineChars="0"/>
              <w:jc w:val="center"/>
              <w:rPr>
                <w:szCs w:val="24"/>
              </w:rPr>
            </w:pPr>
            <w:r>
              <w:rPr>
                <w:rFonts w:hint="eastAsia"/>
                <w:szCs w:val="24"/>
              </w:rPr>
              <w:t>1000-1450</w:t>
            </w:r>
          </w:p>
        </w:tc>
        <w:tc>
          <w:tcPr>
            <w:tcW w:w="1183" w:type="dxa"/>
            <w:vAlign w:val="center"/>
          </w:tcPr>
          <w:p>
            <w:pPr>
              <w:ind w:firstLine="0" w:firstLineChars="0"/>
              <w:jc w:val="center"/>
              <w:rPr>
                <w:szCs w:val="24"/>
              </w:rPr>
            </w:pPr>
            <w:r>
              <w:rPr>
                <w:rFonts w:hint="eastAsia"/>
                <w:szCs w:val="24"/>
              </w:rPr>
              <w:t>1450-3000</w:t>
            </w:r>
          </w:p>
        </w:tc>
        <w:tc>
          <w:tcPr>
            <w:tcW w:w="965" w:type="dxa"/>
            <w:vAlign w:val="center"/>
          </w:tcPr>
          <w:p>
            <w:pPr>
              <w:ind w:firstLine="0" w:firstLineChars="0"/>
              <w:jc w:val="center"/>
              <w:rPr>
                <w:szCs w:val="24"/>
              </w:rPr>
            </w:pPr>
            <w:r>
              <w:rPr>
                <w:rFonts w:hint="eastAsia"/>
                <w:szCs w:val="24"/>
              </w:rPr>
              <w:t>&gt;3000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1018" w:type="dxa"/>
            <w:vAlign w:val="center"/>
          </w:tcPr>
          <w:p>
            <w:pPr>
              <w:ind w:firstLine="0" w:firstLineChars="0"/>
              <w:jc w:val="center"/>
              <w:rPr>
                <w:szCs w:val="24"/>
              </w:rPr>
            </w:pPr>
            <w:r>
              <w:rPr>
                <w:rFonts w:hint="eastAsia"/>
                <w:szCs w:val="24"/>
              </w:rPr>
              <w:t>振幅</w:t>
            </w:r>
          </w:p>
          <w:p>
            <w:pPr>
              <w:ind w:firstLine="0" w:firstLineChars="0"/>
              <w:jc w:val="center"/>
              <w:rPr>
                <w:szCs w:val="24"/>
              </w:rPr>
            </w:pPr>
            <w:r>
              <w:rPr>
                <w:rFonts w:hint="eastAsia"/>
                <w:szCs w:val="24"/>
              </w:rPr>
              <w:t>（mm）</w:t>
            </w:r>
          </w:p>
        </w:tc>
        <w:tc>
          <w:tcPr>
            <w:tcW w:w="720" w:type="dxa"/>
            <w:vAlign w:val="center"/>
          </w:tcPr>
          <w:p>
            <w:pPr>
              <w:ind w:firstLine="0" w:firstLineChars="0"/>
              <w:jc w:val="center"/>
              <w:rPr>
                <w:szCs w:val="24"/>
              </w:rPr>
            </w:pPr>
            <w:r>
              <w:rPr>
                <w:rFonts w:hint="eastAsia"/>
                <w:szCs w:val="24"/>
              </w:rPr>
              <w:t>0.2</w:t>
            </w:r>
          </w:p>
        </w:tc>
        <w:tc>
          <w:tcPr>
            <w:tcW w:w="1087" w:type="dxa"/>
            <w:vAlign w:val="center"/>
          </w:tcPr>
          <w:p>
            <w:pPr>
              <w:ind w:firstLine="0" w:firstLineChars="0"/>
              <w:jc w:val="center"/>
              <w:rPr>
                <w:szCs w:val="24"/>
              </w:rPr>
            </w:pPr>
            <w:r>
              <w:rPr>
                <w:rFonts w:hint="eastAsia"/>
                <w:szCs w:val="24"/>
              </w:rPr>
              <w:t>0.18</w:t>
            </w:r>
          </w:p>
        </w:tc>
        <w:tc>
          <w:tcPr>
            <w:tcW w:w="983" w:type="dxa"/>
            <w:vAlign w:val="center"/>
          </w:tcPr>
          <w:p>
            <w:pPr>
              <w:ind w:firstLine="0" w:firstLineChars="0"/>
              <w:jc w:val="center"/>
              <w:rPr>
                <w:szCs w:val="24"/>
              </w:rPr>
            </w:pPr>
            <w:r>
              <w:rPr>
                <w:rFonts w:hint="eastAsia"/>
                <w:szCs w:val="24"/>
              </w:rPr>
              <w:t>0.13</w:t>
            </w:r>
          </w:p>
        </w:tc>
        <w:tc>
          <w:tcPr>
            <w:tcW w:w="1024" w:type="dxa"/>
            <w:vAlign w:val="center"/>
          </w:tcPr>
          <w:p>
            <w:pPr>
              <w:ind w:firstLine="0" w:firstLineChars="0"/>
              <w:jc w:val="center"/>
              <w:rPr>
                <w:szCs w:val="24"/>
              </w:rPr>
            </w:pPr>
            <w:r>
              <w:rPr>
                <w:rFonts w:hint="eastAsia"/>
                <w:szCs w:val="24"/>
              </w:rPr>
              <w:t>0.10</w:t>
            </w:r>
          </w:p>
        </w:tc>
        <w:tc>
          <w:tcPr>
            <w:tcW w:w="1160" w:type="dxa"/>
            <w:vAlign w:val="center"/>
          </w:tcPr>
          <w:p>
            <w:pPr>
              <w:ind w:firstLine="0" w:firstLineChars="0"/>
              <w:jc w:val="center"/>
              <w:rPr>
                <w:szCs w:val="24"/>
              </w:rPr>
            </w:pPr>
            <w:r>
              <w:rPr>
                <w:rFonts w:hint="eastAsia"/>
                <w:szCs w:val="24"/>
              </w:rPr>
              <w:t>0.08</w:t>
            </w:r>
          </w:p>
        </w:tc>
        <w:tc>
          <w:tcPr>
            <w:tcW w:w="1183" w:type="dxa"/>
            <w:vAlign w:val="center"/>
          </w:tcPr>
          <w:p>
            <w:pPr>
              <w:ind w:firstLine="0" w:firstLineChars="0"/>
              <w:jc w:val="center"/>
              <w:rPr>
                <w:szCs w:val="24"/>
              </w:rPr>
            </w:pPr>
            <w:r>
              <w:rPr>
                <w:rFonts w:hint="eastAsia"/>
                <w:szCs w:val="24"/>
              </w:rPr>
              <w:t>0.05</w:t>
            </w:r>
          </w:p>
        </w:tc>
        <w:tc>
          <w:tcPr>
            <w:tcW w:w="965" w:type="dxa"/>
            <w:vAlign w:val="center"/>
          </w:tcPr>
          <w:p>
            <w:pPr>
              <w:ind w:firstLine="0" w:firstLineChars="0"/>
              <w:jc w:val="center"/>
              <w:rPr>
                <w:szCs w:val="24"/>
              </w:rPr>
            </w:pPr>
            <w:r>
              <w:rPr>
                <w:rFonts w:hint="eastAsia"/>
                <w:szCs w:val="24"/>
              </w:rPr>
              <w:t>0.03</w:t>
            </w:r>
          </w:p>
        </w:tc>
      </w:tr>
    </w:tbl>
    <w:p>
      <w:pPr>
        <w:ind w:firstLine="480"/>
        <w:rPr>
          <w:szCs w:val="24"/>
        </w:rPr>
      </w:pPr>
      <w:r>
        <w:rPr>
          <w:rFonts w:hint="eastAsia"/>
          <w:szCs w:val="24"/>
        </w:rPr>
        <w:t>水泵试运行</w:t>
      </w:r>
    </w:p>
    <w:p>
      <w:pPr>
        <w:ind w:firstLine="480"/>
        <w:rPr>
          <w:szCs w:val="24"/>
        </w:rPr>
      </w:pPr>
      <w:r>
        <w:rPr>
          <w:rFonts w:hint="eastAsia"/>
          <w:szCs w:val="24"/>
        </w:rPr>
        <w:t>查阅安装质量记录，各项技术指标应齐全，并符合要求。</w:t>
      </w:r>
    </w:p>
    <w:p>
      <w:pPr>
        <w:ind w:firstLine="480"/>
        <w:rPr>
          <w:szCs w:val="24"/>
        </w:rPr>
      </w:pPr>
      <w:r>
        <w:rPr>
          <w:rFonts w:hint="eastAsia"/>
          <w:szCs w:val="24"/>
        </w:rPr>
        <w:t>开泵连续运转2小时，必须达到下列要求。</w:t>
      </w:r>
    </w:p>
    <w:p>
      <w:pPr>
        <w:ind w:firstLine="480"/>
        <w:rPr>
          <w:szCs w:val="24"/>
        </w:rPr>
      </w:pPr>
      <w:r>
        <w:rPr>
          <w:rFonts w:hint="eastAsia"/>
          <w:szCs w:val="24"/>
        </w:rPr>
        <w:t>各法兰连接处不得有泄露，螺栓不得有松动。</w:t>
      </w:r>
    </w:p>
    <w:p>
      <w:pPr>
        <w:ind w:firstLine="480"/>
        <w:rPr>
          <w:szCs w:val="24"/>
        </w:rPr>
      </w:pPr>
      <w:r>
        <w:rPr>
          <w:rFonts w:hint="eastAsia"/>
          <w:szCs w:val="24"/>
        </w:rPr>
        <w:t>电机电流不应超过额定值，三相电流应平衡。</w:t>
      </w:r>
    </w:p>
    <w:p>
      <w:pPr>
        <w:ind w:firstLine="480"/>
        <w:rPr>
          <w:szCs w:val="24"/>
        </w:rPr>
      </w:pPr>
      <w:r>
        <w:rPr>
          <w:rFonts w:hint="eastAsia"/>
          <w:szCs w:val="24"/>
        </w:rPr>
        <w:t>水泵运转应平稳、无异常声音。</w:t>
      </w:r>
    </w:p>
    <w:p>
      <w:pPr>
        <w:ind w:firstLine="480"/>
        <w:rPr>
          <w:szCs w:val="24"/>
        </w:rPr>
      </w:pPr>
      <w:bookmarkStart w:id="304" w:name="_Toc374697244"/>
      <w:bookmarkStart w:id="305" w:name="_Toc374804217"/>
      <w:bookmarkStart w:id="306" w:name="_Toc374803822"/>
      <w:bookmarkStart w:id="307" w:name="_Toc421473355"/>
      <w:bookmarkStart w:id="308" w:name="_Toc421029463"/>
      <w:bookmarkStart w:id="309" w:name="_Toc374718930"/>
      <w:bookmarkStart w:id="310" w:name="_Toc374720864"/>
      <w:bookmarkStart w:id="311" w:name="_Toc374720583"/>
      <w:bookmarkStart w:id="312" w:name="_Toc421024821"/>
      <w:bookmarkStart w:id="313" w:name="_Toc421029256"/>
      <w:bookmarkStart w:id="314" w:name="_Toc374718562"/>
      <w:r>
        <w:rPr>
          <w:rFonts w:hint="eastAsia"/>
          <w:szCs w:val="24"/>
        </w:rPr>
        <w:t>5、试水（充水）方式</w:t>
      </w:r>
      <w:bookmarkEnd w:id="304"/>
      <w:bookmarkEnd w:id="305"/>
      <w:bookmarkEnd w:id="306"/>
      <w:bookmarkEnd w:id="307"/>
      <w:bookmarkEnd w:id="308"/>
      <w:bookmarkEnd w:id="309"/>
      <w:bookmarkEnd w:id="310"/>
      <w:bookmarkEnd w:id="311"/>
      <w:bookmarkEnd w:id="312"/>
      <w:bookmarkEnd w:id="313"/>
      <w:bookmarkEnd w:id="314"/>
    </w:p>
    <w:p>
      <w:pPr>
        <w:ind w:firstLine="480"/>
        <w:rPr>
          <w:szCs w:val="24"/>
        </w:rPr>
      </w:pPr>
      <w:r>
        <w:rPr>
          <w:rFonts w:hint="eastAsia"/>
          <w:szCs w:val="24"/>
        </w:rPr>
        <w:t>按设计工艺顺序向各单元进行充水试验；</w:t>
      </w:r>
    </w:p>
    <w:p>
      <w:pPr>
        <w:ind w:firstLine="480"/>
        <w:rPr>
          <w:szCs w:val="24"/>
        </w:rPr>
      </w:pPr>
      <w:r>
        <w:rPr>
          <w:rFonts w:hint="eastAsia"/>
          <w:szCs w:val="24"/>
        </w:rPr>
        <w:t>对除臭设备进行充水试验；充水试验的作用是按设计水位高程要求，检查水路是否畅通，保证正常运行后满水量自流和安全超越功能，防止出现冒水和跑水现象。</w:t>
      </w:r>
    </w:p>
    <w:p>
      <w:pPr>
        <w:ind w:firstLine="480"/>
        <w:rPr>
          <w:szCs w:val="24"/>
        </w:rPr>
      </w:pPr>
      <w:bookmarkStart w:id="315" w:name="_Toc374804218"/>
      <w:bookmarkStart w:id="316" w:name="_Toc421024822"/>
      <w:bookmarkStart w:id="317" w:name="_Toc421473356"/>
      <w:bookmarkStart w:id="318" w:name="_Toc374720584"/>
      <w:bookmarkStart w:id="319" w:name="_Toc421029464"/>
      <w:bookmarkStart w:id="320" w:name="_Toc374720865"/>
      <w:bookmarkStart w:id="321" w:name="_Toc374718931"/>
      <w:bookmarkStart w:id="322" w:name="_Toc374803823"/>
      <w:bookmarkStart w:id="323" w:name="_Toc374718563"/>
      <w:bookmarkStart w:id="324" w:name="_Toc421029257"/>
      <w:bookmarkStart w:id="325" w:name="_Toc374697245"/>
      <w:r>
        <w:rPr>
          <w:rFonts w:hint="eastAsia"/>
          <w:szCs w:val="24"/>
        </w:rPr>
        <w:t>6、单机调试</w:t>
      </w:r>
      <w:bookmarkEnd w:id="315"/>
      <w:bookmarkEnd w:id="316"/>
      <w:bookmarkEnd w:id="317"/>
      <w:bookmarkEnd w:id="318"/>
      <w:bookmarkEnd w:id="319"/>
      <w:bookmarkEnd w:id="320"/>
      <w:bookmarkEnd w:id="321"/>
      <w:bookmarkEnd w:id="322"/>
      <w:bookmarkEnd w:id="323"/>
      <w:bookmarkEnd w:id="324"/>
      <w:bookmarkEnd w:id="325"/>
    </w:p>
    <w:p>
      <w:pPr>
        <w:ind w:firstLine="480"/>
        <w:rPr>
          <w:szCs w:val="24"/>
        </w:rPr>
      </w:pPr>
      <w:r>
        <w:rPr>
          <w:rFonts w:hint="eastAsia"/>
          <w:szCs w:val="24"/>
        </w:rPr>
        <w:t>工艺设计的单独工作运行的设备、装置均称为单机。在充水后，进行单机调试。</w:t>
      </w:r>
    </w:p>
    <w:p>
      <w:pPr>
        <w:ind w:firstLine="480"/>
        <w:rPr>
          <w:szCs w:val="24"/>
        </w:rPr>
      </w:pPr>
      <w:r>
        <w:rPr>
          <w:rFonts w:hint="eastAsia"/>
          <w:szCs w:val="24"/>
        </w:rPr>
        <w:t>单机调试应按照下列程序进行：</w:t>
      </w:r>
    </w:p>
    <w:p>
      <w:pPr>
        <w:ind w:firstLine="480"/>
        <w:rPr>
          <w:szCs w:val="24"/>
        </w:rPr>
      </w:pPr>
      <w:r>
        <w:rPr>
          <w:rFonts w:hint="eastAsia"/>
          <w:szCs w:val="24"/>
        </w:rPr>
        <w:t>按工艺资料要求，了解单机在工艺过程中的作用和管线连接。</w:t>
      </w:r>
    </w:p>
    <w:p>
      <w:pPr>
        <w:ind w:firstLine="480"/>
        <w:rPr>
          <w:szCs w:val="24"/>
        </w:rPr>
      </w:pPr>
      <w:r>
        <w:rPr>
          <w:rFonts w:hint="eastAsia"/>
          <w:szCs w:val="24"/>
        </w:rPr>
        <w:t>认真消化、阅读单机使用说明书，检查安装是否符合要求，机座是否固定牢。</w:t>
      </w:r>
    </w:p>
    <w:p>
      <w:pPr>
        <w:ind w:firstLine="480"/>
        <w:rPr>
          <w:szCs w:val="24"/>
        </w:rPr>
      </w:pPr>
      <w:r>
        <w:rPr>
          <w:rFonts w:hint="eastAsia"/>
          <w:szCs w:val="24"/>
        </w:rPr>
        <w:t>凡有运转要求的设备，要用手启动或者盘动，或者用小型机械协助盘动。无异常时方可点动。</w:t>
      </w:r>
    </w:p>
    <w:p>
      <w:pPr>
        <w:ind w:firstLine="480"/>
        <w:rPr>
          <w:szCs w:val="24"/>
        </w:rPr>
      </w:pPr>
      <w:r>
        <w:rPr>
          <w:rFonts w:hint="eastAsia"/>
          <w:szCs w:val="24"/>
        </w:rPr>
        <w:t>按说明书要求，加注润滑油（润滑脂）加至油标指示位置。</w:t>
      </w:r>
    </w:p>
    <w:p>
      <w:pPr>
        <w:ind w:firstLine="480"/>
        <w:rPr>
          <w:szCs w:val="24"/>
        </w:rPr>
      </w:pPr>
      <w:r>
        <w:rPr>
          <w:rFonts w:hint="eastAsia"/>
          <w:szCs w:val="24"/>
        </w:rPr>
        <w:t>点动启动后，检查电机设备转向，在确认转向正确后进行二次启动。</w:t>
      </w:r>
    </w:p>
    <w:p>
      <w:pPr>
        <w:ind w:firstLine="480"/>
        <w:rPr>
          <w:szCs w:val="24"/>
        </w:rPr>
      </w:pPr>
      <w:r>
        <w:rPr>
          <w:rFonts w:hint="eastAsia"/>
          <w:szCs w:val="24"/>
        </w:rPr>
        <w:t>点动无误后，作3-5min试运转，运转正常后，再作1-2h的连续运转，此时要检查设备温升，一般设备工作温度不宜高于50-60℃，除说明书有特殊规定者，温升异常时，应检查工作电流是否在规定范围内，超过规定范围的应停止运行，找出原因，消除后方可继续运行。单机连续运行不少于2h。</w:t>
      </w:r>
    </w:p>
    <w:p>
      <w:pPr>
        <w:ind w:firstLine="480"/>
        <w:rPr>
          <w:szCs w:val="24"/>
        </w:rPr>
      </w:pPr>
      <w:bookmarkStart w:id="326" w:name="_Toc374697246"/>
      <w:bookmarkStart w:id="327" w:name="_Toc374804219"/>
      <w:bookmarkStart w:id="328" w:name="_Toc421029258"/>
      <w:bookmarkStart w:id="329" w:name="_Toc421024823"/>
      <w:bookmarkStart w:id="330" w:name="_Toc374720585"/>
      <w:bookmarkStart w:id="331" w:name="_Toc374720866"/>
      <w:bookmarkStart w:id="332" w:name="_Toc374803824"/>
      <w:bookmarkStart w:id="333" w:name="_Toc374718932"/>
      <w:bookmarkStart w:id="334" w:name="_Toc421473357"/>
      <w:bookmarkStart w:id="335" w:name="_Toc421029465"/>
      <w:bookmarkStart w:id="336" w:name="_Toc374718564"/>
      <w:r>
        <w:rPr>
          <w:rFonts w:hint="eastAsia"/>
          <w:szCs w:val="24"/>
        </w:rPr>
        <w:t>7、单元调试</w:t>
      </w:r>
      <w:bookmarkEnd w:id="326"/>
      <w:bookmarkEnd w:id="327"/>
      <w:bookmarkEnd w:id="328"/>
      <w:bookmarkEnd w:id="329"/>
      <w:bookmarkEnd w:id="330"/>
      <w:bookmarkEnd w:id="331"/>
      <w:bookmarkEnd w:id="332"/>
      <w:bookmarkEnd w:id="333"/>
      <w:bookmarkEnd w:id="334"/>
      <w:bookmarkEnd w:id="335"/>
      <w:bookmarkEnd w:id="336"/>
    </w:p>
    <w:p>
      <w:pPr>
        <w:ind w:firstLine="480"/>
        <w:rPr>
          <w:szCs w:val="24"/>
        </w:rPr>
      </w:pPr>
      <w:r>
        <w:rPr>
          <w:rFonts w:hint="eastAsia"/>
          <w:szCs w:val="24"/>
        </w:rPr>
        <w:t>单元调试是在单元内单台设备试车基础上进行的，因为每个单元可能有几台不同的设备和装置组成，单元试车是检查单元内各设备连动运行情况，并应能保证单元正常工作。</w:t>
      </w:r>
    </w:p>
    <w:p>
      <w:pPr>
        <w:pStyle w:val="3"/>
        <w:spacing w:before="156" w:after="156"/>
        <w:ind w:firstLine="643"/>
      </w:pPr>
      <w:r>
        <w:rPr>
          <w:rFonts w:hint="eastAsia"/>
        </w:rPr>
        <w:br w:type="page"/>
      </w:r>
      <w:bookmarkStart w:id="337" w:name="_Toc73367223"/>
      <w:bookmarkStart w:id="338" w:name="_Toc15480"/>
      <w:r>
        <w:rPr>
          <w:rFonts w:hint="eastAsia" w:cs="Times New Roman"/>
          <w:bCs w:val="0"/>
          <w:szCs w:val="32"/>
        </w:rPr>
        <w:t>十、人员培训计划</w:t>
      </w:r>
      <w:bookmarkEnd w:id="337"/>
      <w:bookmarkEnd w:id="338"/>
    </w:p>
    <w:p>
      <w:pPr>
        <w:pStyle w:val="31"/>
        <w:ind w:left="108" w:firstLine="480"/>
        <w:rPr>
          <w:rFonts w:hAnsi="宋体"/>
          <w:kern w:val="2"/>
          <w:sz w:val="24"/>
          <w:szCs w:val="24"/>
        </w:rPr>
      </w:pPr>
      <w:r>
        <w:rPr>
          <w:rFonts w:hint="eastAsia" w:hAnsi="宋体"/>
          <w:kern w:val="2"/>
          <w:sz w:val="24"/>
          <w:szCs w:val="24"/>
        </w:rPr>
        <w:t>1、现场培训</w:t>
      </w:r>
    </w:p>
    <w:p>
      <w:pPr>
        <w:pStyle w:val="31"/>
        <w:ind w:left="108" w:firstLine="480"/>
        <w:rPr>
          <w:rFonts w:hAnsi="宋体"/>
          <w:kern w:val="2"/>
          <w:sz w:val="24"/>
          <w:szCs w:val="24"/>
        </w:rPr>
      </w:pPr>
      <w:r>
        <w:rPr>
          <w:rFonts w:hint="eastAsia" w:hAnsi="宋体"/>
          <w:kern w:val="2"/>
          <w:sz w:val="24"/>
          <w:szCs w:val="24"/>
        </w:rPr>
        <w:t>卖方负责在现场培训业主或使用单位的技术人员，操作和维护人员，在业主确认培训开始的一个月前推荐培训计划并提供培训资料，培训后的人员应能熟练操作设备，了解设备结构、工作原理，熟练日常维护保养，并能排除一般故障，特别仪表的使用，转换季节使用，必须注意的问题及处理方法。</w:t>
      </w:r>
    </w:p>
    <w:p>
      <w:pPr>
        <w:pStyle w:val="31"/>
        <w:ind w:left="108" w:firstLine="480"/>
        <w:rPr>
          <w:rFonts w:hAnsi="宋体"/>
          <w:kern w:val="2"/>
          <w:sz w:val="24"/>
          <w:szCs w:val="24"/>
        </w:rPr>
      </w:pPr>
      <w:r>
        <w:rPr>
          <w:rFonts w:hint="eastAsia" w:hAnsi="宋体"/>
          <w:kern w:val="2"/>
          <w:sz w:val="24"/>
          <w:szCs w:val="24"/>
        </w:rPr>
        <w:t>包括一份标准的培训计划和培训资料目录。</w:t>
      </w:r>
    </w:p>
    <w:p>
      <w:pPr>
        <w:pStyle w:val="31"/>
        <w:ind w:left="108" w:firstLine="480"/>
        <w:rPr>
          <w:rFonts w:hAnsi="宋体"/>
          <w:kern w:val="2"/>
          <w:sz w:val="24"/>
          <w:szCs w:val="24"/>
        </w:rPr>
      </w:pPr>
      <w:r>
        <w:rPr>
          <w:rFonts w:hint="eastAsia" w:hAnsi="宋体"/>
          <w:kern w:val="2"/>
          <w:sz w:val="24"/>
          <w:szCs w:val="24"/>
        </w:rPr>
        <w:t>2、培训细则</w:t>
      </w:r>
    </w:p>
    <w:p>
      <w:pPr>
        <w:pStyle w:val="31"/>
        <w:numPr>
          <w:ilvl w:val="0"/>
          <w:numId w:val="38"/>
        </w:numPr>
        <w:ind w:firstLine="480"/>
        <w:rPr>
          <w:rFonts w:hAnsi="宋体"/>
          <w:kern w:val="2"/>
          <w:sz w:val="24"/>
          <w:szCs w:val="24"/>
        </w:rPr>
      </w:pPr>
      <w:r>
        <w:rPr>
          <w:rFonts w:hint="eastAsia" w:hAnsi="宋体"/>
          <w:kern w:val="2"/>
          <w:sz w:val="24"/>
          <w:szCs w:val="24"/>
        </w:rPr>
        <w:t>设备调试时，业主有关技术人员，应已熟读卖方提供的安装、操作说明书，对机械设备有一定程度的了解。</w:t>
      </w:r>
    </w:p>
    <w:p>
      <w:pPr>
        <w:pStyle w:val="31"/>
        <w:numPr>
          <w:ilvl w:val="0"/>
          <w:numId w:val="38"/>
        </w:numPr>
        <w:ind w:firstLine="480"/>
        <w:rPr>
          <w:rFonts w:hAnsi="宋体"/>
          <w:kern w:val="2"/>
          <w:sz w:val="24"/>
          <w:szCs w:val="24"/>
        </w:rPr>
      </w:pPr>
      <w:r>
        <w:rPr>
          <w:rFonts w:hint="eastAsia" w:hAnsi="宋体"/>
          <w:kern w:val="2"/>
          <w:sz w:val="24"/>
          <w:szCs w:val="24"/>
        </w:rPr>
        <w:t>开始调试前，卖方工程师将现场解释设备各主要部件及其作业等，并作开机前检查。</w:t>
      </w:r>
    </w:p>
    <w:p>
      <w:pPr>
        <w:pStyle w:val="31"/>
        <w:numPr>
          <w:ilvl w:val="0"/>
          <w:numId w:val="38"/>
        </w:numPr>
        <w:ind w:firstLine="480"/>
        <w:rPr>
          <w:rFonts w:hAnsi="宋体"/>
          <w:kern w:val="2"/>
          <w:sz w:val="24"/>
          <w:szCs w:val="24"/>
        </w:rPr>
      </w:pPr>
      <w:r>
        <w:rPr>
          <w:rFonts w:hint="eastAsia" w:hAnsi="宋体"/>
          <w:kern w:val="2"/>
          <w:sz w:val="24"/>
          <w:szCs w:val="24"/>
        </w:rPr>
        <w:t>开始调试时，卖方工程师按正常程序开机，并同时教授说明每一程序所须注意的重点。</w:t>
      </w:r>
    </w:p>
    <w:p>
      <w:pPr>
        <w:pStyle w:val="31"/>
        <w:numPr>
          <w:ilvl w:val="0"/>
          <w:numId w:val="38"/>
        </w:numPr>
        <w:ind w:firstLine="480"/>
        <w:rPr>
          <w:rFonts w:hAnsi="宋体"/>
          <w:kern w:val="2"/>
          <w:sz w:val="24"/>
          <w:szCs w:val="24"/>
        </w:rPr>
      </w:pPr>
      <w:r>
        <w:rPr>
          <w:rFonts w:hint="eastAsia" w:hAnsi="宋体"/>
          <w:kern w:val="2"/>
          <w:sz w:val="24"/>
          <w:szCs w:val="24"/>
        </w:rPr>
        <w:t>设备正常运转时，卖方工程师按实际操作程序逐项解释说明。</w:t>
      </w:r>
    </w:p>
    <w:p>
      <w:pPr>
        <w:pStyle w:val="31"/>
        <w:numPr>
          <w:ilvl w:val="0"/>
          <w:numId w:val="38"/>
        </w:numPr>
        <w:ind w:firstLine="480"/>
        <w:rPr>
          <w:rFonts w:hAnsi="宋体"/>
          <w:kern w:val="2"/>
          <w:sz w:val="24"/>
          <w:szCs w:val="24"/>
        </w:rPr>
      </w:pPr>
      <w:r>
        <w:rPr>
          <w:rFonts w:hint="eastAsia" w:hAnsi="宋体"/>
          <w:kern w:val="2"/>
          <w:sz w:val="24"/>
          <w:szCs w:val="24"/>
        </w:rPr>
        <w:t>卖方工程师同时也需教授、说明保养设备各部位及特别须注意的重点。</w:t>
      </w:r>
    </w:p>
    <w:p>
      <w:pPr>
        <w:pStyle w:val="31"/>
        <w:numPr>
          <w:ilvl w:val="0"/>
          <w:numId w:val="38"/>
        </w:numPr>
        <w:ind w:firstLine="480"/>
        <w:rPr>
          <w:rFonts w:hAnsi="宋体"/>
          <w:kern w:val="2"/>
          <w:sz w:val="24"/>
          <w:szCs w:val="24"/>
        </w:rPr>
      </w:pPr>
      <w:r>
        <w:rPr>
          <w:rFonts w:hint="eastAsia" w:hAnsi="宋体"/>
          <w:kern w:val="2"/>
          <w:sz w:val="24"/>
          <w:szCs w:val="24"/>
        </w:rPr>
        <w:t>卖方工程师在调试期间，对设备所出现的故障需详细说明其可能原因并指导排除方法。</w:t>
      </w:r>
    </w:p>
    <w:p>
      <w:pPr>
        <w:pStyle w:val="31"/>
        <w:numPr>
          <w:ilvl w:val="0"/>
          <w:numId w:val="38"/>
        </w:numPr>
        <w:ind w:firstLine="480"/>
        <w:rPr>
          <w:rFonts w:hAnsi="宋体"/>
          <w:kern w:val="2"/>
          <w:sz w:val="24"/>
          <w:szCs w:val="24"/>
        </w:rPr>
      </w:pPr>
      <w:r>
        <w:rPr>
          <w:rFonts w:hint="eastAsia" w:hAnsi="宋体"/>
          <w:kern w:val="2"/>
          <w:sz w:val="24"/>
          <w:szCs w:val="24"/>
        </w:rPr>
        <w:t>调试完毕时举行座谈会，与各有关人员交流技术并解答有关开机操作、排除故障等问题。</w:t>
      </w:r>
    </w:p>
    <w:p>
      <w:pPr>
        <w:pStyle w:val="31"/>
        <w:numPr>
          <w:ilvl w:val="0"/>
          <w:numId w:val="38"/>
        </w:numPr>
        <w:ind w:firstLine="480"/>
        <w:rPr>
          <w:rFonts w:hAnsi="宋体"/>
          <w:kern w:val="2"/>
          <w:sz w:val="24"/>
          <w:szCs w:val="24"/>
        </w:rPr>
      </w:pPr>
      <w:r>
        <w:rPr>
          <w:rFonts w:hint="eastAsia" w:hAnsi="宋体"/>
          <w:kern w:val="2"/>
          <w:sz w:val="24"/>
          <w:szCs w:val="24"/>
        </w:rPr>
        <w:t>培训完结，买主操作人员在操作设备时，如有任何疑问，欢迎随时向卖方提出。</w:t>
      </w:r>
    </w:p>
    <w:p>
      <w:pPr>
        <w:pStyle w:val="31"/>
        <w:ind w:left="108" w:firstLine="480"/>
        <w:rPr>
          <w:rFonts w:hAnsi="宋体"/>
          <w:kern w:val="2"/>
          <w:sz w:val="24"/>
          <w:szCs w:val="24"/>
        </w:rPr>
      </w:pPr>
      <w:r>
        <w:rPr>
          <w:rFonts w:hint="eastAsia" w:hAnsi="宋体"/>
          <w:kern w:val="2"/>
          <w:sz w:val="24"/>
          <w:szCs w:val="24"/>
        </w:rPr>
        <w:t>3、设备培训计划表</w:t>
      </w:r>
    </w:p>
    <w:tbl>
      <w:tblPr>
        <w:tblStyle w:val="15"/>
        <w:tblW w:w="93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925"/>
        <w:gridCol w:w="1701"/>
        <w:gridCol w:w="851"/>
        <w:gridCol w:w="1359"/>
        <w:gridCol w:w="25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03" w:hRule="atLeast"/>
          <w:tblHeader/>
          <w:jc w:val="center"/>
        </w:trPr>
        <w:tc>
          <w:tcPr>
            <w:tcW w:w="2925" w:type="dxa"/>
            <w:vAlign w:val="center"/>
          </w:tcPr>
          <w:p>
            <w:pPr>
              <w:pStyle w:val="31"/>
              <w:ind w:firstLine="0" w:firstLineChars="0"/>
              <w:jc w:val="center"/>
              <w:rPr>
                <w:rFonts w:hAnsi="宋体"/>
                <w:kern w:val="2"/>
                <w:sz w:val="24"/>
                <w:szCs w:val="24"/>
              </w:rPr>
            </w:pPr>
            <w:r>
              <w:rPr>
                <w:rFonts w:hAnsi="宋体"/>
                <w:kern w:val="2"/>
                <w:sz w:val="24"/>
                <w:szCs w:val="24"/>
              </w:rPr>
              <w:t>培训内容</w:t>
            </w:r>
          </w:p>
        </w:tc>
        <w:tc>
          <w:tcPr>
            <w:tcW w:w="1701" w:type="dxa"/>
            <w:vAlign w:val="center"/>
          </w:tcPr>
          <w:p>
            <w:pPr>
              <w:pStyle w:val="31"/>
              <w:ind w:firstLine="0" w:firstLineChars="0"/>
              <w:jc w:val="center"/>
              <w:rPr>
                <w:rFonts w:hAnsi="宋体"/>
                <w:kern w:val="2"/>
                <w:sz w:val="24"/>
                <w:szCs w:val="24"/>
              </w:rPr>
            </w:pPr>
            <w:r>
              <w:rPr>
                <w:rFonts w:hAnsi="宋体"/>
                <w:kern w:val="2"/>
                <w:sz w:val="24"/>
                <w:szCs w:val="24"/>
              </w:rPr>
              <w:t>培训对象</w:t>
            </w:r>
          </w:p>
        </w:tc>
        <w:tc>
          <w:tcPr>
            <w:tcW w:w="851" w:type="dxa"/>
            <w:vAlign w:val="center"/>
          </w:tcPr>
          <w:p>
            <w:pPr>
              <w:pStyle w:val="31"/>
              <w:ind w:firstLine="0" w:firstLineChars="0"/>
              <w:jc w:val="center"/>
              <w:rPr>
                <w:rFonts w:hAnsi="宋体"/>
                <w:kern w:val="2"/>
                <w:sz w:val="24"/>
                <w:szCs w:val="24"/>
              </w:rPr>
            </w:pPr>
            <w:r>
              <w:rPr>
                <w:rFonts w:hAnsi="宋体"/>
                <w:kern w:val="2"/>
                <w:sz w:val="24"/>
                <w:szCs w:val="24"/>
              </w:rPr>
              <w:t>拟定</w:t>
            </w:r>
          </w:p>
          <w:p>
            <w:pPr>
              <w:pStyle w:val="31"/>
              <w:ind w:firstLine="0" w:firstLineChars="0"/>
              <w:jc w:val="center"/>
              <w:rPr>
                <w:rFonts w:hAnsi="宋体"/>
                <w:kern w:val="2"/>
                <w:sz w:val="24"/>
                <w:szCs w:val="24"/>
              </w:rPr>
            </w:pPr>
            <w:r>
              <w:rPr>
                <w:rFonts w:hAnsi="宋体"/>
                <w:kern w:val="2"/>
                <w:sz w:val="24"/>
                <w:szCs w:val="24"/>
              </w:rPr>
              <w:t>时间</w:t>
            </w:r>
          </w:p>
        </w:tc>
        <w:tc>
          <w:tcPr>
            <w:tcW w:w="1359" w:type="dxa"/>
            <w:vAlign w:val="center"/>
          </w:tcPr>
          <w:p>
            <w:pPr>
              <w:pStyle w:val="31"/>
              <w:ind w:firstLine="0" w:firstLineChars="0"/>
              <w:jc w:val="center"/>
              <w:rPr>
                <w:rFonts w:hAnsi="宋体"/>
                <w:kern w:val="2"/>
                <w:sz w:val="24"/>
                <w:szCs w:val="24"/>
              </w:rPr>
            </w:pPr>
            <w:r>
              <w:rPr>
                <w:rFonts w:hint="eastAsia" w:hAnsi="宋体"/>
                <w:kern w:val="2"/>
                <w:sz w:val="24"/>
                <w:szCs w:val="24"/>
              </w:rPr>
              <w:t>主讲</w:t>
            </w:r>
          </w:p>
        </w:tc>
        <w:tc>
          <w:tcPr>
            <w:tcW w:w="2508" w:type="dxa"/>
            <w:vAlign w:val="center"/>
          </w:tcPr>
          <w:p>
            <w:pPr>
              <w:pStyle w:val="31"/>
              <w:ind w:firstLine="0" w:firstLineChars="0"/>
              <w:jc w:val="center"/>
              <w:rPr>
                <w:rFonts w:hAnsi="宋体"/>
                <w:kern w:val="2"/>
                <w:sz w:val="24"/>
                <w:szCs w:val="24"/>
              </w:rPr>
            </w:pPr>
            <w:r>
              <w:rPr>
                <w:rFonts w:hAnsi="宋体"/>
                <w:kern w:val="2"/>
                <w:sz w:val="24"/>
                <w:szCs w:val="24"/>
              </w:rPr>
              <w:t>对受训人员的</w:t>
            </w:r>
          </w:p>
          <w:p>
            <w:pPr>
              <w:pStyle w:val="31"/>
              <w:ind w:firstLine="0" w:firstLineChars="0"/>
              <w:jc w:val="center"/>
              <w:rPr>
                <w:rFonts w:hAnsi="宋体"/>
                <w:kern w:val="2"/>
                <w:sz w:val="24"/>
                <w:szCs w:val="24"/>
              </w:rPr>
            </w:pPr>
            <w:r>
              <w:rPr>
                <w:rFonts w:hAnsi="宋体"/>
                <w:kern w:val="2"/>
                <w:sz w:val="24"/>
                <w:szCs w:val="24"/>
              </w:rPr>
              <w:t>基本素质要求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8" w:hRule="atLeast"/>
          <w:tblHeader/>
          <w:jc w:val="center"/>
        </w:trPr>
        <w:tc>
          <w:tcPr>
            <w:tcW w:w="9344" w:type="dxa"/>
            <w:gridSpan w:val="5"/>
            <w:vAlign w:val="center"/>
          </w:tcPr>
          <w:p>
            <w:pPr>
              <w:pStyle w:val="31"/>
              <w:ind w:firstLine="0" w:firstLineChars="0"/>
              <w:jc w:val="center"/>
              <w:rPr>
                <w:rFonts w:hAnsi="宋体"/>
                <w:kern w:val="2"/>
                <w:sz w:val="24"/>
                <w:szCs w:val="24"/>
              </w:rPr>
            </w:pPr>
            <w:r>
              <w:rPr>
                <w:rFonts w:hint="eastAsia" w:hAnsi="宋体"/>
                <w:kern w:val="2"/>
                <w:sz w:val="24"/>
                <w:szCs w:val="24"/>
              </w:rPr>
              <w:t>除臭系统操作和维护理论讲解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8" w:hRule="atLeast"/>
          <w:jc w:val="center"/>
        </w:trPr>
        <w:tc>
          <w:tcPr>
            <w:tcW w:w="2925" w:type="dxa"/>
            <w:vAlign w:val="center"/>
          </w:tcPr>
          <w:p>
            <w:pPr>
              <w:pStyle w:val="31"/>
              <w:ind w:firstLine="0" w:firstLineChars="0"/>
              <w:jc w:val="center"/>
              <w:rPr>
                <w:rFonts w:hAnsi="宋体"/>
                <w:kern w:val="2"/>
                <w:sz w:val="24"/>
                <w:szCs w:val="24"/>
              </w:rPr>
            </w:pPr>
            <w:r>
              <w:rPr>
                <w:rFonts w:hint="eastAsia" w:hAnsi="宋体"/>
                <w:kern w:val="2"/>
                <w:sz w:val="24"/>
                <w:szCs w:val="24"/>
              </w:rPr>
              <w:t>系统除臭</w:t>
            </w:r>
            <w:r>
              <w:rPr>
                <w:rFonts w:hAnsi="宋体"/>
                <w:kern w:val="2"/>
                <w:sz w:val="24"/>
                <w:szCs w:val="24"/>
              </w:rPr>
              <w:t>原理</w:t>
            </w:r>
            <w:r>
              <w:rPr>
                <w:rFonts w:hint="eastAsia" w:hAnsi="宋体"/>
                <w:kern w:val="2"/>
                <w:sz w:val="24"/>
                <w:szCs w:val="24"/>
              </w:rPr>
              <w:t>和</w:t>
            </w:r>
            <w:r>
              <w:rPr>
                <w:rFonts w:hAnsi="宋体"/>
                <w:kern w:val="2"/>
                <w:sz w:val="24"/>
                <w:szCs w:val="24"/>
              </w:rPr>
              <w:t>结构特点</w:t>
            </w:r>
          </w:p>
        </w:tc>
        <w:tc>
          <w:tcPr>
            <w:tcW w:w="1701" w:type="dxa"/>
            <w:vAlign w:val="center"/>
          </w:tcPr>
          <w:p>
            <w:pPr>
              <w:pStyle w:val="31"/>
              <w:ind w:firstLine="0" w:firstLineChars="0"/>
              <w:jc w:val="center"/>
              <w:rPr>
                <w:rFonts w:hAnsi="宋体"/>
                <w:kern w:val="2"/>
                <w:sz w:val="24"/>
                <w:szCs w:val="24"/>
              </w:rPr>
            </w:pPr>
            <w:r>
              <w:rPr>
                <w:rFonts w:hAnsi="宋体"/>
                <w:kern w:val="2"/>
                <w:sz w:val="24"/>
                <w:szCs w:val="24"/>
              </w:rPr>
              <w:t>业主操作人员</w:t>
            </w:r>
          </w:p>
        </w:tc>
        <w:tc>
          <w:tcPr>
            <w:tcW w:w="851" w:type="dxa"/>
            <w:vMerge w:val="restart"/>
            <w:vAlign w:val="center"/>
          </w:tcPr>
          <w:p>
            <w:pPr>
              <w:pStyle w:val="31"/>
              <w:ind w:firstLine="0" w:firstLineChars="0"/>
              <w:jc w:val="center"/>
              <w:rPr>
                <w:rFonts w:hAnsi="宋体"/>
                <w:kern w:val="2"/>
                <w:sz w:val="24"/>
                <w:szCs w:val="24"/>
              </w:rPr>
            </w:pPr>
            <w:r>
              <w:rPr>
                <w:rFonts w:hAnsi="宋体"/>
                <w:kern w:val="2"/>
                <w:sz w:val="24"/>
                <w:szCs w:val="24"/>
              </w:rPr>
              <w:t>约</w:t>
            </w:r>
            <w:r>
              <w:rPr>
                <w:rFonts w:hint="eastAsia" w:hAnsi="宋体"/>
                <w:kern w:val="2"/>
                <w:sz w:val="24"/>
                <w:szCs w:val="24"/>
              </w:rPr>
              <w:t>1</w:t>
            </w:r>
            <w:r>
              <w:rPr>
                <w:rFonts w:hAnsi="宋体"/>
                <w:kern w:val="2"/>
                <w:sz w:val="24"/>
                <w:szCs w:val="24"/>
              </w:rPr>
              <w:t>天</w:t>
            </w:r>
          </w:p>
        </w:tc>
        <w:tc>
          <w:tcPr>
            <w:tcW w:w="1359" w:type="dxa"/>
            <w:vMerge w:val="restart"/>
            <w:vAlign w:val="center"/>
          </w:tcPr>
          <w:p>
            <w:pPr>
              <w:pStyle w:val="31"/>
              <w:ind w:firstLine="0" w:firstLineChars="0"/>
              <w:jc w:val="center"/>
              <w:rPr>
                <w:rFonts w:hAnsi="宋体"/>
                <w:kern w:val="2"/>
                <w:sz w:val="24"/>
                <w:szCs w:val="24"/>
              </w:rPr>
            </w:pPr>
            <w:r>
              <w:rPr>
                <w:rFonts w:hint="eastAsia" w:hAnsi="宋体"/>
                <w:kern w:val="2"/>
                <w:sz w:val="24"/>
                <w:szCs w:val="24"/>
              </w:rPr>
              <w:t>本公司</w:t>
            </w:r>
          </w:p>
          <w:p>
            <w:pPr>
              <w:pStyle w:val="31"/>
              <w:ind w:firstLine="0" w:firstLineChars="0"/>
              <w:jc w:val="center"/>
              <w:rPr>
                <w:rFonts w:hAnsi="宋体"/>
                <w:kern w:val="2"/>
                <w:sz w:val="24"/>
                <w:szCs w:val="24"/>
              </w:rPr>
            </w:pPr>
            <w:r>
              <w:rPr>
                <w:rFonts w:hint="eastAsia" w:hAnsi="宋体"/>
                <w:kern w:val="2"/>
                <w:sz w:val="24"/>
                <w:szCs w:val="24"/>
              </w:rPr>
              <w:t>工程师</w:t>
            </w:r>
          </w:p>
        </w:tc>
        <w:tc>
          <w:tcPr>
            <w:tcW w:w="2508" w:type="dxa"/>
            <w:vMerge w:val="restart"/>
            <w:vAlign w:val="center"/>
          </w:tcPr>
          <w:p>
            <w:pPr>
              <w:pStyle w:val="31"/>
              <w:ind w:firstLine="0" w:firstLineChars="0"/>
              <w:jc w:val="center"/>
              <w:rPr>
                <w:rFonts w:hAnsi="宋体"/>
                <w:kern w:val="2"/>
                <w:sz w:val="24"/>
                <w:szCs w:val="24"/>
              </w:rPr>
            </w:pPr>
            <w:r>
              <w:rPr>
                <w:rFonts w:hAnsi="宋体"/>
                <w:kern w:val="2"/>
                <w:sz w:val="24"/>
                <w:szCs w:val="24"/>
              </w:rPr>
              <w:t>具有相关岗位资格</w:t>
            </w:r>
          </w:p>
          <w:p>
            <w:pPr>
              <w:pStyle w:val="31"/>
              <w:ind w:firstLine="0" w:firstLineChars="0"/>
              <w:jc w:val="center"/>
              <w:rPr>
                <w:rFonts w:hAnsi="宋体"/>
                <w:kern w:val="2"/>
                <w:sz w:val="24"/>
                <w:szCs w:val="24"/>
              </w:rPr>
            </w:pPr>
            <w:r>
              <w:rPr>
                <w:rFonts w:hint="eastAsia" w:hAnsi="宋体"/>
                <w:kern w:val="2"/>
                <w:sz w:val="24"/>
                <w:szCs w:val="24"/>
              </w:rPr>
              <w:t>暂定二人，</w:t>
            </w:r>
          </w:p>
          <w:p>
            <w:pPr>
              <w:pStyle w:val="31"/>
              <w:ind w:firstLine="0" w:firstLineChars="0"/>
              <w:jc w:val="center"/>
              <w:rPr>
                <w:rFonts w:hAnsi="宋体"/>
                <w:kern w:val="2"/>
                <w:sz w:val="24"/>
                <w:szCs w:val="24"/>
              </w:rPr>
            </w:pPr>
            <w:r>
              <w:rPr>
                <w:rFonts w:hint="eastAsia" w:hAnsi="宋体"/>
                <w:kern w:val="2"/>
                <w:sz w:val="24"/>
                <w:szCs w:val="24"/>
              </w:rPr>
              <w:t>根据需要增加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 w:hRule="atLeast"/>
          <w:jc w:val="center"/>
        </w:trPr>
        <w:tc>
          <w:tcPr>
            <w:tcW w:w="2925" w:type="dxa"/>
            <w:vAlign w:val="center"/>
          </w:tcPr>
          <w:p>
            <w:pPr>
              <w:pStyle w:val="31"/>
              <w:ind w:firstLine="0" w:firstLineChars="0"/>
              <w:jc w:val="center"/>
              <w:rPr>
                <w:rFonts w:hAnsi="宋体"/>
                <w:kern w:val="2"/>
                <w:sz w:val="24"/>
                <w:szCs w:val="24"/>
              </w:rPr>
            </w:pPr>
            <w:r>
              <w:rPr>
                <w:rFonts w:hAnsi="宋体"/>
                <w:kern w:val="2"/>
                <w:sz w:val="24"/>
                <w:szCs w:val="24"/>
              </w:rPr>
              <w:t>设备控制系统</w:t>
            </w:r>
          </w:p>
        </w:tc>
        <w:tc>
          <w:tcPr>
            <w:tcW w:w="1701" w:type="dxa"/>
            <w:vAlign w:val="center"/>
          </w:tcPr>
          <w:p>
            <w:pPr>
              <w:pStyle w:val="31"/>
              <w:ind w:firstLine="0" w:firstLineChars="0"/>
              <w:jc w:val="center"/>
              <w:rPr>
                <w:rFonts w:hAnsi="宋体"/>
                <w:kern w:val="2"/>
                <w:sz w:val="24"/>
                <w:szCs w:val="24"/>
              </w:rPr>
            </w:pPr>
            <w:r>
              <w:rPr>
                <w:rFonts w:hAnsi="宋体"/>
                <w:kern w:val="2"/>
                <w:sz w:val="24"/>
                <w:szCs w:val="24"/>
              </w:rPr>
              <w:t>业主操作人员</w:t>
            </w:r>
          </w:p>
        </w:tc>
        <w:tc>
          <w:tcPr>
            <w:tcW w:w="851" w:type="dxa"/>
            <w:vMerge w:val="continue"/>
            <w:vAlign w:val="center"/>
          </w:tcPr>
          <w:p>
            <w:pPr>
              <w:pStyle w:val="31"/>
              <w:ind w:firstLine="0" w:firstLineChars="0"/>
              <w:jc w:val="center"/>
              <w:rPr>
                <w:rFonts w:hAnsi="宋体"/>
                <w:kern w:val="2"/>
                <w:sz w:val="24"/>
                <w:szCs w:val="24"/>
              </w:rPr>
            </w:pPr>
          </w:p>
        </w:tc>
        <w:tc>
          <w:tcPr>
            <w:tcW w:w="1359" w:type="dxa"/>
            <w:vMerge w:val="continue"/>
            <w:vAlign w:val="center"/>
          </w:tcPr>
          <w:p>
            <w:pPr>
              <w:pStyle w:val="31"/>
              <w:ind w:firstLine="0" w:firstLineChars="0"/>
              <w:jc w:val="center"/>
              <w:rPr>
                <w:rFonts w:hAnsi="宋体"/>
                <w:kern w:val="2"/>
                <w:sz w:val="24"/>
                <w:szCs w:val="24"/>
              </w:rPr>
            </w:pPr>
          </w:p>
        </w:tc>
        <w:tc>
          <w:tcPr>
            <w:tcW w:w="2508" w:type="dxa"/>
            <w:vMerge w:val="continue"/>
            <w:vAlign w:val="center"/>
          </w:tcPr>
          <w:p>
            <w:pPr>
              <w:pStyle w:val="31"/>
              <w:ind w:firstLine="0" w:firstLineChars="0"/>
              <w:jc w:val="center"/>
              <w:rPr>
                <w:rFonts w:hAnsi="宋体"/>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 w:hRule="atLeast"/>
          <w:jc w:val="center"/>
        </w:trPr>
        <w:tc>
          <w:tcPr>
            <w:tcW w:w="2925" w:type="dxa"/>
            <w:vAlign w:val="center"/>
          </w:tcPr>
          <w:p>
            <w:pPr>
              <w:pStyle w:val="31"/>
              <w:ind w:firstLine="0" w:firstLineChars="0"/>
              <w:jc w:val="center"/>
              <w:rPr>
                <w:rFonts w:hAnsi="宋体"/>
                <w:kern w:val="2"/>
                <w:sz w:val="24"/>
                <w:szCs w:val="24"/>
              </w:rPr>
            </w:pPr>
            <w:r>
              <w:rPr>
                <w:rFonts w:hAnsi="宋体"/>
                <w:kern w:val="2"/>
                <w:sz w:val="24"/>
                <w:szCs w:val="24"/>
              </w:rPr>
              <w:t>设备维护、保养</w:t>
            </w:r>
          </w:p>
        </w:tc>
        <w:tc>
          <w:tcPr>
            <w:tcW w:w="1701" w:type="dxa"/>
            <w:vAlign w:val="center"/>
          </w:tcPr>
          <w:p>
            <w:pPr>
              <w:pStyle w:val="31"/>
              <w:ind w:firstLine="0" w:firstLineChars="0"/>
              <w:jc w:val="center"/>
              <w:rPr>
                <w:rFonts w:hAnsi="宋体"/>
                <w:kern w:val="2"/>
                <w:sz w:val="24"/>
                <w:szCs w:val="24"/>
              </w:rPr>
            </w:pPr>
            <w:r>
              <w:rPr>
                <w:rFonts w:hAnsi="宋体"/>
                <w:kern w:val="2"/>
                <w:sz w:val="24"/>
                <w:szCs w:val="24"/>
              </w:rPr>
              <w:t>业主操作人员</w:t>
            </w:r>
          </w:p>
        </w:tc>
        <w:tc>
          <w:tcPr>
            <w:tcW w:w="851" w:type="dxa"/>
            <w:vMerge w:val="continue"/>
            <w:vAlign w:val="center"/>
          </w:tcPr>
          <w:p>
            <w:pPr>
              <w:pStyle w:val="31"/>
              <w:ind w:firstLine="0" w:firstLineChars="0"/>
              <w:jc w:val="center"/>
              <w:rPr>
                <w:rFonts w:hAnsi="宋体"/>
                <w:kern w:val="2"/>
                <w:sz w:val="24"/>
                <w:szCs w:val="24"/>
              </w:rPr>
            </w:pPr>
          </w:p>
        </w:tc>
        <w:tc>
          <w:tcPr>
            <w:tcW w:w="1359" w:type="dxa"/>
            <w:vMerge w:val="continue"/>
            <w:vAlign w:val="center"/>
          </w:tcPr>
          <w:p>
            <w:pPr>
              <w:pStyle w:val="31"/>
              <w:ind w:firstLine="0" w:firstLineChars="0"/>
              <w:jc w:val="center"/>
              <w:rPr>
                <w:rFonts w:hAnsi="宋体"/>
                <w:kern w:val="2"/>
                <w:sz w:val="24"/>
                <w:szCs w:val="24"/>
              </w:rPr>
            </w:pPr>
          </w:p>
        </w:tc>
        <w:tc>
          <w:tcPr>
            <w:tcW w:w="2508" w:type="dxa"/>
            <w:vMerge w:val="continue"/>
            <w:vAlign w:val="center"/>
          </w:tcPr>
          <w:p>
            <w:pPr>
              <w:pStyle w:val="31"/>
              <w:ind w:firstLine="0" w:firstLineChars="0"/>
              <w:jc w:val="center"/>
              <w:rPr>
                <w:rFonts w:hAnsi="宋体"/>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 w:hRule="atLeast"/>
          <w:jc w:val="center"/>
        </w:trPr>
        <w:tc>
          <w:tcPr>
            <w:tcW w:w="9344" w:type="dxa"/>
            <w:gridSpan w:val="5"/>
            <w:vAlign w:val="center"/>
          </w:tcPr>
          <w:p>
            <w:pPr>
              <w:pStyle w:val="31"/>
              <w:ind w:firstLine="0" w:firstLineChars="0"/>
              <w:jc w:val="center"/>
              <w:rPr>
                <w:rFonts w:hAnsi="宋体"/>
                <w:kern w:val="2"/>
                <w:sz w:val="24"/>
                <w:szCs w:val="24"/>
              </w:rPr>
            </w:pPr>
            <w:r>
              <w:rPr>
                <w:rFonts w:hint="eastAsia" w:hAnsi="宋体"/>
                <w:kern w:val="2"/>
                <w:sz w:val="24"/>
                <w:szCs w:val="24"/>
              </w:rPr>
              <w:t>除臭系统操作和维护示范和指导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 w:hRule="atLeast"/>
          <w:jc w:val="center"/>
        </w:trPr>
        <w:tc>
          <w:tcPr>
            <w:tcW w:w="2925" w:type="dxa"/>
            <w:vAlign w:val="center"/>
          </w:tcPr>
          <w:p>
            <w:pPr>
              <w:pStyle w:val="31"/>
              <w:ind w:firstLine="0" w:firstLineChars="0"/>
              <w:jc w:val="center"/>
              <w:rPr>
                <w:rFonts w:hAnsi="宋体"/>
                <w:kern w:val="2"/>
                <w:sz w:val="24"/>
                <w:szCs w:val="24"/>
              </w:rPr>
            </w:pPr>
            <w:r>
              <w:rPr>
                <w:rFonts w:hAnsi="宋体"/>
                <w:kern w:val="2"/>
                <w:sz w:val="24"/>
                <w:szCs w:val="24"/>
              </w:rPr>
              <w:t>设备启动</w:t>
            </w:r>
          </w:p>
        </w:tc>
        <w:tc>
          <w:tcPr>
            <w:tcW w:w="1701" w:type="dxa"/>
            <w:vAlign w:val="center"/>
          </w:tcPr>
          <w:p>
            <w:pPr>
              <w:pStyle w:val="31"/>
              <w:ind w:firstLine="0" w:firstLineChars="0"/>
              <w:jc w:val="center"/>
              <w:rPr>
                <w:rFonts w:hAnsi="宋体"/>
                <w:kern w:val="2"/>
                <w:sz w:val="24"/>
                <w:szCs w:val="24"/>
              </w:rPr>
            </w:pPr>
            <w:r>
              <w:rPr>
                <w:rFonts w:hAnsi="宋体"/>
                <w:kern w:val="2"/>
                <w:sz w:val="24"/>
                <w:szCs w:val="24"/>
              </w:rPr>
              <w:t>业主操作人员</w:t>
            </w:r>
          </w:p>
        </w:tc>
        <w:tc>
          <w:tcPr>
            <w:tcW w:w="851" w:type="dxa"/>
            <w:vMerge w:val="restart"/>
            <w:vAlign w:val="center"/>
          </w:tcPr>
          <w:p>
            <w:pPr>
              <w:pStyle w:val="31"/>
              <w:ind w:firstLine="0" w:firstLineChars="0"/>
              <w:jc w:val="center"/>
              <w:rPr>
                <w:rFonts w:hAnsi="宋体"/>
                <w:kern w:val="2"/>
                <w:sz w:val="24"/>
                <w:szCs w:val="24"/>
              </w:rPr>
            </w:pPr>
            <w:r>
              <w:rPr>
                <w:rFonts w:hAnsi="宋体"/>
                <w:kern w:val="2"/>
                <w:sz w:val="24"/>
                <w:szCs w:val="24"/>
              </w:rPr>
              <w:t>约</w:t>
            </w:r>
            <w:r>
              <w:rPr>
                <w:rFonts w:hint="eastAsia" w:hAnsi="宋体"/>
                <w:kern w:val="2"/>
                <w:sz w:val="24"/>
                <w:szCs w:val="24"/>
              </w:rPr>
              <w:t>1</w:t>
            </w:r>
            <w:r>
              <w:rPr>
                <w:rFonts w:hAnsi="宋体"/>
                <w:kern w:val="2"/>
                <w:sz w:val="24"/>
                <w:szCs w:val="24"/>
              </w:rPr>
              <w:t>天</w:t>
            </w:r>
          </w:p>
        </w:tc>
        <w:tc>
          <w:tcPr>
            <w:tcW w:w="1359" w:type="dxa"/>
            <w:vMerge w:val="restart"/>
            <w:vAlign w:val="center"/>
          </w:tcPr>
          <w:p>
            <w:pPr>
              <w:pStyle w:val="31"/>
              <w:ind w:firstLine="0" w:firstLineChars="0"/>
              <w:jc w:val="center"/>
              <w:rPr>
                <w:rFonts w:hAnsi="宋体"/>
                <w:kern w:val="2"/>
                <w:sz w:val="24"/>
                <w:szCs w:val="24"/>
              </w:rPr>
            </w:pPr>
            <w:r>
              <w:rPr>
                <w:rFonts w:hint="eastAsia" w:hAnsi="宋体"/>
                <w:kern w:val="2"/>
                <w:sz w:val="24"/>
                <w:szCs w:val="24"/>
              </w:rPr>
              <w:t>本公司</w:t>
            </w:r>
          </w:p>
          <w:p>
            <w:pPr>
              <w:pStyle w:val="31"/>
              <w:ind w:firstLine="0" w:firstLineChars="0"/>
              <w:jc w:val="center"/>
              <w:rPr>
                <w:rFonts w:hAnsi="宋体"/>
                <w:kern w:val="2"/>
                <w:sz w:val="24"/>
                <w:szCs w:val="24"/>
              </w:rPr>
            </w:pPr>
            <w:r>
              <w:rPr>
                <w:rFonts w:hint="eastAsia" w:hAnsi="宋体"/>
                <w:kern w:val="2"/>
                <w:sz w:val="24"/>
                <w:szCs w:val="24"/>
              </w:rPr>
              <w:t>工程师</w:t>
            </w:r>
          </w:p>
        </w:tc>
        <w:tc>
          <w:tcPr>
            <w:tcW w:w="2508" w:type="dxa"/>
            <w:vMerge w:val="restart"/>
            <w:vAlign w:val="center"/>
          </w:tcPr>
          <w:p>
            <w:pPr>
              <w:pStyle w:val="31"/>
              <w:ind w:firstLine="0" w:firstLineChars="0"/>
              <w:jc w:val="center"/>
              <w:rPr>
                <w:rFonts w:hAnsi="宋体"/>
                <w:kern w:val="2"/>
                <w:sz w:val="24"/>
                <w:szCs w:val="24"/>
              </w:rPr>
            </w:pPr>
            <w:r>
              <w:rPr>
                <w:rFonts w:hAnsi="宋体"/>
                <w:kern w:val="2"/>
                <w:sz w:val="24"/>
                <w:szCs w:val="24"/>
              </w:rPr>
              <w:t>具有相关岗位资格</w:t>
            </w:r>
          </w:p>
          <w:p>
            <w:pPr>
              <w:pStyle w:val="31"/>
              <w:ind w:firstLine="0" w:firstLineChars="0"/>
              <w:jc w:val="center"/>
              <w:rPr>
                <w:rFonts w:hAnsi="宋体"/>
                <w:kern w:val="2"/>
                <w:sz w:val="24"/>
                <w:szCs w:val="24"/>
              </w:rPr>
            </w:pPr>
            <w:r>
              <w:rPr>
                <w:rFonts w:hint="eastAsia" w:hAnsi="宋体"/>
                <w:kern w:val="2"/>
                <w:sz w:val="24"/>
                <w:szCs w:val="24"/>
              </w:rPr>
              <w:t>暂定二人，</w:t>
            </w:r>
          </w:p>
          <w:p>
            <w:pPr>
              <w:pStyle w:val="31"/>
              <w:ind w:firstLine="0" w:firstLineChars="0"/>
              <w:jc w:val="center"/>
              <w:rPr>
                <w:rFonts w:hAnsi="宋体"/>
                <w:kern w:val="2"/>
                <w:sz w:val="24"/>
                <w:szCs w:val="24"/>
              </w:rPr>
            </w:pPr>
            <w:r>
              <w:rPr>
                <w:rFonts w:hint="eastAsia" w:hAnsi="宋体"/>
                <w:kern w:val="2"/>
                <w:sz w:val="24"/>
                <w:szCs w:val="24"/>
              </w:rPr>
              <w:t>根据需要增加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 w:hRule="atLeast"/>
          <w:jc w:val="center"/>
        </w:trPr>
        <w:tc>
          <w:tcPr>
            <w:tcW w:w="2925" w:type="dxa"/>
            <w:vAlign w:val="center"/>
          </w:tcPr>
          <w:p>
            <w:pPr>
              <w:pStyle w:val="31"/>
              <w:ind w:firstLine="0" w:firstLineChars="0"/>
              <w:jc w:val="center"/>
              <w:rPr>
                <w:rFonts w:hAnsi="宋体"/>
                <w:kern w:val="2"/>
                <w:sz w:val="24"/>
                <w:szCs w:val="24"/>
              </w:rPr>
            </w:pPr>
            <w:r>
              <w:rPr>
                <w:rFonts w:hAnsi="宋体"/>
                <w:kern w:val="2"/>
                <w:sz w:val="24"/>
                <w:szCs w:val="24"/>
              </w:rPr>
              <w:t>设备自动和手动调节</w:t>
            </w:r>
          </w:p>
        </w:tc>
        <w:tc>
          <w:tcPr>
            <w:tcW w:w="1701" w:type="dxa"/>
            <w:vAlign w:val="center"/>
          </w:tcPr>
          <w:p>
            <w:pPr>
              <w:pStyle w:val="31"/>
              <w:ind w:firstLine="0" w:firstLineChars="0"/>
              <w:jc w:val="center"/>
              <w:rPr>
                <w:rFonts w:hAnsi="宋体"/>
                <w:kern w:val="2"/>
                <w:sz w:val="24"/>
                <w:szCs w:val="24"/>
              </w:rPr>
            </w:pPr>
            <w:r>
              <w:rPr>
                <w:rFonts w:hAnsi="宋体"/>
                <w:kern w:val="2"/>
                <w:sz w:val="24"/>
                <w:szCs w:val="24"/>
              </w:rPr>
              <w:t>业主操作人员</w:t>
            </w:r>
          </w:p>
        </w:tc>
        <w:tc>
          <w:tcPr>
            <w:tcW w:w="851" w:type="dxa"/>
            <w:vMerge w:val="continue"/>
            <w:vAlign w:val="center"/>
          </w:tcPr>
          <w:p>
            <w:pPr>
              <w:pStyle w:val="31"/>
              <w:ind w:firstLine="0" w:firstLineChars="0"/>
              <w:jc w:val="center"/>
              <w:rPr>
                <w:rFonts w:hAnsi="宋体"/>
                <w:kern w:val="2"/>
                <w:sz w:val="24"/>
                <w:szCs w:val="24"/>
              </w:rPr>
            </w:pPr>
          </w:p>
        </w:tc>
        <w:tc>
          <w:tcPr>
            <w:tcW w:w="1359" w:type="dxa"/>
            <w:vMerge w:val="continue"/>
            <w:vAlign w:val="center"/>
          </w:tcPr>
          <w:p>
            <w:pPr>
              <w:pStyle w:val="31"/>
              <w:ind w:firstLine="0" w:firstLineChars="0"/>
              <w:jc w:val="center"/>
              <w:rPr>
                <w:rFonts w:hAnsi="宋体"/>
                <w:kern w:val="2"/>
                <w:sz w:val="24"/>
                <w:szCs w:val="24"/>
              </w:rPr>
            </w:pPr>
          </w:p>
        </w:tc>
        <w:tc>
          <w:tcPr>
            <w:tcW w:w="2508" w:type="dxa"/>
            <w:vMerge w:val="continue"/>
            <w:vAlign w:val="center"/>
          </w:tcPr>
          <w:p>
            <w:pPr>
              <w:pStyle w:val="31"/>
              <w:ind w:firstLine="0" w:firstLineChars="0"/>
              <w:jc w:val="center"/>
              <w:rPr>
                <w:rFonts w:hAnsi="宋体"/>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 w:hRule="atLeast"/>
          <w:jc w:val="center"/>
        </w:trPr>
        <w:tc>
          <w:tcPr>
            <w:tcW w:w="2925" w:type="dxa"/>
            <w:vAlign w:val="center"/>
          </w:tcPr>
          <w:p>
            <w:pPr>
              <w:pStyle w:val="31"/>
              <w:ind w:firstLine="0" w:firstLineChars="0"/>
              <w:jc w:val="center"/>
              <w:rPr>
                <w:rFonts w:hAnsi="宋体"/>
                <w:kern w:val="2"/>
                <w:sz w:val="24"/>
                <w:szCs w:val="24"/>
              </w:rPr>
            </w:pPr>
            <w:r>
              <w:rPr>
                <w:rFonts w:hint="eastAsia" w:hAnsi="宋体"/>
                <w:kern w:val="2"/>
                <w:sz w:val="24"/>
                <w:szCs w:val="24"/>
              </w:rPr>
              <w:t>设备实际操作</w:t>
            </w:r>
          </w:p>
        </w:tc>
        <w:tc>
          <w:tcPr>
            <w:tcW w:w="1701" w:type="dxa"/>
            <w:vAlign w:val="center"/>
          </w:tcPr>
          <w:p>
            <w:pPr>
              <w:pStyle w:val="31"/>
              <w:ind w:firstLine="0" w:firstLineChars="0"/>
              <w:jc w:val="center"/>
              <w:rPr>
                <w:rFonts w:hAnsi="宋体"/>
                <w:kern w:val="2"/>
                <w:sz w:val="24"/>
                <w:szCs w:val="24"/>
              </w:rPr>
            </w:pPr>
            <w:r>
              <w:rPr>
                <w:rFonts w:hAnsi="宋体"/>
                <w:kern w:val="2"/>
                <w:sz w:val="24"/>
                <w:szCs w:val="24"/>
              </w:rPr>
              <w:t>业主操作人员</w:t>
            </w:r>
          </w:p>
        </w:tc>
        <w:tc>
          <w:tcPr>
            <w:tcW w:w="851" w:type="dxa"/>
            <w:vMerge w:val="continue"/>
            <w:vAlign w:val="center"/>
          </w:tcPr>
          <w:p>
            <w:pPr>
              <w:pStyle w:val="31"/>
              <w:ind w:firstLine="0" w:firstLineChars="0"/>
              <w:jc w:val="center"/>
              <w:rPr>
                <w:rFonts w:hAnsi="宋体"/>
                <w:kern w:val="2"/>
                <w:sz w:val="24"/>
                <w:szCs w:val="24"/>
              </w:rPr>
            </w:pPr>
          </w:p>
        </w:tc>
        <w:tc>
          <w:tcPr>
            <w:tcW w:w="1359" w:type="dxa"/>
            <w:vMerge w:val="continue"/>
            <w:vAlign w:val="center"/>
          </w:tcPr>
          <w:p>
            <w:pPr>
              <w:pStyle w:val="31"/>
              <w:ind w:firstLine="0" w:firstLineChars="0"/>
              <w:jc w:val="center"/>
              <w:rPr>
                <w:rFonts w:hAnsi="宋体"/>
                <w:kern w:val="2"/>
                <w:sz w:val="24"/>
                <w:szCs w:val="24"/>
              </w:rPr>
            </w:pPr>
          </w:p>
        </w:tc>
        <w:tc>
          <w:tcPr>
            <w:tcW w:w="2508" w:type="dxa"/>
            <w:vMerge w:val="continue"/>
            <w:vAlign w:val="center"/>
          </w:tcPr>
          <w:p>
            <w:pPr>
              <w:pStyle w:val="31"/>
              <w:ind w:firstLine="0" w:firstLineChars="0"/>
              <w:jc w:val="center"/>
              <w:rPr>
                <w:rFonts w:hAnsi="宋体"/>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 w:hRule="atLeast"/>
          <w:jc w:val="center"/>
        </w:trPr>
        <w:tc>
          <w:tcPr>
            <w:tcW w:w="9344" w:type="dxa"/>
            <w:gridSpan w:val="5"/>
            <w:vAlign w:val="center"/>
          </w:tcPr>
          <w:p>
            <w:pPr>
              <w:pStyle w:val="31"/>
              <w:ind w:firstLine="0" w:firstLineChars="0"/>
              <w:jc w:val="center"/>
              <w:rPr>
                <w:rFonts w:hAnsi="宋体"/>
                <w:kern w:val="2"/>
                <w:sz w:val="24"/>
                <w:szCs w:val="24"/>
              </w:rPr>
            </w:pPr>
            <w:r>
              <w:rPr>
                <w:rFonts w:hint="eastAsia" w:hAnsi="宋体"/>
                <w:kern w:val="2"/>
                <w:sz w:val="24"/>
                <w:szCs w:val="24"/>
              </w:rPr>
              <w:t>除臭系统操作和维护示范和指导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 w:hRule="atLeast"/>
          <w:jc w:val="center"/>
        </w:trPr>
        <w:tc>
          <w:tcPr>
            <w:tcW w:w="2925" w:type="dxa"/>
            <w:vAlign w:val="center"/>
          </w:tcPr>
          <w:p>
            <w:pPr>
              <w:pStyle w:val="31"/>
              <w:ind w:firstLine="0" w:firstLineChars="0"/>
              <w:jc w:val="center"/>
              <w:rPr>
                <w:rFonts w:hAnsi="宋体"/>
                <w:kern w:val="2"/>
                <w:sz w:val="24"/>
                <w:szCs w:val="24"/>
              </w:rPr>
            </w:pPr>
            <w:r>
              <w:rPr>
                <w:rFonts w:hint="eastAsia" w:hAnsi="宋体"/>
                <w:kern w:val="2"/>
                <w:sz w:val="24"/>
                <w:szCs w:val="24"/>
              </w:rPr>
              <w:t>口头讲述及操作演示</w:t>
            </w:r>
          </w:p>
        </w:tc>
        <w:tc>
          <w:tcPr>
            <w:tcW w:w="1701" w:type="dxa"/>
            <w:vAlign w:val="center"/>
          </w:tcPr>
          <w:p>
            <w:pPr>
              <w:pStyle w:val="31"/>
              <w:ind w:firstLine="0" w:firstLineChars="0"/>
              <w:jc w:val="center"/>
              <w:rPr>
                <w:rFonts w:hAnsi="宋体"/>
                <w:kern w:val="2"/>
                <w:sz w:val="24"/>
                <w:szCs w:val="24"/>
              </w:rPr>
            </w:pPr>
            <w:r>
              <w:rPr>
                <w:rFonts w:hAnsi="宋体"/>
                <w:kern w:val="2"/>
                <w:sz w:val="24"/>
                <w:szCs w:val="24"/>
              </w:rPr>
              <w:t>业主操作人员</w:t>
            </w:r>
          </w:p>
        </w:tc>
        <w:tc>
          <w:tcPr>
            <w:tcW w:w="851" w:type="dxa"/>
            <w:vMerge w:val="restart"/>
            <w:vAlign w:val="center"/>
          </w:tcPr>
          <w:p>
            <w:pPr>
              <w:pStyle w:val="31"/>
              <w:ind w:firstLine="0" w:firstLineChars="0"/>
              <w:jc w:val="center"/>
              <w:rPr>
                <w:rFonts w:hAnsi="宋体"/>
                <w:kern w:val="2"/>
                <w:sz w:val="24"/>
                <w:szCs w:val="24"/>
              </w:rPr>
            </w:pPr>
            <w:r>
              <w:rPr>
                <w:rFonts w:hAnsi="宋体"/>
                <w:kern w:val="2"/>
                <w:sz w:val="24"/>
                <w:szCs w:val="24"/>
              </w:rPr>
              <w:t>约</w:t>
            </w:r>
            <w:r>
              <w:rPr>
                <w:rFonts w:hint="eastAsia" w:hAnsi="宋体"/>
                <w:kern w:val="2"/>
                <w:sz w:val="24"/>
                <w:szCs w:val="24"/>
              </w:rPr>
              <w:t>1</w:t>
            </w:r>
            <w:r>
              <w:rPr>
                <w:rFonts w:hAnsi="宋体"/>
                <w:kern w:val="2"/>
                <w:sz w:val="24"/>
                <w:szCs w:val="24"/>
              </w:rPr>
              <w:t>天</w:t>
            </w:r>
          </w:p>
        </w:tc>
        <w:tc>
          <w:tcPr>
            <w:tcW w:w="1359" w:type="dxa"/>
            <w:vMerge w:val="restart"/>
            <w:vAlign w:val="center"/>
          </w:tcPr>
          <w:p>
            <w:pPr>
              <w:pStyle w:val="31"/>
              <w:ind w:firstLine="0" w:firstLineChars="0"/>
              <w:jc w:val="center"/>
              <w:rPr>
                <w:rFonts w:hAnsi="宋体"/>
                <w:kern w:val="2"/>
                <w:sz w:val="24"/>
                <w:szCs w:val="24"/>
              </w:rPr>
            </w:pPr>
            <w:r>
              <w:rPr>
                <w:rFonts w:hint="eastAsia" w:hAnsi="宋体"/>
                <w:kern w:val="2"/>
                <w:sz w:val="24"/>
                <w:szCs w:val="24"/>
              </w:rPr>
              <w:t>本公司</w:t>
            </w:r>
          </w:p>
          <w:p>
            <w:pPr>
              <w:pStyle w:val="31"/>
              <w:ind w:firstLine="0" w:firstLineChars="0"/>
              <w:jc w:val="center"/>
              <w:rPr>
                <w:rFonts w:hAnsi="宋体"/>
                <w:kern w:val="2"/>
                <w:sz w:val="24"/>
                <w:szCs w:val="24"/>
              </w:rPr>
            </w:pPr>
            <w:r>
              <w:rPr>
                <w:rFonts w:hint="eastAsia" w:hAnsi="宋体"/>
                <w:kern w:val="2"/>
                <w:sz w:val="24"/>
                <w:szCs w:val="24"/>
              </w:rPr>
              <w:t>工程师</w:t>
            </w:r>
          </w:p>
        </w:tc>
        <w:tc>
          <w:tcPr>
            <w:tcW w:w="2508" w:type="dxa"/>
            <w:vMerge w:val="restart"/>
            <w:vAlign w:val="center"/>
          </w:tcPr>
          <w:p>
            <w:pPr>
              <w:pStyle w:val="31"/>
              <w:ind w:firstLine="0" w:firstLineChars="0"/>
              <w:jc w:val="center"/>
              <w:rPr>
                <w:rFonts w:hAnsi="宋体"/>
                <w:kern w:val="2"/>
                <w:sz w:val="24"/>
                <w:szCs w:val="24"/>
              </w:rPr>
            </w:pPr>
            <w:r>
              <w:rPr>
                <w:rFonts w:hAnsi="宋体"/>
                <w:kern w:val="2"/>
                <w:sz w:val="24"/>
                <w:szCs w:val="24"/>
              </w:rPr>
              <w:t>具有相关岗位资格</w:t>
            </w:r>
          </w:p>
          <w:p>
            <w:pPr>
              <w:pStyle w:val="31"/>
              <w:ind w:firstLine="0" w:firstLineChars="0"/>
              <w:jc w:val="center"/>
              <w:rPr>
                <w:rFonts w:hAnsi="宋体"/>
                <w:kern w:val="2"/>
                <w:sz w:val="24"/>
                <w:szCs w:val="24"/>
              </w:rPr>
            </w:pPr>
            <w:r>
              <w:rPr>
                <w:rFonts w:hint="eastAsia" w:hAnsi="宋体"/>
                <w:kern w:val="2"/>
                <w:sz w:val="24"/>
                <w:szCs w:val="24"/>
              </w:rPr>
              <w:t>暂定二人，</w:t>
            </w:r>
          </w:p>
          <w:p>
            <w:pPr>
              <w:pStyle w:val="31"/>
              <w:ind w:firstLine="0" w:firstLineChars="0"/>
              <w:jc w:val="center"/>
              <w:rPr>
                <w:rFonts w:hAnsi="宋体"/>
                <w:kern w:val="2"/>
                <w:sz w:val="24"/>
                <w:szCs w:val="24"/>
              </w:rPr>
            </w:pPr>
            <w:r>
              <w:rPr>
                <w:rFonts w:hint="eastAsia" w:hAnsi="宋体"/>
                <w:kern w:val="2"/>
                <w:sz w:val="24"/>
                <w:szCs w:val="24"/>
              </w:rPr>
              <w:t>根据需要增加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 w:hRule="atLeast"/>
          <w:jc w:val="center"/>
        </w:trPr>
        <w:tc>
          <w:tcPr>
            <w:tcW w:w="2925" w:type="dxa"/>
            <w:vAlign w:val="center"/>
          </w:tcPr>
          <w:p>
            <w:pPr>
              <w:pStyle w:val="31"/>
              <w:ind w:firstLine="0" w:firstLineChars="0"/>
              <w:jc w:val="center"/>
              <w:rPr>
                <w:rFonts w:hAnsi="宋体"/>
                <w:kern w:val="2"/>
                <w:sz w:val="24"/>
                <w:szCs w:val="24"/>
              </w:rPr>
            </w:pPr>
            <w:r>
              <w:rPr>
                <w:rFonts w:hint="eastAsia" w:hAnsi="宋体"/>
                <w:kern w:val="2"/>
                <w:sz w:val="24"/>
                <w:szCs w:val="24"/>
              </w:rPr>
              <w:t>故障排查</w:t>
            </w:r>
          </w:p>
        </w:tc>
        <w:tc>
          <w:tcPr>
            <w:tcW w:w="1701" w:type="dxa"/>
            <w:vAlign w:val="center"/>
          </w:tcPr>
          <w:p>
            <w:pPr>
              <w:pStyle w:val="31"/>
              <w:ind w:firstLine="0" w:firstLineChars="0"/>
              <w:jc w:val="center"/>
              <w:rPr>
                <w:rFonts w:hAnsi="宋体"/>
                <w:kern w:val="2"/>
                <w:sz w:val="24"/>
                <w:szCs w:val="24"/>
              </w:rPr>
            </w:pPr>
            <w:r>
              <w:rPr>
                <w:rFonts w:hAnsi="宋体"/>
                <w:kern w:val="2"/>
                <w:sz w:val="24"/>
                <w:szCs w:val="24"/>
              </w:rPr>
              <w:t>业主操作人员</w:t>
            </w:r>
          </w:p>
        </w:tc>
        <w:tc>
          <w:tcPr>
            <w:tcW w:w="851" w:type="dxa"/>
            <w:vMerge w:val="continue"/>
            <w:vAlign w:val="center"/>
          </w:tcPr>
          <w:p>
            <w:pPr>
              <w:pStyle w:val="31"/>
              <w:ind w:firstLine="0" w:firstLineChars="0"/>
              <w:jc w:val="center"/>
              <w:rPr>
                <w:rFonts w:hAnsi="宋体"/>
                <w:kern w:val="2"/>
                <w:sz w:val="24"/>
                <w:szCs w:val="24"/>
              </w:rPr>
            </w:pPr>
          </w:p>
        </w:tc>
        <w:tc>
          <w:tcPr>
            <w:tcW w:w="1359" w:type="dxa"/>
            <w:vMerge w:val="continue"/>
            <w:vAlign w:val="center"/>
          </w:tcPr>
          <w:p>
            <w:pPr>
              <w:pStyle w:val="31"/>
              <w:ind w:firstLine="0" w:firstLineChars="0"/>
              <w:jc w:val="center"/>
              <w:rPr>
                <w:rFonts w:hAnsi="宋体"/>
                <w:kern w:val="2"/>
                <w:sz w:val="24"/>
                <w:szCs w:val="24"/>
              </w:rPr>
            </w:pPr>
          </w:p>
        </w:tc>
        <w:tc>
          <w:tcPr>
            <w:tcW w:w="2508" w:type="dxa"/>
            <w:vMerge w:val="continue"/>
            <w:vAlign w:val="center"/>
          </w:tcPr>
          <w:p>
            <w:pPr>
              <w:pStyle w:val="31"/>
              <w:ind w:firstLine="0" w:firstLineChars="0"/>
              <w:jc w:val="center"/>
              <w:rPr>
                <w:rFonts w:hAnsi="宋体"/>
                <w:kern w:val="2"/>
                <w:sz w:val="24"/>
                <w:szCs w:val="24"/>
              </w:rPr>
            </w:pPr>
          </w:p>
        </w:tc>
      </w:tr>
    </w:tbl>
    <w:p>
      <w:pPr>
        <w:pStyle w:val="3"/>
        <w:spacing w:before="156" w:after="156"/>
        <w:ind w:firstLine="643"/>
      </w:pPr>
      <w:bookmarkStart w:id="339" w:name="_Toc73367224"/>
      <w:bookmarkStart w:id="340" w:name="_Toc25542"/>
      <w:bookmarkStart w:id="341" w:name="_Toc8654"/>
      <w:r>
        <w:rPr>
          <w:rFonts w:hint="eastAsia"/>
        </w:rPr>
        <w:br w:type="page"/>
      </w:r>
      <w:bookmarkStart w:id="342" w:name="_Toc821"/>
      <w:bookmarkStart w:id="343" w:name="_Toc73367225"/>
      <w:r>
        <w:rPr>
          <w:rFonts w:hint="eastAsia" w:cs="Times New Roman"/>
          <w:bCs w:val="0"/>
          <w:szCs w:val="32"/>
        </w:rPr>
        <w:t>十一、售后服务方案及技术支持</w:t>
      </w:r>
      <w:bookmarkEnd w:id="339"/>
      <w:bookmarkEnd w:id="342"/>
      <w:bookmarkEnd w:id="343"/>
    </w:p>
    <w:bookmarkEnd w:id="340"/>
    <w:bookmarkEnd w:id="341"/>
    <w:p>
      <w:pPr>
        <w:ind w:right="-59" w:rightChars="-27" w:firstLine="480"/>
        <w:rPr>
          <w:position w:val="6"/>
          <w:szCs w:val="24"/>
        </w:rPr>
      </w:pPr>
      <w:r>
        <w:rPr>
          <w:rFonts w:hint="eastAsia"/>
          <w:position w:val="6"/>
          <w:szCs w:val="24"/>
        </w:rPr>
        <w:t>1、免费质保期</w:t>
      </w:r>
    </w:p>
    <w:p>
      <w:pPr>
        <w:ind w:right="-59" w:rightChars="-27" w:firstLine="424" w:firstLineChars="193"/>
        <w:rPr>
          <w:position w:val="6"/>
          <w:szCs w:val="24"/>
        </w:rPr>
      </w:pPr>
      <w:r>
        <w:rPr>
          <w:rFonts w:hint="eastAsia"/>
          <w:position w:val="6"/>
          <w:szCs w:val="24"/>
        </w:rPr>
        <w:t>卖方提供设备质保期为货到现场后的18个月或设备验收合格之日起12个月，先到为准</w:t>
      </w:r>
      <w:r>
        <w:rPr>
          <w:position w:val="6"/>
          <w:szCs w:val="24"/>
        </w:rPr>
        <w:t>。在质量保证期内，若产品出现由于不合理设计、材料或加工等原因引起的任何缺陷、故障、非正常磨损损坏等，</w:t>
      </w:r>
      <w:r>
        <w:rPr>
          <w:rFonts w:hint="eastAsia"/>
          <w:position w:val="6"/>
          <w:szCs w:val="24"/>
        </w:rPr>
        <w:t>卖方</w:t>
      </w:r>
      <w:r>
        <w:rPr>
          <w:position w:val="6"/>
          <w:szCs w:val="24"/>
        </w:rPr>
        <w:t>将及时自费到现场免费修复或</w:t>
      </w:r>
      <w:r>
        <w:rPr>
          <w:rFonts w:hint="eastAsia"/>
          <w:position w:val="6"/>
          <w:szCs w:val="24"/>
        </w:rPr>
        <w:t>更</w:t>
      </w:r>
      <w:r>
        <w:rPr>
          <w:position w:val="6"/>
          <w:szCs w:val="24"/>
        </w:rPr>
        <w:t>换</w:t>
      </w:r>
      <w:r>
        <w:rPr>
          <w:rFonts w:hint="eastAsia"/>
          <w:position w:val="6"/>
          <w:szCs w:val="24"/>
        </w:rPr>
        <w:t>，直至设备能正常运行</w:t>
      </w:r>
      <w:r>
        <w:rPr>
          <w:position w:val="6"/>
          <w:szCs w:val="24"/>
        </w:rPr>
        <w:t>。</w:t>
      </w:r>
    </w:p>
    <w:p>
      <w:pPr>
        <w:ind w:right="-59" w:rightChars="-27" w:firstLine="480"/>
        <w:rPr>
          <w:position w:val="6"/>
          <w:szCs w:val="24"/>
        </w:rPr>
      </w:pPr>
      <w:r>
        <w:rPr>
          <w:rFonts w:hint="eastAsia"/>
          <w:position w:val="6"/>
          <w:szCs w:val="24"/>
        </w:rPr>
        <w:t>2</w:t>
      </w:r>
      <w:r>
        <w:rPr>
          <w:position w:val="6"/>
          <w:szCs w:val="24"/>
        </w:rPr>
        <w:t>、</w:t>
      </w:r>
      <w:r>
        <w:rPr>
          <w:rFonts w:hint="eastAsia"/>
          <w:position w:val="6"/>
          <w:szCs w:val="24"/>
        </w:rPr>
        <w:t>维修</w:t>
      </w:r>
      <w:r>
        <w:rPr>
          <w:position w:val="6"/>
          <w:szCs w:val="24"/>
        </w:rPr>
        <w:t>响应时间</w:t>
      </w:r>
    </w:p>
    <w:p>
      <w:pPr>
        <w:ind w:right="-59" w:rightChars="-27" w:firstLine="424" w:firstLineChars="193"/>
        <w:rPr>
          <w:position w:val="6"/>
          <w:szCs w:val="24"/>
        </w:rPr>
      </w:pPr>
      <w:r>
        <w:rPr>
          <w:rFonts w:hint="eastAsia"/>
          <w:position w:val="6"/>
          <w:szCs w:val="24"/>
        </w:rPr>
        <w:t>卖方保证</w:t>
      </w:r>
      <w:r>
        <w:rPr>
          <w:position w:val="6"/>
          <w:szCs w:val="24"/>
        </w:rPr>
        <w:t>在接</w:t>
      </w:r>
      <w:r>
        <w:rPr>
          <w:rFonts w:hint="eastAsia"/>
          <w:position w:val="6"/>
          <w:szCs w:val="24"/>
        </w:rPr>
        <w:t>到</w:t>
      </w:r>
      <w:r>
        <w:rPr>
          <w:position w:val="6"/>
          <w:szCs w:val="24"/>
        </w:rPr>
        <w:t>业主维修通知后，</w:t>
      </w:r>
      <w:r>
        <w:rPr>
          <w:rFonts w:hint="eastAsia"/>
          <w:position w:val="6"/>
          <w:szCs w:val="24"/>
        </w:rPr>
        <w:t>72小时</w:t>
      </w:r>
      <w:r>
        <w:rPr>
          <w:position w:val="6"/>
          <w:szCs w:val="24"/>
        </w:rPr>
        <w:t>内安排</w:t>
      </w:r>
      <w:r>
        <w:rPr>
          <w:rFonts w:hint="eastAsia"/>
          <w:position w:val="6"/>
          <w:szCs w:val="24"/>
        </w:rPr>
        <w:t>维修</w:t>
      </w:r>
      <w:r>
        <w:rPr>
          <w:position w:val="6"/>
          <w:szCs w:val="24"/>
        </w:rPr>
        <w:t>人员赶至现场</w:t>
      </w:r>
      <w:r>
        <w:rPr>
          <w:rFonts w:hint="eastAsia"/>
          <w:position w:val="6"/>
          <w:szCs w:val="24"/>
        </w:rPr>
        <w:t>进行</w:t>
      </w:r>
      <w:r>
        <w:rPr>
          <w:position w:val="6"/>
          <w:szCs w:val="24"/>
        </w:rPr>
        <w:t>修理，使设备能连续</w:t>
      </w:r>
      <w:r>
        <w:rPr>
          <w:rFonts w:hint="eastAsia"/>
          <w:position w:val="6"/>
          <w:szCs w:val="24"/>
        </w:rPr>
        <w:t>正常</w:t>
      </w:r>
      <w:r>
        <w:rPr>
          <w:position w:val="6"/>
          <w:szCs w:val="24"/>
        </w:rPr>
        <w:t>运转。</w:t>
      </w:r>
    </w:p>
    <w:p>
      <w:pPr>
        <w:ind w:right="-59" w:rightChars="-27" w:firstLine="480"/>
        <w:rPr>
          <w:position w:val="6"/>
          <w:szCs w:val="24"/>
        </w:rPr>
      </w:pPr>
      <w:r>
        <w:rPr>
          <w:rFonts w:hint="eastAsia"/>
          <w:position w:val="6"/>
          <w:szCs w:val="24"/>
        </w:rPr>
        <w:t>3、三包期以外易损件价格</w:t>
      </w:r>
    </w:p>
    <w:p>
      <w:pPr>
        <w:ind w:right="-59" w:rightChars="-27" w:firstLine="480"/>
        <w:rPr>
          <w:rFonts w:ascii="黑体" w:hAnsi="黑体" w:eastAsia="黑体"/>
          <w:position w:val="6"/>
          <w:szCs w:val="24"/>
        </w:rPr>
      </w:pPr>
      <w:r>
        <w:rPr>
          <w:rFonts w:hint="eastAsia"/>
          <w:position w:val="6"/>
          <w:szCs w:val="24"/>
        </w:rPr>
        <w:t>卖方</w:t>
      </w:r>
      <w:r>
        <w:rPr>
          <w:position w:val="6"/>
          <w:szCs w:val="24"/>
        </w:rPr>
        <w:t>承诺</w:t>
      </w:r>
      <w:r>
        <w:rPr>
          <w:rFonts w:hint="eastAsia"/>
          <w:position w:val="6"/>
          <w:szCs w:val="24"/>
        </w:rPr>
        <w:t>在三包期以外，易损件</w:t>
      </w:r>
      <w:r>
        <w:rPr>
          <w:position w:val="6"/>
          <w:szCs w:val="24"/>
        </w:rPr>
        <w:t>按市场价优惠价提供。</w:t>
      </w:r>
      <w:r>
        <w:rPr>
          <w:rFonts w:hint="eastAsia"/>
          <w:position w:val="6"/>
          <w:szCs w:val="24"/>
        </w:rPr>
        <w:t>卖方保证在10年内可提供该产品的更换件或不低于该级别的且能满足原系统应用要求的替代件。该项目中所有的配套设备在国内均有广泛的使用业绩，确保配套设备的易损件能得到及时的供应</w:t>
      </w:r>
      <w:r>
        <w:rPr>
          <w:rFonts w:ascii="黑体" w:hAnsi="黑体" w:eastAsia="黑体"/>
          <w:position w:val="6"/>
          <w:szCs w:val="24"/>
        </w:rPr>
        <w:t>。</w:t>
      </w:r>
    </w:p>
    <w:p>
      <w:pPr>
        <w:ind w:right="-59" w:rightChars="-27" w:firstLine="480"/>
        <w:rPr>
          <w:rFonts w:ascii="宋体" w:hAnsi="宋体"/>
          <w:position w:val="6"/>
          <w:szCs w:val="24"/>
        </w:rPr>
      </w:pPr>
      <w:r>
        <w:rPr>
          <w:rFonts w:hint="eastAsia" w:ascii="宋体" w:hAnsi="宋体"/>
          <w:position w:val="6"/>
          <w:szCs w:val="24"/>
        </w:rPr>
        <w:t>4、质保期满后年维修保养费</w:t>
      </w:r>
    </w:p>
    <w:p>
      <w:pPr>
        <w:ind w:right="-59" w:rightChars="-27" w:firstLine="480"/>
        <w:rPr>
          <w:rFonts w:ascii="宋体" w:hAnsi="宋体"/>
          <w:position w:val="6"/>
          <w:szCs w:val="24"/>
        </w:rPr>
      </w:pPr>
      <w:r>
        <w:rPr>
          <w:rFonts w:hint="eastAsia" w:ascii="宋体" w:hAnsi="宋体"/>
          <w:position w:val="6"/>
          <w:szCs w:val="24"/>
        </w:rPr>
        <w:t>质保期满后，卖方承诺终身提供无偿服务。每次维修保养只收取维修人员的差旅费及所更换零部件的成本费，不收取任何额外费用。</w:t>
      </w:r>
    </w:p>
    <w:p>
      <w:pPr>
        <w:pStyle w:val="21"/>
        <w:ind w:right="-59" w:rightChars="-27" w:firstLine="0" w:firstLineChars="0"/>
        <w:rPr>
          <w:rFonts w:ascii="宋体" w:hAnsi="宋体"/>
          <w:position w:val="6"/>
          <w:szCs w:val="24"/>
        </w:rPr>
      </w:pPr>
      <w:r>
        <w:rPr>
          <w:rFonts w:hint="eastAsia" w:ascii="宋体" w:hAnsi="宋体"/>
          <w:position w:val="6"/>
          <w:szCs w:val="24"/>
        </w:rPr>
        <w:t>5、技术支持及设备维护</w:t>
      </w:r>
    </w:p>
    <w:p>
      <w:pPr>
        <w:ind w:right="-59" w:rightChars="-27" w:firstLine="480"/>
        <w:rPr>
          <w:position w:val="6"/>
          <w:szCs w:val="24"/>
        </w:rPr>
      </w:pPr>
      <w:r>
        <w:rPr>
          <w:rFonts w:hint="eastAsia"/>
          <w:position w:val="6"/>
          <w:szCs w:val="24"/>
        </w:rPr>
        <w:t>在试运行成功后，卖方将派具有专业知识的技术人员或有关专家，进行现场运行指导。卖方承诺在工程验收合格并移交给业主的两周内，对设备的维护进行跟踪指导。在设备正常运行期间，卖方对所供设备将进行跟踪调查，定期派人到业主单位访问，每年1-2次，了解设备运行情况。</w:t>
      </w:r>
    </w:p>
    <w:p>
      <w:pPr>
        <w:ind w:firstLine="480"/>
      </w:pPr>
    </w:p>
    <w:p>
      <w:pPr>
        <w:pStyle w:val="2"/>
        <w:ind w:firstLine="480"/>
      </w:pPr>
    </w:p>
    <w:p>
      <w:pPr>
        <w:ind w:firstLine="480"/>
      </w:pPr>
    </w:p>
    <w:p>
      <w:pPr>
        <w:pStyle w:val="2"/>
        <w:ind w:firstLine="0" w:firstLineChars="0"/>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sectPr>
      <w:pgSz w:w="11910" w:h="16840"/>
      <w:pgMar w:top="1840" w:right="280" w:bottom="880" w:left="158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3081" o:spid="_x0000_s308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3082" o:spid="_x0000_s308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3083" o:spid="_x0000_s308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3084" o:spid="_x0000_s308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3085" o:spid="_x0000_s308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3086" o:spid="_x0000_s308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70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3087" o:spid="_x0000_s308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75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3088" o:spid="_x0000_s308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double" w:color="FF0000" w:sz="4" w:space="1"/>
      </w:pBdr>
      <w:ind w:firstLine="0" w:firstLineChars="0"/>
      <w:rPr>
        <w:rFonts w:cs="Times New Roman"/>
        <w:sz w:val="21"/>
        <w:szCs w:val="21"/>
      </w:rPr>
    </w:pPr>
    <w:r>
      <w:rPr>
        <w:sz w:val="21"/>
      </w:rPr>
      <w:pict>
        <v:shape id="_x0000_s3089" o:spid="_x0000_s308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024"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120" w:hanging="213"/>
      </w:pPr>
      <w:rPr>
        <w:rFonts w:hint="default"/>
        <w:lang w:val="zh-CN" w:eastAsia="zh-CN" w:bidi="zh-CN"/>
      </w:rPr>
    </w:lvl>
    <w:lvl w:ilvl="2" w:tentative="0">
      <w:start w:val="0"/>
      <w:numFmt w:val="bullet"/>
      <w:lvlText w:val="•"/>
      <w:lvlJc w:val="left"/>
      <w:pPr>
        <w:ind w:left="2171" w:hanging="213"/>
      </w:pPr>
      <w:rPr>
        <w:rFonts w:hint="default"/>
        <w:lang w:val="zh-CN" w:eastAsia="zh-CN" w:bidi="zh-CN"/>
      </w:rPr>
    </w:lvl>
    <w:lvl w:ilvl="3" w:tentative="0">
      <w:start w:val="0"/>
      <w:numFmt w:val="bullet"/>
      <w:lvlText w:val="•"/>
      <w:lvlJc w:val="left"/>
      <w:pPr>
        <w:ind w:left="3223" w:hanging="213"/>
      </w:pPr>
      <w:rPr>
        <w:rFonts w:hint="default"/>
        <w:lang w:val="zh-CN" w:eastAsia="zh-CN" w:bidi="zh-CN"/>
      </w:rPr>
    </w:lvl>
    <w:lvl w:ilvl="4" w:tentative="0">
      <w:start w:val="0"/>
      <w:numFmt w:val="bullet"/>
      <w:lvlText w:val="•"/>
      <w:lvlJc w:val="left"/>
      <w:pPr>
        <w:ind w:left="4275" w:hanging="213"/>
      </w:pPr>
      <w:rPr>
        <w:rFonts w:hint="default"/>
        <w:lang w:val="zh-CN" w:eastAsia="zh-CN" w:bidi="zh-CN"/>
      </w:rPr>
    </w:lvl>
    <w:lvl w:ilvl="5" w:tentative="0">
      <w:start w:val="0"/>
      <w:numFmt w:val="bullet"/>
      <w:lvlText w:val="•"/>
      <w:lvlJc w:val="left"/>
      <w:pPr>
        <w:ind w:left="5326" w:hanging="213"/>
      </w:pPr>
      <w:rPr>
        <w:rFonts w:hint="default"/>
        <w:lang w:val="zh-CN" w:eastAsia="zh-CN" w:bidi="zh-CN"/>
      </w:rPr>
    </w:lvl>
    <w:lvl w:ilvl="6" w:tentative="0">
      <w:start w:val="0"/>
      <w:numFmt w:val="bullet"/>
      <w:lvlText w:val="•"/>
      <w:lvlJc w:val="left"/>
      <w:pPr>
        <w:ind w:left="6378" w:hanging="213"/>
      </w:pPr>
      <w:rPr>
        <w:rFonts w:hint="default"/>
        <w:lang w:val="zh-CN" w:eastAsia="zh-CN" w:bidi="zh-CN"/>
      </w:rPr>
    </w:lvl>
    <w:lvl w:ilvl="7" w:tentative="0">
      <w:start w:val="0"/>
      <w:numFmt w:val="bullet"/>
      <w:lvlText w:val="•"/>
      <w:lvlJc w:val="left"/>
      <w:pPr>
        <w:ind w:left="7430" w:hanging="213"/>
      </w:pPr>
      <w:rPr>
        <w:rFonts w:hint="default"/>
        <w:lang w:val="zh-CN" w:eastAsia="zh-CN" w:bidi="zh-CN"/>
      </w:rPr>
    </w:lvl>
    <w:lvl w:ilvl="8" w:tentative="0">
      <w:start w:val="0"/>
      <w:numFmt w:val="bullet"/>
      <w:lvlText w:val="•"/>
      <w:lvlJc w:val="left"/>
      <w:pPr>
        <w:ind w:left="8482" w:hanging="213"/>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024"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76" w:hanging="213"/>
      </w:pPr>
      <w:rPr>
        <w:rFonts w:hint="default"/>
        <w:lang w:val="zh-CN" w:eastAsia="zh-CN" w:bidi="zh-CN"/>
      </w:rPr>
    </w:lvl>
    <w:lvl w:ilvl="2" w:tentative="0">
      <w:start w:val="0"/>
      <w:numFmt w:val="bullet"/>
      <w:lvlText w:val="•"/>
      <w:lvlJc w:val="left"/>
      <w:pPr>
        <w:ind w:left="2933" w:hanging="213"/>
      </w:pPr>
      <w:rPr>
        <w:rFonts w:hint="default"/>
        <w:lang w:val="zh-CN" w:eastAsia="zh-CN" w:bidi="zh-CN"/>
      </w:rPr>
    </w:lvl>
    <w:lvl w:ilvl="3" w:tentative="0">
      <w:start w:val="0"/>
      <w:numFmt w:val="bullet"/>
      <w:lvlText w:val="•"/>
      <w:lvlJc w:val="left"/>
      <w:pPr>
        <w:ind w:left="3889" w:hanging="213"/>
      </w:pPr>
      <w:rPr>
        <w:rFonts w:hint="default"/>
        <w:lang w:val="zh-CN" w:eastAsia="zh-CN" w:bidi="zh-CN"/>
      </w:rPr>
    </w:lvl>
    <w:lvl w:ilvl="4" w:tentative="0">
      <w:start w:val="0"/>
      <w:numFmt w:val="bullet"/>
      <w:lvlText w:val="•"/>
      <w:lvlJc w:val="left"/>
      <w:pPr>
        <w:ind w:left="4846" w:hanging="213"/>
      </w:pPr>
      <w:rPr>
        <w:rFonts w:hint="default"/>
        <w:lang w:val="zh-CN" w:eastAsia="zh-CN" w:bidi="zh-CN"/>
      </w:rPr>
    </w:lvl>
    <w:lvl w:ilvl="5" w:tentative="0">
      <w:start w:val="0"/>
      <w:numFmt w:val="bullet"/>
      <w:lvlText w:val="•"/>
      <w:lvlJc w:val="left"/>
      <w:pPr>
        <w:ind w:left="5802" w:hanging="213"/>
      </w:pPr>
      <w:rPr>
        <w:rFonts w:hint="default"/>
        <w:lang w:val="zh-CN" w:eastAsia="zh-CN" w:bidi="zh-CN"/>
      </w:rPr>
    </w:lvl>
    <w:lvl w:ilvl="6" w:tentative="0">
      <w:start w:val="0"/>
      <w:numFmt w:val="bullet"/>
      <w:lvlText w:val="•"/>
      <w:lvlJc w:val="left"/>
      <w:pPr>
        <w:ind w:left="6759" w:hanging="213"/>
      </w:pPr>
      <w:rPr>
        <w:rFonts w:hint="default"/>
        <w:lang w:val="zh-CN" w:eastAsia="zh-CN" w:bidi="zh-CN"/>
      </w:rPr>
    </w:lvl>
    <w:lvl w:ilvl="7" w:tentative="0">
      <w:start w:val="0"/>
      <w:numFmt w:val="bullet"/>
      <w:lvlText w:val="•"/>
      <w:lvlJc w:val="left"/>
      <w:pPr>
        <w:ind w:left="7715" w:hanging="213"/>
      </w:pPr>
      <w:rPr>
        <w:rFonts w:hint="default"/>
        <w:lang w:val="zh-CN" w:eastAsia="zh-CN" w:bidi="zh-CN"/>
      </w:rPr>
    </w:lvl>
    <w:lvl w:ilvl="8" w:tentative="0">
      <w:start w:val="0"/>
      <w:numFmt w:val="bullet"/>
      <w:lvlText w:val="•"/>
      <w:lvlJc w:val="left"/>
      <w:pPr>
        <w:ind w:left="8672" w:hanging="213"/>
      </w:pPr>
      <w:rPr>
        <w:rFonts w:hint="default"/>
        <w:lang w:val="zh-CN" w:eastAsia="zh-CN" w:bidi="zh-CN"/>
      </w:rPr>
    </w:lvl>
  </w:abstractNum>
  <w:abstractNum w:abstractNumId="2">
    <w:nsid w:val="88DC2A16"/>
    <w:multiLevelType w:val="singleLevel"/>
    <w:tmpl w:val="88DC2A16"/>
    <w:lvl w:ilvl="0" w:tentative="0">
      <w:start w:val="1"/>
      <w:numFmt w:val="decimal"/>
      <w:suff w:val="space"/>
      <w:lvlText w:val="%1."/>
      <w:lvlJc w:val="left"/>
    </w:lvl>
  </w:abstractNum>
  <w:abstractNum w:abstractNumId="3">
    <w:nsid w:val="9239341B"/>
    <w:multiLevelType w:val="multilevel"/>
    <w:tmpl w:val="9239341B"/>
    <w:lvl w:ilvl="0" w:tentative="0">
      <w:start w:val="1"/>
      <w:numFmt w:val="decimal"/>
      <w:lvlText w:val="（%1）"/>
      <w:lvlJc w:val="left"/>
      <w:pPr>
        <w:ind w:left="392" w:hanging="532"/>
        <w:jc w:val="left"/>
      </w:pPr>
      <w:rPr>
        <w:rFonts w:hint="default" w:ascii="宋体" w:hAnsi="宋体" w:eastAsia="宋体" w:cs="宋体"/>
        <w:color w:val="0000FF"/>
        <w:spacing w:val="0"/>
        <w:w w:val="100"/>
        <w:sz w:val="19"/>
        <w:szCs w:val="19"/>
        <w:lang w:val="zh-CN" w:eastAsia="zh-CN" w:bidi="zh-CN"/>
      </w:rPr>
    </w:lvl>
    <w:lvl w:ilvl="1" w:tentative="0">
      <w:start w:val="0"/>
      <w:numFmt w:val="bullet"/>
      <w:lvlText w:val="•"/>
      <w:lvlJc w:val="left"/>
      <w:pPr>
        <w:ind w:left="1418" w:hanging="532"/>
      </w:pPr>
      <w:rPr>
        <w:rFonts w:hint="default"/>
        <w:lang w:val="zh-CN" w:eastAsia="zh-CN" w:bidi="zh-CN"/>
      </w:rPr>
    </w:lvl>
    <w:lvl w:ilvl="2" w:tentative="0">
      <w:start w:val="0"/>
      <w:numFmt w:val="bullet"/>
      <w:lvlText w:val="•"/>
      <w:lvlJc w:val="left"/>
      <w:pPr>
        <w:ind w:left="2437" w:hanging="532"/>
      </w:pPr>
      <w:rPr>
        <w:rFonts w:hint="default"/>
        <w:lang w:val="zh-CN" w:eastAsia="zh-CN" w:bidi="zh-CN"/>
      </w:rPr>
    </w:lvl>
    <w:lvl w:ilvl="3" w:tentative="0">
      <w:start w:val="0"/>
      <w:numFmt w:val="bullet"/>
      <w:lvlText w:val="•"/>
      <w:lvlJc w:val="left"/>
      <w:pPr>
        <w:ind w:left="3455" w:hanging="532"/>
      </w:pPr>
      <w:rPr>
        <w:rFonts w:hint="default"/>
        <w:lang w:val="zh-CN" w:eastAsia="zh-CN" w:bidi="zh-CN"/>
      </w:rPr>
    </w:lvl>
    <w:lvl w:ilvl="4" w:tentative="0">
      <w:start w:val="0"/>
      <w:numFmt w:val="bullet"/>
      <w:lvlText w:val="•"/>
      <w:lvlJc w:val="left"/>
      <w:pPr>
        <w:ind w:left="4474" w:hanging="532"/>
      </w:pPr>
      <w:rPr>
        <w:rFonts w:hint="default"/>
        <w:lang w:val="zh-CN" w:eastAsia="zh-CN" w:bidi="zh-CN"/>
      </w:rPr>
    </w:lvl>
    <w:lvl w:ilvl="5" w:tentative="0">
      <w:start w:val="0"/>
      <w:numFmt w:val="bullet"/>
      <w:lvlText w:val="•"/>
      <w:lvlJc w:val="left"/>
      <w:pPr>
        <w:ind w:left="5492" w:hanging="532"/>
      </w:pPr>
      <w:rPr>
        <w:rFonts w:hint="default"/>
        <w:lang w:val="zh-CN" w:eastAsia="zh-CN" w:bidi="zh-CN"/>
      </w:rPr>
    </w:lvl>
    <w:lvl w:ilvl="6" w:tentative="0">
      <w:start w:val="0"/>
      <w:numFmt w:val="bullet"/>
      <w:lvlText w:val="•"/>
      <w:lvlJc w:val="left"/>
      <w:pPr>
        <w:ind w:left="6511" w:hanging="532"/>
      </w:pPr>
      <w:rPr>
        <w:rFonts w:hint="default"/>
        <w:lang w:val="zh-CN" w:eastAsia="zh-CN" w:bidi="zh-CN"/>
      </w:rPr>
    </w:lvl>
    <w:lvl w:ilvl="7" w:tentative="0">
      <w:start w:val="0"/>
      <w:numFmt w:val="bullet"/>
      <w:lvlText w:val="•"/>
      <w:lvlJc w:val="left"/>
      <w:pPr>
        <w:ind w:left="7529" w:hanging="532"/>
      </w:pPr>
      <w:rPr>
        <w:rFonts w:hint="default"/>
        <w:lang w:val="zh-CN" w:eastAsia="zh-CN" w:bidi="zh-CN"/>
      </w:rPr>
    </w:lvl>
    <w:lvl w:ilvl="8" w:tentative="0">
      <w:start w:val="0"/>
      <w:numFmt w:val="bullet"/>
      <w:lvlText w:val="•"/>
      <w:lvlJc w:val="left"/>
      <w:pPr>
        <w:ind w:left="8548" w:hanging="532"/>
      </w:pPr>
      <w:rPr>
        <w:rFonts w:hint="default"/>
        <w:lang w:val="zh-CN" w:eastAsia="zh-CN" w:bidi="zh-CN"/>
      </w:rPr>
    </w:lvl>
  </w:abstractNum>
  <w:abstractNum w:abstractNumId="4">
    <w:nsid w:val="9288B902"/>
    <w:multiLevelType w:val="multilevel"/>
    <w:tmpl w:val="9288B902"/>
    <w:lvl w:ilvl="0" w:tentative="0">
      <w:start w:val="1"/>
      <w:numFmt w:val="decimal"/>
      <w:lvlText w:val="%1."/>
      <w:lvlJc w:val="left"/>
      <w:pPr>
        <w:ind w:left="392" w:hanging="217"/>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418" w:hanging="217"/>
      </w:pPr>
      <w:rPr>
        <w:rFonts w:hint="default"/>
        <w:lang w:val="zh-CN" w:eastAsia="zh-CN" w:bidi="zh-CN"/>
      </w:rPr>
    </w:lvl>
    <w:lvl w:ilvl="2" w:tentative="0">
      <w:start w:val="0"/>
      <w:numFmt w:val="bullet"/>
      <w:lvlText w:val="•"/>
      <w:lvlJc w:val="left"/>
      <w:pPr>
        <w:ind w:left="2437" w:hanging="217"/>
      </w:pPr>
      <w:rPr>
        <w:rFonts w:hint="default"/>
        <w:lang w:val="zh-CN" w:eastAsia="zh-CN" w:bidi="zh-CN"/>
      </w:rPr>
    </w:lvl>
    <w:lvl w:ilvl="3" w:tentative="0">
      <w:start w:val="0"/>
      <w:numFmt w:val="bullet"/>
      <w:lvlText w:val="•"/>
      <w:lvlJc w:val="left"/>
      <w:pPr>
        <w:ind w:left="3455" w:hanging="217"/>
      </w:pPr>
      <w:rPr>
        <w:rFonts w:hint="default"/>
        <w:lang w:val="zh-CN" w:eastAsia="zh-CN" w:bidi="zh-CN"/>
      </w:rPr>
    </w:lvl>
    <w:lvl w:ilvl="4" w:tentative="0">
      <w:start w:val="0"/>
      <w:numFmt w:val="bullet"/>
      <w:lvlText w:val="•"/>
      <w:lvlJc w:val="left"/>
      <w:pPr>
        <w:ind w:left="4474" w:hanging="217"/>
      </w:pPr>
      <w:rPr>
        <w:rFonts w:hint="default"/>
        <w:lang w:val="zh-CN" w:eastAsia="zh-CN" w:bidi="zh-CN"/>
      </w:rPr>
    </w:lvl>
    <w:lvl w:ilvl="5" w:tentative="0">
      <w:start w:val="0"/>
      <w:numFmt w:val="bullet"/>
      <w:lvlText w:val="•"/>
      <w:lvlJc w:val="left"/>
      <w:pPr>
        <w:ind w:left="5492" w:hanging="217"/>
      </w:pPr>
      <w:rPr>
        <w:rFonts w:hint="default"/>
        <w:lang w:val="zh-CN" w:eastAsia="zh-CN" w:bidi="zh-CN"/>
      </w:rPr>
    </w:lvl>
    <w:lvl w:ilvl="6" w:tentative="0">
      <w:start w:val="0"/>
      <w:numFmt w:val="bullet"/>
      <w:lvlText w:val="•"/>
      <w:lvlJc w:val="left"/>
      <w:pPr>
        <w:ind w:left="6511" w:hanging="217"/>
      </w:pPr>
      <w:rPr>
        <w:rFonts w:hint="default"/>
        <w:lang w:val="zh-CN" w:eastAsia="zh-CN" w:bidi="zh-CN"/>
      </w:rPr>
    </w:lvl>
    <w:lvl w:ilvl="7" w:tentative="0">
      <w:start w:val="0"/>
      <w:numFmt w:val="bullet"/>
      <w:lvlText w:val="•"/>
      <w:lvlJc w:val="left"/>
      <w:pPr>
        <w:ind w:left="7529" w:hanging="217"/>
      </w:pPr>
      <w:rPr>
        <w:rFonts w:hint="default"/>
        <w:lang w:val="zh-CN" w:eastAsia="zh-CN" w:bidi="zh-CN"/>
      </w:rPr>
    </w:lvl>
    <w:lvl w:ilvl="8" w:tentative="0">
      <w:start w:val="0"/>
      <w:numFmt w:val="bullet"/>
      <w:lvlText w:val="•"/>
      <w:lvlJc w:val="left"/>
      <w:pPr>
        <w:ind w:left="8548" w:hanging="217"/>
      </w:pPr>
      <w:rPr>
        <w:rFonts w:hint="default"/>
        <w:lang w:val="zh-CN" w:eastAsia="zh-CN" w:bidi="zh-CN"/>
      </w:rPr>
    </w:lvl>
  </w:abstractNum>
  <w:abstractNum w:abstractNumId="5">
    <w:nsid w:val="B0F1ACD9"/>
    <w:multiLevelType w:val="multilevel"/>
    <w:tmpl w:val="B0F1ACD9"/>
    <w:lvl w:ilvl="0" w:tentative="0">
      <w:start w:val="1"/>
      <w:numFmt w:val="decimal"/>
      <w:lvlText w:val="（%1）"/>
      <w:lvlJc w:val="left"/>
      <w:pPr>
        <w:ind w:left="392" w:hanging="532"/>
        <w:jc w:val="left"/>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418" w:hanging="532"/>
      </w:pPr>
      <w:rPr>
        <w:rFonts w:hint="default"/>
        <w:lang w:val="zh-CN" w:eastAsia="zh-CN" w:bidi="zh-CN"/>
      </w:rPr>
    </w:lvl>
    <w:lvl w:ilvl="2" w:tentative="0">
      <w:start w:val="0"/>
      <w:numFmt w:val="bullet"/>
      <w:lvlText w:val="•"/>
      <w:lvlJc w:val="left"/>
      <w:pPr>
        <w:ind w:left="2437" w:hanging="532"/>
      </w:pPr>
      <w:rPr>
        <w:rFonts w:hint="default"/>
        <w:lang w:val="zh-CN" w:eastAsia="zh-CN" w:bidi="zh-CN"/>
      </w:rPr>
    </w:lvl>
    <w:lvl w:ilvl="3" w:tentative="0">
      <w:start w:val="0"/>
      <w:numFmt w:val="bullet"/>
      <w:lvlText w:val="•"/>
      <w:lvlJc w:val="left"/>
      <w:pPr>
        <w:ind w:left="3455" w:hanging="532"/>
      </w:pPr>
      <w:rPr>
        <w:rFonts w:hint="default"/>
        <w:lang w:val="zh-CN" w:eastAsia="zh-CN" w:bidi="zh-CN"/>
      </w:rPr>
    </w:lvl>
    <w:lvl w:ilvl="4" w:tentative="0">
      <w:start w:val="0"/>
      <w:numFmt w:val="bullet"/>
      <w:lvlText w:val="•"/>
      <w:lvlJc w:val="left"/>
      <w:pPr>
        <w:ind w:left="4474" w:hanging="532"/>
      </w:pPr>
      <w:rPr>
        <w:rFonts w:hint="default"/>
        <w:lang w:val="zh-CN" w:eastAsia="zh-CN" w:bidi="zh-CN"/>
      </w:rPr>
    </w:lvl>
    <w:lvl w:ilvl="5" w:tentative="0">
      <w:start w:val="0"/>
      <w:numFmt w:val="bullet"/>
      <w:lvlText w:val="•"/>
      <w:lvlJc w:val="left"/>
      <w:pPr>
        <w:ind w:left="5492" w:hanging="532"/>
      </w:pPr>
      <w:rPr>
        <w:rFonts w:hint="default"/>
        <w:lang w:val="zh-CN" w:eastAsia="zh-CN" w:bidi="zh-CN"/>
      </w:rPr>
    </w:lvl>
    <w:lvl w:ilvl="6" w:tentative="0">
      <w:start w:val="0"/>
      <w:numFmt w:val="bullet"/>
      <w:lvlText w:val="•"/>
      <w:lvlJc w:val="left"/>
      <w:pPr>
        <w:ind w:left="6511" w:hanging="532"/>
      </w:pPr>
      <w:rPr>
        <w:rFonts w:hint="default"/>
        <w:lang w:val="zh-CN" w:eastAsia="zh-CN" w:bidi="zh-CN"/>
      </w:rPr>
    </w:lvl>
    <w:lvl w:ilvl="7" w:tentative="0">
      <w:start w:val="0"/>
      <w:numFmt w:val="bullet"/>
      <w:lvlText w:val="•"/>
      <w:lvlJc w:val="left"/>
      <w:pPr>
        <w:ind w:left="7529" w:hanging="532"/>
      </w:pPr>
      <w:rPr>
        <w:rFonts w:hint="default"/>
        <w:lang w:val="zh-CN" w:eastAsia="zh-CN" w:bidi="zh-CN"/>
      </w:rPr>
    </w:lvl>
    <w:lvl w:ilvl="8" w:tentative="0">
      <w:start w:val="0"/>
      <w:numFmt w:val="bullet"/>
      <w:lvlText w:val="•"/>
      <w:lvlJc w:val="left"/>
      <w:pPr>
        <w:ind w:left="8548" w:hanging="532"/>
      </w:pPr>
      <w:rPr>
        <w:rFonts w:hint="default"/>
        <w:lang w:val="zh-CN" w:eastAsia="zh-CN" w:bidi="zh-CN"/>
      </w:rPr>
    </w:lvl>
  </w:abstractNum>
  <w:abstractNum w:abstractNumId="6">
    <w:nsid w:val="B5E306ED"/>
    <w:multiLevelType w:val="multilevel"/>
    <w:tmpl w:val="B5E306ED"/>
    <w:lvl w:ilvl="0" w:tentative="0">
      <w:start w:val="1"/>
      <w:numFmt w:val="decimal"/>
      <w:lvlText w:val="（%1）"/>
      <w:lvlJc w:val="left"/>
      <w:pPr>
        <w:ind w:left="1341"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64" w:hanging="529"/>
      </w:pPr>
      <w:rPr>
        <w:rFonts w:hint="default"/>
        <w:lang w:val="zh-CN" w:eastAsia="zh-CN" w:bidi="zh-CN"/>
      </w:rPr>
    </w:lvl>
    <w:lvl w:ilvl="2" w:tentative="0">
      <w:start w:val="0"/>
      <w:numFmt w:val="bullet"/>
      <w:lvlText w:val="•"/>
      <w:lvlJc w:val="left"/>
      <w:pPr>
        <w:ind w:left="3189" w:hanging="529"/>
      </w:pPr>
      <w:rPr>
        <w:rFonts w:hint="default"/>
        <w:lang w:val="zh-CN" w:eastAsia="zh-CN" w:bidi="zh-CN"/>
      </w:rPr>
    </w:lvl>
    <w:lvl w:ilvl="3" w:tentative="0">
      <w:start w:val="0"/>
      <w:numFmt w:val="bullet"/>
      <w:lvlText w:val="•"/>
      <w:lvlJc w:val="left"/>
      <w:pPr>
        <w:ind w:left="4113" w:hanging="529"/>
      </w:pPr>
      <w:rPr>
        <w:rFonts w:hint="default"/>
        <w:lang w:val="zh-CN" w:eastAsia="zh-CN" w:bidi="zh-CN"/>
      </w:rPr>
    </w:lvl>
    <w:lvl w:ilvl="4" w:tentative="0">
      <w:start w:val="0"/>
      <w:numFmt w:val="bullet"/>
      <w:lvlText w:val="•"/>
      <w:lvlJc w:val="left"/>
      <w:pPr>
        <w:ind w:left="5038" w:hanging="529"/>
      </w:pPr>
      <w:rPr>
        <w:rFonts w:hint="default"/>
        <w:lang w:val="zh-CN" w:eastAsia="zh-CN" w:bidi="zh-CN"/>
      </w:rPr>
    </w:lvl>
    <w:lvl w:ilvl="5" w:tentative="0">
      <w:start w:val="0"/>
      <w:numFmt w:val="bullet"/>
      <w:lvlText w:val="•"/>
      <w:lvlJc w:val="left"/>
      <w:pPr>
        <w:ind w:left="5962" w:hanging="529"/>
      </w:pPr>
      <w:rPr>
        <w:rFonts w:hint="default"/>
        <w:lang w:val="zh-CN" w:eastAsia="zh-CN" w:bidi="zh-CN"/>
      </w:rPr>
    </w:lvl>
    <w:lvl w:ilvl="6" w:tentative="0">
      <w:start w:val="0"/>
      <w:numFmt w:val="bullet"/>
      <w:lvlText w:val="•"/>
      <w:lvlJc w:val="left"/>
      <w:pPr>
        <w:ind w:left="6887" w:hanging="529"/>
      </w:pPr>
      <w:rPr>
        <w:rFonts w:hint="default"/>
        <w:lang w:val="zh-CN" w:eastAsia="zh-CN" w:bidi="zh-CN"/>
      </w:rPr>
    </w:lvl>
    <w:lvl w:ilvl="7" w:tentative="0">
      <w:start w:val="0"/>
      <w:numFmt w:val="bullet"/>
      <w:lvlText w:val="•"/>
      <w:lvlJc w:val="left"/>
      <w:pPr>
        <w:ind w:left="7811" w:hanging="529"/>
      </w:pPr>
      <w:rPr>
        <w:rFonts w:hint="default"/>
        <w:lang w:val="zh-CN" w:eastAsia="zh-CN" w:bidi="zh-CN"/>
      </w:rPr>
    </w:lvl>
    <w:lvl w:ilvl="8" w:tentative="0">
      <w:start w:val="0"/>
      <w:numFmt w:val="bullet"/>
      <w:lvlText w:val="•"/>
      <w:lvlJc w:val="left"/>
      <w:pPr>
        <w:ind w:left="8736" w:hanging="529"/>
      </w:pPr>
      <w:rPr>
        <w:rFonts w:hint="default"/>
        <w:lang w:val="zh-CN" w:eastAsia="zh-CN" w:bidi="zh-CN"/>
      </w:rPr>
    </w:lvl>
  </w:abstractNum>
  <w:abstractNum w:abstractNumId="7">
    <w:nsid w:val="BE923771"/>
    <w:multiLevelType w:val="multilevel"/>
    <w:tmpl w:val="BE923771"/>
    <w:lvl w:ilvl="0" w:tentative="0">
      <w:start w:val="1"/>
      <w:numFmt w:val="decimal"/>
      <w:lvlText w:val="%1."/>
      <w:lvlJc w:val="left"/>
      <w:pPr>
        <w:ind w:left="392" w:hanging="213"/>
        <w:jc w:val="left"/>
      </w:pPr>
      <w:rPr>
        <w:rFonts w:hint="default" w:ascii="宋体" w:hAnsi="宋体" w:eastAsia="宋体" w:cs="宋体"/>
        <w:spacing w:val="-10"/>
        <w:w w:val="100"/>
        <w:sz w:val="19"/>
        <w:szCs w:val="19"/>
        <w:lang w:val="zh-CN" w:eastAsia="zh-CN" w:bidi="zh-CN"/>
      </w:rPr>
    </w:lvl>
    <w:lvl w:ilvl="1" w:tentative="0">
      <w:start w:val="0"/>
      <w:numFmt w:val="bullet"/>
      <w:lvlText w:val="•"/>
      <w:lvlJc w:val="left"/>
      <w:pPr>
        <w:ind w:left="1418" w:hanging="213"/>
      </w:pPr>
      <w:rPr>
        <w:rFonts w:hint="default"/>
        <w:lang w:val="zh-CN" w:eastAsia="zh-CN" w:bidi="zh-CN"/>
      </w:rPr>
    </w:lvl>
    <w:lvl w:ilvl="2" w:tentative="0">
      <w:start w:val="0"/>
      <w:numFmt w:val="bullet"/>
      <w:lvlText w:val="•"/>
      <w:lvlJc w:val="left"/>
      <w:pPr>
        <w:ind w:left="2437" w:hanging="213"/>
      </w:pPr>
      <w:rPr>
        <w:rFonts w:hint="default"/>
        <w:lang w:val="zh-CN" w:eastAsia="zh-CN" w:bidi="zh-CN"/>
      </w:rPr>
    </w:lvl>
    <w:lvl w:ilvl="3" w:tentative="0">
      <w:start w:val="0"/>
      <w:numFmt w:val="bullet"/>
      <w:lvlText w:val="•"/>
      <w:lvlJc w:val="left"/>
      <w:pPr>
        <w:ind w:left="3455" w:hanging="213"/>
      </w:pPr>
      <w:rPr>
        <w:rFonts w:hint="default"/>
        <w:lang w:val="zh-CN" w:eastAsia="zh-CN" w:bidi="zh-CN"/>
      </w:rPr>
    </w:lvl>
    <w:lvl w:ilvl="4" w:tentative="0">
      <w:start w:val="0"/>
      <w:numFmt w:val="bullet"/>
      <w:lvlText w:val="•"/>
      <w:lvlJc w:val="left"/>
      <w:pPr>
        <w:ind w:left="4474" w:hanging="213"/>
      </w:pPr>
      <w:rPr>
        <w:rFonts w:hint="default"/>
        <w:lang w:val="zh-CN" w:eastAsia="zh-CN" w:bidi="zh-CN"/>
      </w:rPr>
    </w:lvl>
    <w:lvl w:ilvl="5" w:tentative="0">
      <w:start w:val="0"/>
      <w:numFmt w:val="bullet"/>
      <w:lvlText w:val="•"/>
      <w:lvlJc w:val="left"/>
      <w:pPr>
        <w:ind w:left="5492" w:hanging="213"/>
      </w:pPr>
      <w:rPr>
        <w:rFonts w:hint="default"/>
        <w:lang w:val="zh-CN" w:eastAsia="zh-CN" w:bidi="zh-CN"/>
      </w:rPr>
    </w:lvl>
    <w:lvl w:ilvl="6" w:tentative="0">
      <w:start w:val="0"/>
      <w:numFmt w:val="bullet"/>
      <w:lvlText w:val="•"/>
      <w:lvlJc w:val="left"/>
      <w:pPr>
        <w:ind w:left="6511" w:hanging="213"/>
      </w:pPr>
      <w:rPr>
        <w:rFonts w:hint="default"/>
        <w:lang w:val="zh-CN" w:eastAsia="zh-CN" w:bidi="zh-CN"/>
      </w:rPr>
    </w:lvl>
    <w:lvl w:ilvl="7" w:tentative="0">
      <w:start w:val="0"/>
      <w:numFmt w:val="bullet"/>
      <w:lvlText w:val="•"/>
      <w:lvlJc w:val="left"/>
      <w:pPr>
        <w:ind w:left="7529" w:hanging="213"/>
      </w:pPr>
      <w:rPr>
        <w:rFonts w:hint="default"/>
        <w:lang w:val="zh-CN" w:eastAsia="zh-CN" w:bidi="zh-CN"/>
      </w:rPr>
    </w:lvl>
    <w:lvl w:ilvl="8" w:tentative="0">
      <w:start w:val="0"/>
      <w:numFmt w:val="bullet"/>
      <w:lvlText w:val="•"/>
      <w:lvlJc w:val="left"/>
      <w:pPr>
        <w:ind w:left="8548" w:hanging="213"/>
      </w:pPr>
      <w:rPr>
        <w:rFonts w:hint="default"/>
        <w:lang w:val="zh-CN" w:eastAsia="zh-CN" w:bidi="zh-CN"/>
      </w:rPr>
    </w:lvl>
  </w:abstractNum>
  <w:abstractNum w:abstractNumId="8">
    <w:nsid w:val="BF205925"/>
    <w:multiLevelType w:val="multilevel"/>
    <w:tmpl w:val="BF205925"/>
    <w:lvl w:ilvl="0" w:tentative="0">
      <w:start w:val="1"/>
      <w:numFmt w:val="decimal"/>
      <w:lvlText w:val="（%1）"/>
      <w:lvlJc w:val="left"/>
      <w:pPr>
        <w:ind w:left="1341"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64" w:hanging="529"/>
      </w:pPr>
      <w:rPr>
        <w:rFonts w:hint="default"/>
        <w:lang w:val="zh-CN" w:eastAsia="zh-CN" w:bidi="zh-CN"/>
      </w:rPr>
    </w:lvl>
    <w:lvl w:ilvl="2" w:tentative="0">
      <w:start w:val="0"/>
      <w:numFmt w:val="bullet"/>
      <w:lvlText w:val="•"/>
      <w:lvlJc w:val="left"/>
      <w:pPr>
        <w:ind w:left="3189" w:hanging="529"/>
      </w:pPr>
      <w:rPr>
        <w:rFonts w:hint="default"/>
        <w:lang w:val="zh-CN" w:eastAsia="zh-CN" w:bidi="zh-CN"/>
      </w:rPr>
    </w:lvl>
    <w:lvl w:ilvl="3" w:tentative="0">
      <w:start w:val="0"/>
      <w:numFmt w:val="bullet"/>
      <w:lvlText w:val="•"/>
      <w:lvlJc w:val="left"/>
      <w:pPr>
        <w:ind w:left="4113" w:hanging="529"/>
      </w:pPr>
      <w:rPr>
        <w:rFonts w:hint="default"/>
        <w:lang w:val="zh-CN" w:eastAsia="zh-CN" w:bidi="zh-CN"/>
      </w:rPr>
    </w:lvl>
    <w:lvl w:ilvl="4" w:tentative="0">
      <w:start w:val="0"/>
      <w:numFmt w:val="bullet"/>
      <w:lvlText w:val="•"/>
      <w:lvlJc w:val="left"/>
      <w:pPr>
        <w:ind w:left="5038" w:hanging="529"/>
      </w:pPr>
      <w:rPr>
        <w:rFonts w:hint="default"/>
        <w:lang w:val="zh-CN" w:eastAsia="zh-CN" w:bidi="zh-CN"/>
      </w:rPr>
    </w:lvl>
    <w:lvl w:ilvl="5" w:tentative="0">
      <w:start w:val="0"/>
      <w:numFmt w:val="bullet"/>
      <w:lvlText w:val="•"/>
      <w:lvlJc w:val="left"/>
      <w:pPr>
        <w:ind w:left="5962" w:hanging="529"/>
      </w:pPr>
      <w:rPr>
        <w:rFonts w:hint="default"/>
        <w:lang w:val="zh-CN" w:eastAsia="zh-CN" w:bidi="zh-CN"/>
      </w:rPr>
    </w:lvl>
    <w:lvl w:ilvl="6" w:tentative="0">
      <w:start w:val="0"/>
      <w:numFmt w:val="bullet"/>
      <w:lvlText w:val="•"/>
      <w:lvlJc w:val="left"/>
      <w:pPr>
        <w:ind w:left="6887" w:hanging="529"/>
      </w:pPr>
      <w:rPr>
        <w:rFonts w:hint="default"/>
        <w:lang w:val="zh-CN" w:eastAsia="zh-CN" w:bidi="zh-CN"/>
      </w:rPr>
    </w:lvl>
    <w:lvl w:ilvl="7" w:tentative="0">
      <w:start w:val="0"/>
      <w:numFmt w:val="bullet"/>
      <w:lvlText w:val="•"/>
      <w:lvlJc w:val="left"/>
      <w:pPr>
        <w:ind w:left="7811" w:hanging="529"/>
      </w:pPr>
      <w:rPr>
        <w:rFonts w:hint="default"/>
        <w:lang w:val="zh-CN" w:eastAsia="zh-CN" w:bidi="zh-CN"/>
      </w:rPr>
    </w:lvl>
    <w:lvl w:ilvl="8" w:tentative="0">
      <w:start w:val="0"/>
      <w:numFmt w:val="bullet"/>
      <w:lvlText w:val="•"/>
      <w:lvlJc w:val="left"/>
      <w:pPr>
        <w:ind w:left="8736" w:hanging="529"/>
      </w:pPr>
      <w:rPr>
        <w:rFonts w:hint="default"/>
        <w:lang w:val="zh-CN" w:eastAsia="zh-CN" w:bidi="zh-CN"/>
      </w:rPr>
    </w:lvl>
  </w:abstractNum>
  <w:abstractNum w:abstractNumId="9">
    <w:nsid w:val="C5EF8488"/>
    <w:multiLevelType w:val="singleLevel"/>
    <w:tmpl w:val="C5EF8488"/>
    <w:lvl w:ilvl="0" w:tentative="0">
      <w:start w:val="1"/>
      <w:numFmt w:val="decimal"/>
      <w:suff w:val="nothing"/>
      <w:lvlText w:val="%1、"/>
      <w:lvlJc w:val="left"/>
      <w:pPr>
        <w:widowControl/>
        <w:textAlignment w:val="baseline"/>
      </w:pPr>
      <w:rPr>
        <w:rStyle w:val="23"/>
      </w:rPr>
    </w:lvl>
  </w:abstractNum>
  <w:abstractNum w:abstractNumId="10">
    <w:nsid w:val="D346FA76"/>
    <w:multiLevelType w:val="singleLevel"/>
    <w:tmpl w:val="D346FA76"/>
    <w:lvl w:ilvl="0" w:tentative="0">
      <w:start w:val="5"/>
      <w:numFmt w:val="chineseCounting"/>
      <w:suff w:val="space"/>
      <w:lvlText w:val="第%1章"/>
      <w:lvlJc w:val="left"/>
      <w:rPr>
        <w:rFonts w:hint="eastAsia"/>
      </w:rPr>
    </w:lvl>
  </w:abstractNum>
  <w:abstractNum w:abstractNumId="11">
    <w:nsid w:val="D7F9FE59"/>
    <w:multiLevelType w:val="multilevel"/>
    <w:tmpl w:val="D7F9FE59"/>
    <w:lvl w:ilvl="0" w:tentative="0">
      <w:start w:val="3"/>
      <w:numFmt w:val="decimal"/>
      <w:lvlText w:val="%1"/>
      <w:lvlJc w:val="left"/>
      <w:pPr>
        <w:ind w:left="1026" w:hanging="212"/>
        <w:jc w:val="left"/>
      </w:pPr>
      <w:rPr>
        <w:rFonts w:hint="default" w:ascii="宋体" w:hAnsi="宋体" w:eastAsia="宋体" w:cs="宋体"/>
        <w:b/>
        <w:bCs/>
        <w:w w:val="99"/>
        <w:sz w:val="21"/>
        <w:szCs w:val="21"/>
        <w:lang w:val="zh-CN" w:eastAsia="zh-CN" w:bidi="zh-CN"/>
      </w:rPr>
    </w:lvl>
    <w:lvl w:ilvl="1" w:tentative="0">
      <w:start w:val="1"/>
      <w:numFmt w:val="decimal"/>
      <w:lvlText w:val="%1.%2"/>
      <w:lvlJc w:val="left"/>
      <w:pPr>
        <w:ind w:left="1182" w:hanging="370"/>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1341" w:hanging="529"/>
        <w:jc w:val="left"/>
      </w:pPr>
      <w:rPr>
        <w:rFonts w:hint="default"/>
        <w:spacing w:val="-3"/>
        <w:w w:val="100"/>
        <w:lang w:val="zh-CN" w:eastAsia="zh-CN" w:bidi="zh-CN"/>
      </w:rPr>
    </w:lvl>
    <w:lvl w:ilvl="3" w:tentative="0">
      <w:start w:val="0"/>
      <w:numFmt w:val="bullet"/>
      <w:lvlText w:val="•"/>
      <w:lvlJc w:val="left"/>
      <w:pPr>
        <w:ind w:left="1340" w:hanging="529"/>
      </w:pPr>
      <w:rPr>
        <w:rFonts w:hint="default"/>
        <w:lang w:val="zh-CN" w:eastAsia="zh-CN" w:bidi="zh-CN"/>
      </w:rPr>
    </w:lvl>
    <w:lvl w:ilvl="4" w:tentative="0">
      <w:start w:val="0"/>
      <w:numFmt w:val="bullet"/>
      <w:lvlText w:val="•"/>
      <w:lvlJc w:val="left"/>
      <w:pPr>
        <w:ind w:left="1400" w:hanging="529"/>
      </w:pPr>
      <w:rPr>
        <w:rFonts w:hint="default"/>
        <w:lang w:val="zh-CN" w:eastAsia="zh-CN" w:bidi="zh-CN"/>
      </w:rPr>
    </w:lvl>
    <w:lvl w:ilvl="5" w:tentative="0">
      <w:start w:val="0"/>
      <w:numFmt w:val="bullet"/>
      <w:lvlText w:val="•"/>
      <w:lvlJc w:val="left"/>
      <w:pPr>
        <w:ind w:left="1440" w:hanging="529"/>
      </w:pPr>
      <w:rPr>
        <w:rFonts w:hint="default"/>
        <w:lang w:val="zh-CN" w:eastAsia="zh-CN" w:bidi="zh-CN"/>
      </w:rPr>
    </w:lvl>
    <w:lvl w:ilvl="6" w:tentative="0">
      <w:start w:val="0"/>
      <w:numFmt w:val="bullet"/>
      <w:lvlText w:val="•"/>
      <w:lvlJc w:val="left"/>
      <w:pPr>
        <w:ind w:left="3269" w:hanging="529"/>
      </w:pPr>
      <w:rPr>
        <w:rFonts w:hint="default"/>
        <w:lang w:val="zh-CN" w:eastAsia="zh-CN" w:bidi="zh-CN"/>
      </w:rPr>
    </w:lvl>
    <w:lvl w:ilvl="7" w:tentative="0">
      <w:start w:val="0"/>
      <w:numFmt w:val="bullet"/>
      <w:lvlText w:val="•"/>
      <w:lvlJc w:val="left"/>
      <w:pPr>
        <w:ind w:left="5098" w:hanging="529"/>
      </w:pPr>
      <w:rPr>
        <w:rFonts w:hint="default"/>
        <w:lang w:val="zh-CN" w:eastAsia="zh-CN" w:bidi="zh-CN"/>
      </w:rPr>
    </w:lvl>
    <w:lvl w:ilvl="8" w:tentative="0">
      <w:start w:val="0"/>
      <w:numFmt w:val="bullet"/>
      <w:lvlText w:val="•"/>
      <w:lvlJc w:val="left"/>
      <w:pPr>
        <w:ind w:left="6927" w:hanging="529"/>
      </w:pPr>
      <w:rPr>
        <w:rFonts w:hint="default"/>
        <w:lang w:val="zh-CN" w:eastAsia="zh-CN" w:bidi="zh-CN"/>
      </w:rPr>
    </w:lvl>
  </w:abstractNum>
  <w:abstractNum w:abstractNumId="12">
    <w:nsid w:val="DC4A3A4A"/>
    <w:multiLevelType w:val="singleLevel"/>
    <w:tmpl w:val="DC4A3A4A"/>
    <w:lvl w:ilvl="0" w:tentative="0">
      <w:start w:val="2"/>
      <w:numFmt w:val="chineseCounting"/>
      <w:suff w:val="nothing"/>
      <w:lvlText w:val="%1、"/>
      <w:lvlJc w:val="left"/>
      <w:rPr>
        <w:rFonts w:hint="eastAsia"/>
      </w:rPr>
    </w:lvl>
  </w:abstractNum>
  <w:abstractNum w:abstractNumId="13">
    <w:nsid w:val="00000011"/>
    <w:multiLevelType w:val="multilevel"/>
    <w:tmpl w:val="00000011"/>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248C179"/>
    <w:multiLevelType w:val="multilevel"/>
    <w:tmpl w:val="0248C179"/>
    <w:lvl w:ilvl="0" w:tentative="0">
      <w:start w:val="1"/>
      <w:numFmt w:val="decimal"/>
      <w:lvlText w:val="（%1）"/>
      <w:lvlJc w:val="left"/>
      <w:pPr>
        <w:ind w:left="1341" w:hanging="529"/>
        <w:jc w:val="left"/>
      </w:pPr>
      <w:rPr>
        <w:rFonts w:hint="default" w:ascii="宋体" w:hAnsi="宋体" w:eastAsia="宋体" w:cs="宋体"/>
        <w:color w:val="0000FF"/>
        <w:spacing w:val="-3"/>
        <w:w w:val="100"/>
        <w:sz w:val="19"/>
        <w:szCs w:val="19"/>
        <w:lang w:val="zh-CN" w:eastAsia="zh-CN" w:bidi="zh-CN"/>
      </w:rPr>
    </w:lvl>
    <w:lvl w:ilvl="1" w:tentative="0">
      <w:start w:val="0"/>
      <w:numFmt w:val="bullet"/>
      <w:lvlText w:val="•"/>
      <w:lvlJc w:val="left"/>
      <w:pPr>
        <w:ind w:left="2264" w:hanging="529"/>
      </w:pPr>
      <w:rPr>
        <w:rFonts w:hint="default"/>
        <w:lang w:val="zh-CN" w:eastAsia="zh-CN" w:bidi="zh-CN"/>
      </w:rPr>
    </w:lvl>
    <w:lvl w:ilvl="2" w:tentative="0">
      <w:start w:val="0"/>
      <w:numFmt w:val="bullet"/>
      <w:lvlText w:val="•"/>
      <w:lvlJc w:val="left"/>
      <w:pPr>
        <w:ind w:left="3189" w:hanging="529"/>
      </w:pPr>
      <w:rPr>
        <w:rFonts w:hint="default"/>
        <w:lang w:val="zh-CN" w:eastAsia="zh-CN" w:bidi="zh-CN"/>
      </w:rPr>
    </w:lvl>
    <w:lvl w:ilvl="3" w:tentative="0">
      <w:start w:val="0"/>
      <w:numFmt w:val="bullet"/>
      <w:lvlText w:val="•"/>
      <w:lvlJc w:val="left"/>
      <w:pPr>
        <w:ind w:left="4113" w:hanging="529"/>
      </w:pPr>
      <w:rPr>
        <w:rFonts w:hint="default"/>
        <w:lang w:val="zh-CN" w:eastAsia="zh-CN" w:bidi="zh-CN"/>
      </w:rPr>
    </w:lvl>
    <w:lvl w:ilvl="4" w:tentative="0">
      <w:start w:val="0"/>
      <w:numFmt w:val="bullet"/>
      <w:lvlText w:val="•"/>
      <w:lvlJc w:val="left"/>
      <w:pPr>
        <w:ind w:left="5038" w:hanging="529"/>
      </w:pPr>
      <w:rPr>
        <w:rFonts w:hint="default"/>
        <w:lang w:val="zh-CN" w:eastAsia="zh-CN" w:bidi="zh-CN"/>
      </w:rPr>
    </w:lvl>
    <w:lvl w:ilvl="5" w:tentative="0">
      <w:start w:val="0"/>
      <w:numFmt w:val="bullet"/>
      <w:lvlText w:val="•"/>
      <w:lvlJc w:val="left"/>
      <w:pPr>
        <w:ind w:left="5962" w:hanging="529"/>
      </w:pPr>
      <w:rPr>
        <w:rFonts w:hint="default"/>
        <w:lang w:val="zh-CN" w:eastAsia="zh-CN" w:bidi="zh-CN"/>
      </w:rPr>
    </w:lvl>
    <w:lvl w:ilvl="6" w:tentative="0">
      <w:start w:val="0"/>
      <w:numFmt w:val="bullet"/>
      <w:lvlText w:val="•"/>
      <w:lvlJc w:val="left"/>
      <w:pPr>
        <w:ind w:left="6887" w:hanging="529"/>
      </w:pPr>
      <w:rPr>
        <w:rFonts w:hint="default"/>
        <w:lang w:val="zh-CN" w:eastAsia="zh-CN" w:bidi="zh-CN"/>
      </w:rPr>
    </w:lvl>
    <w:lvl w:ilvl="7" w:tentative="0">
      <w:start w:val="0"/>
      <w:numFmt w:val="bullet"/>
      <w:lvlText w:val="•"/>
      <w:lvlJc w:val="left"/>
      <w:pPr>
        <w:ind w:left="7811" w:hanging="529"/>
      </w:pPr>
      <w:rPr>
        <w:rFonts w:hint="default"/>
        <w:lang w:val="zh-CN" w:eastAsia="zh-CN" w:bidi="zh-CN"/>
      </w:rPr>
    </w:lvl>
    <w:lvl w:ilvl="8" w:tentative="0">
      <w:start w:val="0"/>
      <w:numFmt w:val="bullet"/>
      <w:lvlText w:val="•"/>
      <w:lvlJc w:val="left"/>
      <w:pPr>
        <w:ind w:left="8736" w:hanging="529"/>
      </w:pPr>
      <w:rPr>
        <w:rFonts w:hint="default"/>
        <w:lang w:val="zh-CN" w:eastAsia="zh-CN" w:bidi="zh-CN"/>
      </w:rPr>
    </w:lvl>
  </w:abstractNum>
  <w:abstractNum w:abstractNumId="15">
    <w:nsid w:val="03D62ECE"/>
    <w:multiLevelType w:val="multilevel"/>
    <w:tmpl w:val="03D62ECE"/>
    <w:lvl w:ilvl="0" w:tentative="0">
      <w:start w:val="1"/>
      <w:numFmt w:val="decimal"/>
      <w:lvlText w:val="（%1）"/>
      <w:lvlJc w:val="left"/>
      <w:pPr>
        <w:ind w:left="392" w:hanging="532"/>
        <w:jc w:val="left"/>
      </w:pPr>
      <w:rPr>
        <w:rFonts w:hint="default"/>
        <w:spacing w:val="0"/>
        <w:w w:val="100"/>
        <w:lang w:val="zh-CN" w:eastAsia="zh-CN" w:bidi="zh-CN"/>
      </w:rPr>
    </w:lvl>
    <w:lvl w:ilvl="1" w:tentative="0">
      <w:start w:val="0"/>
      <w:numFmt w:val="bullet"/>
      <w:lvlText w:val="•"/>
      <w:lvlJc w:val="left"/>
      <w:pPr>
        <w:ind w:left="1418" w:hanging="532"/>
      </w:pPr>
      <w:rPr>
        <w:rFonts w:hint="default"/>
        <w:lang w:val="zh-CN" w:eastAsia="zh-CN" w:bidi="zh-CN"/>
      </w:rPr>
    </w:lvl>
    <w:lvl w:ilvl="2" w:tentative="0">
      <w:start w:val="0"/>
      <w:numFmt w:val="bullet"/>
      <w:lvlText w:val="•"/>
      <w:lvlJc w:val="left"/>
      <w:pPr>
        <w:ind w:left="2437" w:hanging="532"/>
      </w:pPr>
      <w:rPr>
        <w:rFonts w:hint="default"/>
        <w:lang w:val="zh-CN" w:eastAsia="zh-CN" w:bidi="zh-CN"/>
      </w:rPr>
    </w:lvl>
    <w:lvl w:ilvl="3" w:tentative="0">
      <w:start w:val="0"/>
      <w:numFmt w:val="bullet"/>
      <w:lvlText w:val="•"/>
      <w:lvlJc w:val="left"/>
      <w:pPr>
        <w:ind w:left="3455" w:hanging="532"/>
      </w:pPr>
      <w:rPr>
        <w:rFonts w:hint="default"/>
        <w:lang w:val="zh-CN" w:eastAsia="zh-CN" w:bidi="zh-CN"/>
      </w:rPr>
    </w:lvl>
    <w:lvl w:ilvl="4" w:tentative="0">
      <w:start w:val="0"/>
      <w:numFmt w:val="bullet"/>
      <w:lvlText w:val="•"/>
      <w:lvlJc w:val="left"/>
      <w:pPr>
        <w:ind w:left="4474" w:hanging="532"/>
      </w:pPr>
      <w:rPr>
        <w:rFonts w:hint="default"/>
        <w:lang w:val="zh-CN" w:eastAsia="zh-CN" w:bidi="zh-CN"/>
      </w:rPr>
    </w:lvl>
    <w:lvl w:ilvl="5" w:tentative="0">
      <w:start w:val="0"/>
      <w:numFmt w:val="bullet"/>
      <w:lvlText w:val="•"/>
      <w:lvlJc w:val="left"/>
      <w:pPr>
        <w:ind w:left="5492" w:hanging="532"/>
      </w:pPr>
      <w:rPr>
        <w:rFonts w:hint="default"/>
        <w:lang w:val="zh-CN" w:eastAsia="zh-CN" w:bidi="zh-CN"/>
      </w:rPr>
    </w:lvl>
    <w:lvl w:ilvl="6" w:tentative="0">
      <w:start w:val="0"/>
      <w:numFmt w:val="bullet"/>
      <w:lvlText w:val="•"/>
      <w:lvlJc w:val="left"/>
      <w:pPr>
        <w:ind w:left="6511" w:hanging="532"/>
      </w:pPr>
      <w:rPr>
        <w:rFonts w:hint="default"/>
        <w:lang w:val="zh-CN" w:eastAsia="zh-CN" w:bidi="zh-CN"/>
      </w:rPr>
    </w:lvl>
    <w:lvl w:ilvl="7" w:tentative="0">
      <w:start w:val="0"/>
      <w:numFmt w:val="bullet"/>
      <w:lvlText w:val="•"/>
      <w:lvlJc w:val="left"/>
      <w:pPr>
        <w:ind w:left="7529" w:hanging="532"/>
      </w:pPr>
      <w:rPr>
        <w:rFonts w:hint="default"/>
        <w:lang w:val="zh-CN" w:eastAsia="zh-CN" w:bidi="zh-CN"/>
      </w:rPr>
    </w:lvl>
    <w:lvl w:ilvl="8" w:tentative="0">
      <w:start w:val="0"/>
      <w:numFmt w:val="bullet"/>
      <w:lvlText w:val="•"/>
      <w:lvlJc w:val="left"/>
      <w:pPr>
        <w:ind w:left="8548" w:hanging="532"/>
      </w:pPr>
      <w:rPr>
        <w:rFonts w:hint="default"/>
        <w:lang w:val="zh-CN" w:eastAsia="zh-CN" w:bidi="zh-CN"/>
      </w:rPr>
    </w:lvl>
  </w:abstractNum>
  <w:abstractNum w:abstractNumId="16">
    <w:nsid w:val="0CEE28D3"/>
    <w:multiLevelType w:val="multilevel"/>
    <w:tmpl w:val="0CEE28D3"/>
    <w:lvl w:ilvl="0" w:tentative="0">
      <w:start w:val="1"/>
      <w:numFmt w:val="decimal"/>
      <w:lvlText w:val="%1."/>
      <w:lvlJc w:val="left"/>
      <w:pPr>
        <w:tabs>
          <w:tab w:val="left" w:pos="920"/>
        </w:tabs>
        <w:ind w:left="920" w:hanging="420"/>
      </w:pPr>
    </w:lvl>
    <w:lvl w:ilvl="1" w:tentative="0">
      <w:start w:val="1"/>
      <w:numFmt w:val="lowerLetter"/>
      <w:lvlText w:val="%2)"/>
      <w:lvlJc w:val="left"/>
      <w:pPr>
        <w:tabs>
          <w:tab w:val="left" w:pos="1340"/>
        </w:tabs>
        <w:ind w:left="1340" w:hanging="420"/>
      </w:pPr>
    </w:lvl>
    <w:lvl w:ilvl="2" w:tentative="0">
      <w:start w:val="1"/>
      <w:numFmt w:val="lowerRoman"/>
      <w:lvlText w:val="%3."/>
      <w:lvlJc w:val="right"/>
      <w:pPr>
        <w:tabs>
          <w:tab w:val="left" w:pos="1760"/>
        </w:tabs>
        <w:ind w:left="1760" w:hanging="420"/>
      </w:pPr>
    </w:lvl>
    <w:lvl w:ilvl="3" w:tentative="0">
      <w:start w:val="1"/>
      <w:numFmt w:val="decimal"/>
      <w:lvlText w:val="%4."/>
      <w:lvlJc w:val="left"/>
      <w:pPr>
        <w:tabs>
          <w:tab w:val="left" w:pos="2180"/>
        </w:tabs>
        <w:ind w:left="2180" w:hanging="420"/>
      </w:pPr>
    </w:lvl>
    <w:lvl w:ilvl="4" w:tentative="0">
      <w:start w:val="1"/>
      <w:numFmt w:val="lowerLetter"/>
      <w:lvlText w:val="%5)"/>
      <w:lvlJc w:val="left"/>
      <w:pPr>
        <w:tabs>
          <w:tab w:val="left" w:pos="2600"/>
        </w:tabs>
        <w:ind w:left="2600" w:hanging="420"/>
      </w:pPr>
    </w:lvl>
    <w:lvl w:ilvl="5" w:tentative="0">
      <w:start w:val="1"/>
      <w:numFmt w:val="lowerRoman"/>
      <w:lvlText w:val="%6."/>
      <w:lvlJc w:val="right"/>
      <w:pPr>
        <w:tabs>
          <w:tab w:val="left" w:pos="3020"/>
        </w:tabs>
        <w:ind w:left="3020" w:hanging="420"/>
      </w:pPr>
    </w:lvl>
    <w:lvl w:ilvl="6" w:tentative="0">
      <w:start w:val="1"/>
      <w:numFmt w:val="decimal"/>
      <w:lvlText w:val="%7."/>
      <w:lvlJc w:val="left"/>
      <w:pPr>
        <w:tabs>
          <w:tab w:val="left" w:pos="3440"/>
        </w:tabs>
        <w:ind w:left="3440" w:hanging="420"/>
      </w:pPr>
    </w:lvl>
    <w:lvl w:ilvl="7" w:tentative="0">
      <w:start w:val="1"/>
      <w:numFmt w:val="lowerLetter"/>
      <w:lvlText w:val="%8)"/>
      <w:lvlJc w:val="left"/>
      <w:pPr>
        <w:tabs>
          <w:tab w:val="left" w:pos="3860"/>
        </w:tabs>
        <w:ind w:left="3860" w:hanging="420"/>
      </w:pPr>
    </w:lvl>
    <w:lvl w:ilvl="8" w:tentative="0">
      <w:start w:val="1"/>
      <w:numFmt w:val="lowerRoman"/>
      <w:lvlText w:val="%9."/>
      <w:lvlJc w:val="right"/>
      <w:pPr>
        <w:tabs>
          <w:tab w:val="left" w:pos="4280"/>
        </w:tabs>
        <w:ind w:left="4280" w:hanging="420"/>
      </w:pPr>
    </w:lvl>
  </w:abstractNum>
  <w:abstractNum w:abstractNumId="17">
    <w:nsid w:val="0E640482"/>
    <w:multiLevelType w:val="multilevel"/>
    <w:tmpl w:val="0E640482"/>
    <w:lvl w:ilvl="0" w:tentative="0">
      <w:start w:val="1"/>
      <w:numFmt w:val="decimal"/>
      <w:lvlText w:val="%1."/>
      <w:lvlJc w:val="left"/>
      <w:pPr>
        <w:ind w:left="1024"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76" w:hanging="213"/>
      </w:pPr>
      <w:rPr>
        <w:rFonts w:hint="default"/>
        <w:lang w:val="zh-CN" w:eastAsia="zh-CN" w:bidi="zh-CN"/>
      </w:rPr>
    </w:lvl>
    <w:lvl w:ilvl="2" w:tentative="0">
      <w:start w:val="0"/>
      <w:numFmt w:val="bullet"/>
      <w:lvlText w:val="•"/>
      <w:lvlJc w:val="left"/>
      <w:pPr>
        <w:ind w:left="2933" w:hanging="213"/>
      </w:pPr>
      <w:rPr>
        <w:rFonts w:hint="default"/>
        <w:lang w:val="zh-CN" w:eastAsia="zh-CN" w:bidi="zh-CN"/>
      </w:rPr>
    </w:lvl>
    <w:lvl w:ilvl="3" w:tentative="0">
      <w:start w:val="0"/>
      <w:numFmt w:val="bullet"/>
      <w:lvlText w:val="•"/>
      <w:lvlJc w:val="left"/>
      <w:pPr>
        <w:ind w:left="3889" w:hanging="213"/>
      </w:pPr>
      <w:rPr>
        <w:rFonts w:hint="default"/>
        <w:lang w:val="zh-CN" w:eastAsia="zh-CN" w:bidi="zh-CN"/>
      </w:rPr>
    </w:lvl>
    <w:lvl w:ilvl="4" w:tentative="0">
      <w:start w:val="0"/>
      <w:numFmt w:val="bullet"/>
      <w:lvlText w:val="•"/>
      <w:lvlJc w:val="left"/>
      <w:pPr>
        <w:ind w:left="4846" w:hanging="213"/>
      </w:pPr>
      <w:rPr>
        <w:rFonts w:hint="default"/>
        <w:lang w:val="zh-CN" w:eastAsia="zh-CN" w:bidi="zh-CN"/>
      </w:rPr>
    </w:lvl>
    <w:lvl w:ilvl="5" w:tentative="0">
      <w:start w:val="0"/>
      <w:numFmt w:val="bullet"/>
      <w:lvlText w:val="•"/>
      <w:lvlJc w:val="left"/>
      <w:pPr>
        <w:ind w:left="5802" w:hanging="213"/>
      </w:pPr>
      <w:rPr>
        <w:rFonts w:hint="default"/>
        <w:lang w:val="zh-CN" w:eastAsia="zh-CN" w:bidi="zh-CN"/>
      </w:rPr>
    </w:lvl>
    <w:lvl w:ilvl="6" w:tentative="0">
      <w:start w:val="0"/>
      <w:numFmt w:val="bullet"/>
      <w:lvlText w:val="•"/>
      <w:lvlJc w:val="left"/>
      <w:pPr>
        <w:ind w:left="6759" w:hanging="213"/>
      </w:pPr>
      <w:rPr>
        <w:rFonts w:hint="default"/>
        <w:lang w:val="zh-CN" w:eastAsia="zh-CN" w:bidi="zh-CN"/>
      </w:rPr>
    </w:lvl>
    <w:lvl w:ilvl="7" w:tentative="0">
      <w:start w:val="0"/>
      <w:numFmt w:val="bullet"/>
      <w:lvlText w:val="•"/>
      <w:lvlJc w:val="left"/>
      <w:pPr>
        <w:ind w:left="7715" w:hanging="213"/>
      </w:pPr>
      <w:rPr>
        <w:rFonts w:hint="default"/>
        <w:lang w:val="zh-CN" w:eastAsia="zh-CN" w:bidi="zh-CN"/>
      </w:rPr>
    </w:lvl>
    <w:lvl w:ilvl="8" w:tentative="0">
      <w:start w:val="0"/>
      <w:numFmt w:val="bullet"/>
      <w:lvlText w:val="•"/>
      <w:lvlJc w:val="left"/>
      <w:pPr>
        <w:ind w:left="8672" w:hanging="213"/>
      </w:pPr>
      <w:rPr>
        <w:rFonts w:hint="default"/>
        <w:lang w:val="zh-CN" w:eastAsia="zh-CN" w:bidi="zh-CN"/>
      </w:rPr>
    </w:lvl>
  </w:abstractNum>
  <w:abstractNum w:abstractNumId="18">
    <w:nsid w:val="23E97754"/>
    <w:multiLevelType w:val="multilevel"/>
    <w:tmpl w:val="23E97754"/>
    <w:lvl w:ilvl="0" w:tentative="0">
      <w:start w:val="3"/>
      <w:numFmt w:val="decimal"/>
      <w:lvlText w:val="%1."/>
      <w:lvlJc w:val="left"/>
      <w:pPr>
        <w:ind w:left="392"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418" w:hanging="213"/>
      </w:pPr>
      <w:rPr>
        <w:rFonts w:hint="default"/>
        <w:lang w:val="zh-CN" w:eastAsia="zh-CN" w:bidi="zh-CN"/>
      </w:rPr>
    </w:lvl>
    <w:lvl w:ilvl="2" w:tentative="0">
      <w:start w:val="0"/>
      <w:numFmt w:val="bullet"/>
      <w:lvlText w:val="•"/>
      <w:lvlJc w:val="left"/>
      <w:pPr>
        <w:ind w:left="2437" w:hanging="213"/>
      </w:pPr>
      <w:rPr>
        <w:rFonts w:hint="default"/>
        <w:lang w:val="zh-CN" w:eastAsia="zh-CN" w:bidi="zh-CN"/>
      </w:rPr>
    </w:lvl>
    <w:lvl w:ilvl="3" w:tentative="0">
      <w:start w:val="0"/>
      <w:numFmt w:val="bullet"/>
      <w:lvlText w:val="•"/>
      <w:lvlJc w:val="left"/>
      <w:pPr>
        <w:ind w:left="3455" w:hanging="213"/>
      </w:pPr>
      <w:rPr>
        <w:rFonts w:hint="default"/>
        <w:lang w:val="zh-CN" w:eastAsia="zh-CN" w:bidi="zh-CN"/>
      </w:rPr>
    </w:lvl>
    <w:lvl w:ilvl="4" w:tentative="0">
      <w:start w:val="0"/>
      <w:numFmt w:val="bullet"/>
      <w:lvlText w:val="•"/>
      <w:lvlJc w:val="left"/>
      <w:pPr>
        <w:ind w:left="4474" w:hanging="213"/>
      </w:pPr>
      <w:rPr>
        <w:rFonts w:hint="default"/>
        <w:lang w:val="zh-CN" w:eastAsia="zh-CN" w:bidi="zh-CN"/>
      </w:rPr>
    </w:lvl>
    <w:lvl w:ilvl="5" w:tentative="0">
      <w:start w:val="0"/>
      <w:numFmt w:val="bullet"/>
      <w:lvlText w:val="•"/>
      <w:lvlJc w:val="left"/>
      <w:pPr>
        <w:ind w:left="5492" w:hanging="213"/>
      </w:pPr>
      <w:rPr>
        <w:rFonts w:hint="default"/>
        <w:lang w:val="zh-CN" w:eastAsia="zh-CN" w:bidi="zh-CN"/>
      </w:rPr>
    </w:lvl>
    <w:lvl w:ilvl="6" w:tentative="0">
      <w:start w:val="0"/>
      <w:numFmt w:val="bullet"/>
      <w:lvlText w:val="•"/>
      <w:lvlJc w:val="left"/>
      <w:pPr>
        <w:ind w:left="6511" w:hanging="213"/>
      </w:pPr>
      <w:rPr>
        <w:rFonts w:hint="default"/>
        <w:lang w:val="zh-CN" w:eastAsia="zh-CN" w:bidi="zh-CN"/>
      </w:rPr>
    </w:lvl>
    <w:lvl w:ilvl="7" w:tentative="0">
      <w:start w:val="0"/>
      <w:numFmt w:val="bullet"/>
      <w:lvlText w:val="•"/>
      <w:lvlJc w:val="left"/>
      <w:pPr>
        <w:ind w:left="7529" w:hanging="213"/>
      </w:pPr>
      <w:rPr>
        <w:rFonts w:hint="default"/>
        <w:lang w:val="zh-CN" w:eastAsia="zh-CN" w:bidi="zh-CN"/>
      </w:rPr>
    </w:lvl>
    <w:lvl w:ilvl="8" w:tentative="0">
      <w:start w:val="0"/>
      <w:numFmt w:val="bullet"/>
      <w:lvlText w:val="•"/>
      <w:lvlJc w:val="left"/>
      <w:pPr>
        <w:ind w:left="8548" w:hanging="213"/>
      </w:pPr>
      <w:rPr>
        <w:rFonts w:hint="default"/>
        <w:lang w:val="zh-CN" w:eastAsia="zh-CN" w:bidi="zh-CN"/>
      </w:rPr>
    </w:lvl>
  </w:abstractNum>
  <w:abstractNum w:abstractNumId="19">
    <w:nsid w:val="2470EC97"/>
    <w:multiLevelType w:val="multilevel"/>
    <w:tmpl w:val="2470EC97"/>
    <w:lvl w:ilvl="0" w:tentative="0">
      <w:start w:val="2"/>
      <w:numFmt w:val="decimal"/>
      <w:lvlText w:val="%1"/>
      <w:lvlJc w:val="left"/>
      <w:pPr>
        <w:ind w:left="918" w:hanging="423"/>
        <w:jc w:val="left"/>
      </w:pPr>
      <w:rPr>
        <w:rFonts w:hint="default"/>
        <w:lang w:val="zh-CN" w:eastAsia="zh-CN" w:bidi="zh-CN"/>
      </w:rPr>
    </w:lvl>
    <w:lvl w:ilvl="1" w:tentative="0">
      <w:start w:val="1"/>
      <w:numFmt w:val="decimal"/>
      <w:lvlText w:val="%1.%2"/>
      <w:lvlJc w:val="left"/>
      <w:pPr>
        <w:ind w:left="918" w:hanging="423"/>
        <w:jc w:val="right"/>
      </w:pPr>
      <w:rPr>
        <w:rFonts w:hint="default" w:ascii="宋体" w:hAnsi="宋体" w:eastAsia="宋体" w:cs="宋体"/>
        <w:w w:val="100"/>
        <w:sz w:val="21"/>
        <w:szCs w:val="21"/>
        <w:lang w:val="zh-CN" w:eastAsia="zh-CN" w:bidi="zh-CN"/>
      </w:rPr>
    </w:lvl>
    <w:lvl w:ilvl="2" w:tentative="0">
      <w:start w:val="1"/>
      <w:numFmt w:val="decimal"/>
      <w:lvlText w:val="%1.%2.%3"/>
      <w:lvlJc w:val="left"/>
      <w:pPr>
        <w:ind w:left="1444" w:hanging="632"/>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2583" w:hanging="632"/>
      </w:pPr>
      <w:rPr>
        <w:rFonts w:hint="default"/>
        <w:lang w:val="zh-CN" w:eastAsia="zh-CN" w:bidi="zh-CN"/>
      </w:rPr>
    </w:lvl>
    <w:lvl w:ilvl="4" w:tentative="0">
      <w:start w:val="0"/>
      <w:numFmt w:val="bullet"/>
      <w:lvlText w:val="•"/>
      <w:lvlJc w:val="left"/>
      <w:pPr>
        <w:ind w:left="3726" w:hanging="632"/>
      </w:pPr>
      <w:rPr>
        <w:rFonts w:hint="default"/>
        <w:lang w:val="zh-CN" w:eastAsia="zh-CN" w:bidi="zh-CN"/>
      </w:rPr>
    </w:lvl>
    <w:lvl w:ilvl="5" w:tentative="0">
      <w:start w:val="0"/>
      <w:numFmt w:val="bullet"/>
      <w:lvlText w:val="•"/>
      <w:lvlJc w:val="left"/>
      <w:pPr>
        <w:ind w:left="4869" w:hanging="632"/>
      </w:pPr>
      <w:rPr>
        <w:rFonts w:hint="default"/>
        <w:lang w:val="zh-CN" w:eastAsia="zh-CN" w:bidi="zh-CN"/>
      </w:rPr>
    </w:lvl>
    <w:lvl w:ilvl="6" w:tentative="0">
      <w:start w:val="0"/>
      <w:numFmt w:val="bullet"/>
      <w:lvlText w:val="•"/>
      <w:lvlJc w:val="left"/>
      <w:pPr>
        <w:ind w:left="6012" w:hanging="632"/>
      </w:pPr>
      <w:rPr>
        <w:rFonts w:hint="default"/>
        <w:lang w:val="zh-CN" w:eastAsia="zh-CN" w:bidi="zh-CN"/>
      </w:rPr>
    </w:lvl>
    <w:lvl w:ilvl="7" w:tentative="0">
      <w:start w:val="0"/>
      <w:numFmt w:val="bullet"/>
      <w:lvlText w:val="•"/>
      <w:lvlJc w:val="left"/>
      <w:pPr>
        <w:ind w:left="7155" w:hanging="632"/>
      </w:pPr>
      <w:rPr>
        <w:rFonts w:hint="default"/>
        <w:lang w:val="zh-CN" w:eastAsia="zh-CN" w:bidi="zh-CN"/>
      </w:rPr>
    </w:lvl>
    <w:lvl w:ilvl="8" w:tentative="0">
      <w:start w:val="0"/>
      <w:numFmt w:val="bullet"/>
      <w:lvlText w:val="•"/>
      <w:lvlJc w:val="left"/>
      <w:pPr>
        <w:ind w:left="8299" w:hanging="632"/>
      </w:pPr>
      <w:rPr>
        <w:rFonts w:hint="default"/>
        <w:lang w:val="zh-CN" w:eastAsia="zh-CN" w:bidi="zh-CN"/>
      </w:rPr>
    </w:lvl>
  </w:abstractNum>
  <w:abstractNum w:abstractNumId="20">
    <w:nsid w:val="27663781"/>
    <w:multiLevelType w:val="multilevel"/>
    <w:tmpl w:val="27663781"/>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1">
    <w:nsid w:val="2A8F537B"/>
    <w:multiLevelType w:val="multilevel"/>
    <w:tmpl w:val="2A8F537B"/>
    <w:lvl w:ilvl="0" w:tentative="0">
      <w:start w:val="1"/>
      <w:numFmt w:val="decimal"/>
      <w:lvlText w:val="（%1）"/>
      <w:lvlJc w:val="left"/>
      <w:pPr>
        <w:ind w:left="1341"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64" w:hanging="529"/>
      </w:pPr>
      <w:rPr>
        <w:rFonts w:hint="default"/>
        <w:lang w:val="zh-CN" w:eastAsia="zh-CN" w:bidi="zh-CN"/>
      </w:rPr>
    </w:lvl>
    <w:lvl w:ilvl="2" w:tentative="0">
      <w:start w:val="0"/>
      <w:numFmt w:val="bullet"/>
      <w:lvlText w:val="•"/>
      <w:lvlJc w:val="left"/>
      <w:pPr>
        <w:ind w:left="3189" w:hanging="529"/>
      </w:pPr>
      <w:rPr>
        <w:rFonts w:hint="default"/>
        <w:lang w:val="zh-CN" w:eastAsia="zh-CN" w:bidi="zh-CN"/>
      </w:rPr>
    </w:lvl>
    <w:lvl w:ilvl="3" w:tentative="0">
      <w:start w:val="0"/>
      <w:numFmt w:val="bullet"/>
      <w:lvlText w:val="•"/>
      <w:lvlJc w:val="left"/>
      <w:pPr>
        <w:ind w:left="4113" w:hanging="529"/>
      </w:pPr>
      <w:rPr>
        <w:rFonts w:hint="default"/>
        <w:lang w:val="zh-CN" w:eastAsia="zh-CN" w:bidi="zh-CN"/>
      </w:rPr>
    </w:lvl>
    <w:lvl w:ilvl="4" w:tentative="0">
      <w:start w:val="0"/>
      <w:numFmt w:val="bullet"/>
      <w:lvlText w:val="•"/>
      <w:lvlJc w:val="left"/>
      <w:pPr>
        <w:ind w:left="5038" w:hanging="529"/>
      </w:pPr>
      <w:rPr>
        <w:rFonts w:hint="default"/>
        <w:lang w:val="zh-CN" w:eastAsia="zh-CN" w:bidi="zh-CN"/>
      </w:rPr>
    </w:lvl>
    <w:lvl w:ilvl="5" w:tentative="0">
      <w:start w:val="0"/>
      <w:numFmt w:val="bullet"/>
      <w:lvlText w:val="•"/>
      <w:lvlJc w:val="left"/>
      <w:pPr>
        <w:ind w:left="5962" w:hanging="529"/>
      </w:pPr>
      <w:rPr>
        <w:rFonts w:hint="default"/>
        <w:lang w:val="zh-CN" w:eastAsia="zh-CN" w:bidi="zh-CN"/>
      </w:rPr>
    </w:lvl>
    <w:lvl w:ilvl="6" w:tentative="0">
      <w:start w:val="0"/>
      <w:numFmt w:val="bullet"/>
      <w:lvlText w:val="•"/>
      <w:lvlJc w:val="left"/>
      <w:pPr>
        <w:ind w:left="6887" w:hanging="529"/>
      </w:pPr>
      <w:rPr>
        <w:rFonts w:hint="default"/>
        <w:lang w:val="zh-CN" w:eastAsia="zh-CN" w:bidi="zh-CN"/>
      </w:rPr>
    </w:lvl>
    <w:lvl w:ilvl="7" w:tentative="0">
      <w:start w:val="0"/>
      <w:numFmt w:val="bullet"/>
      <w:lvlText w:val="•"/>
      <w:lvlJc w:val="left"/>
      <w:pPr>
        <w:ind w:left="7811" w:hanging="529"/>
      </w:pPr>
      <w:rPr>
        <w:rFonts w:hint="default"/>
        <w:lang w:val="zh-CN" w:eastAsia="zh-CN" w:bidi="zh-CN"/>
      </w:rPr>
    </w:lvl>
    <w:lvl w:ilvl="8" w:tentative="0">
      <w:start w:val="0"/>
      <w:numFmt w:val="bullet"/>
      <w:lvlText w:val="•"/>
      <w:lvlJc w:val="left"/>
      <w:pPr>
        <w:ind w:left="8736" w:hanging="529"/>
      </w:pPr>
      <w:rPr>
        <w:rFonts w:hint="default"/>
        <w:lang w:val="zh-CN" w:eastAsia="zh-CN" w:bidi="zh-CN"/>
      </w:rPr>
    </w:lvl>
  </w:abstractNum>
  <w:abstractNum w:abstractNumId="22">
    <w:nsid w:val="39A0D9AC"/>
    <w:multiLevelType w:val="multilevel"/>
    <w:tmpl w:val="39A0D9AC"/>
    <w:lvl w:ilvl="0" w:tentative="0">
      <w:start w:val="1"/>
      <w:numFmt w:val="decimal"/>
      <w:lvlText w:val="%1."/>
      <w:lvlJc w:val="left"/>
      <w:pPr>
        <w:ind w:left="392" w:hanging="217"/>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418" w:hanging="217"/>
      </w:pPr>
      <w:rPr>
        <w:rFonts w:hint="default"/>
        <w:lang w:val="zh-CN" w:eastAsia="zh-CN" w:bidi="zh-CN"/>
      </w:rPr>
    </w:lvl>
    <w:lvl w:ilvl="2" w:tentative="0">
      <w:start w:val="0"/>
      <w:numFmt w:val="bullet"/>
      <w:lvlText w:val="•"/>
      <w:lvlJc w:val="left"/>
      <w:pPr>
        <w:ind w:left="2437" w:hanging="217"/>
      </w:pPr>
      <w:rPr>
        <w:rFonts w:hint="default"/>
        <w:lang w:val="zh-CN" w:eastAsia="zh-CN" w:bidi="zh-CN"/>
      </w:rPr>
    </w:lvl>
    <w:lvl w:ilvl="3" w:tentative="0">
      <w:start w:val="0"/>
      <w:numFmt w:val="bullet"/>
      <w:lvlText w:val="•"/>
      <w:lvlJc w:val="left"/>
      <w:pPr>
        <w:ind w:left="3455" w:hanging="217"/>
      </w:pPr>
      <w:rPr>
        <w:rFonts w:hint="default"/>
        <w:lang w:val="zh-CN" w:eastAsia="zh-CN" w:bidi="zh-CN"/>
      </w:rPr>
    </w:lvl>
    <w:lvl w:ilvl="4" w:tentative="0">
      <w:start w:val="0"/>
      <w:numFmt w:val="bullet"/>
      <w:lvlText w:val="•"/>
      <w:lvlJc w:val="left"/>
      <w:pPr>
        <w:ind w:left="4474" w:hanging="217"/>
      </w:pPr>
      <w:rPr>
        <w:rFonts w:hint="default"/>
        <w:lang w:val="zh-CN" w:eastAsia="zh-CN" w:bidi="zh-CN"/>
      </w:rPr>
    </w:lvl>
    <w:lvl w:ilvl="5" w:tentative="0">
      <w:start w:val="0"/>
      <w:numFmt w:val="bullet"/>
      <w:lvlText w:val="•"/>
      <w:lvlJc w:val="left"/>
      <w:pPr>
        <w:ind w:left="5492" w:hanging="217"/>
      </w:pPr>
      <w:rPr>
        <w:rFonts w:hint="default"/>
        <w:lang w:val="zh-CN" w:eastAsia="zh-CN" w:bidi="zh-CN"/>
      </w:rPr>
    </w:lvl>
    <w:lvl w:ilvl="6" w:tentative="0">
      <w:start w:val="0"/>
      <w:numFmt w:val="bullet"/>
      <w:lvlText w:val="•"/>
      <w:lvlJc w:val="left"/>
      <w:pPr>
        <w:ind w:left="6511" w:hanging="217"/>
      </w:pPr>
      <w:rPr>
        <w:rFonts w:hint="default"/>
        <w:lang w:val="zh-CN" w:eastAsia="zh-CN" w:bidi="zh-CN"/>
      </w:rPr>
    </w:lvl>
    <w:lvl w:ilvl="7" w:tentative="0">
      <w:start w:val="0"/>
      <w:numFmt w:val="bullet"/>
      <w:lvlText w:val="•"/>
      <w:lvlJc w:val="left"/>
      <w:pPr>
        <w:ind w:left="7529" w:hanging="217"/>
      </w:pPr>
      <w:rPr>
        <w:rFonts w:hint="default"/>
        <w:lang w:val="zh-CN" w:eastAsia="zh-CN" w:bidi="zh-CN"/>
      </w:rPr>
    </w:lvl>
    <w:lvl w:ilvl="8" w:tentative="0">
      <w:start w:val="0"/>
      <w:numFmt w:val="bullet"/>
      <w:lvlText w:val="•"/>
      <w:lvlJc w:val="left"/>
      <w:pPr>
        <w:ind w:left="8548" w:hanging="217"/>
      </w:pPr>
      <w:rPr>
        <w:rFonts w:hint="default"/>
        <w:lang w:val="zh-CN" w:eastAsia="zh-CN" w:bidi="zh-CN"/>
      </w:rPr>
    </w:lvl>
  </w:abstractNum>
  <w:abstractNum w:abstractNumId="23">
    <w:nsid w:val="46A08BB8"/>
    <w:multiLevelType w:val="multilevel"/>
    <w:tmpl w:val="46A08BB8"/>
    <w:lvl w:ilvl="0" w:tentative="0">
      <w:start w:val="1"/>
      <w:numFmt w:val="decimal"/>
      <w:lvlText w:val="%1."/>
      <w:lvlJc w:val="left"/>
      <w:pPr>
        <w:ind w:left="1024" w:hanging="213"/>
        <w:jc w:val="left"/>
      </w:pPr>
      <w:rPr>
        <w:rFonts w:hint="default" w:ascii="宋体" w:hAnsi="宋体" w:eastAsia="宋体" w:cs="宋体"/>
        <w:spacing w:val="-44"/>
        <w:w w:val="100"/>
        <w:sz w:val="19"/>
        <w:szCs w:val="19"/>
        <w:lang w:val="zh-CN" w:eastAsia="zh-CN" w:bidi="zh-CN"/>
      </w:rPr>
    </w:lvl>
    <w:lvl w:ilvl="1" w:tentative="0">
      <w:start w:val="0"/>
      <w:numFmt w:val="bullet"/>
      <w:lvlText w:val="•"/>
      <w:lvlJc w:val="left"/>
      <w:pPr>
        <w:ind w:left="1976" w:hanging="213"/>
      </w:pPr>
      <w:rPr>
        <w:rFonts w:hint="default"/>
        <w:lang w:val="zh-CN" w:eastAsia="zh-CN" w:bidi="zh-CN"/>
      </w:rPr>
    </w:lvl>
    <w:lvl w:ilvl="2" w:tentative="0">
      <w:start w:val="0"/>
      <w:numFmt w:val="bullet"/>
      <w:lvlText w:val="•"/>
      <w:lvlJc w:val="left"/>
      <w:pPr>
        <w:ind w:left="2933" w:hanging="213"/>
      </w:pPr>
      <w:rPr>
        <w:rFonts w:hint="default"/>
        <w:lang w:val="zh-CN" w:eastAsia="zh-CN" w:bidi="zh-CN"/>
      </w:rPr>
    </w:lvl>
    <w:lvl w:ilvl="3" w:tentative="0">
      <w:start w:val="0"/>
      <w:numFmt w:val="bullet"/>
      <w:lvlText w:val="•"/>
      <w:lvlJc w:val="left"/>
      <w:pPr>
        <w:ind w:left="3889" w:hanging="213"/>
      </w:pPr>
      <w:rPr>
        <w:rFonts w:hint="default"/>
        <w:lang w:val="zh-CN" w:eastAsia="zh-CN" w:bidi="zh-CN"/>
      </w:rPr>
    </w:lvl>
    <w:lvl w:ilvl="4" w:tentative="0">
      <w:start w:val="0"/>
      <w:numFmt w:val="bullet"/>
      <w:lvlText w:val="•"/>
      <w:lvlJc w:val="left"/>
      <w:pPr>
        <w:ind w:left="4846" w:hanging="213"/>
      </w:pPr>
      <w:rPr>
        <w:rFonts w:hint="default"/>
        <w:lang w:val="zh-CN" w:eastAsia="zh-CN" w:bidi="zh-CN"/>
      </w:rPr>
    </w:lvl>
    <w:lvl w:ilvl="5" w:tentative="0">
      <w:start w:val="0"/>
      <w:numFmt w:val="bullet"/>
      <w:lvlText w:val="•"/>
      <w:lvlJc w:val="left"/>
      <w:pPr>
        <w:ind w:left="5802" w:hanging="213"/>
      </w:pPr>
      <w:rPr>
        <w:rFonts w:hint="default"/>
        <w:lang w:val="zh-CN" w:eastAsia="zh-CN" w:bidi="zh-CN"/>
      </w:rPr>
    </w:lvl>
    <w:lvl w:ilvl="6" w:tentative="0">
      <w:start w:val="0"/>
      <w:numFmt w:val="bullet"/>
      <w:lvlText w:val="•"/>
      <w:lvlJc w:val="left"/>
      <w:pPr>
        <w:ind w:left="6759" w:hanging="213"/>
      </w:pPr>
      <w:rPr>
        <w:rFonts w:hint="default"/>
        <w:lang w:val="zh-CN" w:eastAsia="zh-CN" w:bidi="zh-CN"/>
      </w:rPr>
    </w:lvl>
    <w:lvl w:ilvl="7" w:tentative="0">
      <w:start w:val="0"/>
      <w:numFmt w:val="bullet"/>
      <w:lvlText w:val="•"/>
      <w:lvlJc w:val="left"/>
      <w:pPr>
        <w:ind w:left="7715" w:hanging="213"/>
      </w:pPr>
      <w:rPr>
        <w:rFonts w:hint="default"/>
        <w:lang w:val="zh-CN" w:eastAsia="zh-CN" w:bidi="zh-CN"/>
      </w:rPr>
    </w:lvl>
    <w:lvl w:ilvl="8" w:tentative="0">
      <w:start w:val="0"/>
      <w:numFmt w:val="bullet"/>
      <w:lvlText w:val="•"/>
      <w:lvlJc w:val="left"/>
      <w:pPr>
        <w:ind w:left="8672" w:hanging="213"/>
      </w:pPr>
      <w:rPr>
        <w:rFonts w:hint="default"/>
        <w:lang w:val="zh-CN" w:eastAsia="zh-CN" w:bidi="zh-CN"/>
      </w:rPr>
    </w:lvl>
  </w:abstractNum>
  <w:abstractNum w:abstractNumId="24">
    <w:nsid w:val="4C1BAE26"/>
    <w:multiLevelType w:val="multilevel"/>
    <w:tmpl w:val="4C1BAE26"/>
    <w:lvl w:ilvl="0" w:tentative="0">
      <w:start w:val="1"/>
      <w:numFmt w:val="decimal"/>
      <w:lvlText w:val="%1."/>
      <w:lvlJc w:val="left"/>
      <w:pPr>
        <w:ind w:left="1129" w:hanging="317"/>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066" w:hanging="317"/>
      </w:pPr>
      <w:rPr>
        <w:rFonts w:hint="default"/>
        <w:lang w:val="zh-CN" w:eastAsia="zh-CN" w:bidi="zh-CN"/>
      </w:rPr>
    </w:lvl>
    <w:lvl w:ilvl="2" w:tentative="0">
      <w:start w:val="0"/>
      <w:numFmt w:val="bullet"/>
      <w:lvlText w:val="•"/>
      <w:lvlJc w:val="left"/>
      <w:pPr>
        <w:ind w:left="3013" w:hanging="317"/>
      </w:pPr>
      <w:rPr>
        <w:rFonts w:hint="default"/>
        <w:lang w:val="zh-CN" w:eastAsia="zh-CN" w:bidi="zh-CN"/>
      </w:rPr>
    </w:lvl>
    <w:lvl w:ilvl="3" w:tentative="0">
      <w:start w:val="0"/>
      <w:numFmt w:val="bullet"/>
      <w:lvlText w:val="•"/>
      <w:lvlJc w:val="left"/>
      <w:pPr>
        <w:ind w:left="3959" w:hanging="317"/>
      </w:pPr>
      <w:rPr>
        <w:rFonts w:hint="default"/>
        <w:lang w:val="zh-CN" w:eastAsia="zh-CN" w:bidi="zh-CN"/>
      </w:rPr>
    </w:lvl>
    <w:lvl w:ilvl="4" w:tentative="0">
      <w:start w:val="0"/>
      <w:numFmt w:val="bullet"/>
      <w:lvlText w:val="•"/>
      <w:lvlJc w:val="left"/>
      <w:pPr>
        <w:ind w:left="4906" w:hanging="317"/>
      </w:pPr>
      <w:rPr>
        <w:rFonts w:hint="default"/>
        <w:lang w:val="zh-CN" w:eastAsia="zh-CN" w:bidi="zh-CN"/>
      </w:rPr>
    </w:lvl>
    <w:lvl w:ilvl="5" w:tentative="0">
      <w:start w:val="0"/>
      <w:numFmt w:val="bullet"/>
      <w:lvlText w:val="•"/>
      <w:lvlJc w:val="left"/>
      <w:pPr>
        <w:ind w:left="5852" w:hanging="317"/>
      </w:pPr>
      <w:rPr>
        <w:rFonts w:hint="default"/>
        <w:lang w:val="zh-CN" w:eastAsia="zh-CN" w:bidi="zh-CN"/>
      </w:rPr>
    </w:lvl>
    <w:lvl w:ilvl="6" w:tentative="0">
      <w:start w:val="0"/>
      <w:numFmt w:val="bullet"/>
      <w:lvlText w:val="•"/>
      <w:lvlJc w:val="left"/>
      <w:pPr>
        <w:ind w:left="6799" w:hanging="317"/>
      </w:pPr>
      <w:rPr>
        <w:rFonts w:hint="default"/>
        <w:lang w:val="zh-CN" w:eastAsia="zh-CN" w:bidi="zh-CN"/>
      </w:rPr>
    </w:lvl>
    <w:lvl w:ilvl="7" w:tentative="0">
      <w:start w:val="0"/>
      <w:numFmt w:val="bullet"/>
      <w:lvlText w:val="•"/>
      <w:lvlJc w:val="left"/>
      <w:pPr>
        <w:ind w:left="7745" w:hanging="317"/>
      </w:pPr>
      <w:rPr>
        <w:rFonts w:hint="default"/>
        <w:lang w:val="zh-CN" w:eastAsia="zh-CN" w:bidi="zh-CN"/>
      </w:rPr>
    </w:lvl>
    <w:lvl w:ilvl="8" w:tentative="0">
      <w:start w:val="0"/>
      <w:numFmt w:val="bullet"/>
      <w:lvlText w:val="•"/>
      <w:lvlJc w:val="left"/>
      <w:pPr>
        <w:ind w:left="8692" w:hanging="317"/>
      </w:pPr>
      <w:rPr>
        <w:rFonts w:hint="default"/>
        <w:lang w:val="zh-CN" w:eastAsia="zh-CN" w:bidi="zh-CN"/>
      </w:rPr>
    </w:lvl>
  </w:abstractNum>
  <w:abstractNum w:abstractNumId="25">
    <w:nsid w:val="4D4DC07F"/>
    <w:multiLevelType w:val="multilevel"/>
    <w:tmpl w:val="4D4DC07F"/>
    <w:lvl w:ilvl="0" w:tentative="0">
      <w:start w:val="1"/>
      <w:numFmt w:val="decimal"/>
      <w:lvlText w:val="（%1）"/>
      <w:lvlJc w:val="left"/>
      <w:pPr>
        <w:ind w:left="1341"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64" w:hanging="529"/>
      </w:pPr>
      <w:rPr>
        <w:rFonts w:hint="default"/>
        <w:lang w:val="zh-CN" w:eastAsia="zh-CN" w:bidi="zh-CN"/>
      </w:rPr>
    </w:lvl>
    <w:lvl w:ilvl="2" w:tentative="0">
      <w:start w:val="0"/>
      <w:numFmt w:val="bullet"/>
      <w:lvlText w:val="•"/>
      <w:lvlJc w:val="left"/>
      <w:pPr>
        <w:ind w:left="3189" w:hanging="529"/>
      </w:pPr>
      <w:rPr>
        <w:rFonts w:hint="default"/>
        <w:lang w:val="zh-CN" w:eastAsia="zh-CN" w:bidi="zh-CN"/>
      </w:rPr>
    </w:lvl>
    <w:lvl w:ilvl="3" w:tentative="0">
      <w:start w:val="0"/>
      <w:numFmt w:val="bullet"/>
      <w:lvlText w:val="•"/>
      <w:lvlJc w:val="left"/>
      <w:pPr>
        <w:ind w:left="4113" w:hanging="529"/>
      </w:pPr>
      <w:rPr>
        <w:rFonts w:hint="default"/>
        <w:lang w:val="zh-CN" w:eastAsia="zh-CN" w:bidi="zh-CN"/>
      </w:rPr>
    </w:lvl>
    <w:lvl w:ilvl="4" w:tentative="0">
      <w:start w:val="0"/>
      <w:numFmt w:val="bullet"/>
      <w:lvlText w:val="•"/>
      <w:lvlJc w:val="left"/>
      <w:pPr>
        <w:ind w:left="5038" w:hanging="529"/>
      </w:pPr>
      <w:rPr>
        <w:rFonts w:hint="default"/>
        <w:lang w:val="zh-CN" w:eastAsia="zh-CN" w:bidi="zh-CN"/>
      </w:rPr>
    </w:lvl>
    <w:lvl w:ilvl="5" w:tentative="0">
      <w:start w:val="0"/>
      <w:numFmt w:val="bullet"/>
      <w:lvlText w:val="•"/>
      <w:lvlJc w:val="left"/>
      <w:pPr>
        <w:ind w:left="5962" w:hanging="529"/>
      </w:pPr>
      <w:rPr>
        <w:rFonts w:hint="default"/>
        <w:lang w:val="zh-CN" w:eastAsia="zh-CN" w:bidi="zh-CN"/>
      </w:rPr>
    </w:lvl>
    <w:lvl w:ilvl="6" w:tentative="0">
      <w:start w:val="0"/>
      <w:numFmt w:val="bullet"/>
      <w:lvlText w:val="•"/>
      <w:lvlJc w:val="left"/>
      <w:pPr>
        <w:ind w:left="6887" w:hanging="529"/>
      </w:pPr>
      <w:rPr>
        <w:rFonts w:hint="default"/>
        <w:lang w:val="zh-CN" w:eastAsia="zh-CN" w:bidi="zh-CN"/>
      </w:rPr>
    </w:lvl>
    <w:lvl w:ilvl="7" w:tentative="0">
      <w:start w:val="0"/>
      <w:numFmt w:val="bullet"/>
      <w:lvlText w:val="•"/>
      <w:lvlJc w:val="left"/>
      <w:pPr>
        <w:ind w:left="7811" w:hanging="529"/>
      </w:pPr>
      <w:rPr>
        <w:rFonts w:hint="default"/>
        <w:lang w:val="zh-CN" w:eastAsia="zh-CN" w:bidi="zh-CN"/>
      </w:rPr>
    </w:lvl>
    <w:lvl w:ilvl="8" w:tentative="0">
      <w:start w:val="0"/>
      <w:numFmt w:val="bullet"/>
      <w:lvlText w:val="•"/>
      <w:lvlJc w:val="left"/>
      <w:pPr>
        <w:ind w:left="8736" w:hanging="529"/>
      </w:pPr>
      <w:rPr>
        <w:rFonts w:hint="default"/>
        <w:lang w:val="zh-CN" w:eastAsia="zh-CN" w:bidi="zh-CN"/>
      </w:rPr>
    </w:lvl>
  </w:abstractNum>
  <w:abstractNum w:abstractNumId="26">
    <w:nsid w:val="55A8B178"/>
    <w:multiLevelType w:val="singleLevel"/>
    <w:tmpl w:val="55A8B178"/>
    <w:lvl w:ilvl="0" w:tentative="0">
      <w:start w:val="1"/>
      <w:numFmt w:val="bullet"/>
      <w:lvlText w:val=""/>
      <w:lvlJc w:val="left"/>
      <w:pPr>
        <w:tabs>
          <w:tab w:val="left" w:pos="420"/>
        </w:tabs>
        <w:ind w:left="420" w:hanging="420"/>
      </w:pPr>
      <w:rPr>
        <w:rFonts w:hint="default" w:ascii="Wingdings" w:hAnsi="Wingdings"/>
      </w:rPr>
    </w:lvl>
  </w:abstractNum>
  <w:abstractNum w:abstractNumId="27">
    <w:nsid w:val="58765686"/>
    <w:multiLevelType w:val="multilevel"/>
    <w:tmpl w:val="58765686"/>
    <w:lvl w:ilvl="0" w:tentative="0">
      <w:start w:val="1"/>
      <w:numFmt w:val="decimal"/>
      <w:lvlText w:val="%1."/>
      <w:lvlJc w:val="left"/>
      <w:pPr>
        <w:ind w:left="102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76" w:hanging="213"/>
      </w:pPr>
      <w:rPr>
        <w:rFonts w:hint="default"/>
        <w:lang w:val="zh-CN" w:eastAsia="zh-CN" w:bidi="zh-CN"/>
      </w:rPr>
    </w:lvl>
    <w:lvl w:ilvl="2" w:tentative="0">
      <w:start w:val="0"/>
      <w:numFmt w:val="bullet"/>
      <w:lvlText w:val="•"/>
      <w:lvlJc w:val="left"/>
      <w:pPr>
        <w:ind w:left="2933" w:hanging="213"/>
      </w:pPr>
      <w:rPr>
        <w:rFonts w:hint="default"/>
        <w:lang w:val="zh-CN" w:eastAsia="zh-CN" w:bidi="zh-CN"/>
      </w:rPr>
    </w:lvl>
    <w:lvl w:ilvl="3" w:tentative="0">
      <w:start w:val="0"/>
      <w:numFmt w:val="bullet"/>
      <w:lvlText w:val="•"/>
      <w:lvlJc w:val="left"/>
      <w:pPr>
        <w:ind w:left="3889" w:hanging="213"/>
      </w:pPr>
      <w:rPr>
        <w:rFonts w:hint="default"/>
        <w:lang w:val="zh-CN" w:eastAsia="zh-CN" w:bidi="zh-CN"/>
      </w:rPr>
    </w:lvl>
    <w:lvl w:ilvl="4" w:tentative="0">
      <w:start w:val="0"/>
      <w:numFmt w:val="bullet"/>
      <w:lvlText w:val="•"/>
      <w:lvlJc w:val="left"/>
      <w:pPr>
        <w:ind w:left="4846" w:hanging="213"/>
      </w:pPr>
      <w:rPr>
        <w:rFonts w:hint="default"/>
        <w:lang w:val="zh-CN" w:eastAsia="zh-CN" w:bidi="zh-CN"/>
      </w:rPr>
    </w:lvl>
    <w:lvl w:ilvl="5" w:tentative="0">
      <w:start w:val="0"/>
      <w:numFmt w:val="bullet"/>
      <w:lvlText w:val="•"/>
      <w:lvlJc w:val="left"/>
      <w:pPr>
        <w:ind w:left="5802" w:hanging="213"/>
      </w:pPr>
      <w:rPr>
        <w:rFonts w:hint="default"/>
        <w:lang w:val="zh-CN" w:eastAsia="zh-CN" w:bidi="zh-CN"/>
      </w:rPr>
    </w:lvl>
    <w:lvl w:ilvl="6" w:tentative="0">
      <w:start w:val="0"/>
      <w:numFmt w:val="bullet"/>
      <w:lvlText w:val="•"/>
      <w:lvlJc w:val="left"/>
      <w:pPr>
        <w:ind w:left="6759" w:hanging="213"/>
      </w:pPr>
      <w:rPr>
        <w:rFonts w:hint="default"/>
        <w:lang w:val="zh-CN" w:eastAsia="zh-CN" w:bidi="zh-CN"/>
      </w:rPr>
    </w:lvl>
    <w:lvl w:ilvl="7" w:tentative="0">
      <w:start w:val="0"/>
      <w:numFmt w:val="bullet"/>
      <w:lvlText w:val="•"/>
      <w:lvlJc w:val="left"/>
      <w:pPr>
        <w:ind w:left="7715" w:hanging="213"/>
      </w:pPr>
      <w:rPr>
        <w:rFonts w:hint="default"/>
        <w:lang w:val="zh-CN" w:eastAsia="zh-CN" w:bidi="zh-CN"/>
      </w:rPr>
    </w:lvl>
    <w:lvl w:ilvl="8" w:tentative="0">
      <w:start w:val="0"/>
      <w:numFmt w:val="bullet"/>
      <w:lvlText w:val="•"/>
      <w:lvlJc w:val="left"/>
      <w:pPr>
        <w:ind w:left="8672" w:hanging="213"/>
      </w:pPr>
      <w:rPr>
        <w:rFonts w:hint="default"/>
        <w:lang w:val="zh-CN" w:eastAsia="zh-CN" w:bidi="zh-CN"/>
      </w:rPr>
    </w:lvl>
  </w:abstractNum>
  <w:abstractNum w:abstractNumId="28">
    <w:nsid w:val="59ADCABA"/>
    <w:multiLevelType w:val="multilevel"/>
    <w:tmpl w:val="59ADCABA"/>
    <w:lvl w:ilvl="0" w:tentative="0">
      <w:start w:val="1"/>
      <w:numFmt w:val="decimal"/>
      <w:lvlText w:val="%1."/>
      <w:lvlJc w:val="left"/>
      <w:pPr>
        <w:ind w:left="977" w:hanging="162"/>
        <w:jc w:val="left"/>
      </w:pPr>
      <w:rPr>
        <w:rFonts w:hint="default"/>
        <w:b/>
        <w:bCs/>
        <w:spacing w:val="-3"/>
        <w:w w:val="99"/>
        <w:lang w:val="zh-CN" w:eastAsia="zh-CN" w:bidi="zh-CN"/>
      </w:rPr>
    </w:lvl>
    <w:lvl w:ilvl="1" w:tentative="0">
      <w:start w:val="1"/>
      <w:numFmt w:val="decimal"/>
      <w:lvlText w:val="%1.%2"/>
      <w:lvlJc w:val="left"/>
      <w:pPr>
        <w:ind w:left="1235" w:hanging="423"/>
        <w:jc w:val="left"/>
      </w:pPr>
      <w:rPr>
        <w:rFonts w:hint="default"/>
        <w:w w:val="100"/>
        <w:lang w:val="zh-CN" w:eastAsia="zh-CN" w:bidi="zh-CN"/>
      </w:rPr>
    </w:lvl>
    <w:lvl w:ilvl="2" w:tentative="0">
      <w:start w:val="1"/>
      <w:numFmt w:val="decimal"/>
      <w:lvlText w:val="%1.%2.%3"/>
      <w:lvlJc w:val="left"/>
      <w:pPr>
        <w:ind w:left="1354" w:hanging="423"/>
        <w:jc w:val="left"/>
      </w:pPr>
      <w:rPr>
        <w:rFonts w:hint="default"/>
        <w:w w:val="100"/>
        <w:lang w:val="zh-CN" w:eastAsia="zh-CN" w:bidi="zh-CN"/>
      </w:rPr>
    </w:lvl>
    <w:lvl w:ilvl="3" w:tentative="0">
      <w:start w:val="0"/>
      <w:numFmt w:val="bullet"/>
      <w:lvlText w:val="•"/>
      <w:lvlJc w:val="left"/>
      <w:pPr>
        <w:ind w:left="1240" w:hanging="423"/>
      </w:pPr>
      <w:rPr>
        <w:rFonts w:hint="default"/>
        <w:lang w:val="zh-CN" w:eastAsia="zh-CN" w:bidi="zh-CN"/>
      </w:rPr>
    </w:lvl>
    <w:lvl w:ilvl="4" w:tentative="0">
      <w:start w:val="0"/>
      <w:numFmt w:val="bullet"/>
      <w:lvlText w:val="•"/>
      <w:lvlJc w:val="left"/>
      <w:pPr>
        <w:ind w:left="1260" w:hanging="423"/>
      </w:pPr>
      <w:rPr>
        <w:rFonts w:hint="default"/>
        <w:lang w:val="zh-CN" w:eastAsia="zh-CN" w:bidi="zh-CN"/>
      </w:rPr>
    </w:lvl>
    <w:lvl w:ilvl="5" w:tentative="0">
      <w:start w:val="0"/>
      <w:numFmt w:val="bullet"/>
      <w:lvlText w:val="•"/>
      <w:lvlJc w:val="left"/>
      <w:pPr>
        <w:ind w:left="1280" w:hanging="423"/>
      </w:pPr>
      <w:rPr>
        <w:rFonts w:hint="default"/>
        <w:lang w:val="zh-CN" w:eastAsia="zh-CN" w:bidi="zh-CN"/>
      </w:rPr>
    </w:lvl>
    <w:lvl w:ilvl="6" w:tentative="0">
      <w:start w:val="0"/>
      <w:numFmt w:val="bullet"/>
      <w:lvlText w:val="•"/>
      <w:lvlJc w:val="left"/>
      <w:pPr>
        <w:ind w:left="1340" w:hanging="423"/>
      </w:pPr>
      <w:rPr>
        <w:rFonts w:hint="default"/>
        <w:lang w:val="zh-CN" w:eastAsia="zh-CN" w:bidi="zh-CN"/>
      </w:rPr>
    </w:lvl>
    <w:lvl w:ilvl="7" w:tentative="0">
      <w:start w:val="0"/>
      <w:numFmt w:val="bullet"/>
      <w:lvlText w:val="•"/>
      <w:lvlJc w:val="left"/>
      <w:pPr>
        <w:ind w:left="3651" w:hanging="423"/>
      </w:pPr>
      <w:rPr>
        <w:rFonts w:hint="default"/>
        <w:lang w:val="zh-CN" w:eastAsia="zh-CN" w:bidi="zh-CN"/>
      </w:rPr>
    </w:lvl>
    <w:lvl w:ilvl="8" w:tentative="0">
      <w:start w:val="0"/>
      <w:numFmt w:val="bullet"/>
      <w:lvlText w:val="•"/>
      <w:lvlJc w:val="left"/>
      <w:pPr>
        <w:ind w:left="5962" w:hanging="423"/>
      </w:pPr>
      <w:rPr>
        <w:rFonts w:hint="default"/>
        <w:lang w:val="zh-CN" w:eastAsia="zh-CN" w:bidi="zh-CN"/>
      </w:rPr>
    </w:lvl>
  </w:abstractNum>
  <w:abstractNum w:abstractNumId="29">
    <w:nsid w:val="5A241D34"/>
    <w:multiLevelType w:val="multilevel"/>
    <w:tmpl w:val="5A241D34"/>
    <w:lvl w:ilvl="0" w:tentative="0">
      <w:start w:val="1"/>
      <w:numFmt w:val="decimal"/>
      <w:lvlText w:val="（%1）"/>
      <w:lvlJc w:val="left"/>
      <w:pPr>
        <w:ind w:left="1341"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64" w:hanging="529"/>
      </w:pPr>
      <w:rPr>
        <w:rFonts w:hint="default"/>
        <w:lang w:val="zh-CN" w:eastAsia="zh-CN" w:bidi="zh-CN"/>
      </w:rPr>
    </w:lvl>
    <w:lvl w:ilvl="2" w:tentative="0">
      <w:start w:val="0"/>
      <w:numFmt w:val="bullet"/>
      <w:lvlText w:val="•"/>
      <w:lvlJc w:val="left"/>
      <w:pPr>
        <w:ind w:left="3189" w:hanging="529"/>
      </w:pPr>
      <w:rPr>
        <w:rFonts w:hint="default"/>
        <w:lang w:val="zh-CN" w:eastAsia="zh-CN" w:bidi="zh-CN"/>
      </w:rPr>
    </w:lvl>
    <w:lvl w:ilvl="3" w:tentative="0">
      <w:start w:val="0"/>
      <w:numFmt w:val="bullet"/>
      <w:lvlText w:val="•"/>
      <w:lvlJc w:val="left"/>
      <w:pPr>
        <w:ind w:left="4113" w:hanging="529"/>
      </w:pPr>
      <w:rPr>
        <w:rFonts w:hint="default"/>
        <w:lang w:val="zh-CN" w:eastAsia="zh-CN" w:bidi="zh-CN"/>
      </w:rPr>
    </w:lvl>
    <w:lvl w:ilvl="4" w:tentative="0">
      <w:start w:val="0"/>
      <w:numFmt w:val="bullet"/>
      <w:lvlText w:val="•"/>
      <w:lvlJc w:val="left"/>
      <w:pPr>
        <w:ind w:left="5038" w:hanging="529"/>
      </w:pPr>
      <w:rPr>
        <w:rFonts w:hint="default"/>
        <w:lang w:val="zh-CN" w:eastAsia="zh-CN" w:bidi="zh-CN"/>
      </w:rPr>
    </w:lvl>
    <w:lvl w:ilvl="5" w:tentative="0">
      <w:start w:val="0"/>
      <w:numFmt w:val="bullet"/>
      <w:lvlText w:val="•"/>
      <w:lvlJc w:val="left"/>
      <w:pPr>
        <w:ind w:left="5962" w:hanging="529"/>
      </w:pPr>
      <w:rPr>
        <w:rFonts w:hint="default"/>
        <w:lang w:val="zh-CN" w:eastAsia="zh-CN" w:bidi="zh-CN"/>
      </w:rPr>
    </w:lvl>
    <w:lvl w:ilvl="6" w:tentative="0">
      <w:start w:val="0"/>
      <w:numFmt w:val="bullet"/>
      <w:lvlText w:val="•"/>
      <w:lvlJc w:val="left"/>
      <w:pPr>
        <w:ind w:left="6887" w:hanging="529"/>
      </w:pPr>
      <w:rPr>
        <w:rFonts w:hint="default"/>
        <w:lang w:val="zh-CN" w:eastAsia="zh-CN" w:bidi="zh-CN"/>
      </w:rPr>
    </w:lvl>
    <w:lvl w:ilvl="7" w:tentative="0">
      <w:start w:val="0"/>
      <w:numFmt w:val="bullet"/>
      <w:lvlText w:val="•"/>
      <w:lvlJc w:val="left"/>
      <w:pPr>
        <w:ind w:left="7811" w:hanging="529"/>
      </w:pPr>
      <w:rPr>
        <w:rFonts w:hint="default"/>
        <w:lang w:val="zh-CN" w:eastAsia="zh-CN" w:bidi="zh-CN"/>
      </w:rPr>
    </w:lvl>
    <w:lvl w:ilvl="8" w:tentative="0">
      <w:start w:val="0"/>
      <w:numFmt w:val="bullet"/>
      <w:lvlText w:val="•"/>
      <w:lvlJc w:val="left"/>
      <w:pPr>
        <w:ind w:left="8736" w:hanging="529"/>
      </w:pPr>
      <w:rPr>
        <w:rFonts w:hint="default"/>
        <w:lang w:val="zh-CN" w:eastAsia="zh-CN" w:bidi="zh-CN"/>
      </w:rPr>
    </w:lvl>
  </w:abstractNum>
  <w:abstractNum w:abstractNumId="30">
    <w:nsid w:val="60382F6E"/>
    <w:multiLevelType w:val="multilevel"/>
    <w:tmpl w:val="60382F6E"/>
    <w:lvl w:ilvl="0" w:tentative="0">
      <w:start w:val="1"/>
      <w:numFmt w:val="decimal"/>
      <w:lvlText w:val="%1."/>
      <w:lvlJc w:val="left"/>
      <w:pPr>
        <w:ind w:left="1024"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76" w:hanging="213"/>
      </w:pPr>
      <w:rPr>
        <w:rFonts w:hint="default"/>
        <w:lang w:val="zh-CN" w:eastAsia="zh-CN" w:bidi="zh-CN"/>
      </w:rPr>
    </w:lvl>
    <w:lvl w:ilvl="2" w:tentative="0">
      <w:start w:val="0"/>
      <w:numFmt w:val="bullet"/>
      <w:lvlText w:val="•"/>
      <w:lvlJc w:val="left"/>
      <w:pPr>
        <w:ind w:left="2933" w:hanging="213"/>
      </w:pPr>
      <w:rPr>
        <w:rFonts w:hint="default"/>
        <w:lang w:val="zh-CN" w:eastAsia="zh-CN" w:bidi="zh-CN"/>
      </w:rPr>
    </w:lvl>
    <w:lvl w:ilvl="3" w:tentative="0">
      <w:start w:val="0"/>
      <w:numFmt w:val="bullet"/>
      <w:lvlText w:val="•"/>
      <w:lvlJc w:val="left"/>
      <w:pPr>
        <w:ind w:left="3889" w:hanging="213"/>
      </w:pPr>
      <w:rPr>
        <w:rFonts w:hint="default"/>
        <w:lang w:val="zh-CN" w:eastAsia="zh-CN" w:bidi="zh-CN"/>
      </w:rPr>
    </w:lvl>
    <w:lvl w:ilvl="4" w:tentative="0">
      <w:start w:val="0"/>
      <w:numFmt w:val="bullet"/>
      <w:lvlText w:val="•"/>
      <w:lvlJc w:val="left"/>
      <w:pPr>
        <w:ind w:left="4846" w:hanging="213"/>
      </w:pPr>
      <w:rPr>
        <w:rFonts w:hint="default"/>
        <w:lang w:val="zh-CN" w:eastAsia="zh-CN" w:bidi="zh-CN"/>
      </w:rPr>
    </w:lvl>
    <w:lvl w:ilvl="5" w:tentative="0">
      <w:start w:val="0"/>
      <w:numFmt w:val="bullet"/>
      <w:lvlText w:val="•"/>
      <w:lvlJc w:val="left"/>
      <w:pPr>
        <w:ind w:left="5802" w:hanging="213"/>
      </w:pPr>
      <w:rPr>
        <w:rFonts w:hint="default"/>
        <w:lang w:val="zh-CN" w:eastAsia="zh-CN" w:bidi="zh-CN"/>
      </w:rPr>
    </w:lvl>
    <w:lvl w:ilvl="6" w:tentative="0">
      <w:start w:val="0"/>
      <w:numFmt w:val="bullet"/>
      <w:lvlText w:val="•"/>
      <w:lvlJc w:val="left"/>
      <w:pPr>
        <w:ind w:left="6759" w:hanging="213"/>
      </w:pPr>
      <w:rPr>
        <w:rFonts w:hint="default"/>
        <w:lang w:val="zh-CN" w:eastAsia="zh-CN" w:bidi="zh-CN"/>
      </w:rPr>
    </w:lvl>
    <w:lvl w:ilvl="7" w:tentative="0">
      <w:start w:val="0"/>
      <w:numFmt w:val="bullet"/>
      <w:lvlText w:val="•"/>
      <w:lvlJc w:val="left"/>
      <w:pPr>
        <w:ind w:left="7715" w:hanging="213"/>
      </w:pPr>
      <w:rPr>
        <w:rFonts w:hint="default"/>
        <w:lang w:val="zh-CN" w:eastAsia="zh-CN" w:bidi="zh-CN"/>
      </w:rPr>
    </w:lvl>
    <w:lvl w:ilvl="8" w:tentative="0">
      <w:start w:val="0"/>
      <w:numFmt w:val="bullet"/>
      <w:lvlText w:val="•"/>
      <w:lvlJc w:val="left"/>
      <w:pPr>
        <w:ind w:left="8672" w:hanging="213"/>
      </w:pPr>
      <w:rPr>
        <w:rFonts w:hint="default"/>
        <w:lang w:val="zh-CN" w:eastAsia="zh-CN" w:bidi="zh-CN"/>
      </w:rPr>
    </w:lvl>
  </w:abstractNum>
  <w:abstractNum w:abstractNumId="31">
    <w:nsid w:val="624C2F24"/>
    <w:multiLevelType w:val="singleLevel"/>
    <w:tmpl w:val="624C2F24"/>
    <w:lvl w:ilvl="0" w:tentative="0">
      <w:start w:val="1"/>
      <w:numFmt w:val="lowerLetter"/>
      <w:suff w:val="nothing"/>
      <w:lvlText w:val="%1、"/>
      <w:lvlJc w:val="left"/>
    </w:lvl>
  </w:abstractNum>
  <w:abstractNum w:abstractNumId="32">
    <w:nsid w:val="629F7852"/>
    <w:multiLevelType w:val="multilevel"/>
    <w:tmpl w:val="629F7852"/>
    <w:lvl w:ilvl="0" w:tentative="0">
      <w:start w:val="1"/>
      <w:numFmt w:val="decimal"/>
      <w:lvlText w:val="（%1）"/>
      <w:lvlJc w:val="left"/>
      <w:pPr>
        <w:ind w:left="1341"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64" w:hanging="529"/>
      </w:pPr>
      <w:rPr>
        <w:rFonts w:hint="default"/>
        <w:lang w:val="zh-CN" w:eastAsia="zh-CN" w:bidi="zh-CN"/>
      </w:rPr>
    </w:lvl>
    <w:lvl w:ilvl="2" w:tentative="0">
      <w:start w:val="0"/>
      <w:numFmt w:val="bullet"/>
      <w:lvlText w:val="•"/>
      <w:lvlJc w:val="left"/>
      <w:pPr>
        <w:ind w:left="3189" w:hanging="529"/>
      </w:pPr>
      <w:rPr>
        <w:rFonts w:hint="default"/>
        <w:lang w:val="zh-CN" w:eastAsia="zh-CN" w:bidi="zh-CN"/>
      </w:rPr>
    </w:lvl>
    <w:lvl w:ilvl="3" w:tentative="0">
      <w:start w:val="0"/>
      <w:numFmt w:val="bullet"/>
      <w:lvlText w:val="•"/>
      <w:lvlJc w:val="left"/>
      <w:pPr>
        <w:ind w:left="4113" w:hanging="529"/>
      </w:pPr>
      <w:rPr>
        <w:rFonts w:hint="default"/>
        <w:lang w:val="zh-CN" w:eastAsia="zh-CN" w:bidi="zh-CN"/>
      </w:rPr>
    </w:lvl>
    <w:lvl w:ilvl="4" w:tentative="0">
      <w:start w:val="0"/>
      <w:numFmt w:val="bullet"/>
      <w:lvlText w:val="•"/>
      <w:lvlJc w:val="left"/>
      <w:pPr>
        <w:ind w:left="5038" w:hanging="529"/>
      </w:pPr>
      <w:rPr>
        <w:rFonts w:hint="default"/>
        <w:lang w:val="zh-CN" w:eastAsia="zh-CN" w:bidi="zh-CN"/>
      </w:rPr>
    </w:lvl>
    <w:lvl w:ilvl="5" w:tentative="0">
      <w:start w:val="0"/>
      <w:numFmt w:val="bullet"/>
      <w:lvlText w:val="•"/>
      <w:lvlJc w:val="left"/>
      <w:pPr>
        <w:ind w:left="5962" w:hanging="529"/>
      </w:pPr>
      <w:rPr>
        <w:rFonts w:hint="default"/>
        <w:lang w:val="zh-CN" w:eastAsia="zh-CN" w:bidi="zh-CN"/>
      </w:rPr>
    </w:lvl>
    <w:lvl w:ilvl="6" w:tentative="0">
      <w:start w:val="0"/>
      <w:numFmt w:val="bullet"/>
      <w:lvlText w:val="•"/>
      <w:lvlJc w:val="left"/>
      <w:pPr>
        <w:ind w:left="6887" w:hanging="529"/>
      </w:pPr>
      <w:rPr>
        <w:rFonts w:hint="default"/>
        <w:lang w:val="zh-CN" w:eastAsia="zh-CN" w:bidi="zh-CN"/>
      </w:rPr>
    </w:lvl>
    <w:lvl w:ilvl="7" w:tentative="0">
      <w:start w:val="0"/>
      <w:numFmt w:val="bullet"/>
      <w:lvlText w:val="•"/>
      <w:lvlJc w:val="left"/>
      <w:pPr>
        <w:ind w:left="7811" w:hanging="529"/>
      </w:pPr>
      <w:rPr>
        <w:rFonts w:hint="default"/>
        <w:lang w:val="zh-CN" w:eastAsia="zh-CN" w:bidi="zh-CN"/>
      </w:rPr>
    </w:lvl>
    <w:lvl w:ilvl="8" w:tentative="0">
      <w:start w:val="0"/>
      <w:numFmt w:val="bullet"/>
      <w:lvlText w:val="•"/>
      <w:lvlJc w:val="left"/>
      <w:pPr>
        <w:ind w:left="8736" w:hanging="529"/>
      </w:pPr>
      <w:rPr>
        <w:rFonts w:hint="default"/>
        <w:lang w:val="zh-CN" w:eastAsia="zh-CN" w:bidi="zh-CN"/>
      </w:rPr>
    </w:lvl>
  </w:abstractNum>
  <w:abstractNum w:abstractNumId="33">
    <w:nsid w:val="63B278E8"/>
    <w:multiLevelType w:val="multilevel"/>
    <w:tmpl w:val="63B278E8"/>
    <w:lvl w:ilvl="0" w:tentative="0">
      <w:start w:val="1"/>
      <w:numFmt w:val="bullet"/>
      <w:lvlText w:val=""/>
      <w:lvlJc w:val="left"/>
      <w:pPr>
        <w:tabs>
          <w:tab w:val="left" w:pos="920"/>
        </w:tabs>
        <w:ind w:left="920" w:hanging="420"/>
      </w:pPr>
      <w:rPr>
        <w:rFonts w:hint="default" w:ascii="Wingdings" w:hAnsi="Wingdings"/>
      </w:rPr>
    </w:lvl>
    <w:lvl w:ilvl="1" w:tentative="0">
      <w:start w:val="1"/>
      <w:numFmt w:val="bullet"/>
      <w:lvlText w:val=""/>
      <w:lvlJc w:val="left"/>
      <w:pPr>
        <w:tabs>
          <w:tab w:val="left" w:pos="1340"/>
        </w:tabs>
        <w:ind w:left="1340" w:hanging="420"/>
      </w:pPr>
      <w:rPr>
        <w:rFonts w:hint="default" w:ascii="Wingdings" w:hAnsi="Wingdings"/>
      </w:rPr>
    </w:lvl>
    <w:lvl w:ilvl="2" w:tentative="0">
      <w:start w:val="1"/>
      <w:numFmt w:val="bullet"/>
      <w:lvlText w:val=""/>
      <w:lvlJc w:val="left"/>
      <w:pPr>
        <w:tabs>
          <w:tab w:val="left" w:pos="1760"/>
        </w:tabs>
        <w:ind w:left="1760" w:hanging="420"/>
      </w:pPr>
      <w:rPr>
        <w:rFonts w:hint="default" w:ascii="Wingdings" w:hAnsi="Wingdings"/>
      </w:rPr>
    </w:lvl>
    <w:lvl w:ilvl="3" w:tentative="0">
      <w:start w:val="1"/>
      <w:numFmt w:val="bullet"/>
      <w:lvlText w:val=""/>
      <w:lvlJc w:val="left"/>
      <w:pPr>
        <w:tabs>
          <w:tab w:val="left" w:pos="2180"/>
        </w:tabs>
        <w:ind w:left="2180" w:hanging="420"/>
      </w:pPr>
      <w:rPr>
        <w:rFonts w:hint="default" w:ascii="Wingdings" w:hAnsi="Wingdings"/>
      </w:rPr>
    </w:lvl>
    <w:lvl w:ilvl="4" w:tentative="0">
      <w:start w:val="1"/>
      <w:numFmt w:val="bullet"/>
      <w:lvlText w:val=""/>
      <w:lvlJc w:val="left"/>
      <w:pPr>
        <w:tabs>
          <w:tab w:val="left" w:pos="2600"/>
        </w:tabs>
        <w:ind w:left="2600" w:hanging="420"/>
      </w:pPr>
      <w:rPr>
        <w:rFonts w:hint="default" w:ascii="Wingdings" w:hAnsi="Wingdings"/>
      </w:rPr>
    </w:lvl>
    <w:lvl w:ilvl="5" w:tentative="0">
      <w:start w:val="1"/>
      <w:numFmt w:val="bullet"/>
      <w:lvlText w:val=""/>
      <w:lvlJc w:val="left"/>
      <w:pPr>
        <w:tabs>
          <w:tab w:val="left" w:pos="3020"/>
        </w:tabs>
        <w:ind w:left="3020" w:hanging="420"/>
      </w:pPr>
      <w:rPr>
        <w:rFonts w:hint="default" w:ascii="Wingdings" w:hAnsi="Wingdings"/>
      </w:rPr>
    </w:lvl>
    <w:lvl w:ilvl="6" w:tentative="0">
      <w:start w:val="1"/>
      <w:numFmt w:val="bullet"/>
      <w:lvlText w:val=""/>
      <w:lvlJc w:val="left"/>
      <w:pPr>
        <w:tabs>
          <w:tab w:val="left" w:pos="3440"/>
        </w:tabs>
        <w:ind w:left="3440" w:hanging="420"/>
      </w:pPr>
      <w:rPr>
        <w:rFonts w:hint="default" w:ascii="Wingdings" w:hAnsi="Wingdings"/>
      </w:rPr>
    </w:lvl>
    <w:lvl w:ilvl="7" w:tentative="0">
      <w:start w:val="1"/>
      <w:numFmt w:val="bullet"/>
      <w:lvlText w:val=""/>
      <w:lvlJc w:val="left"/>
      <w:pPr>
        <w:tabs>
          <w:tab w:val="left" w:pos="3860"/>
        </w:tabs>
        <w:ind w:left="3860" w:hanging="420"/>
      </w:pPr>
      <w:rPr>
        <w:rFonts w:hint="default" w:ascii="Wingdings" w:hAnsi="Wingdings"/>
      </w:rPr>
    </w:lvl>
    <w:lvl w:ilvl="8" w:tentative="0">
      <w:start w:val="1"/>
      <w:numFmt w:val="bullet"/>
      <w:lvlText w:val=""/>
      <w:lvlJc w:val="left"/>
      <w:pPr>
        <w:tabs>
          <w:tab w:val="left" w:pos="4280"/>
        </w:tabs>
        <w:ind w:left="4280" w:hanging="420"/>
      </w:pPr>
      <w:rPr>
        <w:rFonts w:hint="default" w:ascii="Wingdings" w:hAnsi="Wingdings"/>
      </w:rPr>
    </w:lvl>
  </w:abstractNum>
  <w:abstractNum w:abstractNumId="34">
    <w:nsid w:val="6B643A19"/>
    <w:multiLevelType w:val="multilevel"/>
    <w:tmpl w:val="6B643A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7ECEA79"/>
    <w:multiLevelType w:val="multilevel"/>
    <w:tmpl w:val="77ECEA79"/>
    <w:lvl w:ilvl="0" w:tentative="0">
      <w:start w:val="1"/>
      <w:numFmt w:val="decimal"/>
      <w:lvlText w:val="%1."/>
      <w:lvlJc w:val="left"/>
      <w:pPr>
        <w:ind w:left="1027"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76" w:hanging="213"/>
      </w:pPr>
      <w:rPr>
        <w:rFonts w:hint="default"/>
        <w:lang w:val="zh-CN" w:eastAsia="zh-CN" w:bidi="zh-CN"/>
      </w:rPr>
    </w:lvl>
    <w:lvl w:ilvl="2" w:tentative="0">
      <w:start w:val="0"/>
      <w:numFmt w:val="bullet"/>
      <w:lvlText w:val="•"/>
      <w:lvlJc w:val="left"/>
      <w:pPr>
        <w:ind w:left="2933" w:hanging="213"/>
      </w:pPr>
      <w:rPr>
        <w:rFonts w:hint="default"/>
        <w:lang w:val="zh-CN" w:eastAsia="zh-CN" w:bidi="zh-CN"/>
      </w:rPr>
    </w:lvl>
    <w:lvl w:ilvl="3" w:tentative="0">
      <w:start w:val="0"/>
      <w:numFmt w:val="bullet"/>
      <w:lvlText w:val="•"/>
      <w:lvlJc w:val="left"/>
      <w:pPr>
        <w:ind w:left="3889" w:hanging="213"/>
      </w:pPr>
      <w:rPr>
        <w:rFonts w:hint="default"/>
        <w:lang w:val="zh-CN" w:eastAsia="zh-CN" w:bidi="zh-CN"/>
      </w:rPr>
    </w:lvl>
    <w:lvl w:ilvl="4" w:tentative="0">
      <w:start w:val="0"/>
      <w:numFmt w:val="bullet"/>
      <w:lvlText w:val="•"/>
      <w:lvlJc w:val="left"/>
      <w:pPr>
        <w:ind w:left="4846" w:hanging="213"/>
      </w:pPr>
      <w:rPr>
        <w:rFonts w:hint="default"/>
        <w:lang w:val="zh-CN" w:eastAsia="zh-CN" w:bidi="zh-CN"/>
      </w:rPr>
    </w:lvl>
    <w:lvl w:ilvl="5" w:tentative="0">
      <w:start w:val="0"/>
      <w:numFmt w:val="bullet"/>
      <w:lvlText w:val="•"/>
      <w:lvlJc w:val="left"/>
      <w:pPr>
        <w:ind w:left="5802" w:hanging="213"/>
      </w:pPr>
      <w:rPr>
        <w:rFonts w:hint="default"/>
        <w:lang w:val="zh-CN" w:eastAsia="zh-CN" w:bidi="zh-CN"/>
      </w:rPr>
    </w:lvl>
    <w:lvl w:ilvl="6" w:tentative="0">
      <w:start w:val="0"/>
      <w:numFmt w:val="bullet"/>
      <w:lvlText w:val="•"/>
      <w:lvlJc w:val="left"/>
      <w:pPr>
        <w:ind w:left="6759" w:hanging="213"/>
      </w:pPr>
      <w:rPr>
        <w:rFonts w:hint="default"/>
        <w:lang w:val="zh-CN" w:eastAsia="zh-CN" w:bidi="zh-CN"/>
      </w:rPr>
    </w:lvl>
    <w:lvl w:ilvl="7" w:tentative="0">
      <w:start w:val="0"/>
      <w:numFmt w:val="bullet"/>
      <w:lvlText w:val="•"/>
      <w:lvlJc w:val="left"/>
      <w:pPr>
        <w:ind w:left="7715" w:hanging="213"/>
      </w:pPr>
      <w:rPr>
        <w:rFonts w:hint="default"/>
        <w:lang w:val="zh-CN" w:eastAsia="zh-CN" w:bidi="zh-CN"/>
      </w:rPr>
    </w:lvl>
    <w:lvl w:ilvl="8" w:tentative="0">
      <w:start w:val="0"/>
      <w:numFmt w:val="bullet"/>
      <w:lvlText w:val="•"/>
      <w:lvlJc w:val="left"/>
      <w:pPr>
        <w:ind w:left="8672" w:hanging="213"/>
      </w:pPr>
      <w:rPr>
        <w:rFonts w:hint="default"/>
        <w:lang w:val="zh-CN" w:eastAsia="zh-CN" w:bidi="zh-CN"/>
      </w:rPr>
    </w:lvl>
  </w:abstractNum>
  <w:abstractNum w:abstractNumId="36">
    <w:nsid w:val="7C246926"/>
    <w:multiLevelType w:val="multilevel"/>
    <w:tmpl w:val="7C246926"/>
    <w:lvl w:ilvl="0" w:tentative="0">
      <w:start w:val="1"/>
      <w:numFmt w:val="decimal"/>
      <w:lvlText w:val="（%1）"/>
      <w:lvlJc w:val="left"/>
      <w:pPr>
        <w:ind w:left="1344" w:hanging="532"/>
        <w:jc w:val="left"/>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2264" w:hanging="532"/>
      </w:pPr>
      <w:rPr>
        <w:rFonts w:hint="default"/>
        <w:lang w:val="zh-CN" w:eastAsia="zh-CN" w:bidi="zh-CN"/>
      </w:rPr>
    </w:lvl>
    <w:lvl w:ilvl="2" w:tentative="0">
      <w:start w:val="0"/>
      <w:numFmt w:val="bullet"/>
      <w:lvlText w:val="•"/>
      <w:lvlJc w:val="left"/>
      <w:pPr>
        <w:ind w:left="3189" w:hanging="532"/>
      </w:pPr>
      <w:rPr>
        <w:rFonts w:hint="default"/>
        <w:lang w:val="zh-CN" w:eastAsia="zh-CN" w:bidi="zh-CN"/>
      </w:rPr>
    </w:lvl>
    <w:lvl w:ilvl="3" w:tentative="0">
      <w:start w:val="0"/>
      <w:numFmt w:val="bullet"/>
      <w:lvlText w:val="•"/>
      <w:lvlJc w:val="left"/>
      <w:pPr>
        <w:ind w:left="4113" w:hanging="532"/>
      </w:pPr>
      <w:rPr>
        <w:rFonts w:hint="default"/>
        <w:lang w:val="zh-CN" w:eastAsia="zh-CN" w:bidi="zh-CN"/>
      </w:rPr>
    </w:lvl>
    <w:lvl w:ilvl="4" w:tentative="0">
      <w:start w:val="0"/>
      <w:numFmt w:val="bullet"/>
      <w:lvlText w:val="•"/>
      <w:lvlJc w:val="left"/>
      <w:pPr>
        <w:ind w:left="5038" w:hanging="532"/>
      </w:pPr>
      <w:rPr>
        <w:rFonts w:hint="default"/>
        <w:lang w:val="zh-CN" w:eastAsia="zh-CN" w:bidi="zh-CN"/>
      </w:rPr>
    </w:lvl>
    <w:lvl w:ilvl="5" w:tentative="0">
      <w:start w:val="0"/>
      <w:numFmt w:val="bullet"/>
      <w:lvlText w:val="•"/>
      <w:lvlJc w:val="left"/>
      <w:pPr>
        <w:ind w:left="5962" w:hanging="532"/>
      </w:pPr>
      <w:rPr>
        <w:rFonts w:hint="default"/>
        <w:lang w:val="zh-CN" w:eastAsia="zh-CN" w:bidi="zh-CN"/>
      </w:rPr>
    </w:lvl>
    <w:lvl w:ilvl="6" w:tentative="0">
      <w:start w:val="0"/>
      <w:numFmt w:val="bullet"/>
      <w:lvlText w:val="•"/>
      <w:lvlJc w:val="left"/>
      <w:pPr>
        <w:ind w:left="6887" w:hanging="532"/>
      </w:pPr>
      <w:rPr>
        <w:rFonts w:hint="default"/>
        <w:lang w:val="zh-CN" w:eastAsia="zh-CN" w:bidi="zh-CN"/>
      </w:rPr>
    </w:lvl>
    <w:lvl w:ilvl="7" w:tentative="0">
      <w:start w:val="0"/>
      <w:numFmt w:val="bullet"/>
      <w:lvlText w:val="•"/>
      <w:lvlJc w:val="left"/>
      <w:pPr>
        <w:ind w:left="7811" w:hanging="532"/>
      </w:pPr>
      <w:rPr>
        <w:rFonts w:hint="default"/>
        <w:lang w:val="zh-CN" w:eastAsia="zh-CN" w:bidi="zh-CN"/>
      </w:rPr>
    </w:lvl>
    <w:lvl w:ilvl="8" w:tentative="0">
      <w:start w:val="0"/>
      <w:numFmt w:val="bullet"/>
      <w:lvlText w:val="•"/>
      <w:lvlJc w:val="left"/>
      <w:pPr>
        <w:ind w:left="8736" w:hanging="532"/>
      </w:pPr>
      <w:rPr>
        <w:rFonts w:hint="default"/>
        <w:lang w:val="zh-CN" w:eastAsia="zh-CN" w:bidi="zh-CN"/>
      </w:rPr>
    </w:lvl>
  </w:abstractNum>
  <w:abstractNum w:abstractNumId="37">
    <w:nsid w:val="7DEC2089"/>
    <w:multiLevelType w:val="multilevel"/>
    <w:tmpl w:val="7DEC2089"/>
    <w:lvl w:ilvl="0" w:tentative="0">
      <w:start w:val="1"/>
      <w:numFmt w:val="decimal"/>
      <w:lvlText w:val="%1."/>
      <w:lvlJc w:val="left"/>
      <w:pPr>
        <w:ind w:left="392" w:hanging="217"/>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418" w:hanging="217"/>
      </w:pPr>
      <w:rPr>
        <w:rFonts w:hint="default"/>
        <w:lang w:val="zh-CN" w:eastAsia="zh-CN" w:bidi="zh-CN"/>
      </w:rPr>
    </w:lvl>
    <w:lvl w:ilvl="2" w:tentative="0">
      <w:start w:val="0"/>
      <w:numFmt w:val="bullet"/>
      <w:lvlText w:val="•"/>
      <w:lvlJc w:val="left"/>
      <w:pPr>
        <w:ind w:left="2437" w:hanging="217"/>
      </w:pPr>
      <w:rPr>
        <w:rFonts w:hint="default"/>
        <w:lang w:val="zh-CN" w:eastAsia="zh-CN" w:bidi="zh-CN"/>
      </w:rPr>
    </w:lvl>
    <w:lvl w:ilvl="3" w:tentative="0">
      <w:start w:val="0"/>
      <w:numFmt w:val="bullet"/>
      <w:lvlText w:val="•"/>
      <w:lvlJc w:val="left"/>
      <w:pPr>
        <w:ind w:left="3455" w:hanging="217"/>
      </w:pPr>
      <w:rPr>
        <w:rFonts w:hint="default"/>
        <w:lang w:val="zh-CN" w:eastAsia="zh-CN" w:bidi="zh-CN"/>
      </w:rPr>
    </w:lvl>
    <w:lvl w:ilvl="4" w:tentative="0">
      <w:start w:val="0"/>
      <w:numFmt w:val="bullet"/>
      <w:lvlText w:val="•"/>
      <w:lvlJc w:val="left"/>
      <w:pPr>
        <w:ind w:left="4474" w:hanging="217"/>
      </w:pPr>
      <w:rPr>
        <w:rFonts w:hint="default"/>
        <w:lang w:val="zh-CN" w:eastAsia="zh-CN" w:bidi="zh-CN"/>
      </w:rPr>
    </w:lvl>
    <w:lvl w:ilvl="5" w:tentative="0">
      <w:start w:val="0"/>
      <w:numFmt w:val="bullet"/>
      <w:lvlText w:val="•"/>
      <w:lvlJc w:val="left"/>
      <w:pPr>
        <w:ind w:left="5492" w:hanging="217"/>
      </w:pPr>
      <w:rPr>
        <w:rFonts w:hint="default"/>
        <w:lang w:val="zh-CN" w:eastAsia="zh-CN" w:bidi="zh-CN"/>
      </w:rPr>
    </w:lvl>
    <w:lvl w:ilvl="6" w:tentative="0">
      <w:start w:val="0"/>
      <w:numFmt w:val="bullet"/>
      <w:lvlText w:val="•"/>
      <w:lvlJc w:val="left"/>
      <w:pPr>
        <w:ind w:left="6511" w:hanging="217"/>
      </w:pPr>
      <w:rPr>
        <w:rFonts w:hint="default"/>
        <w:lang w:val="zh-CN" w:eastAsia="zh-CN" w:bidi="zh-CN"/>
      </w:rPr>
    </w:lvl>
    <w:lvl w:ilvl="7" w:tentative="0">
      <w:start w:val="0"/>
      <w:numFmt w:val="bullet"/>
      <w:lvlText w:val="•"/>
      <w:lvlJc w:val="left"/>
      <w:pPr>
        <w:ind w:left="7529" w:hanging="217"/>
      </w:pPr>
      <w:rPr>
        <w:rFonts w:hint="default"/>
        <w:lang w:val="zh-CN" w:eastAsia="zh-CN" w:bidi="zh-CN"/>
      </w:rPr>
    </w:lvl>
    <w:lvl w:ilvl="8" w:tentative="0">
      <w:start w:val="0"/>
      <w:numFmt w:val="bullet"/>
      <w:lvlText w:val="•"/>
      <w:lvlJc w:val="left"/>
      <w:pPr>
        <w:ind w:left="8548" w:hanging="217"/>
      </w:pPr>
      <w:rPr>
        <w:rFonts w:hint="default"/>
        <w:lang w:val="zh-CN" w:eastAsia="zh-CN" w:bidi="zh-CN"/>
      </w:rPr>
    </w:lvl>
  </w:abstractNum>
  <w:num w:numId="1">
    <w:abstractNumId w:val="9"/>
  </w:num>
  <w:num w:numId="2">
    <w:abstractNumId w:val="28"/>
  </w:num>
  <w:num w:numId="3">
    <w:abstractNumId w:val="8"/>
  </w:num>
  <w:num w:numId="4">
    <w:abstractNumId w:val="6"/>
  </w:num>
  <w:num w:numId="5">
    <w:abstractNumId w:val="29"/>
  </w:num>
  <w:num w:numId="6">
    <w:abstractNumId w:val="15"/>
  </w:num>
  <w:num w:numId="7">
    <w:abstractNumId w:val="31"/>
  </w:num>
  <w:num w:numId="8">
    <w:abstractNumId w:val="14"/>
  </w:num>
  <w:num w:numId="9">
    <w:abstractNumId w:val="3"/>
  </w:num>
  <w:num w:numId="10">
    <w:abstractNumId w:val="21"/>
  </w:num>
  <w:num w:numId="11">
    <w:abstractNumId w:val="25"/>
  </w:num>
  <w:num w:numId="12">
    <w:abstractNumId w:val="19"/>
  </w:num>
  <w:num w:numId="13">
    <w:abstractNumId w:val="2"/>
  </w:num>
  <w:num w:numId="14">
    <w:abstractNumId w:val="11"/>
  </w:num>
  <w:num w:numId="15">
    <w:abstractNumId w:val="24"/>
  </w:num>
  <w:num w:numId="16">
    <w:abstractNumId w:val="30"/>
  </w:num>
  <w:num w:numId="17">
    <w:abstractNumId w:val="17"/>
  </w:num>
  <w:num w:numId="18">
    <w:abstractNumId w:val="23"/>
  </w:num>
  <w:num w:numId="19">
    <w:abstractNumId w:val="5"/>
  </w:num>
  <w:num w:numId="20">
    <w:abstractNumId w:val="36"/>
  </w:num>
  <w:num w:numId="21">
    <w:abstractNumId w:val="35"/>
  </w:num>
  <w:num w:numId="22">
    <w:abstractNumId w:val="7"/>
  </w:num>
  <w:num w:numId="23">
    <w:abstractNumId w:val="32"/>
  </w:num>
  <w:num w:numId="24">
    <w:abstractNumId w:val="4"/>
  </w:num>
  <w:num w:numId="25">
    <w:abstractNumId w:val="22"/>
  </w:num>
  <w:num w:numId="26">
    <w:abstractNumId w:val="1"/>
  </w:num>
  <w:num w:numId="27">
    <w:abstractNumId w:val="27"/>
  </w:num>
  <w:num w:numId="28">
    <w:abstractNumId w:val="37"/>
  </w:num>
  <w:num w:numId="29">
    <w:abstractNumId w:val="0"/>
  </w:num>
  <w:num w:numId="30">
    <w:abstractNumId w:val="10"/>
  </w:num>
  <w:num w:numId="31">
    <w:abstractNumId w:val="12"/>
  </w:num>
  <w:num w:numId="32">
    <w:abstractNumId w:val="18"/>
  </w:num>
  <w:num w:numId="33">
    <w:abstractNumId w:val="20"/>
  </w:num>
  <w:num w:numId="34">
    <w:abstractNumId w:val="33"/>
  </w:num>
  <w:num w:numId="35">
    <w:abstractNumId w:val="34"/>
  </w:num>
  <w:num w:numId="36">
    <w:abstractNumId w:val="16"/>
  </w:num>
  <w:num w:numId="37">
    <w:abstractNumId w:val="2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25D750D"/>
    <w:rsid w:val="02CF38D1"/>
    <w:rsid w:val="04FA3CC4"/>
    <w:rsid w:val="051A46A7"/>
    <w:rsid w:val="0F346F7D"/>
    <w:rsid w:val="136512CC"/>
    <w:rsid w:val="15FC2B7D"/>
    <w:rsid w:val="1B4E2E35"/>
    <w:rsid w:val="1E4971CD"/>
    <w:rsid w:val="209A3F3A"/>
    <w:rsid w:val="20F01261"/>
    <w:rsid w:val="2C6E5246"/>
    <w:rsid w:val="30FE7BDD"/>
    <w:rsid w:val="31476AB2"/>
    <w:rsid w:val="36632930"/>
    <w:rsid w:val="36DE5B96"/>
    <w:rsid w:val="39001C94"/>
    <w:rsid w:val="3B202B07"/>
    <w:rsid w:val="3E524D49"/>
    <w:rsid w:val="42BD36CE"/>
    <w:rsid w:val="42EA38B8"/>
    <w:rsid w:val="43895932"/>
    <w:rsid w:val="441D057F"/>
    <w:rsid w:val="49385038"/>
    <w:rsid w:val="4AA95DC7"/>
    <w:rsid w:val="53AF0CE6"/>
    <w:rsid w:val="592F3776"/>
    <w:rsid w:val="5E6F3E87"/>
    <w:rsid w:val="619F7697"/>
    <w:rsid w:val="6A5D30FD"/>
    <w:rsid w:val="6D191924"/>
    <w:rsid w:val="735F14F5"/>
    <w:rsid w:val="73C87A7E"/>
    <w:rsid w:val="7D7B64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38"/>
      <w:ind w:left="410" w:right="571"/>
      <w:jc w:val="center"/>
      <w:outlineLvl w:val="1"/>
    </w:pPr>
    <w:rPr>
      <w:rFonts w:ascii="宋体" w:hAnsi="宋体" w:eastAsia="宋体" w:cs="宋体"/>
      <w:b/>
      <w:bCs/>
      <w:sz w:val="44"/>
      <w:szCs w:val="44"/>
      <w:lang w:val="zh-CN" w:eastAsia="zh-CN" w:bidi="zh-CN"/>
    </w:rPr>
  </w:style>
  <w:style w:type="paragraph" w:styleId="4">
    <w:name w:val="heading 2"/>
    <w:basedOn w:val="1"/>
    <w:next w:val="1"/>
    <w:qFormat/>
    <w:uiPriority w:val="1"/>
    <w:pPr>
      <w:ind w:left="252"/>
      <w:jc w:val="center"/>
      <w:outlineLvl w:val="2"/>
    </w:pPr>
    <w:rPr>
      <w:rFonts w:ascii="宋体" w:hAnsi="宋体" w:eastAsia="宋体" w:cs="宋体"/>
      <w:b/>
      <w:bCs/>
      <w:sz w:val="32"/>
      <w:szCs w:val="32"/>
      <w:lang w:val="zh-CN" w:eastAsia="zh-CN" w:bidi="zh-CN"/>
    </w:rPr>
  </w:style>
  <w:style w:type="paragraph" w:styleId="5">
    <w:name w:val="heading 3"/>
    <w:basedOn w:val="1"/>
    <w:next w:val="1"/>
    <w:qFormat/>
    <w:uiPriority w:val="1"/>
    <w:pPr>
      <w:spacing w:before="40"/>
      <w:ind w:left="392"/>
      <w:outlineLvl w:val="3"/>
    </w:pPr>
    <w:rPr>
      <w:rFonts w:ascii="宋体" w:hAnsi="宋体" w:eastAsia="宋体" w:cs="宋体"/>
      <w:sz w:val="24"/>
      <w:szCs w:val="24"/>
      <w:lang w:val="zh-CN" w:eastAsia="zh-CN" w:bidi="zh-CN"/>
    </w:rPr>
  </w:style>
  <w:style w:type="paragraph" w:styleId="6">
    <w:name w:val="heading 4"/>
    <w:basedOn w:val="1"/>
    <w:next w:val="1"/>
    <w:qFormat/>
    <w:uiPriority w:val="1"/>
    <w:pPr>
      <w:ind w:left="815"/>
      <w:outlineLvl w:val="4"/>
    </w:pPr>
    <w:rPr>
      <w:rFonts w:ascii="宋体" w:hAnsi="宋体" w:eastAsia="宋体" w:cs="宋体"/>
      <w:b/>
      <w:bCs/>
      <w:sz w:val="21"/>
      <w:szCs w:val="21"/>
      <w:lang w:val="zh-CN" w:eastAsia="zh-CN" w:bidi="zh-CN"/>
    </w:rPr>
  </w:style>
  <w:style w:type="paragraph" w:styleId="7">
    <w:name w:val="heading 5"/>
    <w:basedOn w:val="1"/>
    <w:next w:val="1"/>
    <w:qFormat/>
    <w:uiPriority w:val="1"/>
    <w:pPr>
      <w:ind w:left="637"/>
      <w:outlineLvl w:val="5"/>
    </w:pPr>
    <w:rPr>
      <w:rFonts w:ascii="宋体" w:hAnsi="宋体" w:eastAsia="宋体" w:cs="宋体"/>
      <w:b/>
      <w:bCs/>
      <w:sz w:val="21"/>
      <w:szCs w:val="21"/>
      <w:lang w:val="zh-CN" w:eastAsia="zh-CN" w:bidi="zh-CN"/>
    </w:rPr>
  </w:style>
  <w:style w:type="character" w:default="1" w:styleId="17">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1"/>
      <w:szCs w:val="21"/>
      <w:lang w:val="zh-CN" w:eastAsia="zh-CN" w:bidi="zh-CN"/>
    </w:rPr>
  </w:style>
  <w:style w:type="paragraph" w:styleId="8">
    <w:name w:val="Normal Indent"/>
    <w:basedOn w:val="1"/>
    <w:qFormat/>
    <w:uiPriority w:val="0"/>
    <w:pPr>
      <w:adjustRightInd w:val="0"/>
      <w:snapToGrid w:val="0"/>
      <w:spacing w:line="300" w:lineRule="auto"/>
      <w:ind w:firstLine="397" w:firstLineChars="0"/>
      <w:textAlignment w:val="baseline"/>
    </w:pPr>
    <w:rPr>
      <w:rFonts w:ascii="Arial" w:hAnsi="Arial" w:cs="Times New Roman"/>
      <w:kern w:val="0"/>
      <w:szCs w:val="20"/>
    </w:rPr>
  </w:style>
  <w:style w:type="paragraph" w:styleId="9">
    <w:name w:val="Date"/>
    <w:basedOn w:val="1"/>
    <w:next w:val="1"/>
    <w:qFormat/>
    <w:uiPriority w:val="99"/>
    <w:rPr>
      <w:rFonts w:ascii="Times New Roman" w:hAnsi="Times New Roman" w:eastAsia="微软雅黑"/>
      <w:sz w:val="24"/>
      <w:szCs w:val="20"/>
    </w:rPr>
  </w:style>
  <w:style w:type="paragraph" w:styleId="10">
    <w:name w:val="footer"/>
    <w:basedOn w:val="1"/>
    <w:qFormat/>
    <w:uiPriority w:val="99"/>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style>
  <w:style w:type="paragraph" w:styleId="13">
    <w:name w:val="Normal (Web)"/>
    <w:basedOn w:val="1"/>
    <w:qFormat/>
    <w:uiPriority w:val="0"/>
    <w:pPr>
      <w:autoSpaceDE/>
      <w:autoSpaceDN/>
      <w:spacing w:before="100" w:beforeAutospacing="1" w:after="100" w:afterAutospacing="1"/>
      <w:jc w:val="both"/>
    </w:pPr>
    <w:rPr>
      <w:kern w:val="2"/>
      <w:sz w:val="24"/>
      <w:szCs w:val="24"/>
      <w:lang w:val="en-US" w:bidi="ar-SA"/>
    </w:rPr>
  </w:style>
  <w:style w:type="paragraph" w:styleId="14">
    <w:name w:val="Body Text First Indent"/>
    <w:basedOn w:val="2"/>
    <w:unhideWhenUsed/>
    <w:qFormat/>
    <w:uiPriority w:val="99"/>
    <w:pPr>
      <w:ind w:firstLine="420" w:firstLineChars="100"/>
    </w:pPr>
  </w:style>
  <w:style w:type="table" w:styleId="16">
    <w:name w:val="Table Grid"/>
    <w:basedOn w:val="15"/>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qFormat/>
    <w:uiPriority w:val="0"/>
    <w:rPr>
      <w:color w:val="800080"/>
      <w:u w:val="none"/>
    </w:rPr>
  </w:style>
  <w:style w:type="character" w:styleId="19">
    <w:name w:val="Hyperlink"/>
    <w:basedOn w:val="17"/>
    <w:qFormat/>
    <w:uiPriority w:val="0"/>
    <w:rPr>
      <w:color w:val="0000FF"/>
      <w:u w:val="none"/>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392" w:firstLine="419"/>
    </w:pPr>
    <w:rPr>
      <w:rFonts w:ascii="宋体" w:hAnsi="宋体" w:eastAsia="宋体" w:cs="宋体"/>
      <w:lang w:val="zh-CN" w:eastAsia="zh-CN" w:bidi="zh-CN"/>
    </w:rPr>
  </w:style>
  <w:style w:type="paragraph" w:customStyle="1" w:styleId="22">
    <w:name w:val="Table Paragraph"/>
    <w:basedOn w:val="1"/>
    <w:qFormat/>
    <w:uiPriority w:val="1"/>
    <w:pPr>
      <w:jc w:val="center"/>
    </w:pPr>
    <w:rPr>
      <w:rFonts w:ascii="宋体" w:hAnsi="宋体" w:eastAsia="宋体" w:cs="宋体"/>
      <w:lang w:val="zh-CN" w:eastAsia="zh-CN" w:bidi="zh-CN"/>
    </w:rPr>
  </w:style>
  <w:style w:type="character" w:customStyle="1" w:styleId="23">
    <w:name w:val="NormalCharacter"/>
    <w:link w:val="1"/>
    <w:qFormat/>
    <w:uiPriority w:val="0"/>
    <w:rPr>
      <w:rFonts w:ascii="宋体" w:hAnsi="宋体" w:eastAsia="宋体" w:cs="宋体"/>
      <w:sz w:val="22"/>
      <w:szCs w:val="22"/>
      <w:lang w:val="zh-CN" w:eastAsia="zh-CN" w:bidi="zh-CN"/>
    </w:rPr>
  </w:style>
  <w:style w:type="paragraph" w:customStyle="1" w:styleId="24">
    <w:name w:val="Heading3"/>
    <w:basedOn w:val="1"/>
    <w:next w:val="1"/>
    <w:qFormat/>
    <w:uiPriority w:val="0"/>
    <w:pPr>
      <w:keepNext/>
      <w:keepLines/>
      <w:spacing w:before="20" w:after="20" w:line="415" w:lineRule="auto"/>
      <w:ind w:firstLine="137" w:firstLineChars="49"/>
      <w:jc w:val="both"/>
      <w:textAlignment w:val="baseline"/>
    </w:pPr>
    <w:rPr>
      <w:rFonts w:hAnsi="黑体" w:eastAsia="黑体"/>
      <w:kern w:val="2"/>
      <w:sz w:val="24"/>
      <w:szCs w:val="20"/>
      <w:lang w:val="en-US" w:eastAsia="zh-CN" w:bidi="ar-SA"/>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cucd-0"/>
    <w:qFormat/>
    <w:uiPriority w:val="0"/>
    <w:pPr>
      <w:adjustRightInd w:val="0"/>
      <w:spacing w:line="360" w:lineRule="auto"/>
      <w:ind w:firstLine="200" w:firstLineChars="200"/>
    </w:pPr>
    <w:rPr>
      <w:rFonts w:asciiTheme="minorHAnsi" w:hAnsiTheme="minorHAnsi" w:eastAsiaTheme="minorEastAsia" w:cstheme="minorBidi"/>
      <w:kern w:val="2"/>
      <w:sz w:val="24"/>
      <w:szCs w:val="22"/>
      <w:lang w:val="en-US" w:eastAsia="zh-CN" w:bidi="ar-SA"/>
    </w:rPr>
  </w:style>
  <w:style w:type="paragraph" w:customStyle="1" w:styleId="27">
    <w:name w:val="样式2"/>
    <w:basedOn w:val="1"/>
    <w:qFormat/>
    <w:uiPriority w:val="0"/>
    <w:pPr>
      <w:adjustRightInd w:val="0"/>
      <w:spacing w:line="410" w:lineRule="atLeast"/>
      <w:ind w:firstLine="0" w:firstLineChars="0"/>
      <w:textAlignment w:val="baseline"/>
    </w:pPr>
    <w:rPr>
      <w:rFonts w:cs="Times New Roman"/>
      <w:kern w:val="0"/>
      <w:szCs w:val="20"/>
    </w:rPr>
  </w:style>
  <w:style w:type="paragraph" w:customStyle="1" w:styleId="28">
    <w:name w:val="ZH表头"/>
    <w:basedOn w:val="1"/>
    <w:qFormat/>
    <w:uiPriority w:val="0"/>
    <w:pPr>
      <w:spacing w:beforeLines="50"/>
      <w:ind w:firstLine="0" w:firstLineChars="0"/>
      <w:jc w:val="center"/>
    </w:pPr>
    <w:rPr>
      <w:rFonts w:cs="Times New Roman"/>
      <w:b/>
      <w:sz w:val="21"/>
      <w:szCs w:val="24"/>
    </w:rPr>
  </w:style>
  <w:style w:type="paragraph" w:customStyle="1" w:styleId="29">
    <w:name w:val="S1"/>
    <w:basedOn w:val="1"/>
    <w:qFormat/>
    <w:uiPriority w:val="0"/>
    <w:pPr>
      <w:spacing w:line="240" w:lineRule="auto"/>
    </w:pPr>
    <w:rPr>
      <w:rFonts w:asciiTheme="minorHAnsi" w:hAnsiTheme="minorHAnsi" w:eastAsiaTheme="minorEastAsia"/>
      <w:szCs w:val="24"/>
    </w:rPr>
  </w:style>
  <w:style w:type="paragraph" w:customStyle="1" w:styleId="30">
    <w:name w:val="标书正文"/>
    <w:basedOn w:val="1"/>
    <w:qFormat/>
    <w:uiPriority w:val="0"/>
    <w:pPr>
      <w:ind w:firstLine="480"/>
    </w:pPr>
    <w:rPr>
      <w:szCs w:val="24"/>
    </w:rPr>
  </w:style>
  <w:style w:type="paragraph" w:customStyle="1" w:styleId="31">
    <w:name w:val="p0"/>
    <w:basedOn w:val="1"/>
    <w:qFormat/>
    <w:uiPriority w:val="0"/>
    <w:pPr>
      <w:widowControl/>
    </w:pPr>
    <w:rPr>
      <w:rFonts w:cs="Times New Roman"/>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81" textRotate="1"/>
    <customShpInfo spid="_x0000_s3082" textRotate="1"/>
    <customShpInfo spid="_x0000_s3083" textRotate="1"/>
    <customShpInfo spid="_x0000_s3084" textRotate="1"/>
    <customShpInfo spid="_x0000_s3085" textRotate="1"/>
    <customShpInfo spid="_x0000_s3086" textRotate="1"/>
    <customShpInfo spid="_x0000_s3087" textRotate="1"/>
    <customShpInfo spid="_x0000_s3088" textRotate="1"/>
    <customShpInfo spid="_x0000_s3089" textRotate="1"/>
    <customShpInfo spid="_x0000_s2101"/>
    <customShpInfo spid="_x0000_s2102"/>
    <customShpInfo spid="_x0000_s2103"/>
    <customShpInfo spid="_x0000_s2104"/>
    <customShpInfo spid="_x0000_s2114"/>
    <customShpInfo spid="_x0000_s2117"/>
    <customShpInfo spid="_x0000_s2113"/>
    <customShpInfo spid="_x0000_s2116"/>
    <customShpInfo spid="_x0000_s2112"/>
    <customShpInfo spid="_x0000_s2115"/>
    <customShpInfo spid="_x0000_s211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ScaleCrop>false</ScaleCrop>
  <LinksUpToDate>false</LinksUpToDate>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2021-02-18T00:21:00Z</dcterms:created>
  <dc:creator>Administrator</dc:creator>
  <cp:lastModifiedBy>看见我的小熊了嘛</cp:lastModifiedBy>
  <cp:lastPrinted>2021-09-28T09:00:00Z</cp:lastPrinted>
  <dcterms:modified xsi:type="dcterms:W3CDTF">2021-11-01T08:27:58Z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LastSaved">
    <vt:filetime>2021-02-18T00:00:00Z</vt:filetime>
  </property>
  <property fmtid="{D5CDD505-2E9C-101B-9397-08002B2CF9AE}" pid="4" name="KSOProductBuildVer">
    <vt:lpwstr>2052-11.1.0.11045</vt:lpwstr>
  </property>
  <property fmtid="{D5CDD505-2E9C-101B-9397-08002B2CF9AE}" pid="5" name="ICV">
    <vt:lpwstr>1BE6AF202647435DBFE8EC4EA01170CE</vt:lpwstr>
  </property>
</Properties>
</file>