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18"/>
        <w:jc w:val="center"/>
        <w:rPr>
          <w:rFonts w:hint="eastAsia" w:ascii="宋体" w:hAnsi="宋体" w:eastAsia="宋体" w:cs="宋体"/>
          <w:color w:val="auto"/>
          <w:sz w:val="32"/>
          <w:szCs w:val="32"/>
          <w:highlight w:val="none"/>
          <w:lang w:eastAsia="zh-CN"/>
        </w:rPr>
      </w:pPr>
    </w:p>
    <w:p>
      <w:pPr>
        <w:pStyle w:val="18"/>
        <w:jc w:val="center"/>
        <w:rPr>
          <w:rFonts w:hint="eastAsia" w:ascii="宋体" w:hAnsi="宋体" w:eastAsia="宋体" w:cs="宋体"/>
          <w:color w:val="auto"/>
          <w:sz w:val="48"/>
          <w:szCs w:val="48"/>
          <w:highlight w:val="none"/>
          <w:lang w:eastAsia="zh-CN"/>
        </w:rPr>
      </w:pPr>
      <w:r>
        <w:rPr>
          <w:rFonts w:hint="eastAsia" w:ascii="宋体" w:hAnsi="宋体" w:eastAsia="宋体" w:cs="宋体"/>
          <w:color w:val="auto"/>
          <w:sz w:val="48"/>
          <w:szCs w:val="48"/>
          <w:highlight w:val="none"/>
          <w:lang w:eastAsia="zh-CN"/>
        </w:rPr>
        <w:t>沪苏、三龙污水</w:t>
      </w:r>
      <w:r>
        <w:rPr>
          <w:rFonts w:hint="eastAsia" w:ascii="宋体" w:hAnsi="宋体" w:eastAsia="宋体" w:cs="宋体"/>
          <w:color w:val="auto"/>
          <w:sz w:val="48"/>
          <w:szCs w:val="48"/>
          <w:highlight w:val="none"/>
          <w:lang w:val="en-US" w:eastAsia="zh-CN"/>
        </w:rPr>
        <w:t>厂</w:t>
      </w:r>
      <w:r>
        <w:rPr>
          <w:rFonts w:hint="eastAsia" w:ascii="宋体" w:hAnsi="宋体" w:eastAsia="宋体" w:cs="宋体"/>
          <w:color w:val="auto"/>
          <w:sz w:val="48"/>
          <w:szCs w:val="48"/>
          <w:highlight w:val="none"/>
          <w:lang w:eastAsia="zh-CN"/>
        </w:rPr>
        <w:t>复合碳源采购及相关服务</w:t>
      </w:r>
    </w:p>
    <w:p>
      <w:pPr>
        <w:pStyle w:val="18"/>
        <w:jc w:val="center"/>
        <w:rPr>
          <w:rFonts w:hint="eastAsia" w:ascii="宋体" w:hAnsi="宋体" w:eastAsia="宋体" w:cs="宋体"/>
          <w:color w:val="auto"/>
          <w:sz w:val="48"/>
          <w:szCs w:val="48"/>
          <w:highlight w:val="none"/>
          <w:lang w:eastAsia="zh-CN"/>
        </w:rPr>
      </w:pPr>
      <w:r>
        <w:rPr>
          <w:rFonts w:hint="eastAsia" w:ascii="宋体" w:hAnsi="宋体" w:eastAsia="宋体" w:cs="宋体"/>
          <w:color w:val="auto"/>
          <w:sz w:val="48"/>
          <w:szCs w:val="48"/>
          <w:highlight w:val="none"/>
          <w:lang w:eastAsia="zh-CN"/>
        </w:rPr>
        <w:t>项目</w:t>
      </w:r>
    </w:p>
    <w:p>
      <w:pPr>
        <w:spacing w:line="360" w:lineRule="auto"/>
        <w:jc w:val="both"/>
        <w:rPr>
          <w:rFonts w:hint="eastAsia" w:ascii="宋体" w:hAnsi="宋体" w:eastAsia="宋体" w:cs="宋体"/>
          <w:b/>
          <w:color w:val="auto"/>
          <w:sz w:val="84"/>
          <w:szCs w:val="84"/>
          <w:highlight w:val="none"/>
        </w:rPr>
      </w:pPr>
    </w:p>
    <w:p>
      <w:pPr>
        <w:pStyle w:val="47"/>
        <w:rPr>
          <w:rFonts w:hint="eastAsia" w:ascii="宋体" w:hAnsi="宋体" w:eastAsia="宋体" w:cs="宋体"/>
          <w:b/>
          <w:color w:val="auto"/>
          <w:sz w:val="84"/>
          <w:szCs w:val="84"/>
          <w:highlight w:val="none"/>
        </w:rPr>
      </w:pPr>
    </w:p>
    <w:p>
      <w:pPr>
        <w:spacing w:line="360" w:lineRule="auto"/>
        <w:jc w:val="center"/>
        <w:rPr>
          <w:rFonts w:hint="eastAsia" w:ascii="宋体" w:hAnsi="宋体" w:eastAsia="宋体" w:cs="宋体"/>
          <w:b/>
          <w:color w:val="auto"/>
          <w:sz w:val="84"/>
          <w:szCs w:val="84"/>
          <w:highlight w:val="none"/>
        </w:rPr>
      </w:pPr>
      <w:r>
        <w:rPr>
          <w:rFonts w:hint="eastAsia" w:ascii="宋体" w:hAnsi="宋体" w:eastAsia="宋体" w:cs="宋体"/>
          <w:b/>
          <w:color w:val="auto"/>
          <w:sz w:val="72"/>
          <w:szCs w:val="72"/>
          <w:highlight w:val="none"/>
        </w:rPr>
        <w:t>招  标  文  件</w:t>
      </w:r>
    </w:p>
    <w:p>
      <w:pPr>
        <w:spacing w:line="360" w:lineRule="auto"/>
        <w:rPr>
          <w:rFonts w:hint="eastAsia" w:ascii="宋体" w:hAnsi="宋体" w:eastAsia="宋体" w:cs="宋体"/>
          <w:color w:val="auto"/>
          <w:sz w:val="44"/>
          <w:szCs w:val="44"/>
          <w:highlight w:val="none"/>
        </w:rPr>
      </w:pPr>
    </w:p>
    <w:p>
      <w:pPr>
        <w:pStyle w:val="18"/>
        <w:rPr>
          <w:rFonts w:hint="eastAsia" w:ascii="宋体" w:hAnsi="宋体" w:eastAsia="宋体" w:cs="宋体"/>
          <w:color w:val="auto"/>
          <w:highlight w:val="none"/>
        </w:rPr>
      </w:pPr>
    </w:p>
    <w:p>
      <w:pPr>
        <w:rPr>
          <w:rFonts w:hint="eastAsia" w:ascii="宋体" w:hAnsi="宋体" w:eastAsia="宋体" w:cs="宋体"/>
          <w:color w:val="auto"/>
          <w:highlight w:val="none"/>
        </w:rPr>
      </w:pPr>
    </w:p>
    <w:p>
      <w:pPr>
        <w:pStyle w:val="47"/>
        <w:rPr>
          <w:rFonts w:hint="eastAsia" w:ascii="宋体" w:hAnsi="宋体" w:eastAsia="宋体" w:cs="宋体"/>
          <w:color w:val="auto"/>
          <w:highlight w:val="none"/>
        </w:rPr>
      </w:pPr>
    </w:p>
    <w:p>
      <w:pPr>
        <w:pStyle w:val="47"/>
        <w:rPr>
          <w:rFonts w:hint="eastAsia" w:ascii="宋体" w:hAnsi="宋体" w:eastAsia="宋体" w:cs="宋体"/>
          <w:color w:val="auto"/>
          <w:highlight w:val="none"/>
        </w:rPr>
      </w:pPr>
    </w:p>
    <w:p>
      <w:pPr>
        <w:spacing w:line="360" w:lineRule="auto"/>
        <w:jc w:val="both"/>
        <w:rPr>
          <w:rFonts w:hint="eastAsia" w:ascii="宋体" w:hAnsi="宋体" w:eastAsia="宋体" w:cs="宋体"/>
          <w:b/>
          <w:color w:val="auto"/>
          <w:sz w:val="84"/>
          <w:szCs w:val="84"/>
          <w:highlight w:val="none"/>
        </w:rPr>
      </w:pPr>
    </w:p>
    <w:p>
      <w:pPr>
        <w:keepNext w:val="0"/>
        <w:keepLines w:val="0"/>
        <w:pageBreakBefore w:val="0"/>
        <w:widowControl w:val="0"/>
        <w:kinsoku/>
        <w:wordWrap/>
        <w:overflowPunct/>
        <w:topLinePunct w:val="0"/>
        <w:autoSpaceDE/>
        <w:autoSpaceDN/>
        <w:bidi w:val="0"/>
        <w:adjustRightInd/>
        <w:snapToGrid/>
        <w:spacing w:line="960" w:lineRule="exact"/>
        <w:jc w:val="center"/>
        <w:textAlignment w:val="auto"/>
        <w:rPr>
          <w:rFonts w:hint="eastAsia" w:ascii="宋体" w:hAnsi="宋体" w:eastAsia="宋体" w:cs="宋体"/>
          <w:b/>
          <w:color w:val="auto"/>
          <w:sz w:val="32"/>
          <w:szCs w:val="32"/>
          <w:highlight w:val="none"/>
          <w:u w:val="single"/>
          <w:lang w:eastAsia="zh-CN"/>
        </w:rPr>
      </w:pPr>
      <w:bookmarkStart w:id="0" w:name="_Toc368759509"/>
      <w:bookmarkStart w:id="1" w:name="_Toc369077541"/>
      <w:bookmarkStart w:id="2" w:name="_Toc363326675"/>
      <w:r>
        <w:rPr>
          <w:rFonts w:hint="eastAsia" w:ascii="宋体" w:hAnsi="宋体" w:eastAsia="宋体" w:cs="宋体"/>
          <w:b/>
          <w:color w:val="auto"/>
          <w:sz w:val="32"/>
          <w:szCs w:val="32"/>
          <w:highlight w:val="none"/>
        </w:rPr>
        <w:t>招标人：</w:t>
      </w:r>
      <w:r>
        <w:rPr>
          <w:rFonts w:hint="eastAsia" w:ascii="宋体" w:hAnsi="宋体" w:eastAsia="宋体" w:cs="宋体"/>
          <w:b/>
          <w:color w:val="auto"/>
          <w:sz w:val="32"/>
          <w:szCs w:val="32"/>
          <w:highlight w:val="none"/>
          <w:u w:val="single"/>
          <w:lang w:eastAsia="zh-CN"/>
        </w:rPr>
        <w:t>盐城市大丰区沪城污水处理有限公司（盖章）</w:t>
      </w:r>
    </w:p>
    <w:p>
      <w:pPr>
        <w:keepNext w:val="0"/>
        <w:keepLines w:val="0"/>
        <w:pageBreakBefore w:val="0"/>
        <w:widowControl w:val="0"/>
        <w:kinsoku/>
        <w:wordWrap/>
        <w:overflowPunct/>
        <w:topLinePunct w:val="0"/>
        <w:autoSpaceDE/>
        <w:autoSpaceDN/>
        <w:bidi w:val="0"/>
        <w:adjustRightInd/>
        <w:snapToGrid/>
        <w:spacing w:line="960" w:lineRule="exact"/>
        <w:jc w:val="center"/>
        <w:textAlignment w:val="auto"/>
        <w:outlineLvl w:val="0"/>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招标代理：</w:t>
      </w:r>
      <w:r>
        <w:rPr>
          <w:rFonts w:hint="eastAsia" w:ascii="宋体" w:hAnsi="宋体" w:eastAsia="宋体" w:cs="宋体"/>
          <w:b/>
          <w:color w:val="auto"/>
          <w:sz w:val="32"/>
          <w:szCs w:val="32"/>
          <w:highlight w:val="none"/>
          <w:u w:val="single"/>
        </w:rPr>
        <w:t>江苏盐渎工程咨询有限公司（盖章）</w:t>
      </w:r>
    </w:p>
    <w:p>
      <w:pPr>
        <w:keepNext w:val="0"/>
        <w:keepLines w:val="0"/>
        <w:pageBreakBefore w:val="0"/>
        <w:widowControl w:val="0"/>
        <w:kinsoku/>
        <w:wordWrap/>
        <w:overflowPunct/>
        <w:topLinePunct w:val="0"/>
        <w:autoSpaceDE/>
        <w:autoSpaceDN/>
        <w:bidi w:val="0"/>
        <w:adjustRightInd/>
        <w:snapToGrid/>
        <w:spacing w:line="960" w:lineRule="exact"/>
        <w:jc w:val="center"/>
        <w:textAlignment w:val="auto"/>
        <w:outlineLvl w:val="0"/>
        <w:rPr>
          <w:rFonts w:hint="eastAsia" w:ascii="宋体" w:hAnsi="宋体" w:eastAsia="宋体" w:cs="宋体"/>
          <w:b/>
          <w:color w:val="auto"/>
          <w:sz w:val="44"/>
          <w:highlight w:val="none"/>
        </w:rPr>
      </w:pPr>
      <w:r>
        <w:rPr>
          <w:rFonts w:hint="eastAsia" w:ascii="宋体" w:hAnsi="宋体" w:eastAsia="宋体" w:cs="宋体"/>
          <w:b/>
          <w:color w:val="auto"/>
          <w:sz w:val="32"/>
          <w:szCs w:val="32"/>
          <w:highlight w:val="none"/>
        </w:rPr>
        <w:t>二〇二</w:t>
      </w:r>
      <w:r>
        <w:rPr>
          <w:rFonts w:hint="eastAsia" w:ascii="宋体" w:hAnsi="宋体" w:eastAsia="宋体" w:cs="宋体"/>
          <w:b/>
          <w:color w:val="auto"/>
          <w:sz w:val="32"/>
          <w:szCs w:val="32"/>
          <w:highlight w:val="none"/>
          <w:lang w:val="en-US" w:eastAsia="zh-CN"/>
        </w:rPr>
        <w:t>四</w:t>
      </w:r>
      <w:r>
        <w:rPr>
          <w:rFonts w:hint="eastAsia" w:ascii="宋体" w:hAnsi="宋体" w:eastAsia="宋体" w:cs="宋体"/>
          <w:b/>
          <w:color w:val="auto"/>
          <w:sz w:val="32"/>
          <w:szCs w:val="32"/>
          <w:highlight w:val="none"/>
        </w:rPr>
        <w:t>年</w:t>
      </w:r>
      <w:r>
        <w:rPr>
          <w:rFonts w:hint="eastAsia" w:ascii="宋体" w:hAnsi="宋体" w:cs="宋体"/>
          <w:b/>
          <w:color w:val="auto"/>
          <w:sz w:val="32"/>
          <w:szCs w:val="32"/>
          <w:highlight w:val="none"/>
          <w:lang w:val="en-US" w:eastAsia="zh-CN"/>
        </w:rPr>
        <w:t>五</w:t>
      </w:r>
      <w:r>
        <w:rPr>
          <w:rFonts w:hint="eastAsia" w:ascii="宋体" w:hAnsi="宋体" w:eastAsia="宋体" w:cs="宋体"/>
          <w:b/>
          <w:color w:val="auto"/>
          <w:sz w:val="32"/>
          <w:szCs w:val="32"/>
          <w:highlight w:val="none"/>
        </w:rPr>
        <w:t>月</w:t>
      </w:r>
      <w:r>
        <w:rPr>
          <w:rFonts w:hint="eastAsia" w:ascii="宋体" w:hAnsi="宋体" w:eastAsia="宋体" w:cs="宋体"/>
          <w:b/>
          <w:bCs/>
          <w:color w:val="auto"/>
          <w:sz w:val="32"/>
          <w:szCs w:val="32"/>
          <w:highlight w:val="none"/>
        </w:rPr>
        <w:br w:type="page"/>
      </w:r>
      <w:r>
        <w:rPr>
          <w:rFonts w:hint="eastAsia" w:ascii="宋体" w:hAnsi="宋体" w:eastAsia="宋体" w:cs="宋体"/>
          <w:b/>
          <w:color w:val="auto"/>
          <w:sz w:val="44"/>
          <w:highlight w:val="none"/>
        </w:rPr>
        <w:t>总  目  录</w:t>
      </w:r>
    </w:p>
    <w:p>
      <w:pPr>
        <w:spacing w:line="360" w:lineRule="auto"/>
        <w:rPr>
          <w:rFonts w:hint="eastAsia" w:ascii="宋体" w:hAnsi="宋体" w:eastAsia="宋体" w:cs="宋体"/>
          <w:b/>
          <w:color w:val="auto"/>
          <w:sz w:val="28"/>
          <w:highlight w:val="none"/>
        </w:rPr>
      </w:pPr>
    </w:p>
    <w:p>
      <w:pPr>
        <w:spacing w:line="800" w:lineRule="exact"/>
        <w:jc w:val="center"/>
        <w:rPr>
          <w:rFonts w:hint="eastAsia" w:ascii="宋体" w:hAnsi="宋体" w:eastAsia="宋体" w:cs="宋体"/>
          <w:b/>
          <w:bCs/>
          <w:color w:val="auto"/>
          <w:sz w:val="32"/>
          <w:szCs w:val="32"/>
          <w:highlight w:val="none"/>
        </w:rPr>
      </w:pPr>
    </w:p>
    <w:p>
      <w:pPr>
        <w:pStyle w:val="18"/>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 xml:space="preserve">第一章 招标公告…………………………………………03 </w:t>
      </w:r>
    </w:p>
    <w:p>
      <w:pPr>
        <w:pStyle w:val="18"/>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宋体" w:hAnsi="宋体" w:eastAsia="宋体" w:cs="宋体"/>
          <w:b/>
          <w:bCs/>
          <w:color w:val="auto"/>
          <w:sz w:val="32"/>
          <w:szCs w:val="32"/>
          <w:highlight w:val="none"/>
        </w:rPr>
      </w:pPr>
    </w:p>
    <w:p>
      <w:pPr>
        <w:pStyle w:val="18"/>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第二章 投标人须知………………………………………0</w:t>
      </w:r>
      <w:r>
        <w:rPr>
          <w:rFonts w:hint="eastAsia" w:ascii="宋体" w:hAnsi="宋体" w:eastAsia="宋体" w:cs="宋体"/>
          <w:b/>
          <w:bCs/>
          <w:color w:val="auto"/>
          <w:sz w:val="32"/>
          <w:szCs w:val="32"/>
          <w:highlight w:val="none"/>
          <w:lang w:val="en-US" w:eastAsia="zh-CN"/>
        </w:rPr>
        <w:t>6</w:t>
      </w:r>
      <w:r>
        <w:rPr>
          <w:rFonts w:hint="eastAsia" w:ascii="宋体" w:hAnsi="宋体" w:eastAsia="宋体" w:cs="宋体"/>
          <w:b/>
          <w:bCs/>
          <w:color w:val="auto"/>
          <w:sz w:val="32"/>
          <w:szCs w:val="32"/>
          <w:highlight w:val="none"/>
        </w:rPr>
        <w:t xml:space="preserve">  </w:t>
      </w:r>
    </w:p>
    <w:p>
      <w:pPr>
        <w:pStyle w:val="18"/>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宋体" w:hAnsi="宋体" w:eastAsia="宋体" w:cs="宋体"/>
          <w:b/>
          <w:bCs/>
          <w:color w:val="auto"/>
          <w:sz w:val="32"/>
          <w:szCs w:val="32"/>
          <w:highlight w:val="none"/>
        </w:rPr>
      </w:pPr>
    </w:p>
    <w:p>
      <w:pPr>
        <w:pStyle w:val="18"/>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宋体" w:hAnsi="宋体" w:eastAsia="宋体" w:cs="宋体"/>
          <w:b/>
          <w:bCs/>
          <w:color w:val="auto"/>
          <w:sz w:val="32"/>
          <w:szCs w:val="32"/>
          <w:highlight w:val="none"/>
          <w:lang w:eastAsia="zh-CN"/>
        </w:rPr>
      </w:pPr>
      <w:r>
        <w:rPr>
          <w:rFonts w:hint="eastAsia" w:ascii="宋体" w:hAnsi="宋体" w:eastAsia="宋体" w:cs="宋体"/>
          <w:b/>
          <w:bCs/>
          <w:color w:val="auto"/>
          <w:sz w:val="32"/>
          <w:szCs w:val="32"/>
          <w:highlight w:val="none"/>
        </w:rPr>
        <w:t>第三章 评标办法…………………………………………2</w:t>
      </w:r>
      <w:r>
        <w:rPr>
          <w:rFonts w:hint="eastAsia" w:ascii="宋体" w:hAnsi="宋体" w:eastAsia="宋体" w:cs="宋体"/>
          <w:b/>
          <w:bCs/>
          <w:color w:val="auto"/>
          <w:sz w:val="32"/>
          <w:szCs w:val="32"/>
          <w:highlight w:val="none"/>
          <w:lang w:val="en-US" w:eastAsia="zh-CN"/>
        </w:rPr>
        <w:t>1</w:t>
      </w:r>
    </w:p>
    <w:p>
      <w:pPr>
        <w:pStyle w:val="18"/>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宋体" w:hAnsi="宋体" w:eastAsia="宋体" w:cs="宋体"/>
          <w:b/>
          <w:bCs/>
          <w:color w:val="auto"/>
          <w:sz w:val="32"/>
          <w:szCs w:val="32"/>
          <w:highlight w:val="none"/>
        </w:rPr>
      </w:pPr>
    </w:p>
    <w:p>
      <w:pPr>
        <w:pStyle w:val="18"/>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宋体" w:hAnsi="宋体" w:eastAsia="宋体" w:cs="宋体"/>
          <w:b/>
          <w:bCs/>
          <w:color w:val="auto"/>
          <w:sz w:val="32"/>
          <w:szCs w:val="32"/>
          <w:highlight w:val="none"/>
          <w:lang w:val="en-US" w:eastAsia="zh-CN"/>
        </w:rPr>
      </w:pPr>
      <w:r>
        <w:rPr>
          <w:rFonts w:hint="eastAsia" w:ascii="宋体" w:hAnsi="宋体" w:eastAsia="宋体" w:cs="宋体"/>
          <w:b/>
          <w:bCs/>
          <w:color w:val="auto"/>
          <w:sz w:val="32"/>
          <w:szCs w:val="32"/>
          <w:highlight w:val="none"/>
        </w:rPr>
        <w:t>第四章 合同条款及格式…………………………………</w:t>
      </w:r>
      <w:r>
        <w:rPr>
          <w:rFonts w:hint="eastAsia" w:ascii="宋体" w:hAnsi="宋体" w:eastAsia="宋体" w:cs="宋体"/>
          <w:b/>
          <w:bCs/>
          <w:color w:val="auto"/>
          <w:sz w:val="32"/>
          <w:szCs w:val="32"/>
          <w:highlight w:val="none"/>
          <w:lang w:val="en-US" w:eastAsia="zh-CN"/>
        </w:rPr>
        <w:t>25</w:t>
      </w:r>
    </w:p>
    <w:p>
      <w:pPr>
        <w:pStyle w:val="18"/>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宋体" w:hAnsi="宋体" w:eastAsia="宋体" w:cs="宋体"/>
          <w:b/>
          <w:bCs/>
          <w:color w:val="auto"/>
          <w:sz w:val="32"/>
          <w:szCs w:val="32"/>
          <w:highlight w:val="none"/>
        </w:rPr>
      </w:pPr>
    </w:p>
    <w:p>
      <w:pPr>
        <w:pStyle w:val="18"/>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宋体" w:hAnsi="宋体" w:eastAsia="宋体" w:cs="宋体"/>
          <w:b/>
          <w:bCs/>
          <w:color w:val="auto"/>
          <w:sz w:val="32"/>
          <w:szCs w:val="32"/>
          <w:highlight w:val="none"/>
          <w:lang w:eastAsia="zh-CN"/>
        </w:rPr>
      </w:pPr>
      <w:r>
        <w:rPr>
          <w:rFonts w:hint="eastAsia" w:ascii="宋体" w:hAnsi="宋体" w:eastAsia="宋体" w:cs="宋体"/>
          <w:b/>
          <w:bCs/>
          <w:color w:val="auto"/>
          <w:sz w:val="32"/>
          <w:szCs w:val="32"/>
          <w:highlight w:val="none"/>
        </w:rPr>
        <w:t>第五章 招标需求…………………………………………3</w:t>
      </w:r>
      <w:r>
        <w:rPr>
          <w:rFonts w:hint="eastAsia" w:ascii="宋体" w:hAnsi="宋体" w:eastAsia="宋体" w:cs="宋体"/>
          <w:b/>
          <w:bCs/>
          <w:color w:val="auto"/>
          <w:sz w:val="32"/>
          <w:szCs w:val="32"/>
          <w:highlight w:val="none"/>
          <w:lang w:val="en-US" w:eastAsia="zh-CN"/>
        </w:rPr>
        <w:t>1</w:t>
      </w:r>
    </w:p>
    <w:p>
      <w:pPr>
        <w:pStyle w:val="18"/>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宋体" w:hAnsi="宋体" w:eastAsia="宋体" w:cs="宋体"/>
          <w:b/>
          <w:bCs/>
          <w:color w:val="auto"/>
          <w:sz w:val="32"/>
          <w:szCs w:val="32"/>
          <w:highlight w:val="none"/>
        </w:rPr>
      </w:pPr>
    </w:p>
    <w:p>
      <w:pPr>
        <w:pStyle w:val="18"/>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宋体" w:hAnsi="宋体" w:eastAsia="宋体" w:cs="宋体"/>
          <w:b/>
          <w:bCs/>
          <w:color w:val="auto"/>
          <w:sz w:val="32"/>
          <w:szCs w:val="32"/>
          <w:highlight w:val="none"/>
          <w:lang w:eastAsia="zh-CN"/>
        </w:rPr>
      </w:pPr>
      <w:r>
        <w:rPr>
          <w:rFonts w:hint="eastAsia" w:ascii="宋体" w:hAnsi="宋体" w:eastAsia="宋体" w:cs="宋体"/>
          <w:b/>
          <w:bCs/>
          <w:color w:val="auto"/>
          <w:sz w:val="32"/>
          <w:szCs w:val="32"/>
          <w:highlight w:val="none"/>
        </w:rPr>
        <w:t>第六章 投标文件格式……………………………………3</w:t>
      </w:r>
      <w:r>
        <w:rPr>
          <w:rFonts w:hint="eastAsia" w:ascii="宋体" w:hAnsi="宋体" w:eastAsia="宋体" w:cs="宋体"/>
          <w:b/>
          <w:bCs/>
          <w:color w:val="auto"/>
          <w:sz w:val="32"/>
          <w:szCs w:val="32"/>
          <w:highlight w:val="none"/>
          <w:lang w:val="en-US" w:eastAsia="zh-CN"/>
        </w:rPr>
        <w:t>2</w:t>
      </w:r>
    </w:p>
    <w:p>
      <w:pPr>
        <w:rPr>
          <w:rFonts w:hint="eastAsia" w:ascii="宋体" w:hAnsi="宋体" w:eastAsia="宋体" w:cs="宋体"/>
          <w:b/>
          <w:bCs/>
          <w:color w:val="auto"/>
          <w:sz w:val="32"/>
          <w:szCs w:val="32"/>
          <w:highlight w:val="none"/>
        </w:rPr>
      </w:pPr>
    </w:p>
    <w:p>
      <w:pPr>
        <w:pStyle w:val="18"/>
        <w:rPr>
          <w:rFonts w:hint="eastAsia" w:ascii="宋体" w:hAnsi="宋体" w:eastAsia="宋体" w:cs="宋体"/>
          <w:b/>
          <w:bCs/>
          <w:color w:val="auto"/>
          <w:sz w:val="32"/>
          <w:szCs w:val="32"/>
          <w:highlight w:val="none"/>
        </w:rPr>
      </w:pPr>
    </w:p>
    <w:p>
      <w:pPr>
        <w:rPr>
          <w:rFonts w:hint="eastAsia" w:ascii="宋体" w:hAnsi="宋体" w:eastAsia="宋体" w:cs="宋体"/>
          <w:b/>
          <w:bCs/>
          <w:color w:val="auto"/>
          <w:sz w:val="32"/>
          <w:szCs w:val="32"/>
          <w:highlight w:val="none"/>
        </w:rPr>
      </w:pPr>
    </w:p>
    <w:p>
      <w:pPr>
        <w:pStyle w:val="2"/>
        <w:spacing w:before="0" w:after="0" w:line="360" w:lineRule="auto"/>
        <w:jc w:val="both"/>
        <w:rPr>
          <w:rFonts w:hint="eastAsia" w:ascii="宋体" w:hAnsi="宋体" w:eastAsia="宋体" w:cs="宋体"/>
          <w:color w:val="auto"/>
          <w:sz w:val="40"/>
          <w:szCs w:val="40"/>
          <w:highlight w:val="none"/>
        </w:rPr>
      </w:pPr>
    </w:p>
    <w:p>
      <w:pPr>
        <w:rPr>
          <w:rFonts w:hint="eastAsia" w:ascii="宋体" w:hAnsi="宋体" w:eastAsia="宋体" w:cs="宋体"/>
          <w:color w:val="auto"/>
          <w:highlight w:val="none"/>
        </w:rPr>
      </w:pPr>
    </w:p>
    <w:p>
      <w:pPr>
        <w:pStyle w:val="2"/>
        <w:spacing w:before="0" w:after="0" w:line="360" w:lineRule="auto"/>
        <w:rPr>
          <w:rFonts w:hint="eastAsia" w:ascii="宋体" w:hAnsi="宋体" w:eastAsia="宋体" w:cs="宋体"/>
          <w:color w:val="auto"/>
          <w:sz w:val="40"/>
          <w:szCs w:val="40"/>
          <w:highlight w:val="none"/>
          <w:lang w:val="en-US" w:eastAsia="zh-CN"/>
        </w:rPr>
      </w:pPr>
    </w:p>
    <w:p>
      <w:pPr>
        <w:rPr>
          <w:rFonts w:hint="eastAsia" w:ascii="宋体" w:hAnsi="宋体" w:eastAsia="宋体" w:cs="宋体"/>
          <w:color w:val="auto"/>
          <w:sz w:val="40"/>
          <w:szCs w:val="40"/>
          <w:highlight w:val="none"/>
          <w:lang w:val="en-US" w:eastAsia="zh-CN"/>
        </w:rPr>
      </w:pPr>
    </w:p>
    <w:p>
      <w:pPr>
        <w:pStyle w:val="18"/>
        <w:rPr>
          <w:rFonts w:hint="eastAsia" w:ascii="宋体" w:hAnsi="宋体" w:eastAsia="宋体" w:cs="宋体"/>
          <w:color w:val="auto"/>
          <w:sz w:val="40"/>
          <w:szCs w:val="40"/>
          <w:highlight w:val="none"/>
          <w:lang w:val="en-US" w:eastAsia="zh-CN"/>
        </w:rPr>
      </w:pPr>
    </w:p>
    <w:p>
      <w:pPr>
        <w:rPr>
          <w:rFonts w:hint="eastAsia" w:ascii="宋体" w:hAnsi="宋体" w:eastAsia="宋体" w:cs="宋体"/>
          <w:color w:val="auto"/>
          <w:highlight w:val="none"/>
          <w:lang w:val="en-US" w:eastAsia="zh-CN"/>
        </w:rPr>
      </w:pPr>
    </w:p>
    <w:p>
      <w:pPr>
        <w:pStyle w:val="2"/>
        <w:spacing w:before="0" w:after="0" w:line="360" w:lineRule="auto"/>
        <w:rPr>
          <w:rFonts w:hint="eastAsia" w:ascii="宋体" w:hAnsi="宋体" w:eastAsia="宋体" w:cs="宋体"/>
          <w:color w:val="auto"/>
          <w:sz w:val="40"/>
          <w:szCs w:val="40"/>
          <w:highlight w:val="none"/>
        </w:rPr>
      </w:pPr>
      <w:r>
        <w:rPr>
          <w:rFonts w:hint="eastAsia" w:ascii="宋体" w:hAnsi="宋体" w:eastAsia="宋体" w:cs="宋体"/>
          <w:color w:val="auto"/>
          <w:sz w:val="40"/>
          <w:szCs w:val="40"/>
          <w:highlight w:val="none"/>
          <w:lang w:val="en-US" w:eastAsia="zh-CN"/>
        </w:rPr>
        <w:t xml:space="preserve">第一章 </w:t>
      </w:r>
      <w:r>
        <w:rPr>
          <w:rFonts w:hint="eastAsia" w:ascii="宋体" w:hAnsi="宋体" w:eastAsia="宋体" w:cs="宋体"/>
          <w:color w:val="auto"/>
          <w:sz w:val="40"/>
          <w:szCs w:val="40"/>
          <w:highlight w:val="none"/>
        </w:rPr>
        <w:t>招标公告</w:t>
      </w:r>
    </w:p>
    <w:p>
      <w:pPr>
        <w:keepNext w:val="0"/>
        <w:keepLines w:val="0"/>
        <w:pageBreakBefore w:val="0"/>
        <w:widowControl w:val="0"/>
        <w:kinsoku/>
        <w:wordWrap/>
        <w:overflowPunct/>
        <w:topLinePunct w:val="0"/>
        <w:autoSpaceDE/>
        <w:autoSpaceDN/>
        <w:bidi w:val="0"/>
        <w:adjustRightInd/>
        <w:snapToGrid/>
        <w:spacing w:line="440" w:lineRule="exact"/>
        <w:ind w:firstLine="422" w:firstLineChars="200"/>
        <w:jc w:val="left"/>
        <w:textAlignment w:val="auto"/>
        <w:rPr>
          <w:rFonts w:hint="eastAsia" w:ascii="宋体" w:hAnsi="宋体" w:eastAsia="宋体" w:cs="宋体"/>
          <w:color w:val="auto"/>
          <w:szCs w:val="21"/>
          <w:highlight w:val="none"/>
        </w:rPr>
      </w:pPr>
      <w:r>
        <w:rPr>
          <w:rFonts w:hint="eastAsia" w:ascii="宋体" w:hAnsi="宋体" w:eastAsia="宋体" w:cs="宋体"/>
          <w:b/>
          <w:bCs/>
          <w:color w:val="auto"/>
          <w:szCs w:val="21"/>
          <w:highlight w:val="none"/>
        </w:rPr>
        <w:t>项目概况：</w:t>
      </w:r>
      <w:bookmarkStart w:id="435" w:name="_GoBack"/>
      <w:r>
        <w:rPr>
          <w:rFonts w:hint="eastAsia" w:ascii="宋体" w:hAnsi="宋体" w:eastAsia="宋体" w:cs="宋体"/>
          <w:b/>
          <w:bCs/>
          <w:color w:val="auto"/>
          <w:szCs w:val="21"/>
          <w:highlight w:val="none"/>
          <w:u w:val="single"/>
          <w:lang w:eastAsia="zh-CN"/>
        </w:rPr>
        <w:t>沪苏、三龙污水</w:t>
      </w:r>
      <w:r>
        <w:rPr>
          <w:rFonts w:hint="eastAsia" w:ascii="宋体" w:hAnsi="宋体" w:eastAsia="宋体" w:cs="宋体"/>
          <w:b/>
          <w:bCs/>
          <w:color w:val="auto"/>
          <w:szCs w:val="21"/>
          <w:highlight w:val="none"/>
          <w:u w:val="single"/>
          <w:lang w:val="en-US" w:eastAsia="zh-CN"/>
        </w:rPr>
        <w:t>厂</w:t>
      </w:r>
      <w:r>
        <w:rPr>
          <w:rFonts w:hint="eastAsia" w:ascii="宋体" w:hAnsi="宋体" w:eastAsia="宋体" w:cs="宋体"/>
          <w:b/>
          <w:bCs/>
          <w:color w:val="auto"/>
          <w:szCs w:val="21"/>
          <w:highlight w:val="none"/>
          <w:u w:val="single"/>
          <w:lang w:eastAsia="zh-CN"/>
        </w:rPr>
        <w:t>复合碳源采购及相关服务项目</w:t>
      </w:r>
      <w:bookmarkEnd w:id="435"/>
      <w:r>
        <w:rPr>
          <w:rFonts w:hint="eastAsia" w:ascii="宋体" w:hAnsi="宋体" w:eastAsia="宋体" w:cs="宋体"/>
          <w:b/>
          <w:bCs/>
          <w:color w:val="auto"/>
          <w:szCs w:val="21"/>
          <w:highlight w:val="none"/>
        </w:rPr>
        <w:t>的潜在投标人应在“新点电子交易平台-大丰政府采购系统”（网址：</w:t>
      </w:r>
      <w:r>
        <w:rPr>
          <w:rFonts w:hint="eastAsia" w:ascii="宋体" w:hAnsi="宋体" w:eastAsia="宋体" w:cs="宋体"/>
          <w:b/>
          <w:bCs/>
          <w:color w:val="auto"/>
          <w:szCs w:val="21"/>
          <w:highlight w:val="none"/>
        </w:rPr>
        <w:fldChar w:fldCharType="begin"/>
      </w:r>
      <w:r>
        <w:rPr>
          <w:rFonts w:hint="eastAsia" w:ascii="宋体" w:hAnsi="宋体" w:eastAsia="宋体" w:cs="宋体"/>
          <w:b/>
          <w:bCs/>
          <w:color w:val="auto"/>
          <w:szCs w:val="21"/>
          <w:highlight w:val="none"/>
        </w:rPr>
        <w:instrText xml:space="preserve"> HYPERLINK "https://www.etrading.cn/BREpointSSO/login/oauth2login）获取招标文件，并于2022年4月" </w:instrText>
      </w:r>
      <w:r>
        <w:rPr>
          <w:rFonts w:hint="eastAsia" w:ascii="宋体" w:hAnsi="宋体" w:eastAsia="宋体" w:cs="宋体"/>
          <w:b/>
          <w:bCs/>
          <w:color w:val="auto"/>
          <w:szCs w:val="21"/>
          <w:highlight w:val="none"/>
        </w:rPr>
        <w:fldChar w:fldCharType="separate"/>
      </w:r>
      <w:r>
        <w:rPr>
          <w:rStyle w:val="60"/>
          <w:rFonts w:hint="eastAsia" w:ascii="宋体" w:hAnsi="宋体" w:eastAsia="宋体" w:cs="宋体"/>
          <w:b/>
          <w:bCs/>
          <w:color w:val="auto"/>
          <w:szCs w:val="21"/>
          <w:highlight w:val="none"/>
        </w:rPr>
        <w:t>https://www.etrading.cn/BREpointSSO/login/oauth2login）获取招标文件，并于</w:t>
      </w:r>
      <w:r>
        <w:rPr>
          <w:rStyle w:val="60"/>
          <w:rFonts w:hint="eastAsia" w:ascii="宋体" w:hAnsi="宋体" w:eastAsia="宋体" w:cs="宋体"/>
          <w:b/>
          <w:bCs/>
          <w:color w:val="auto"/>
          <w:szCs w:val="21"/>
          <w:highlight w:val="none"/>
          <w:lang w:eastAsia="zh-CN"/>
        </w:rPr>
        <w:t>2024</w:t>
      </w:r>
      <w:r>
        <w:rPr>
          <w:rStyle w:val="60"/>
          <w:rFonts w:hint="eastAsia" w:ascii="宋体" w:hAnsi="宋体" w:eastAsia="宋体" w:cs="宋体"/>
          <w:b/>
          <w:bCs/>
          <w:color w:val="auto"/>
          <w:szCs w:val="21"/>
          <w:highlight w:val="none"/>
        </w:rPr>
        <w:t>年</w:t>
      </w:r>
      <w:r>
        <w:rPr>
          <w:rStyle w:val="60"/>
          <w:rFonts w:hint="eastAsia" w:ascii="宋体" w:hAnsi="宋体" w:cs="宋体"/>
          <w:b/>
          <w:bCs/>
          <w:color w:val="auto"/>
          <w:szCs w:val="21"/>
          <w:highlight w:val="none"/>
          <w:u w:val="single"/>
          <w:lang w:val="en-US" w:eastAsia="zh-CN"/>
        </w:rPr>
        <w:t>6</w:t>
      </w:r>
      <w:r>
        <w:rPr>
          <w:rStyle w:val="60"/>
          <w:rFonts w:hint="eastAsia" w:ascii="宋体" w:hAnsi="宋体" w:eastAsia="宋体" w:cs="宋体"/>
          <w:b/>
          <w:bCs/>
          <w:color w:val="auto"/>
          <w:szCs w:val="21"/>
          <w:highlight w:val="none"/>
        </w:rPr>
        <w:t>月</w:t>
      </w:r>
      <w:r>
        <w:rPr>
          <w:rFonts w:hint="eastAsia" w:ascii="宋体" w:hAnsi="宋体" w:eastAsia="宋体" w:cs="宋体"/>
          <w:b/>
          <w:bCs/>
          <w:color w:val="auto"/>
          <w:szCs w:val="21"/>
          <w:highlight w:val="none"/>
        </w:rPr>
        <w:fldChar w:fldCharType="end"/>
      </w:r>
      <w:r>
        <w:rPr>
          <w:rFonts w:hint="eastAsia" w:ascii="宋体" w:hAnsi="宋体" w:cs="宋体"/>
          <w:b/>
          <w:bCs/>
          <w:color w:val="auto"/>
          <w:szCs w:val="21"/>
          <w:highlight w:val="none"/>
          <w:u w:val="single"/>
          <w:lang w:val="en-US" w:eastAsia="zh-CN"/>
        </w:rPr>
        <w:t>6</w:t>
      </w:r>
      <w:r>
        <w:rPr>
          <w:rFonts w:hint="eastAsia" w:ascii="宋体" w:hAnsi="宋体" w:eastAsia="宋体" w:cs="宋体"/>
          <w:b/>
          <w:bCs/>
          <w:color w:val="auto"/>
          <w:szCs w:val="21"/>
          <w:highlight w:val="none"/>
        </w:rPr>
        <w:t>日</w:t>
      </w:r>
      <w:r>
        <w:rPr>
          <w:rFonts w:hint="eastAsia" w:ascii="宋体" w:hAnsi="宋体" w:cs="宋体"/>
          <w:b/>
          <w:bCs/>
          <w:color w:val="auto"/>
          <w:szCs w:val="21"/>
          <w:highlight w:val="none"/>
          <w:u w:val="single"/>
          <w:lang w:val="en-US" w:eastAsia="zh-CN"/>
        </w:rPr>
        <w:t>9</w:t>
      </w:r>
      <w:r>
        <w:rPr>
          <w:rFonts w:hint="eastAsia" w:ascii="宋体" w:hAnsi="宋体" w:eastAsia="宋体" w:cs="宋体"/>
          <w:b/>
          <w:bCs/>
          <w:color w:val="auto"/>
          <w:szCs w:val="21"/>
          <w:highlight w:val="none"/>
        </w:rPr>
        <w:t>时</w:t>
      </w:r>
      <w:r>
        <w:rPr>
          <w:rFonts w:hint="eastAsia" w:ascii="宋体" w:hAnsi="宋体" w:eastAsia="宋体" w:cs="宋体"/>
          <w:b/>
          <w:bCs/>
          <w:color w:val="auto"/>
          <w:szCs w:val="21"/>
          <w:highlight w:val="none"/>
          <w:u w:val="single"/>
          <w:lang w:val="en-US" w:eastAsia="zh-CN"/>
        </w:rPr>
        <w:t>00</w:t>
      </w:r>
      <w:r>
        <w:rPr>
          <w:rFonts w:hint="eastAsia" w:ascii="宋体" w:hAnsi="宋体" w:eastAsia="宋体" w:cs="宋体"/>
          <w:b/>
          <w:bCs/>
          <w:color w:val="auto"/>
          <w:szCs w:val="21"/>
          <w:highlight w:val="none"/>
        </w:rPr>
        <w:t>分</w:t>
      </w:r>
      <w:r>
        <w:rPr>
          <w:rFonts w:hint="eastAsia" w:ascii="宋体" w:hAnsi="宋体" w:eastAsia="宋体" w:cs="宋体"/>
          <w:b/>
          <w:bCs/>
          <w:color w:val="auto"/>
          <w:szCs w:val="21"/>
          <w:highlight w:val="none"/>
          <w:u w:val="single"/>
        </w:rPr>
        <w:t>00</w:t>
      </w:r>
      <w:r>
        <w:rPr>
          <w:rFonts w:hint="eastAsia" w:ascii="宋体" w:hAnsi="宋体" w:eastAsia="宋体" w:cs="宋体"/>
          <w:b/>
          <w:bCs/>
          <w:color w:val="auto"/>
          <w:szCs w:val="21"/>
          <w:highlight w:val="none"/>
        </w:rPr>
        <w:t>秒（北京时间）前递交投标文件。</w:t>
      </w:r>
    </w:p>
    <w:p>
      <w:pPr>
        <w:numPr>
          <w:ilvl w:val="0"/>
          <w:numId w:val="0"/>
        </w:numPr>
        <w:spacing w:line="480" w:lineRule="exact"/>
        <w:ind w:firstLine="422" w:firstLineChars="200"/>
        <w:rPr>
          <w:rFonts w:hint="eastAsia" w:ascii="宋体" w:hAnsi="宋体" w:eastAsia="宋体" w:cs="宋体"/>
          <w:b/>
          <w:bCs/>
          <w:color w:val="auto"/>
          <w:szCs w:val="21"/>
          <w:highlight w:val="none"/>
        </w:rPr>
      </w:pPr>
      <w:r>
        <w:rPr>
          <w:rFonts w:hint="eastAsia" w:ascii="宋体" w:hAnsi="宋体" w:eastAsia="宋体" w:cs="宋体"/>
          <w:b/>
          <w:bCs/>
          <w:color w:val="auto"/>
          <w:kern w:val="2"/>
          <w:sz w:val="21"/>
          <w:szCs w:val="21"/>
          <w:highlight w:val="none"/>
          <w:lang w:val="en-US" w:eastAsia="zh-CN" w:bidi="ar-SA"/>
        </w:rPr>
        <w:t>一、</w:t>
      </w:r>
      <w:r>
        <w:rPr>
          <w:rFonts w:hint="eastAsia" w:ascii="宋体" w:hAnsi="宋体" w:eastAsia="宋体" w:cs="宋体"/>
          <w:b/>
          <w:bCs/>
          <w:color w:val="auto"/>
          <w:szCs w:val="21"/>
          <w:highlight w:val="none"/>
        </w:rPr>
        <w:t>项目基本概况</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rPr>
        <w:t>⑴项目编号：</w:t>
      </w:r>
      <w:r>
        <w:rPr>
          <w:rFonts w:hint="eastAsia" w:ascii="宋体" w:hAnsi="宋体" w:eastAsia="宋体" w:cs="宋体"/>
          <w:color w:val="auto"/>
          <w:szCs w:val="21"/>
          <w:highlight w:val="none"/>
          <w:u w:val="single"/>
          <w:lang w:val="en-US" w:eastAsia="zh-CN"/>
        </w:rPr>
        <w:t>DFCG202405005</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⑵项目名称：</w:t>
      </w:r>
      <w:r>
        <w:rPr>
          <w:rFonts w:hint="eastAsia" w:ascii="宋体" w:hAnsi="宋体" w:eastAsia="宋体" w:cs="宋体"/>
          <w:color w:val="auto"/>
          <w:szCs w:val="21"/>
          <w:highlight w:val="none"/>
          <w:u w:val="single"/>
          <w:lang w:eastAsia="zh-CN"/>
        </w:rPr>
        <w:t>沪苏、三龙污水</w:t>
      </w:r>
      <w:r>
        <w:rPr>
          <w:rFonts w:hint="eastAsia" w:ascii="宋体" w:hAnsi="宋体" w:eastAsia="宋体" w:cs="宋体"/>
          <w:color w:val="auto"/>
          <w:szCs w:val="21"/>
          <w:highlight w:val="none"/>
          <w:u w:val="single"/>
          <w:lang w:val="en-US" w:eastAsia="zh-CN"/>
        </w:rPr>
        <w:t>厂</w:t>
      </w:r>
      <w:r>
        <w:rPr>
          <w:rFonts w:hint="eastAsia" w:ascii="宋体" w:hAnsi="宋体" w:eastAsia="宋体" w:cs="宋体"/>
          <w:color w:val="auto"/>
          <w:szCs w:val="21"/>
          <w:highlight w:val="none"/>
          <w:u w:val="single"/>
          <w:lang w:eastAsia="zh-CN"/>
        </w:rPr>
        <w:t>复合碳源采购及相关服务项目</w:t>
      </w:r>
      <w:r>
        <w:rPr>
          <w:rFonts w:hint="eastAsia" w:ascii="宋体" w:hAnsi="宋体" w:eastAsia="宋体" w:cs="宋体"/>
          <w:color w:val="auto"/>
          <w:szCs w:val="21"/>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⑶预算金额：</w:t>
      </w:r>
      <w:r>
        <w:rPr>
          <w:rFonts w:hint="eastAsia" w:ascii="宋体" w:hAnsi="宋体" w:eastAsia="宋体" w:cs="宋体"/>
          <w:color w:val="auto"/>
          <w:szCs w:val="21"/>
          <w:highlight w:val="none"/>
          <w:u w:val="single"/>
          <w:lang w:val="en-US" w:eastAsia="zh-CN"/>
        </w:rPr>
        <w:t>169.2</w:t>
      </w:r>
      <w:r>
        <w:rPr>
          <w:rFonts w:hint="eastAsia" w:ascii="宋体" w:hAnsi="宋体" w:eastAsia="宋体" w:cs="宋体"/>
          <w:color w:val="auto"/>
          <w:szCs w:val="21"/>
          <w:highlight w:val="none"/>
          <w:u w:val="single"/>
        </w:rPr>
        <w:t>万元</w:t>
      </w:r>
      <w:r>
        <w:rPr>
          <w:rFonts w:hint="eastAsia" w:ascii="宋体" w:hAnsi="宋体" w:eastAsia="宋体" w:cs="宋体"/>
          <w:color w:val="auto"/>
          <w:szCs w:val="21"/>
          <w:highlight w:val="none"/>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⑷最高限价：</w:t>
      </w:r>
      <w:r>
        <w:rPr>
          <w:rFonts w:hint="eastAsia" w:ascii="宋体" w:hAnsi="宋体" w:eastAsia="宋体" w:cs="宋体"/>
          <w:color w:val="auto"/>
          <w:szCs w:val="21"/>
          <w:highlight w:val="none"/>
          <w:u w:val="single"/>
          <w:lang w:val="en-US" w:eastAsia="zh-CN"/>
        </w:rPr>
        <w:t>1500元/吨</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⑸采购需求：</w:t>
      </w:r>
      <w:r>
        <w:rPr>
          <w:rFonts w:hint="eastAsia" w:ascii="宋体" w:hAnsi="宋体" w:eastAsia="宋体" w:cs="宋体"/>
          <w:color w:val="auto"/>
          <w:szCs w:val="21"/>
          <w:highlight w:val="none"/>
          <w:u w:val="single"/>
        </w:rPr>
        <w:t>详见项目需求。</w:t>
      </w:r>
      <w:r>
        <w:rPr>
          <w:rFonts w:hint="eastAsia" w:ascii="宋体" w:hAnsi="宋体" w:eastAsia="宋体" w:cs="宋体"/>
          <w:color w:val="auto"/>
          <w:szCs w:val="21"/>
          <w:highlight w:val="none"/>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color w:val="auto"/>
          <w:szCs w:val="21"/>
          <w:highlight w:val="none"/>
          <w:u w:val="single"/>
          <w:lang w:val="en-US" w:eastAsia="zh-CN"/>
        </w:rPr>
      </w:pPr>
      <w:r>
        <w:rPr>
          <w:rFonts w:hint="eastAsia" w:ascii="宋体" w:hAnsi="宋体" w:eastAsia="宋体" w:cs="宋体"/>
          <w:color w:val="auto"/>
          <w:szCs w:val="21"/>
          <w:highlight w:val="none"/>
        </w:rPr>
        <w:t>⑹合同履行期限：</w:t>
      </w:r>
      <w:r>
        <w:rPr>
          <w:rFonts w:hint="eastAsia" w:ascii="宋体" w:hAnsi="宋体" w:eastAsia="宋体" w:cs="宋体"/>
          <w:color w:val="auto"/>
          <w:szCs w:val="21"/>
          <w:highlight w:val="none"/>
          <w:u w:val="single"/>
          <w:lang w:val="en-US" w:eastAsia="zh-CN"/>
        </w:rPr>
        <w:t>一年</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⑺本项目不接受联合体投标。</w:t>
      </w:r>
    </w:p>
    <w:p>
      <w:pPr>
        <w:numPr>
          <w:ilvl w:val="0"/>
          <w:numId w:val="0"/>
        </w:numPr>
        <w:spacing w:line="480" w:lineRule="exact"/>
        <w:ind w:firstLine="422" w:firstLineChars="200"/>
        <w:jc w:val="left"/>
        <w:rPr>
          <w:rFonts w:hint="eastAsia" w:ascii="宋体" w:hAnsi="宋体" w:eastAsia="宋体" w:cs="宋体"/>
          <w:b/>
          <w:bCs/>
          <w:color w:val="auto"/>
          <w:szCs w:val="21"/>
          <w:highlight w:val="none"/>
        </w:rPr>
      </w:pPr>
      <w:r>
        <w:rPr>
          <w:rFonts w:hint="eastAsia" w:ascii="宋体" w:hAnsi="宋体" w:eastAsia="宋体" w:cs="宋体"/>
          <w:b/>
          <w:bCs/>
          <w:color w:val="auto"/>
          <w:kern w:val="2"/>
          <w:sz w:val="21"/>
          <w:szCs w:val="21"/>
          <w:highlight w:val="none"/>
          <w:lang w:val="en-US" w:eastAsia="zh-CN" w:bidi="ar-SA"/>
        </w:rPr>
        <w:t>二、</w:t>
      </w:r>
      <w:r>
        <w:rPr>
          <w:rFonts w:hint="eastAsia" w:ascii="宋体" w:hAnsi="宋体" w:eastAsia="宋体" w:cs="宋体"/>
          <w:b/>
          <w:bCs/>
          <w:color w:val="auto"/>
          <w:szCs w:val="21"/>
          <w:highlight w:val="none"/>
        </w:rPr>
        <w:t>申请人的资格要求：</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1、投标申请人参加投标活动前三年内，在经营活动中没有重大违法记录。重大违法记录是指因违法经</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营受到刑事处罚或者责令停产停业、吊销许可证或者执照、200万元以上罚款等行政处罚。</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2、投标申请人须在中国境内注册，具有独立法人资格，具有独立订立合同的能力，财务状况良好，近</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rPr>
        <w:t>三年内没有严重违约和重大质量问题，未处于被责令停业、财产被接管、冻结、破产等状态</w:t>
      </w:r>
      <w:r>
        <w:rPr>
          <w:rFonts w:hint="eastAsia" w:ascii="宋体" w:hAnsi="宋体" w:eastAsia="宋体" w:cs="宋体"/>
          <w:color w:val="auto"/>
          <w:highlight w:val="none"/>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3、未被“信用中国 ”、“信用江苏 ”、“信用盐城 ”等网站列入失信被执行人。在一次招投标活动中，投标人或者中标候选人因正被列为失信被执行人，导致其资格审查不通过或者被取消中标候选人资格、中标人资格的，不因其之后失信信息被撤销或更正而改变已经作出的决定，以投标截止日期查询的记录为准。</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4、单位负责人为同一人或者存在直接控股、管理关系的不同供应商，不得参加同一合同项下的政府采</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rPr>
        <w:t>购活动</w:t>
      </w:r>
      <w:r>
        <w:rPr>
          <w:rFonts w:hint="eastAsia" w:ascii="宋体" w:hAnsi="宋体" w:eastAsia="宋体" w:cs="宋体"/>
          <w:color w:val="auto"/>
          <w:highlight w:val="none"/>
          <w:lang w:eastAsia="zh-CN"/>
        </w:rPr>
        <w:t>。</w:t>
      </w:r>
    </w:p>
    <w:p>
      <w:pPr>
        <w:widowControl/>
        <w:spacing w:line="480" w:lineRule="exact"/>
        <w:ind w:firstLine="422" w:firstLineChars="200"/>
        <w:jc w:val="left"/>
        <w:rPr>
          <w:rFonts w:hint="eastAsia" w:ascii="宋体" w:hAnsi="宋体" w:eastAsia="宋体" w:cs="宋体"/>
          <w:color w:val="auto"/>
          <w:szCs w:val="21"/>
          <w:highlight w:val="none"/>
        </w:rPr>
      </w:pPr>
      <w:bookmarkStart w:id="3" w:name="_Toc387526177"/>
      <w:bookmarkStart w:id="4" w:name="_Toc397928547"/>
      <w:bookmarkStart w:id="5" w:name="_Toc184635069"/>
      <w:bookmarkStart w:id="6" w:name="_Toc6770"/>
      <w:bookmarkStart w:id="7" w:name="_Toc368759512"/>
      <w:bookmarkStart w:id="8" w:name="_Toc369077558"/>
      <w:bookmarkStart w:id="9" w:name="_Toc387526281"/>
      <w:bookmarkStart w:id="10" w:name="_Toc387526373"/>
      <w:bookmarkStart w:id="11" w:name="_Toc363326679"/>
      <w:r>
        <w:rPr>
          <w:rFonts w:hint="eastAsia" w:ascii="宋体" w:hAnsi="宋体" w:eastAsia="宋体" w:cs="宋体"/>
          <w:b/>
          <w:bCs/>
          <w:color w:val="auto"/>
          <w:szCs w:val="21"/>
          <w:highlight w:val="none"/>
        </w:rPr>
        <w:t>三、获取招标文件</w:t>
      </w:r>
    </w:p>
    <w:p>
      <w:pPr>
        <w:keepNext w:val="0"/>
        <w:keepLines w:val="0"/>
        <w:pageBreakBefore w:val="0"/>
        <w:widowControl/>
        <w:kinsoku/>
        <w:wordWrap/>
        <w:overflowPunct/>
        <w:topLinePunct w:val="0"/>
        <w:autoSpaceDE/>
        <w:autoSpaceDN/>
        <w:bidi w:val="0"/>
        <w:adjustRightInd/>
        <w:snapToGrid/>
        <w:spacing w:line="440" w:lineRule="exact"/>
        <w:ind w:firstLine="420" w:firstLineChars="200"/>
        <w:jc w:val="lef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1、请各投标申请人于</w:t>
      </w:r>
      <w:r>
        <w:rPr>
          <w:rFonts w:hint="eastAsia" w:ascii="宋体" w:hAnsi="宋体" w:eastAsia="宋体" w:cs="宋体"/>
          <w:color w:val="auto"/>
          <w:szCs w:val="21"/>
          <w:highlight w:val="none"/>
          <w:u w:val="single"/>
          <w:lang w:eastAsia="zh-CN"/>
        </w:rPr>
        <w:t>2024</w:t>
      </w:r>
      <w:r>
        <w:rPr>
          <w:rFonts w:hint="eastAsia" w:ascii="宋体" w:hAnsi="宋体" w:eastAsia="宋体" w:cs="宋体"/>
          <w:color w:val="auto"/>
          <w:szCs w:val="21"/>
          <w:highlight w:val="none"/>
        </w:rPr>
        <w:t>年</w:t>
      </w:r>
      <w:r>
        <w:rPr>
          <w:rFonts w:hint="eastAsia" w:ascii="宋体" w:hAnsi="宋体" w:cs="宋体"/>
          <w:color w:val="auto"/>
          <w:szCs w:val="21"/>
          <w:highlight w:val="none"/>
          <w:u w:val="single"/>
          <w:lang w:val="en-US" w:eastAsia="zh-CN"/>
        </w:rPr>
        <w:t>5</w:t>
      </w:r>
      <w:r>
        <w:rPr>
          <w:rFonts w:hint="eastAsia" w:ascii="宋体" w:hAnsi="宋体" w:eastAsia="宋体" w:cs="宋体"/>
          <w:color w:val="auto"/>
          <w:szCs w:val="21"/>
          <w:highlight w:val="none"/>
        </w:rPr>
        <w:t>月</w:t>
      </w:r>
      <w:r>
        <w:rPr>
          <w:rFonts w:hint="eastAsia" w:ascii="宋体" w:hAnsi="宋体" w:cs="宋体"/>
          <w:color w:val="auto"/>
          <w:szCs w:val="21"/>
          <w:highlight w:val="none"/>
          <w:u w:val="single"/>
          <w:lang w:val="en-US" w:eastAsia="zh-CN"/>
        </w:rPr>
        <w:t>15</w:t>
      </w:r>
      <w:r>
        <w:rPr>
          <w:rFonts w:hint="eastAsia" w:ascii="宋体" w:hAnsi="宋体" w:eastAsia="宋体" w:cs="宋体"/>
          <w:color w:val="auto"/>
          <w:szCs w:val="21"/>
          <w:highlight w:val="none"/>
        </w:rPr>
        <w:t>日至</w:t>
      </w:r>
      <w:r>
        <w:rPr>
          <w:rFonts w:hint="eastAsia" w:ascii="宋体" w:hAnsi="宋体" w:eastAsia="宋体" w:cs="宋体"/>
          <w:color w:val="auto"/>
          <w:szCs w:val="21"/>
          <w:highlight w:val="none"/>
          <w:u w:val="single"/>
          <w:lang w:eastAsia="zh-CN"/>
        </w:rPr>
        <w:t>2024</w:t>
      </w:r>
      <w:r>
        <w:rPr>
          <w:rFonts w:hint="eastAsia" w:ascii="宋体" w:hAnsi="宋体" w:eastAsia="宋体" w:cs="宋体"/>
          <w:color w:val="auto"/>
          <w:szCs w:val="21"/>
          <w:highlight w:val="none"/>
        </w:rPr>
        <w:t>年</w:t>
      </w:r>
      <w:r>
        <w:rPr>
          <w:rFonts w:hint="eastAsia" w:ascii="宋体" w:hAnsi="宋体" w:cs="宋体"/>
          <w:color w:val="auto"/>
          <w:szCs w:val="21"/>
          <w:highlight w:val="none"/>
          <w:u w:val="single"/>
          <w:lang w:val="en-US" w:eastAsia="zh-CN"/>
        </w:rPr>
        <w:t>5</w:t>
      </w:r>
      <w:r>
        <w:rPr>
          <w:rFonts w:hint="eastAsia" w:ascii="宋体" w:hAnsi="宋体" w:eastAsia="宋体" w:cs="宋体"/>
          <w:color w:val="auto"/>
          <w:szCs w:val="21"/>
          <w:highlight w:val="none"/>
        </w:rPr>
        <w:t>月</w:t>
      </w:r>
      <w:r>
        <w:rPr>
          <w:rFonts w:hint="eastAsia" w:ascii="宋体" w:hAnsi="宋体" w:cs="宋体"/>
          <w:color w:val="auto"/>
          <w:szCs w:val="21"/>
          <w:highlight w:val="none"/>
          <w:u w:val="single"/>
          <w:lang w:val="en-US" w:eastAsia="zh-CN"/>
        </w:rPr>
        <w:t>21</w:t>
      </w:r>
      <w:r>
        <w:rPr>
          <w:rFonts w:hint="eastAsia" w:ascii="宋体" w:hAnsi="宋体" w:eastAsia="宋体" w:cs="宋体"/>
          <w:color w:val="auto"/>
          <w:szCs w:val="21"/>
          <w:highlight w:val="none"/>
        </w:rPr>
        <w:t>日登入“</w:t>
      </w:r>
      <w:r>
        <w:rPr>
          <w:rFonts w:hint="eastAsia" w:ascii="宋体" w:hAnsi="宋体" w:eastAsia="宋体" w:cs="宋体"/>
          <w:b/>
          <w:bCs/>
          <w:color w:val="auto"/>
          <w:szCs w:val="21"/>
          <w:highlight w:val="none"/>
        </w:rPr>
        <w:t>新点电子交易平台-大丰政府采购系统</w:t>
      </w:r>
      <w:r>
        <w:rPr>
          <w:rFonts w:hint="eastAsia" w:ascii="宋体" w:hAnsi="宋体" w:eastAsia="宋体" w:cs="宋体"/>
          <w:color w:val="auto"/>
          <w:szCs w:val="21"/>
          <w:highlight w:val="none"/>
        </w:rPr>
        <w:t>”（网址：https://www.etrading.cn/BREpointSSO/login/oauth2login）下载招标文件，如在规定时间内未下载招标文件，由此引起的无法投标等情形的，责任自负。</w:t>
      </w:r>
    </w:p>
    <w:p>
      <w:pPr>
        <w:keepNext w:val="0"/>
        <w:keepLines w:val="0"/>
        <w:pageBreakBefore w:val="0"/>
        <w:widowControl/>
        <w:kinsoku/>
        <w:wordWrap w:val="0"/>
        <w:overflowPunct/>
        <w:topLinePunct w:val="0"/>
        <w:autoSpaceDE/>
        <w:autoSpaceDN/>
        <w:bidi w:val="0"/>
        <w:adjustRightInd/>
        <w:snapToGrid/>
        <w:spacing w:line="440" w:lineRule="exact"/>
        <w:ind w:firstLine="420" w:firstLineChars="200"/>
        <w:jc w:val="lef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2、招标文件获取方式：各潜在投标人（供应商）使用“CA数字证书（CA锁）”或“账号密码”登录“</w:t>
      </w:r>
      <w:r>
        <w:rPr>
          <w:rFonts w:hint="eastAsia" w:ascii="宋体" w:hAnsi="宋体" w:eastAsia="宋体" w:cs="宋体"/>
          <w:b/>
          <w:bCs/>
          <w:color w:val="auto"/>
          <w:szCs w:val="21"/>
          <w:highlight w:val="none"/>
        </w:rPr>
        <w:t>新点电子交易平台-大丰政府采购系统</w:t>
      </w:r>
      <w:r>
        <w:rPr>
          <w:rFonts w:hint="eastAsia" w:ascii="宋体" w:hAnsi="宋体" w:eastAsia="宋体" w:cs="宋体"/>
          <w:color w:val="auto"/>
          <w:szCs w:val="21"/>
          <w:highlight w:val="none"/>
        </w:rPr>
        <w:t>（网址：https://www.etrading.cn/BREpointSSO/login/oauth2login）”获取。办理CA数字证书（CA锁）以及电子签章相关事宜见（http://dfggzy.com/dfweb/infodetail/?infoid=9c34520d-979a-4630-a939-9b3fbd2253db&amp;categoryNum=029）”。</w:t>
      </w:r>
    </w:p>
    <w:p>
      <w:pPr>
        <w:keepNext w:val="0"/>
        <w:keepLines w:val="0"/>
        <w:pageBreakBefore w:val="0"/>
        <w:widowControl/>
        <w:kinsoku/>
        <w:wordWrap/>
        <w:overflowPunct/>
        <w:topLinePunct w:val="0"/>
        <w:autoSpaceDE/>
        <w:autoSpaceDN/>
        <w:bidi w:val="0"/>
        <w:adjustRightInd/>
        <w:snapToGrid/>
        <w:spacing w:line="440" w:lineRule="exact"/>
        <w:ind w:firstLine="420" w:firstLineChars="200"/>
        <w:jc w:val="lef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3、招标文件售价：</w:t>
      </w:r>
      <w:r>
        <w:rPr>
          <w:rFonts w:hint="eastAsia" w:ascii="宋体" w:hAnsi="宋体" w:eastAsia="宋体" w:cs="宋体"/>
          <w:color w:val="auto"/>
          <w:szCs w:val="21"/>
          <w:highlight w:val="none"/>
          <w:lang w:val="en-US" w:eastAsia="zh-CN"/>
        </w:rPr>
        <w:t>0元</w:t>
      </w:r>
      <w:r>
        <w:rPr>
          <w:rFonts w:hint="eastAsia" w:ascii="宋体" w:hAnsi="宋体" w:eastAsia="宋体" w:cs="宋体"/>
          <w:color w:val="auto"/>
          <w:szCs w:val="21"/>
          <w:highlight w:val="none"/>
        </w:rPr>
        <w:t>。</w:t>
      </w:r>
    </w:p>
    <w:p>
      <w:pPr>
        <w:keepNext w:val="0"/>
        <w:keepLines w:val="0"/>
        <w:pageBreakBefore w:val="0"/>
        <w:widowControl/>
        <w:kinsoku/>
        <w:wordWrap w:val="0"/>
        <w:overflowPunct/>
        <w:topLinePunct w:val="0"/>
        <w:autoSpaceDE/>
        <w:autoSpaceDN/>
        <w:bidi w:val="0"/>
        <w:adjustRightInd/>
        <w:snapToGrid/>
        <w:spacing w:line="440" w:lineRule="exact"/>
        <w:ind w:firstLine="420" w:firstLineChars="200"/>
        <w:jc w:val="lef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4、各潜在投标人（供应商）可登录大丰公共资源电子交易平台-点击查看“招投标常见问题”-点击“【投标人】怎么参与大丰政府采购全程电子化项目（http://dfggzy.com/dfweb/infodetail/?infoid=9c34520d-979a-4630-a939-9b3fbd2253db&amp;categoryNum=029）”，或者工作时间拨打4009280095-5，或者加入QQ群（问题解决群）：384422310。</w:t>
      </w:r>
    </w:p>
    <w:p>
      <w:pPr>
        <w:widowControl/>
        <w:spacing w:line="480" w:lineRule="exact"/>
        <w:ind w:firstLine="422" w:firstLineChars="200"/>
        <w:jc w:val="left"/>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四、提交投标文件截止时间、开标时间、地点</w:t>
      </w:r>
    </w:p>
    <w:p>
      <w:pPr>
        <w:keepNext w:val="0"/>
        <w:keepLines w:val="0"/>
        <w:pageBreakBefore w:val="0"/>
        <w:widowControl/>
        <w:kinsoku/>
        <w:wordWrap/>
        <w:overflowPunct/>
        <w:topLinePunct w:val="0"/>
        <w:autoSpaceDE/>
        <w:autoSpaceDN/>
        <w:bidi w:val="0"/>
        <w:adjustRightInd/>
        <w:snapToGrid/>
        <w:spacing w:line="440" w:lineRule="exact"/>
        <w:ind w:firstLine="420" w:firstLineChars="200"/>
        <w:jc w:val="lef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1、提交投标文件截止时间：</w:t>
      </w:r>
      <w:r>
        <w:rPr>
          <w:rFonts w:hint="eastAsia" w:ascii="宋体" w:hAnsi="宋体" w:eastAsia="宋体" w:cs="宋体"/>
          <w:color w:val="auto"/>
          <w:szCs w:val="21"/>
          <w:highlight w:val="none"/>
          <w:lang w:eastAsia="zh-CN"/>
        </w:rPr>
        <w:t>2024</w:t>
      </w:r>
      <w:r>
        <w:rPr>
          <w:rFonts w:hint="eastAsia" w:ascii="宋体" w:hAnsi="宋体" w:eastAsia="宋体" w:cs="宋体"/>
          <w:color w:val="auto"/>
          <w:szCs w:val="21"/>
          <w:highlight w:val="none"/>
        </w:rPr>
        <w:t>年</w:t>
      </w:r>
      <w:r>
        <w:rPr>
          <w:rFonts w:hint="eastAsia" w:ascii="宋体" w:hAnsi="宋体" w:cs="宋体"/>
          <w:color w:val="auto"/>
          <w:szCs w:val="21"/>
          <w:highlight w:val="none"/>
          <w:u w:val="single"/>
          <w:lang w:val="en-US" w:eastAsia="zh-CN"/>
        </w:rPr>
        <w:t>6</w:t>
      </w:r>
      <w:r>
        <w:rPr>
          <w:rFonts w:hint="eastAsia" w:ascii="宋体" w:hAnsi="宋体" w:eastAsia="宋体" w:cs="宋体"/>
          <w:color w:val="auto"/>
          <w:szCs w:val="21"/>
          <w:highlight w:val="none"/>
        </w:rPr>
        <w:t>月</w:t>
      </w:r>
      <w:r>
        <w:rPr>
          <w:rFonts w:hint="eastAsia" w:ascii="宋体" w:hAnsi="宋体" w:cs="宋体"/>
          <w:color w:val="auto"/>
          <w:szCs w:val="21"/>
          <w:highlight w:val="none"/>
          <w:u w:val="single"/>
          <w:lang w:val="en-US" w:eastAsia="zh-CN"/>
        </w:rPr>
        <w:t>6</w:t>
      </w:r>
      <w:r>
        <w:rPr>
          <w:rFonts w:hint="eastAsia" w:ascii="宋体" w:hAnsi="宋体" w:eastAsia="宋体" w:cs="宋体"/>
          <w:color w:val="auto"/>
          <w:szCs w:val="21"/>
          <w:highlight w:val="none"/>
        </w:rPr>
        <w:t>日</w:t>
      </w:r>
      <w:r>
        <w:rPr>
          <w:rFonts w:hint="eastAsia" w:ascii="宋体" w:hAnsi="宋体" w:cs="宋体"/>
          <w:color w:val="auto"/>
          <w:szCs w:val="21"/>
          <w:highlight w:val="none"/>
          <w:u w:val="single"/>
          <w:lang w:val="en-US" w:eastAsia="zh-CN"/>
        </w:rPr>
        <w:t>9</w:t>
      </w:r>
      <w:r>
        <w:rPr>
          <w:rFonts w:hint="eastAsia" w:ascii="宋体" w:hAnsi="宋体" w:eastAsia="宋体" w:cs="宋体"/>
          <w:color w:val="auto"/>
          <w:szCs w:val="21"/>
          <w:highlight w:val="none"/>
        </w:rPr>
        <w:t>时</w:t>
      </w:r>
      <w:r>
        <w:rPr>
          <w:rFonts w:hint="eastAsia" w:ascii="宋体" w:hAnsi="宋体" w:eastAsia="宋体" w:cs="宋体"/>
          <w:color w:val="auto"/>
          <w:szCs w:val="21"/>
          <w:highlight w:val="none"/>
          <w:u w:val="single"/>
          <w:lang w:val="en-US" w:eastAsia="zh-CN"/>
        </w:rPr>
        <w:t>00</w:t>
      </w:r>
      <w:r>
        <w:rPr>
          <w:rFonts w:hint="eastAsia" w:ascii="宋体" w:hAnsi="宋体" w:eastAsia="宋体" w:cs="宋体"/>
          <w:color w:val="auto"/>
          <w:szCs w:val="21"/>
          <w:highlight w:val="none"/>
        </w:rPr>
        <w:t>分</w:t>
      </w:r>
      <w:r>
        <w:rPr>
          <w:rFonts w:hint="eastAsia" w:ascii="宋体" w:hAnsi="宋体" w:eastAsia="宋体" w:cs="宋体"/>
          <w:color w:val="auto"/>
          <w:szCs w:val="21"/>
          <w:highlight w:val="none"/>
          <w:u w:val="single"/>
        </w:rPr>
        <w:t>00</w:t>
      </w:r>
      <w:r>
        <w:rPr>
          <w:rFonts w:hint="eastAsia" w:ascii="宋体" w:hAnsi="宋体" w:eastAsia="宋体" w:cs="宋体"/>
          <w:color w:val="auto"/>
          <w:szCs w:val="21"/>
          <w:highlight w:val="none"/>
        </w:rPr>
        <w:t>秒。</w:t>
      </w:r>
    </w:p>
    <w:p>
      <w:pPr>
        <w:keepNext w:val="0"/>
        <w:keepLines w:val="0"/>
        <w:pageBreakBefore w:val="0"/>
        <w:widowControl/>
        <w:kinsoku/>
        <w:wordWrap/>
        <w:overflowPunct/>
        <w:topLinePunct w:val="0"/>
        <w:autoSpaceDE/>
        <w:autoSpaceDN/>
        <w:bidi w:val="0"/>
        <w:adjustRightInd/>
        <w:snapToGrid/>
        <w:spacing w:line="440" w:lineRule="exact"/>
        <w:ind w:firstLine="420" w:firstLineChars="200"/>
        <w:jc w:val="left"/>
        <w:textAlignment w:val="auto"/>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2、提交投标文件的地点：“投标文件制作工具”生成的xetf格式的电子档上传至</w:t>
      </w:r>
      <w:r>
        <w:rPr>
          <w:rFonts w:hint="eastAsia" w:ascii="宋体" w:hAnsi="宋体" w:eastAsia="宋体" w:cs="宋体"/>
          <w:b/>
          <w:bCs/>
          <w:color w:val="auto"/>
          <w:szCs w:val="21"/>
          <w:highlight w:val="none"/>
        </w:rPr>
        <w:t>新点电子交易平台-大丰政府采购系统（网址：https://www.etrading.cn/BREpointSSO/login/oauth2login）。</w:t>
      </w:r>
    </w:p>
    <w:p>
      <w:pPr>
        <w:keepNext w:val="0"/>
        <w:keepLines w:val="0"/>
        <w:pageBreakBefore w:val="0"/>
        <w:widowControl/>
        <w:kinsoku/>
        <w:wordWrap/>
        <w:overflowPunct/>
        <w:topLinePunct w:val="0"/>
        <w:autoSpaceDE/>
        <w:autoSpaceDN/>
        <w:bidi w:val="0"/>
        <w:adjustRightInd/>
        <w:snapToGrid/>
        <w:spacing w:line="440" w:lineRule="exact"/>
        <w:ind w:firstLine="420" w:firstLineChars="200"/>
        <w:jc w:val="lef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3、逾期提交的投标文件将被拒收并退回。</w:t>
      </w:r>
    </w:p>
    <w:p>
      <w:pPr>
        <w:keepNext w:val="0"/>
        <w:keepLines w:val="0"/>
        <w:pageBreakBefore w:val="0"/>
        <w:widowControl/>
        <w:kinsoku/>
        <w:wordWrap/>
        <w:overflowPunct/>
        <w:topLinePunct w:val="0"/>
        <w:autoSpaceDE/>
        <w:autoSpaceDN/>
        <w:bidi w:val="0"/>
        <w:adjustRightInd/>
        <w:snapToGrid/>
        <w:spacing w:line="440" w:lineRule="exact"/>
        <w:ind w:firstLine="420" w:firstLineChars="200"/>
        <w:jc w:val="lef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4、开标时间：投标文件提交截止时间。</w:t>
      </w:r>
    </w:p>
    <w:p>
      <w:pPr>
        <w:keepNext w:val="0"/>
        <w:keepLines w:val="0"/>
        <w:pageBreakBefore w:val="0"/>
        <w:kinsoku/>
        <w:wordWrap w:val="0"/>
        <w:overflowPunct/>
        <w:topLinePunct w:val="0"/>
        <w:bidi w:val="0"/>
        <w:adjustRightInd/>
        <w:snapToGrid/>
        <w:spacing w:line="440" w:lineRule="exact"/>
        <w:ind w:firstLine="420" w:firstLineChars="200"/>
        <w:jc w:val="left"/>
        <w:textAlignment w:val="auto"/>
        <w:rPr>
          <w:rFonts w:hint="eastAsia" w:ascii="宋体" w:hAnsi="宋体" w:eastAsia="宋体" w:cs="宋体"/>
          <w:color w:val="auto"/>
          <w:szCs w:val="21"/>
          <w:highlight w:val="none"/>
        </w:rPr>
      </w:pPr>
      <w:r>
        <w:rPr>
          <w:rFonts w:hint="eastAsia" w:ascii="宋体" w:hAnsi="宋体" w:eastAsia="宋体" w:cs="宋体"/>
          <w:b w:val="0"/>
          <w:bCs w:val="0"/>
          <w:color w:val="auto"/>
          <w:szCs w:val="21"/>
          <w:highlight w:val="none"/>
        </w:rPr>
        <w:t>5、开标地点：本项目实行不见面开标，各投标人（供应商）的授权委托人或法人代表应在投标文件提交截止时间前提前登入“开标大厅系统”（步骤：</w:t>
      </w:r>
      <w:r>
        <w:rPr>
          <w:rFonts w:hint="eastAsia" w:ascii="宋体" w:hAnsi="宋体" w:eastAsia="宋体" w:cs="宋体"/>
          <w:b w:val="0"/>
          <w:bCs w:val="0"/>
          <w:color w:val="auto"/>
          <w:szCs w:val="21"/>
          <w:highlight w:val="none"/>
          <w:lang w:eastAsia="zh-CN"/>
        </w:rPr>
        <w:t>登入-投标人-CA登录-江苏省CA</w:t>
      </w:r>
      <w:r>
        <w:rPr>
          <w:rFonts w:hint="eastAsia" w:ascii="宋体" w:hAnsi="宋体" w:eastAsia="宋体" w:cs="宋体"/>
          <w:b w:val="0"/>
          <w:bCs w:val="0"/>
          <w:color w:val="auto"/>
          <w:szCs w:val="21"/>
          <w:highlight w:val="none"/>
        </w:rPr>
        <w:t>）</w:t>
      </w:r>
      <w:r>
        <w:rPr>
          <w:rFonts w:hint="eastAsia" w:ascii="宋体" w:hAnsi="宋体" w:eastAsia="宋体" w:cs="宋体"/>
          <w:b w:val="0"/>
          <w:bCs w:val="0"/>
          <w:color w:val="auto"/>
          <w:szCs w:val="21"/>
          <w:highlight w:val="none"/>
          <w:lang w:eastAsia="zh-CN"/>
        </w:rPr>
        <w:t>，</w:t>
      </w:r>
      <w:r>
        <w:rPr>
          <w:rFonts w:hint="eastAsia" w:ascii="宋体" w:hAnsi="宋体" w:eastAsia="宋体" w:cs="宋体"/>
          <w:b w:val="0"/>
          <w:bCs w:val="0"/>
          <w:color w:val="auto"/>
          <w:szCs w:val="21"/>
          <w:highlight w:val="none"/>
        </w:rPr>
        <w:t>到达投标文件提交截止时间后，首先进入开标程序中的投标文件解密会议，然后按系统提示完成投标文件解密。网址为</w:t>
      </w:r>
      <w:r>
        <w:rPr>
          <w:rFonts w:hint="eastAsia" w:ascii="宋体" w:hAnsi="宋体" w:eastAsia="宋体" w:cs="宋体"/>
          <w:b w:val="0"/>
          <w:bCs w:val="0"/>
          <w:color w:val="auto"/>
          <w:szCs w:val="21"/>
          <w:highlight w:val="none"/>
          <w:lang w:eastAsia="zh-CN"/>
        </w:rPr>
        <w:t>http://js.etrading.cn/EpointBidOpening/bidopeninghallaction/hall/login</w:t>
      </w:r>
      <w:r>
        <w:rPr>
          <w:rFonts w:hint="eastAsia" w:ascii="宋体" w:hAnsi="宋体" w:eastAsia="宋体" w:cs="宋体"/>
          <w:b w:val="0"/>
          <w:bCs w:val="0"/>
          <w:color w:val="auto"/>
          <w:szCs w:val="21"/>
          <w:highlight w:val="none"/>
        </w:rPr>
        <w:t>。投标人未按时完成投标文件解密或解密未成功的，均被视为投标人放弃本次投标（无效投标）。解密完成后投标人可自行决定是否继续参加开（唱）标会议，投标人未参加开标的，视同认可开标结果。</w:t>
      </w:r>
    </w:p>
    <w:p>
      <w:pPr>
        <w:spacing w:line="480" w:lineRule="exact"/>
        <w:ind w:firstLine="422" w:firstLineChars="200"/>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五、公告期限</w:t>
      </w:r>
    </w:p>
    <w:p>
      <w:pPr>
        <w:widowControl/>
        <w:spacing w:line="480" w:lineRule="exact"/>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自本公告发布之日起5个工作日。</w:t>
      </w:r>
    </w:p>
    <w:p>
      <w:pPr>
        <w:widowControl/>
        <w:spacing w:line="480" w:lineRule="exact"/>
        <w:ind w:firstLine="422" w:firstLineChars="200"/>
        <w:jc w:val="left"/>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六、其他补充事宜</w:t>
      </w:r>
    </w:p>
    <w:p>
      <w:pPr>
        <w:keepNext w:val="0"/>
        <w:keepLines w:val="0"/>
        <w:pageBreakBefore w:val="0"/>
        <w:widowControl/>
        <w:kinsoku/>
        <w:wordWrap/>
        <w:overflowPunct/>
        <w:topLinePunct w:val="0"/>
        <w:autoSpaceDE/>
        <w:autoSpaceDN/>
        <w:bidi w:val="0"/>
        <w:adjustRightInd/>
        <w:snapToGrid/>
        <w:spacing w:line="440" w:lineRule="exact"/>
        <w:ind w:firstLine="420" w:firstLineChars="200"/>
        <w:jc w:val="lef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1、本项目对投标申请人的资格审查采用资格后审方式，由评标委员会根据招标文件进行评定；报名时不进行报名资料的任何审查，由意向投标人自行判断是否符合投标资格。</w:t>
      </w:r>
    </w:p>
    <w:p>
      <w:pPr>
        <w:keepNext w:val="0"/>
        <w:keepLines w:val="0"/>
        <w:pageBreakBefore w:val="0"/>
        <w:widowControl/>
        <w:kinsoku/>
        <w:wordWrap/>
        <w:overflowPunct/>
        <w:topLinePunct w:val="0"/>
        <w:autoSpaceDE/>
        <w:autoSpaceDN/>
        <w:bidi w:val="0"/>
        <w:adjustRightInd/>
        <w:snapToGrid/>
        <w:spacing w:line="440" w:lineRule="exact"/>
        <w:ind w:firstLine="420" w:firstLineChars="200"/>
        <w:jc w:val="lef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2、本招标项目采用的评标方法：综合评分法。</w:t>
      </w:r>
    </w:p>
    <w:p>
      <w:pPr>
        <w:keepNext w:val="0"/>
        <w:keepLines w:val="0"/>
        <w:pageBreakBefore w:val="0"/>
        <w:widowControl/>
        <w:kinsoku/>
        <w:wordWrap/>
        <w:overflowPunct/>
        <w:topLinePunct w:val="0"/>
        <w:autoSpaceDE/>
        <w:autoSpaceDN/>
        <w:bidi w:val="0"/>
        <w:adjustRightInd/>
        <w:snapToGrid/>
        <w:spacing w:line="440" w:lineRule="exact"/>
        <w:ind w:firstLine="420" w:firstLineChars="200"/>
        <w:jc w:val="lef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3、本招标项目招标公告发布媒介：江苏政府采购网（http://www.ccgp-jiangsu.gov.cn/）、盐城市政府采购网（http://czj.yancheng.gov.cn/col/col2383/index.html）、大丰公共资源电子交易平台（http://ggzy.dafeng.gov.cn/dfweb/）。</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4、投标前请关注“大丰公共资源电子交易平台”的“政府采购”—“答疑补充”栏目。及时了解到项目的“答疑补充”等情况。</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b/>
          <w:bCs/>
          <w:color w:val="auto"/>
          <w:szCs w:val="21"/>
          <w:highlight w:val="none"/>
        </w:rPr>
      </w:pPr>
      <w:r>
        <w:rPr>
          <w:rFonts w:hint="eastAsia" w:ascii="宋体" w:hAnsi="宋体" w:eastAsia="宋体" w:cs="宋体"/>
          <w:color w:val="auto"/>
          <w:szCs w:val="21"/>
          <w:highlight w:val="none"/>
        </w:rPr>
        <w:t>5、本项目采用全程电子化及不见面开标模式。本项目实行不见面开标，各投标人（供应商）的授权委托人或法人代表应在投标文件提交截止时间前提前登入“开标大厅系统”（步骤：登入-投标人-CA登录-江苏省CA），到达投标文件提交截止时间后，首先进入开标程序中的投标文件解密会议，然后按系统提示完成投标文件解密。投标人未按时完成投标文件解密或解密未成功的，均被视为投标人放弃本次投标（无效投标）。因投标人自身设备故障或自身原因导致无法完成投标的，对其形成的不利后果及责任由投标人自行承担。解密完成后，投标人可自行决定是否继续参加开（唱）标会议，投标人未参加开标的，视同认可开标结果。</w:t>
      </w:r>
    </w:p>
    <w:p>
      <w:pPr>
        <w:spacing w:line="480" w:lineRule="exact"/>
        <w:ind w:firstLine="422" w:firstLineChars="200"/>
        <w:jc w:val="left"/>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6、开标大厅系统网址为：http://js.etrading.cn/EpointBidOpening/bidopeninghallaction/hall/login。</w:t>
      </w:r>
    </w:p>
    <w:p>
      <w:pPr>
        <w:spacing w:line="480" w:lineRule="exact"/>
        <w:ind w:firstLine="422" w:firstLineChars="200"/>
        <w:rPr>
          <w:rFonts w:hint="eastAsia" w:ascii="宋体" w:hAnsi="宋体" w:eastAsia="宋体" w:cs="宋体"/>
          <w:color w:val="auto"/>
          <w:szCs w:val="21"/>
          <w:highlight w:val="none"/>
        </w:rPr>
      </w:pPr>
      <w:bookmarkStart w:id="12" w:name="_Toc508216878"/>
      <w:r>
        <w:rPr>
          <w:rFonts w:hint="eastAsia" w:ascii="宋体" w:hAnsi="宋体" w:eastAsia="宋体" w:cs="宋体"/>
          <w:b/>
          <w:bCs/>
          <w:color w:val="auto"/>
          <w:szCs w:val="21"/>
          <w:highlight w:val="none"/>
        </w:rPr>
        <w:t>七、投标保证金</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b/>
          <w:bCs/>
          <w:color w:val="auto"/>
          <w:szCs w:val="21"/>
          <w:highlight w:val="none"/>
        </w:rPr>
      </w:pPr>
      <w:r>
        <w:rPr>
          <w:rFonts w:hint="eastAsia" w:ascii="宋体" w:hAnsi="宋体" w:eastAsia="宋体" w:cs="宋体"/>
          <w:color w:val="auto"/>
          <w:szCs w:val="21"/>
          <w:highlight w:val="none"/>
        </w:rPr>
        <w:t>参照执行苏财购[2020]52号文《关于做好政府采购支持企业发展有关事项的通知》，本项目不需要缴纳投标保证金。</w:t>
      </w:r>
    </w:p>
    <w:p>
      <w:pPr>
        <w:keepNext w:val="0"/>
        <w:keepLines w:val="0"/>
        <w:pageBreakBefore w:val="0"/>
        <w:widowControl w:val="0"/>
        <w:kinsoku/>
        <w:wordWrap/>
        <w:overflowPunct/>
        <w:topLinePunct w:val="0"/>
        <w:autoSpaceDE/>
        <w:autoSpaceDN/>
        <w:bidi w:val="0"/>
        <w:adjustRightInd/>
        <w:snapToGrid/>
        <w:spacing w:line="440" w:lineRule="exact"/>
        <w:ind w:firstLine="422" w:firstLineChars="200"/>
        <w:textAlignment w:val="auto"/>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八、投标人在诚信库中录入的所有信息均应合法真实有效，并应在投标文件提交截止时间前完成诚信库信息的及时更新、完善，采购人或评标委员会将按照投标文件提交截止时间前的现状信息予以审查或评审，如投标人未及时更新和完善的，对其形成不利的后果及责任由投标人自行承担。投标人录入诚信库提交的信息如有虚假或其他违法违规情形的，将有可能面临被列为失信行为的风险并承担相应的法律责任。</w:t>
      </w:r>
    </w:p>
    <w:p>
      <w:pPr>
        <w:widowControl/>
        <w:spacing w:line="480" w:lineRule="exact"/>
        <w:ind w:firstLine="422" w:firstLineChars="200"/>
        <w:jc w:val="left"/>
        <w:rPr>
          <w:rFonts w:hint="eastAsia" w:ascii="宋体" w:hAnsi="宋体" w:eastAsia="宋体" w:cs="宋体"/>
          <w:color w:val="auto"/>
          <w:szCs w:val="21"/>
          <w:highlight w:val="none"/>
        </w:rPr>
      </w:pPr>
      <w:r>
        <w:rPr>
          <w:rFonts w:hint="eastAsia" w:ascii="宋体" w:hAnsi="宋体" w:eastAsia="宋体" w:cs="宋体"/>
          <w:b/>
          <w:bCs/>
          <w:color w:val="auto"/>
          <w:szCs w:val="21"/>
          <w:highlight w:val="none"/>
        </w:rPr>
        <w:t>九、对本次招标提出询问，请按以下方式联系。</w:t>
      </w:r>
    </w:p>
    <w:p>
      <w:pPr>
        <w:tabs>
          <w:tab w:val="left" w:pos="5954"/>
        </w:tabs>
        <w:autoSpaceDE w:val="0"/>
        <w:autoSpaceDN w:val="0"/>
        <w:spacing w:line="480" w:lineRule="exact"/>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zh-CN"/>
        </w:rPr>
        <w:t>1.采购人信息</w:t>
      </w:r>
      <w:r>
        <w:rPr>
          <w:rFonts w:hint="eastAsia" w:ascii="宋体" w:hAnsi="宋体" w:eastAsia="宋体" w:cs="宋体"/>
          <w:color w:val="auto"/>
          <w:kern w:val="0"/>
          <w:szCs w:val="21"/>
          <w:highlight w:val="none"/>
          <w:lang w:val="zh-CN"/>
        </w:rPr>
        <w:tab/>
      </w:r>
      <w:r>
        <w:rPr>
          <w:rFonts w:hint="eastAsia" w:ascii="宋体" w:hAnsi="宋体" w:eastAsia="宋体" w:cs="宋体"/>
          <w:color w:val="auto"/>
          <w:kern w:val="0"/>
          <w:szCs w:val="21"/>
          <w:highlight w:val="none"/>
        </w:rPr>
        <w:t xml:space="preserve"> </w:t>
      </w:r>
    </w:p>
    <w:p>
      <w:pPr>
        <w:keepNext w:val="0"/>
        <w:keepLines w:val="0"/>
        <w:pageBreakBefore w:val="0"/>
        <w:widowControl w:val="0"/>
        <w:tabs>
          <w:tab w:val="left" w:pos="6492"/>
        </w:tabs>
        <w:kinsoku/>
        <w:wordWrap/>
        <w:overflowPunct/>
        <w:topLinePunct w:val="0"/>
        <w:autoSpaceDE w:val="0"/>
        <w:autoSpaceDN w:val="0"/>
        <w:bidi w:val="0"/>
        <w:adjustRightInd/>
        <w:snapToGrid/>
        <w:spacing w:line="440" w:lineRule="exact"/>
        <w:ind w:firstLine="420" w:firstLineChars="200"/>
        <w:jc w:val="left"/>
        <w:textAlignment w:val="auto"/>
        <w:rPr>
          <w:rFonts w:hint="eastAsia" w:ascii="宋体" w:hAnsi="宋体" w:eastAsia="宋体" w:cs="宋体"/>
          <w:color w:val="auto"/>
          <w:kern w:val="0"/>
          <w:szCs w:val="21"/>
          <w:highlight w:val="none"/>
          <w:lang w:val="zh-CN"/>
        </w:rPr>
      </w:pPr>
      <w:r>
        <w:rPr>
          <w:rFonts w:hint="eastAsia" w:ascii="宋体" w:hAnsi="宋体" w:eastAsia="宋体" w:cs="宋体"/>
          <w:color w:val="auto"/>
          <w:kern w:val="0"/>
          <w:szCs w:val="21"/>
          <w:highlight w:val="none"/>
          <w:lang w:val="zh-CN"/>
        </w:rPr>
        <w:t>名</w:t>
      </w:r>
      <w:r>
        <w:rPr>
          <w:rFonts w:hint="eastAsia" w:ascii="宋体" w:hAnsi="宋体" w:eastAsia="宋体" w:cs="宋体"/>
          <w:color w:val="auto"/>
          <w:kern w:val="0"/>
          <w:szCs w:val="21"/>
          <w:highlight w:val="none"/>
        </w:rPr>
        <w:t xml:space="preserve">    </w:t>
      </w:r>
      <w:r>
        <w:rPr>
          <w:rFonts w:hint="eastAsia" w:ascii="宋体" w:hAnsi="宋体" w:eastAsia="宋体" w:cs="宋体"/>
          <w:color w:val="auto"/>
          <w:kern w:val="0"/>
          <w:szCs w:val="21"/>
          <w:highlight w:val="none"/>
          <w:lang w:val="zh-CN"/>
        </w:rPr>
        <w:t>称：</w:t>
      </w:r>
      <w:r>
        <w:rPr>
          <w:rFonts w:hint="eastAsia" w:ascii="宋体" w:hAnsi="宋体" w:eastAsia="宋体" w:cs="宋体"/>
          <w:color w:val="auto"/>
          <w:kern w:val="0"/>
          <w:szCs w:val="21"/>
          <w:highlight w:val="none"/>
          <w:u w:val="single"/>
          <w:lang w:val="zh-CN"/>
        </w:rPr>
        <w:t xml:space="preserve">盐城市大丰区沪城污水处理有限公司 </w:t>
      </w:r>
      <w:r>
        <w:rPr>
          <w:rFonts w:hint="eastAsia" w:ascii="宋体" w:hAnsi="宋体" w:eastAsia="宋体" w:cs="宋体"/>
          <w:color w:val="auto"/>
          <w:kern w:val="0"/>
          <w:szCs w:val="21"/>
          <w:highlight w:val="none"/>
          <w:lang w:val="zh-CN"/>
        </w:rPr>
        <w:t>　　　　　　　</w:t>
      </w:r>
      <w:r>
        <w:rPr>
          <w:rFonts w:hint="eastAsia" w:ascii="宋体" w:hAnsi="宋体" w:eastAsia="宋体" w:cs="宋体"/>
          <w:color w:val="auto"/>
          <w:kern w:val="0"/>
          <w:szCs w:val="21"/>
          <w:highlight w:val="none"/>
        </w:rPr>
        <w:t xml:space="preserve"> </w:t>
      </w:r>
    </w:p>
    <w:p>
      <w:pPr>
        <w:keepNext w:val="0"/>
        <w:keepLines w:val="0"/>
        <w:pageBreakBefore w:val="0"/>
        <w:widowControl w:val="0"/>
        <w:tabs>
          <w:tab w:val="left" w:pos="6517"/>
        </w:tabs>
        <w:kinsoku/>
        <w:wordWrap/>
        <w:overflowPunct/>
        <w:topLinePunct w:val="0"/>
        <w:autoSpaceDE w:val="0"/>
        <w:autoSpaceDN w:val="0"/>
        <w:bidi w:val="0"/>
        <w:adjustRightInd/>
        <w:snapToGrid/>
        <w:spacing w:line="440" w:lineRule="exact"/>
        <w:ind w:firstLine="420" w:firstLineChars="200"/>
        <w:jc w:val="left"/>
        <w:textAlignment w:val="auto"/>
        <w:rPr>
          <w:rFonts w:hint="eastAsia" w:ascii="宋体" w:hAnsi="宋体" w:eastAsia="宋体" w:cs="宋体"/>
          <w:color w:val="auto"/>
          <w:kern w:val="0"/>
          <w:szCs w:val="21"/>
          <w:highlight w:val="none"/>
          <w:u w:val="single"/>
          <w:lang w:val="zh-CN"/>
        </w:rPr>
      </w:pPr>
      <w:r>
        <w:rPr>
          <w:rFonts w:hint="eastAsia" w:ascii="宋体" w:hAnsi="宋体" w:eastAsia="宋体" w:cs="宋体"/>
          <w:color w:val="auto"/>
          <w:kern w:val="0"/>
          <w:szCs w:val="21"/>
          <w:highlight w:val="none"/>
          <w:lang w:val="zh-CN"/>
        </w:rPr>
        <w:t>地</w:t>
      </w:r>
      <w:r>
        <w:rPr>
          <w:rFonts w:hint="eastAsia" w:ascii="宋体" w:hAnsi="宋体" w:eastAsia="宋体" w:cs="宋体"/>
          <w:color w:val="auto"/>
          <w:kern w:val="0"/>
          <w:szCs w:val="21"/>
          <w:highlight w:val="none"/>
        </w:rPr>
        <w:t xml:space="preserve">    </w:t>
      </w:r>
      <w:r>
        <w:rPr>
          <w:rFonts w:hint="eastAsia" w:ascii="宋体" w:hAnsi="宋体" w:eastAsia="宋体" w:cs="宋体"/>
          <w:color w:val="auto"/>
          <w:kern w:val="0"/>
          <w:szCs w:val="21"/>
          <w:highlight w:val="none"/>
          <w:lang w:val="zh-CN"/>
        </w:rPr>
        <w:t>址：</w:t>
      </w:r>
      <w:r>
        <w:rPr>
          <w:rFonts w:hint="eastAsia" w:ascii="宋体" w:hAnsi="宋体" w:eastAsia="宋体" w:cs="宋体"/>
          <w:color w:val="auto"/>
          <w:kern w:val="0"/>
          <w:szCs w:val="21"/>
          <w:highlight w:val="none"/>
          <w:u w:val="single"/>
          <w:lang w:val="zh-CN"/>
        </w:rPr>
        <w:t>盐城市大丰区</w:t>
      </w:r>
    </w:p>
    <w:p>
      <w:pPr>
        <w:keepNext w:val="0"/>
        <w:keepLines w:val="0"/>
        <w:pageBreakBefore w:val="0"/>
        <w:widowControl w:val="0"/>
        <w:tabs>
          <w:tab w:val="left" w:pos="6517"/>
        </w:tabs>
        <w:kinsoku/>
        <w:wordWrap/>
        <w:overflowPunct/>
        <w:topLinePunct w:val="0"/>
        <w:autoSpaceDE w:val="0"/>
        <w:autoSpaceDN w:val="0"/>
        <w:bidi w:val="0"/>
        <w:adjustRightInd/>
        <w:snapToGrid/>
        <w:spacing w:line="440" w:lineRule="exact"/>
        <w:ind w:firstLine="420" w:firstLineChars="200"/>
        <w:jc w:val="left"/>
        <w:textAlignment w:val="auto"/>
        <w:rPr>
          <w:rFonts w:hint="eastAsia" w:ascii="宋体" w:hAnsi="宋体" w:eastAsia="宋体" w:cs="宋体"/>
          <w:color w:val="auto"/>
          <w:kern w:val="0"/>
          <w:szCs w:val="21"/>
          <w:highlight w:val="none"/>
          <w:lang w:val="zh-CN"/>
        </w:rPr>
      </w:pPr>
      <w:r>
        <w:rPr>
          <w:rFonts w:hint="eastAsia" w:ascii="宋体" w:hAnsi="宋体" w:eastAsia="宋体" w:cs="宋体"/>
          <w:color w:val="auto"/>
          <w:kern w:val="0"/>
          <w:szCs w:val="21"/>
          <w:highlight w:val="none"/>
          <w:u w:val="none"/>
          <w:lang w:val="en-US" w:eastAsia="zh-CN"/>
        </w:rPr>
        <w:t>联 系 人：</w:t>
      </w:r>
      <w:r>
        <w:rPr>
          <w:rFonts w:hint="eastAsia" w:ascii="宋体" w:hAnsi="宋体" w:eastAsia="宋体" w:cs="宋体"/>
          <w:color w:val="auto"/>
          <w:kern w:val="0"/>
          <w:szCs w:val="21"/>
          <w:highlight w:val="none"/>
          <w:u w:val="single"/>
          <w:lang w:val="en-US" w:eastAsia="zh-CN"/>
        </w:rPr>
        <w:t>金鑫</w:t>
      </w:r>
      <w:r>
        <w:rPr>
          <w:rFonts w:hint="eastAsia" w:ascii="宋体" w:hAnsi="宋体" w:eastAsia="宋体" w:cs="宋体"/>
          <w:color w:val="auto"/>
          <w:kern w:val="0"/>
          <w:szCs w:val="21"/>
          <w:highlight w:val="none"/>
          <w:lang w:val="zh-CN"/>
        </w:rPr>
        <w:t>　　　　　　</w:t>
      </w:r>
      <w:r>
        <w:rPr>
          <w:rFonts w:hint="eastAsia" w:ascii="宋体" w:hAnsi="宋体" w:eastAsia="宋体" w:cs="宋体"/>
          <w:color w:val="auto"/>
          <w:kern w:val="0"/>
          <w:szCs w:val="21"/>
          <w:highlight w:val="none"/>
        </w:rPr>
        <w:t xml:space="preserve"> </w:t>
      </w:r>
    </w:p>
    <w:p>
      <w:pPr>
        <w:keepNext w:val="0"/>
        <w:keepLines w:val="0"/>
        <w:pageBreakBefore w:val="0"/>
        <w:widowControl w:val="0"/>
        <w:tabs>
          <w:tab w:val="left" w:pos="6317"/>
        </w:tabs>
        <w:kinsoku/>
        <w:wordWrap/>
        <w:overflowPunct/>
        <w:topLinePunct w:val="0"/>
        <w:autoSpaceDE w:val="0"/>
        <w:autoSpaceDN w:val="0"/>
        <w:bidi w:val="0"/>
        <w:adjustRightInd/>
        <w:snapToGrid/>
        <w:spacing w:line="440" w:lineRule="exact"/>
        <w:ind w:firstLine="420" w:firstLineChars="200"/>
        <w:jc w:val="left"/>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zh-CN"/>
        </w:rPr>
        <w:t>联系方式：</w:t>
      </w:r>
      <w:r>
        <w:rPr>
          <w:rFonts w:hint="eastAsia" w:ascii="宋体" w:hAnsi="宋体" w:eastAsia="宋体" w:cs="宋体"/>
          <w:color w:val="auto"/>
          <w:kern w:val="0"/>
          <w:szCs w:val="21"/>
          <w:highlight w:val="none"/>
          <w:u w:val="single"/>
          <w:lang w:val="en-US" w:eastAsia="zh-CN"/>
        </w:rPr>
        <w:t>0515-68852296</w:t>
      </w:r>
      <w:r>
        <w:rPr>
          <w:rFonts w:hint="eastAsia" w:ascii="宋体" w:hAnsi="宋体" w:eastAsia="宋体" w:cs="宋体"/>
          <w:color w:val="auto"/>
          <w:kern w:val="0"/>
          <w:szCs w:val="21"/>
          <w:highlight w:val="none"/>
        </w:rPr>
        <w:t xml:space="preserve">                                   </w:t>
      </w:r>
    </w:p>
    <w:p>
      <w:pPr>
        <w:keepNext w:val="0"/>
        <w:keepLines w:val="0"/>
        <w:pageBreakBefore w:val="0"/>
        <w:widowControl w:val="0"/>
        <w:tabs>
          <w:tab w:val="left" w:pos="6492"/>
        </w:tabs>
        <w:kinsoku/>
        <w:wordWrap/>
        <w:overflowPunct/>
        <w:topLinePunct w:val="0"/>
        <w:autoSpaceDE w:val="0"/>
        <w:autoSpaceDN w:val="0"/>
        <w:bidi w:val="0"/>
        <w:adjustRightInd/>
        <w:snapToGrid/>
        <w:spacing w:line="440" w:lineRule="exact"/>
        <w:ind w:firstLine="420" w:firstLineChars="200"/>
        <w:jc w:val="left"/>
        <w:textAlignment w:val="auto"/>
        <w:rPr>
          <w:rFonts w:hint="eastAsia" w:ascii="宋体" w:hAnsi="宋体" w:eastAsia="宋体" w:cs="宋体"/>
          <w:color w:val="auto"/>
          <w:kern w:val="0"/>
          <w:szCs w:val="21"/>
          <w:highlight w:val="none"/>
          <w:lang w:val="zh-CN"/>
        </w:rPr>
      </w:pPr>
      <w:r>
        <w:rPr>
          <w:rFonts w:hint="eastAsia" w:ascii="宋体" w:hAnsi="宋体" w:eastAsia="宋体" w:cs="宋体"/>
          <w:color w:val="auto"/>
          <w:kern w:val="0"/>
          <w:szCs w:val="21"/>
          <w:highlight w:val="none"/>
          <w:lang w:val="zh-CN"/>
        </w:rPr>
        <w:t>2.采购代理机构信息</w:t>
      </w:r>
    </w:p>
    <w:p>
      <w:pPr>
        <w:keepNext w:val="0"/>
        <w:keepLines w:val="0"/>
        <w:pageBreakBefore w:val="0"/>
        <w:widowControl w:val="0"/>
        <w:tabs>
          <w:tab w:val="left" w:pos="6492"/>
        </w:tabs>
        <w:kinsoku/>
        <w:wordWrap/>
        <w:overflowPunct/>
        <w:topLinePunct w:val="0"/>
        <w:autoSpaceDE w:val="0"/>
        <w:autoSpaceDN w:val="0"/>
        <w:bidi w:val="0"/>
        <w:adjustRightInd/>
        <w:snapToGrid/>
        <w:spacing w:line="440" w:lineRule="exact"/>
        <w:ind w:firstLine="420" w:firstLineChars="200"/>
        <w:jc w:val="left"/>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zh-CN"/>
        </w:rPr>
        <w:t>名</w:t>
      </w:r>
      <w:r>
        <w:rPr>
          <w:rFonts w:hint="eastAsia" w:ascii="宋体" w:hAnsi="宋体" w:eastAsia="宋体" w:cs="宋体"/>
          <w:color w:val="auto"/>
          <w:kern w:val="0"/>
          <w:szCs w:val="21"/>
          <w:highlight w:val="none"/>
        </w:rPr>
        <w:t xml:space="preserve">    </w:t>
      </w:r>
      <w:r>
        <w:rPr>
          <w:rFonts w:hint="eastAsia" w:ascii="宋体" w:hAnsi="宋体" w:eastAsia="宋体" w:cs="宋体"/>
          <w:color w:val="auto"/>
          <w:kern w:val="0"/>
          <w:szCs w:val="21"/>
          <w:highlight w:val="none"/>
          <w:lang w:val="zh-CN"/>
        </w:rPr>
        <w:t>称：</w:t>
      </w:r>
      <w:r>
        <w:rPr>
          <w:rFonts w:hint="eastAsia" w:ascii="宋体" w:hAnsi="宋体" w:eastAsia="宋体" w:cs="宋体"/>
          <w:color w:val="auto"/>
          <w:kern w:val="0"/>
          <w:szCs w:val="21"/>
          <w:highlight w:val="none"/>
          <w:u w:val="single"/>
        </w:rPr>
        <w:t>江苏盐渎工程咨询有限公司</w:t>
      </w:r>
    </w:p>
    <w:p>
      <w:pPr>
        <w:keepNext w:val="0"/>
        <w:keepLines w:val="0"/>
        <w:pageBreakBefore w:val="0"/>
        <w:widowControl w:val="0"/>
        <w:tabs>
          <w:tab w:val="left" w:pos="6317"/>
        </w:tabs>
        <w:kinsoku/>
        <w:wordWrap/>
        <w:overflowPunct/>
        <w:topLinePunct w:val="0"/>
        <w:autoSpaceDE w:val="0"/>
        <w:autoSpaceDN w:val="0"/>
        <w:bidi w:val="0"/>
        <w:adjustRightInd/>
        <w:snapToGrid/>
        <w:spacing w:line="440" w:lineRule="exact"/>
        <w:ind w:firstLine="218" w:firstLineChars="104"/>
        <w:jc w:val="left"/>
        <w:textAlignment w:val="auto"/>
        <w:rPr>
          <w:rFonts w:hint="eastAsia" w:ascii="宋体" w:hAnsi="宋体" w:eastAsia="宋体" w:cs="宋体"/>
          <w:color w:val="auto"/>
          <w:kern w:val="0"/>
          <w:szCs w:val="21"/>
          <w:highlight w:val="none"/>
          <w:u w:val="single"/>
        </w:rPr>
      </w:pPr>
      <w:r>
        <w:rPr>
          <w:rFonts w:hint="eastAsia" w:ascii="宋体" w:hAnsi="宋体" w:eastAsia="宋体" w:cs="宋体"/>
          <w:color w:val="auto"/>
          <w:kern w:val="0"/>
          <w:szCs w:val="21"/>
          <w:highlight w:val="none"/>
        </w:rPr>
        <w:t xml:space="preserve">  </w:t>
      </w:r>
      <w:r>
        <w:rPr>
          <w:rFonts w:hint="eastAsia" w:ascii="宋体" w:hAnsi="宋体" w:eastAsia="宋体" w:cs="宋体"/>
          <w:color w:val="auto"/>
          <w:kern w:val="0"/>
          <w:szCs w:val="21"/>
          <w:highlight w:val="none"/>
          <w:lang w:val="zh-CN"/>
        </w:rPr>
        <w:t>地</w:t>
      </w:r>
      <w:r>
        <w:rPr>
          <w:rFonts w:hint="eastAsia" w:ascii="宋体" w:hAnsi="宋体" w:eastAsia="宋体" w:cs="宋体"/>
          <w:color w:val="auto"/>
          <w:kern w:val="0"/>
          <w:szCs w:val="21"/>
          <w:highlight w:val="none"/>
        </w:rPr>
        <w:t xml:space="preserve">    </w:t>
      </w:r>
      <w:r>
        <w:rPr>
          <w:rFonts w:hint="eastAsia" w:ascii="宋体" w:hAnsi="宋体" w:eastAsia="宋体" w:cs="宋体"/>
          <w:color w:val="auto"/>
          <w:kern w:val="0"/>
          <w:szCs w:val="21"/>
          <w:highlight w:val="none"/>
          <w:lang w:val="zh-CN"/>
        </w:rPr>
        <w:t>址：</w:t>
      </w:r>
      <w:r>
        <w:rPr>
          <w:rFonts w:hint="eastAsia" w:ascii="宋体" w:hAnsi="宋体" w:eastAsia="宋体" w:cs="宋体"/>
          <w:color w:val="auto"/>
          <w:kern w:val="0"/>
          <w:szCs w:val="21"/>
          <w:highlight w:val="none"/>
          <w:u w:val="single"/>
        </w:rPr>
        <w:t>盐城市大丰区大唐集团六楼</w:t>
      </w:r>
    </w:p>
    <w:p>
      <w:pPr>
        <w:pStyle w:val="47"/>
        <w:keepNext w:val="0"/>
        <w:keepLines w:val="0"/>
        <w:pageBreakBefore w:val="0"/>
        <w:widowControl w:val="0"/>
        <w:kinsoku/>
        <w:wordWrap/>
        <w:overflowPunct/>
        <w:topLinePunct w:val="0"/>
        <w:bidi w:val="0"/>
        <w:adjustRightInd/>
        <w:snapToGrid/>
        <w:spacing w:after="0" w:line="440" w:lineRule="exact"/>
        <w:ind w:firstLine="42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kern w:val="0"/>
          <w:szCs w:val="21"/>
          <w:highlight w:val="none"/>
          <w:u w:val="none"/>
          <w:lang w:val="en-US" w:eastAsia="zh-CN"/>
        </w:rPr>
        <w:t>联 系 人：</w:t>
      </w:r>
      <w:r>
        <w:rPr>
          <w:rFonts w:hint="eastAsia" w:ascii="宋体" w:hAnsi="宋体" w:eastAsia="宋体" w:cs="宋体"/>
          <w:color w:val="auto"/>
          <w:kern w:val="0"/>
          <w:szCs w:val="21"/>
          <w:highlight w:val="none"/>
          <w:u w:val="single"/>
          <w:lang w:val="en-US" w:eastAsia="zh-CN"/>
        </w:rPr>
        <w:t>陈彬</w:t>
      </w:r>
    </w:p>
    <w:p>
      <w:pPr>
        <w:keepNext w:val="0"/>
        <w:keepLines w:val="0"/>
        <w:pageBreakBefore w:val="0"/>
        <w:widowControl w:val="0"/>
        <w:tabs>
          <w:tab w:val="left" w:pos="6317"/>
        </w:tabs>
        <w:kinsoku/>
        <w:wordWrap/>
        <w:overflowPunct/>
        <w:topLinePunct w:val="0"/>
        <w:autoSpaceDE w:val="0"/>
        <w:autoSpaceDN w:val="0"/>
        <w:bidi w:val="0"/>
        <w:adjustRightInd/>
        <w:snapToGrid/>
        <w:spacing w:line="440" w:lineRule="exact"/>
        <w:ind w:firstLine="420" w:firstLineChars="200"/>
        <w:jc w:val="left"/>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zh-CN"/>
        </w:rPr>
        <w:t>联系方式：</w:t>
      </w:r>
      <w:r>
        <w:rPr>
          <w:rFonts w:hint="eastAsia" w:ascii="宋体" w:hAnsi="宋体" w:eastAsia="宋体" w:cs="宋体"/>
          <w:color w:val="auto"/>
          <w:kern w:val="0"/>
          <w:szCs w:val="21"/>
          <w:highlight w:val="none"/>
          <w:u w:val="single"/>
        </w:rPr>
        <w:t>15851003897</w:t>
      </w:r>
    </w:p>
    <w:p>
      <w:pPr>
        <w:autoSpaceDE w:val="0"/>
        <w:autoSpaceDN w:val="0"/>
        <w:spacing w:line="480" w:lineRule="exact"/>
        <w:ind w:firstLine="6090" w:firstLineChars="2900"/>
        <w:jc w:val="left"/>
        <w:rPr>
          <w:rFonts w:hint="eastAsia" w:ascii="宋体" w:hAnsi="宋体" w:eastAsia="宋体" w:cs="宋体"/>
          <w:color w:val="auto"/>
          <w:kern w:val="0"/>
          <w:szCs w:val="21"/>
          <w:highlight w:val="none"/>
          <w:lang w:val="zh-CN"/>
        </w:rPr>
      </w:pPr>
      <w:r>
        <w:rPr>
          <w:rFonts w:hint="eastAsia" w:ascii="宋体" w:hAnsi="宋体" w:eastAsia="宋体" w:cs="宋体"/>
          <w:color w:val="auto"/>
          <w:kern w:val="0"/>
          <w:szCs w:val="21"/>
          <w:highlight w:val="none"/>
          <w:lang w:val="zh-CN"/>
        </w:rPr>
        <w:t xml:space="preserve">　　　　　　　　　　　 </w:t>
      </w:r>
    </w:p>
    <w:p>
      <w:pPr>
        <w:ind w:firstLine="420" w:firstLineChars="200"/>
        <w:rPr>
          <w:rFonts w:hint="eastAsia" w:ascii="宋体" w:hAnsi="宋体" w:eastAsia="宋体" w:cs="宋体"/>
          <w:color w:val="auto"/>
          <w:highlight w:val="none"/>
        </w:rPr>
      </w:pPr>
      <w:r>
        <w:rPr>
          <w:rFonts w:hint="eastAsia" w:ascii="宋体" w:hAnsi="宋体" w:eastAsia="宋体" w:cs="宋体"/>
          <w:color w:val="auto"/>
          <w:kern w:val="0"/>
          <w:szCs w:val="21"/>
          <w:highlight w:val="none"/>
          <w:lang w:val="zh-CN"/>
        </w:rPr>
        <w:t>　　</w:t>
      </w:r>
    </w:p>
    <w:p>
      <w:pPr>
        <w:pStyle w:val="2"/>
        <w:spacing w:before="0" w:after="0" w:line="360" w:lineRule="auto"/>
        <w:rPr>
          <w:rFonts w:hint="eastAsia" w:ascii="宋体" w:hAnsi="宋体" w:eastAsia="宋体" w:cs="宋体"/>
          <w:color w:val="auto"/>
          <w:highlight w:val="none"/>
        </w:rPr>
      </w:pPr>
      <w:r>
        <w:rPr>
          <w:rFonts w:hint="eastAsia" w:ascii="宋体" w:hAnsi="宋体" w:eastAsia="宋体" w:cs="宋体"/>
          <w:color w:val="auto"/>
          <w:highlight w:val="none"/>
        </w:rPr>
        <w:br w:type="page"/>
      </w:r>
      <w:r>
        <w:rPr>
          <w:rFonts w:hint="eastAsia" w:ascii="宋体" w:hAnsi="宋体" w:eastAsia="宋体" w:cs="宋体"/>
          <w:color w:val="auto"/>
          <w:highlight w:val="none"/>
        </w:rPr>
        <w:t>第二章  投标人须知</w:t>
      </w:r>
      <w:bookmarkEnd w:id="3"/>
      <w:bookmarkEnd w:id="4"/>
      <w:bookmarkEnd w:id="5"/>
      <w:bookmarkEnd w:id="6"/>
      <w:bookmarkEnd w:id="7"/>
      <w:bookmarkEnd w:id="8"/>
      <w:bookmarkEnd w:id="9"/>
      <w:bookmarkEnd w:id="10"/>
      <w:bookmarkEnd w:id="11"/>
      <w:bookmarkEnd w:id="12"/>
    </w:p>
    <w:p>
      <w:pPr>
        <w:pStyle w:val="153"/>
        <w:spacing w:before="0" w:after="0"/>
        <w:jc w:val="center"/>
        <w:rPr>
          <w:rFonts w:hint="eastAsia" w:ascii="宋体" w:hAnsi="宋体" w:eastAsia="宋体" w:cs="宋体"/>
          <w:color w:val="auto"/>
          <w:highlight w:val="none"/>
        </w:rPr>
      </w:pPr>
      <w:bookmarkStart w:id="13" w:name="_Toc508216879"/>
      <w:bookmarkStart w:id="14" w:name="_Toc397928548"/>
      <w:bookmarkStart w:id="15" w:name="_Toc387526282"/>
      <w:bookmarkStart w:id="16" w:name="_Toc369077559"/>
      <w:bookmarkStart w:id="17" w:name="_Toc387526374"/>
      <w:bookmarkStart w:id="18" w:name="_Toc16205"/>
      <w:bookmarkStart w:id="19" w:name="_Toc387526178"/>
      <w:r>
        <w:rPr>
          <w:rFonts w:hint="eastAsia" w:ascii="宋体" w:hAnsi="宋体" w:eastAsia="宋体" w:cs="宋体"/>
          <w:color w:val="auto"/>
          <w:highlight w:val="none"/>
        </w:rPr>
        <w:t>投标人须知前附表</w:t>
      </w:r>
      <w:bookmarkEnd w:id="13"/>
      <w:bookmarkEnd w:id="14"/>
      <w:bookmarkEnd w:id="15"/>
      <w:bookmarkEnd w:id="16"/>
      <w:bookmarkEnd w:id="17"/>
      <w:bookmarkEnd w:id="18"/>
      <w:bookmarkEnd w:id="19"/>
    </w:p>
    <w:tbl>
      <w:tblPr>
        <w:tblStyle w:val="49"/>
        <w:tblW w:w="494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1"/>
        <w:gridCol w:w="2157"/>
        <w:gridCol w:w="6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29" w:type="pct"/>
            <w:noWrap w:val="0"/>
            <w:vAlign w:val="center"/>
          </w:tcPr>
          <w:p>
            <w:pPr>
              <w:spacing w:line="480" w:lineRule="exact"/>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条款号</w:t>
            </w:r>
          </w:p>
        </w:tc>
        <w:tc>
          <w:tcPr>
            <w:tcW w:w="1093" w:type="pct"/>
            <w:noWrap w:val="0"/>
            <w:vAlign w:val="center"/>
          </w:tcPr>
          <w:p>
            <w:pPr>
              <w:spacing w:line="480" w:lineRule="exact"/>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条 款 名 称</w:t>
            </w:r>
          </w:p>
        </w:tc>
        <w:tc>
          <w:tcPr>
            <w:tcW w:w="3276" w:type="pct"/>
            <w:noWrap w:val="0"/>
            <w:vAlign w:val="center"/>
          </w:tcPr>
          <w:p>
            <w:pPr>
              <w:spacing w:line="480" w:lineRule="exact"/>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29" w:type="pct"/>
            <w:noWrap w:val="0"/>
            <w:vAlign w:val="center"/>
          </w:tcPr>
          <w:p>
            <w:pPr>
              <w:spacing w:line="48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1.1.2</w:t>
            </w:r>
          </w:p>
        </w:tc>
        <w:tc>
          <w:tcPr>
            <w:tcW w:w="1093" w:type="pct"/>
            <w:noWrap w:val="0"/>
            <w:vAlign w:val="center"/>
          </w:tcPr>
          <w:p>
            <w:pPr>
              <w:spacing w:line="48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招标人</w:t>
            </w:r>
          </w:p>
        </w:tc>
        <w:tc>
          <w:tcPr>
            <w:tcW w:w="3276" w:type="pct"/>
            <w:noWrap w:val="0"/>
            <w:vAlign w:val="center"/>
          </w:tcPr>
          <w:p>
            <w:pPr>
              <w:spacing w:line="480" w:lineRule="exact"/>
              <w:rPr>
                <w:rFonts w:hint="eastAsia" w:ascii="宋体" w:hAnsi="宋体" w:eastAsia="宋体" w:cs="宋体"/>
                <w:color w:val="auto"/>
                <w:szCs w:val="21"/>
                <w:highlight w:val="none"/>
                <w:lang w:eastAsia="zh-CN"/>
              </w:rPr>
            </w:pPr>
            <w:r>
              <w:rPr>
                <w:rFonts w:hint="eastAsia" w:ascii="宋体" w:hAnsi="宋体" w:eastAsia="宋体" w:cs="宋体"/>
                <w:color w:val="auto"/>
                <w:highlight w:val="none"/>
                <w:lang w:eastAsia="zh-CN"/>
              </w:rPr>
              <w:t>盐城市大丰区沪城污水处理有限公司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29" w:type="pct"/>
            <w:noWrap w:val="0"/>
            <w:vAlign w:val="center"/>
          </w:tcPr>
          <w:p>
            <w:pPr>
              <w:spacing w:line="48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1.1.3</w:t>
            </w:r>
          </w:p>
        </w:tc>
        <w:tc>
          <w:tcPr>
            <w:tcW w:w="1093" w:type="pct"/>
            <w:noWrap w:val="0"/>
            <w:vAlign w:val="center"/>
          </w:tcPr>
          <w:p>
            <w:pPr>
              <w:spacing w:line="48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招标代理机构</w:t>
            </w:r>
          </w:p>
        </w:tc>
        <w:tc>
          <w:tcPr>
            <w:tcW w:w="3276" w:type="pct"/>
            <w:noWrap w:val="0"/>
            <w:vAlign w:val="center"/>
          </w:tcPr>
          <w:p>
            <w:pPr>
              <w:spacing w:line="48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江苏盐渎工程咨询有限公司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29" w:type="pct"/>
            <w:noWrap w:val="0"/>
            <w:vAlign w:val="center"/>
          </w:tcPr>
          <w:p>
            <w:pPr>
              <w:spacing w:line="48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1.1.4</w:t>
            </w:r>
          </w:p>
        </w:tc>
        <w:tc>
          <w:tcPr>
            <w:tcW w:w="1093" w:type="pct"/>
            <w:noWrap w:val="0"/>
            <w:vAlign w:val="center"/>
          </w:tcPr>
          <w:p>
            <w:pPr>
              <w:spacing w:line="48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项目名称</w:t>
            </w:r>
          </w:p>
        </w:tc>
        <w:tc>
          <w:tcPr>
            <w:tcW w:w="3276" w:type="pct"/>
            <w:noWrap w:val="0"/>
            <w:vAlign w:val="center"/>
          </w:tcPr>
          <w:p>
            <w:pPr>
              <w:spacing w:line="480" w:lineRule="exact"/>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eastAsia="zh-CN"/>
              </w:rPr>
              <w:t>沪苏、三龙污水</w:t>
            </w:r>
            <w:r>
              <w:rPr>
                <w:rFonts w:hint="eastAsia" w:ascii="宋体" w:hAnsi="宋体" w:eastAsia="宋体" w:cs="宋体"/>
                <w:color w:val="auto"/>
                <w:szCs w:val="21"/>
                <w:highlight w:val="none"/>
                <w:lang w:val="en-US" w:eastAsia="zh-CN"/>
              </w:rPr>
              <w:t>厂</w:t>
            </w:r>
            <w:r>
              <w:rPr>
                <w:rFonts w:hint="eastAsia" w:ascii="宋体" w:hAnsi="宋体" w:eastAsia="宋体" w:cs="宋体"/>
                <w:color w:val="auto"/>
                <w:szCs w:val="21"/>
                <w:highlight w:val="none"/>
                <w:lang w:eastAsia="zh-CN"/>
              </w:rPr>
              <w:t>复合碳源采购及相关服务项目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29" w:type="pct"/>
            <w:noWrap w:val="0"/>
            <w:vAlign w:val="center"/>
          </w:tcPr>
          <w:p>
            <w:pPr>
              <w:spacing w:line="48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1.2.1</w:t>
            </w:r>
          </w:p>
        </w:tc>
        <w:tc>
          <w:tcPr>
            <w:tcW w:w="1093" w:type="pct"/>
            <w:noWrap w:val="0"/>
            <w:vAlign w:val="center"/>
          </w:tcPr>
          <w:p>
            <w:pPr>
              <w:spacing w:line="48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资金来源</w:t>
            </w:r>
          </w:p>
        </w:tc>
        <w:tc>
          <w:tcPr>
            <w:tcW w:w="3276" w:type="pct"/>
            <w:noWrap w:val="0"/>
            <w:vAlign w:val="center"/>
          </w:tcPr>
          <w:p>
            <w:pPr>
              <w:spacing w:line="480" w:lineRule="exact"/>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29" w:type="pct"/>
            <w:noWrap w:val="0"/>
            <w:vAlign w:val="center"/>
          </w:tcPr>
          <w:p>
            <w:pPr>
              <w:spacing w:line="48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1.2.2</w:t>
            </w:r>
          </w:p>
        </w:tc>
        <w:tc>
          <w:tcPr>
            <w:tcW w:w="1093" w:type="pct"/>
            <w:noWrap w:val="0"/>
            <w:vAlign w:val="center"/>
          </w:tcPr>
          <w:p>
            <w:pPr>
              <w:spacing w:line="48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出资比例</w:t>
            </w:r>
          </w:p>
        </w:tc>
        <w:tc>
          <w:tcPr>
            <w:tcW w:w="3276" w:type="pct"/>
            <w:noWrap w:val="0"/>
            <w:vAlign w:val="center"/>
          </w:tcPr>
          <w:p>
            <w:pPr>
              <w:spacing w:line="48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29" w:type="pct"/>
            <w:noWrap w:val="0"/>
            <w:vAlign w:val="center"/>
          </w:tcPr>
          <w:p>
            <w:pPr>
              <w:spacing w:line="48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1.2.3</w:t>
            </w:r>
          </w:p>
        </w:tc>
        <w:tc>
          <w:tcPr>
            <w:tcW w:w="1093" w:type="pct"/>
            <w:noWrap w:val="0"/>
            <w:vAlign w:val="center"/>
          </w:tcPr>
          <w:p>
            <w:pPr>
              <w:spacing w:line="48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资金落实情况</w:t>
            </w:r>
          </w:p>
        </w:tc>
        <w:tc>
          <w:tcPr>
            <w:tcW w:w="3276" w:type="pct"/>
            <w:noWrap w:val="0"/>
            <w:vAlign w:val="center"/>
          </w:tcPr>
          <w:p>
            <w:pPr>
              <w:spacing w:line="48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29" w:type="pct"/>
            <w:noWrap w:val="0"/>
            <w:vAlign w:val="center"/>
          </w:tcPr>
          <w:p>
            <w:pPr>
              <w:spacing w:line="48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1.3.1</w:t>
            </w:r>
          </w:p>
        </w:tc>
        <w:tc>
          <w:tcPr>
            <w:tcW w:w="1093" w:type="pct"/>
            <w:noWrap w:val="0"/>
            <w:vAlign w:val="center"/>
          </w:tcPr>
          <w:p>
            <w:pPr>
              <w:spacing w:line="48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采购需求</w:t>
            </w:r>
          </w:p>
        </w:tc>
        <w:tc>
          <w:tcPr>
            <w:tcW w:w="3276" w:type="pct"/>
            <w:noWrap w:val="0"/>
            <w:vAlign w:val="center"/>
          </w:tcPr>
          <w:p>
            <w:pPr>
              <w:spacing w:line="48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29" w:type="pct"/>
            <w:noWrap w:val="0"/>
            <w:vAlign w:val="center"/>
          </w:tcPr>
          <w:p>
            <w:pPr>
              <w:spacing w:line="48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1.3.2</w:t>
            </w:r>
          </w:p>
        </w:tc>
        <w:tc>
          <w:tcPr>
            <w:tcW w:w="1093" w:type="pct"/>
            <w:noWrap w:val="0"/>
            <w:vAlign w:val="center"/>
          </w:tcPr>
          <w:p>
            <w:pPr>
              <w:spacing w:line="48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服务期</w:t>
            </w:r>
          </w:p>
        </w:tc>
        <w:tc>
          <w:tcPr>
            <w:tcW w:w="3276" w:type="pct"/>
            <w:noWrap w:val="0"/>
            <w:vAlign w:val="center"/>
          </w:tcPr>
          <w:p>
            <w:pPr>
              <w:spacing w:line="48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供货期一年，根据招标人要求使用量供货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29" w:type="pct"/>
            <w:noWrap w:val="0"/>
            <w:vAlign w:val="center"/>
          </w:tcPr>
          <w:p>
            <w:pPr>
              <w:spacing w:line="48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1.3.3</w:t>
            </w:r>
          </w:p>
        </w:tc>
        <w:tc>
          <w:tcPr>
            <w:tcW w:w="1093" w:type="pct"/>
            <w:noWrap w:val="0"/>
            <w:vAlign w:val="center"/>
          </w:tcPr>
          <w:p>
            <w:pPr>
              <w:spacing w:line="480" w:lineRule="exact"/>
              <w:jc w:val="center"/>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交货或服务地点</w:t>
            </w:r>
          </w:p>
        </w:tc>
        <w:tc>
          <w:tcPr>
            <w:tcW w:w="3276" w:type="pct"/>
            <w:noWrap w:val="0"/>
            <w:vAlign w:val="center"/>
          </w:tcPr>
          <w:p>
            <w:pPr>
              <w:spacing w:line="480" w:lineRule="exact"/>
              <w:rPr>
                <w:rFonts w:hint="eastAsia" w:ascii="宋体" w:hAnsi="宋体" w:eastAsia="宋体" w:cs="宋体"/>
                <w:color w:val="auto"/>
                <w:szCs w:val="21"/>
                <w:highlight w:val="none"/>
              </w:rPr>
            </w:pPr>
            <w:r>
              <w:rPr>
                <w:rFonts w:hint="eastAsia" w:ascii="宋体" w:hAnsi="宋体" w:eastAsia="宋体" w:cs="宋体"/>
                <w:color w:val="auto"/>
                <w:highlight w:val="none"/>
                <w:lang w:eastAsia="zh-CN"/>
              </w:rPr>
              <w:t>盐城市大丰区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29" w:type="pct"/>
            <w:noWrap w:val="0"/>
            <w:vAlign w:val="center"/>
          </w:tcPr>
          <w:p>
            <w:pPr>
              <w:spacing w:line="48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1.3.4</w:t>
            </w:r>
          </w:p>
        </w:tc>
        <w:tc>
          <w:tcPr>
            <w:tcW w:w="1093" w:type="pct"/>
            <w:noWrap w:val="0"/>
            <w:vAlign w:val="center"/>
          </w:tcPr>
          <w:p>
            <w:pPr>
              <w:spacing w:line="48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质量要求</w:t>
            </w:r>
          </w:p>
        </w:tc>
        <w:tc>
          <w:tcPr>
            <w:tcW w:w="3276" w:type="pct"/>
            <w:noWrap w:val="0"/>
            <w:vAlign w:val="center"/>
          </w:tcPr>
          <w:p>
            <w:pPr>
              <w:spacing w:line="48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国家相关行业验收合格标准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29" w:type="pct"/>
            <w:noWrap w:val="0"/>
            <w:vAlign w:val="center"/>
          </w:tcPr>
          <w:p>
            <w:pPr>
              <w:spacing w:line="48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1.4.1</w:t>
            </w:r>
          </w:p>
        </w:tc>
        <w:tc>
          <w:tcPr>
            <w:tcW w:w="1093" w:type="pct"/>
            <w:noWrap w:val="0"/>
            <w:vAlign w:val="center"/>
          </w:tcPr>
          <w:p>
            <w:pPr>
              <w:spacing w:line="48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投标人资格要求</w:t>
            </w:r>
          </w:p>
        </w:tc>
        <w:tc>
          <w:tcPr>
            <w:tcW w:w="3276" w:type="pct"/>
            <w:noWrap w:val="0"/>
            <w:vAlign w:val="center"/>
          </w:tcPr>
          <w:p>
            <w:pPr>
              <w:spacing w:line="48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29" w:type="pct"/>
            <w:noWrap w:val="0"/>
            <w:vAlign w:val="center"/>
          </w:tcPr>
          <w:p>
            <w:pPr>
              <w:spacing w:line="48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1.4.2</w:t>
            </w:r>
          </w:p>
        </w:tc>
        <w:tc>
          <w:tcPr>
            <w:tcW w:w="1093" w:type="pct"/>
            <w:noWrap w:val="0"/>
            <w:vAlign w:val="center"/>
          </w:tcPr>
          <w:p>
            <w:pPr>
              <w:spacing w:line="48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是否接受联合体投标</w:t>
            </w:r>
          </w:p>
        </w:tc>
        <w:tc>
          <w:tcPr>
            <w:tcW w:w="3276" w:type="pct"/>
            <w:noWrap w:val="0"/>
            <w:vAlign w:val="center"/>
          </w:tcPr>
          <w:p>
            <w:pPr>
              <w:spacing w:line="480" w:lineRule="exact"/>
              <w:rPr>
                <w:rFonts w:hint="eastAsia" w:ascii="宋体" w:hAnsi="宋体" w:eastAsia="宋体" w:cs="宋体"/>
                <w:color w:val="auto"/>
                <w:kern w:val="0"/>
                <w:szCs w:val="21"/>
                <w:highlight w:val="none"/>
              </w:rPr>
            </w:pPr>
            <w:r>
              <w:rPr>
                <w:rFonts w:hint="eastAsia" w:ascii="宋体" w:hAnsi="宋体" w:eastAsia="宋体" w:cs="宋体"/>
                <w:color w:val="auto"/>
                <w:szCs w:val="21"/>
                <w:highlight w:val="none"/>
              </w:rPr>
              <w:t>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29" w:type="pct"/>
            <w:noWrap w:val="0"/>
            <w:vAlign w:val="center"/>
          </w:tcPr>
          <w:p>
            <w:pPr>
              <w:spacing w:line="480" w:lineRule="exact"/>
              <w:jc w:val="center"/>
              <w:rPr>
                <w:rFonts w:hint="eastAsia" w:ascii="宋体" w:hAnsi="宋体" w:eastAsia="宋体" w:cs="宋体"/>
                <w:b/>
                <w:color w:val="auto"/>
                <w:szCs w:val="21"/>
                <w:highlight w:val="none"/>
              </w:rPr>
            </w:pPr>
            <w:r>
              <w:rPr>
                <w:rFonts w:hint="eastAsia" w:ascii="宋体" w:hAnsi="宋体" w:eastAsia="宋体" w:cs="宋体"/>
                <w:color w:val="auto"/>
                <w:szCs w:val="21"/>
                <w:highlight w:val="none"/>
              </w:rPr>
              <w:t>1.9.1</w:t>
            </w:r>
          </w:p>
        </w:tc>
        <w:tc>
          <w:tcPr>
            <w:tcW w:w="1093" w:type="pct"/>
            <w:noWrap w:val="0"/>
            <w:vAlign w:val="center"/>
          </w:tcPr>
          <w:p>
            <w:pPr>
              <w:spacing w:line="480" w:lineRule="exact"/>
              <w:jc w:val="center"/>
              <w:rPr>
                <w:rFonts w:hint="eastAsia" w:ascii="宋体" w:hAnsi="宋体" w:eastAsia="宋体" w:cs="宋体"/>
                <w:b/>
                <w:color w:val="auto"/>
                <w:szCs w:val="21"/>
                <w:highlight w:val="none"/>
              </w:rPr>
            </w:pPr>
            <w:r>
              <w:rPr>
                <w:rFonts w:hint="eastAsia" w:ascii="宋体" w:hAnsi="宋体" w:eastAsia="宋体" w:cs="宋体"/>
                <w:color w:val="auto"/>
                <w:kern w:val="0"/>
                <w:szCs w:val="21"/>
                <w:highlight w:val="none"/>
              </w:rPr>
              <w:t>踏勘现场</w:t>
            </w:r>
          </w:p>
        </w:tc>
        <w:tc>
          <w:tcPr>
            <w:tcW w:w="3276" w:type="pct"/>
            <w:noWrap w:val="0"/>
            <w:vAlign w:val="center"/>
          </w:tcPr>
          <w:p>
            <w:pPr>
              <w:spacing w:line="480" w:lineRule="exact"/>
              <w:rPr>
                <w:rFonts w:hint="eastAsia" w:ascii="宋体" w:hAnsi="宋体" w:eastAsia="宋体" w:cs="宋体"/>
                <w:b/>
                <w:color w:val="auto"/>
                <w:szCs w:val="21"/>
                <w:highlight w:val="none"/>
                <w:u w:val="single"/>
              </w:rPr>
            </w:pPr>
            <w:r>
              <w:rPr>
                <w:rFonts w:hint="eastAsia" w:ascii="宋体" w:hAnsi="宋体" w:eastAsia="宋体" w:cs="宋体"/>
                <w:color w:val="auto"/>
                <w:szCs w:val="21"/>
                <w:highlight w:val="none"/>
              </w:rPr>
              <w:t>投标人自行踏勘现场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29" w:type="pct"/>
            <w:noWrap w:val="0"/>
            <w:vAlign w:val="center"/>
          </w:tcPr>
          <w:p>
            <w:pPr>
              <w:spacing w:line="48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1.10</w:t>
            </w:r>
          </w:p>
        </w:tc>
        <w:tc>
          <w:tcPr>
            <w:tcW w:w="1093" w:type="pct"/>
            <w:noWrap w:val="0"/>
            <w:vAlign w:val="center"/>
          </w:tcPr>
          <w:p>
            <w:pPr>
              <w:spacing w:line="48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投标预备会</w:t>
            </w:r>
          </w:p>
        </w:tc>
        <w:tc>
          <w:tcPr>
            <w:tcW w:w="3276" w:type="pct"/>
            <w:noWrap w:val="0"/>
            <w:vAlign w:val="center"/>
          </w:tcPr>
          <w:p>
            <w:pPr>
              <w:spacing w:line="48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sym w:font="Wingdings 2" w:char="0052"/>
            </w:r>
            <w:r>
              <w:rPr>
                <w:rFonts w:hint="eastAsia" w:ascii="宋体" w:hAnsi="宋体" w:eastAsia="宋体" w:cs="宋体"/>
                <w:color w:val="auto"/>
                <w:szCs w:val="21"/>
                <w:highlight w:val="none"/>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29" w:type="pct"/>
            <w:noWrap w:val="0"/>
            <w:vAlign w:val="center"/>
          </w:tcPr>
          <w:p>
            <w:pPr>
              <w:spacing w:line="48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1.11</w:t>
            </w:r>
          </w:p>
        </w:tc>
        <w:tc>
          <w:tcPr>
            <w:tcW w:w="1093" w:type="pct"/>
            <w:noWrap w:val="0"/>
            <w:vAlign w:val="center"/>
          </w:tcPr>
          <w:p>
            <w:pPr>
              <w:spacing w:line="48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偏离</w:t>
            </w:r>
          </w:p>
        </w:tc>
        <w:tc>
          <w:tcPr>
            <w:tcW w:w="3276" w:type="pct"/>
            <w:noWrap w:val="0"/>
            <w:vAlign w:val="center"/>
          </w:tcPr>
          <w:p>
            <w:pPr>
              <w:spacing w:line="48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详见招标文件相关条款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29" w:type="pct"/>
            <w:noWrap w:val="0"/>
            <w:vAlign w:val="center"/>
          </w:tcPr>
          <w:p>
            <w:pPr>
              <w:spacing w:line="48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2.1.1</w:t>
            </w:r>
          </w:p>
        </w:tc>
        <w:tc>
          <w:tcPr>
            <w:tcW w:w="1093" w:type="pct"/>
            <w:noWrap w:val="0"/>
            <w:vAlign w:val="center"/>
          </w:tcPr>
          <w:p>
            <w:pPr>
              <w:spacing w:line="480" w:lineRule="exact"/>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构成招标文件的其它材料</w:t>
            </w:r>
          </w:p>
        </w:tc>
        <w:tc>
          <w:tcPr>
            <w:tcW w:w="3276" w:type="pct"/>
            <w:noWrap w:val="0"/>
            <w:vAlign w:val="center"/>
          </w:tcPr>
          <w:p>
            <w:pPr>
              <w:spacing w:line="480" w:lineRule="exac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jc w:val="center"/>
        </w:trPr>
        <w:tc>
          <w:tcPr>
            <w:tcW w:w="629" w:type="pct"/>
            <w:noWrap w:val="0"/>
            <w:vAlign w:val="center"/>
          </w:tcPr>
          <w:p>
            <w:pPr>
              <w:spacing w:line="48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2.2.1</w:t>
            </w:r>
          </w:p>
        </w:tc>
        <w:tc>
          <w:tcPr>
            <w:tcW w:w="1093" w:type="pct"/>
            <w:noWrap w:val="0"/>
            <w:vAlign w:val="center"/>
          </w:tcPr>
          <w:p>
            <w:pPr>
              <w:spacing w:line="48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要求招标人澄清招标文件截至时间</w:t>
            </w:r>
          </w:p>
        </w:tc>
        <w:tc>
          <w:tcPr>
            <w:tcW w:w="3276" w:type="pct"/>
            <w:noWrap w:val="0"/>
            <w:vAlign w:val="center"/>
          </w:tcPr>
          <w:p>
            <w:pPr>
              <w:spacing w:line="48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u w:val="single"/>
                <w:lang w:eastAsia="zh-CN"/>
              </w:rPr>
              <w:t>2024</w:t>
            </w:r>
            <w:r>
              <w:rPr>
                <w:rFonts w:hint="eastAsia" w:ascii="宋体" w:hAnsi="宋体" w:eastAsia="宋体" w:cs="宋体"/>
                <w:color w:val="auto"/>
                <w:szCs w:val="21"/>
                <w:highlight w:val="none"/>
              </w:rPr>
              <w:t>年</w:t>
            </w:r>
            <w:r>
              <w:rPr>
                <w:rFonts w:hint="eastAsia" w:ascii="宋体" w:hAnsi="宋体" w:cs="宋体"/>
                <w:color w:val="auto"/>
                <w:szCs w:val="21"/>
                <w:highlight w:val="none"/>
                <w:u w:val="single"/>
                <w:lang w:val="en-US" w:eastAsia="zh-CN"/>
              </w:rPr>
              <w:t>5</w:t>
            </w:r>
            <w:r>
              <w:rPr>
                <w:rFonts w:hint="eastAsia" w:ascii="宋体" w:hAnsi="宋体" w:eastAsia="宋体" w:cs="宋体"/>
                <w:color w:val="auto"/>
                <w:szCs w:val="21"/>
                <w:highlight w:val="none"/>
              </w:rPr>
              <w:t>月</w:t>
            </w:r>
            <w:r>
              <w:rPr>
                <w:rFonts w:hint="eastAsia" w:ascii="宋体" w:hAnsi="宋体" w:cs="宋体"/>
                <w:color w:val="auto"/>
                <w:szCs w:val="21"/>
                <w:highlight w:val="none"/>
                <w:u w:val="single"/>
                <w:lang w:val="en-US" w:eastAsia="zh-CN"/>
              </w:rPr>
              <w:t>27</w:t>
            </w:r>
            <w:r>
              <w:rPr>
                <w:rFonts w:hint="eastAsia" w:ascii="宋体" w:hAnsi="宋体" w:eastAsia="宋体" w:cs="宋体"/>
                <w:color w:val="auto"/>
                <w:szCs w:val="21"/>
                <w:highlight w:val="none"/>
              </w:rPr>
              <w:t>日</w:t>
            </w:r>
            <w:r>
              <w:rPr>
                <w:rFonts w:hint="eastAsia" w:ascii="宋体" w:hAnsi="宋体" w:eastAsia="宋体" w:cs="宋体"/>
                <w:color w:val="auto"/>
                <w:szCs w:val="21"/>
                <w:highlight w:val="none"/>
                <w:u w:val="single"/>
              </w:rPr>
              <w:t>18：00</w:t>
            </w:r>
            <w:r>
              <w:rPr>
                <w:rFonts w:hint="eastAsia" w:ascii="宋体" w:hAnsi="宋体" w:eastAsia="宋体" w:cs="宋体"/>
                <w:color w:val="auto"/>
                <w:szCs w:val="21"/>
                <w:highlight w:val="none"/>
              </w:rPr>
              <w:t>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29" w:type="pct"/>
            <w:noWrap w:val="0"/>
            <w:vAlign w:val="center"/>
          </w:tcPr>
          <w:p>
            <w:pPr>
              <w:spacing w:line="48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2.2.3</w:t>
            </w:r>
          </w:p>
        </w:tc>
        <w:tc>
          <w:tcPr>
            <w:tcW w:w="1093" w:type="pct"/>
            <w:noWrap w:val="0"/>
            <w:vAlign w:val="center"/>
          </w:tcPr>
          <w:p>
            <w:pPr>
              <w:spacing w:line="48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投标人确认收到招标文件澄清时间</w:t>
            </w:r>
          </w:p>
        </w:tc>
        <w:tc>
          <w:tcPr>
            <w:tcW w:w="3276" w:type="pct"/>
            <w:noWrap w:val="0"/>
            <w:vAlign w:val="center"/>
          </w:tcPr>
          <w:p>
            <w:pPr>
              <w:spacing w:line="480" w:lineRule="exact"/>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投标人自行网上查寻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29" w:type="pct"/>
            <w:noWrap w:val="0"/>
            <w:vAlign w:val="center"/>
          </w:tcPr>
          <w:p>
            <w:pPr>
              <w:spacing w:line="48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2.3.1</w:t>
            </w:r>
          </w:p>
        </w:tc>
        <w:tc>
          <w:tcPr>
            <w:tcW w:w="1093" w:type="pct"/>
            <w:noWrap w:val="0"/>
            <w:vAlign w:val="center"/>
          </w:tcPr>
          <w:p>
            <w:pPr>
              <w:spacing w:line="48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投标人确认收到招标文件修改时间</w:t>
            </w:r>
          </w:p>
        </w:tc>
        <w:tc>
          <w:tcPr>
            <w:tcW w:w="3276" w:type="pct"/>
            <w:noWrap w:val="0"/>
            <w:vAlign w:val="center"/>
          </w:tcPr>
          <w:p>
            <w:pPr>
              <w:spacing w:line="48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投标人自行网上查寻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7" w:hRule="atLeast"/>
          <w:jc w:val="center"/>
        </w:trPr>
        <w:tc>
          <w:tcPr>
            <w:tcW w:w="629" w:type="pct"/>
            <w:noWrap w:val="0"/>
            <w:vAlign w:val="center"/>
          </w:tcPr>
          <w:p>
            <w:pPr>
              <w:spacing w:line="48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3.1.1</w:t>
            </w:r>
          </w:p>
        </w:tc>
        <w:tc>
          <w:tcPr>
            <w:tcW w:w="1093" w:type="pct"/>
            <w:noWrap w:val="0"/>
            <w:vAlign w:val="center"/>
          </w:tcPr>
          <w:p>
            <w:pPr>
              <w:spacing w:line="48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投标文件的组成</w:t>
            </w:r>
          </w:p>
        </w:tc>
        <w:tc>
          <w:tcPr>
            <w:tcW w:w="3276" w:type="pct"/>
            <w:noWrap w:val="0"/>
            <w:vAlign w:val="center"/>
          </w:tcPr>
          <w:p>
            <w:pPr>
              <w:spacing w:line="480" w:lineRule="exact"/>
              <w:rPr>
                <w:rFonts w:hint="eastAsia" w:ascii="宋体" w:hAnsi="宋体" w:eastAsia="宋体" w:cs="宋体"/>
                <w:color w:val="auto"/>
                <w:szCs w:val="21"/>
                <w:highlight w:val="none"/>
              </w:rPr>
            </w:pPr>
            <w:r>
              <w:rPr>
                <w:rFonts w:hint="eastAsia" w:ascii="宋体" w:hAnsi="宋体" w:eastAsia="宋体" w:cs="宋体"/>
                <w:b/>
                <w:bCs/>
                <w:color w:val="auto"/>
                <w:szCs w:val="21"/>
                <w:highlight w:val="none"/>
              </w:rPr>
              <w:t>1、本项目投标文件包括资信文件、商务文件、技术文件、开标一览表。</w:t>
            </w:r>
          </w:p>
          <w:p>
            <w:pPr>
              <w:spacing w:line="480" w:lineRule="exact"/>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⑴资信文件应包括如下内容：</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sym w:font="Wingdings 2" w:char="0052"/>
            </w:r>
            <w:r>
              <w:rPr>
                <w:rFonts w:hint="eastAsia" w:ascii="宋体" w:hAnsi="宋体" w:eastAsia="宋体" w:cs="宋体"/>
                <w:color w:val="auto"/>
                <w:szCs w:val="21"/>
                <w:highlight w:val="none"/>
              </w:rPr>
              <w:t>投标企业营业执照。</w:t>
            </w:r>
          </w:p>
          <w:p>
            <w:pPr>
              <w:spacing w:line="480" w:lineRule="exact"/>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⑵商务文件应包括如下内容：</w:t>
            </w:r>
          </w:p>
          <w:p>
            <w:pPr>
              <w:spacing w:line="48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sym w:font="Wingdings 2" w:char="0052"/>
            </w:r>
            <w:r>
              <w:rPr>
                <w:rFonts w:hint="eastAsia" w:ascii="宋体" w:hAnsi="宋体" w:eastAsia="宋体" w:cs="宋体"/>
                <w:color w:val="auto"/>
                <w:szCs w:val="21"/>
                <w:highlight w:val="none"/>
              </w:rPr>
              <w:t>投标函；</w:t>
            </w:r>
          </w:p>
          <w:p>
            <w:pPr>
              <w:spacing w:line="48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sym w:font="Wingdings 2" w:char="0052"/>
            </w:r>
            <w:r>
              <w:rPr>
                <w:rFonts w:hint="eastAsia" w:ascii="宋体" w:hAnsi="宋体" w:eastAsia="宋体" w:cs="宋体"/>
                <w:color w:val="auto"/>
                <w:szCs w:val="21"/>
                <w:highlight w:val="none"/>
              </w:rPr>
              <w:t>法定代表人身份证明书；</w:t>
            </w:r>
          </w:p>
          <w:p>
            <w:pPr>
              <w:spacing w:line="48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sym w:font="Wingdings 2" w:char="0052"/>
            </w:r>
            <w:r>
              <w:rPr>
                <w:rFonts w:hint="eastAsia" w:ascii="宋体" w:hAnsi="宋体" w:eastAsia="宋体" w:cs="宋体"/>
                <w:color w:val="auto"/>
                <w:szCs w:val="21"/>
                <w:highlight w:val="none"/>
              </w:rPr>
              <w:t>法定代表人授权委托书及授权委托人身份证复印件（如有）；</w:t>
            </w:r>
          </w:p>
          <w:p>
            <w:pPr>
              <w:spacing w:line="48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sym w:font="Wingdings 2" w:char="0052"/>
            </w:r>
            <w:r>
              <w:rPr>
                <w:rFonts w:hint="eastAsia" w:ascii="宋体" w:hAnsi="宋体" w:eastAsia="宋体" w:cs="宋体"/>
                <w:color w:val="auto"/>
                <w:szCs w:val="21"/>
                <w:highlight w:val="none"/>
              </w:rPr>
              <w:t>开标一览表。</w:t>
            </w:r>
          </w:p>
          <w:p>
            <w:pPr>
              <w:spacing w:line="480" w:lineRule="exact"/>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⑶技术文件应包括如下内容：</w:t>
            </w:r>
          </w:p>
          <w:p>
            <w:pPr>
              <w:spacing w:line="48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sym w:font="Wingdings 2" w:char="0052"/>
            </w:r>
            <w:r>
              <w:rPr>
                <w:rFonts w:hint="eastAsia" w:ascii="宋体" w:hAnsi="宋体" w:eastAsia="宋体" w:cs="宋体"/>
                <w:color w:val="auto"/>
                <w:szCs w:val="21"/>
                <w:highlight w:val="none"/>
              </w:rPr>
              <w:t>按招标文件要求以及评标办法评分需要提供。</w:t>
            </w:r>
          </w:p>
          <w:p>
            <w:pPr>
              <w:spacing w:line="480" w:lineRule="exact"/>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2、必须从诚信库中获取的材料：</w:t>
            </w:r>
          </w:p>
          <w:p>
            <w:pPr>
              <w:pStyle w:val="18"/>
              <w:spacing w:after="0" w:line="480" w:lineRule="exact"/>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sym w:font="Wingdings 2" w:char="0052"/>
            </w:r>
            <w:r>
              <w:rPr>
                <w:rFonts w:hint="eastAsia" w:ascii="宋体" w:hAnsi="宋体" w:eastAsia="宋体" w:cs="宋体"/>
                <w:color w:val="auto"/>
                <w:szCs w:val="21"/>
                <w:highlight w:val="none"/>
              </w:rPr>
              <w:t>企业营业执照</w:t>
            </w:r>
            <w:r>
              <w:rPr>
                <w:rFonts w:hint="eastAsia" w:ascii="宋体" w:hAnsi="宋体" w:eastAsia="宋体" w:cs="宋体"/>
                <w:color w:val="auto"/>
                <w:szCs w:val="21"/>
                <w:highlight w:val="none"/>
                <w:lang w:eastAsia="zh-CN"/>
              </w:rPr>
              <w:t>。</w:t>
            </w:r>
          </w:p>
          <w:p>
            <w:pPr>
              <w:spacing w:line="480" w:lineRule="exact"/>
              <w:rPr>
                <w:rFonts w:hint="eastAsia" w:ascii="宋体" w:hAnsi="宋体" w:eastAsia="宋体" w:cs="宋体"/>
                <w:color w:val="auto"/>
                <w:szCs w:val="21"/>
                <w:highlight w:val="none"/>
              </w:rPr>
            </w:pPr>
            <w:r>
              <w:rPr>
                <w:rFonts w:hint="eastAsia" w:ascii="宋体" w:hAnsi="宋体" w:eastAsia="宋体" w:cs="宋体"/>
                <w:b/>
                <w:bCs/>
                <w:color w:val="auto"/>
                <w:szCs w:val="21"/>
                <w:highlight w:val="none"/>
              </w:rPr>
              <w:t>3、无需从诚信库勾选，可直接提供扫描件的材料：</w:t>
            </w:r>
          </w:p>
          <w:p>
            <w:pPr>
              <w:spacing w:line="48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sym w:font="Wingdings 2" w:char="0052"/>
            </w:r>
            <w:r>
              <w:rPr>
                <w:rFonts w:hint="eastAsia" w:ascii="宋体" w:hAnsi="宋体" w:eastAsia="宋体" w:cs="宋体"/>
                <w:color w:val="auto"/>
                <w:szCs w:val="21"/>
                <w:highlight w:val="none"/>
                <w:lang w:val="en-US" w:eastAsia="zh-CN"/>
              </w:rPr>
              <w:t>除企业营业执照之外所有材料。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29" w:type="pct"/>
            <w:noWrap w:val="0"/>
            <w:vAlign w:val="center"/>
          </w:tcPr>
          <w:p>
            <w:pPr>
              <w:spacing w:line="48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3.2.2</w:t>
            </w:r>
          </w:p>
        </w:tc>
        <w:tc>
          <w:tcPr>
            <w:tcW w:w="1093" w:type="pct"/>
            <w:noWrap w:val="0"/>
            <w:vAlign w:val="center"/>
          </w:tcPr>
          <w:p>
            <w:pPr>
              <w:spacing w:line="48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投标报价要求</w:t>
            </w:r>
          </w:p>
        </w:tc>
        <w:tc>
          <w:tcPr>
            <w:tcW w:w="3276" w:type="pct"/>
            <w:noWrap w:val="0"/>
            <w:vAlign w:val="center"/>
          </w:tcPr>
          <w:p>
            <w:pPr>
              <w:spacing w:line="48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详见投标须知3.2条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29" w:type="pct"/>
            <w:noWrap w:val="0"/>
            <w:vAlign w:val="center"/>
          </w:tcPr>
          <w:p>
            <w:pPr>
              <w:spacing w:line="48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3.2.3</w:t>
            </w:r>
          </w:p>
        </w:tc>
        <w:tc>
          <w:tcPr>
            <w:tcW w:w="1093" w:type="pct"/>
            <w:noWrap w:val="0"/>
            <w:vAlign w:val="center"/>
          </w:tcPr>
          <w:p>
            <w:pPr>
              <w:spacing w:line="48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最高投标限价</w:t>
            </w:r>
          </w:p>
        </w:tc>
        <w:tc>
          <w:tcPr>
            <w:tcW w:w="3276" w:type="pct"/>
            <w:noWrap w:val="0"/>
            <w:vAlign w:val="center"/>
          </w:tcPr>
          <w:p>
            <w:pPr>
              <w:spacing w:line="48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169.2</w:t>
            </w:r>
            <w:r>
              <w:rPr>
                <w:rFonts w:hint="eastAsia" w:ascii="宋体" w:hAnsi="宋体" w:eastAsia="宋体" w:cs="宋体"/>
                <w:color w:val="auto"/>
                <w:szCs w:val="21"/>
                <w:highlight w:val="none"/>
              </w:rPr>
              <w:t>万元</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lang w:val="en-US" w:eastAsia="zh-CN"/>
              </w:rPr>
              <w:t>1500元/吨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29" w:type="pct"/>
            <w:noWrap w:val="0"/>
            <w:vAlign w:val="center"/>
          </w:tcPr>
          <w:p>
            <w:pPr>
              <w:spacing w:line="48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3.3.1</w:t>
            </w:r>
          </w:p>
        </w:tc>
        <w:tc>
          <w:tcPr>
            <w:tcW w:w="1093" w:type="pct"/>
            <w:noWrap w:val="0"/>
            <w:vAlign w:val="center"/>
          </w:tcPr>
          <w:p>
            <w:pPr>
              <w:spacing w:line="48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投标有效期</w:t>
            </w:r>
          </w:p>
        </w:tc>
        <w:tc>
          <w:tcPr>
            <w:tcW w:w="3276" w:type="pct"/>
            <w:noWrap w:val="0"/>
            <w:vAlign w:val="center"/>
          </w:tcPr>
          <w:p>
            <w:pPr>
              <w:spacing w:line="48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u w:val="single"/>
                <w:lang w:val="zh-CN"/>
              </w:rPr>
              <w:t>60</w:t>
            </w:r>
            <w:r>
              <w:rPr>
                <w:rFonts w:hint="eastAsia" w:ascii="宋体" w:hAnsi="宋体" w:eastAsia="宋体" w:cs="宋体"/>
                <w:color w:val="auto"/>
                <w:szCs w:val="21"/>
                <w:highlight w:val="none"/>
                <w:lang w:val="zh-CN"/>
              </w:rPr>
              <w:t>日（从投标截止之日算起）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29" w:type="pct"/>
            <w:noWrap w:val="0"/>
            <w:vAlign w:val="center"/>
          </w:tcPr>
          <w:p>
            <w:pPr>
              <w:spacing w:line="48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3.4</w:t>
            </w:r>
          </w:p>
        </w:tc>
        <w:tc>
          <w:tcPr>
            <w:tcW w:w="1093" w:type="pct"/>
            <w:noWrap w:val="0"/>
            <w:vAlign w:val="center"/>
          </w:tcPr>
          <w:p>
            <w:pPr>
              <w:spacing w:line="48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投标保证金</w:t>
            </w:r>
          </w:p>
        </w:tc>
        <w:tc>
          <w:tcPr>
            <w:tcW w:w="3276" w:type="pct"/>
            <w:noWrap w:val="0"/>
            <w:vAlign w:val="center"/>
          </w:tcPr>
          <w:p>
            <w:pPr>
              <w:spacing w:line="480" w:lineRule="exact"/>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参照执行苏财购[2020]52号文《关于做好政府采购支持企业发展有关事项的通知》，本项目不需要缴纳投标保证金。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29" w:type="pct"/>
            <w:noWrap w:val="0"/>
            <w:vAlign w:val="center"/>
          </w:tcPr>
          <w:p>
            <w:pPr>
              <w:spacing w:line="48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3.6</w:t>
            </w:r>
          </w:p>
        </w:tc>
        <w:tc>
          <w:tcPr>
            <w:tcW w:w="1093" w:type="pct"/>
            <w:noWrap w:val="0"/>
            <w:vAlign w:val="center"/>
          </w:tcPr>
          <w:p>
            <w:pPr>
              <w:spacing w:line="48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是否允许递交备选</w:t>
            </w:r>
          </w:p>
          <w:p>
            <w:pPr>
              <w:spacing w:line="48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投标方案</w:t>
            </w:r>
          </w:p>
        </w:tc>
        <w:tc>
          <w:tcPr>
            <w:tcW w:w="3276" w:type="pct"/>
            <w:noWrap w:val="0"/>
            <w:vAlign w:val="center"/>
          </w:tcPr>
          <w:p>
            <w:pPr>
              <w:spacing w:line="480" w:lineRule="exact"/>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fldChar w:fldCharType="begin"/>
            </w:r>
            <w:r>
              <w:rPr>
                <w:rFonts w:hint="eastAsia" w:ascii="宋体" w:hAnsi="宋体" w:eastAsia="宋体" w:cs="宋体"/>
                <w:color w:val="auto"/>
                <w:kern w:val="0"/>
                <w:szCs w:val="21"/>
                <w:highlight w:val="none"/>
              </w:rPr>
              <w:instrText xml:space="preserve"> eq \o\ac(</w:instrText>
            </w:r>
            <w:r>
              <w:rPr>
                <w:rFonts w:hint="eastAsia" w:ascii="宋体" w:hAnsi="宋体" w:eastAsia="宋体" w:cs="宋体"/>
                <w:color w:val="auto"/>
                <w:kern w:val="0"/>
                <w:position w:val="-4"/>
                <w:sz w:val="31"/>
                <w:szCs w:val="21"/>
                <w:highlight w:val="none"/>
              </w:rPr>
              <w:instrText xml:space="preserve">□</w:instrText>
            </w:r>
            <w:r>
              <w:rPr>
                <w:rFonts w:hint="eastAsia" w:ascii="宋体" w:hAnsi="宋体" w:eastAsia="宋体" w:cs="宋体"/>
                <w:color w:val="auto"/>
                <w:kern w:val="0"/>
                <w:szCs w:val="21"/>
                <w:highlight w:val="none"/>
              </w:rPr>
              <w:instrText xml:space="preserve">,√)</w:instrText>
            </w:r>
            <w:r>
              <w:rPr>
                <w:rFonts w:hint="eastAsia" w:ascii="宋体" w:hAnsi="宋体" w:eastAsia="宋体" w:cs="宋体"/>
                <w:color w:val="auto"/>
                <w:kern w:val="0"/>
                <w:szCs w:val="21"/>
                <w:highlight w:val="none"/>
              </w:rPr>
              <w:fldChar w:fldCharType="end"/>
            </w:r>
            <w:r>
              <w:rPr>
                <w:rFonts w:hint="eastAsia" w:ascii="宋体" w:hAnsi="宋体" w:eastAsia="宋体" w:cs="宋体"/>
                <w:color w:val="auto"/>
                <w:szCs w:val="21"/>
                <w:highlight w:val="none"/>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29" w:type="pct"/>
            <w:noWrap w:val="0"/>
            <w:vAlign w:val="center"/>
          </w:tcPr>
          <w:p>
            <w:pPr>
              <w:spacing w:line="48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4.2.1</w:t>
            </w:r>
          </w:p>
        </w:tc>
        <w:tc>
          <w:tcPr>
            <w:tcW w:w="1093" w:type="pct"/>
            <w:noWrap w:val="0"/>
            <w:vAlign w:val="center"/>
          </w:tcPr>
          <w:p>
            <w:pPr>
              <w:spacing w:line="48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投标文件递交截止</w:t>
            </w:r>
          </w:p>
          <w:p>
            <w:pPr>
              <w:spacing w:line="48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时间和地点</w:t>
            </w:r>
          </w:p>
        </w:tc>
        <w:tc>
          <w:tcPr>
            <w:tcW w:w="3276" w:type="pct"/>
            <w:noWrap w:val="0"/>
            <w:vAlign w:val="center"/>
          </w:tcPr>
          <w:p>
            <w:pPr>
              <w:spacing w:line="480" w:lineRule="exact"/>
              <w:jc w:val="left"/>
              <w:rPr>
                <w:rFonts w:hint="eastAsia" w:ascii="宋体" w:hAnsi="宋体" w:eastAsia="宋体" w:cs="宋体"/>
                <w:b/>
                <w:bCs/>
                <w:color w:val="auto"/>
                <w:kern w:val="0"/>
                <w:szCs w:val="21"/>
                <w:highlight w:val="none"/>
              </w:rPr>
            </w:pPr>
            <w:r>
              <w:rPr>
                <w:rFonts w:hint="eastAsia" w:ascii="宋体" w:hAnsi="宋体" w:eastAsia="宋体" w:cs="宋体"/>
                <w:b/>
                <w:bCs/>
                <w:color w:val="auto"/>
                <w:kern w:val="0"/>
                <w:szCs w:val="21"/>
                <w:highlight w:val="none"/>
              </w:rPr>
              <w:t>1、投标文件提交截止时间：</w:t>
            </w:r>
          </w:p>
          <w:p>
            <w:pPr>
              <w:spacing w:line="480" w:lineRule="exact"/>
              <w:jc w:val="left"/>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u w:val="single"/>
                <w:lang w:eastAsia="zh-CN"/>
              </w:rPr>
              <w:t>2024</w:t>
            </w:r>
            <w:r>
              <w:rPr>
                <w:rFonts w:hint="eastAsia" w:ascii="宋体" w:hAnsi="宋体" w:eastAsia="宋体" w:cs="宋体"/>
                <w:color w:val="auto"/>
                <w:szCs w:val="21"/>
                <w:highlight w:val="none"/>
              </w:rPr>
              <w:t>年</w:t>
            </w:r>
            <w:r>
              <w:rPr>
                <w:rFonts w:hint="eastAsia" w:ascii="宋体" w:hAnsi="宋体" w:cs="宋体"/>
                <w:color w:val="auto"/>
                <w:szCs w:val="21"/>
                <w:highlight w:val="none"/>
                <w:u w:val="single"/>
                <w:lang w:val="en-US" w:eastAsia="zh-CN"/>
              </w:rPr>
              <w:t>6</w:t>
            </w:r>
            <w:r>
              <w:rPr>
                <w:rFonts w:hint="eastAsia" w:ascii="宋体" w:hAnsi="宋体" w:eastAsia="宋体" w:cs="宋体"/>
                <w:color w:val="auto"/>
                <w:szCs w:val="21"/>
                <w:highlight w:val="none"/>
              </w:rPr>
              <w:t>月</w:t>
            </w:r>
            <w:r>
              <w:rPr>
                <w:rFonts w:hint="eastAsia" w:ascii="宋体" w:hAnsi="宋体" w:cs="宋体"/>
                <w:color w:val="auto"/>
                <w:szCs w:val="21"/>
                <w:highlight w:val="none"/>
                <w:u w:val="single"/>
                <w:lang w:val="en-US" w:eastAsia="zh-CN"/>
              </w:rPr>
              <w:t>6</w:t>
            </w:r>
            <w:r>
              <w:rPr>
                <w:rFonts w:hint="eastAsia" w:ascii="宋体" w:hAnsi="宋体" w:eastAsia="宋体" w:cs="宋体"/>
                <w:color w:val="auto"/>
                <w:szCs w:val="21"/>
                <w:highlight w:val="none"/>
              </w:rPr>
              <w:t>日</w:t>
            </w:r>
            <w:r>
              <w:rPr>
                <w:rFonts w:hint="eastAsia" w:ascii="宋体" w:hAnsi="宋体" w:cs="宋体"/>
                <w:color w:val="auto"/>
                <w:szCs w:val="21"/>
                <w:highlight w:val="none"/>
                <w:u w:val="single"/>
                <w:lang w:val="en-US" w:eastAsia="zh-CN"/>
              </w:rPr>
              <w:t>9</w:t>
            </w:r>
            <w:r>
              <w:rPr>
                <w:rFonts w:hint="eastAsia" w:ascii="宋体" w:hAnsi="宋体" w:eastAsia="宋体" w:cs="宋体"/>
                <w:color w:val="auto"/>
                <w:szCs w:val="21"/>
                <w:highlight w:val="none"/>
              </w:rPr>
              <w:t>时</w:t>
            </w:r>
            <w:r>
              <w:rPr>
                <w:rFonts w:hint="eastAsia" w:ascii="宋体" w:hAnsi="宋体" w:eastAsia="宋体" w:cs="宋体"/>
                <w:color w:val="auto"/>
                <w:szCs w:val="21"/>
                <w:highlight w:val="none"/>
                <w:u w:val="single"/>
                <w:lang w:val="en-US" w:eastAsia="zh-CN"/>
              </w:rPr>
              <w:t>00</w:t>
            </w:r>
            <w:r>
              <w:rPr>
                <w:rFonts w:hint="eastAsia" w:ascii="宋体" w:hAnsi="宋体" w:eastAsia="宋体" w:cs="宋体"/>
                <w:color w:val="auto"/>
                <w:szCs w:val="21"/>
                <w:highlight w:val="none"/>
              </w:rPr>
              <w:t>分</w:t>
            </w:r>
            <w:r>
              <w:rPr>
                <w:rFonts w:hint="eastAsia" w:ascii="宋体" w:hAnsi="宋体" w:eastAsia="宋体" w:cs="宋体"/>
                <w:color w:val="auto"/>
                <w:szCs w:val="21"/>
                <w:highlight w:val="none"/>
                <w:u w:val="single"/>
              </w:rPr>
              <w:t>00</w:t>
            </w:r>
            <w:r>
              <w:rPr>
                <w:rFonts w:hint="eastAsia" w:ascii="宋体" w:hAnsi="宋体" w:eastAsia="宋体" w:cs="宋体"/>
                <w:color w:val="auto"/>
                <w:szCs w:val="21"/>
                <w:highlight w:val="none"/>
              </w:rPr>
              <w:t>秒；</w:t>
            </w:r>
          </w:p>
          <w:p>
            <w:pPr>
              <w:spacing w:line="480" w:lineRule="exact"/>
              <w:jc w:val="left"/>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2、投标文件提交地点：</w:t>
            </w:r>
          </w:p>
          <w:p>
            <w:pPr>
              <w:spacing w:line="480" w:lineRule="exact"/>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xml:space="preserve">（1）电子档上传地址：“投标文件制作工具”生成的xetf格式的电子档上传至新点电子交易平台-大丰政府采购系统（网址：https://www.etrading.cn/BREpointSSO/login/oauth2login）。   </w:t>
            </w:r>
          </w:p>
          <w:p>
            <w:pPr>
              <w:spacing w:line="480" w:lineRule="exact"/>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xml:space="preserve">（2）投标人未在投标文件递交截止时间前将加密的投标文件上传至新点电子交易平台-大丰政府采购系统，视为放弃其投标。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29" w:type="pct"/>
            <w:noWrap w:val="0"/>
            <w:vAlign w:val="center"/>
          </w:tcPr>
          <w:p>
            <w:pPr>
              <w:spacing w:line="48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4.2.3</w:t>
            </w:r>
          </w:p>
        </w:tc>
        <w:tc>
          <w:tcPr>
            <w:tcW w:w="1093" w:type="pct"/>
            <w:noWrap w:val="0"/>
            <w:vAlign w:val="center"/>
          </w:tcPr>
          <w:p>
            <w:pPr>
              <w:spacing w:line="48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是否退还投标文件</w:t>
            </w:r>
          </w:p>
        </w:tc>
        <w:tc>
          <w:tcPr>
            <w:tcW w:w="3276" w:type="pct"/>
            <w:noWrap w:val="0"/>
            <w:vAlign w:val="center"/>
          </w:tcPr>
          <w:p>
            <w:pPr>
              <w:spacing w:line="480" w:lineRule="exact"/>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sym w:font="Wingdings 2" w:char="0052"/>
            </w:r>
            <w:r>
              <w:rPr>
                <w:rFonts w:hint="eastAsia" w:ascii="宋体" w:hAnsi="宋体" w:eastAsia="宋体" w:cs="宋体"/>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29" w:type="pct"/>
            <w:noWrap w:val="0"/>
            <w:vAlign w:val="center"/>
          </w:tcPr>
          <w:p>
            <w:pPr>
              <w:spacing w:line="48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5.1</w:t>
            </w:r>
          </w:p>
        </w:tc>
        <w:tc>
          <w:tcPr>
            <w:tcW w:w="1093" w:type="pct"/>
            <w:noWrap w:val="0"/>
            <w:vAlign w:val="center"/>
          </w:tcPr>
          <w:p>
            <w:pPr>
              <w:spacing w:line="48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开标时间和地点</w:t>
            </w:r>
          </w:p>
        </w:tc>
        <w:tc>
          <w:tcPr>
            <w:tcW w:w="3276" w:type="pct"/>
            <w:noWrap w:val="0"/>
            <w:vAlign w:val="center"/>
          </w:tcPr>
          <w:p>
            <w:pPr>
              <w:spacing w:line="48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开标时间：</w:t>
            </w:r>
            <w:r>
              <w:rPr>
                <w:rFonts w:hint="eastAsia" w:ascii="宋体" w:hAnsi="宋体" w:eastAsia="宋体" w:cs="宋体"/>
                <w:color w:val="auto"/>
                <w:szCs w:val="21"/>
                <w:highlight w:val="none"/>
                <w:u w:val="single"/>
                <w:lang w:eastAsia="zh-CN"/>
              </w:rPr>
              <w:t>2024</w:t>
            </w:r>
            <w:r>
              <w:rPr>
                <w:rFonts w:hint="eastAsia" w:ascii="宋体" w:hAnsi="宋体" w:eastAsia="宋体" w:cs="宋体"/>
                <w:color w:val="auto"/>
                <w:szCs w:val="21"/>
                <w:highlight w:val="none"/>
              </w:rPr>
              <w:t>年</w:t>
            </w:r>
            <w:r>
              <w:rPr>
                <w:rFonts w:hint="eastAsia" w:ascii="宋体" w:hAnsi="宋体" w:cs="宋体"/>
                <w:color w:val="auto"/>
                <w:szCs w:val="21"/>
                <w:highlight w:val="none"/>
                <w:u w:val="single"/>
                <w:lang w:val="en-US" w:eastAsia="zh-CN"/>
              </w:rPr>
              <w:t>6</w:t>
            </w:r>
            <w:r>
              <w:rPr>
                <w:rFonts w:hint="eastAsia" w:ascii="宋体" w:hAnsi="宋体" w:eastAsia="宋体" w:cs="宋体"/>
                <w:color w:val="auto"/>
                <w:szCs w:val="21"/>
                <w:highlight w:val="none"/>
              </w:rPr>
              <w:t>月</w:t>
            </w:r>
            <w:r>
              <w:rPr>
                <w:rFonts w:hint="eastAsia" w:ascii="宋体" w:hAnsi="宋体" w:cs="宋体"/>
                <w:color w:val="auto"/>
                <w:szCs w:val="21"/>
                <w:highlight w:val="none"/>
                <w:u w:val="single"/>
                <w:lang w:val="en-US" w:eastAsia="zh-CN"/>
              </w:rPr>
              <w:t>6</w:t>
            </w:r>
            <w:r>
              <w:rPr>
                <w:rFonts w:hint="eastAsia" w:ascii="宋体" w:hAnsi="宋体" w:eastAsia="宋体" w:cs="宋体"/>
                <w:color w:val="auto"/>
                <w:szCs w:val="21"/>
                <w:highlight w:val="none"/>
              </w:rPr>
              <w:t>日</w:t>
            </w:r>
            <w:r>
              <w:rPr>
                <w:rFonts w:hint="eastAsia" w:ascii="宋体" w:hAnsi="宋体" w:cs="宋体"/>
                <w:color w:val="auto"/>
                <w:szCs w:val="21"/>
                <w:highlight w:val="none"/>
                <w:u w:val="single"/>
                <w:lang w:val="en-US" w:eastAsia="zh-CN"/>
              </w:rPr>
              <w:t>9</w:t>
            </w:r>
            <w:r>
              <w:rPr>
                <w:rFonts w:hint="eastAsia" w:ascii="宋体" w:hAnsi="宋体" w:eastAsia="宋体" w:cs="宋体"/>
                <w:color w:val="auto"/>
                <w:szCs w:val="21"/>
                <w:highlight w:val="none"/>
              </w:rPr>
              <w:t>时</w:t>
            </w:r>
            <w:r>
              <w:rPr>
                <w:rFonts w:hint="eastAsia" w:ascii="宋体" w:hAnsi="宋体" w:eastAsia="宋体" w:cs="宋体"/>
                <w:color w:val="auto"/>
                <w:szCs w:val="21"/>
                <w:highlight w:val="none"/>
                <w:u w:val="single"/>
                <w:lang w:val="en-US" w:eastAsia="zh-CN"/>
              </w:rPr>
              <w:t>00</w:t>
            </w:r>
            <w:r>
              <w:rPr>
                <w:rFonts w:hint="eastAsia" w:ascii="宋体" w:hAnsi="宋体" w:eastAsia="宋体" w:cs="宋体"/>
                <w:color w:val="auto"/>
                <w:szCs w:val="21"/>
                <w:highlight w:val="none"/>
              </w:rPr>
              <w:t>分；</w:t>
            </w:r>
          </w:p>
          <w:p>
            <w:pPr>
              <w:spacing w:line="480" w:lineRule="exact"/>
              <w:jc w:val="left"/>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开标地点：开标大厅系统http://js.etrading.cn/EpointBidOpening/bidopeninghallaction/hall/login。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29" w:type="pct"/>
            <w:noWrap w:val="0"/>
            <w:vAlign w:val="center"/>
          </w:tcPr>
          <w:p>
            <w:pPr>
              <w:adjustRightInd w:val="0"/>
              <w:snapToGrid w:val="0"/>
              <w:spacing w:line="48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5.1.1</w:t>
            </w:r>
          </w:p>
        </w:tc>
        <w:tc>
          <w:tcPr>
            <w:tcW w:w="1093" w:type="pct"/>
            <w:noWrap w:val="0"/>
            <w:vAlign w:val="center"/>
          </w:tcPr>
          <w:p>
            <w:pPr>
              <w:adjustRightInd w:val="0"/>
              <w:snapToGrid w:val="0"/>
              <w:spacing w:line="48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参加开标会的</w:t>
            </w:r>
          </w:p>
          <w:p>
            <w:pPr>
              <w:adjustRightInd w:val="0"/>
              <w:snapToGrid w:val="0"/>
              <w:spacing w:line="48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投标人代表</w:t>
            </w:r>
          </w:p>
        </w:tc>
        <w:tc>
          <w:tcPr>
            <w:tcW w:w="3276" w:type="pct"/>
            <w:noWrap w:val="0"/>
            <w:vAlign w:val="center"/>
          </w:tcPr>
          <w:p>
            <w:pPr>
              <w:spacing w:line="480" w:lineRule="exact"/>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本项目实行不见面开标。各投标人（供应商）的授权委托人或法人代表如参加开标会议的，宜在投标文件提交截止时间前登录招标文件载明的开标大厅系统（http://js.etrading.cn/EpointBidOpening/bidopeninghallaction/hall/login。/login），进入相应标段的开标会议区收听观看实时音视频交互效果并及时在讨论组中反馈，未按时加入开标会议区并完成扫码登录操作的或未能在开标会议区内全程参与交互的，视为放弃交互和放弃对开标全过程提疑的权利，投标人将无法看到解密指令、废标及澄清、唱标、评审结果等实时情况，并承担由此导致的一切后果。</w:t>
            </w:r>
          </w:p>
          <w:p>
            <w:pPr>
              <w:spacing w:line="480" w:lineRule="exact"/>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开评标全过程中，各投标人参与远程交互的授权委托人或法人代表应始终为同一个人，中途不得更换，在废标、澄清、提疑、传送文件等特殊情况下需要交互时，投标人一端参与交互的人员将均被视为是投标人的授权委托人或法人代表，投标人不得以不承认交互人员的资格或身份等为借口，投标人自行承担随意更换人员所导致的一切不利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29" w:type="pct"/>
            <w:noWrap w:val="0"/>
            <w:vAlign w:val="center"/>
          </w:tcPr>
          <w:p>
            <w:pPr>
              <w:adjustRightInd w:val="0"/>
              <w:snapToGrid w:val="0"/>
              <w:spacing w:line="48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5.2</w:t>
            </w:r>
          </w:p>
        </w:tc>
        <w:tc>
          <w:tcPr>
            <w:tcW w:w="1093" w:type="pct"/>
            <w:noWrap w:val="0"/>
            <w:vAlign w:val="center"/>
          </w:tcPr>
          <w:p>
            <w:pPr>
              <w:adjustRightInd w:val="0"/>
              <w:snapToGrid w:val="0"/>
              <w:spacing w:line="48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开标程序</w:t>
            </w:r>
          </w:p>
        </w:tc>
        <w:tc>
          <w:tcPr>
            <w:tcW w:w="3276" w:type="pct"/>
            <w:noWrap w:val="0"/>
            <w:vAlign w:val="center"/>
          </w:tcPr>
          <w:p>
            <w:pPr>
              <w:spacing w:line="480" w:lineRule="exact"/>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详见投标须知5.2条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29" w:type="pct"/>
            <w:noWrap w:val="0"/>
            <w:vAlign w:val="center"/>
          </w:tcPr>
          <w:p>
            <w:pPr>
              <w:adjustRightInd w:val="0"/>
              <w:snapToGrid w:val="0"/>
              <w:spacing w:line="48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5.2.2</w:t>
            </w:r>
          </w:p>
        </w:tc>
        <w:tc>
          <w:tcPr>
            <w:tcW w:w="1093" w:type="pct"/>
            <w:noWrap w:val="0"/>
            <w:vAlign w:val="center"/>
          </w:tcPr>
          <w:p>
            <w:pPr>
              <w:adjustRightInd w:val="0"/>
              <w:snapToGrid w:val="0"/>
              <w:spacing w:line="48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投标文件解密时间</w:t>
            </w:r>
          </w:p>
        </w:tc>
        <w:tc>
          <w:tcPr>
            <w:tcW w:w="3276" w:type="pct"/>
            <w:noWrap w:val="0"/>
            <w:vAlign w:val="center"/>
          </w:tcPr>
          <w:p>
            <w:pPr>
              <w:spacing w:line="480" w:lineRule="exact"/>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人解密时间限定在开标大厅系统发出投标文件解密指令后30分钟内完成，因投标人原因未能解密、解密失败或解密超时，视为投标人撤销其投标文件，系统内投标文件将被退回；因招标人原因或网上招投标平台发生故障，导致无法按时完成投标文件解密或开、评标工作无法进行的，可根据实际情况相应延迟解密时间或调整开、评标时间。（友情提示：解密时应用生成投标文件的那把锁，不要用其他锁解密，导致解密不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29" w:type="pct"/>
            <w:noWrap w:val="0"/>
            <w:vAlign w:val="center"/>
          </w:tcPr>
          <w:p>
            <w:pPr>
              <w:spacing w:line="48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6.1</w:t>
            </w:r>
          </w:p>
        </w:tc>
        <w:tc>
          <w:tcPr>
            <w:tcW w:w="1093" w:type="pct"/>
            <w:noWrap w:val="0"/>
            <w:vAlign w:val="center"/>
          </w:tcPr>
          <w:p>
            <w:pPr>
              <w:spacing w:line="48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评标委员会的组建</w:t>
            </w:r>
          </w:p>
        </w:tc>
        <w:tc>
          <w:tcPr>
            <w:tcW w:w="3276" w:type="pct"/>
            <w:noWrap w:val="0"/>
            <w:vAlign w:val="center"/>
          </w:tcPr>
          <w:p>
            <w:pPr>
              <w:spacing w:line="48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评标委员会构成：</w:t>
            </w:r>
            <w:r>
              <w:rPr>
                <w:rFonts w:hint="eastAsia" w:ascii="宋体" w:hAnsi="宋体" w:eastAsia="宋体" w:cs="宋体"/>
                <w:b/>
                <w:bCs/>
                <w:color w:val="auto"/>
                <w:szCs w:val="21"/>
                <w:highlight w:val="none"/>
                <w:u w:val="single"/>
              </w:rPr>
              <w:t>5人或5人以上单数</w:t>
            </w:r>
            <w:r>
              <w:rPr>
                <w:rFonts w:hint="eastAsia" w:ascii="宋体" w:hAnsi="宋体" w:eastAsia="宋体" w:cs="宋体"/>
                <w:color w:val="auto"/>
                <w:szCs w:val="21"/>
                <w:highlight w:val="none"/>
              </w:rPr>
              <w:t>；</w:t>
            </w:r>
          </w:p>
          <w:p>
            <w:pPr>
              <w:spacing w:line="480" w:lineRule="exact"/>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专家：</w:t>
            </w:r>
            <w:r>
              <w:rPr>
                <w:rFonts w:hint="eastAsia" w:ascii="宋体" w:hAnsi="宋体" w:eastAsia="宋体" w:cs="宋体"/>
                <w:b/>
                <w:bCs/>
                <w:color w:val="auto"/>
                <w:szCs w:val="21"/>
                <w:highlight w:val="none"/>
                <w:u w:val="single"/>
              </w:rPr>
              <w:t>5人或5人以上单数</w:t>
            </w:r>
            <w:r>
              <w:rPr>
                <w:rFonts w:hint="eastAsia" w:ascii="宋体" w:hAnsi="宋体" w:eastAsia="宋体" w:cs="宋体"/>
                <w:b/>
                <w:bCs/>
                <w:color w:val="auto"/>
                <w:szCs w:val="21"/>
                <w:highlight w:val="none"/>
              </w:rPr>
              <w:t>；</w:t>
            </w:r>
          </w:p>
          <w:p>
            <w:pPr>
              <w:spacing w:line="48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评标专家确定方式：电脑随机抽取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29" w:type="pct"/>
            <w:noWrap w:val="0"/>
            <w:vAlign w:val="center"/>
          </w:tcPr>
          <w:p>
            <w:pPr>
              <w:spacing w:line="48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6.3</w:t>
            </w:r>
          </w:p>
        </w:tc>
        <w:tc>
          <w:tcPr>
            <w:tcW w:w="1093" w:type="pct"/>
            <w:noWrap w:val="0"/>
            <w:vAlign w:val="center"/>
          </w:tcPr>
          <w:p>
            <w:pPr>
              <w:spacing w:line="48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评标办法</w:t>
            </w:r>
          </w:p>
        </w:tc>
        <w:tc>
          <w:tcPr>
            <w:tcW w:w="3276" w:type="pct"/>
            <w:noWrap w:val="0"/>
            <w:vAlign w:val="center"/>
          </w:tcPr>
          <w:p>
            <w:pPr>
              <w:spacing w:line="48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29" w:type="pct"/>
            <w:noWrap w:val="0"/>
            <w:vAlign w:val="center"/>
          </w:tcPr>
          <w:p>
            <w:pPr>
              <w:spacing w:line="48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8.1</w:t>
            </w:r>
          </w:p>
        </w:tc>
        <w:tc>
          <w:tcPr>
            <w:tcW w:w="1093" w:type="pct"/>
            <w:noWrap w:val="0"/>
            <w:vAlign w:val="center"/>
          </w:tcPr>
          <w:p>
            <w:pPr>
              <w:spacing w:line="48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是否授权评标</w:t>
            </w:r>
          </w:p>
          <w:p>
            <w:pPr>
              <w:spacing w:line="48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委员会确定中标人</w:t>
            </w:r>
          </w:p>
        </w:tc>
        <w:tc>
          <w:tcPr>
            <w:tcW w:w="3276" w:type="pct"/>
            <w:noWrap w:val="0"/>
            <w:vAlign w:val="center"/>
          </w:tcPr>
          <w:p>
            <w:pPr>
              <w:spacing w:line="480" w:lineRule="exact"/>
              <w:rPr>
                <w:rFonts w:hint="eastAsia" w:ascii="宋体" w:hAnsi="宋体" w:eastAsia="宋体" w:cs="宋体"/>
                <w:color w:val="auto"/>
                <w:szCs w:val="21"/>
                <w:highlight w:val="none"/>
                <w:u w:val="single"/>
              </w:rPr>
            </w:pPr>
            <w:r>
              <w:rPr>
                <w:rFonts w:hint="eastAsia" w:ascii="宋体" w:hAnsi="宋体" w:eastAsia="宋体" w:cs="宋体"/>
                <w:color w:val="auto"/>
                <w:kern w:val="0"/>
                <w:szCs w:val="21"/>
                <w:highlight w:val="none"/>
              </w:rPr>
              <w:sym w:font="Wingdings 2" w:char="0052"/>
            </w:r>
            <w:r>
              <w:rPr>
                <w:rFonts w:hint="eastAsia" w:ascii="宋体" w:hAnsi="宋体" w:eastAsia="宋体" w:cs="宋体"/>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29" w:type="pct"/>
            <w:noWrap w:val="0"/>
            <w:vAlign w:val="center"/>
          </w:tcPr>
          <w:p>
            <w:pPr>
              <w:spacing w:line="48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8.3</w:t>
            </w:r>
          </w:p>
        </w:tc>
        <w:tc>
          <w:tcPr>
            <w:tcW w:w="1093" w:type="pct"/>
            <w:noWrap w:val="0"/>
            <w:vAlign w:val="center"/>
          </w:tcPr>
          <w:p>
            <w:pPr>
              <w:spacing w:line="48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履约保证金</w:t>
            </w:r>
          </w:p>
        </w:tc>
        <w:tc>
          <w:tcPr>
            <w:tcW w:w="3276" w:type="pct"/>
            <w:noWrap w:val="0"/>
            <w:vAlign w:val="center"/>
          </w:tcPr>
          <w:p>
            <w:pPr>
              <w:spacing w:line="480" w:lineRule="exact"/>
              <w:rPr>
                <w:rFonts w:hint="eastAsia" w:ascii="宋体" w:hAnsi="宋体" w:eastAsia="宋体" w:cs="宋体"/>
                <w:color w:val="auto"/>
                <w:kern w:val="1"/>
                <w:szCs w:val="21"/>
                <w:highlight w:val="none"/>
                <w:lang w:eastAsia="zh-CN"/>
              </w:rPr>
            </w:pPr>
            <w:r>
              <w:rPr>
                <w:rFonts w:hint="eastAsia" w:ascii="宋体" w:hAnsi="宋体" w:eastAsia="宋体" w:cs="宋体"/>
                <w:color w:val="auto"/>
                <w:kern w:val="1"/>
                <w:szCs w:val="21"/>
                <w:highlight w:val="none"/>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29" w:type="pct"/>
            <w:noWrap w:val="0"/>
            <w:vAlign w:val="center"/>
          </w:tcPr>
          <w:p>
            <w:pPr>
              <w:spacing w:line="48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10.1</w:t>
            </w:r>
          </w:p>
        </w:tc>
        <w:tc>
          <w:tcPr>
            <w:tcW w:w="1093" w:type="pct"/>
            <w:noWrap w:val="0"/>
            <w:vAlign w:val="center"/>
          </w:tcPr>
          <w:p>
            <w:pPr>
              <w:spacing w:line="48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付款方式</w:t>
            </w:r>
          </w:p>
        </w:tc>
        <w:tc>
          <w:tcPr>
            <w:tcW w:w="3276" w:type="pct"/>
            <w:noWrap w:val="0"/>
            <w:vAlign w:val="center"/>
          </w:tcPr>
          <w:p>
            <w:pPr>
              <w:spacing w:line="480" w:lineRule="exact"/>
              <w:rPr>
                <w:rFonts w:hint="eastAsia" w:ascii="宋体" w:hAnsi="宋体" w:eastAsia="宋体" w:cs="宋体"/>
                <w:color w:val="auto"/>
                <w:kern w:val="1"/>
                <w:szCs w:val="21"/>
                <w:highlight w:val="none"/>
              </w:rPr>
            </w:pPr>
            <w:r>
              <w:rPr>
                <w:rFonts w:hint="eastAsia" w:ascii="宋体" w:hAnsi="宋体" w:eastAsia="宋体" w:cs="宋体"/>
                <w:color w:val="auto"/>
                <w:kern w:val="1"/>
                <w:szCs w:val="21"/>
                <w:highlight w:val="none"/>
              </w:rPr>
              <w:t>本项目采取月结的方式结算价款，每月的25日至30日为本结算周期的核对期和上一个结算周期的付款期。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29" w:type="pct"/>
            <w:noWrap w:val="0"/>
            <w:vAlign w:val="center"/>
          </w:tcPr>
          <w:p>
            <w:pPr>
              <w:spacing w:line="48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11</w:t>
            </w:r>
          </w:p>
        </w:tc>
        <w:tc>
          <w:tcPr>
            <w:tcW w:w="4370" w:type="pct"/>
            <w:gridSpan w:val="2"/>
            <w:noWrap w:val="0"/>
            <w:vAlign w:val="center"/>
          </w:tcPr>
          <w:p>
            <w:pPr>
              <w:spacing w:line="48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解释权：构成本招标文件的各个组成文件应互为解释，互为说明。当发现的不明确或不一致，在招标文件中有明确规定的，评标委员会应按已明确的规定评标；当发现的不明确或不一致，在招标文件中没有明确规定时：</w:t>
            </w:r>
          </w:p>
          <w:p>
            <w:pPr>
              <w:spacing w:line="480" w:lineRule="exact"/>
              <w:ind w:right="100"/>
              <w:rPr>
                <w:rFonts w:hint="eastAsia" w:ascii="宋体" w:hAnsi="宋体" w:eastAsia="宋体" w:cs="宋体"/>
                <w:color w:val="auto"/>
                <w:szCs w:val="21"/>
                <w:highlight w:val="none"/>
              </w:rPr>
            </w:pPr>
            <w:r>
              <w:rPr>
                <w:rFonts w:hint="eastAsia" w:ascii="宋体" w:hAnsi="宋体" w:eastAsia="宋体" w:cs="宋体"/>
                <w:color w:val="auto"/>
                <w:szCs w:val="21"/>
                <w:highlight w:val="none"/>
              </w:rPr>
              <w:t>⑴凡是构成合同文件组成内容的不明确或不一致，以合同文件约定内容为准，且以专用合同条款约定的合同文件优先顺序解释；</w:t>
            </w:r>
          </w:p>
          <w:p>
            <w:pPr>
              <w:tabs>
                <w:tab w:val="left" w:pos="920"/>
              </w:tabs>
              <w:spacing w:line="480" w:lineRule="exact"/>
              <w:ind w:right="100"/>
              <w:rPr>
                <w:rFonts w:hint="eastAsia" w:ascii="宋体" w:hAnsi="宋体" w:eastAsia="宋体" w:cs="宋体"/>
                <w:color w:val="auto"/>
                <w:szCs w:val="21"/>
                <w:highlight w:val="none"/>
              </w:rPr>
            </w:pPr>
            <w:r>
              <w:rPr>
                <w:rFonts w:hint="eastAsia" w:ascii="宋体" w:hAnsi="宋体" w:eastAsia="宋体" w:cs="宋体"/>
                <w:color w:val="auto"/>
                <w:szCs w:val="21"/>
                <w:highlight w:val="none"/>
              </w:rPr>
              <w:t>⑵凡不是构成合同文件组成内容的不明确或不一致，除招标文件中有特别规定外，仅适用于招标投标阶段的规定，按招标公告（投标邀请书）、投标人须知、评标办法、投标文件格式的先后顺序解释。同一组成文件中就同一事项的规定或约定不一致的，影响评审的，剔除该因素进行评审；其它情形的，以现行法律法规约定为准；凡同一组成文件不同版本之间有不一致的，以形成时间在后者为准。</w:t>
            </w:r>
          </w:p>
          <w:p>
            <w:pPr>
              <w:spacing w:line="48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⑶按本款前述规定仍不能形成结论的，由招标人负责解释。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29" w:type="pct"/>
            <w:noWrap w:val="0"/>
            <w:vAlign w:val="center"/>
          </w:tcPr>
          <w:p>
            <w:pPr>
              <w:spacing w:line="48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12</w:t>
            </w:r>
          </w:p>
        </w:tc>
        <w:tc>
          <w:tcPr>
            <w:tcW w:w="8618" w:type="dxa"/>
            <w:gridSpan w:val="2"/>
            <w:noWrap w:val="0"/>
            <w:vAlign w:val="center"/>
          </w:tcPr>
          <w:p>
            <w:pPr>
              <w:wordWrap w:val="0"/>
              <w:spacing w:line="48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1、本招标文件时间均以中华人民共和国北京时间为准，所涉及金额的币种均为人民币。</w:t>
            </w:r>
          </w:p>
          <w:p>
            <w:pPr>
              <w:wordWrap w:val="0"/>
              <w:spacing w:line="48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2、凡参与本项目投标的投标人，视同已踏勘过项目现场和研究了本招标文件的所有内容，并无保留地接受招标文件的所有条款（含招标答疑、补充通知等）。</w:t>
            </w:r>
          </w:p>
          <w:p>
            <w:pPr>
              <w:wordWrap w:val="0"/>
              <w:spacing w:line="48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3、为防止因开标前集中上传投标文件造成的网络拥堵，导致投标人无法在投标截止时间前成功上传投标文件，建议投标人在开标前尽早将投标文件上传到</w:t>
            </w:r>
            <w:r>
              <w:rPr>
                <w:rFonts w:hint="eastAsia" w:ascii="宋体" w:hAnsi="宋体" w:eastAsia="宋体" w:cs="宋体"/>
                <w:b/>
                <w:bCs/>
                <w:color w:val="auto"/>
                <w:szCs w:val="21"/>
                <w:highlight w:val="none"/>
              </w:rPr>
              <w:t>新点电子交易平台-大丰政府采购系统</w:t>
            </w:r>
            <w:r>
              <w:rPr>
                <w:rFonts w:hint="eastAsia" w:ascii="宋体" w:hAnsi="宋体" w:eastAsia="宋体" w:cs="宋体"/>
                <w:color w:val="auto"/>
                <w:szCs w:val="21"/>
                <w:highlight w:val="none"/>
              </w:rPr>
              <w:t>（网址：</w:t>
            </w:r>
            <w:r>
              <w:rPr>
                <w:rFonts w:hint="eastAsia" w:ascii="宋体" w:hAnsi="宋体" w:eastAsia="宋体" w:cs="宋体"/>
                <w:color w:val="auto"/>
                <w:szCs w:val="21"/>
                <w:highlight w:val="none"/>
                <w:lang w:eastAsia="zh-CN"/>
              </w:rPr>
              <w:t>https://www.etrading.cn/BREpointSSO/login/oauth2login</w:t>
            </w:r>
            <w:r>
              <w:rPr>
                <w:rFonts w:hint="eastAsia" w:ascii="宋体" w:hAnsi="宋体" w:eastAsia="宋体" w:cs="宋体"/>
                <w:color w:val="auto"/>
                <w:szCs w:val="21"/>
                <w:highlight w:val="none"/>
              </w:rPr>
              <w:t>）</w:t>
            </w:r>
            <w:r>
              <w:rPr>
                <w:rFonts w:hint="eastAsia" w:ascii="宋体" w:hAnsi="宋体" w:eastAsia="宋体" w:cs="宋体"/>
                <w:b/>
                <w:bCs/>
                <w:color w:val="auto"/>
                <w:szCs w:val="21"/>
                <w:highlight w:val="none"/>
              </w:rPr>
              <w:t>。</w:t>
            </w:r>
          </w:p>
          <w:p>
            <w:pPr>
              <w:wordWrap w:val="0"/>
              <w:spacing w:line="480" w:lineRule="exact"/>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4、请统一使用最新版本的投标文件编制工具制作投标文件，相应软件请至新点电子交易平台（https://www.etrading.cn/），点击右侧“常用下载”，选择“投标工具”进行下载（网址：https://download.bqpoint.com/download/downloaddetail.html?SourceFrom=Ztb&amp;ZtbSoftXiaQuCode=0128&amp;ZtbSoftType=tballinclusive），投标文件制作视频学习地址：https://www.etrading.cn/bszn/015005/015005002/20211227/80e55434-c70a-4a10-923e-641aa639269e.html。</w:t>
            </w:r>
            <w:r>
              <w:rPr>
                <w:rFonts w:hint="eastAsia" w:ascii="宋体" w:hAnsi="宋体" w:eastAsia="宋体" w:cs="宋体"/>
                <w:b/>
                <w:bCs/>
                <w:color w:val="auto"/>
                <w:szCs w:val="21"/>
                <w:highlight w:val="none"/>
              </w:rPr>
              <w:t>目前投标人使用投标文件制作工具制作投标文件时，无需电子签章。</w:t>
            </w:r>
          </w:p>
          <w:p>
            <w:pPr>
              <w:wordWrap w:val="0"/>
              <w:spacing w:line="48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5、因本项目采用全程电子化及不见面开标模式，故招标人特别说明如下：</w:t>
            </w:r>
          </w:p>
          <w:p>
            <w:pPr>
              <w:wordWrap w:val="0"/>
              <w:spacing w:line="48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①、不见面开标项目的时间均以国家授时中心发布的时间为准。</w:t>
            </w:r>
          </w:p>
          <w:p>
            <w:pPr>
              <w:wordWrap w:val="0"/>
              <w:spacing w:line="480" w:lineRule="exact"/>
              <w:jc w:val="left"/>
              <w:rPr>
                <w:rFonts w:hint="eastAsia" w:ascii="宋体" w:hAnsi="宋体" w:eastAsia="宋体" w:cs="宋体"/>
                <w:color w:val="auto"/>
                <w:szCs w:val="21"/>
                <w:highlight w:val="none"/>
                <w:u w:val="single"/>
                <w:lang w:val="en-US"/>
              </w:rPr>
            </w:pPr>
            <w:r>
              <w:rPr>
                <w:rFonts w:hint="eastAsia" w:ascii="宋体" w:hAnsi="宋体" w:eastAsia="宋体" w:cs="宋体"/>
                <w:color w:val="auto"/>
                <w:szCs w:val="21"/>
                <w:highlight w:val="none"/>
              </w:rPr>
              <w:t>②、本项目招投标文件均用专用招投标工具软件编制，并通过网上招投标平台完成招投标过程。投标人投标文件的编制和提交，应依照招标文件的规定进行。如未按招标文件要求编制、提交电子投标文件，将有可能导致无效投标，其不利后果由投标人自行承担。不见面开标操作教程详见</w:t>
            </w:r>
            <w:r>
              <w:rPr>
                <w:rFonts w:hint="eastAsia" w:ascii="宋体" w:hAnsi="宋体" w:eastAsia="宋体" w:cs="宋体"/>
                <w:color w:val="auto"/>
                <w:szCs w:val="21"/>
                <w:highlight w:val="none"/>
                <w:lang w:eastAsia="zh-CN"/>
              </w:rPr>
              <w:t>http://js.etrading.cn/EpointBidOpening/bidopeninghallaction/hall/login</w:t>
            </w:r>
            <w:r>
              <w:rPr>
                <w:rFonts w:hint="eastAsia" w:ascii="宋体" w:hAnsi="宋体" w:eastAsia="宋体" w:cs="宋体"/>
                <w:color w:val="auto"/>
                <w:szCs w:val="21"/>
                <w:highlight w:val="none"/>
              </w:rPr>
              <w:t>。投标人如对正确使用招投标专用工具软件有疑问的，请尽早和软件公司的服务人员联系，他们会根据投标人要求，提供必要的培训和技术支持。平台使用问题、投标文件制作工具使用问题请在工作时间联系新点公司，联系电话：4009280095-5</w:t>
            </w:r>
            <w:r>
              <w:rPr>
                <w:rFonts w:hint="eastAsia" w:ascii="宋体" w:hAnsi="宋体" w:eastAsia="宋体" w:cs="宋体"/>
                <w:color w:val="auto"/>
                <w:szCs w:val="21"/>
                <w:highlight w:val="none"/>
                <w:lang w:val="en-US" w:eastAsia="zh-CN"/>
              </w:rPr>
              <w:t>或者联系</w:t>
            </w:r>
            <w:r>
              <w:rPr>
                <w:rFonts w:hint="eastAsia" w:ascii="宋体" w:hAnsi="宋体" w:eastAsia="宋体" w:cs="宋体"/>
                <w:b/>
                <w:bCs/>
                <w:color w:val="auto"/>
                <w:szCs w:val="21"/>
                <w:highlight w:val="none"/>
                <w:lang w:val="en-US" w:eastAsia="zh-CN"/>
              </w:rPr>
              <w:t>本项目招标代理，联系电话：</w:t>
            </w:r>
            <w:r>
              <w:rPr>
                <w:rFonts w:hint="eastAsia" w:ascii="宋体" w:hAnsi="宋体" w:eastAsia="宋体" w:cs="宋体"/>
                <w:b/>
                <w:bCs/>
                <w:color w:val="auto"/>
                <w:szCs w:val="21"/>
                <w:highlight w:val="none"/>
                <w:u w:val="none"/>
                <w:lang w:val="en-US" w:eastAsia="zh-CN"/>
              </w:rPr>
              <w:t>15851003897。</w:t>
            </w:r>
          </w:p>
          <w:p>
            <w:pPr>
              <w:wordWrap w:val="0"/>
              <w:spacing w:line="48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③、为顺利实现本项目开评标的远程交互，建议投标人配置的硬件设施有：高配置电脑、高速稳定的网络、电源（不间断）、CA锁、音视频设备（话筒、耳麦、高清摄像头、音响）、扫描仪、打印机、传真机、高清视频监控等；建议投标人具备的软件设施有：IE浏览器（版本必须为11及11以上），江苏省互联互通版驱动版本。为保证交互效果，建议投标人选择封闭安静的地点参与远程交互。因投标人自身软硬件配备不齐全或发生故障等问题而导致在交互过程中出现不稳定或中断等情况的，其产生的不利后果由投标人自身承担。</w:t>
            </w:r>
          </w:p>
          <w:p>
            <w:pPr>
              <w:wordWrap w:val="0"/>
              <w:spacing w:line="48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6、本招标文件未尽事宜，按国家和省法律法规、规章要求处理。</w:t>
            </w:r>
          </w:p>
          <w:p>
            <w:pPr>
              <w:wordWrap w:val="0"/>
              <w:spacing w:line="48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7、本招标文件的解释权归招标人所有。</w:t>
            </w:r>
          </w:p>
        </w:tc>
      </w:tr>
    </w:tbl>
    <w:p>
      <w:pPr>
        <w:spacing w:line="480" w:lineRule="exact"/>
        <w:rPr>
          <w:rFonts w:hint="eastAsia" w:ascii="宋体" w:hAnsi="宋体" w:eastAsia="宋体" w:cs="宋体"/>
          <w:b/>
          <w:color w:val="auto"/>
          <w:szCs w:val="21"/>
          <w:highlight w:val="none"/>
        </w:rPr>
      </w:pPr>
      <w:bookmarkStart w:id="20" w:name="_Toc369077561"/>
      <w:bookmarkStart w:id="21" w:name="_Toc368759375"/>
      <w:bookmarkStart w:id="22" w:name="_Toc363329370"/>
      <w:bookmarkStart w:id="23" w:name="_Toc368760427"/>
      <w:bookmarkStart w:id="24" w:name="_Toc367894798"/>
      <w:bookmarkStart w:id="25" w:name="_Toc184635071"/>
      <w:r>
        <w:rPr>
          <w:rFonts w:hint="eastAsia" w:ascii="宋体" w:hAnsi="宋体" w:eastAsia="宋体" w:cs="宋体"/>
          <w:b/>
          <w:color w:val="auto"/>
          <w:szCs w:val="21"/>
          <w:highlight w:val="none"/>
        </w:rPr>
        <w:t>特别提醒：</w:t>
      </w:r>
      <w:bookmarkStart w:id="26" w:name="_Toc18948"/>
      <w:bookmarkStart w:id="27" w:name="_Toc387526283"/>
      <w:bookmarkStart w:id="28" w:name="_Toc387526179"/>
      <w:bookmarkStart w:id="29" w:name="_Toc387526375"/>
      <w:bookmarkStart w:id="30" w:name="_Toc397928549"/>
    </w:p>
    <w:p>
      <w:pPr>
        <w:numPr>
          <w:ilvl w:val="0"/>
          <w:numId w:val="3"/>
        </w:numPr>
        <w:spacing w:line="480" w:lineRule="exact"/>
        <w:ind w:firstLine="422"/>
        <w:rPr>
          <w:rFonts w:hint="eastAsia" w:ascii="宋体" w:hAnsi="宋体" w:eastAsia="宋体" w:cs="宋体"/>
          <w:b/>
          <w:bCs/>
          <w:color w:val="auto"/>
          <w:szCs w:val="21"/>
          <w:highlight w:val="none"/>
        </w:rPr>
      </w:pPr>
      <w:r>
        <w:rPr>
          <w:rFonts w:hint="eastAsia" w:ascii="宋体" w:hAnsi="宋体" w:eastAsia="宋体" w:cs="宋体"/>
          <w:b/>
          <w:color w:val="auto"/>
          <w:szCs w:val="21"/>
          <w:highlight w:val="none"/>
        </w:rPr>
        <w:t>招标人会根据招标需要，可能会不定期在大丰公共资源电子交易平台发布该项目补充答疑等澄清修改文件，请各投标人自行网上查寻，未能及时查阅响应而影响投标的，结果由投标人负责。</w:t>
      </w:r>
    </w:p>
    <w:p>
      <w:pPr>
        <w:spacing w:line="480" w:lineRule="exact"/>
        <w:ind w:firstLine="422" w:firstLineChars="200"/>
        <w:rPr>
          <w:rFonts w:hint="eastAsia" w:ascii="宋体" w:hAnsi="宋体" w:eastAsia="宋体" w:cs="宋体"/>
          <w:b/>
          <w:bCs/>
          <w:color w:val="auto"/>
          <w:szCs w:val="21"/>
          <w:highlight w:val="none"/>
        </w:rPr>
      </w:pPr>
    </w:p>
    <w:p>
      <w:pPr>
        <w:spacing w:line="480" w:lineRule="exact"/>
        <w:ind w:firstLine="422" w:firstLineChars="200"/>
        <w:rPr>
          <w:rFonts w:hint="eastAsia" w:ascii="宋体" w:hAnsi="宋体" w:eastAsia="宋体" w:cs="宋体"/>
          <w:b/>
          <w:color w:val="auto"/>
          <w:szCs w:val="21"/>
          <w:highlight w:val="none"/>
        </w:rPr>
      </w:pPr>
      <w:r>
        <w:rPr>
          <w:rFonts w:hint="eastAsia" w:ascii="宋体" w:hAnsi="宋体" w:eastAsia="宋体" w:cs="宋体"/>
          <w:b/>
          <w:bCs/>
          <w:color w:val="auto"/>
          <w:szCs w:val="21"/>
          <w:highlight w:val="none"/>
        </w:rPr>
        <w:t>1.总则</w:t>
      </w:r>
      <w:bookmarkEnd w:id="20"/>
      <w:bookmarkEnd w:id="21"/>
      <w:bookmarkEnd w:id="22"/>
      <w:bookmarkEnd w:id="23"/>
      <w:bookmarkEnd w:id="24"/>
      <w:bookmarkEnd w:id="25"/>
      <w:bookmarkEnd w:id="26"/>
      <w:bookmarkEnd w:id="27"/>
      <w:bookmarkEnd w:id="28"/>
      <w:bookmarkEnd w:id="29"/>
      <w:bookmarkEnd w:id="30"/>
    </w:p>
    <w:p>
      <w:pPr>
        <w:pStyle w:val="4"/>
        <w:spacing w:before="0" w:after="0" w:line="480" w:lineRule="exact"/>
        <w:ind w:firstLine="420" w:firstLineChars="200"/>
        <w:rPr>
          <w:rFonts w:hint="eastAsia" w:ascii="宋体" w:hAnsi="宋体" w:eastAsia="宋体" w:cs="宋体"/>
          <w:color w:val="auto"/>
          <w:sz w:val="21"/>
          <w:szCs w:val="21"/>
          <w:highlight w:val="none"/>
        </w:rPr>
      </w:pPr>
      <w:bookmarkStart w:id="31" w:name="_Toc397928550"/>
      <w:bookmarkStart w:id="32" w:name="_Toc5365"/>
      <w:bookmarkStart w:id="33" w:name="_Toc387526376"/>
      <w:bookmarkStart w:id="34" w:name="_Toc508216880"/>
      <w:bookmarkStart w:id="35" w:name="_Toc387526180"/>
      <w:bookmarkStart w:id="36" w:name="_Toc387526284"/>
      <w:r>
        <w:rPr>
          <w:rFonts w:hint="eastAsia" w:ascii="宋体" w:hAnsi="宋体" w:eastAsia="宋体" w:cs="宋体"/>
          <w:color w:val="auto"/>
          <w:sz w:val="21"/>
          <w:szCs w:val="21"/>
          <w:highlight w:val="none"/>
        </w:rPr>
        <w:t>1.1 项目概况</w:t>
      </w:r>
      <w:bookmarkEnd w:id="31"/>
      <w:bookmarkEnd w:id="32"/>
      <w:bookmarkEnd w:id="33"/>
      <w:bookmarkEnd w:id="34"/>
      <w:bookmarkEnd w:id="35"/>
      <w:bookmarkEnd w:id="36"/>
    </w:p>
    <w:p>
      <w:pPr>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1.1.1 根据有关法律、法规和规章的规定，本招标项目已具备招标条件，本项目为货物采购，所属行</w:t>
      </w:r>
    </w:p>
    <w:p>
      <w:pPr>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业划分为</w:t>
      </w:r>
      <w:r>
        <w:rPr>
          <w:rFonts w:hint="eastAsia" w:ascii="宋体" w:hAnsi="宋体" w:eastAsia="宋体" w:cs="宋体"/>
          <w:color w:val="auto"/>
          <w:szCs w:val="21"/>
          <w:highlight w:val="none"/>
          <w:u w:val="single"/>
        </w:rPr>
        <w:t>工业</w:t>
      </w:r>
      <w:r>
        <w:rPr>
          <w:rFonts w:hint="eastAsia" w:ascii="宋体" w:hAnsi="宋体" w:eastAsia="宋体" w:cs="宋体"/>
          <w:color w:val="auto"/>
          <w:szCs w:val="21"/>
          <w:highlight w:val="none"/>
        </w:rPr>
        <w:t>，现对本</w:t>
      </w:r>
      <w:r>
        <w:rPr>
          <w:rFonts w:hint="eastAsia" w:ascii="宋体" w:hAnsi="宋体" w:eastAsia="宋体" w:cs="宋体"/>
          <w:color w:val="auto"/>
          <w:szCs w:val="21"/>
          <w:highlight w:val="none"/>
          <w:u w:val="single"/>
        </w:rPr>
        <w:t>沪苏、三龙污水厂复合碳源采购及相关服务项目</w:t>
      </w:r>
      <w:r>
        <w:rPr>
          <w:rFonts w:hint="eastAsia" w:ascii="宋体" w:hAnsi="宋体" w:eastAsia="宋体" w:cs="宋体"/>
          <w:color w:val="auto"/>
          <w:szCs w:val="21"/>
          <w:highlight w:val="none"/>
        </w:rPr>
        <w:t>采购项目进行招标。</w:t>
      </w:r>
    </w:p>
    <w:p>
      <w:pPr>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1.1.2本招标项目招标人：见投标人须知前附表。</w:t>
      </w:r>
    </w:p>
    <w:p>
      <w:pPr>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1.1.3本招标项目招标代理机构：见投标人须知前附表。</w:t>
      </w:r>
    </w:p>
    <w:p>
      <w:pPr>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1.1.4本招标项目名称：见投标人须知前附表。</w:t>
      </w:r>
    </w:p>
    <w:p>
      <w:pPr>
        <w:pStyle w:val="4"/>
        <w:pageBreakBefore w:val="0"/>
        <w:widowControl w:val="0"/>
        <w:kinsoku/>
        <w:wordWrap/>
        <w:overflowPunct/>
        <w:topLinePunct w:val="0"/>
        <w:autoSpaceDE/>
        <w:autoSpaceDN/>
        <w:bidi w:val="0"/>
        <w:adjustRightInd/>
        <w:snapToGrid/>
        <w:spacing w:before="0" w:after="0" w:line="440" w:lineRule="exact"/>
        <w:ind w:firstLine="420" w:firstLineChars="200"/>
        <w:textAlignment w:val="auto"/>
        <w:rPr>
          <w:rFonts w:hint="eastAsia" w:ascii="宋体" w:hAnsi="宋体" w:eastAsia="宋体" w:cs="宋体"/>
          <w:color w:val="auto"/>
          <w:sz w:val="21"/>
          <w:szCs w:val="21"/>
          <w:highlight w:val="none"/>
        </w:rPr>
      </w:pPr>
      <w:bookmarkStart w:id="37" w:name="_Toc508216881"/>
      <w:bookmarkStart w:id="38" w:name="_Toc387526285"/>
      <w:bookmarkStart w:id="39" w:name="_Toc387526377"/>
      <w:bookmarkStart w:id="40" w:name="_Toc11796"/>
      <w:bookmarkStart w:id="41" w:name="_Toc397928551"/>
      <w:bookmarkStart w:id="42" w:name="_Toc387526181"/>
      <w:r>
        <w:rPr>
          <w:rFonts w:hint="eastAsia" w:ascii="宋体" w:hAnsi="宋体" w:eastAsia="宋体" w:cs="宋体"/>
          <w:color w:val="auto"/>
          <w:sz w:val="21"/>
          <w:szCs w:val="21"/>
          <w:highlight w:val="none"/>
        </w:rPr>
        <w:t>1.2 资金来源和落实情况</w:t>
      </w:r>
      <w:bookmarkEnd w:id="37"/>
      <w:bookmarkEnd w:id="38"/>
      <w:bookmarkEnd w:id="39"/>
      <w:bookmarkEnd w:id="40"/>
      <w:bookmarkEnd w:id="41"/>
      <w:bookmarkEnd w:id="42"/>
    </w:p>
    <w:p>
      <w:pPr>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1.2.1本招标项目的资金来源：见投标人须知前附表。</w:t>
      </w:r>
    </w:p>
    <w:p>
      <w:pPr>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1.2.2本招标项目的出资比例：见投标人须知前附表。</w:t>
      </w:r>
    </w:p>
    <w:p>
      <w:pPr>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1.2.3本招标项目的资金落实情况：见投标人须知前附表。</w:t>
      </w:r>
    </w:p>
    <w:p>
      <w:pPr>
        <w:pStyle w:val="4"/>
        <w:pageBreakBefore w:val="0"/>
        <w:widowControl w:val="0"/>
        <w:kinsoku/>
        <w:wordWrap/>
        <w:overflowPunct/>
        <w:topLinePunct w:val="0"/>
        <w:autoSpaceDE/>
        <w:autoSpaceDN/>
        <w:bidi w:val="0"/>
        <w:adjustRightInd/>
        <w:snapToGrid/>
        <w:spacing w:before="0" w:after="0" w:line="440" w:lineRule="exact"/>
        <w:ind w:firstLine="420" w:firstLineChars="200"/>
        <w:textAlignment w:val="auto"/>
        <w:rPr>
          <w:rFonts w:hint="eastAsia" w:ascii="宋体" w:hAnsi="宋体" w:eastAsia="宋体" w:cs="宋体"/>
          <w:color w:val="auto"/>
          <w:sz w:val="21"/>
          <w:szCs w:val="21"/>
          <w:highlight w:val="none"/>
        </w:rPr>
      </w:pPr>
      <w:bookmarkStart w:id="43" w:name="_Toc853"/>
      <w:bookmarkStart w:id="44" w:name="_Toc508216882"/>
      <w:bookmarkStart w:id="45" w:name="_Toc387526182"/>
      <w:bookmarkStart w:id="46" w:name="_Toc397928552"/>
      <w:bookmarkStart w:id="47" w:name="_Toc387526286"/>
      <w:bookmarkStart w:id="48" w:name="_Toc387526378"/>
      <w:r>
        <w:rPr>
          <w:rFonts w:hint="eastAsia" w:ascii="宋体" w:hAnsi="宋体" w:eastAsia="宋体" w:cs="宋体"/>
          <w:color w:val="auto"/>
          <w:sz w:val="21"/>
          <w:szCs w:val="21"/>
          <w:highlight w:val="none"/>
        </w:rPr>
        <w:t>1.3 招标范围、交货期或工期和质量要求</w:t>
      </w:r>
      <w:bookmarkEnd w:id="43"/>
      <w:bookmarkEnd w:id="44"/>
      <w:bookmarkEnd w:id="45"/>
      <w:bookmarkEnd w:id="46"/>
      <w:bookmarkEnd w:id="47"/>
      <w:bookmarkEnd w:id="48"/>
    </w:p>
    <w:p>
      <w:pPr>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1.3.1本次招标范围：见投标人须知前附表。</w:t>
      </w:r>
    </w:p>
    <w:p>
      <w:pPr>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1.3.2本招标项目的交货期或工期：见投标人须知前附表。</w:t>
      </w:r>
    </w:p>
    <w:p>
      <w:pPr>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1.3.3本招标项目的交货或服务地点：见投标人须知前附表。</w:t>
      </w:r>
    </w:p>
    <w:p>
      <w:pPr>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1.3.4本招标项目的质量要求及验收标准：见投标人须知前附表。</w:t>
      </w:r>
    </w:p>
    <w:p>
      <w:pPr>
        <w:pStyle w:val="4"/>
        <w:spacing w:before="0" w:after="0" w:line="480" w:lineRule="exact"/>
        <w:ind w:firstLine="420" w:firstLineChars="200"/>
        <w:rPr>
          <w:rFonts w:hint="eastAsia" w:ascii="宋体" w:hAnsi="宋体" w:eastAsia="宋体" w:cs="宋体"/>
          <w:color w:val="auto"/>
          <w:sz w:val="21"/>
          <w:szCs w:val="21"/>
          <w:highlight w:val="none"/>
        </w:rPr>
      </w:pPr>
      <w:bookmarkStart w:id="49" w:name="_Toc397928553"/>
      <w:bookmarkStart w:id="50" w:name="_Toc387526287"/>
      <w:bookmarkStart w:id="51" w:name="_Toc387526379"/>
      <w:bookmarkStart w:id="52" w:name="_Toc387526183"/>
      <w:bookmarkStart w:id="53" w:name="_Toc13930"/>
      <w:bookmarkStart w:id="54" w:name="_Toc508216883"/>
      <w:r>
        <w:rPr>
          <w:rFonts w:hint="eastAsia" w:ascii="宋体" w:hAnsi="宋体" w:eastAsia="宋体" w:cs="宋体"/>
          <w:color w:val="auto"/>
          <w:sz w:val="21"/>
          <w:szCs w:val="21"/>
          <w:highlight w:val="none"/>
        </w:rPr>
        <w:t>1.4 投标人资格要求</w:t>
      </w:r>
      <w:bookmarkEnd w:id="49"/>
      <w:bookmarkEnd w:id="50"/>
      <w:bookmarkEnd w:id="51"/>
      <w:bookmarkEnd w:id="52"/>
      <w:bookmarkEnd w:id="53"/>
      <w:bookmarkEnd w:id="54"/>
    </w:p>
    <w:p>
      <w:pPr>
        <w:autoSpaceDE w:val="0"/>
        <w:autoSpaceDN w:val="0"/>
        <w:spacing w:line="480" w:lineRule="exact"/>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1.4.1 投标人应具备的资格要求见投标人须知前附表。</w:t>
      </w:r>
    </w:p>
    <w:p>
      <w:pPr>
        <w:pStyle w:val="4"/>
        <w:spacing w:before="0" w:after="0" w:line="480" w:lineRule="exact"/>
        <w:ind w:firstLine="420" w:firstLineChars="200"/>
        <w:rPr>
          <w:rFonts w:hint="eastAsia" w:ascii="宋体" w:hAnsi="宋体" w:eastAsia="宋体" w:cs="宋体"/>
          <w:color w:val="auto"/>
          <w:sz w:val="21"/>
          <w:szCs w:val="21"/>
          <w:highlight w:val="none"/>
        </w:rPr>
      </w:pPr>
      <w:bookmarkStart w:id="55" w:name="_Toc397928554"/>
      <w:bookmarkStart w:id="56" w:name="_Toc387526288"/>
      <w:bookmarkStart w:id="57" w:name="_Toc387526184"/>
      <w:bookmarkStart w:id="58" w:name="_Toc387526380"/>
      <w:bookmarkStart w:id="59" w:name="_Toc1684"/>
      <w:bookmarkStart w:id="60" w:name="_Toc508216884"/>
      <w:r>
        <w:rPr>
          <w:rFonts w:hint="eastAsia" w:ascii="宋体" w:hAnsi="宋体" w:eastAsia="宋体" w:cs="宋体"/>
          <w:color w:val="auto"/>
          <w:sz w:val="21"/>
          <w:szCs w:val="21"/>
          <w:highlight w:val="none"/>
        </w:rPr>
        <w:t>1.5 费用承担</w:t>
      </w:r>
      <w:bookmarkEnd w:id="55"/>
      <w:bookmarkEnd w:id="56"/>
      <w:bookmarkEnd w:id="57"/>
      <w:bookmarkEnd w:id="58"/>
      <w:bookmarkEnd w:id="59"/>
      <w:bookmarkEnd w:id="60"/>
    </w:p>
    <w:p>
      <w:pPr>
        <w:autoSpaceDE w:val="0"/>
        <w:autoSpaceDN w:val="0"/>
        <w:spacing w:line="480" w:lineRule="exact"/>
        <w:ind w:firstLine="420" w:firstLineChars="200"/>
        <w:jc w:val="left"/>
        <w:rPr>
          <w:rFonts w:hint="eastAsia" w:ascii="宋体" w:hAnsi="宋体" w:eastAsia="宋体" w:cs="宋体"/>
          <w:b/>
          <w:color w:val="auto"/>
          <w:szCs w:val="21"/>
          <w:highlight w:val="none"/>
        </w:rPr>
      </w:pPr>
      <w:r>
        <w:rPr>
          <w:rFonts w:hint="eastAsia" w:ascii="宋体" w:hAnsi="宋体" w:eastAsia="宋体" w:cs="宋体"/>
          <w:color w:val="auto"/>
          <w:kern w:val="0"/>
          <w:szCs w:val="21"/>
          <w:highlight w:val="none"/>
        </w:rPr>
        <w:t>投标人准备和参加投标活动发生的费用自理。</w:t>
      </w:r>
    </w:p>
    <w:p>
      <w:pPr>
        <w:pStyle w:val="4"/>
        <w:spacing w:before="0" w:after="0" w:line="480" w:lineRule="exact"/>
        <w:ind w:firstLine="420" w:firstLineChars="200"/>
        <w:rPr>
          <w:rFonts w:hint="eastAsia" w:ascii="宋体" w:hAnsi="宋体" w:eastAsia="宋体" w:cs="宋体"/>
          <w:color w:val="auto"/>
          <w:sz w:val="21"/>
          <w:szCs w:val="21"/>
          <w:highlight w:val="none"/>
        </w:rPr>
      </w:pPr>
      <w:bookmarkStart w:id="61" w:name="_Toc387526289"/>
      <w:bookmarkStart w:id="62" w:name="_Toc397928555"/>
      <w:bookmarkStart w:id="63" w:name="_Toc387526185"/>
      <w:bookmarkStart w:id="64" w:name="_Toc387526381"/>
      <w:bookmarkStart w:id="65" w:name="_Toc508216885"/>
      <w:bookmarkStart w:id="66" w:name="_Toc5130"/>
      <w:r>
        <w:rPr>
          <w:rFonts w:hint="eastAsia" w:ascii="宋体" w:hAnsi="宋体" w:eastAsia="宋体" w:cs="宋体"/>
          <w:color w:val="auto"/>
          <w:sz w:val="21"/>
          <w:szCs w:val="21"/>
          <w:highlight w:val="none"/>
        </w:rPr>
        <w:t>1.6 保密</w:t>
      </w:r>
      <w:bookmarkEnd w:id="61"/>
      <w:bookmarkEnd w:id="62"/>
      <w:bookmarkEnd w:id="63"/>
      <w:bookmarkEnd w:id="64"/>
      <w:bookmarkEnd w:id="65"/>
      <w:bookmarkEnd w:id="66"/>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参与招标投标活动的各方应对招标文件和投标文件中的商业和技术等秘密保密，违者应对由此造成的后果承担法律责任。</w:t>
      </w:r>
    </w:p>
    <w:p>
      <w:pPr>
        <w:pStyle w:val="4"/>
        <w:spacing w:before="0" w:after="0" w:line="480" w:lineRule="exact"/>
        <w:ind w:firstLine="420" w:firstLineChars="200"/>
        <w:rPr>
          <w:rFonts w:hint="eastAsia" w:ascii="宋体" w:hAnsi="宋体" w:eastAsia="宋体" w:cs="宋体"/>
          <w:color w:val="auto"/>
          <w:sz w:val="21"/>
          <w:szCs w:val="21"/>
          <w:highlight w:val="none"/>
        </w:rPr>
      </w:pPr>
      <w:bookmarkStart w:id="67" w:name="_Toc397928556"/>
      <w:bookmarkStart w:id="68" w:name="_Toc387526290"/>
      <w:bookmarkStart w:id="69" w:name="_Toc387526382"/>
      <w:bookmarkStart w:id="70" w:name="_Toc387526186"/>
      <w:bookmarkStart w:id="71" w:name="_Toc822"/>
      <w:bookmarkStart w:id="72" w:name="_Toc508216886"/>
      <w:r>
        <w:rPr>
          <w:rFonts w:hint="eastAsia" w:ascii="宋体" w:hAnsi="宋体" w:eastAsia="宋体" w:cs="宋体"/>
          <w:color w:val="auto"/>
          <w:sz w:val="21"/>
          <w:szCs w:val="21"/>
          <w:highlight w:val="none"/>
        </w:rPr>
        <w:t>1.7 语言文字</w:t>
      </w:r>
      <w:bookmarkEnd w:id="67"/>
      <w:bookmarkEnd w:id="68"/>
      <w:bookmarkEnd w:id="69"/>
      <w:bookmarkEnd w:id="70"/>
      <w:bookmarkEnd w:id="71"/>
      <w:bookmarkEnd w:id="72"/>
    </w:p>
    <w:p>
      <w:pPr>
        <w:spacing w:line="48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除专用术语外，与招标投标有关的语言均使用中文。必要时专用术语应附有中文注释。</w:t>
      </w:r>
    </w:p>
    <w:p>
      <w:pPr>
        <w:pStyle w:val="4"/>
        <w:spacing w:before="0" w:after="0" w:line="480" w:lineRule="exact"/>
        <w:ind w:firstLine="420" w:firstLineChars="200"/>
        <w:rPr>
          <w:rFonts w:hint="eastAsia" w:ascii="宋体" w:hAnsi="宋体" w:eastAsia="宋体" w:cs="宋体"/>
          <w:color w:val="auto"/>
          <w:sz w:val="21"/>
          <w:szCs w:val="21"/>
          <w:highlight w:val="none"/>
        </w:rPr>
      </w:pPr>
      <w:bookmarkStart w:id="73" w:name="_Toc387526291"/>
      <w:bookmarkStart w:id="74" w:name="_Toc508216887"/>
      <w:bookmarkStart w:id="75" w:name="_Toc31413"/>
      <w:bookmarkStart w:id="76" w:name="_Toc397928557"/>
      <w:bookmarkStart w:id="77" w:name="_Toc387526187"/>
      <w:bookmarkStart w:id="78" w:name="_Toc387526383"/>
      <w:r>
        <w:rPr>
          <w:rFonts w:hint="eastAsia" w:ascii="宋体" w:hAnsi="宋体" w:eastAsia="宋体" w:cs="宋体"/>
          <w:color w:val="auto"/>
          <w:sz w:val="21"/>
          <w:szCs w:val="21"/>
          <w:highlight w:val="none"/>
        </w:rPr>
        <w:t>1.8 计量单位</w:t>
      </w:r>
      <w:bookmarkEnd w:id="73"/>
      <w:bookmarkEnd w:id="74"/>
      <w:bookmarkEnd w:id="75"/>
      <w:bookmarkEnd w:id="76"/>
      <w:bookmarkEnd w:id="77"/>
      <w:bookmarkEnd w:id="78"/>
    </w:p>
    <w:p>
      <w:pPr>
        <w:spacing w:line="48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所有计量均采用中华人民共和国法定计量单位。</w:t>
      </w:r>
    </w:p>
    <w:p>
      <w:pPr>
        <w:pStyle w:val="4"/>
        <w:spacing w:before="0" w:after="0" w:line="480" w:lineRule="exact"/>
        <w:ind w:firstLine="420" w:firstLineChars="200"/>
        <w:rPr>
          <w:rFonts w:hint="eastAsia" w:ascii="宋体" w:hAnsi="宋体" w:eastAsia="宋体" w:cs="宋体"/>
          <w:color w:val="auto"/>
          <w:sz w:val="21"/>
          <w:szCs w:val="21"/>
          <w:highlight w:val="none"/>
        </w:rPr>
      </w:pPr>
      <w:bookmarkStart w:id="79" w:name="_Toc508216888"/>
      <w:bookmarkStart w:id="80" w:name="_Toc387526292"/>
      <w:bookmarkStart w:id="81" w:name="_Toc397928558"/>
      <w:bookmarkStart w:id="82" w:name="_Toc25122"/>
      <w:bookmarkStart w:id="83" w:name="_Toc387526188"/>
      <w:bookmarkStart w:id="84" w:name="_Toc387526384"/>
      <w:r>
        <w:rPr>
          <w:rFonts w:hint="eastAsia" w:ascii="宋体" w:hAnsi="宋体" w:eastAsia="宋体" w:cs="宋体"/>
          <w:color w:val="auto"/>
          <w:sz w:val="21"/>
          <w:szCs w:val="21"/>
          <w:highlight w:val="none"/>
        </w:rPr>
        <w:t>1.9 踏勘现场</w:t>
      </w:r>
      <w:bookmarkEnd w:id="79"/>
      <w:bookmarkEnd w:id="80"/>
      <w:bookmarkEnd w:id="81"/>
      <w:bookmarkEnd w:id="82"/>
      <w:bookmarkEnd w:id="83"/>
      <w:bookmarkEnd w:id="84"/>
    </w:p>
    <w:p>
      <w:pPr>
        <w:keepNext w:val="0"/>
        <w:keepLines w:val="0"/>
        <w:pageBreakBefore w:val="0"/>
        <w:widowControl w:val="0"/>
        <w:kinsoku/>
        <w:wordWrap/>
        <w:overflowPunct/>
        <w:topLinePunct w:val="0"/>
        <w:autoSpaceDE w:val="0"/>
        <w:autoSpaceDN w:val="0"/>
        <w:bidi w:val="0"/>
        <w:adjustRightInd/>
        <w:snapToGrid/>
        <w:spacing w:line="440" w:lineRule="exact"/>
        <w:ind w:firstLine="420" w:firstLineChars="200"/>
        <w:jc w:val="left"/>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1.9.1招标人不组织投标人踏勘现场，投标人可以自行对工程施工现场和周围环境进行勘察，以获取编制投标文件和签署合同所需的所有资料。施工现场的联系方式见须知前附表。</w:t>
      </w:r>
    </w:p>
    <w:p>
      <w:pPr>
        <w:autoSpaceDE w:val="0"/>
        <w:autoSpaceDN w:val="0"/>
        <w:spacing w:line="480" w:lineRule="exact"/>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1.9.2 投标人踏勘现场发生的费用自理。</w:t>
      </w:r>
    </w:p>
    <w:p>
      <w:pPr>
        <w:autoSpaceDE w:val="0"/>
        <w:autoSpaceDN w:val="0"/>
        <w:spacing w:line="480" w:lineRule="exact"/>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1.9.3 除招标人的原因外，投标人自行负责在踏勘现场中所发生的人员伤亡和财产损失。</w:t>
      </w:r>
    </w:p>
    <w:p>
      <w:pPr>
        <w:keepNext w:val="0"/>
        <w:keepLines w:val="0"/>
        <w:pageBreakBefore w:val="0"/>
        <w:widowControl w:val="0"/>
        <w:kinsoku/>
        <w:wordWrap/>
        <w:overflowPunct/>
        <w:topLinePunct w:val="0"/>
        <w:autoSpaceDE w:val="0"/>
        <w:autoSpaceDN w:val="0"/>
        <w:bidi w:val="0"/>
        <w:adjustRightInd/>
        <w:snapToGrid/>
        <w:spacing w:line="440" w:lineRule="exact"/>
        <w:ind w:firstLine="420" w:firstLineChars="200"/>
        <w:jc w:val="left"/>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1.9.4 招标人向投标人提供的有关施工现场的资料和数据是招标人现有的能使投标人利用的资料。招标人对投标人由此而做出的推论、理解和结论概不负责。</w:t>
      </w:r>
    </w:p>
    <w:p>
      <w:pPr>
        <w:pStyle w:val="4"/>
        <w:spacing w:before="0" w:after="0" w:line="480" w:lineRule="exact"/>
        <w:ind w:firstLine="420" w:firstLineChars="200"/>
        <w:rPr>
          <w:rFonts w:hint="eastAsia" w:ascii="宋体" w:hAnsi="宋体" w:eastAsia="宋体" w:cs="宋体"/>
          <w:color w:val="auto"/>
          <w:sz w:val="21"/>
          <w:szCs w:val="21"/>
          <w:highlight w:val="none"/>
        </w:rPr>
      </w:pPr>
      <w:bookmarkStart w:id="85" w:name="_Toc397928559"/>
      <w:bookmarkStart w:id="86" w:name="_Toc387526385"/>
      <w:bookmarkStart w:id="87" w:name="_Toc387526293"/>
      <w:bookmarkStart w:id="88" w:name="_Toc11088"/>
      <w:bookmarkStart w:id="89" w:name="_Toc387526189"/>
      <w:bookmarkStart w:id="90" w:name="_Toc508216889"/>
      <w:r>
        <w:rPr>
          <w:rFonts w:hint="eastAsia" w:ascii="宋体" w:hAnsi="宋体" w:eastAsia="宋体" w:cs="宋体"/>
          <w:color w:val="auto"/>
          <w:sz w:val="21"/>
          <w:szCs w:val="21"/>
          <w:highlight w:val="none"/>
        </w:rPr>
        <w:t>1.10 投标预备会</w:t>
      </w:r>
      <w:bookmarkEnd w:id="85"/>
      <w:bookmarkEnd w:id="86"/>
      <w:bookmarkEnd w:id="87"/>
      <w:bookmarkEnd w:id="88"/>
      <w:bookmarkEnd w:id="89"/>
      <w:bookmarkEnd w:id="90"/>
    </w:p>
    <w:p>
      <w:pPr>
        <w:spacing w:line="48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本项目不召开投标预备会。</w:t>
      </w:r>
    </w:p>
    <w:p>
      <w:pPr>
        <w:pStyle w:val="4"/>
        <w:spacing w:before="0" w:after="0" w:line="480" w:lineRule="exact"/>
        <w:ind w:firstLine="420" w:firstLineChars="200"/>
        <w:rPr>
          <w:rFonts w:hint="eastAsia" w:ascii="宋体" w:hAnsi="宋体" w:eastAsia="宋体" w:cs="宋体"/>
          <w:color w:val="auto"/>
          <w:sz w:val="21"/>
          <w:szCs w:val="21"/>
          <w:highlight w:val="none"/>
        </w:rPr>
      </w:pPr>
      <w:bookmarkStart w:id="91" w:name="_Toc21970"/>
      <w:bookmarkStart w:id="92" w:name="_Toc387526386"/>
      <w:bookmarkStart w:id="93" w:name="_Toc397928560"/>
      <w:bookmarkStart w:id="94" w:name="_Toc508216890"/>
      <w:bookmarkStart w:id="95" w:name="_Toc387526294"/>
      <w:bookmarkStart w:id="96" w:name="_Toc366679673"/>
      <w:bookmarkStart w:id="97" w:name="_Toc387526190"/>
      <w:bookmarkStart w:id="98" w:name="_Toc363329371"/>
      <w:bookmarkStart w:id="99" w:name="_Toc367894799"/>
      <w:r>
        <w:rPr>
          <w:rFonts w:hint="eastAsia" w:ascii="宋体" w:hAnsi="宋体" w:eastAsia="宋体" w:cs="宋体"/>
          <w:color w:val="auto"/>
          <w:sz w:val="21"/>
          <w:szCs w:val="21"/>
          <w:highlight w:val="none"/>
        </w:rPr>
        <w:t>1.11 偏离</w:t>
      </w:r>
      <w:bookmarkEnd w:id="91"/>
      <w:bookmarkEnd w:id="92"/>
      <w:bookmarkEnd w:id="93"/>
      <w:bookmarkEnd w:id="94"/>
      <w:bookmarkEnd w:id="95"/>
      <w:bookmarkEnd w:id="96"/>
      <w:bookmarkEnd w:id="97"/>
    </w:p>
    <w:p>
      <w:pPr>
        <w:spacing w:line="48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投标人须知前附表允许投标文件偏离招标文件某些要求的，偏离应当符合招标文件规定的偏离范围和幅度。</w:t>
      </w:r>
    </w:p>
    <w:p>
      <w:pPr>
        <w:pStyle w:val="153"/>
        <w:spacing w:before="0" w:after="0" w:line="480" w:lineRule="exact"/>
        <w:ind w:firstLine="422" w:firstLineChars="200"/>
        <w:rPr>
          <w:rFonts w:hint="eastAsia" w:ascii="宋体" w:hAnsi="宋体" w:eastAsia="宋体" w:cs="宋体"/>
          <w:color w:val="auto"/>
          <w:sz w:val="21"/>
          <w:szCs w:val="21"/>
          <w:highlight w:val="none"/>
        </w:rPr>
      </w:pPr>
      <w:bookmarkStart w:id="100" w:name="_Toc387526191"/>
      <w:bookmarkStart w:id="101" w:name="_Toc369077562"/>
      <w:bookmarkStart w:id="102" w:name="_Toc397928561"/>
      <w:bookmarkStart w:id="103" w:name="_Toc368759376"/>
      <w:bookmarkStart w:id="104" w:name="_Toc30422"/>
      <w:bookmarkStart w:id="105" w:name="_Toc508216891"/>
      <w:bookmarkStart w:id="106" w:name="_Toc368760428"/>
      <w:bookmarkStart w:id="107" w:name="_Toc387526387"/>
      <w:bookmarkStart w:id="108" w:name="_Toc387526295"/>
      <w:r>
        <w:rPr>
          <w:rFonts w:hint="eastAsia" w:ascii="宋体" w:hAnsi="宋体" w:eastAsia="宋体" w:cs="宋体"/>
          <w:color w:val="auto"/>
          <w:sz w:val="21"/>
          <w:szCs w:val="21"/>
          <w:highlight w:val="none"/>
        </w:rPr>
        <w:t>2.招标文件</w:t>
      </w:r>
      <w:bookmarkEnd w:id="98"/>
      <w:bookmarkEnd w:id="99"/>
      <w:bookmarkEnd w:id="100"/>
      <w:bookmarkEnd w:id="101"/>
      <w:bookmarkEnd w:id="102"/>
      <w:bookmarkEnd w:id="103"/>
      <w:bookmarkEnd w:id="104"/>
      <w:bookmarkEnd w:id="105"/>
      <w:bookmarkEnd w:id="106"/>
      <w:bookmarkEnd w:id="107"/>
      <w:bookmarkEnd w:id="108"/>
    </w:p>
    <w:p>
      <w:pPr>
        <w:pStyle w:val="4"/>
        <w:spacing w:before="0" w:after="0" w:line="480" w:lineRule="exact"/>
        <w:ind w:firstLine="420" w:firstLineChars="200"/>
        <w:rPr>
          <w:rFonts w:hint="eastAsia" w:ascii="宋体" w:hAnsi="宋体" w:eastAsia="宋体" w:cs="宋体"/>
          <w:color w:val="auto"/>
          <w:sz w:val="21"/>
          <w:szCs w:val="21"/>
          <w:highlight w:val="none"/>
        </w:rPr>
      </w:pPr>
      <w:bookmarkStart w:id="109" w:name="_Toc23070"/>
      <w:bookmarkStart w:id="110" w:name="_Toc387526296"/>
      <w:bookmarkStart w:id="111" w:name="_Toc508216892"/>
      <w:bookmarkStart w:id="112" w:name="_Toc397928562"/>
      <w:bookmarkStart w:id="113" w:name="_Toc387526388"/>
      <w:bookmarkStart w:id="114" w:name="_Toc387526192"/>
      <w:r>
        <w:rPr>
          <w:rFonts w:hint="eastAsia" w:ascii="宋体" w:hAnsi="宋体" w:eastAsia="宋体" w:cs="宋体"/>
          <w:color w:val="auto"/>
          <w:sz w:val="21"/>
          <w:szCs w:val="21"/>
          <w:highlight w:val="none"/>
        </w:rPr>
        <w:t>2.1 招标文件组成</w:t>
      </w:r>
      <w:bookmarkEnd w:id="109"/>
      <w:bookmarkEnd w:id="110"/>
      <w:bookmarkEnd w:id="111"/>
      <w:bookmarkEnd w:id="112"/>
      <w:bookmarkEnd w:id="113"/>
      <w:bookmarkEnd w:id="114"/>
    </w:p>
    <w:p>
      <w:pPr>
        <w:shd w:val="clear" w:color="auto" w:fill="FFFFFF"/>
        <w:autoSpaceDE w:val="0"/>
        <w:autoSpaceDN w:val="0"/>
        <w:spacing w:line="480" w:lineRule="exact"/>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2.1.1 本招标文件包括：</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（1）招标公告；</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（2）投标人须知；</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（3）评标办法；</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（4）合同条款及格式；</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（5）招标需求；</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（6）投标文件格式；</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（7）投标人须知前附表规定的其他材料。</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2.1.2根据本章第1.10款、第2.2款和第2.3款对招标文件所作的澄清、修改，构成招标文件的组成部分。当招标文件相互之间发生矛盾时，以后发出的文件为准。</w:t>
      </w:r>
    </w:p>
    <w:p>
      <w:pPr>
        <w:pStyle w:val="4"/>
        <w:spacing w:before="0" w:after="0" w:line="480" w:lineRule="exact"/>
        <w:ind w:firstLine="420" w:firstLineChars="200"/>
        <w:rPr>
          <w:rFonts w:hint="eastAsia" w:ascii="宋体" w:hAnsi="宋体" w:eastAsia="宋体" w:cs="宋体"/>
          <w:color w:val="auto"/>
          <w:sz w:val="21"/>
          <w:szCs w:val="21"/>
          <w:highlight w:val="none"/>
        </w:rPr>
      </w:pPr>
      <w:bookmarkStart w:id="115" w:name="_Toc397928563"/>
      <w:bookmarkStart w:id="116" w:name="_Toc366679676"/>
      <w:bookmarkStart w:id="117" w:name="_Toc179632562"/>
      <w:bookmarkStart w:id="118" w:name="_Toc508216893"/>
      <w:bookmarkStart w:id="119" w:name="_Toc247085703"/>
      <w:bookmarkStart w:id="120" w:name="_Toc152042320"/>
      <w:bookmarkStart w:id="121" w:name="_Toc387526389"/>
      <w:bookmarkStart w:id="122" w:name="_Toc9593"/>
      <w:bookmarkStart w:id="123" w:name="_Toc387526297"/>
      <w:bookmarkStart w:id="124" w:name="_Toc246996932"/>
      <w:bookmarkStart w:id="125" w:name="_Toc144974512"/>
      <w:bookmarkStart w:id="126" w:name="_Toc246996189"/>
      <w:bookmarkStart w:id="127" w:name="_Toc152045544"/>
      <w:bookmarkStart w:id="128" w:name="_Toc387526193"/>
      <w:r>
        <w:rPr>
          <w:rFonts w:hint="eastAsia" w:ascii="宋体" w:hAnsi="宋体" w:eastAsia="宋体" w:cs="宋体"/>
          <w:color w:val="auto"/>
          <w:sz w:val="21"/>
          <w:szCs w:val="21"/>
          <w:highlight w:val="none"/>
        </w:rPr>
        <w:t>2.2 招标文件的澄清</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rPr>
          <w:rFonts w:hint="eastAsia" w:ascii="宋体" w:hAnsi="宋体" w:eastAsia="宋体" w:cs="宋体"/>
          <w:color w:val="auto"/>
          <w:sz w:val="21"/>
          <w:szCs w:val="21"/>
          <w:highlight w:val="none"/>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color w:val="auto"/>
          <w:szCs w:val="21"/>
          <w:highlight w:val="none"/>
        </w:rPr>
      </w:pPr>
      <w:bookmarkStart w:id="129" w:name="_Toc397928564"/>
      <w:bookmarkStart w:id="130" w:name="_Toc247085704"/>
      <w:bookmarkStart w:id="131" w:name="_Toc246996190"/>
      <w:bookmarkStart w:id="132" w:name="_Toc246996933"/>
      <w:bookmarkStart w:id="133" w:name="_Toc387526390"/>
      <w:bookmarkStart w:id="134" w:name="_Toc387526298"/>
      <w:bookmarkStart w:id="135" w:name="_Toc19263"/>
      <w:bookmarkStart w:id="136" w:name="_Toc387526194"/>
      <w:bookmarkStart w:id="137" w:name="_Toc366679677"/>
      <w:bookmarkStart w:id="138" w:name="_Toc179632563"/>
      <w:r>
        <w:rPr>
          <w:rFonts w:hint="eastAsia" w:ascii="宋体" w:hAnsi="宋体" w:eastAsia="宋体" w:cs="宋体"/>
          <w:color w:val="auto"/>
          <w:szCs w:val="21"/>
          <w:highlight w:val="none"/>
        </w:rPr>
        <w:t>2.2.1 投标人应仔细阅读和检查招标文件的全部内容。如发现缺页或附件不全，应及时向招标人提出，以便补齐。如有疑问，应在投标人须知前附表规定的时间前以书面形式（包括信函、电报、传真等可以有形地表现所载内容的形式，下同），要求招标人对招标文件予以澄清，招标人应当在3个工作日内对供应商依法提出的询问作出答复。</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2.2.2 招标文件的澄清将在投标人须知前附表规定的投标截止时间前以“补充答疑”的形式在大丰公共资源电子交易平台（http://ggzy.dafeng.gov.cn/dfweb/default.aspx）上公开发布，但不指明澄清问题的来源。如果澄清发出的时间距投标截止时间不足15天，且澄清内容影响投标文件编制的，相应延长投标截止时间。</w:t>
      </w:r>
      <w:bookmarkStart w:id="139" w:name="_Toc508216894"/>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2.3 招标文件的修改</w:t>
      </w:r>
      <w:bookmarkEnd w:id="129"/>
      <w:bookmarkEnd w:id="130"/>
      <w:bookmarkEnd w:id="131"/>
      <w:bookmarkEnd w:id="132"/>
      <w:bookmarkEnd w:id="133"/>
      <w:bookmarkEnd w:id="134"/>
      <w:bookmarkEnd w:id="135"/>
      <w:bookmarkEnd w:id="136"/>
      <w:bookmarkEnd w:id="137"/>
      <w:bookmarkEnd w:id="138"/>
      <w:bookmarkEnd w:id="139"/>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color w:val="auto"/>
          <w:szCs w:val="21"/>
          <w:highlight w:val="none"/>
        </w:rPr>
      </w:pPr>
      <w:bookmarkStart w:id="140" w:name="_Toc363329372"/>
      <w:bookmarkStart w:id="141" w:name="_Toc387526391"/>
      <w:bookmarkStart w:id="142" w:name="_Toc387526195"/>
      <w:bookmarkStart w:id="143" w:name="_Toc367894800"/>
      <w:bookmarkStart w:id="144" w:name="_Toc368760429"/>
      <w:bookmarkStart w:id="145" w:name="_Toc368759377"/>
      <w:bookmarkStart w:id="146" w:name="_Toc397928565"/>
      <w:bookmarkStart w:id="147" w:name="_Toc387526299"/>
      <w:bookmarkStart w:id="148" w:name="_Toc369077563"/>
      <w:bookmarkStart w:id="149" w:name="_Toc19481"/>
      <w:bookmarkStart w:id="150" w:name="_Toc119718089"/>
      <w:r>
        <w:rPr>
          <w:rFonts w:hint="eastAsia" w:ascii="宋体" w:hAnsi="宋体" w:eastAsia="宋体" w:cs="宋体"/>
          <w:color w:val="auto"/>
          <w:szCs w:val="21"/>
          <w:highlight w:val="none"/>
        </w:rPr>
        <w:t>2.3.1 在投标截止时间前，招标人可以以“补充答疑”的形式在大丰公共资源电子交易平台（http://ggzy.dafeng.gov.cn/dfweb/default.aspx）上修改招标文件。如果修改招标文件的时间距投标截止时间不足15天，且修改内容影响投标文件编制的，相应延长投标截止时间。</w:t>
      </w:r>
    </w:p>
    <w:p>
      <w:pPr>
        <w:spacing w:line="480" w:lineRule="exact"/>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2.4 投标人提出异议截止时间</w:t>
      </w:r>
    </w:p>
    <w:p>
      <w:pPr>
        <w:spacing w:line="480" w:lineRule="exact"/>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2.4.1 潜在投标人对招标文件有异议的，应当在投标截止时间10日前提出。</w:t>
      </w:r>
    </w:p>
    <w:p>
      <w:pPr>
        <w:pStyle w:val="153"/>
        <w:spacing w:before="0" w:after="0" w:line="480" w:lineRule="exact"/>
        <w:ind w:firstLine="422" w:firstLineChars="200"/>
        <w:rPr>
          <w:rFonts w:hint="eastAsia" w:ascii="宋体" w:hAnsi="宋体" w:eastAsia="宋体" w:cs="宋体"/>
          <w:color w:val="auto"/>
          <w:sz w:val="21"/>
          <w:szCs w:val="21"/>
          <w:highlight w:val="none"/>
        </w:rPr>
      </w:pPr>
      <w:bookmarkStart w:id="151" w:name="_Toc508216895"/>
      <w:r>
        <w:rPr>
          <w:rFonts w:hint="eastAsia" w:ascii="宋体" w:hAnsi="宋体" w:eastAsia="宋体" w:cs="宋体"/>
          <w:color w:val="auto"/>
          <w:sz w:val="21"/>
          <w:szCs w:val="21"/>
          <w:highlight w:val="none"/>
        </w:rPr>
        <w:t>3.投标文件</w:t>
      </w:r>
      <w:bookmarkEnd w:id="140"/>
      <w:bookmarkEnd w:id="141"/>
      <w:bookmarkEnd w:id="142"/>
      <w:bookmarkEnd w:id="143"/>
      <w:bookmarkEnd w:id="144"/>
      <w:bookmarkEnd w:id="145"/>
      <w:bookmarkEnd w:id="146"/>
      <w:bookmarkEnd w:id="147"/>
      <w:bookmarkEnd w:id="148"/>
      <w:bookmarkEnd w:id="149"/>
      <w:bookmarkEnd w:id="151"/>
    </w:p>
    <w:p>
      <w:pPr>
        <w:pStyle w:val="4"/>
        <w:spacing w:before="0" w:after="0" w:line="480" w:lineRule="exact"/>
        <w:ind w:firstLine="420" w:firstLineChars="200"/>
        <w:rPr>
          <w:rFonts w:hint="eastAsia" w:ascii="宋体" w:hAnsi="宋体" w:eastAsia="宋体" w:cs="宋体"/>
          <w:color w:val="auto"/>
          <w:sz w:val="21"/>
          <w:szCs w:val="21"/>
          <w:highlight w:val="none"/>
        </w:rPr>
      </w:pPr>
      <w:bookmarkStart w:id="152" w:name="_Toc508216896"/>
      <w:bookmarkStart w:id="153" w:name="_Toc387526196"/>
      <w:bookmarkStart w:id="154" w:name="_Toc397928566"/>
      <w:bookmarkStart w:id="155" w:name="_Toc387526300"/>
      <w:bookmarkStart w:id="156" w:name="_Toc5625"/>
      <w:bookmarkStart w:id="157" w:name="_Toc387526392"/>
      <w:r>
        <w:rPr>
          <w:rFonts w:hint="eastAsia" w:ascii="宋体" w:hAnsi="宋体" w:eastAsia="宋体" w:cs="宋体"/>
          <w:color w:val="auto"/>
          <w:sz w:val="21"/>
          <w:szCs w:val="21"/>
          <w:highlight w:val="none"/>
        </w:rPr>
        <w:t>3.1 投标文件</w:t>
      </w:r>
      <w:bookmarkEnd w:id="150"/>
      <w:r>
        <w:rPr>
          <w:rFonts w:hint="eastAsia" w:ascii="宋体" w:hAnsi="宋体" w:eastAsia="宋体" w:cs="宋体"/>
          <w:color w:val="auto"/>
          <w:sz w:val="21"/>
          <w:szCs w:val="21"/>
          <w:highlight w:val="none"/>
        </w:rPr>
        <w:t>的组成</w:t>
      </w:r>
      <w:bookmarkEnd w:id="152"/>
      <w:bookmarkEnd w:id="153"/>
      <w:bookmarkEnd w:id="154"/>
      <w:bookmarkEnd w:id="155"/>
      <w:bookmarkEnd w:id="156"/>
      <w:bookmarkEnd w:id="157"/>
    </w:p>
    <w:p>
      <w:pPr>
        <w:spacing w:line="48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3.1.1 投标文件组成见“投标人须知前附表”；</w:t>
      </w:r>
    </w:p>
    <w:p>
      <w:pPr>
        <w:spacing w:line="48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3.1.2 招标文件“第六章 投标文件格式”有规定格式要求的，投标人应按规定的格式填写并按要求提交相关的证明材料。</w:t>
      </w:r>
    </w:p>
    <w:p>
      <w:pPr>
        <w:pStyle w:val="4"/>
        <w:spacing w:before="0" w:after="0" w:line="480" w:lineRule="exact"/>
        <w:ind w:firstLine="420" w:firstLineChars="200"/>
        <w:rPr>
          <w:rFonts w:hint="eastAsia" w:ascii="宋体" w:hAnsi="宋体" w:eastAsia="宋体" w:cs="宋体"/>
          <w:color w:val="auto"/>
          <w:sz w:val="21"/>
          <w:szCs w:val="21"/>
          <w:highlight w:val="none"/>
        </w:rPr>
      </w:pPr>
      <w:bookmarkStart w:id="158" w:name="_Toc387526393"/>
      <w:bookmarkStart w:id="159" w:name="_Toc387526197"/>
      <w:bookmarkStart w:id="160" w:name="_Toc10820"/>
      <w:bookmarkStart w:id="161" w:name="_Toc397928567"/>
      <w:bookmarkStart w:id="162" w:name="_Toc508216897"/>
      <w:bookmarkStart w:id="163" w:name="_Toc387526301"/>
      <w:r>
        <w:rPr>
          <w:rFonts w:hint="eastAsia" w:ascii="宋体" w:hAnsi="宋体" w:eastAsia="宋体" w:cs="宋体"/>
          <w:color w:val="auto"/>
          <w:sz w:val="21"/>
          <w:szCs w:val="21"/>
          <w:highlight w:val="none"/>
        </w:rPr>
        <w:t>3.2 投标报价</w:t>
      </w:r>
      <w:bookmarkEnd w:id="158"/>
      <w:bookmarkEnd w:id="159"/>
      <w:bookmarkEnd w:id="160"/>
      <w:bookmarkEnd w:id="161"/>
      <w:bookmarkEnd w:id="162"/>
      <w:bookmarkEnd w:id="163"/>
    </w:p>
    <w:p>
      <w:pPr>
        <w:spacing w:line="48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3.2.1</w:t>
      </w:r>
      <w:r>
        <w:rPr>
          <w:rFonts w:hint="eastAsia" w:ascii="宋体" w:hAnsi="宋体" w:eastAsia="宋体" w:cs="宋体"/>
          <w:color w:val="auto"/>
          <w:szCs w:val="21"/>
          <w:highlight w:val="none"/>
          <w:lang w:val="en-US" w:eastAsia="zh-CN"/>
        </w:rPr>
        <w:t>报价须含全部货物和服务</w:t>
      </w:r>
      <w:r>
        <w:rPr>
          <w:rFonts w:hint="eastAsia" w:ascii="宋体" w:hAnsi="宋体" w:eastAsia="宋体" w:cs="宋体"/>
          <w:color w:val="auto"/>
          <w:szCs w:val="21"/>
          <w:highlight w:val="none"/>
        </w:rPr>
        <w:t>。</w:t>
      </w:r>
    </w:p>
    <w:p>
      <w:pPr>
        <w:spacing w:line="48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3.2.2投标人按投标人须知前附表的具体规定进行报价。</w:t>
      </w:r>
    </w:p>
    <w:p>
      <w:pPr>
        <w:spacing w:line="48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3.2.3招标人设有最高投标限价的，投标人的投标报价不得超过最高投标限价，最高投标限价见投标人须知前附表。</w:t>
      </w:r>
    </w:p>
    <w:p>
      <w:pPr>
        <w:pStyle w:val="4"/>
        <w:spacing w:before="0" w:after="0" w:line="480" w:lineRule="exact"/>
        <w:ind w:firstLine="420" w:firstLineChars="200"/>
        <w:rPr>
          <w:rFonts w:hint="eastAsia" w:ascii="宋体" w:hAnsi="宋体" w:eastAsia="宋体" w:cs="宋体"/>
          <w:color w:val="auto"/>
          <w:sz w:val="21"/>
          <w:szCs w:val="21"/>
          <w:highlight w:val="none"/>
        </w:rPr>
      </w:pPr>
      <w:bookmarkStart w:id="164" w:name="_Toc21008"/>
      <w:bookmarkStart w:id="165" w:name="_Toc387526198"/>
      <w:bookmarkStart w:id="166" w:name="_Toc387526302"/>
      <w:bookmarkStart w:id="167" w:name="_Toc508216898"/>
      <w:bookmarkStart w:id="168" w:name="_Toc387526394"/>
      <w:bookmarkStart w:id="169" w:name="_Toc397928568"/>
      <w:r>
        <w:rPr>
          <w:rFonts w:hint="eastAsia" w:ascii="宋体" w:hAnsi="宋体" w:eastAsia="宋体" w:cs="宋体"/>
          <w:color w:val="auto"/>
          <w:sz w:val="21"/>
          <w:szCs w:val="21"/>
          <w:highlight w:val="none"/>
        </w:rPr>
        <w:t>3.3 投标有效期</w:t>
      </w:r>
      <w:bookmarkEnd w:id="164"/>
      <w:bookmarkEnd w:id="165"/>
      <w:bookmarkEnd w:id="166"/>
      <w:bookmarkEnd w:id="167"/>
      <w:bookmarkEnd w:id="168"/>
      <w:bookmarkEnd w:id="169"/>
    </w:p>
    <w:p>
      <w:pPr>
        <w:spacing w:line="48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3.3.1 在投标人须知前附表第3.3.1条规定的投标有效期内，投标人不得要求撤销或修改其投标文件。</w:t>
      </w:r>
    </w:p>
    <w:p>
      <w:pPr>
        <w:spacing w:line="48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3.3.2出现特殊情况需要延长投标有效期的，招标人应通知所有投标人延长投标有效期，但不得要求或被允许修改或撤销其投标文件；投标人拒绝延长的，其投标失效。 </w:t>
      </w:r>
    </w:p>
    <w:p>
      <w:pPr>
        <w:pStyle w:val="4"/>
        <w:spacing w:before="0" w:after="0" w:line="480" w:lineRule="exact"/>
        <w:ind w:firstLine="420" w:firstLineChars="200"/>
        <w:rPr>
          <w:rFonts w:hint="eastAsia" w:ascii="宋体" w:hAnsi="宋体" w:eastAsia="宋体" w:cs="宋体"/>
          <w:color w:val="auto"/>
          <w:sz w:val="21"/>
          <w:szCs w:val="21"/>
          <w:highlight w:val="none"/>
        </w:rPr>
      </w:pPr>
      <w:bookmarkStart w:id="170" w:name="_Toc387526395"/>
      <w:bookmarkStart w:id="171" w:name="_Toc15701"/>
      <w:bookmarkStart w:id="172" w:name="_Toc387526303"/>
      <w:bookmarkStart w:id="173" w:name="_Toc508216899"/>
      <w:bookmarkStart w:id="174" w:name="_Toc397928569"/>
      <w:bookmarkStart w:id="175" w:name="_Toc387526199"/>
      <w:r>
        <w:rPr>
          <w:rFonts w:hint="eastAsia" w:ascii="宋体" w:hAnsi="宋体" w:eastAsia="宋体" w:cs="宋体"/>
          <w:color w:val="auto"/>
          <w:sz w:val="21"/>
          <w:szCs w:val="21"/>
          <w:highlight w:val="none"/>
        </w:rPr>
        <w:t>3.4投标保证金</w:t>
      </w:r>
      <w:bookmarkEnd w:id="170"/>
      <w:bookmarkEnd w:id="171"/>
      <w:bookmarkEnd w:id="172"/>
      <w:bookmarkEnd w:id="173"/>
      <w:bookmarkEnd w:id="174"/>
      <w:bookmarkEnd w:id="175"/>
    </w:p>
    <w:p>
      <w:pPr>
        <w:spacing w:line="480" w:lineRule="exact"/>
        <w:ind w:firstLine="420" w:firstLineChars="200"/>
        <w:rPr>
          <w:rFonts w:hint="eastAsia" w:ascii="宋体" w:hAnsi="宋体" w:eastAsia="宋体" w:cs="宋体"/>
          <w:color w:val="auto"/>
          <w:szCs w:val="21"/>
          <w:highlight w:val="none"/>
        </w:rPr>
      </w:pPr>
      <w:bookmarkStart w:id="176" w:name="_Toc339359765"/>
      <w:bookmarkStart w:id="177" w:name="_Toc269310939"/>
      <w:bookmarkStart w:id="178" w:name="_Toc324255909"/>
      <w:r>
        <w:rPr>
          <w:rFonts w:hint="eastAsia" w:ascii="宋体" w:hAnsi="宋体" w:eastAsia="宋体" w:cs="宋体"/>
          <w:color w:val="auto"/>
          <w:szCs w:val="21"/>
          <w:highlight w:val="none"/>
        </w:rPr>
        <w:t>参照执行苏财购[2020]52号文《关于做好政府采购支持企业发展有关事项的通知》，本项目不需要缴纳投标保证金。</w:t>
      </w:r>
    </w:p>
    <w:p>
      <w:pPr>
        <w:pStyle w:val="4"/>
        <w:spacing w:before="0" w:after="0" w:line="480" w:lineRule="exact"/>
        <w:ind w:firstLine="420" w:firstLineChars="200"/>
        <w:rPr>
          <w:rFonts w:hint="eastAsia" w:ascii="宋体" w:hAnsi="宋体" w:eastAsia="宋体" w:cs="宋体"/>
          <w:bCs/>
          <w:color w:val="auto"/>
          <w:sz w:val="21"/>
          <w:szCs w:val="21"/>
          <w:highlight w:val="none"/>
        </w:rPr>
      </w:pPr>
      <w:bookmarkStart w:id="179" w:name="_Toc508216900"/>
      <w:bookmarkStart w:id="180" w:name="_Toc397928570"/>
      <w:bookmarkStart w:id="181" w:name="_Toc24952"/>
      <w:r>
        <w:rPr>
          <w:rFonts w:hint="eastAsia" w:ascii="宋体" w:hAnsi="宋体" w:eastAsia="宋体" w:cs="宋体"/>
          <w:bCs/>
          <w:color w:val="auto"/>
          <w:sz w:val="21"/>
          <w:szCs w:val="21"/>
          <w:highlight w:val="none"/>
        </w:rPr>
        <w:t>3.5 资格审查资料</w:t>
      </w:r>
      <w:bookmarkEnd w:id="179"/>
      <w:bookmarkEnd w:id="180"/>
      <w:bookmarkEnd w:id="181"/>
    </w:p>
    <w:p>
      <w:pPr>
        <w:spacing w:line="48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3.5.1 投标人投标文件中提供的以下资格审查资料必须为原件彩色扫描件（或电子证照），关键信息齐全、清晰可辨(钢印除外)。</w:t>
      </w:r>
    </w:p>
    <w:p>
      <w:pPr>
        <w:pageBreakBefore w:val="0"/>
        <w:widowControl w:val="0"/>
        <w:kinsoku/>
        <w:wordWrap w:val="0"/>
        <w:overflowPunct/>
        <w:topLinePunct w:val="0"/>
        <w:bidi w:val="0"/>
        <w:adjustRightInd/>
        <w:snapToGrid/>
        <w:spacing w:line="460" w:lineRule="exact"/>
        <w:ind w:firstLine="420" w:firstLineChars="200"/>
        <w:jc w:val="left"/>
        <w:textAlignment w:val="auto"/>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（1）投标人有效的营业执照</w:t>
      </w:r>
      <w:r>
        <w:rPr>
          <w:rFonts w:hint="eastAsia" w:ascii="宋体" w:hAnsi="宋体" w:eastAsia="宋体" w:cs="宋体"/>
          <w:color w:val="auto"/>
          <w:szCs w:val="21"/>
          <w:highlight w:val="none"/>
          <w:lang w:eastAsia="zh-CN"/>
        </w:rPr>
        <w:t>。</w:t>
      </w:r>
    </w:p>
    <w:p>
      <w:pPr>
        <w:spacing w:line="480" w:lineRule="exact"/>
        <w:ind w:firstLine="210" w:firstLineChars="100"/>
        <w:rPr>
          <w:rFonts w:hint="eastAsia" w:ascii="宋体" w:hAnsi="宋体" w:eastAsia="宋体" w:cs="宋体"/>
          <w:color w:val="auto"/>
          <w:szCs w:val="21"/>
          <w:highlight w:val="none"/>
        </w:rPr>
      </w:pPr>
      <w:r>
        <w:rPr>
          <w:rFonts w:hint="eastAsia" w:ascii="宋体" w:hAnsi="宋体" w:eastAsia="宋体" w:cs="宋体"/>
          <w:color w:val="auto"/>
          <w:szCs w:val="21"/>
          <w:highlight w:val="none"/>
        </w:rPr>
        <w:t>特别提醒:</w:t>
      </w:r>
    </w:p>
    <w:p>
      <w:pPr>
        <w:spacing w:line="48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1、因上述扫描件不清晰无法辨认、或提供的关键信息不全、更新不及时导致被采购人或评标委员会评委认定为无效投标的，其不利的后果由投标人自行承担。</w:t>
      </w:r>
    </w:p>
    <w:p>
      <w:pPr>
        <w:spacing w:line="48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2、因疫情防控、资质换证就位或其他非主观原因显示上述证书过期的，主管部门对证书有效期延长有特殊规定的，投标时需提供相关说明，资格审查方予通过。</w:t>
      </w:r>
    </w:p>
    <w:p>
      <w:pPr>
        <w:spacing w:line="48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3、若中标候选人上述有关证书有效性被质疑的，被质疑人出具发证机关证明或通过二维码或证书查询系统能够证明有效即可。</w:t>
      </w:r>
    </w:p>
    <w:p>
      <w:pPr>
        <w:spacing w:line="48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4、采购人或评标委员会的审查或评审仅针对投标文件提交截止时间前投标人提交的投标文件（包含以链接形式提供的附件资料）进行审查或评审，投标人后续撤回、修改、补充、更新、作废诚信库信息，不影响按照投标文件提交截止时间前投标人提交的投标文件形成的审查或评审结果。投标人若需要更正投标资料信息，应在投标文件提交截止时间前撤回投标文件，重新勾选投标资料后上传。投标文件提交后，投标人不得对投标资料信息进行改动。</w:t>
      </w:r>
      <w:bookmarkStart w:id="182" w:name="_Toc22895"/>
      <w:bookmarkStart w:id="183" w:name="_Toc387526304"/>
      <w:bookmarkStart w:id="184" w:name="_Toc387526396"/>
      <w:bookmarkStart w:id="185" w:name="_Toc508216901"/>
      <w:bookmarkStart w:id="186" w:name="_Toc387526200"/>
      <w:bookmarkStart w:id="187" w:name="_Toc397928571"/>
    </w:p>
    <w:p>
      <w:pPr>
        <w:spacing w:line="48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3.6 投标文件的编制</w:t>
      </w:r>
    </w:p>
    <w:p>
      <w:pPr>
        <w:spacing w:line="48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3.6.1 投标文件应按第六章“投标文件格式”进行编写，如有必要可自行增加，作为投标文件的组成部分。</w:t>
      </w:r>
    </w:p>
    <w:p>
      <w:pPr>
        <w:spacing w:line="48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3.6.2 电子投标文件应使用“</w:t>
      </w:r>
      <w:r>
        <w:rPr>
          <w:rFonts w:hint="eastAsia" w:ascii="宋体" w:hAnsi="宋体" w:eastAsia="宋体" w:cs="宋体"/>
          <w:b/>
          <w:bCs/>
          <w:color w:val="auto"/>
          <w:szCs w:val="21"/>
          <w:highlight w:val="none"/>
        </w:rPr>
        <w:t>新点电子交易平台-大丰政府采购系统</w:t>
      </w:r>
      <w:r>
        <w:rPr>
          <w:rFonts w:hint="eastAsia" w:ascii="宋体" w:hAnsi="宋体" w:eastAsia="宋体" w:cs="宋体"/>
          <w:color w:val="auto"/>
          <w:szCs w:val="21"/>
          <w:highlight w:val="none"/>
        </w:rPr>
        <w:t>”可接受的投标文件制作工具进行编制和加密，并在投标文件提交截止时间前上传至“</w:t>
      </w:r>
      <w:r>
        <w:rPr>
          <w:rFonts w:hint="eastAsia" w:ascii="宋体" w:hAnsi="宋体" w:eastAsia="宋体" w:cs="宋体"/>
          <w:b/>
          <w:bCs/>
          <w:color w:val="auto"/>
          <w:szCs w:val="21"/>
          <w:highlight w:val="none"/>
        </w:rPr>
        <w:t>新点电子交易平台-大丰政府采购系统</w:t>
      </w:r>
      <w:r>
        <w:rPr>
          <w:rFonts w:hint="eastAsia" w:ascii="宋体" w:hAnsi="宋体" w:eastAsia="宋体" w:cs="宋体"/>
          <w:color w:val="auto"/>
          <w:szCs w:val="21"/>
          <w:highlight w:val="none"/>
        </w:rPr>
        <w:t>”中。</w:t>
      </w:r>
    </w:p>
    <w:p>
      <w:pPr>
        <w:spacing w:line="48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3.6.3 投标文件中涉及从企业诚信库中获取的材料见本章第3.1.1项，投标人应在相应章节中建立相应链接（点击后可自动进入企业诚信库查看相应原件彩色扫描件，并作为投标文件组成部分）。对已在投标文件中链接的企业诚信库材料进行更新的，投标文件须重新链接获取相应信息。</w:t>
      </w:r>
    </w:p>
    <w:p>
      <w:pPr>
        <w:spacing w:line="48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人有义务核查投标文件中相应链接，以及从企业诚信库中获取扫描件的有效性和真实性，如存在扫描件无效、不清晰、不完整或链接无效等情形的，投标人应及时更新企业诚信库相关材料，并重新链接获取相应信息。</w:t>
      </w:r>
    </w:p>
    <w:p>
      <w:pPr>
        <w:spacing w:line="48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必须从诚信库获取的材料，须通过互联网可以查询，未按本项要求从企业诚信库中获取的，视为未提供，在评标时该材料不予认可。</w:t>
      </w:r>
    </w:p>
    <w:p>
      <w:pPr>
        <w:spacing w:line="48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投标人须知前附表3.1.1条无需从诚信库勾选的材料，编制投标文件时直接提供扫描件上传至投标文件制作工具其他材料栏。</w:t>
      </w:r>
    </w:p>
    <w:p>
      <w:pPr>
        <w:spacing w:line="48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3.6.4投标文件应当对招标文件有关工期、投标有效期、质量要求、技术标准和要求、招标范围等实质性内容作出响应。</w:t>
      </w:r>
    </w:p>
    <w:p>
      <w:pPr>
        <w:pStyle w:val="4"/>
        <w:spacing w:before="0" w:after="0" w:line="48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3.6.5补充内容：投标文件编制的其它要求详见投标人须知前附表。</w:t>
      </w:r>
    </w:p>
    <w:p>
      <w:pPr>
        <w:pStyle w:val="4"/>
        <w:spacing w:before="0" w:after="0" w:line="48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3.7 备选投标方案</w:t>
      </w:r>
      <w:bookmarkEnd w:id="176"/>
      <w:bookmarkEnd w:id="177"/>
      <w:bookmarkEnd w:id="178"/>
      <w:bookmarkEnd w:id="182"/>
      <w:bookmarkEnd w:id="183"/>
      <w:bookmarkEnd w:id="184"/>
      <w:bookmarkEnd w:id="185"/>
      <w:bookmarkEnd w:id="186"/>
      <w:bookmarkEnd w:id="187"/>
    </w:p>
    <w:p>
      <w:pPr>
        <w:spacing w:line="48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除投标人须知前附表另有规定外，投标人不得提交备选投标方案。允许投标人提交备选投标方案的，只有中标候选人的投标人，其所提交的备选投标方案方可予以考虑。评标委员会认为中标候选人的备选投标方案优于其按照招标文件要求编制的投标方案的，招标人可以接受该备选投标方案。</w:t>
      </w:r>
      <w:bookmarkStart w:id="188" w:name="_Toc369077564"/>
      <w:bookmarkStart w:id="189" w:name="_Toc508216903"/>
      <w:bookmarkStart w:id="190" w:name="_Toc367894801"/>
      <w:bookmarkStart w:id="191" w:name="_Toc387526202"/>
      <w:bookmarkStart w:id="192" w:name="_Toc184635074"/>
      <w:bookmarkStart w:id="193" w:name="_Toc363329373"/>
      <w:bookmarkStart w:id="194" w:name="_Toc387526306"/>
      <w:bookmarkStart w:id="195" w:name="_Toc368760430"/>
      <w:bookmarkStart w:id="196" w:name="_Toc368759378"/>
      <w:bookmarkStart w:id="197" w:name="_Toc397928573"/>
      <w:bookmarkStart w:id="198" w:name="_Toc387526398"/>
      <w:bookmarkStart w:id="199" w:name="_Toc24421"/>
      <w:bookmarkStart w:id="200" w:name="_Toc363329374"/>
      <w:bookmarkStart w:id="201" w:name="_Toc368759379"/>
      <w:bookmarkStart w:id="202" w:name="_Toc184635075"/>
      <w:bookmarkStart w:id="203" w:name="_Toc367894802"/>
    </w:p>
    <w:p>
      <w:pPr>
        <w:spacing w:line="480" w:lineRule="exact"/>
        <w:ind w:firstLine="422" w:firstLineChars="200"/>
        <w:rPr>
          <w:rFonts w:hint="eastAsia" w:ascii="宋体" w:hAnsi="宋体" w:eastAsia="宋体" w:cs="宋体"/>
          <w:color w:val="auto"/>
          <w:szCs w:val="21"/>
          <w:highlight w:val="none"/>
        </w:rPr>
      </w:pPr>
      <w:r>
        <w:rPr>
          <w:rFonts w:hint="eastAsia" w:ascii="宋体" w:hAnsi="宋体" w:eastAsia="宋体" w:cs="宋体"/>
          <w:b/>
          <w:bCs/>
          <w:color w:val="auto"/>
          <w:szCs w:val="21"/>
          <w:highlight w:val="none"/>
        </w:rPr>
        <w:t>4.投标</w:t>
      </w:r>
      <w:bookmarkEnd w:id="188"/>
      <w:bookmarkEnd w:id="189"/>
      <w:bookmarkEnd w:id="190"/>
      <w:bookmarkEnd w:id="191"/>
      <w:bookmarkEnd w:id="192"/>
      <w:bookmarkEnd w:id="193"/>
      <w:bookmarkEnd w:id="194"/>
      <w:bookmarkEnd w:id="195"/>
      <w:bookmarkEnd w:id="196"/>
      <w:bookmarkEnd w:id="197"/>
      <w:bookmarkEnd w:id="198"/>
      <w:bookmarkEnd w:id="199"/>
    </w:p>
    <w:p>
      <w:pPr>
        <w:spacing w:line="48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4.1 投标文件的加密和数字证书认证</w:t>
      </w:r>
    </w:p>
    <w:p>
      <w:pPr>
        <w:spacing w:line="48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4.1.1 投标文件应使用数字证书认证并加密。</w:t>
      </w:r>
    </w:p>
    <w:p>
      <w:pPr>
        <w:spacing w:line="48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4.1.2 未按本章第4.1.1项要求加密和数字证书认证的投标文件，招标人拒收。</w:t>
      </w:r>
    </w:p>
    <w:p>
      <w:pPr>
        <w:spacing w:line="48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4.2 投标文件的提交</w:t>
      </w:r>
    </w:p>
    <w:p>
      <w:pPr>
        <w:spacing w:line="48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4.2.1 投标人应在招标文件规定的投标文件提交截止时间前完成投标文件的提交。电子档投标文件的提交是指使用</w:t>
      </w:r>
      <w:r>
        <w:rPr>
          <w:rFonts w:hint="eastAsia" w:ascii="宋体" w:hAnsi="宋体" w:eastAsia="宋体" w:cs="宋体"/>
          <w:b/>
          <w:bCs/>
          <w:color w:val="auto"/>
          <w:szCs w:val="21"/>
          <w:highlight w:val="none"/>
        </w:rPr>
        <w:t>新点电子交易平台-大丰政府采购系统</w:t>
      </w:r>
      <w:r>
        <w:rPr>
          <w:rFonts w:hint="eastAsia" w:ascii="宋体" w:hAnsi="宋体" w:eastAsia="宋体" w:cs="宋体"/>
          <w:color w:val="auto"/>
          <w:szCs w:val="21"/>
          <w:highlight w:val="none"/>
        </w:rPr>
        <w:t>在投标文件提交截止时间前完成投标文件的上传。</w:t>
      </w:r>
    </w:p>
    <w:p>
      <w:pPr>
        <w:spacing w:line="48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4.2.2 投标人提交投标文件的地点：见投标人须知前附表。</w:t>
      </w:r>
    </w:p>
    <w:p>
      <w:pPr>
        <w:spacing w:line="48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4.2.3 除招标文件另有规定外，投标人所提交的投标文件不予退还。</w:t>
      </w:r>
    </w:p>
    <w:p>
      <w:pPr>
        <w:spacing w:line="48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4.2.4中标单位在中标结果公告后、领取中标通知书前必须提供与投标文件电子标书一致的纸质投标文件加盖投标人单位鲜红公章并装订成册（共五套：正本一套、副本四套）以供招标人、招标代理机构及公共资源交易中心存档。纸质投标文件应使用CA系统打印，且必须保证与评标时的电子标书完全一致。</w:t>
      </w:r>
    </w:p>
    <w:p>
      <w:pPr>
        <w:spacing w:line="48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4.2.5有下列情形之一的投标文件拒收并退回：</w:t>
      </w:r>
    </w:p>
    <w:p>
      <w:pPr>
        <w:spacing w:line="48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1）投标文件逾期提交的或者未在指定时间内完成投标文件解密的。</w:t>
      </w:r>
    </w:p>
    <w:p>
      <w:pPr>
        <w:spacing w:line="48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2）投标人CA锁无法解密投标文件的。</w:t>
      </w:r>
    </w:p>
    <w:p>
      <w:pPr>
        <w:spacing w:line="48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4.3 投标文件的修改与撤回</w:t>
      </w:r>
    </w:p>
    <w:p>
      <w:pPr>
        <w:spacing w:line="48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4.3.1 在投标人须知前附表规定的投标文件提交截止时间前，投标人可以多次修改或撤回已提交的投标文件，最终投标文件以投标文件提交截止时间前完成上传至</w:t>
      </w:r>
      <w:r>
        <w:rPr>
          <w:rFonts w:hint="eastAsia" w:ascii="宋体" w:hAnsi="宋体" w:eastAsia="宋体" w:cs="宋体"/>
          <w:b/>
          <w:bCs/>
          <w:color w:val="auto"/>
          <w:szCs w:val="21"/>
          <w:highlight w:val="none"/>
        </w:rPr>
        <w:t>新点电子交易平台-大丰政府采购系统</w:t>
      </w:r>
      <w:r>
        <w:rPr>
          <w:rFonts w:hint="eastAsia" w:ascii="宋体" w:hAnsi="宋体" w:eastAsia="宋体" w:cs="宋体"/>
          <w:color w:val="auto"/>
          <w:szCs w:val="21"/>
          <w:highlight w:val="none"/>
        </w:rPr>
        <w:t>最后一份投标文件为准。</w:t>
      </w:r>
    </w:p>
    <w:p>
      <w:pPr>
        <w:spacing w:line="48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4.3.2 修改的投标文件应按照本章第3.6条、第4.2条规定进行编制和提交。</w:t>
      </w:r>
    </w:p>
    <w:p>
      <w:pPr>
        <w:spacing w:line="48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4.3.3投标文件提交截止时间之后，在投标有效期内，投标人不得修改或撤回投标文件。</w:t>
      </w:r>
    </w:p>
    <w:p>
      <w:pPr>
        <w:pStyle w:val="153"/>
        <w:spacing w:before="0" w:after="0" w:line="480" w:lineRule="exact"/>
        <w:ind w:firstLine="422" w:firstLineChars="200"/>
        <w:rPr>
          <w:rFonts w:hint="eastAsia" w:ascii="宋体" w:hAnsi="宋体" w:eastAsia="宋体" w:cs="宋体"/>
          <w:color w:val="auto"/>
          <w:sz w:val="21"/>
          <w:szCs w:val="21"/>
          <w:highlight w:val="none"/>
        </w:rPr>
      </w:pPr>
      <w:bookmarkStart w:id="204" w:name="_Toc368760431"/>
      <w:bookmarkStart w:id="205" w:name="_Toc397928578"/>
      <w:bookmarkStart w:id="206" w:name="_Toc387526310"/>
      <w:bookmarkStart w:id="207" w:name="_Toc22329"/>
      <w:bookmarkStart w:id="208" w:name="_Toc369077565"/>
      <w:bookmarkStart w:id="209" w:name="_Toc387526206"/>
      <w:bookmarkStart w:id="210" w:name="_Toc508216908"/>
      <w:bookmarkStart w:id="211" w:name="_Toc387526402"/>
      <w:bookmarkStart w:id="212" w:name="_Toc368759381"/>
      <w:bookmarkStart w:id="213" w:name="_Toc366679697"/>
      <w:bookmarkStart w:id="214" w:name="_Toc152045566"/>
      <w:bookmarkStart w:id="215" w:name="_Toc179632584"/>
      <w:bookmarkStart w:id="216" w:name="_Toc152042342"/>
      <w:bookmarkStart w:id="217" w:name="_Toc144974534"/>
      <w:bookmarkStart w:id="218" w:name="_Toc247085724"/>
      <w:bookmarkStart w:id="219" w:name="_Toc246996210"/>
      <w:bookmarkStart w:id="220" w:name="_Toc246996953"/>
      <w:r>
        <w:rPr>
          <w:rFonts w:hint="eastAsia" w:ascii="宋体" w:hAnsi="宋体" w:eastAsia="宋体" w:cs="宋体"/>
          <w:color w:val="auto"/>
          <w:sz w:val="21"/>
          <w:szCs w:val="21"/>
          <w:highlight w:val="none"/>
        </w:rPr>
        <w:t>5.开标</w:t>
      </w:r>
      <w:bookmarkEnd w:id="204"/>
      <w:bookmarkEnd w:id="205"/>
      <w:bookmarkEnd w:id="206"/>
      <w:bookmarkEnd w:id="207"/>
      <w:bookmarkEnd w:id="208"/>
      <w:bookmarkEnd w:id="209"/>
      <w:bookmarkEnd w:id="210"/>
      <w:bookmarkEnd w:id="211"/>
    </w:p>
    <w:p>
      <w:pPr>
        <w:spacing w:line="480" w:lineRule="exact"/>
        <w:ind w:firstLine="420" w:firstLineChars="200"/>
        <w:rPr>
          <w:rFonts w:hint="eastAsia" w:ascii="宋体" w:hAnsi="宋体" w:eastAsia="宋体" w:cs="宋体"/>
          <w:color w:val="auto"/>
          <w:szCs w:val="21"/>
          <w:highlight w:val="none"/>
        </w:rPr>
      </w:pPr>
      <w:bookmarkStart w:id="221" w:name="_Toc368760432"/>
      <w:bookmarkStart w:id="222" w:name="_Toc397928581"/>
      <w:bookmarkStart w:id="223" w:name="_Toc22517"/>
      <w:bookmarkStart w:id="224" w:name="_Toc369077566"/>
      <w:bookmarkStart w:id="225" w:name="_Toc387526313"/>
      <w:bookmarkStart w:id="226" w:name="_Toc367894803"/>
      <w:bookmarkStart w:id="227" w:name="_Toc387526209"/>
      <w:bookmarkStart w:id="228" w:name="_Toc387526405"/>
      <w:bookmarkStart w:id="229" w:name="_Toc368759380"/>
      <w:bookmarkStart w:id="230" w:name="_Toc184635076"/>
      <w:bookmarkStart w:id="231" w:name="_Toc363329375"/>
      <w:r>
        <w:rPr>
          <w:rFonts w:hint="eastAsia" w:ascii="宋体" w:hAnsi="宋体" w:eastAsia="宋体" w:cs="宋体"/>
          <w:color w:val="auto"/>
          <w:szCs w:val="21"/>
          <w:highlight w:val="none"/>
        </w:rPr>
        <w:t>5.1 开标时间、地点和投标人参会代表</w:t>
      </w:r>
    </w:p>
    <w:p>
      <w:pPr>
        <w:spacing w:line="48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5.1.1详见投标人须知前附表规定的时间、地点和投标人参会代表；</w:t>
      </w:r>
    </w:p>
    <w:p>
      <w:pPr>
        <w:spacing w:line="48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5.2 开标程序</w:t>
      </w:r>
    </w:p>
    <w:p>
      <w:pPr>
        <w:spacing w:line="480" w:lineRule="exact"/>
        <w:ind w:firstLine="422" w:firstLineChars="200"/>
        <w:rPr>
          <w:rFonts w:hint="eastAsia" w:ascii="宋体" w:hAnsi="宋体" w:eastAsia="宋体" w:cs="宋体"/>
          <w:color w:val="auto"/>
          <w:szCs w:val="21"/>
          <w:highlight w:val="none"/>
        </w:rPr>
      </w:pPr>
      <w:r>
        <w:rPr>
          <w:rFonts w:hint="eastAsia" w:ascii="宋体" w:hAnsi="宋体" w:eastAsia="宋体" w:cs="宋体"/>
          <w:b/>
          <w:bCs/>
          <w:color w:val="auto"/>
          <w:szCs w:val="21"/>
          <w:highlight w:val="none"/>
        </w:rPr>
        <w:t>A、投标文件解密</w:t>
      </w:r>
    </w:p>
    <w:p>
      <w:pPr>
        <w:spacing w:line="48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投标文件提交截止时间后，招标人通过开标大厅系统发出投标文件解密的指令，投标人解密时间限定在开标大厅系统发出投标文件解密指令后15分钟内完成。</w:t>
      </w:r>
    </w:p>
    <w:p>
      <w:pPr>
        <w:spacing w:line="480" w:lineRule="exact"/>
        <w:ind w:firstLine="422" w:firstLineChars="200"/>
        <w:rPr>
          <w:rFonts w:hint="eastAsia" w:ascii="宋体" w:hAnsi="宋体" w:eastAsia="宋体" w:cs="宋体"/>
          <w:color w:val="auto"/>
          <w:szCs w:val="21"/>
          <w:highlight w:val="none"/>
        </w:rPr>
      </w:pPr>
      <w:r>
        <w:rPr>
          <w:rFonts w:hint="eastAsia" w:ascii="宋体" w:hAnsi="宋体" w:eastAsia="宋体" w:cs="宋体"/>
          <w:b/>
          <w:bCs/>
          <w:color w:val="auto"/>
          <w:szCs w:val="21"/>
          <w:highlight w:val="none"/>
        </w:rPr>
        <w:t>B、开标</w:t>
      </w:r>
    </w:p>
    <w:p>
      <w:pPr>
        <w:spacing w:line="48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1、宣布开标纪律；</w:t>
      </w:r>
    </w:p>
    <w:p>
      <w:pPr>
        <w:spacing w:line="48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2、宣布招标人、招标代理机构、招投标监管部门、交易中心出席开标会的有关人员姓名；</w:t>
      </w:r>
    </w:p>
    <w:p>
      <w:pPr>
        <w:spacing w:line="48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3、招标人（招标代理机构）导入投标文件；</w:t>
      </w:r>
    </w:p>
    <w:p>
      <w:pPr>
        <w:spacing w:line="48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4、当众唱标，宣读投标人名称、标段名称、质量标准、工期、报价、项目负责人及其他内容；</w:t>
      </w:r>
    </w:p>
    <w:p>
      <w:pPr>
        <w:spacing w:line="48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5、投标人对开标有异议的，应当在开标现场提出，由招标人答复并制作记录，未提出异议的视为认同；</w:t>
      </w:r>
    </w:p>
    <w:p>
      <w:pPr>
        <w:spacing w:line="48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6、开标会议结束。</w:t>
      </w:r>
    </w:p>
    <w:p>
      <w:pPr>
        <w:spacing w:line="48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5.3 特殊情况处理</w:t>
      </w:r>
    </w:p>
    <w:p>
      <w:pPr>
        <w:spacing w:line="48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5.3.1因“网上开评标系统”故障，开标活动无法正常进行时，招标人可根据实际情况相应延迟解密时间或调整开标时间。“网上开评标系统”故障是指非投标人原因造成所有投标人电子投标文件均无法解密的情形。部分投标文件无法解密的，不适用该条款。</w:t>
      </w:r>
    </w:p>
    <w:p>
      <w:pPr>
        <w:spacing w:line="48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5.3.2 因投标人原因造成投标文件在规定的时间内未完成解密的，该投标将被拒绝。</w:t>
      </w:r>
    </w:p>
    <w:p>
      <w:pPr>
        <w:spacing w:line="480" w:lineRule="exact"/>
        <w:ind w:firstLine="420" w:firstLineChars="200"/>
        <w:rPr>
          <w:rFonts w:hint="eastAsia" w:ascii="宋体" w:hAnsi="宋体" w:eastAsia="宋体" w:cs="宋体"/>
          <w:b/>
          <w:bCs/>
          <w:color w:val="auto"/>
          <w:szCs w:val="21"/>
          <w:highlight w:val="none"/>
        </w:rPr>
      </w:pPr>
      <w:r>
        <w:rPr>
          <w:rFonts w:hint="eastAsia" w:ascii="宋体" w:hAnsi="宋体" w:eastAsia="宋体" w:cs="宋体"/>
          <w:color w:val="auto"/>
          <w:szCs w:val="21"/>
          <w:highlight w:val="none"/>
        </w:rPr>
        <w:t>5.3.3 投标人对开标有异议的，应当在开标系统中当场提出，招标人当场予以答复，并制作记录。</w:t>
      </w:r>
    </w:p>
    <w:p>
      <w:pPr>
        <w:pStyle w:val="153"/>
        <w:spacing w:before="0" w:after="0" w:line="480" w:lineRule="exact"/>
        <w:ind w:firstLine="422"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6.评标</w:t>
      </w:r>
      <w:bookmarkEnd w:id="221"/>
      <w:bookmarkEnd w:id="222"/>
      <w:bookmarkEnd w:id="223"/>
      <w:bookmarkEnd w:id="224"/>
      <w:bookmarkEnd w:id="225"/>
      <w:bookmarkEnd w:id="226"/>
      <w:bookmarkEnd w:id="227"/>
      <w:bookmarkEnd w:id="228"/>
      <w:bookmarkEnd w:id="229"/>
      <w:bookmarkEnd w:id="230"/>
      <w:bookmarkEnd w:id="231"/>
      <w:bookmarkStart w:id="232" w:name="_Toc9909"/>
      <w:bookmarkStart w:id="233" w:name="_Toc387526314"/>
      <w:bookmarkStart w:id="234" w:name="_Toc387526210"/>
      <w:bookmarkStart w:id="235" w:name="_Toc387526406"/>
      <w:bookmarkStart w:id="236" w:name="_Toc397928582"/>
    </w:p>
    <w:p>
      <w:pPr>
        <w:pStyle w:val="4"/>
        <w:spacing w:before="0" w:after="0" w:line="480" w:lineRule="exact"/>
        <w:ind w:firstLine="420" w:firstLineChars="200"/>
        <w:rPr>
          <w:rFonts w:hint="eastAsia" w:ascii="宋体" w:hAnsi="宋体" w:eastAsia="宋体" w:cs="宋体"/>
          <w:color w:val="auto"/>
          <w:sz w:val="21"/>
          <w:szCs w:val="21"/>
          <w:highlight w:val="none"/>
        </w:rPr>
      </w:pPr>
      <w:bookmarkStart w:id="237" w:name="_Toc508216911"/>
      <w:r>
        <w:rPr>
          <w:rFonts w:hint="eastAsia" w:ascii="宋体" w:hAnsi="宋体" w:eastAsia="宋体" w:cs="宋体"/>
          <w:color w:val="auto"/>
          <w:sz w:val="21"/>
          <w:szCs w:val="21"/>
          <w:highlight w:val="none"/>
        </w:rPr>
        <w:t>6.1 评标委员会</w:t>
      </w:r>
      <w:bookmarkEnd w:id="232"/>
      <w:bookmarkEnd w:id="233"/>
      <w:bookmarkEnd w:id="234"/>
      <w:bookmarkEnd w:id="235"/>
      <w:bookmarkEnd w:id="236"/>
      <w:bookmarkEnd w:id="237"/>
    </w:p>
    <w:p>
      <w:pPr>
        <w:spacing w:line="480" w:lineRule="exact"/>
        <w:ind w:firstLine="420" w:firstLineChars="200"/>
        <w:rPr>
          <w:rFonts w:hint="eastAsia" w:ascii="宋体" w:hAnsi="宋体" w:eastAsia="宋体" w:cs="宋体"/>
          <w:color w:val="auto"/>
          <w:szCs w:val="21"/>
          <w:highlight w:val="none"/>
        </w:rPr>
      </w:pPr>
      <w:bookmarkStart w:id="238" w:name="_Toc269310951"/>
      <w:bookmarkStart w:id="239" w:name="_Toc324255922"/>
      <w:bookmarkStart w:id="240" w:name="_Toc339359778"/>
      <w:r>
        <w:rPr>
          <w:rFonts w:hint="eastAsia" w:ascii="宋体" w:hAnsi="宋体" w:eastAsia="宋体" w:cs="宋体"/>
          <w:color w:val="auto"/>
          <w:szCs w:val="21"/>
          <w:highlight w:val="none"/>
        </w:rPr>
        <w:t>6.1.1 评标由招标人依法组建的评标委员会负责。评标委员会由招标人代表以及有关技术、经济等方面的专家组成。评标委员会成员人数以及技术、经济等方面专家的确定方式见投标人须知前附表。</w:t>
      </w:r>
    </w:p>
    <w:p>
      <w:pPr>
        <w:spacing w:line="48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6.1.2 评标委员会成员有下列情形之一的，应当回避：</w:t>
      </w:r>
    </w:p>
    <w:p>
      <w:pPr>
        <w:spacing w:line="48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（1）投标人或投标人主要负责人的近亲属；</w:t>
      </w:r>
    </w:p>
    <w:p>
      <w:pPr>
        <w:spacing w:line="48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（2）项目主管部门或者行政监督部门的人员；</w:t>
      </w:r>
    </w:p>
    <w:p>
      <w:pPr>
        <w:spacing w:line="48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（3）与投标人有经济利益关系；</w:t>
      </w:r>
    </w:p>
    <w:p>
      <w:pPr>
        <w:spacing w:line="48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（4）曾因在招标、评标以及其他与招标投标有关活动中从事违法行为而受过行政处罚或刑事处罚的，且在处罚期内。</w:t>
      </w:r>
    </w:p>
    <w:p>
      <w:pPr>
        <w:pStyle w:val="4"/>
        <w:spacing w:before="0" w:after="0" w:line="480" w:lineRule="exact"/>
        <w:ind w:firstLine="420" w:firstLineChars="200"/>
        <w:rPr>
          <w:rFonts w:hint="eastAsia" w:ascii="宋体" w:hAnsi="宋体" w:eastAsia="宋体" w:cs="宋体"/>
          <w:color w:val="auto"/>
          <w:sz w:val="21"/>
          <w:szCs w:val="21"/>
          <w:highlight w:val="none"/>
        </w:rPr>
      </w:pPr>
      <w:bookmarkStart w:id="241" w:name="_Toc508216912"/>
      <w:bookmarkStart w:id="242" w:name="_Toc387526211"/>
      <w:bookmarkStart w:id="243" w:name="_Toc387526407"/>
      <w:bookmarkStart w:id="244" w:name="_Toc12316"/>
      <w:bookmarkStart w:id="245" w:name="_Toc397928583"/>
      <w:bookmarkStart w:id="246" w:name="_Toc387526315"/>
      <w:r>
        <w:rPr>
          <w:rFonts w:hint="eastAsia" w:ascii="宋体" w:hAnsi="宋体" w:eastAsia="宋体" w:cs="宋体"/>
          <w:color w:val="auto"/>
          <w:sz w:val="21"/>
          <w:szCs w:val="21"/>
          <w:highlight w:val="none"/>
        </w:rPr>
        <w:t>6.2</w:t>
      </w:r>
      <w:bookmarkEnd w:id="238"/>
      <w:bookmarkEnd w:id="239"/>
      <w:bookmarkEnd w:id="240"/>
      <w:r>
        <w:rPr>
          <w:rFonts w:hint="eastAsia" w:ascii="宋体" w:hAnsi="宋体" w:eastAsia="宋体" w:cs="宋体"/>
          <w:color w:val="auto"/>
          <w:sz w:val="21"/>
          <w:szCs w:val="21"/>
          <w:highlight w:val="none"/>
        </w:rPr>
        <w:t xml:space="preserve"> 评标原则</w:t>
      </w:r>
      <w:bookmarkEnd w:id="241"/>
      <w:bookmarkEnd w:id="242"/>
      <w:bookmarkEnd w:id="243"/>
      <w:bookmarkEnd w:id="244"/>
      <w:bookmarkEnd w:id="245"/>
      <w:bookmarkEnd w:id="246"/>
    </w:p>
    <w:p>
      <w:pPr>
        <w:spacing w:line="48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评标活动遵循公平、公正、科学和择优的原则。</w:t>
      </w:r>
    </w:p>
    <w:p>
      <w:pPr>
        <w:pStyle w:val="4"/>
        <w:spacing w:before="0" w:after="0" w:line="480" w:lineRule="exact"/>
        <w:ind w:firstLine="420" w:firstLineChars="200"/>
        <w:rPr>
          <w:rFonts w:hint="eastAsia" w:ascii="宋体" w:hAnsi="宋体" w:eastAsia="宋体" w:cs="宋体"/>
          <w:color w:val="auto"/>
          <w:sz w:val="21"/>
          <w:szCs w:val="21"/>
          <w:highlight w:val="none"/>
        </w:rPr>
      </w:pPr>
      <w:bookmarkStart w:id="247" w:name="_Toc247085723"/>
      <w:bookmarkStart w:id="248" w:name="_Toc387526408"/>
      <w:bookmarkStart w:id="249" w:name="_Toc144974533"/>
      <w:bookmarkStart w:id="250" w:name="_Toc366679696"/>
      <w:bookmarkStart w:id="251" w:name="_Toc152045565"/>
      <w:bookmarkStart w:id="252" w:name="_Toc246996209"/>
      <w:bookmarkStart w:id="253" w:name="_Toc508216913"/>
      <w:bookmarkStart w:id="254" w:name="_Toc387526316"/>
      <w:bookmarkStart w:id="255" w:name="_Toc387526212"/>
      <w:bookmarkStart w:id="256" w:name="_Toc397928584"/>
      <w:bookmarkStart w:id="257" w:name="_Toc246996952"/>
      <w:bookmarkStart w:id="258" w:name="_Toc152042341"/>
      <w:bookmarkStart w:id="259" w:name="_Toc6500"/>
      <w:bookmarkStart w:id="260" w:name="_Toc179632583"/>
      <w:r>
        <w:rPr>
          <w:rFonts w:hint="eastAsia" w:ascii="宋体" w:hAnsi="宋体" w:eastAsia="宋体" w:cs="宋体"/>
          <w:color w:val="auto"/>
          <w:sz w:val="21"/>
          <w:szCs w:val="21"/>
          <w:highlight w:val="none"/>
        </w:rPr>
        <w:t>6.3 评标</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pPr>
        <w:spacing w:line="48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评标委员会按照第三章“评标办法”规定的方法、评审因素、标准和程序对投标文件进行评审。第三章“评标办法”没有规定的方法、评审因素和标准，不作为评标依据。</w:t>
      </w:r>
    </w:p>
    <w:p>
      <w:pPr>
        <w:pStyle w:val="4"/>
        <w:spacing w:before="0" w:after="0" w:line="480" w:lineRule="exact"/>
        <w:ind w:firstLine="420" w:firstLineChars="200"/>
        <w:rPr>
          <w:rFonts w:hint="eastAsia" w:ascii="宋体" w:hAnsi="宋体" w:eastAsia="宋体" w:cs="宋体"/>
          <w:color w:val="auto"/>
          <w:sz w:val="21"/>
          <w:szCs w:val="21"/>
          <w:highlight w:val="none"/>
        </w:rPr>
      </w:pPr>
      <w:bookmarkStart w:id="261" w:name="_Toc508216915"/>
      <w:r>
        <w:rPr>
          <w:rFonts w:hint="eastAsia" w:ascii="宋体" w:hAnsi="宋体" w:eastAsia="宋体" w:cs="宋体"/>
          <w:color w:val="auto"/>
          <w:sz w:val="21"/>
          <w:szCs w:val="21"/>
          <w:highlight w:val="none"/>
        </w:rPr>
        <w:t>6.4无效标书条款</w:t>
      </w:r>
      <w:bookmarkEnd w:id="261"/>
    </w:p>
    <w:p>
      <w:pPr>
        <w:shd w:val="clear" w:color="auto" w:fill="FFFFFF"/>
        <w:spacing w:line="48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投标文件有下列情况之一的，属于重大偏差，视为未能对招标文件作出实质性响应，应当作为无效投标予以否决：</w:t>
      </w:r>
    </w:p>
    <w:p>
      <w:pPr>
        <w:shd w:val="clear" w:color="auto" w:fill="FFFFFF"/>
        <w:spacing w:line="48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（1）投标文件中的投标函未加盖投标人的公章；</w:t>
      </w:r>
    </w:p>
    <w:p>
      <w:pPr>
        <w:shd w:val="clear" w:color="auto" w:fill="FFFFFF"/>
        <w:spacing w:line="48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（2）投标文件中的投标函无企业法定代表人（或企业法定代表人委托代理人）印章（或签字）的；</w:t>
      </w:r>
    </w:p>
    <w:p>
      <w:pPr>
        <w:shd w:val="clear" w:color="auto" w:fill="FFFFFF"/>
        <w:spacing w:line="48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（3）如投标函由企业法定代表人委托代理人加盖印章（或签字）的，企业法定代表人委托代理人没有合法、有效的委托书（原件）的；</w:t>
      </w:r>
    </w:p>
    <w:p>
      <w:pPr>
        <w:shd w:val="clear" w:color="auto" w:fill="FFFFFF"/>
        <w:spacing w:line="48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（4）投标人资格条件不符合国家有关规定或招标文件要求的； </w:t>
      </w:r>
    </w:p>
    <w:p>
      <w:pPr>
        <w:shd w:val="clear" w:color="auto" w:fill="FFFFFF"/>
        <w:spacing w:line="48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（5）投标文件技术规格中一般参数超出招标文件允许偏离的最大范围或最高项数的；</w:t>
      </w:r>
    </w:p>
    <w:p>
      <w:pPr>
        <w:shd w:val="clear" w:color="auto" w:fill="FFFFFF"/>
        <w:spacing w:line="48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（6）投标报价高于招标文件设定的最高投标限价的； </w:t>
      </w:r>
    </w:p>
    <w:p>
      <w:pPr>
        <w:shd w:val="clear" w:color="auto" w:fill="FFFFFF"/>
        <w:spacing w:line="48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（7）投标文件的组成不符合招标文件要求的；</w:t>
      </w:r>
    </w:p>
    <w:p>
      <w:pPr>
        <w:shd w:val="clear" w:color="auto" w:fill="FFFFFF"/>
        <w:spacing w:line="48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（8）投标人递交两份或多份内容不同的投标文件，或在一份投标文件中对同一招标货物报有两个或多个报价，且未声明哪一个为最终报价的，按招标文件规定提交备选投标方案的除外；</w:t>
      </w:r>
    </w:p>
    <w:p>
      <w:pPr>
        <w:shd w:val="clear" w:color="auto" w:fill="FFFFFF"/>
        <w:spacing w:line="48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（9）与招标文件提供的货物（设备）清单中的清单数量或规格不相同的；  </w:t>
      </w:r>
    </w:p>
    <w:p>
      <w:pPr>
        <w:shd w:val="clear" w:color="auto" w:fill="FFFFFF"/>
        <w:spacing w:line="48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（10）投标文件载明的招标项目完成期限超过招标文件规定的期限的，或交货期达不到招标文件规定期限的要求； </w:t>
      </w:r>
    </w:p>
    <w:p>
      <w:pPr>
        <w:shd w:val="clear" w:color="auto" w:fill="FFFFFF"/>
        <w:spacing w:line="48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（11）明显不符合技术规范、技术标准的要求的； </w:t>
      </w:r>
    </w:p>
    <w:p>
      <w:pPr>
        <w:shd w:val="clear" w:color="auto" w:fill="FFFFFF"/>
        <w:spacing w:line="48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（12）投标文件载明的货物包装方式、检验标准和方法等不符合招标文件的要求的； </w:t>
      </w:r>
    </w:p>
    <w:p>
      <w:pPr>
        <w:shd w:val="clear" w:color="auto" w:fill="FFFFFF"/>
        <w:spacing w:line="48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（13）投标文件提出的工程验收、计量、价款结算和付款方式不能满足招标文件要求或招标人不能接受；</w:t>
      </w:r>
    </w:p>
    <w:p>
      <w:pPr>
        <w:shd w:val="clear" w:color="auto" w:fill="FFFFFF"/>
        <w:spacing w:line="48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（14）不同投标人的投标文件出现了评标委员会认为不应当雷同的情况的； </w:t>
      </w:r>
    </w:p>
    <w:p>
      <w:pPr>
        <w:shd w:val="clear" w:color="auto" w:fill="FFFFFF"/>
        <w:spacing w:line="48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（15）以他人的名义投标、串通投标、以行贿手段谋取中标或者以其他弄虚作假方式投标的。</w:t>
      </w:r>
    </w:p>
    <w:p>
      <w:pPr>
        <w:spacing w:line="480" w:lineRule="exact"/>
        <w:ind w:firstLine="422" w:firstLineChars="200"/>
        <w:rPr>
          <w:rFonts w:hint="eastAsia" w:ascii="宋体" w:hAnsi="宋体" w:eastAsia="宋体" w:cs="宋体"/>
          <w:color w:val="auto"/>
          <w:szCs w:val="21"/>
          <w:highlight w:val="none"/>
        </w:rPr>
      </w:pPr>
      <w:r>
        <w:rPr>
          <w:rFonts w:hint="eastAsia" w:ascii="宋体" w:hAnsi="宋体" w:eastAsia="宋体" w:cs="宋体"/>
          <w:b/>
          <w:bCs/>
          <w:color w:val="auto"/>
          <w:szCs w:val="21"/>
          <w:highlight w:val="none"/>
        </w:rPr>
        <w:t>凡招标文件未明确的无效标条件，评标委员会不得作为判定无效标的依据，评标委员会也不得以不符合招标文件中规定的其他实质性要求作为判定无效标的依据。</w:t>
      </w:r>
    </w:p>
    <w:p>
      <w:pPr>
        <w:pStyle w:val="4"/>
        <w:spacing w:before="0" w:after="0" w:line="480" w:lineRule="exact"/>
        <w:ind w:firstLine="420" w:firstLineChars="200"/>
        <w:rPr>
          <w:rFonts w:hint="eastAsia" w:ascii="宋体" w:hAnsi="宋体" w:eastAsia="宋体" w:cs="宋体"/>
          <w:color w:val="auto"/>
          <w:sz w:val="21"/>
          <w:szCs w:val="21"/>
          <w:highlight w:val="none"/>
        </w:rPr>
      </w:pPr>
      <w:bookmarkStart w:id="262" w:name="_Toc508216916"/>
      <w:r>
        <w:rPr>
          <w:rFonts w:hint="eastAsia" w:ascii="宋体" w:hAnsi="宋体" w:eastAsia="宋体" w:cs="宋体"/>
          <w:color w:val="auto"/>
          <w:sz w:val="21"/>
          <w:szCs w:val="21"/>
          <w:highlight w:val="none"/>
        </w:rPr>
        <w:t>6.5重新招标</w:t>
      </w:r>
      <w:bookmarkEnd w:id="262"/>
    </w:p>
    <w:p>
      <w:pPr>
        <w:spacing w:line="48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依法必须进行招标的项目，提交投标文件的投标人少于三个的，招标人在分析招标失败的原因并采取相应措施后，应当依法重新招标。重新招标后投标人仍少于三个的，按国家有关规定需要履行审批、核准手续的依法必须进行招标的项目，报项目审批、核准部门审批、核准后可以不再进行招标。</w:t>
      </w:r>
    </w:p>
    <w:p>
      <w:pPr>
        <w:spacing w:line="48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依法必须招标的项目评标委员会否决所有投标的，或者评标委员会否决一部分投标后其他有效投标不足三个使得投标明显缺乏竞争，决定否决全部投标的，招标人在分析招标失败的原因并采取相应措施后，应当依法重新招标。</w:t>
      </w:r>
    </w:p>
    <w:p>
      <w:pPr>
        <w:pStyle w:val="153"/>
        <w:spacing w:before="0" w:after="0" w:line="480" w:lineRule="exact"/>
        <w:ind w:firstLine="422" w:firstLineChars="200"/>
        <w:rPr>
          <w:rFonts w:hint="eastAsia" w:ascii="宋体" w:hAnsi="宋体" w:eastAsia="宋体" w:cs="宋体"/>
          <w:color w:val="auto"/>
          <w:sz w:val="21"/>
          <w:szCs w:val="21"/>
          <w:highlight w:val="none"/>
          <w:lang w:val="en-US" w:eastAsia="zh-CN"/>
        </w:rPr>
      </w:pPr>
      <w:bookmarkStart w:id="263" w:name="_Toc387526213"/>
      <w:bookmarkStart w:id="264" w:name="_Toc508216917"/>
      <w:bookmarkStart w:id="265" w:name="_Toc387526409"/>
      <w:bookmarkStart w:id="266" w:name="_Toc387526317"/>
      <w:bookmarkStart w:id="267" w:name="_Toc397928586"/>
      <w:bookmarkStart w:id="268" w:name="_Toc22985"/>
      <w:bookmarkStart w:id="269" w:name="_Toc368760433"/>
      <w:bookmarkStart w:id="270" w:name="_Toc369077567"/>
      <w:r>
        <w:rPr>
          <w:rFonts w:hint="eastAsia" w:ascii="宋体" w:hAnsi="宋体" w:eastAsia="宋体" w:cs="宋体"/>
          <w:color w:val="auto"/>
          <w:sz w:val="21"/>
          <w:szCs w:val="21"/>
          <w:highlight w:val="none"/>
        </w:rPr>
        <w:t>7.</w:t>
      </w:r>
      <w:bookmarkEnd w:id="263"/>
      <w:bookmarkEnd w:id="264"/>
      <w:bookmarkEnd w:id="265"/>
      <w:bookmarkEnd w:id="266"/>
      <w:bookmarkEnd w:id="267"/>
      <w:bookmarkEnd w:id="268"/>
      <w:r>
        <w:rPr>
          <w:rFonts w:hint="eastAsia" w:ascii="宋体" w:hAnsi="宋体" w:eastAsia="宋体" w:cs="宋体"/>
          <w:color w:val="auto"/>
          <w:sz w:val="21"/>
          <w:szCs w:val="21"/>
          <w:highlight w:val="none"/>
          <w:lang w:val="en-US" w:eastAsia="zh-CN"/>
        </w:rPr>
        <w:t>中标结果公告</w:t>
      </w:r>
    </w:p>
    <w:p>
      <w:pPr>
        <w:spacing w:line="480" w:lineRule="exact"/>
        <w:ind w:firstLine="420" w:firstLineChars="200"/>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7.1 招标代理机构应当自评审结束之日起2个工作日内将评审报告送交招标人。招标人应当自</w:t>
      </w:r>
      <w:r>
        <w:rPr>
          <w:rFonts w:hint="eastAsia" w:ascii="宋体" w:hAnsi="宋体" w:eastAsia="宋体" w:cs="宋体"/>
          <w:color w:val="auto"/>
          <w:szCs w:val="21"/>
          <w:highlight w:val="none"/>
          <w:lang w:val="en-US" w:eastAsia="zh-CN"/>
        </w:rPr>
        <w:t>收</w:t>
      </w:r>
      <w:r>
        <w:rPr>
          <w:rFonts w:hint="eastAsia" w:ascii="宋体" w:hAnsi="宋体" w:eastAsia="宋体" w:cs="宋体"/>
          <w:color w:val="auto"/>
          <w:szCs w:val="21"/>
          <w:highlight w:val="none"/>
        </w:rPr>
        <w:t>到评审报告之日起</w:t>
      </w:r>
      <w:r>
        <w:rPr>
          <w:rFonts w:hint="eastAsia" w:ascii="宋体" w:hAnsi="宋体" w:eastAsia="宋体" w:cs="宋体"/>
          <w:color w:val="auto"/>
          <w:szCs w:val="21"/>
          <w:highlight w:val="none"/>
          <w:lang w:val="en-US" w:eastAsia="zh-CN"/>
        </w:rPr>
        <w:t>5</w:t>
      </w:r>
      <w:r>
        <w:rPr>
          <w:rFonts w:hint="eastAsia" w:ascii="宋体" w:hAnsi="宋体" w:eastAsia="宋体" w:cs="宋体"/>
          <w:color w:val="auto"/>
          <w:szCs w:val="21"/>
          <w:highlight w:val="none"/>
        </w:rPr>
        <w:t>日内在评审报告推荐的中标或者成交候选人中按顺序确定中标或者成交供应商</w:t>
      </w:r>
      <w:r>
        <w:rPr>
          <w:rFonts w:hint="eastAsia" w:ascii="宋体" w:hAnsi="宋体" w:eastAsia="宋体" w:cs="宋体"/>
          <w:color w:val="auto"/>
          <w:szCs w:val="21"/>
          <w:highlight w:val="none"/>
          <w:lang w:eastAsia="zh-CN"/>
        </w:rPr>
        <w:t>。</w:t>
      </w:r>
    </w:p>
    <w:p>
      <w:pPr>
        <w:pStyle w:val="153"/>
        <w:spacing w:before="0" w:after="0" w:line="480" w:lineRule="exact"/>
        <w:ind w:firstLine="422" w:firstLineChars="200"/>
        <w:rPr>
          <w:rFonts w:hint="eastAsia" w:ascii="宋体" w:hAnsi="宋体" w:eastAsia="宋体" w:cs="宋体"/>
          <w:color w:val="auto"/>
          <w:sz w:val="21"/>
          <w:szCs w:val="21"/>
          <w:highlight w:val="none"/>
        </w:rPr>
      </w:pPr>
      <w:bookmarkStart w:id="271" w:name="_Toc397928587"/>
      <w:bookmarkStart w:id="272" w:name="_Toc387526214"/>
      <w:bookmarkStart w:id="273" w:name="_Toc387526410"/>
      <w:bookmarkStart w:id="274" w:name="_Toc387526318"/>
      <w:bookmarkStart w:id="275" w:name="_Toc508216918"/>
      <w:bookmarkStart w:id="276" w:name="_Toc15824"/>
      <w:r>
        <w:rPr>
          <w:rFonts w:hint="eastAsia" w:ascii="宋体" w:hAnsi="宋体" w:eastAsia="宋体" w:cs="宋体"/>
          <w:color w:val="auto"/>
          <w:sz w:val="21"/>
          <w:szCs w:val="21"/>
          <w:highlight w:val="none"/>
        </w:rPr>
        <w:t>8.合同授予</w:t>
      </w:r>
      <w:bookmarkEnd w:id="212"/>
      <w:bookmarkEnd w:id="213"/>
      <w:bookmarkEnd w:id="214"/>
      <w:bookmarkEnd w:id="215"/>
      <w:bookmarkEnd w:id="216"/>
      <w:bookmarkEnd w:id="217"/>
      <w:bookmarkEnd w:id="218"/>
      <w:bookmarkEnd w:id="219"/>
      <w:bookmarkEnd w:id="220"/>
      <w:bookmarkEnd w:id="269"/>
      <w:bookmarkEnd w:id="270"/>
      <w:bookmarkEnd w:id="271"/>
      <w:bookmarkEnd w:id="272"/>
      <w:bookmarkEnd w:id="273"/>
      <w:bookmarkEnd w:id="274"/>
      <w:bookmarkEnd w:id="275"/>
      <w:bookmarkEnd w:id="276"/>
    </w:p>
    <w:p>
      <w:pPr>
        <w:pStyle w:val="4"/>
        <w:spacing w:before="0" w:after="0" w:line="480" w:lineRule="exact"/>
        <w:ind w:firstLine="420" w:firstLineChars="200"/>
        <w:rPr>
          <w:rFonts w:hint="eastAsia" w:ascii="宋体" w:hAnsi="宋体" w:eastAsia="宋体" w:cs="宋体"/>
          <w:color w:val="auto"/>
          <w:sz w:val="21"/>
          <w:szCs w:val="21"/>
          <w:highlight w:val="none"/>
        </w:rPr>
      </w:pPr>
      <w:bookmarkStart w:id="277" w:name="_Toc397928588"/>
      <w:bookmarkStart w:id="278" w:name="_Toc247085725"/>
      <w:bookmarkStart w:id="279" w:name="_Toc179632585"/>
      <w:bookmarkStart w:id="280" w:name="_Toc5192"/>
      <w:bookmarkStart w:id="281" w:name="_Toc366679698"/>
      <w:bookmarkStart w:id="282" w:name="_Toc387526411"/>
      <w:bookmarkStart w:id="283" w:name="_Toc246996954"/>
      <w:bookmarkStart w:id="284" w:name="_Toc508216919"/>
      <w:bookmarkStart w:id="285" w:name="_Toc387526319"/>
      <w:bookmarkStart w:id="286" w:name="_Toc144974535"/>
      <w:bookmarkStart w:id="287" w:name="_Toc152045567"/>
      <w:bookmarkStart w:id="288" w:name="_Toc387526215"/>
      <w:bookmarkStart w:id="289" w:name="_Toc152042343"/>
      <w:bookmarkStart w:id="290" w:name="_Toc246996211"/>
      <w:r>
        <w:rPr>
          <w:rFonts w:hint="eastAsia" w:ascii="宋体" w:hAnsi="宋体" w:eastAsia="宋体" w:cs="宋体"/>
          <w:color w:val="auto"/>
          <w:sz w:val="21"/>
          <w:szCs w:val="21"/>
          <w:highlight w:val="none"/>
        </w:rPr>
        <w:t>8.1 定标方式</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
      <w:pPr>
        <w:spacing w:line="480" w:lineRule="exact"/>
        <w:ind w:firstLine="420" w:firstLineChars="200"/>
        <w:rPr>
          <w:rFonts w:hint="eastAsia" w:ascii="宋体" w:hAnsi="宋体" w:eastAsia="宋体" w:cs="宋体"/>
          <w:color w:val="auto"/>
          <w:szCs w:val="21"/>
          <w:highlight w:val="none"/>
        </w:rPr>
      </w:pPr>
      <w:bookmarkStart w:id="291" w:name="_Toc387526320"/>
      <w:bookmarkStart w:id="292" w:name="_Toc29357"/>
      <w:bookmarkStart w:id="293" w:name="_Toc387526412"/>
      <w:bookmarkStart w:id="294" w:name="_Toc387526216"/>
      <w:r>
        <w:rPr>
          <w:rFonts w:hint="eastAsia" w:ascii="宋体" w:hAnsi="宋体" w:eastAsia="宋体" w:cs="宋体"/>
          <w:color w:val="auto"/>
          <w:szCs w:val="21"/>
          <w:highlight w:val="none"/>
        </w:rPr>
        <w:t>除投标人须知前附表规定评标委员会直接确定中标人外，招标人依据评标委员会推荐的中标候选人确定中标人。</w:t>
      </w:r>
    </w:p>
    <w:p>
      <w:pPr>
        <w:spacing w:line="48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国有资金占控股或者主导地位的依法必须进行招标的项目，招标人应当确定排名第一的中标候选人为中标人。排名第一的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p>
    <w:p>
      <w:pPr>
        <w:pStyle w:val="4"/>
        <w:spacing w:before="0" w:after="0" w:line="480" w:lineRule="exact"/>
        <w:ind w:firstLine="420" w:firstLineChars="200"/>
        <w:rPr>
          <w:rFonts w:hint="eastAsia" w:ascii="宋体" w:hAnsi="宋体" w:eastAsia="宋体" w:cs="宋体"/>
          <w:color w:val="auto"/>
          <w:sz w:val="21"/>
          <w:szCs w:val="21"/>
          <w:highlight w:val="none"/>
        </w:rPr>
      </w:pPr>
      <w:bookmarkStart w:id="295" w:name="_Toc397928589"/>
      <w:bookmarkStart w:id="296" w:name="_Toc508216920"/>
      <w:r>
        <w:rPr>
          <w:rFonts w:hint="eastAsia" w:ascii="宋体" w:hAnsi="宋体" w:eastAsia="宋体" w:cs="宋体"/>
          <w:color w:val="auto"/>
          <w:sz w:val="21"/>
          <w:szCs w:val="21"/>
          <w:highlight w:val="none"/>
        </w:rPr>
        <w:t>8.2</w:t>
      </w:r>
      <w:bookmarkEnd w:id="291"/>
      <w:bookmarkEnd w:id="292"/>
      <w:bookmarkEnd w:id="293"/>
      <w:bookmarkEnd w:id="294"/>
      <w:bookmarkStart w:id="297" w:name="_Toc387526413"/>
      <w:bookmarkStart w:id="298" w:name="_Toc179632586"/>
      <w:bookmarkStart w:id="299" w:name="_Toc13765"/>
      <w:bookmarkStart w:id="300" w:name="_Toc247085726"/>
      <w:bookmarkStart w:id="301" w:name="_Toc387526321"/>
      <w:bookmarkStart w:id="302" w:name="_Toc246996212"/>
      <w:bookmarkStart w:id="303" w:name="_Toc246996955"/>
      <w:bookmarkStart w:id="304" w:name="_Toc387526217"/>
      <w:bookmarkStart w:id="305" w:name="_Toc366679700"/>
      <w:r>
        <w:rPr>
          <w:rFonts w:hint="eastAsia" w:ascii="宋体" w:hAnsi="宋体" w:eastAsia="宋体" w:cs="宋体"/>
          <w:color w:val="auto"/>
          <w:sz w:val="21"/>
          <w:szCs w:val="21"/>
          <w:highlight w:val="none"/>
        </w:rPr>
        <w:t>中标通知</w:t>
      </w:r>
      <w:bookmarkEnd w:id="295"/>
      <w:bookmarkEnd w:id="296"/>
      <w:bookmarkEnd w:id="297"/>
      <w:bookmarkEnd w:id="298"/>
      <w:bookmarkEnd w:id="299"/>
      <w:bookmarkEnd w:id="300"/>
      <w:bookmarkEnd w:id="301"/>
      <w:bookmarkEnd w:id="302"/>
      <w:bookmarkEnd w:id="303"/>
      <w:bookmarkEnd w:id="304"/>
      <w:bookmarkEnd w:id="305"/>
    </w:p>
    <w:p>
      <w:pPr>
        <w:pStyle w:val="4"/>
        <w:spacing w:before="0" w:after="0" w:line="480" w:lineRule="exact"/>
        <w:ind w:firstLine="420" w:firstLineChars="200"/>
        <w:rPr>
          <w:rFonts w:hint="eastAsia" w:ascii="宋体" w:hAnsi="宋体" w:eastAsia="宋体" w:cs="宋体"/>
          <w:color w:val="auto"/>
          <w:kern w:val="2"/>
          <w:sz w:val="21"/>
          <w:szCs w:val="21"/>
          <w:highlight w:val="none"/>
          <w:lang w:val="en-US" w:eastAsia="zh-CN" w:bidi="ar-SA"/>
        </w:rPr>
      </w:pPr>
      <w:bookmarkStart w:id="306" w:name="_Toc397928590"/>
      <w:bookmarkStart w:id="307" w:name="_Toc179632587"/>
      <w:bookmarkStart w:id="308" w:name="_Toc247085727"/>
      <w:bookmarkStart w:id="309" w:name="_Toc246996956"/>
      <w:bookmarkStart w:id="310" w:name="_Toc26386"/>
      <w:bookmarkStart w:id="311" w:name="_Toc366679701"/>
      <w:bookmarkStart w:id="312" w:name="_Toc387526218"/>
      <w:bookmarkStart w:id="313" w:name="_Toc387526322"/>
      <w:bookmarkStart w:id="314" w:name="_Toc508216921"/>
      <w:bookmarkStart w:id="315" w:name="_Toc387526414"/>
      <w:bookmarkStart w:id="316" w:name="_Toc246996213"/>
      <w:r>
        <w:rPr>
          <w:rFonts w:hint="eastAsia" w:ascii="宋体" w:hAnsi="宋体" w:eastAsia="宋体" w:cs="宋体"/>
          <w:color w:val="auto"/>
          <w:kern w:val="2"/>
          <w:sz w:val="21"/>
          <w:szCs w:val="21"/>
          <w:highlight w:val="none"/>
          <w:lang w:val="en-US" w:eastAsia="zh-CN" w:bidi="ar-SA"/>
        </w:rPr>
        <w:t>招标代理机构应当自评审结束之日起2个工作日内将评审报告送交招标人。招标人应当自收到评审报告之日起5个工作日内在评审报告推荐的中标或者成交候选人中按顺序确定中标或者成交供应商。</w:t>
      </w:r>
    </w:p>
    <w:p>
      <w:pPr>
        <w:pStyle w:val="4"/>
        <w:spacing w:before="0" w:after="0" w:line="480" w:lineRule="exact"/>
        <w:ind w:firstLine="420" w:firstLineChars="20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招标人或者招标代理机构应当自中标供应商确定之日起2个工作日内，发出中标通知书，并在省级以上人民政府财政部门指定的媒体上公告中标结果、招标文件、中标结果同时公告。</w:t>
      </w:r>
    </w:p>
    <w:p>
      <w:pPr>
        <w:pStyle w:val="4"/>
        <w:spacing w:before="0" w:after="0" w:line="48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8.3 履约保证金</w:t>
      </w:r>
      <w:bookmarkEnd w:id="306"/>
      <w:bookmarkEnd w:id="307"/>
      <w:bookmarkEnd w:id="308"/>
      <w:bookmarkEnd w:id="309"/>
      <w:bookmarkEnd w:id="310"/>
      <w:bookmarkEnd w:id="311"/>
      <w:bookmarkEnd w:id="312"/>
      <w:bookmarkEnd w:id="313"/>
      <w:bookmarkEnd w:id="314"/>
      <w:bookmarkEnd w:id="315"/>
      <w:bookmarkEnd w:id="316"/>
    </w:p>
    <w:p>
      <w:pPr>
        <w:spacing w:line="48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8.3.1在签订合同前，中标人应按投标人须知前附表规定的形式和招标文件“合同条款及格式”规定的或者事先经过招标人书面认可的履约保证金格式向招标人提交履约保证金。</w:t>
      </w:r>
    </w:p>
    <w:p>
      <w:pPr>
        <w:spacing w:line="48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8.3.2中标人不能按本章第8.3.1项要求提交履约保证金的，视为放弃中标，给招标人造成的损失的，中标人还应当对损失予以赔偿。</w:t>
      </w:r>
    </w:p>
    <w:p>
      <w:pPr>
        <w:pStyle w:val="4"/>
        <w:spacing w:before="0" w:after="0" w:line="480" w:lineRule="exact"/>
        <w:ind w:firstLine="420" w:firstLineChars="200"/>
        <w:rPr>
          <w:rFonts w:hint="eastAsia" w:ascii="宋体" w:hAnsi="宋体" w:eastAsia="宋体" w:cs="宋体"/>
          <w:color w:val="auto"/>
          <w:sz w:val="21"/>
          <w:szCs w:val="21"/>
          <w:highlight w:val="none"/>
        </w:rPr>
      </w:pPr>
      <w:bookmarkStart w:id="317" w:name="_Toc397928591"/>
      <w:bookmarkStart w:id="318" w:name="_Toc246996957"/>
      <w:bookmarkStart w:id="319" w:name="_Toc179632588"/>
      <w:bookmarkStart w:id="320" w:name="_Toc366679702"/>
      <w:bookmarkStart w:id="321" w:name="_Toc508216922"/>
      <w:bookmarkStart w:id="322" w:name="_Toc10565"/>
      <w:bookmarkStart w:id="323" w:name="_Toc387526323"/>
      <w:bookmarkStart w:id="324" w:name="_Toc246996214"/>
      <w:bookmarkStart w:id="325" w:name="_Toc247085728"/>
      <w:bookmarkStart w:id="326" w:name="_Toc387526219"/>
      <w:bookmarkStart w:id="327" w:name="_Toc387526415"/>
      <w:r>
        <w:rPr>
          <w:rFonts w:hint="eastAsia" w:ascii="宋体" w:hAnsi="宋体" w:eastAsia="宋体" w:cs="宋体"/>
          <w:color w:val="auto"/>
          <w:sz w:val="21"/>
          <w:szCs w:val="21"/>
          <w:highlight w:val="none"/>
        </w:rPr>
        <w:t>8.4 签订合同</w:t>
      </w:r>
      <w:bookmarkEnd w:id="317"/>
      <w:bookmarkEnd w:id="318"/>
      <w:bookmarkEnd w:id="319"/>
      <w:bookmarkEnd w:id="320"/>
      <w:bookmarkEnd w:id="321"/>
      <w:bookmarkEnd w:id="322"/>
      <w:bookmarkEnd w:id="323"/>
      <w:bookmarkEnd w:id="324"/>
      <w:bookmarkEnd w:id="325"/>
      <w:bookmarkEnd w:id="326"/>
      <w:bookmarkEnd w:id="327"/>
    </w:p>
    <w:p>
      <w:pPr>
        <w:spacing w:line="48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8.4.1招标人和中标人应当自中标通知书发出之日起</w:t>
      </w:r>
      <w:r>
        <w:rPr>
          <w:rFonts w:hint="eastAsia" w:ascii="宋体" w:hAnsi="宋体" w:eastAsia="宋体" w:cs="宋体"/>
          <w:color w:val="auto"/>
          <w:szCs w:val="21"/>
          <w:highlight w:val="none"/>
          <w:lang w:val="en-US" w:eastAsia="zh-CN"/>
        </w:rPr>
        <w:t>15</w:t>
      </w:r>
      <w:r>
        <w:rPr>
          <w:rFonts w:hint="eastAsia" w:ascii="宋体" w:hAnsi="宋体" w:eastAsia="宋体" w:cs="宋体"/>
          <w:color w:val="auto"/>
          <w:szCs w:val="21"/>
          <w:highlight w:val="none"/>
        </w:rPr>
        <w:t>日内，根据招标文件和中标人的投标文件订立书面合同。中标人无正当理由拒签合同的，招标人取消其中标资格；给招标人造成的损失的，中标人还应当对损失予以赔偿。</w:t>
      </w:r>
    </w:p>
    <w:p>
      <w:pPr>
        <w:spacing w:line="48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8.4.2 发出中标通知书后，招标人无正当理由拒签合同的，给中标人造成损失的，还应当赔偿损失。</w:t>
      </w:r>
    </w:p>
    <w:bookmarkEnd w:id="200"/>
    <w:bookmarkEnd w:id="201"/>
    <w:bookmarkEnd w:id="202"/>
    <w:bookmarkEnd w:id="203"/>
    <w:p>
      <w:pPr>
        <w:pStyle w:val="153"/>
        <w:spacing w:before="0" w:after="0" w:line="480" w:lineRule="exact"/>
        <w:ind w:firstLine="422" w:firstLineChars="200"/>
        <w:rPr>
          <w:rFonts w:hint="eastAsia" w:ascii="宋体" w:hAnsi="宋体" w:eastAsia="宋体" w:cs="宋体"/>
          <w:color w:val="auto"/>
          <w:sz w:val="21"/>
          <w:szCs w:val="21"/>
          <w:highlight w:val="none"/>
        </w:rPr>
      </w:pPr>
      <w:bookmarkStart w:id="328" w:name="_Toc397928592"/>
      <w:bookmarkStart w:id="329" w:name="_Toc368759383"/>
      <w:bookmarkStart w:id="330" w:name="_Toc387526416"/>
      <w:bookmarkStart w:id="331" w:name="_Toc363329380"/>
      <w:bookmarkStart w:id="332" w:name="_Toc387526220"/>
      <w:bookmarkStart w:id="333" w:name="_Toc368760435"/>
      <w:bookmarkStart w:id="334" w:name="_Toc367894807"/>
      <w:bookmarkStart w:id="335" w:name="_Toc387526324"/>
      <w:bookmarkStart w:id="336" w:name="_Toc508216923"/>
      <w:bookmarkStart w:id="337" w:name="_Toc369077569"/>
      <w:bookmarkStart w:id="338" w:name="_Toc322503149"/>
      <w:bookmarkStart w:id="339" w:name="_Toc30717"/>
      <w:r>
        <w:rPr>
          <w:rFonts w:hint="eastAsia" w:ascii="宋体" w:hAnsi="宋体" w:eastAsia="宋体" w:cs="宋体"/>
          <w:color w:val="auto"/>
          <w:sz w:val="21"/>
          <w:szCs w:val="21"/>
          <w:highlight w:val="none"/>
        </w:rPr>
        <w:t>9.纪律和监督</w:t>
      </w:r>
      <w:bookmarkEnd w:id="328"/>
      <w:bookmarkEnd w:id="329"/>
      <w:bookmarkEnd w:id="330"/>
      <w:bookmarkEnd w:id="331"/>
      <w:bookmarkEnd w:id="332"/>
      <w:bookmarkEnd w:id="333"/>
      <w:bookmarkEnd w:id="334"/>
      <w:bookmarkEnd w:id="335"/>
      <w:bookmarkEnd w:id="336"/>
      <w:bookmarkEnd w:id="337"/>
      <w:bookmarkEnd w:id="338"/>
      <w:bookmarkEnd w:id="339"/>
    </w:p>
    <w:p>
      <w:pPr>
        <w:pStyle w:val="4"/>
        <w:spacing w:before="0" w:after="0" w:line="480" w:lineRule="exact"/>
        <w:ind w:firstLine="420" w:firstLineChars="200"/>
        <w:rPr>
          <w:rFonts w:hint="eastAsia" w:ascii="宋体" w:hAnsi="宋体" w:eastAsia="宋体" w:cs="宋体"/>
          <w:color w:val="auto"/>
          <w:sz w:val="21"/>
          <w:szCs w:val="21"/>
          <w:highlight w:val="none"/>
        </w:rPr>
      </w:pPr>
      <w:bookmarkStart w:id="340" w:name="_Toc397928593"/>
      <w:bookmarkStart w:id="341" w:name="_Toc29855"/>
      <w:bookmarkStart w:id="342" w:name="_Toc387526417"/>
      <w:bookmarkStart w:id="343" w:name="_Toc269310963"/>
      <w:bookmarkStart w:id="344" w:name="_Toc508216924"/>
      <w:bookmarkStart w:id="345" w:name="_Toc152045575"/>
      <w:bookmarkStart w:id="346" w:name="_Toc387526221"/>
      <w:bookmarkStart w:id="347" w:name="_Toc322503150"/>
      <w:bookmarkStart w:id="348" w:name="_Toc387526325"/>
      <w:bookmarkStart w:id="349" w:name="_Toc144974543"/>
      <w:bookmarkStart w:id="350" w:name="_Toc152042351"/>
      <w:r>
        <w:rPr>
          <w:rFonts w:hint="eastAsia" w:ascii="宋体" w:hAnsi="宋体" w:eastAsia="宋体" w:cs="宋体"/>
          <w:color w:val="auto"/>
          <w:sz w:val="21"/>
          <w:szCs w:val="21"/>
          <w:highlight w:val="none"/>
        </w:rPr>
        <w:t>9.1 对招标人的纪律要求</w:t>
      </w:r>
      <w:bookmarkEnd w:id="340"/>
      <w:bookmarkEnd w:id="341"/>
      <w:bookmarkEnd w:id="342"/>
      <w:bookmarkEnd w:id="343"/>
      <w:bookmarkEnd w:id="344"/>
      <w:bookmarkEnd w:id="345"/>
      <w:bookmarkEnd w:id="346"/>
      <w:bookmarkEnd w:id="347"/>
      <w:bookmarkEnd w:id="348"/>
      <w:bookmarkEnd w:id="349"/>
      <w:bookmarkEnd w:id="350"/>
    </w:p>
    <w:p>
      <w:pPr>
        <w:spacing w:line="48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招标人不得泄露招标投标活动中应当保密的情况和资料，不得与投标人串通损害国家利益、社会公众利益或者他人合法权益。</w:t>
      </w:r>
    </w:p>
    <w:p>
      <w:pPr>
        <w:pStyle w:val="4"/>
        <w:spacing w:before="0" w:after="0" w:line="480" w:lineRule="exact"/>
        <w:ind w:firstLine="420" w:firstLineChars="200"/>
        <w:rPr>
          <w:rFonts w:hint="eastAsia" w:ascii="宋体" w:hAnsi="宋体" w:eastAsia="宋体" w:cs="宋体"/>
          <w:color w:val="auto"/>
          <w:sz w:val="21"/>
          <w:szCs w:val="21"/>
          <w:highlight w:val="none"/>
        </w:rPr>
      </w:pPr>
      <w:bookmarkStart w:id="351" w:name="_Toc387526418"/>
      <w:bookmarkStart w:id="352" w:name="_Toc508216925"/>
      <w:bookmarkStart w:id="353" w:name="_Toc387526326"/>
      <w:bookmarkStart w:id="354" w:name="_Toc144974544"/>
      <w:bookmarkStart w:id="355" w:name="_Toc322503151"/>
      <w:bookmarkStart w:id="356" w:name="_Toc152045576"/>
      <w:bookmarkStart w:id="357" w:name="_Toc1420"/>
      <w:bookmarkStart w:id="358" w:name="_Toc152042352"/>
      <w:bookmarkStart w:id="359" w:name="_Toc387526222"/>
      <w:bookmarkStart w:id="360" w:name="_Toc397928594"/>
      <w:bookmarkStart w:id="361" w:name="_Toc269310964"/>
      <w:r>
        <w:rPr>
          <w:rFonts w:hint="eastAsia" w:ascii="宋体" w:hAnsi="宋体" w:eastAsia="宋体" w:cs="宋体"/>
          <w:color w:val="auto"/>
          <w:sz w:val="21"/>
          <w:szCs w:val="21"/>
          <w:highlight w:val="none"/>
        </w:rPr>
        <w:t>9.2 对投标人的纪律要求</w:t>
      </w:r>
      <w:bookmarkEnd w:id="351"/>
      <w:bookmarkEnd w:id="352"/>
      <w:bookmarkEnd w:id="353"/>
      <w:bookmarkEnd w:id="354"/>
      <w:bookmarkEnd w:id="355"/>
      <w:bookmarkEnd w:id="356"/>
      <w:bookmarkEnd w:id="357"/>
      <w:bookmarkEnd w:id="358"/>
      <w:bookmarkEnd w:id="359"/>
      <w:bookmarkEnd w:id="360"/>
      <w:bookmarkEnd w:id="361"/>
    </w:p>
    <w:p>
      <w:pPr>
        <w:spacing w:line="480" w:lineRule="exact"/>
        <w:ind w:firstLine="420" w:firstLineChars="200"/>
        <w:rPr>
          <w:rFonts w:hint="eastAsia" w:ascii="宋体" w:hAnsi="宋体" w:eastAsia="宋体" w:cs="宋体"/>
          <w:color w:val="auto"/>
          <w:szCs w:val="21"/>
          <w:highlight w:val="none"/>
        </w:rPr>
      </w:pPr>
      <w:bookmarkStart w:id="362" w:name="_Toc152045577"/>
      <w:bookmarkStart w:id="363" w:name="_Toc322503152"/>
      <w:bookmarkStart w:id="364" w:name="_Toc152042353"/>
      <w:bookmarkStart w:id="365" w:name="_Toc144974545"/>
      <w:bookmarkStart w:id="366" w:name="_Toc269310965"/>
      <w:r>
        <w:rPr>
          <w:rFonts w:hint="eastAsia" w:ascii="宋体" w:hAnsi="宋体" w:eastAsia="宋体" w:cs="宋体"/>
          <w:color w:val="auto"/>
          <w:szCs w:val="21"/>
          <w:highlight w:val="none"/>
        </w:rPr>
        <w:t>投标人不得相互串通投标或者与招标人串通投标，不得向招标人或者评标委员会成员行贿谋取中标，不得以他人名义投标或者以其他方式弄虚作假骗取中标；投标人不得以任何方式干扰、影响评标工作。</w:t>
      </w:r>
    </w:p>
    <w:p>
      <w:pPr>
        <w:pStyle w:val="4"/>
        <w:spacing w:before="0" w:after="0" w:line="480" w:lineRule="exact"/>
        <w:ind w:firstLine="420" w:firstLineChars="200"/>
        <w:rPr>
          <w:rFonts w:hint="eastAsia" w:ascii="宋体" w:hAnsi="宋体" w:eastAsia="宋体" w:cs="宋体"/>
          <w:color w:val="auto"/>
          <w:sz w:val="21"/>
          <w:szCs w:val="21"/>
          <w:highlight w:val="none"/>
        </w:rPr>
      </w:pPr>
      <w:bookmarkStart w:id="367" w:name="_Toc16374"/>
      <w:bookmarkStart w:id="368" w:name="_Toc508216926"/>
      <w:bookmarkStart w:id="369" w:name="_Toc397928595"/>
      <w:bookmarkStart w:id="370" w:name="_Toc387526327"/>
      <w:bookmarkStart w:id="371" w:name="_Toc387526419"/>
      <w:bookmarkStart w:id="372" w:name="_Toc387526223"/>
      <w:r>
        <w:rPr>
          <w:rFonts w:hint="eastAsia" w:ascii="宋体" w:hAnsi="宋体" w:eastAsia="宋体" w:cs="宋体"/>
          <w:color w:val="auto"/>
          <w:sz w:val="21"/>
          <w:szCs w:val="21"/>
          <w:highlight w:val="none"/>
        </w:rPr>
        <w:t>9.3 对评标委员会成员的纪律要求</w:t>
      </w:r>
      <w:bookmarkEnd w:id="362"/>
      <w:bookmarkEnd w:id="363"/>
      <w:bookmarkEnd w:id="364"/>
      <w:bookmarkEnd w:id="365"/>
      <w:bookmarkEnd w:id="366"/>
      <w:bookmarkEnd w:id="367"/>
      <w:bookmarkEnd w:id="368"/>
      <w:bookmarkEnd w:id="369"/>
      <w:bookmarkEnd w:id="370"/>
      <w:bookmarkEnd w:id="371"/>
      <w:bookmarkEnd w:id="372"/>
    </w:p>
    <w:p>
      <w:pPr>
        <w:spacing w:line="480" w:lineRule="exact"/>
        <w:ind w:firstLine="420" w:firstLineChars="200"/>
        <w:rPr>
          <w:rFonts w:hint="eastAsia" w:ascii="宋体" w:hAnsi="宋体" w:eastAsia="宋体" w:cs="宋体"/>
          <w:color w:val="auto"/>
          <w:szCs w:val="21"/>
          <w:highlight w:val="none"/>
        </w:rPr>
      </w:pPr>
      <w:bookmarkStart w:id="373" w:name="_Toc179632596"/>
      <w:bookmarkStart w:id="374" w:name="_Toc152045578"/>
      <w:bookmarkStart w:id="375" w:name="_Toc152042354"/>
      <w:bookmarkStart w:id="376" w:name="_Toc366679707"/>
      <w:bookmarkStart w:id="377" w:name="_Toc246996222"/>
      <w:bookmarkStart w:id="378" w:name="_Toc247085736"/>
      <w:bookmarkStart w:id="379" w:name="_Toc246996965"/>
      <w:bookmarkStart w:id="380" w:name="_Toc144974546"/>
      <w:r>
        <w:rPr>
          <w:rFonts w:hint="eastAsia" w:ascii="宋体" w:hAnsi="宋体" w:eastAsia="宋体" w:cs="宋体"/>
          <w:color w:val="auto"/>
          <w:szCs w:val="21"/>
          <w:highlight w:val="none"/>
        </w:rPr>
        <w:t>评标委员会成员不得收受他人的财物或者其他好处，不得向他人透漏对投标文件的评审和比较、中标候选人的推荐情况以及评标有关的其他情况。在评标活动中，评标委员会成员应当客观、公正地履行职责，遵守职业道德，不得擅离职守，影响评标程序正常进行，不得使用“评标办法”没有规定的评审因素和标准进行评标。</w:t>
      </w:r>
    </w:p>
    <w:p>
      <w:pPr>
        <w:pStyle w:val="4"/>
        <w:spacing w:before="0" w:after="0" w:line="480" w:lineRule="exact"/>
        <w:ind w:firstLine="420" w:firstLineChars="200"/>
        <w:rPr>
          <w:rFonts w:hint="eastAsia" w:ascii="宋体" w:hAnsi="宋体" w:eastAsia="宋体" w:cs="宋体"/>
          <w:color w:val="auto"/>
          <w:sz w:val="21"/>
          <w:szCs w:val="21"/>
          <w:highlight w:val="none"/>
        </w:rPr>
      </w:pPr>
      <w:bookmarkStart w:id="381" w:name="_Toc387526224"/>
      <w:bookmarkStart w:id="382" w:name="_Toc397928596"/>
      <w:bookmarkStart w:id="383" w:name="_Toc508216927"/>
      <w:bookmarkStart w:id="384" w:name="_Toc1042"/>
      <w:bookmarkStart w:id="385" w:name="_Toc387526328"/>
      <w:bookmarkStart w:id="386" w:name="_Toc387526420"/>
      <w:r>
        <w:rPr>
          <w:rFonts w:hint="eastAsia" w:ascii="宋体" w:hAnsi="宋体" w:eastAsia="宋体" w:cs="宋体"/>
          <w:color w:val="auto"/>
          <w:sz w:val="21"/>
          <w:szCs w:val="21"/>
          <w:highlight w:val="none"/>
        </w:rPr>
        <w:t>9.4 对与评标活动有关的工作人员的纪律要求</w:t>
      </w:r>
      <w:bookmarkEnd w:id="373"/>
      <w:bookmarkEnd w:id="374"/>
      <w:bookmarkEnd w:id="375"/>
      <w:bookmarkEnd w:id="376"/>
      <w:bookmarkEnd w:id="377"/>
      <w:bookmarkEnd w:id="378"/>
      <w:bookmarkEnd w:id="379"/>
      <w:bookmarkEnd w:id="381"/>
      <w:bookmarkEnd w:id="382"/>
      <w:bookmarkEnd w:id="383"/>
      <w:bookmarkEnd w:id="384"/>
      <w:bookmarkEnd w:id="385"/>
      <w:bookmarkEnd w:id="386"/>
    </w:p>
    <w:p>
      <w:pPr>
        <w:spacing w:line="460" w:lineRule="exact"/>
        <w:ind w:firstLine="420" w:firstLineChars="200"/>
        <w:jc w:val="left"/>
        <w:rPr>
          <w:rFonts w:hint="eastAsia" w:ascii="宋体" w:hAnsi="宋体" w:eastAsia="宋体" w:cs="宋体"/>
          <w:color w:val="auto"/>
          <w:szCs w:val="21"/>
          <w:highlight w:val="none"/>
        </w:rPr>
      </w:pPr>
      <w:bookmarkStart w:id="387" w:name="_Toc152042355"/>
      <w:bookmarkStart w:id="388" w:name="_Toc246996223"/>
      <w:bookmarkStart w:id="389" w:name="_Toc246996966"/>
      <w:bookmarkStart w:id="390" w:name="_Toc247085737"/>
      <w:bookmarkStart w:id="391" w:name="_Toc179632597"/>
      <w:bookmarkStart w:id="392" w:name="_Toc152042356"/>
      <w:bookmarkStart w:id="393" w:name="_Toc366679708"/>
      <w:bookmarkStart w:id="394" w:name="_Toc152045579"/>
      <w:r>
        <w:rPr>
          <w:rFonts w:hint="eastAsia" w:ascii="宋体" w:hAnsi="宋体" w:eastAsia="宋体" w:cs="宋体"/>
          <w:color w:val="auto"/>
          <w:szCs w:val="21"/>
          <w:highlight w:val="none"/>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bookmarkEnd w:id="387"/>
    </w:p>
    <w:p>
      <w:pPr>
        <w:spacing w:line="460" w:lineRule="exact"/>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9.5 质疑</w:t>
      </w:r>
    </w:p>
    <w:p>
      <w:pPr>
        <w:spacing w:line="48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供应商认为采购文件、采购过程、中标或者成交结果使自己的权益采到损害的，可以在知道或者应知其权益受到损害之日起7个工作日内，以书面形式向采购人、采购代理机构在法定质疑期内一次性提出针对同一采购程序环节的质疑。供应商提出质疑应当符合财政部令第94号《政府采购质疑和投诉办法》相关规定。</w:t>
      </w:r>
    </w:p>
    <w:p>
      <w:pPr>
        <w:pStyle w:val="4"/>
        <w:spacing w:before="0" w:after="0" w:line="480" w:lineRule="exact"/>
        <w:ind w:firstLine="420" w:firstLineChars="200"/>
        <w:rPr>
          <w:rFonts w:hint="eastAsia" w:ascii="宋体" w:hAnsi="宋体" w:eastAsia="宋体" w:cs="宋体"/>
          <w:color w:val="auto"/>
          <w:sz w:val="21"/>
          <w:szCs w:val="21"/>
          <w:highlight w:val="none"/>
        </w:rPr>
      </w:pPr>
      <w:bookmarkStart w:id="395" w:name="_Toc387526225"/>
      <w:bookmarkStart w:id="396" w:name="_Toc387526329"/>
      <w:bookmarkStart w:id="397" w:name="_Toc27873"/>
      <w:bookmarkStart w:id="398" w:name="_Toc397928597"/>
      <w:bookmarkStart w:id="399" w:name="_Toc508216928"/>
      <w:bookmarkStart w:id="400" w:name="_Toc387526421"/>
      <w:r>
        <w:rPr>
          <w:rFonts w:hint="eastAsia" w:ascii="宋体" w:hAnsi="宋体" w:eastAsia="宋体" w:cs="宋体"/>
          <w:color w:val="auto"/>
          <w:sz w:val="21"/>
          <w:szCs w:val="21"/>
          <w:highlight w:val="none"/>
        </w:rPr>
        <w:t xml:space="preserve">9.6 </w:t>
      </w:r>
      <w:bookmarkEnd w:id="380"/>
      <w:bookmarkEnd w:id="388"/>
      <w:bookmarkEnd w:id="389"/>
      <w:bookmarkEnd w:id="390"/>
      <w:bookmarkEnd w:id="391"/>
      <w:bookmarkEnd w:id="392"/>
      <w:bookmarkEnd w:id="393"/>
      <w:bookmarkEnd w:id="394"/>
      <w:bookmarkEnd w:id="395"/>
      <w:bookmarkEnd w:id="396"/>
      <w:bookmarkEnd w:id="397"/>
      <w:bookmarkEnd w:id="398"/>
      <w:bookmarkEnd w:id="399"/>
      <w:bookmarkEnd w:id="400"/>
      <w:r>
        <w:rPr>
          <w:rFonts w:hint="eastAsia" w:ascii="宋体" w:hAnsi="宋体" w:eastAsia="宋体" w:cs="宋体"/>
          <w:color w:val="auto"/>
          <w:sz w:val="21"/>
          <w:szCs w:val="21"/>
          <w:highlight w:val="none"/>
        </w:rPr>
        <w:t>投诉</w:t>
      </w:r>
    </w:p>
    <w:p>
      <w:pPr>
        <w:pStyle w:val="4"/>
        <w:spacing w:before="0" w:after="0" w:line="480" w:lineRule="exact"/>
        <w:ind w:firstLine="420" w:firstLineChars="200"/>
        <w:rPr>
          <w:rFonts w:hint="eastAsia" w:ascii="宋体" w:hAnsi="宋体" w:eastAsia="宋体" w:cs="宋体"/>
          <w:color w:val="auto"/>
          <w:sz w:val="21"/>
          <w:szCs w:val="21"/>
          <w:highlight w:val="none"/>
        </w:rPr>
      </w:pPr>
      <w:bookmarkStart w:id="401" w:name="_Toc508216929"/>
      <w:bookmarkStart w:id="402" w:name="_Toc387526226"/>
      <w:bookmarkStart w:id="403" w:name="_Toc387526330"/>
      <w:bookmarkStart w:id="404" w:name="_Toc387526422"/>
      <w:bookmarkStart w:id="405" w:name="_Toc9600"/>
      <w:r>
        <w:rPr>
          <w:rFonts w:hint="eastAsia" w:ascii="宋体" w:hAnsi="宋体" w:eastAsia="宋体" w:cs="宋体"/>
          <w:color w:val="auto"/>
          <w:sz w:val="21"/>
          <w:szCs w:val="21"/>
          <w:highlight w:val="none"/>
        </w:rPr>
        <w:t>质疑供应商对采购人、采购代理机构的答复不满意的，或者采购人、采购代理机构未在规定时间内作出答复的，可以在答复期满后15个工作日内向</w:t>
      </w:r>
      <w:r>
        <w:rPr>
          <w:rFonts w:hint="eastAsia" w:ascii="宋体" w:hAnsi="宋体" w:eastAsia="宋体" w:cs="宋体"/>
          <w:color w:val="auto"/>
          <w:sz w:val="21"/>
          <w:szCs w:val="21"/>
          <w:highlight w:val="none"/>
          <w:u w:val="single"/>
          <w:lang w:val="en-US" w:eastAsia="zh-CN"/>
        </w:rPr>
        <w:t>盐城市大丰区城市建设集团有限公司</w:t>
      </w:r>
      <w:r>
        <w:rPr>
          <w:rFonts w:hint="eastAsia" w:ascii="宋体" w:hAnsi="宋体" w:eastAsia="宋体" w:cs="宋体"/>
          <w:color w:val="auto"/>
          <w:sz w:val="21"/>
          <w:szCs w:val="21"/>
          <w:highlight w:val="none"/>
        </w:rPr>
        <w:t>提起投诉。提起投诉应当符合财政部令第94号《政府采购质疑和投诉办法》相关规定。</w:t>
      </w:r>
    </w:p>
    <w:p>
      <w:pPr>
        <w:pStyle w:val="4"/>
        <w:spacing w:before="0" w:after="0" w:line="48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9.7差别待遇或者歧视待遇现象</w:t>
      </w:r>
      <w:bookmarkEnd w:id="401"/>
    </w:p>
    <w:p>
      <w:pPr>
        <w:spacing w:line="48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采购人或者采购代理机构有下列情形之一的，属于以不合理的条件对供应商实行差别待遇或者歧视待遇：</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（一）就同一采购项目向供应商提供有差别的项目信息；</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（二）设定的资格、技术、商务条件与采购项目的具体特点和实际需要不相适应或者与合同履行无关；</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（三）采购需求中的技术、服务等要求指向特定供应商、特定产品；</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（四）以特定行政区域或者特定行业的业绩、奖项作为加分条件或者中标、成交条件；</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（五）对供应商采取不同的资格审查或者评审标准；</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（六）限定或者指定特定的专利、商标、品牌或者供应商；</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（七）非法限定供应商的所有制形式、组织形式或者所在地；</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（八）以其他不合理条件限制或者排斥潜在供应商。</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若有以上现象，评委将根据本招标文件相关条款执行。</w:t>
      </w:r>
    </w:p>
    <w:p>
      <w:pPr>
        <w:pStyle w:val="153"/>
        <w:spacing w:before="0" w:after="0" w:line="480" w:lineRule="exact"/>
        <w:ind w:firstLine="422" w:firstLineChars="200"/>
        <w:rPr>
          <w:rFonts w:hint="eastAsia" w:ascii="宋体" w:hAnsi="宋体" w:eastAsia="宋体" w:cs="宋体"/>
          <w:color w:val="auto"/>
          <w:sz w:val="21"/>
          <w:szCs w:val="21"/>
          <w:highlight w:val="none"/>
        </w:rPr>
      </w:pPr>
      <w:bookmarkStart w:id="406" w:name="_Toc508216930"/>
      <w:bookmarkStart w:id="407" w:name="_Toc397928598"/>
      <w:r>
        <w:rPr>
          <w:rFonts w:hint="eastAsia" w:ascii="宋体" w:hAnsi="宋体" w:eastAsia="宋体" w:cs="宋体"/>
          <w:color w:val="auto"/>
          <w:sz w:val="21"/>
          <w:szCs w:val="21"/>
          <w:highlight w:val="none"/>
        </w:rPr>
        <w:t>10.招标人需要补充的其他内容</w:t>
      </w:r>
      <w:bookmarkEnd w:id="402"/>
      <w:bookmarkEnd w:id="403"/>
      <w:bookmarkEnd w:id="404"/>
      <w:bookmarkEnd w:id="405"/>
      <w:bookmarkEnd w:id="406"/>
      <w:bookmarkEnd w:id="407"/>
    </w:p>
    <w:p>
      <w:pPr>
        <w:spacing w:line="48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10.1 付款方式：采取月结的方式结算价款，即以一个日历月为一个结算周期，每月的25日至30日</w:t>
      </w:r>
    </w:p>
    <w:p>
      <w:pPr>
        <w:spacing w:line="48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为本结算周期的核对期和上一个结算周期的付款期。</w:t>
      </w:r>
    </w:p>
    <w:p>
      <w:pPr>
        <w:spacing w:line="480" w:lineRule="exact"/>
        <w:ind w:firstLine="422" w:firstLineChars="200"/>
        <w:rPr>
          <w:rFonts w:hint="eastAsia" w:ascii="宋体" w:hAnsi="宋体" w:eastAsia="宋体" w:cs="宋体"/>
          <w:color w:val="auto"/>
          <w:szCs w:val="21"/>
          <w:highlight w:val="none"/>
        </w:rPr>
      </w:pPr>
      <w:r>
        <w:rPr>
          <w:rFonts w:hint="eastAsia" w:ascii="宋体" w:hAnsi="宋体" w:eastAsia="宋体" w:cs="宋体"/>
          <w:b/>
          <w:bCs/>
          <w:color w:val="auto"/>
          <w:szCs w:val="21"/>
          <w:highlight w:val="none"/>
        </w:rPr>
        <w:t>11.解释权</w:t>
      </w:r>
    </w:p>
    <w:p>
      <w:pPr>
        <w:spacing w:line="48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构成本招标文件的各个组成文件应互为解释，互为说明。当发现的不明确或不一致，在招标文件中有明确规定的，评标委员会应按已明确的规定评标；当发现的不明确或不一致，在招标文件中没有明确规定时：</w:t>
      </w:r>
    </w:p>
    <w:p>
      <w:pPr>
        <w:spacing w:line="48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⑴凡是构成合同文件组成内容的不明确或不一致，以合同文件约定内容为准，且以专用合同条款约定的合同文件优先顺序解释；</w:t>
      </w:r>
    </w:p>
    <w:p>
      <w:pPr>
        <w:tabs>
          <w:tab w:val="left" w:pos="920"/>
        </w:tabs>
        <w:spacing w:line="48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⑵凡不是构成合同文件组成内容的不明确或不一致，除招标文件中有特别规定外，仅适用于招标投标阶段的规定，按招标公告（投标邀请书）、投标人须知、评标办法、投标文件格式的先后顺序解释。同一组成文件中就同一事项的规定或约定不一致的，影响评审的，剔除该因素进行评审；其它情形的，以现行法律法规约定为准；凡同一组成文件不同版本之间有不一致的，以形成时间在后者为准。</w:t>
      </w:r>
    </w:p>
    <w:p>
      <w:pPr>
        <w:tabs>
          <w:tab w:val="left" w:pos="920"/>
        </w:tabs>
        <w:spacing w:line="48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⑶按本款前述规定仍不能形成结论的，由招标人负责解释。</w:t>
      </w:r>
    </w:p>
    <w:p>
      <w:pPr>
        <w:tabs>
          <w:tab w:val="left" w:pos="920"/>
        </w:tabs>
        <w:spacing w:line="480" w:lineRule="exact"/>
        <w:ind w:firstLine="422" w:firstLineChars="200"/>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12.其他</w:t>
      </w:r>
    </w:p>
    <w:p>
      <w:pPr>
        <w:keepNext w:val="0"/>
        <w:keepLines w:val="0"/>
        <w:pageBreakBefore w:val="0"/>
        <w:widowControl w:val="0"/>
        <w:tabs>
          <w:tab w:val="left" w:pos="920"/>
        </w:tabs>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1、本招标文件时间均以中华人民共和国北京时间为准，所涉及金额的币种均为人民币。</w:t>
      </w:r>
    </w:p>
    <w:p>
      <w:pPr>
        <w:keepNext w:val="0"/>
        <w:keepLines w:val="0"/>
        <w:pageBreakBefore w:val="0"/>
        <w:widowControl w:val="0"/>
        <w:tabs>
          <w:tab w:val="left" w:pos="920"/>
        </w:tabs>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2、凡参与本项目投标的投标人，视同已踏勘过项目现场和研究了本招标文件的所有内容，并无保留地接受招标文件的所有条款（含招标答疑、补充通知等）。</w:t>
      </w:r>
    </w:p>
    <w:p>
      <w:pPr>
        <w:keepNext w:val="0"/>
        <w:keepLines w:val="0"/>
        <w:pageBreakBefore w:val="0"/>
        <w:widowControl w:val="0"/>
        <w:tabs>
          <w:tab w:val="left" w:pos="920"/>
        </w:tabs>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3、本招标文件未尽事宜，按国家和省法律法规、规章要求处理。</w:t>
      </w:r>
    </w:p>
    <w:p>
      <w:pPr>
        <w:keepNext w:val="0"/>
        <w:keepLines w:val="0"/>
        <w:pageBreakBefore w:val="0"/>
        <w:widowControl w:val="0"/>
        <w:tabs>
          <w:tab w:val="left" w:pos="920"/>
        </w:tabs>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szCs w:val="21"/>
          <w:highlight w:val="none"/>
        </w:rPr>
        <w:t>4、本招标文件的解释权归招标人所有。</w:t>
      </w:r>
      <w:bookmarkStart w:id="408" w:name="_Toc397928599"/>
      <w:bookmarkStart w:id="409" w:name="_Toc508216932"/>
      <w:bookmarkStart w:id="410" w:name="_Toc397928601"/>
      <w:bookmarkStart w:id="411" w:name="_Toc12629"/>
      <w:bookmarkStart w:id="412" w:name="_Toc184635093"/>
      <w:bookmarkStart w:id="413" w:name="_Toc508216933"/>
    </w:p>
    <w:p>
      <w:pPr>
        <w:pStyle w:val="2"/>
        <w:spacing w:before="0" w:after="0" w:line="360" w:lineRule="auto"/>
        <w:jc w:val="center"/>
        <w:rPr>
          <w:rFonts w:hint="eastAsia" w:ascii="宋体" w:hAnsi="宋体" w:eastAsia="宋体" w:cs="宋体"/>
          <w:color w:val="auto"/>
          <w:highlight w:val="none"/>
        </w:rPr>
      </w:pPr>
      <w:r>
        <w:rPr>
          <w:rFonts w:hint="eastAsia" w:ascii="宋体" w:hAnsi="宋体" w:eastAsia="宋体" w:cs="宋体"/>
          <w:color w:val="auto"/>
          <w:highlight w:val="none"/>
        </w:rPr>
        <w:t>第三章 评标办法（综合评分法）</w:t>
      </w:r>
      <w:bookmarkEnd w:id="408"/>
      <w:bookmarkEnd w:id="409"/>
    </w:p>
    <w:p>
      <w:pPr>
        <w:pStyle w:val="3"/>
        <w:spacing w:before="0" w:after="0" w:line="460" w:lineRule="exact"/>
        <w:ind w:firstLine="422"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开标时特别说明：</w:t>
      </w:r>
    </w:p>
    <w:p>
      <w:pPr>
        <w:pStyle w:val="3"/>
        <w:keepNext/>
        <w:keepLines/>
        <w:pageBreakBefore w:val="0"/>
        <w:widowControl w:val="0"/>
        <w:kinsoku/>
        <w:wordWrap w:val="0"/>
        <w:overflowPunct/>
        <w:topLinePunct w:val="0"/>
        <w:autoSpaceDE/>
        <w:autoSpaceDN/>
        <w:bidi w:val="0"/>
        <w:adjustRightInd/>
        <w:snapToGrid/>
        <w:spacing w:before="0" w:after="0" w:line="460" w:lineRule="exact"/>
        <w:ind w:firstLine="422"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项目采用全程电子化及不见面开评标的模式，开标当日，投标人无需到达开标现场，仅需在任意地点通过盐城大丰开标大厅系统http://js.etrading.cn/EpointBidOpening/bidopeninghallaction/hall/login及相应的配套软硬件设备，完成远程解密、文件传输、提疑澄清、开标唱标、结果公布等交互环节，具体内容和规定详见招标文件。</w:t>
      </w:r>
    </w:p>
    <w:p>
      <w:pPr>
        <w:pStyle w:val="3"/>
        <w:spacing w:before="0" w:after="0" w:line="460" w:lineRule="exact"/>
        <w:ind w:firstLine="422"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1.评标方法</w:t>
      </w:r>
    </w:p>
    <w:p>
      <w:pPr>
        <w:autoSpaceDE w:val="0"/>
        <w:autoSpaceDN w:val="0"/>
        <w:spacing w:line="460" w:lineRule="exact"/>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本次评标采用综合评分法。评标委员会对满足招标文件实质性要求的投标文件，按照本招标文件规定的评分标准进行打分，并按得分由高到低顺序推荐中标候选人，或根据招标人授权直接确定中标人。综合评分相等时，以投标报价低的优先；投标报价也相等的，由招标人抽签确定。最低报价及任何单项因素的最优均不是中标的必要条件。</w:t>
      </w:r>
    </w:p>
    <w:p>
      <w:pPr>
        <w:pStyle w:val="3"/>
        <w:spacing w:before="0" w:after="0" w:line="460" w:lineRule="exact"/>
        <w:ind w:firstLine="422"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2.评审标准</w:t>
      </w:r>
    </w:p>
    <w:p>
      <w:pPr>
        <w:spacing w:line="460" w:lineRule="exact"/>
        <w:ind w:firstLine="422" w:firstLineChars="200"/>
        <w:rPr>
          <w:rFonts w:hint="eastAsia" w:ascii="宋体" w:hAnsi="宋体" w:eastAsia="宋体" w:cs="宋体"/>
          <w:color w:val="auto"/>
          <w:szCs w:val="21"/>
          <w:highlight w:val="none"/>
        </w:rPr>
      </w:pPr>
      <w:r>
        <w:rPr>
          <w:rFonts w:hint="eastAsia" w:ascii="宋体" w:hAnsi="宋体" w:eastAsia="宋体" w:cs="宋体"/>
          <w:b/>
          <w:bCs/>
          <w:color w:val="auto"/>
          <w:szCs w:val="21"/>
          <w:highlight w:val="none"/>
        </w:rPr>
        <w:t>2.1 初步评审</w:t>
      </w:r>
    </w:p>
    <w:p>
      <w:pPr>
        <w:spacing w:line="480" w:lineRule="exact"/>
        <w:ind w:firstLine="422" w:firstLineChars="200"/>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2.1.1形式评审标准</w:t>
      </w:r>
    </w:p>
    <w:p>
      <w:pPr>
        <w:spacing w:line="48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对投标文件的有效性、完整性进行评审。</w:t>
      </w:r>
    </w:p>
    <w:tbl>
      <w:tblPr>
        <w:tblStyle w:val="49"/>
        <w:tblW w:w="4999" w:type="pc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3513"/>
        <w:gridCol w:w="644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63" w:type="pct"/>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评审因素</w:t>
            </w:r>
          </w:p>
        </w:tc>
        <w:tc>
          <w:tcPr>
            <w:tcW w:w="3236" w:type="pct"/>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评审标准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63" w:type="pct"/>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宋体" w:hAnsi="宋体" w:eastAsia="宋体" w:cs="宋体"/>
                <w:b/>
                <w:color w:val="auto"/>
                <w:szCs w:val="21"/>
                <w:highlight w:val="none"/>
              </w:rPr>
            </w:pPr>
            <w:r>
              <w:rPr>
                <w:rFonts w:hint="eastAsia" w:ascii="宋体" w:hAnsi="宋体" w:eastAsia="宋体" w:cs="宋体"/>
                <w:color w:val="auto"/>
                <w:szCs w:val="21"/>
                <w:highlight w:val="none"/>
              </w:rPr>
              <w:t>投标人名称</w:t>
            </w:r>
          </w:p>
        </w:tc>
        <w:tc>
          <w:tcPr>
            <w:tcW w:w="3236" w:type="pct"/>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宋体" w:hAnsi="宋体" w:eastAsia="宋体" w:cs="宋体"/>
                <w:b/>
                <w:color w:val="auto"/>
                <w:szCs w:val="21"/>
                <w:highlight w:val="none"/>
              </w:rPr>
            </w:pPr>
            <w:r>
              <w:rPr>
                <w:rFonts w:hint="eastAsia" w:ascii="宋体" w:hAnsi="宋体" w:eastAsia="宋体" w:cs="宋体"/>
                <w:color w:val="auto"/>
                <w:szCs w:val="21"/>
                <w:highlight w:val="none"/>
              </w:rPr>
              <w:t>与营业执照一致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5" w:hRule="atLeast"/>
        </w:trPr>
        <w:tc>
          <w:tcPr>
            <w:tcW w:w="1763" w:type="pct"/>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投标承诺函</w:t>
            </w:r>
          </w:p>
        </w:tc>
        <w:tc>
          <w:tcPr>
            <w:tcW w:w="3236" w:type="pct"/>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有法定代表人或其委托代理人签字(或盖章)并加盖投标单位公章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4" w:hRule="atLeast"/>
        </w:trPr>
        <w:tc>
          <w:tcPr>
            <w:tcW w:w="1763" w:type="pct"/>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授权委托书</w:t>
            </w:r>
          </w:p>
        </w:tc>
        <w:tc>
          <w:tcPr>
            <w:tcW w:w="3236" w:type="pct"/>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有法定代表人签字(或盖章)并加盖投标单位公章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1" w:hRule="atLeast"/>
        </w:trPr>
        <w:tc>
          <w:tcPr>
            <w:tcW w:w="1763" w:type="pct"/>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报价唯一</w:t>
            </w:r>
          </w:p>
        </w:tc>
        <w:tc>
          <w:tcPr>
            <w:tcW w:w="3236" w:type="pct"/>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只能有一个有效报价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1" w:hRule="atLeast"/>
        </w:trPr>
        <w:tc>
          <w:tcPr>
            <w:tcW w:w="1763" w:type="pct"/>
            <w:tcBorders>
              <w:top w:val="single" w:color="auto" w:sz="4" w:space="0"/>
              <w:left w:val="single" w:color="auto" w:sz="4" w:space="0"/>
              <w:right w:val="single" w:color="auto" w:sz="4" w:space="0"/>
            </w:tcBorders>
            <w:noWrap w:val="0"/>
            <w:vAlign w:val="center"/>
          </w:tcPr>
          <w:p>
            <w:pPr>
              <w:spacing w:line="48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w:t>
            </w:r>
          </w:p>
        </w:tc>
        <w:tc>
          <w:tcPr>
            <w:tcW w:w="3236" w:type="pct"/>
            <w:tcBorders>
              <w:top w:val="single" w:color="auto" w:sz="4" w:space="0"/>
              <w:left w:val="single" w:color="auto" w:sz="4" w:space="0"/>
              <w:right w:val="single" w:color="auto" w:sz="4" w:space="0"/>
            </w:tcBorders>
            <w:noWrap w:val="0"/>
            <w:vAlign w:val="center"/>
          </w:tcPr>
          <w:p>
            <w:pPr>
              <w:spacing w:line="48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w:t>
            </w:r>
          </w:p>
        </w:tc>
      </w:tr>
    </w:tbl>
    <w:p>
      <w:pPr>
        <w:spacing w:line="480" w:lineRule="exact"/>
        <w:ind w:firstLine="422" w:firstLineChars="200"/>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2.1.2资格审查（资格后审）</w:t>
      </w:r>
    </w:p>
    <w:p>
      <w:pPr>
        <w:spacing w:line="48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评标委员会对通过上一阶段评审的投标人资格对照招标文件投标须知第3.5项的规定要求进行审查，只有通过资格审查的投标人方可进行下一阶段的评审。</w:t>
      </w:r>
    </w:p>
    <w:p>
      <w:pPr>
        <w:spacing w:line="480" w:lineRule="exact"/>
        <w:ind w:firstLine="422" w:firstLineChars="200"/>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2.1.3 响应性审查</w:t>
      </w:r>
    </w:p>
    <w:p>
      <w:pPr>
        <w:spacing w:line="48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对招标文件要求的工期、质量标准、投标有效期、投标报价等实质性要求的响应性进行评审。</w:t>
      </w:r>
    </w:p>
    <w:tbl>
      <w:tblPr>
        <w:tblStyle w:val="49"/>
        <w:tblW w:w="4998" w:type="pc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3456"/>
        <w:gridCol w:w="650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35" w:type="pct"/>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评审因素</w:t>
            </w:r>
          </w:p>
        </w:tc>
        <w:tc>
          <w:tcPr>
            <w:tcW w:w="3264" w:type="pct"/>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评审标准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35" w:type="pct"/>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宋体" w:hAnsi="宋体" w:eastAsia="宋体" w:cs="宋体"/>
                <w:b/>
                <w:color w:val="auto"/>
                <w:szCs w:val="21"/>
                <w:highlight w:val="none"/>
              </w:rPr>
            </w:pPr>
            <w:r>
              <w:rPr>
                <w:rFonts w:hint="eastAsia" w:ascii="宋体" w:hAnsi="宋体" w:eastAsia="宋体" w:cs="宋体"/>
                <w:color w:val="auto"/>
                <w:szCs w:val="21"/>
                <w:highlight w:val="none"/>
              </w:rPr>
              <w:t>工期</w:t>
            </w:r>
          </w:p>
        </w:tc>
        <w:tc>
          <w:tcPr>
            <w:tcW w:w="3264" w:type="pct"/>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宋体" w:hAnsi="宋体" w:eastAsia="宋体" w:cs="宋体"/>
                <w:b/>
                <w:color w:val="auto"/>
                <w:szCs w:val="21"/>
                <w:highlight w:val="none"/>
              </w:rPr>
            </w:pPr>
            <w:r>
              <w:rPr>
                <w:rFonts w:hint="eastAsia" w:ascii="宋体" w:hAnsi="宋体" w:eastAsia="宋体" w:cs="宋体"/>
                <w:color w:val="auto"/>
                <w:szCs w:val="21"/>
                <w:highlight w:val="none"/>
              </w:rPr>
              <w:t>符合招标文件相关约定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35" w:type="pct"/>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宋体" w:hAnsi="宋体" w:eastAsia="宋体" w:cs="宋体"/>
                <w:b/>
                <w:color w:val="auto"/>
                <w:szCs w:val="21"/>
                <w:highlight w:val="none"/>
              </w:rPr>
            </w:pPr>
            <w:r>
              <w:rPr>
                <w:rFonts w:hint="eastAsia" w:ascii="宋体" w:hAnsi="宋体" w:eastAsia="宋体" w:cs="宋体"/>
                <w:color w:val="auto"/>
                <w:szCs w:val="21"/>
                <w:highlight w:val="none"/>
              </w:rPr>
              <w:t>工程质量</w:t>
            </w:r>
          </w:p>
        </w:tc>
        <w:tc>
          <w:tcPr>
            <w:tcW w:w="3264" w:type="pct"/>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宋体" w:hAnsi="宋体" w:eastAsia="宋体" w:cs="宋体"/>
                <w:b/>
                <w:color w:val="auto"/>
                <w:szCs w:val="21"/>
                <w:highlight w:val="none"/>
              </w:rPr>
            </w:pPr>
            <w:r>
              <w:rPr>
                <w:rFonts w:hint="eastAsia" w:ascii="宋体" w:hAnsi="宋体" w:eastAsia="宋体" w:cs="宋体"/>
                <w:color w:val="auto"/>
                <w:szCs w:val="21"/>
                <w:highlight w:val="none"/>
              </w:rPr>
              <w:t>符合招标文件相关约定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35" w:type="pct"/>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宋体" w:hAnsi="宋体" w:eastAsia="宋体" w:cs="宋体"/>
                <w:b/>
                <w:color w:val="auto"/>
                <w:szCs w:val="21"/>
                <w:highlight w:val="none"/>
              </w:rPr>
            </w:pPr>
            <w:r>
              <w:rPr>
                <w:rFonts w:hint="eastAsia" w:ascii="宋体" w:hAnsi="宋体" w:eastAsia="宋体" w:cs="宋体"/>
                <w:color w:val="auto"/>
                <w:szCs w:val="21"/>
                <w:highlight w:val="none"/>
              </w:rPr>
              <w:t>投标有效期</w:t>
            </w:r>
          </w:p>
        </w:tc>
        <w:tc>
          <w:tcPr>
            <w:tcW w:w="3264" w:type="pct"/>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宋体" w:hAnsi="宋体" w:eastAsia="宋体" w:cs="宋体"/>
                <w:b/>
                <w:color w:val="auto"/>
                <w:szCs w:val="21"/>
                <w:highlight w:val="none"/>
              </w:rPr>
            </w:pPr>
            <w:r>
              <w:rPr>
                <w:rFonts w:hint="eastAsia" w:ascii="宋体" w:hAnsi="宋体" w:eastAsia="宋体" w:cs="宋体"/>
                <w:color w:val="auto"/>
                <w:szCs w:val="21"/>
                <w:highlight w:val="none"/>
              </w:rPr>
              <w:t>符合招标文件相关约定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35" w:type="pct"/>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宋体" w:hAnsi="宋体" w:eastAsia="宋体" w:cs="宋体"/>
                <w:b/>
                <w:color w:val="auto"/>
                <w:szCs w:val="21"/>
                <w:highlight w:val="none"/>
              </w:rPr>
            </w:pPr>
            <w:r>
              <w:rPr>
                <w:rFonts w:hint="eastAsia" w:ascii="宋体" w:hAnsi="宋体" w:eastAsia="宋体" w:cs="宋体"/>
                <w:color w:val="auto"/>
                <w:szCs w:val="21"/>
                <w:highlight w:val="none"/>
              </w:rPr>
              <w:t>技术标准和要求</w:t>
            </w:r>
          </w:p>
        </w:tc>
        <w:tc>
          <w:tcPr>
            <w:tcW w:w="3264" w:type="pct"/>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符合招标文件相关约定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35" w:type="pct"/>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宋体" w:hAnsi="宋体" w:eastAsia="宋体" w:cs="宋体"/>
                <w:b/>
                <w:color w:val="auto"/>
                <w:szCs w:val="21"/>
                <w:highlight w:val="none"/>
              </w:rPr>
            </w:pPr>
            <w:r>
              <w:rPr>
                <w:rFonts w:hint="eastAsia" w:ascii="宋体" w:hAnsi="宋体" w:eastAsia="宋体" w:cs="宋体"/>
                <w:color w:val="auto"/>
                <w:szCs w:val="21"/>
                <w:highlight w:val="none"/>
              </w:rPr>
              <w:t>投标价格</w:t>
            </w:r>
          </w:p>
        </w:tc>
        <w:tc>
          <w:tcPr>
            <w:tcW w:w="3264" w:type="pct"/>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符合招标文件相关约定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35" w:type="pct"/>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w:t>
            </w:r>
          </w:p>
        </w:tc>
        <w:tc>
          <w:tcPr>
            <w:tcW w:w="3264" w:type="pct"/>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w:t>
            </w:r>
          </w:p>
        </w:tc>
      </w:tr>
    </w:tbl>
    <w:p>
      <w:pPr>
        <w:pStyle w:val="4"/>
        <w:spacing w:before="0" w:after="0" w:line="460" w:lineRule="exact"/>
        <w:ind w:firstLine="422" w:firstLineChars="200"/>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rPr>
        <w:t>2.2 详细评审（100分）</w:t>
      </w:r>
    </w:p>
    <w:tbl>
      <w:tblPr>
        <w:tblStyle w:val="49"/>
        <w:tblW w:w="498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6"/>
        <w:gridCol w:w="1195"/>
        <w:gridCol w:w="755"/>
        <w:gridCol w:w="7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335" w:type="pct"/>
            <w:noWrap w:val="0"/>
            <w:vAlign w:val="center"/>
          </w:tcPr>
          <w:p>
            <w:pPr>
              <w:ind w:firstLine="0" w:firstLineChars="0"/>
              <w:jc w:val="center"/>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序号</w:t>
            </w:r>
          </w:p>
        </w:tc>
        <w:tc>
          <w:tcPr>
            <w:tcW w:w="601" w:type="pct"/>
            <w:noWrap w:val="0"/>
            <w:vAlign w:val="center"/>
          </w:tcPr>
          <w:p>
            <w:pPr>
              <w:ind w:firstLine="0" w:firstLineChars="0"/>
              <w:jc w:val="center"/>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评分因素</w:t>
            </w:r>
          </w:p>
        </w:tc>
        <w:tc>
          <w:tcPr>
            <w:tcW w:w="380" w:type="pct"/>
            <w:noWrap w:val="0"/>
            <w:vAlign w:val="center"/>
          </w:tcPr>
          <w:p>
            <w:pPr>
              <w:ind w:firstLine="0" w:firstLineChars="0"/>
              <w:jc w:val="center"/>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分值</w:t>
            </w:r>
          </w:p>
        </w:tc>
        <w:tc>
          <w:tcPr>
            <w:tcW w:w="3683" w:type="pct"/>
            <w:noWrap w:val="0"/>
            <w:vAlign w:val="center"/>
          </w:tcPr>
          <w:p>
            <w:pPr>
              <w:ind w:firstLine="0" w:firstLineChars="0"/>
              <w:jc w:val="center"/>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1" w:hRule="atLeast"/>
        </w:trPr>
        <w:tc>
          <w:tcPr>
            <w:tcW w:w="335" w:type="pct"/>
            <w:noWrap w:val="0"/>
            <w:vAlign w:val="center"/>
          </w:tcPr>
          <w:p>
            <w:pPr>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601" w:type="pct"/>
            <w:noWrap w:val="0"/>
            <w:vAlign w:val="center"/>
          </w:tcPr>
          <w:p>
            <w:pPr>
              <w:ind w:firstLine="0" w:firstLineChars="0"/>
              <w:jc w:val="center"/>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价格</w:t>
            </w:r>
          </w:p>
        </w:tc>
        <w:tc>
          <w:tcPr>
            <w:tcW w:w="380" w:type="pct"/>
            <w:noWrap w:val="0"/>
            <w:vAlign w:val="center"/>
          </w:tcPr>
          <w:p>
            <w:pPr>
              <w:ind w:firstLine="0" w:firstLineChars="0"/>
              <w:jc w:val="center"/>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70</w:t>
            </w:r>
          </w:p>
        </w:tc>
        <w:tc>
          <w:tcPr>
            <w:tcW w:w="3683" w:type="pct"/>
            <w:noWrap w:val="0"/>
            <w:vAlign w:val="bottom"/>
          </w:tcPr>
          <w:p>
            <w:pPr>
              <w:ind w:firstLine="0" w:firstLineChars="0"/>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投标报价</w:t>
            </w:r>
            <w:r>
              <w:rPr>
                <w:rFonts w:hint="eastAsia" w:ascii="宋体" w:hAnsi="宋体" w:eastAsia="宋体" w:cs="宋体"/>
                <w:color w:val="auto"/>
                <w:sz w:val="21"/>
                <w:szCs w:val="21"/>
                <w:highlight w:val="none"/>
              </w:rPr>
              <w:t>等于评标基准价得</w:t>
            </w:r>
            <w:r>
              <w:rPr>
                <w:rFonts w:hint="eastAsia" w:ascii="宋体" w:hAnsi="宋体" w:eastAsia="宋体" w:cs="宋体"/>
                <w:color w:val="auto"/>
                <w:sz w:val="21"/>
                <w:szCs w:val="21"/>
                <w:highlight w:val="none"/>
                <w:lang w:val="zh-CN"/>
              </w:rPr>
              <w:t>满分</w:t>
            </w:r>
            <w:r>
              <w:rPr>
                <w:rFonts w:hint="eastAsia" w:ascii="宋体" w:hAnsi="宋体" w:cs="宋体"/>
                <w:color w:val="auto"/>
                <w:sz w:val="21"/>
                <w:szCs w:val="21"/>
                <w:highlight w:val="none"/>
                <w:lang w:val="en-US" w:eastAsia="zh-CN"/>
              </w:rPr>
              <w:t>7</w:t>
            </w:r>
            <w:r>
              <w:rPr>
                <w:rFonts w:hint="eastAsia" w:ascii="宋体" w:hAnsi="宋体" w:eastAsia="宋体" w:cs="宋体"/>
                <w:color w:val="auto"/>
                <w:sz w:val="21"/>
                <w:szCs w:val="21"/>
                <w:highlight w:val="none"/>
                <w:lang w:val="en-US" w:eastAsia="zh-CN"/>
              </w:rPr>
              <w:t>0</w:t>
            </w:r>
            <w:r>
              <w:rPr>
                <w:rFonts w:hint="eastAsia" w:ascii="宋体" w:hAnsi="宋体" w:eastAsia="宋体" w:cs="宋体"/>
                <w:color w:val="auto"/>
                <w:sz w:val="21"/>
                <w:szCs w:val="21"/>
                <w:highlight w:val="none"/>
              </w:rPr>
              <w:t>分</w:t>
            </w:r>
            <w:r>
              <w:rPr>
                <w:rFonts w:hint="eastAsia" w:ascii="宋体" w:hAnsi="宋体" w:eastAsia="宋体" w:cs="宋体"/>
                <w:color w:val="auto"/>
                <w:sz w:val="21"/>
                <w:szCs w:val="21"/>
                <w:highlight w:val="none"/>
                <w:lang w:val="zh-CN"/>
              </w:rPr>
              <w:t>，投标报价相对评标基准价每低1%扣</w:t>
            </w:r>
            <w:r>
              <w:rPr>
                <w:rFonts w:hint="eastAsia" w:ascii="宋体" w:hAnsi="宋体" w:eastAsia="宋体" w:cs="宋体"/>
                <w:color w:val="auto"/>
                <w:sz w:val="21"/>
                <w:szCs w:val="21"/>
                <w:highlight w:val="none"/>
              </w:rPr>
              <w:t>0.</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lang w:val="zh-CN"/>
              </w:rPr>
              <w:t>分，每高1%扣</w:t>
            </w:r>
            <w:r>
              <w:rPr>
                <w:rFonts w:hint="eastAsia" w:ascii="宋体" w:hAnsi="宋体" w:eastAsia="宋体" w:cs="宋体"/>
                <w:color w:val="auto"/>
                <w:sz w:val="21"/>
                <w:szCs w:val="21"/>
                <w:highlight w:val="none"/>
              </w:rPr>
              <w:t>0.</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lang w:val="zh-CN"/>
              </w:rPr>
              <w:t>分，不足1%的按插入法计算。</w:t>
            </w:r>
          </w:p>
          <w:p>
            <w:pPr>
              <w:ind w:firstLine="0" w:firstLineChars="0"/>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评标基准价：若有效投标文件＜5 家时，以所有有效投标文件</w:t>
            </w:r>
            <w:r>
              <w:rPr>
                <w:rFonts w:hint="eastAsia" w:ascii="宋体" w:hAnsi="宋体" w:eastAsia="宋体" w:cs="宋体"/>
                <w:color w:val="auto"/>
                <w:sz w:val="21"/>
                <w:szCs w:val="21"/>
                <w:highlight w:val="none"/>
              </w:rPr>
              <w:t>投标报价</w:t>
            </w:r>
            <w:r>
              <w:rPr>
                <w:rFonts w:hint="eastAsia" w:ascii="宋体" w:hAnsi="宋体" w:eastAsia="宋体" w:cs="宋体"/>
                <w:color w:val="auto"/>
                <w:sz w:val="21"/>
                <w:szCs w:val="21"/>
                <w:highlight w:val="none"/>
                <w:lang w:val="zh-CN"/>
              </w:rPr>
              <w:t>算术平均值为评标基准价；</w:t>
            </w:r>
            <w:r>
              <w:rPr>
                <w:rFonts w:hint="eastAsia" w:ascii="宋体" w:hAnsi="宋体" w:eastAsia="宋体" w:cs="宋体"/>
                <w:color w:val="auto"/>
                <w:sz w:val="21"/>
                <w:szCs w:val="21"/>
                <w:highlight w:val="none"/>
              </w:rPr>
              <w:t>5</w:t>
            </w:r>
            <w:r>
              <w:rPr>
                <w:rFonts w:hint="eastAsia" w:ascii="宋体" w:hAnsi="宋体" w:eastAsia="宋体" w:cs="宋体"/>
                <w:color w:val="auto"/>
                <w:sz w:val="21"/>
                <w:szCs w:val="21"/>
                <w:highlight w:val="none"/>
                <w:lang w:val="zh-CN"/>
              </w:rPr>
              <w:t>≤若有效投标文件＜</w:t>
            </w:r>
            <w:r>
              <w:rPr>
                <w:rFonts w:hint="eastAsia" w:ascii="宋体" w:hAnsi="宋体" w:eastAsia="宋体" w:cs="宋体"/>
                <w:color w:val="auto"/>
                <w:sz w:val="21"/>
                <w:szCs w:val="21"/>
                <w:highlight w:val="none"/>
              </w:rPr>
              <w:t>10</w:t>
            </w:r>
            <w:r>
              <w:rPr>
                <w:rFonts w:hint="eastAsia" w:ascii="宋体" w:hAnsi="宋体" w:eastAsia="宋体" w:cs="宋体"/>
                <w:color w:val="auto"/>
                <w:sz w:val="21"/>
                <w:szCs w:val="21"/>
                <w:highlight w:val="none"/>
                <w:lang w:val="zh-CN"/>
              </w:rPr>
              <w:t>家时，去掉有效投标文件</w:t>
            </w:r>
            <w:r>
              <w:rPr>
                <w:rFonts w:hint="eastAsia" w:ascii="宋体" w:hAnsi="宋体" w:eastAsia="宋体" w:cs="宋体"/>
                <w:color w:val="auto"/>
                <w:sz w:val="21"/>
                <w:szCs w:val="21"/>
                <w:highlight w:val="none"/>
              </w:rPr>
              <w:t>投标报价</w:t>
            </w:r>
            <w:r>
              <w:rPr>
                <w:rFonts w:hint="eastAsia" w:ascii="宋体" w:hAnsi="宋体" w:eastAsia="宋体" w:cs="宋体"/>
                <w:color w:val="auto"/>
                <w:sz w:val="21"/>
                <w:szCs w:val="21"/>
                <w:highlight w:val="none"/>
                <w:lang w:val="zh-CN"/>
              </w:rPr>
              <w:t>中的一个最高价和一个最低价后取算术平均值为评标基准价；若有效投标文件≥10家时，去掉有效投标文件</w:t>
            </w:r>
            <w:r>
              <w:rPr>
                <w:rFonts w:hint="eastAsia" w:ascii="宋体" w:hAnsi="宋体" w:eastAsia="宋体" w:cs="宋体"/>
                <w:color w:val="auto"/>
                <w:sz w:val="21"/>
                <w:szCs w:val="21"/>
                <w:highlight w:val="none"/>
              </w:rPr>
              <w:t>投标报价</w:t>
            </w:r>
            <w:r>
              <w:rPr>
                <w:rFonts w:hint="eastAsia" w:ascii="宋体" w:hAnsi="宋体" w:eastAsia="宋体" w:cs="宋体"/>
                <w:color w:val="auto"/>
                <w:sz w:val="21"/>
                <w:szCs w:val="21"/>
                <w:highlight w:val="none"/>
                <w:lang w:val="zh-CN"/>
              </w:rPr>
              <w:t>中的二个最高价和二个最低价后取算术平均值为评标基准价。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3" w:hRule="atLeast"/>
        </w:trPr>
        <w:tc>
          <w:tcPr>
            <w:tcW w:w="335" w:type="pct"/>
            <w:noWrap w:val="0"/>
            <w:vAlign w:val="center"/>
          </w:tcPr>
          <w:p>
            <w:pPr>
              <w:ind w:firstLine="0" w:firstLineChars="0"/>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2</w:t>
            </w:r>
          </w:p>
        </w:tc>
        <w:tc>
          <w:tcPr>
            <w:tcW w:w="601" w:type="pct"/>
            <w:noWrap w:val="0"/>
            <w:vAlign w:val="center"/>
          </w:tcPr>
          <w:p>
            <w:pPr>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zh-CN"/>
              </w:rPr>
              <w:t>业绩</w:t>
            </w:r>
          </w:p>
        </w:tc>
        <w:tc>
          <w:tcPr>
            <w:tcW w:w="380" w:type="pct"/>
            <w:noWrap w:val="0"/>
            <w:vAlign w:val="center"/>
          </w:tcPr>
          <w:p>
            <w:pPr>
              <w:ind w:firstLine="0" w:firstLineChars="0"/>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14</w:t>
            </w:r>
          </w:p>
        </w:tc>
        <w:tc>
          <w:tcPr>
            <w:tcW w:w="3683" w:type="pct"/>
            <w:noWrap w:val="0"/>
            <w:vAlign w:val="center"/>
          </w:tcPr>
          <w:p>
            <w:pPr>
              <w:ind w:firstLine="0" w:firstLineChars="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zh-CN"/>
              </w:rPr>
              <w:t>评标委员会依据投标人履约能力进行打分，即根据投标人提供201</w:t>
            </w:r>
            <w:r>
              <w:rPr>
                <w:rFonts w:hint="eastAsia" w:ascii="宋体" w:hAnsi="宋体" w:eastAsia="宋体" w:cs="宋体"/>
                <w:color w:val="auto"/>
                <w:sz w:val="21"/>
                <w:szCs w:val="21"/>
                <w:highlight w:val="none"/>
                <w:lang w:val="en-US" w:eastAsia="zh-CN"/>
              </w:rPr>
              <w:t>9</w:t>
            </w:r>
            <w:r>
              <w:rPr>
                <w:rFonts w:hint="eastAsia" w:ascii="宋体" w:hAnsi="宋体" w:eastAsia="宋体" w:cs="宋体"/>
                <w:color w:val="auto"/>
                <w:sz w:val="21"/>
                <w:szCs w:val="21"/>
                <w:highlight w:val="none"/>
                <w:lang w:val="zh-CN"/>
              </w:rPr>
              <w:t>-202</w:t>
            </w: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lang w:val="zh-CN"/>
              </w:rPr>
              <w:t>年销售复合碳源的供货合同，提供一份得2分，最高得</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lang w:val="zh-CN"/>
              </w:rPr>
              <w:t>4分。以提供合同为准，未提供合同的该项不得分。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5" w:hRule="atLeast"/>
        </w:trPr>
        <w:tc>
          <w:tcPr>
            <w:tcW w:w="335" w:type="pct"/>
            <w:noWrap w:val="0"/>
            <w:vAlign w:val="center"/>
          </w:tcPr>
          <w:p>
            <w:pPr>
              <w:ind w:firstLine="0" w:firstLineChar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w:t>
            </w:r>
          </w:p>
        </w:tc>
        <w:tc>
          <w:tcPr>
            <w:tcW w:w="601" w:type="pct"/>
            <w:noWrap w:val="0"/>
            <w:vAlign w:val="center"/>
          </w:tcPr>
          <w:p>
            <w:pPr>
              <w:ind w:firstLine="0" w:firstLineChars="0"/>
              <w:jc w:val="center"/>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rPr>
              <w:t>项目实施方案</w:t>
            </w:r>
          </w:p>
        </w:tc>
        <w:tc>
          <w:tcPr>
            <w:tcW w:w="380" w:type="pct"/>
            <w:noWrap w:val="0"/>
            <w:vAlign w:val="center"/>
          </w:tcPr>
          <w:p>
            <w:pPr>
              <w:ind w:firstLine="0" w:firstLineChar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5</w:t>
            </w:r>
          </w:p>
        </w:tc>
        <w:tc>
          <w:tcPr>
            <w:tcW w:w="3683" w:type="pct"/>
            <w:noWrap w:val="0"/>
            <w:vAlign w:val="center"/>
          </w:tcPr>
          <w:p>
            <w:pPr>
              <w:ind w:firstLine="0" w:firstLineChars="0"/>
              <w:jc w:val="left"/>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rPr>
              <w:t>评标委员会根据投标人提供项目供货方案、运输方案对比打分，提供项目供货及运输方案科学、详尽、可行的得3</w:t>
            </w:r>
            <w:r>
              <w:rPr>
                <w:rFonts w:hint="eastAsia" w:ascii="宋体" w:hAnsi="宋体" w:eastAsia="宋体" w:cs="宋体"/>
                <w:color w:val="auto"/>
                <w:sz w:val="21"/>
                <w:szCs w:val="21"/>
                <w:highlight w:val="none"/>
                <w:lang w:val="en-US" w:eastAsia="zh-CN"/>
              </w:rPr>
              <w:t>.5（含）</w:t>
            </w:r>
            <w:r>
              <w:rPr>
                <w:rFonts w:hint="eastAsia" w:ascii="宋体" w:hAnsi="宋体" w:eastAsia="宋体" w:cs="宋体"/>
                <w:color w:val="auto"/>
                <w:sz w:val="21"/>
                <w:szCs w:val="21"/>
                <w:highlight w:val="none"/>
              </w:rPr>
              <w:t>-5分，较为合理可行的得1</w:t>
            </w:r>
            <w:r>
              <w:rPr>
                <w:rFonts w:hint="eastAsia" w:ascii="宋体" w:hAnsi="宋体" w:eastAsia="宋体" w:cs="宋体"/>
                <w:color w:val="auto"/>
                <w:sz w:val="21"/>
                <w:szCs w:val="21"/>
                <w:highlight w:val="none"/>
                <w:lang w:val="en-US" w:eastAsia="zh-CN"/>
              </w:rPr>
              <w:t>.5（含）</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3.5</w:t>
            </w:r>
            <w:r>
              <w:rPr>
                <w:rFonts w:hint="eastAsia" w:ascii="宋体" w:hAnsi="宋体" w:eastAsia="宋体" w:cs="宋体"/>
                <w:color w:val="auto"/>
                <w:sz w:val="21"/>
                <w:szCs w:val="21"/>
                <w:highlight w:val="none"/>
              </w:rPr>
              <w:t>分，一般的得0-</w:t>
            </w:r>
            <w:r>
              <w:rPr>
                <w:rFonts w:hint="eastAsia" w:ascii="宋体" w:hAnsi="宋体" w:eastAsia="宋体" w:cs="宋体"/>
                <w:color w:val="auto"/>
                <w:sz w:val="21"/>
                <w:szCs w:val="21"/>
                <w:highlight w:val="none"/>
                <w:lang w:val="en-US" w:eastAsia="zh-CN"/>
              </w:rPr>
              <w:t>1.5</w:t>
            </w:r>
            <w:r>
              <w:rPr>
                <w:rFonts w:hint="eastAsia" w:ascii="宋体" w:hAnsi="宋体" w:eastAsia="宋体" w:cs="宋体"/>
                <w:color w:val="auto"/>
                <w:sz w:val="21"/>
                <w:szCs w:val="21"/>
                <w:highlight w:val="none"/>
              </w:rPr>
              <w:t>分，未提供相关方案或方案不可行的不得分。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trPr>
        <w:tc>
          <w:tcPr>
            <w:tcW w:w="335" w:type="pct"/>
            <w:noWrap w:val="0"/>
            <w:vAlign w:val="center"/>
          </w:tcPr>
          <w:p>
            <w:pPr>
              <w:ind w:firstLine="0" w:firstLineChars="0"/>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4</w:t>
            </w:r>
          </w:p>
        </w:tc>
        <w:tc>
          <w:tcPr>
            <w:tcW w:w="601" w:type="pct"/>
            <w:noWrap w:val="0"/>
            <w:vAlign w:val="center"/>
          </w:tcPr>
          <w:p>
            <w:pPr>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zh-CN"/>
              </w:rPr>
              <w:t>售后服务</w:t>
            </w:r>
          </w:p>
        </w:tc>
        <w:tc>
          <w:tcPr>
            <w:tcW w:w="380" w:type="pct"/>
            <w:noWrap w:val="0"/>
            <w:vAlign w:val="center"/>
          </w:tcPr>
          <w:p>
            <w:pPr>
              <w:ind w:firstLine="0" w:firstLineChar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5</w:t>
            </w:r>
          </w:p>
        </w:tc>
        <w:tc>
          <w:tcPr>
            <w:tcW w:w="3683" w:type="pct"/>
            <w:noWrap w:val="0"/>
            <w:vAlign w:val="center"/>
          </w:tcPr>
          <w:p>
            <w:pPr>
              <w:pStyle w:val="32"/>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合同约定的服务外，投标人可以提供的</w:t>
            </w:r>
            <w:r>
              <w:rPr>
                <w:rFonts w:hint="eastAsia" w:ascii="宋体" w:hAnsi="宋体" w:eastAsia="宋体" w:cs="宋体"/>
                <w:color w:val="auto"/>
                <w:kern w:val="2"/>
                <w:sz w:val="21"/>
                <w:szCs w:val="21"/>
                <w:highlight w:val="none"/>
                <w:lang w:val="zh-CN" w:eastAsia="zh-CN" w:bidi="ar-SA"/>
              </w:rPr>
              <w:t>免费服务项目和其它技术服务等。每提供一项服务承诺或技术服务</w:t>
            </w:r>
            <w:r>
              <w:rPr>
                <w:rFonts w:hint="eastAsia" w:ascii="宋体" w:hAnsi="宋体" w:eastAsia="宋体" w:cs="宋体"/>
                <w:color w:val="auto"/>
                <w:kern w:val="2"/>
                <w:sz w:val="21"/>
                <w:szCs w:val="21"/>
                <w:highlight w:val="none"/>
                <w:lang w:val="en-US" w:eastAsia="zh-CN" w:bidi="ar-SA"/>
              </w:rPr>
              <w:t>承诺</w:t>
            </w:r>
            <w:r>
              <w:rPr>
                <w:rFonts w:hint="eastAsia" w:ascii="宋体" w:hAnsi="宋体" w:eastAsia="宋体" w:cs="宋体"/>
                <w:color w:val="auto"/>
                <w:kern w:val="2"/>
                <w:sz w:val="21"/>
                <w:szCs w:val="21"/>
                <w:highlight w:val="none"/>
                <w:lang w:val="zh-CN" w:eastAsia="zh-CN" w:bidi="ar-SA"/>
              </w:rPr>
              <w:t>得1分，最高5分；</w:t>
            </w:r>
            <w:r>
              <w:rPr>
                <w:rFonts w:hint="eastAsia" w:ascii="宋体" w:hAnsi="宋体" w:eastAsia="宋体" w:cs="宋体"/>
                <w:color w:val="auto"/>
                <w:kern w:val="2"/>
                <w:sz w:val="21"/>
                <w:szCs w:val="21"/>
                <w:highlight w:val="none"/>
                <w:lang w:val="en-US" w:eastAsia="zh-CN" w:bidi="ar-SA"/>
              </w:rPr>
              <w:t>未提供</w:t>
            </w:r>
            <w:r>
              <w:rPr>
                <w:rFonts w:hint="eastAsia" w:ascii="宋体" w:hAnsi="宋体" w:eastAsia="宋体" w:cs="宋体"/>
                <w:color w:val="auto"/>
                <w:kern w:val="2"/>
                <w:sz w:val="21"/>
                <w:szCs w:val="21"/>
                <w:highlight w:val="none"/>
                <w:lang w:val="zh-CN" w:eastAsia="zh-CN" w:bidi="ar-SA"/>
              </w:rPr>
              <w:t>实质性服务承诺及技术服务</w:t>
            </w:r>
            <w:r>
              <w:rPr>
                <w:rFonts w:hint="eastAsia" w:ascii="宋体" w:hAnsi="宋体" w:eastAsia="宋体" w:cs="宋体"/>
                <w:color w:val="auto"/>
                <w:kern w:val="2"/>
                <w:sz w:val="21"/>
                <w:szCs w:val="21"/>
                <w:highlight w:val="none"/>
                <w:lang w:val="en-US" w:eastAsia="zh-CN" w:bidi="ar-SA"/>
              </w:rPr>
              <w:t>承诺</w:t>
            </w:r>
            <w:r>
              <w:rPr>
                <w:rFonts w:hint="eastAsia" w:ascii="宋体" w:hAnsi="宋体" w:eastAsia="宋体" w:cs="宋体"/>
                <w:color w:val="auto"/>
                <w:kern w:val="2"/>
                <w:sz w:val="21"/>
                <w:szCs w:val="21"/>
                <w:highlight w:val="none"/>
                <w:lang w:val="zh-CN" w:eastAsia="zh-CN" w:bidi="ar-SA"/>
              </w:rPr>
              <w:t>的，本项不得分。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trPr>
        <w:tc>
          <w:tcPr>
            <w:tcW w:w="335" w:type="pct"/>
            <w:noWrap w:val="0"/>
            <w:vAlign w:val="center"/>
          </w:tcPr>
          <w:p>
            <w:pPr>
              <w:ind w:firstLine="0" w:firstLineChars="0"/>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5</w:t>
            </w:r>
          </w:p>
        </w:tc>
        <w:tc>
          <w:tcPr>
            <w:tcW w:w="601" w:type="pct"/>
            <w:noWrap w:val="0"/>
            <w:vAlign w:val="center"/>
          </w:tcPr>
          <w:p>
            <w:pPr>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专业人员</w:t>
            </w:r>
          </w:p>
        </w:tc>
        <w:tc>
          <w:tcPr>
            <w:tcW w:w="380" w:type="pct"/>
            <w:noWrap w:val="0"/>
            <w:vAlign w:val="center"/>
          </w:tcPr>
          <w:p>
            <w:pPr>
              <w:ind w:firstLine="0" w:firstLineChars="0"/>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5</w:t>
            </w:r>
          </w:p>
        </w:tc>
        <w:tc>
          <w:tcPr>
            <w:tcW w:w="3683" w:type="pct"/>
            <w:noWrap w:val="0"/>
            <w:vAlign w:val="center"/>
          </w:tcPr>
          <w:p>
            <w:pPr>
              <w:ind w:firstLine="0" w:firstLineChars="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投标人拟派项目组成员（至少包含检测人员、运输人员、售后服务人员）的</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得5分。</w:t>
            </w:r>
            <w:r>
              <w:rPr>
                <w:rFonts w:hint="eastAsia" w:ascii="宋体" w:hAnsi="宋体" w:eastAsia="宋体" w:cs="宋体"/>
                <w:color w:val="auto"/>
                <w:sz w:val="21"/>
                <w:szCs w:val="21"/>
                <w:highlight w:val="none"/>
                <w:lang w:val="en-US" w:eastAsia="zh-CN"/>
              </w:rPr>
              <w:t>现场委派人员应与投标文件一致，否则采购人有权解除合同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trPr>
        <w:tc>
          <w:tcPr>
            <w:tcW w:w="335" w:type="pct"/>
            <w:noWrap w:val="0"/>
            <w:vAlign w:val="center"/>
          </w:tcPr>
          <w:p>
            <w:pPr>
              <w:ind w:firstLine="0" w:firstLineChar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6</w:t>
            </w:r>
          </w:p>
        </w:tc>
        <w:tc>
          <w:tcPr>
            <w:tcW w:w="601" w:type="pct"/>
            <w:noWrap w:val="0"/>
            <w:vAlign w:val="center"/>
          </w:tcPr>
          <w:p>
            <w:pPr>
              <w:ind w:firstLine="0" w:firstLineChars="0"/>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诚信投标</w:t>
            </w:r>
          </w:p>
        </w:tc>
        <w:tc>
          <w:tcPr>
            <w:tcW w:w="380" w:type="pct"/>
            <w:noWrap w:val="0"/>
            <w:vAlign w:val="center"/>
          </w:tcPr>
          <w:p>
            <w:pPr>
              <w:ind w:firstLine="0" w:firstLineChars="0"/>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1</w:t>
            </w:r>
          </w:p>
        </w:tc>
        <w:tc>
          <w:tcPr>
            <w:tcW w:w="3683" w:type="pct"/>
            <w:noWrap w:val="0"/>
            <w:vAlign w:val="center"/>
          </w:tcPr>
          <w:p>
            <w:pPr>
              <w:ind w:firstLine="0" w:firstLineChars="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投标人提交签署并盖章《盐城市大丰区政府招标采购供应商承诺书》得1分；没有提供的不得分。</w:t>
            </w:r>
          </w:p>
        </w:tc>
      </w:tr>
    </w:tbl>
    <w:p>
      <w:pPr>
        <w:spacing w:line="460" w:lineRule="exact"/>
        <w:ind w:firstLine="422" w:firstLineChars="200"/>
        <w:rPr>
          <w:rFonts w:hint="eastAsia" w:ascii="宋体" w:hAnsi="宋体" w:eastAsia="宋体" w:cs="宋体"/>
          <w:color w:val="auto"/>
          <w:szCs w:val="21"/>
          <w:highlight w:val="none"/>
        </w:rPr>
      </w:pPr>
      <w:r>
        <w:rPr>
          <w:rFonts w:hint="eastAsia" w:ascii="宋体" w:hAnsi="宋体" w:eastAsia="宋体" w:cs="宋体"/>
          <w:b/>
          <w:bCs/>
          <w:color w:val="auto"/>
          <w:szCs w:val="21"/>
          <w:highlight w:val="none"/>
        </w:rPr>
        <w:t>3.评标程序</w:t>
      </w:r>
    </w:p>
    <w:p>
      <w:pPr>
        <w:spacing w:line="46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3.1 评标准备</w:t>
      </w:r>
    </w:p>
    <w:p>
      <w:pPr>
        <w:spacing w:line="46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3.1.1 评标委员会成员到达评标现场时应在签到表上签到（或通过门禁系统签到）以证明其出席。</w:t>
      </w:r>
    </w:p>
    <w:p>
      <w:pPr>
        <w:spacing w:line="46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3.1.2 评标委员会成员首先推选一名评标委员会负责人，负责评标活动的组织领导工作。</w:t>
      </w:r>
    </w:p>
    <w:p>
      <w:pPr>
        <w:spacing w:line="46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3.1.3 招标人或招标代理机构应向评标委员会提供评标所需的信息和数据。评标委员会负责人应组织评标委员会成员认真研究招标文件，未在招标文件中规定的标准和方法不得作为评标的依据。</w:t>
      </w:r>
    </w:p>
    <w:p>
      <w:pPr>
        <w:spacing w:line="46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3.2 初步评审</w:t>
      </w:r>
    </w:p>
    <w:p>
      <w:pPr>
        <w:spacing w:line="46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3.2.1评标委员会依据本章第2.1 款规定的标准对投标文件进行初步评审。</w:t>
      </w:r>
    </w:p>
    <w:p>
      <w:pPr>
        <w:spacing w:line="46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3.2.2投标文件不符合本章第2.1款评审标准的，属于重大偏差，视为未能对招标文件作出实质性响应，应当作为无效投标予以否决。</w:t>
      </w:r>
    </w:p>
    <w:p>
      <w:pPr>
        <w:spacing w:line="46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3.2.3对照投标人须知6.4款，投标文件有上述情况之一，视为未能对招标文件作出实质性响应，凡招标文件未明确标明无效标条款的，评标委员会不得作为判定无效投标的依据。</w:t>
      </w:r>
    </w:p>
    <w:p>
      <w:pPr>
        <w:spacing w:line="46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3.2.4 投标报价有算术错误的，评标委员会按以下原则对投标报价进行修正，修正的价格经投标人书面确认后具有约束力。</w:t>
      </w:r>
    </w:p>
    <w:p>
      <w:pPr>
        <w:spacing w:line="46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(1）投标文件中的大写金额与小写金额不一致的，以大写金额为准；</w:t>
      </w:r>
    </w:p>
    <w:p>
      <w:pPr>
        <w:spacing w:line="46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(2）总价金额与依据单价计算出的结果不一致的，以单价金额为准修正总价，但单价金额小数点有明显错误的除外。</w:t>
      </w:r>
    </w:p>
    <w:p>
      <w:pPr>
        <w:spacing w:line="46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3.2.5只有通过初步评审的投标文件才能进入详细评审。</w:t>
      </w:r>
    </w:p>
    <w:p>
      <w:pPr>
        <w:spacing w:line="46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3.3 详细评审</w:t>
      </w:r>
    </w:p>
    <w:p>
      <w:pPr>
        <w:spacing w:line="46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3.3.1 在详细评审发现符合“无效标书条款”的，应当作为无效投标予以否决，其投标报价亦不作为评标基准价A值的依据。</w:t>
      </w:r>
    </w:p>
    <w:p>
      <w:pPr>
        <w:spacing w:line="46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3.3.2 评标委员会按本章第2.2款规定的量化因素和分值进行打分，并计算出综合评估得分。</w:t>
      </w:r>
    </w:p>
    <w:p>
      <w:pPr>
        <w:spacing w:line="46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3.3.3 评分分值计算保留小数点后两位，小数点后第三位“四舍五入”。</w:t>
      </w:r>
    </w:p>
    <w:p>
      <w:pPr>
        <w:spacing w:line="46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3.4 投标文件的澄清和补正</w:t>
      </w:r>
    </w:p>
    <w:p>
      <w:pPr>
        <w:pStyle w:val="18"/>
        <w:ind w:firstLine="420"/>
        <w:rPr>
          <w:rFonts w:hint="eastAsia" w:ascii="宋体" w:hAnsi="宋体" w:eastAsia="宋体" w:cs="宋体"/>
          <w:color w:val="auto"/>
          <w:szCs w:val="21"/>
          <w:highlight w:val="none"/>
        </w:rPr>
      </w:pPr>
      <w:r>
        <w:rPr>
          <w:rFonts w:hint="eastAsia" w:ascii="宋体" w:hAnsi="宋体" w:eastAsia="宋体" w:cs="宋体"/>
          <w:color w:val="auto"/>
          <w:szCs w:val="21"/>
          <w:highlight w:val="none"/>
        </w:rPr>
        <w:t>3.4.1 在评标过程中，评标委员会可以书面形式要求投标人对所提交投标文件中不明确的内容进行书面澄清或说明，或者对细微偏差进行补正。评标委员会不接受投标人主动提出的澄清、说明或补正。</w:t>
      </w:r>
    </w:p>
    <w:p>
      <w:pPr>
        <w:spacing w:line="46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3.4.2澄清、说明和补正不得改变投标文件的实质性内容（算术性错误修正的除外）。投标人的书面澄清、说明和补正属于投标文件的组成部分。</w:t>
      </w:r>
    </w:p>
    <w:p>
      <w:pPr>
        <w:spacing w:line="46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3.4.3 评标委员会对投标人提交的澄清、说明或补正有疑问的，可以要求投标人进一步澄清、说明或补正。</w:t>
      </w:r>
    </w:p>
    <w:p>
      <w:pPr>
        <w:spacing w:line="46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3.5 推荐中标候选人或直接确定中标人</w:t>
      </w:r>
    </w:p>
    <w:p>
      <w:pPr>
        <w:spacing w:line="46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3.5.1 除投标人须知前附表授权直接确定中标人外，评标委员会在推荐中标候选人时，应遵照以下原则:</w:t>
      </w:r>
    </w:p>
    <w:p>
      <w:pPr>
        <w:spacing w:line="46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评标委员会按照最终得分由高至低的次序排列，并根据投标人须知前附表规定的中标候选人数量，将排序在前的投标人推荐为中标候选人。</w:t>
      </w:r>
    </w:p>
    <w:p>
      <w:pPr>
        <w:spacing w:line="46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3.6 提交评标报告 </w:t>
      </w:r>
    </w:p>
    <w:p>
      <w:pPr>
        <w:spacing w:line="460" w:lineRule="exact"/>
        <w:ind w:firstLine="420" w:firstLineChars="200"/>
        <w:rPr>
          <w:rFonts w:hint="eastAsia" w:ascii="宋体" w:hAnsi="宋体" w:eastAsia="宋体" w:cs="宋体"/>
          <w:color w:val="auto"/>
          <w:sz w:val="24"/>
          <w:highlight w:val="none"/>
        </w:rPr>
      </w:pPr>
      <w:r>
        <w:rPr>
          <w:rFonts w:hint="eastAsia" w:ascii="宋体" w:hAnsi="宋体" w:eastAsia="宋体" w:cs="宋体"/>
          <w:color w:val="auto"/>
          <w:szCs w:val="21"/>
          <w:highlight w:val="none"/>
        </w:rPr>
        <w:t>评标委员会完成评标后，应当向招标人提交书面评标报告。评标报告应当由全体评标委员会成员签字，并于评标结束时抄送有关行政监督部门。</w:t>
      </w:r>
    </w:p>
    <w:bookmarkEnd w:id="410"/>
    <w:bookmarkEnd w:id="411"/>
    <w:bookmarkEnd w:id="412"/>
    <w:bookmarkEnd w:id="413"/>
    <w:p>
      <w:pPr>
        <w:pStyle w:val="2"/>
        <w:spacing w:before="0" w:after="0" w:line="360" w:lineRule="auto"/>
        <w:rPr>
          <w:rFonts w:hint="eastAsia" w:ascii="宋体" w:hAnsi="宋体" w:eastAsia="宋体" w:cs="宋体"/>
          <w:color w:val="auto"/>
          <w:sz w:val="44"/>
          <w:szCs w:val="44"/>
          <w:highlight w:val="none"/>
        </w:rPr>
      </w:pPr>
      <w:bookmarkStart w:id="414" w:name="_Toc508216951"/>
      <w:r>
        <w:rPr>
          <w:rFonts w:hint="eastAsia" w:ascii="宋体" w:hAnsi="宋体" w:eastAsia="宋体" w:cs="宋体"/>
          <w:b w:val="0"/>
          <w:bCs w:val="0"/>
          <w:color w:val="auto"/>
          <w:kern w:val="0"/>
          <w:sz w:val="24"/>
          <w:szCs w:val="24"/>
          <w:highlight w:val="none"/>
        </w:rPr>
        <w:br w:type="page"/>
      </w:r>
      <w:r>
        <w:rPr>
          <w:rFonts w:hint="eastAsia" w:ascii="宋体" w:hAnsi="宋体" w:eastAsia="宋体" w:cs="宋体"/>
          <w:color w:val="auto"/>
          <w:highlight w:val="none"/>
        </w:rPr>
        <w:t>第四章 合同条款及格式</w:t>
      </w:r>
      <w:bookmarkEnd w:id="414"/>
      <w:bookmarkStart w:id="415" w:name="_Toc508216954"/>
      <w:bookmarkStart w:id="416" w:name="_Toc397928630"/>
      <w:bookmarkStart w:id="417" w:name="_Toc7525"/>
    </w:p>
    <w:p>
      <w:pPr>
        <w:pStyle w:val="182"/>
        <w:keepNext w:val="0"/>
        <w:keepLines w:val="0"/>
        <w:pageBreakBefore w:val="0"/>
        <w:widowControl/>
        <w:kinsoku/>
        <w:wordWrap/>
        <w:overflowPunct/>
        <w:topLinePunct w:val="0"/>
        <w:autoSpaceDE/>
        <w:autoSpaceDN/>
        <w:bidi w:val="0"/>
        <w:adjustRightInd/>
        <w:snapToGrid/>
        <w:spacing w:before="140" w:after="60" w:line="120" w:lineRule="exact"/>
        <w:ind w:right="-317"/>
        <w:textAlignment w:val="auto"/>
        <w:rPr>
          <w:rStyle w:val="183"/>
          <w:rFonts w:hint="eastAsia" w:ascii="宋体" w:hAnsi="宋体" w:eastAsia="宋体" w:cs="宋体"/>
          <w:color w:val="auto"/>
          <w:sz w:val="21"/>
          <w:szCs w:val="21"/>
          <w:highlight w:val="none"/>
          <w:u w:val="single"/>
          <w:lang w:val="en-US" w:eastAsia="zh-CN"/>
        </w:rPr>
      </w:pPr>
      <w:r>
        <w:rPr>
          <w:rStyle w:val="183"/>
          <w:rFonts w:hint="eastAsia" w:ascii="宋体" w:hAnsi="宋体" w:eastAsia="宋体" w:cs="宋体"/>
          <w:color w:val="auto"/>
          <w:sz w:val="21"/>
          <w:szCs w:val="21"/>
          <w:highlight w:val="none"/>
        </w:rPr>
        <w:t>甲方(需方)</w:t>
      </w:r>
      <w:r>
        <w:rPr>
          <w:rStyle w:val="183"/>
          <w:rFonts w:hint="eastAsia" w:ascii="宋体" w:hAnsi="宋体" w:eastAsia="宋体" w:cs="宋体"/>
          <w:color w:val="auto"/>
          <w:sz w:val="21"/>
          <w:szCs w:val="21"/>
          <w:highlight w:val="none"/>
          <w:lang w:eastAsia="zh-CN"/>
        </w:rPr>
        <w:t>：</w:t>
      </w:r>
      <w:r>
        <w:rPr>
          <w:rStyle w:val="183"/>
          <w:rFonts w:hint="eastAsia" w:ascii="宋体" w:hAnsi="宋体" w:eastAsia="宋体" w:cs="宋体"/>
          <w:color w:val="auto"/>
          <w:sz w:val="21"/>
          <w:szCs w:val="21"/>
          <w:highlight w:val="none"/>
          <w:u w:val="single"/>
          <w:lang w:val="en-US" w:eastAsia="zh-CN"/>
        </w:rPr>
        <w:t xml:space="preserve">                                    </w:t>
      </w:r>
    </w:p>
    <w:p>
      <w:pPr>
        <w:pStyle w:val="182"/>
        <w:keepNext w:val="0"/>
        <w:keepLines w:val="0"/>
        <w:pageBreakBefore w:val="0"/>
        <w:widowControl/>
        <w:kinsoku/>
        <w:wordWrap/>
        <w:overflowPunct/>
        <w:topLinePunct w:val="0"/>
        <w:autoSpaceDE/>
        <w:autoSpaceDN/>
        <w:bidi w:val="0"/>
        <w:adjustRightInd/>
        <w:snapToGrid/>
        <w:spacing w:before="140" w:after="60" w:line="120" w:lineRule="exact"/>
        <w:ind w:right="-317"/>
        <w:textAlignment w:val="auto"/>
        <w:rPr>
          <w:rStyle w:val="183"/>
          <w:rFonts w:hint="eastAsia" w:ascii="宋体" w:hAnsi="宋体" w:eastAsia="宋体" w:cs="宋体"/>
          <w:color w:val="auto"/>
          <w:sz w:val="21"/>
          <w:szCs w:val="21"/>
          <w:highlight w:val="none"/>
          <w:lang w:val="en-US" w:eastAsia="zh-CN"/>
        </w:rPr>
      </w:pPr>
      <w:r>
        <w:rPr>
          <w:rStyle w:val="183"/>
          <w:rFonts w:hint="eastAsia" w:ascii="宋体" w:hAnsi="宋体" w:eastAsia="宋体" w:cs="宋体"/>
          <w:color w:val="auto"/>
          <w:sz w:val="21"/>
          <w:szCs w:val="21"/>
          <w:highlight w:val="none"/>
          <w:lang w:val="en-US" w:eastAsia="zh-CN"/>
        </w:rPr>
        <w:t xml:space="preserve"> </w:t>
      </w:r>
    </w:p>
    <w:p>
      <w:pPr>
        <w:pStyle w:val="182"/>
        <w:keepNext w:val="0"/>
        <w:keepLines w:val="0"/>
        <w:pageBreakBefore w:val="0"/>
        <w:widowControl/>
        <w:kinsoku/>
        <w:wordWrap/>
        <w:overflowPunct/>
        <w:topLinePunct w:val="0"/>
        <w:autoSpaceDE/>
        <w:autoSpaceDN/>
        <w:bidi w:val="0"/>
        <w:adjustRightInd/>
        <w:snapToGrid/>
        <w:spacing w:before="140" w:after="60" w:line="120" w:lineRule="exact"/>
        <w:ind w:right="-317"/>
        <w:textAlignment w:val="auto"/>
        <w:rPr>
          <w:rFonts w:hint="default" w:ascii="宋体" w:hAnsi="宋体" w:eastAsia="宋体" w:cs="宋体"/>
          <w:color w:val="auto"/>
          <w:sz w:val="21"/>
          <w:szCs w:val="21"/>
          <w:highlight w:val="none"/>
          <w:u w:val="single"/>
          <w:lang w:val="en-US" w:eastAsia="zh-CN"/>
        </w:rPr>
      </w:pPr>
      <w:r>
        <w:rPr>
          <w:rStyle w:val="183"/>
          <w:rFonts w:hint="eastAsia" w:ascii="宋体" w:hAnsi="宋体" w:eastAsia="宋体" w:cs="宋体"/>
          <w:color w:val="auto"/>
          <w:sz w:val="21"/>
          <w:szCs w:val="21"/>
          <w:highlight w:val="none"/>
        </w:rPr>
        <w:t>乙方(供方)：</w:t>
      </w:r>
      <w:r>
        <w:rPr>
          <w:rStyle w:val="183"/>
          <w:rFonts w:hint="eastAsia" w:ascii="宋体" w:hAnsi="宋体" w:eastAsia="宋体" w:cs="宋体"/>
          <w:color w:val="auto"/>
          <w:sz w:val="21"/>
          <w:szCs w:val="21"/>
          <w:highlight w:val="none"/>
          <w:u w:val="single"/>
          <w:lang w:val="en-US" w:eastAsia="zh-CN"/>
        </w:rPr>
        <w:t xml:space="preserve">                                    </w:t>
      </w:r>
    </w:p>
    <w:p>
      <w:pPr>
        <w:pStyle w:val="182"/>
        <w:keepNext w:val="0"/>
        <w:keepLines w:val="0"/>
        <w:pageBreakBefore w:val="0"/>
        <w:kinsoku/>
        <w:wordWrap/>
        <w:overflowPunct/>
        <w:topLinePunct w:val="0"/>
        <w:autoSpaceDE/>
        <w:autoSpaceDN/>
        <w:bidi w:val="0"/>
        <w:adjustRightInd/>
        <w:snapToGrid/>
        <w:spacing w:line="480" w:lineRule="exact"/>
        <w:ind w:right="0" w:firstLine="420" w:firstLineChars="200"/>
        <w:textAlignment w:val="auto"/>
        <w:rPr>
          <w:rFonts w:hint="eastAsia" w:ascii="宋体" w:hAnsi="宋体" w:eastAsia="宋体" w:cs="宋体"/>
          <w:color w:val="auto"/>
          <w:sz w:val="21"/>
          <w:szCs w:val="21"/>
          <w:highlight w:val="none"/>
        </w:rPr>
      </w:pPr>
      <w:r>
        <w:rPr>
          <w:rStyle w:val="183"/>
          <w:rFonts w:hint="eastAsia" w:ascii="宋体" w:hAnsi="宋体" w:eastAsia="宋体" w:cs="宋体"/>
          <w:color w:val="auto"/>
          <w:sz w:val="21"/>
          <w:szCs w:val="21"/>
          <w:highlight w:val="none"/>
        </w:rPr>
        <w:t>依据《中华人民共和国</w:t>
      </w:r>
      <w:r>
        <w:rPr>
          <w:rStyle w:val="183"/>
          <w:rFonts w:hint="eastAsia" w:ascii="宋体" w:hAnsi="宋体" w:eastAsia="宋体" w:cs="宋体"/>
          <w:color w:val="auto"/>
          <w:sz w:val="21"/>
          <w:szCs w:val="21"/>
          <w:highlight w:val="none"/>
          <w:lang w:val="en-US" w:eastAsia="zh-CN"/>
        </w:rPr>
        <w:t>民法典</w:t>
      </w:r>
      <w:r>
        <w:rPr>
          <w:rStyle w:val="183"/>
          <w:rFonts w:hint="eastAsia" w:ascii="宋体" w:hAnsi="宋体" w:eastAsia="宋体" w:cs="宋体"/>
          <w:color w:val="auto"/>
          <w:sz w:val="21"/>
          <w:szCs w:val="21"/>
          <w:highlight w:val="none"/>
        </w:rPr>
        <w:t>》等相关法律规范，经甲乙双方友好协商，就甲方向乙方购买</w:t>
      </w:r>
      <w:r>
        <w:rPr>
          <w:rStyle w:val="183"/>
          <w:rFonts w:hint="eastAsia" w:ascii="宋体" w:hAnsi="宋体" w:eastAsia="宋体" w:cs="宋体"/>
          <w:color w:val="auto"/>
          <w:sz w:val="21"/>
          <w:szCs w:val="21"/>
          <w:highlight w:val="none"/>
          <w:u w:val="single"/>
        </w:rPr>
        <w:t xml:space="preserve"> </w:t>
      </w:r>
      <w:r>
        <w:rPr>
          <w:rStyle w:val="183"/>
          <w:rFonts w:hint="eastAsia" w:ascii="宋体" w:hAnsi="宋体" w:eastAsia="宋体" w:cs="宋体"/>
          <w:color w:val="auto"/>
          <w:sz w:val="21"/>
          <w:szCs w:val="21"/>
          <w:highlight w:val="none"/>
          <w:u w:val="single"/>
          <w:lang w:val="en-US" w:eastAsia="zh-CN"/>
        </w:rPr>
        <w:t>复合碳源</w:t>
      </w:r>
      <w:r>
        <w:rPr>
          <w:rStyle w:val="183"/>
          <w:rFonts w:hint="eastAsia" w:ascii="宋体" w:hAnsi="宋体" w:eastAsia="宋体" w:cs="宋体"/>
          <w:color w:val="auto"/>
          <w:sz w:val="21"/>
          <w:szCs w:val="21"/>
          <w:highlight w:val="none"/>
          <w:u w:val="single"/>
        </w:rPr>
        <w:t xml:space="preserve"> </w:t>
      </w:r>
      <w:r>
        <w:rPr>
          <w:rStyle w:val="183"/>
          <w:rFonts w:hint="eastAsia" w:ascii="宋体" w:hAnsi="宋体" w:eastAsia="宋体" w:cs="宋体"/>
          <w:color w:val="auto"/>
          <w:sz w:val="21"/>
          <w:szCs w:val="21"/>
          <w:highlight w:val="none"/>
        </w:rPr>
        <w:t>事宜，达成如下合同。</w:t>
      </w:r>
    </w:p>
    <w:p>
      <w:pPr>
        <w:pStyle w:val="182"/>
        <w:keepNext w:val="0"/>
        <w:keepLines w:val="0"/>
        <w:pageBreakBefore w:val="0"/>
        <w:kinsoku/>
        <w:wordWrap/>
        <w:overflowPunct/>
        <w:topLinePunct w:val="0"/>
        <w:autoSpaceDE/>
        <w:autoSpaceDN/>
        <w:bidi w:val="0"/>
        <w:adjustRightInd/>
        <w:snapToGrid/>
        <w:spacing w:line="480" w:lineRule="exact"/>
        <w:ind w:right="0" w:firstLine="422" w:firstLineChars="200"/>
        <w:textAlignment w:val="auto"/>
        <w:rPr>
          <w:rFonts w:hint="eastAsia" w:ascii="宋体" w:hAnsi="宋体" w:eastAsia="宋体" w:cs="宋体"/>
          <w:color w:val="auto"/>
          <w:sz w:val="21"/>
          <w:szCs w:val="21"/>
          <w:highlight w:val="none"/>
        </w:rPr>
      </w:pPr>
      <w:r>
        <w:rPr>
          <w:rStyle w:val="183"/>
          <w:rFonts w:hint="eastAsia" w:ascii="宋体" w:hAnsi="宋体" w:eastAsia="宋体" w:cs="宋体"/>
          <w:b/>
          <w:bCs/>
          <w:color w:val="auto"/>
          <w:sz w:val="21"/>
          <w:szCs w:val="21"/>
          <w:highlight w:val="none"/>
        </w:rPr>
        <w:t>1、合同标的</w:t>
      </w:r>
    </w:p>
    <w:p>
      <w:pPr>
        <w:pStyle w:val="182"/>
        <w:keepNext w:val="0"/>
        <w:keepLines w:val="0"/>
        <w:pageBreakBefore w:val="0"/>
        <w:kinsoku/>
        <w:wordWrap/>
        <w:overflowPunct/>
        <w:topLinePunct w:val="0"/>
        <w:autoSpaceDE/>
        <w:autoSpaceDN/>
        <w:bidi w:val="0"/>
        <w:adjustRightInd/>
        <w:snapToGrid/>
        <w:spacing w:line="480" w:lineRule="exact"/>
        <w:ind w:right="0" w:firstLine="420" w:firstLineChars="200"/>
        <w:textAlignment w:val="auto"/>
        <w:rPr>
          <w:rFonts w:hint="eastAsia" w:ascii="宋体" w:hAnsi="宋体" w:eastAsia="宋体" w:cs="宋体"/>
          <w:color w:val="auto"/>
          <w:sz w:val="21"/>
          <w:szCs w:val="21"/>
          <w:highlight w:val="none"/>
        </w:rPr>
      </w:pPr>
      <w:r>
        <w:rPr>
          <w:rStyle w:val="183"/>
          <w:rFonts w:hint="eastAsia" w:ascii="宋体" w:hAnsi="宋体" w:eastAsia="宋体" w:cs="宋体"/>
          <w:color w:val="auto"/>
          <w:sz w:val="21"/>
          <w:szCs w:val="21"/>
          <w:highlight w:val="none"/>
        </w:rPr>
        <w:t>1.1  产品概述</w:t>
      </w:r>
    </w:p>
    <w:p>
      <w:pPr>
        <w:pStyle w:val="182"/>
        <w:keepNext w:val="0"/>
        <w:keepLines w:val="0"/>
        <w:pageBreakBefore w:val="0"/>
        <w:kinsoku/>
        <w:wordWrap/>
        <w:overflowPunct/>
        <w:topLinePunct w:val="0"/>
        <w:autoSpaceDE/>
        <w:autoSpaceDN/>
        <w:bidi w:val="0"/>
        <w:adjustRightInd/>
        <w:snapToGrid/>
        <w:spacing w:line="480" w:lineRule="exact"/>
        <w:ind w:right="0" w:firstLine="420" w:firstLineChars="200"/>
        <w:textAlignment w:val="auto"/>
        <w:rPr>
          <w:rFonts w:hint="eastAsia" w:ascii="宋体" w:hAnsi="宋体" w:eastAsia="宋体" w:cs="宋体"/>
          <w:color w:val="auto"/>
          <w:sz w:val="21"/>
          <w:szCs w:val="21"/>
          <w:highlight w:val="none"/>
        </w:rPr>
      </w:pPr>
      <w:r>
        <w:rPr>
          <w:rStyle w:val="183"/>
          <w:rFonts w:hint="eastAsia" w:ascii="宋体" w:hAnsi="宋体" w:eastAsia="宋体" w:cs="宋体"/>
          <w:color w:val="auto"/>
          <w:sz w:val="21"/>
          <w:szCs w:val="21"/>
          <w:highlight w:val="none"/>
        </w:rPr>
        <w:t>为实现本合同目的，经甲、乙双方充分协商，一致确认甲方向乙方购买的产品符合本条所描述之条件：</w:t>
      </w:r>
    </w:p>
    <w:p>
      <w:pPr>
        <w:pStyle w:val="182"/>
        <w:keepNext w:val="0"/>
        <w:keepLines w:val="0"/>
        <w:pageBreakBefore w:val="0"/>
        <w:kinsoku/>
        <w:wordWrap/>
        <w:overflowPunct/>
        <w:topLinePunct w:val="0"/>
        <w:autoSpaceDE/>
        <w:autoSpaceDN/>
        <w:bidi w:val="0"/>
        <w:adjustRightInd/>
        <w:snapToGrid/>
        <w:spacing w:line="480" w:lineRule="exact"/>
        <w:ind w:right="0" w:firstLine="420" w:firstLineChars="200"/>
        <w:textAlignment w:val="auto"/>
        <w:rPr>
          <w:rFonts w:hint="eastAsia" w:ascii="宋体" w:hAnsi="宋体" w:eastAsia="宋体" w:cs="宋体"/>
          <w:color w:val="auto"/>
          <w:sz w:val="21"/>
          <w:szCs w:val="21"/>
          <w:highlight w:val="none"/>
        </w:rPr>
      </w:pPr>
      <w:r>
        <w:rPr>
          <w:rStyle w:val="183"/>
          <w:rFonts w:hint="eastAsia" w:ascii="宋体" w:hAnsi="宋体" w:eastAsia="宋体" w:cs="宋体"/>
          <w:color w:val="auto"/>
          <w:sz w:val="21"/>
          <w:szCs w:val="21"/>
          <w:highlight w:val="none"/>
        </w:rPr>
        <w:t>1.1.1  产品名称为：</w:t>
      </w:r>
      <w:r>
        <w:rPr>
          <w:rStyle w:val="183"/>
          <w:rFonts w:hint="eastAsia" w:ascii="宋体" w:hAnsi="宋体" w:eastAsia="宋体" w:cs="宋体"/>
          <w:color w:val="auto"/>
          <w:sz w:val="21"/>
          <w:szCs w:val="21"/>
          <w:highlight w:val="none"/>
          <w:u w:val="single"/>
          <w:lang w:val="en-US" w:eastAsia="zh-CN"/>
        </w:rPr>
        <w:t>复合碳源</w:t>
      </w:r>
    </w:p>
    <w:p>
      <w:pPr>
        <w:pStyle w:val="182"/>
        <w:keepNext w:val="0"/>
        <w:keepLines w:val="0"/>
        <w:pageBreakBefore w:val="0"/>
        <w:kinsoku/>
        <w:wordWrap/>
        <w:overflowPunct/>
        <w:topLinePunct w:val="0"/>
        <w:autoSpaceDE/>
        <w:autoSpaceDN/>
        <w:bidi w:val="0"/>
        <w:adjustRightInd/>
        <w:snapToGrid/>
        <w:spacing w:line="480" w:lineRule="exact"/>
        <w:ind w:right="0" w:firstLine="420" w:firstLineChars="200"/>
        <w:textAlignment w:val="auto"/>
        <w:rPr>
          <w:rFonts w:hint="eastAsia" w:ascii="宋体" w:hAnsi="宋体" w:eastAsia="宋体" w:cs="宋体"/>
          <w:color w:val="auto"/>
          <w:sz w:val="21"/>
          <w:szCs w:val="21"/>
          <w:highlight w:val="none"/>
          <w:lang w:val="en-US" w:eastAsia="zh-CN"/>
        </w:rPr>
      </w:pPr>
      <w:r>
        <w:rPr>
          <w:rStyle w:val="183"/>
          <w:rFonts w:hint="eastAsia" w:ascii="宋体" w:hAnsi="宋体" w:eastAsia="宋体" w:cs="宋体"/>
          <w:color w:val="auto"/>
          <w:sz w:val="21"/>
          <w:szCs w:val="21"/>
          <w:highlight w:val="none"/>
        </w:rPr>
        <w:t>1.1.2  生产厂商为：</w:t>
      </w:r>
      <w:r>
        <w:rPr>
          <w:rStyle w:val="183"/>
          <w:rFonts w:hint="eastAsia" w:ascii="宋体" w:hAnsi="宋体" w:eastAsia="宋体" w:cs="宋体"/>
          <w:color w:val="auto"/>
          <w:sz w:val="21"/>
          <w:szCs w:val="21"/>
          <w:highlight w:val="none"/>
          <w:u w:val="single"/>
          <w:lang w:val="en-US" w:eastAsia="zh-CN"/>
        </w:rPr>
        <w:t xml:space="preserve">                 </w:t>
      </w:r>
      <w:r>
        <w:rPr>
          <w:rStyle w:val="183"/>
          <w:rFonts w:hint="eastAsia" w:ascii="宋体" w:hAnsi="宋体" w:eastAsia="宋体" w:cs="宋体"/>
          <w:color w:val="auto"/>
          <w:sz w:val="21"/>
          <w:szCs w:val="21"/>
          <w:highlight w:val="none"/>
          <w:lang w:val="en-US" w:eastAsia="zh-CN"/>
        </w:rPr>
        <w:t xml:space="preserve"> </w:t>
      </w:r>
    </w:p>
    <w:p>
      <w:pPr>
        <w:pStyle w:val="182"/>
        <w:keepNext w:val="0"/>
        <w:keepLines w:val="0"/>
        <w:pageBreakBefore w:val="0"/>
        <w:kinsoku/>
        <w:wordWrap/>
        <w:overflowPunct/>
        <w:topLinePunct w:val="0"/>
        <w:autoSpaceDE/>
        <w:autoSpaceDN/>
        <w:bidi w:val="0"/>
        <w:adjustRightInd/>
        <w:snapToGrid/>
        <w:spacing w:line="480" w:lineRule="exact"/>
        <w:ind w:right="0" w:firstLine="420" w:firstLineChars="200"/>
        <w:textAlignment w:val="auto"/>
        <w:rPr>
          <w:rFonts w:hint="eastAsia" w:ascii="宋体" w:hAnsi="宋体" w:eastAsia="宋体" w:cs="宋体"/>
          <w:color w:val="auto"/>
          <w:sz w:val="21"/>
          <w:szCs w:val="21"/>
          <w:highlight w:val="none"/>
        </w:rPr>
      </w:pPr>
      <w:r>
        <w:rPr>
          <w:rStyle w:val="183"/>
          <w:rFonts w:hint="eastAsia" w:ascii="宋体" w:hAnsi="宋体" w:eastAsia="宋体" w:cs="宋体"/>
          <w:color w:val="auto"/>
          <w:sz w:val="21"/>
          <w:szCs w:val="21"/>
          <w:highlight w:val="none"/>
        </w:rPr>
        <w:t>1.2  产品质量</w:t>
      </w:r>
    </w:p>
    <w:p>
      <w:pPr>
        <w:pStyle w:val="182"/>
        <w:keepNext w:val="0"/>
        <w:keepLines w:val="0"/>
        <w:pageBreakBefore w:val="0"/>
        <w:kinsoku/>
        <w:wordWrap/>
        <w:overflowPunct/>
        <w:topLinePunct w:val="0"/>
        <w:autoSpaceDE/>
        <w:autoSpaceDN/>
        <w:bidi w:val="0"/>
        <w:adjustRightInd/>
        <w:snapToGrid/>
        <w:spacing w:line="480" w:lineRule="exact"/>
        <w:ind w:right="0" w:firstLine="420" w:firstLineChars="200"/>
        <w:textAlignment w:val="auto"/>
        <w:rPr>
          <w:rStyle w:val="183"/>
          <w:rFonts w:hint="eastAsia" w:ascii="宋体" w:hAnsi="宋体" w:eastAsia="宋体" w:cs="宋体"/>
          <w:color w:val="auto"/>
          <w:sz w:val="21"/>
          <w:szCs w:val="21"/>
          <w:highlight w:val="none"/>
        </w:rPr>
      </w:pPr>
      <w:r>
        <w:rPr>
          <w:rStyle w:val="183"/>
          <w:rFonts w:hint="eastAsia" w:ascii="宋体" w:hAnsi="宋体" w:eastAsia="宋体" w:cs="宋体"/>
          <w:color w:val="auto"/>
          <w:sz w:val="21"/>
          <w:szCs w:val="21"/>
          <w:highlight w:val="none"/>
        </w:rPr>
        <w:t>1.2.1  双方一致确认，本合同约定之产品应达到的质量标准为：</w:t>
      </w:r>
    </w:p>
    <w:tbl>
      <w:tblPr>
        <w:tblStyle w:val="49"/>
        <w:tblW w:w="4993"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127"/>
        <w:gridCol w:w="58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2" w:hRule="atLeast"/>
        </w:trPr>
        <w:tc>
          <w:tcPr>
            <w:tcW w:w="207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line="48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药剂名称</w:t>
            </w:r>
          </w:p>
        </w:tc>
        <w:tc>
          <w:tcPr>
            <w:tcW w:w="292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line="48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复合碳源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2074" w:type="pct"/>
            <w:vMerge w:val="restart"/>
            <w:tcBorders>
              <w:top w:val="single" w:color="000000" w:sz="4" w:space="0"/>
              <w:left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line="48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规格</w:t>
            </w:r>
          </w:p>
        </w:tc>
        <w:tc>
          <w:tcPr>
            <w:tcW w:w="2925" w:type="pct"/>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widowControl/>
              <w:suppressLineNumbers w:val="0"/>
              <w:kinsoku/>
              <w:wordWrap/>
              <w:overflowPunct/>
              <w:topLinePunct w:val="0"/>
              <w:autoSpaceDE/>
              <w:autoSpaceDN/>
              <w:bidi w:val="0"/>
              <w:spacing w:line="480" w:lineRule="exact"/>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COD(mg/L)≥25万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2074" w:type="pct"/>
            <w:vMerge w:val="continue"/>
            <w:tcBorders>
              <w:left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line="480" w:lineRule="exact"/>
              <w:jc w:val="center"/>
              <w:textAlignment w:val="center"/>
              <w:rPr>
                <w:rFonts w:hint="eastAsia" w:ascii="宋体" w:hAnsi="宋体" w:eastAsia="宋体" w:cs="宋体"/>
                <w:i w:val="0"/>
                <w:iCs w:val="0"/>
                <w:color w:val="auto"/>
                <w:kern w:val="0"/>
                <w:sz w:val="21"/>
                <w:szCs w:val="21"/>
                <w:highlight w:val="none"/>
                <w:u w:val="none"/>
                <w:lang w:val="en-US" w:eastAsia="zh-CN" w:bidi="ar"/>
              </w:rPr>
            </w:pPr>
          </w:p>
        </w:tc>
        <w:tc>
          <w:tcPr>
            <w:tcW w:w="2925" w:type="pct"/>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widowControl/>
              <w:suppressLineNumbers w:val="0"/>
              <w:kinsoku/>
              <w:wordWrap/>
              <w:overflowPunct/>
              <w:topLinePunct w:val="0"/>
              <w:autoSpaceDE/>
              <w:autoSpaceDN/>
              <w:bidi w:val="0"/>
              <w:spacing w:line="480" w:lineRule="exact"/>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淡黄色或无色透明液体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2074" w:type="pct"/>
            <w:vMerge w:val="continue"/>
            <w:tcBorders>
              <w:left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line="480" w:lineRule="exact"/>
              <w:jc w:val="center"/>
              <w:textAlignment w:val="center"/>
              <w:rPr>
                <w:rFonts w:hint="eastAsia" w:ascii="宋体" w:hAnsi="宋体" w:eastAsia="宋体" w:cs="宋体"/>
                <w:i w:val="0"/>
                <w:iCs w:val="0"/>
                <w:color w:val="auto"/>
                <w:kern w:val="0"/>
                <w:sz w:val="21"/>
                <w:szCs w:val="21"/>
                <w:highlight w:val="none"/>
                <w:u w:val="none"/>
                <w:lang w:val="en-US" w:eastAsia="zh-CN" w:bidi="ar"/>
              </w:rPr>
            </w:pPr>
          </w:p>
        </w:tc>
        <w:tc>
          <w:tcPr>
            <w:tcW w:w="2925" w:type="pct"/>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widowControl/>
              <w:suppressLineNumbers w:val="0"/>
              <w:kinsoku/>
              <w:wordWrap/>
              <w:overflowPunct/>
              <w:topLinePunct w:val="0"/>
              <w:autoSpaceDE/>
              <w:autoSpaceDN/>
              <w:bidi w:val="0"/>
              <w:spacing w:line="480" w:lineRule="exact"/>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密度(g/mL)1.05-1.15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2074" w:type="pct"/>
            <w:vMerge w:val="continue"/>
            <w:tcBorders>
              <w:left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line="480" w:lineRule="exact"/>
              <w:jc w:val="center"/>
              <w:textAlignment w:val="center"/>
              <w:rPr>
                <w:rFonts w:hint="eastAsia" w:ascii="宋体" w:hAnsi="宋体" w:eastAsia="宋体" w:cs="宋体"/>
                <w:i w:val="0"/>
                <w:iCs w:val="0"/>
                <w:color w:val="auto"/>
                <w:kern w:val="0"/>
                <w:sz w:val="21"/>
                <w:szCs w:val="21"/>
                <w:highlight w:val="none"/>
                <w:u w:val="none"/>
                <w:lang w:val="en-US" w:eastAsia="zh-CN" w:bidi="ar"/>
              </w:rPr>
            </w:pPr>
          </w:p>
        </w:tc>
        <w:tc>
          <w:tcPr>
            <w:tcW w:w="2925" w:type="pct"/>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widowControl/>
              <w:suppressLineNumbers w:val="0"/>
              <w:kinsoku/>
              <w:wordWrap/>
              <w:overflowPunct/>
              <w:topLinePunct w:val="0"/>
              <w:autoSpaceDE/>
              <w:autoSpaceDN/>
              <w:bidi w:val="0"/>
              <w:spacing w:line="480" w:lineRule="exact"/>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总磷(mg/L)﹤5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2074" w:type="pct"/>
            <w:vMerge w:val="continue"/>
            <w:tcBorders>
              <w:left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line="480" w:lineRule="exact"/>
              <w:jc w:val="center"/>
              <w:textAlignment w:val="center"/>
              <w:rPr>
                <w:rFonts w:hint="eastAsia" w:ascii="宋体" w:hAnsi="宋体" w:eastAsia="宋体" w:cs="宋体"/>
                <w:i w:val="0"/>
                <w:iCs w:val="0"/>
                <w:color w:val="auto"/>
                <w:kern w:val="0"/>
                <w:sz w:val="21"/>
                <w:szCs w:val="21"/>
                <w:highlight w:val="none"/>
                <w:u w:val="none"/>
                <w:lang w:val="en-US" w:eastAsia="zh-CN" w:bidi="ar"/>
              </w:rPr>
            </w:pPr>
          </w:p>
        </w:tc>
        <w:tc>
          <w:tcPr>
            <w:tcW w:w="2925" w:type="pct"/>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widowControl/>
              <w:suppressLineNumbers w:val="0"/>
              <w:kinsoku/>
              <w:wordWrap/>
              <w:overflowPunct/>
              <w:topLinePunct w:val="0"/>
              <w:autoSpaceDE/>
              <w:autoSpaceDN/>
              <w:bidi w:val="0"/>
              <w:spacing w:line="480" w:lineRule="exact"/>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总氮(mg/L)﹤50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2074" w:type="pct"/>
            <w:vMerge w:val="continue"/>
            <w:tcBorders>
              <w:left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line="480" w:lineRule="exact"/>
              <w:jc w:val="center"/>
              <w:textAlignment w:val="center"/>
              <w:rPr>
                <w:rFonts w:hint="eastAsia" w:ascii="宋体" w:hAnsi="宋体" w:eastAsia="宋体" w:cs="宋体"/>
                <w:i w:val="0"/>
                <w:iCs w:val="0"/>
                <w:color w:val="auto"/>
                <w:kern w:val="0"/>
                <w:sz w:val="21"/>
                <w:szCs w:val="21"/>
                <w:highlight w:val="none"/>
                <w:u w:val="none"/>
                <w:lang w:val="en-US" w:eastAsia="zh-CN" w:bidi="ar"/>
              </w:rPr>
            </w:pPr>
          </w:p>
        </w:tc>
        <w:tc>
          <w:tcPr>
            <w:tcW w:w="2925" w:type="pct"/>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widowControl/>
              <w:suppressLineNumbers w:val="0"/>
              <w:kinsoku/>
              <w:wordWrap/>
              <w:overflowPunct/>
              <w:topLinePunct w:val="0"/>
              <w:autoSpaceDE/>
              <w:autoSpaceDN/>
              <w:bidi w:val="0"/>
              <w:spacing w:line="480" w:lineRule="exact"/>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NH3-N≤10mg/L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2074" w:type="pct"/>
            <w:vMerge w:val="continue"/>
            <w:tcBorders>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pacing w:line="480" w:lineRule="exact"/>
              <w:jc w:val="center"/>
              <w:textAlignment w:val="center"/>
              <w:rPr>
                <w:rFonts w:hint="eastAsia" w:ascii="宋体" w:hAnsi="宋体" w:eastAsia="宋体" w:cs="宋体"/>
                <w:i w:val="0"/>
                <w:iCs w:val="0"/>
                <w:color w:val="auto"/>
                <w:kern w:val="0"/>
                <w:sz w:val="21"/>
                <w:szCs w:val="21"/>
                <w:highlight w:val="none"/>
                <w:u w:val="none"/>
                <w:lang w:val="en-US" w:eastAsia="zh-CN" w:bidi="ar"/>
              </w:rPr>
            </w:pPr>
          </w:p>
        </w:tc>
        <w:tc>
          <w:tcPr>
            <w:tcW w:w="2925" w:type="pct"/>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widowControl/>
              <w:suppressLineNumbers w:val="0"/>
              <w:kinsoku/>
              <w:wordWrap/>
              <w:overflowPunct/>
              <w:topLinePunct w:val="0"/>
              <w:autoSpaceDE/>
              <w:autoSpaceDN/>
              <w:bidi w:val="0"/>
              <w:spacing w:line="480" w:lineRule="exact"/>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残留 COD/ΔN﹤0.1</w:t>
            </w:r>
          </w:p>
        </w:tc>
      </w:tr>
    </w:tbl>
    <w:p>
      <w:pPr>
        <w:pStyle w:val="182"/>
        <w:keepNext w:val="0"/>
        <w:keepLines w:val="0"/>
        <w:pageBreakBefore w:val="0"/>
        <w:kinsoku/>
        <w:wordWrap/>
        <w:overflowPunct/>
        <w:topLinePunct w:val="0"/>
        <w:autoSpaceDE/>
        <w:autoSpaceDN/>
        <w:bidi w:val="0"/>
        <w:adjustRightInd/>
        <w:snapToGrid/>
        <w:spacing w:line="480" w:lineRule="exact"/>
        <w:ind w:right="0" w:firstLine="420" w:firstLineChars="200"/>
        <w:textAlignment w:val="auto"/>
        <w:rPr>
          <w:rStyle w:val="183"/>
          <w:rFonts w:hint="eastAsia" w:ascii="宋体" w:hAnsi="宋体" w:eastAsia="宋体" w:cs="宋体"/>
          <w:color w:val="auto"/>
          <w:sz w:val="21"/>
          <w:szCs w:val="21"/>
          <w:highlight w:val="none"/>
        </w:rPr>
      </w:pPr>
    </w:p>
    <w:p>
      <w:pPr>
        <w:pStyle w:val="182"/>
        <w:keepNext w:val="0"/>
        <w:keepLines w:val="0"/>
        <w:pageBreakBefore w:val="0"/>
        <w:kinsoku/>
        <w:wordWrap/>
        <w:overflowPunct/>
        <w:topLinePunct w:val="0"/>
        <w:autoSpaceDE/>
        <w:autoSpaceDN/>
        <w:bidi w:val="0"/>
        <w:adjustRightInd/>
        <w:snapToGrid/>
        <w:spacing w:line="480" w:lineRule="exact"/>
        <w:ind w:right="0" w:firstLine="420" w:firstLineChars="200"/>
        <w:textAlignment w:val="auto"/>
        <w:rPr>
          <w:rFonts w:hint="eastAsia" w:ascii="宋体" w:hAnsi="宋体" w:eastAsia="宋体" w:cs="宋体"/>
          <w:color w:val="auto"/>
          <w:sz w:val="21"/>
          <w:szCs w:val="21"/>
          <w:highlight w:val="none"/>
        </w:rPr>
      </w:pPr>
      <w:r>
        <w:rPr>
          <w:rStyle w:val="183"/>
          <w:rFonts w:hint="eastAsia" w:ascii="宋体" w:hAnsi="宋体" w:eastAsia="宋体" w:cs="宋体"/>
          <w:color w:val="auto"/>
          <w:sz w:val="21"/>
          <w:szCs w:val="21"/>
          <w:highlight w:val="none"/>
        </w:rPr>
        <w:t>1.2.2  为证明其出售的产品符合双方约定的质量标准，乙方应在每次出售给甲方的所有产品上标注该产品经过出厂检验合格的标志或附有以标签、文件等方式制作的产品合格证，乙方承诺：该标志、合格证所称的“合格”，即表示该产品质量符合甚至高于本合同第1.2.1条约定的质量标准。</w:t>
      </w:r>
    </w:p>
    <w:p>
      <w:pPr>
        <w:pStyle w:val="182"/>
        <w:keepNext w:val="0"/>
        <w:keepLines w:val="0"/>
        <w:pageBreakBefore w:val="0"/>
        <w:kinsoku/>
        <w:wordWrap/>
        <w:overflowPunct/>
        <w:topLinePunct w:val="0"/>
        <w:autoSpaceDE/>
        <w:autoSpaceDN/>
        <w:bidi w:val="0"/>
        <w:adjustRightInd/>
        <w:snapToGrid/>
        <w:spacing w:line="480" w:lineRule="exact"/>
        <w:ind w:right="0" w:firstLine="420" w:firstLineChars="200"/>
        <w:textAlignment w:val="auto"/>
        <w:rPr>
          <w:rFonts w:hint="eastAsia" w:ascii="宋体" w:hAnsi="宋体" w:eastAsia="宋体" w:cs="宋体"/>
          <w:color w:val="auto"/>
          <w:sz w:val="21"/>
          <w:szCs w:val="21"/>
          <w:highlight w:val="none"/>
        </w:rPr>
      </w:pPr>
      <w:r>
        <w:rPr>
          <w:rStyle w:val="183"/>
          <w:rFonts w:hint="eastAsia" w:ascii="宋体" w:hAnsi="宋体" w:eastAsia="宋体" w:cs="宋体"/>
          <w:color w:val="auto"/>
          <w:sz w:val="21"/>
          <w:szCs w:val="21"/>
          <w:highlight w:val="none"/>
        </w:rPr>
        <w:t>1.2.3  如乙方提供产品达不到合同指定标准，</w:t>
      </w:r>
      <w:r>
        <w:rPr>
          <w:rStyle w:val="183"/>
          <w:rFonts w:hint="eastAsia" w:ascii="宋体" w:hAnsi="宋体" w:eastAsia="宋体" w:cs="宋体"/>
          <w:color w:val="auto"/>
          <w:sz w:val="21"/>
          <w:szCs w:val="21"/>
          <w:highlight w:val="none"/>
          <w:lang w:val="en-US" w:eastAsia="zh-CN"/>
        </w:rPr>
        <w:t>COD当</w:t>
      </w:r>
      <w:r>
        <w:rPr>
          <w:rStyle w:val="183"/>
          <w:rFonts w:hint="eastAsia" w:ascii="宋体" w:hAnsi="宋体" w:eastAsia="宋体" w:cs="宋体"/>
          <w:color w:val="auto"/>
          <w:sz w:val="21"/>
          <w:szCs w:val="21"/>
          <w:highlight w:val="none"/>
        </w:rPr>
        <w:t>量</w:t>
      </w:r>
      <w:r>
        <w:rPr>
          <w:rStyle w:val="183"/>
          <w:rFonts w:hint="eastAsia" w:ascii="宋体" w:hAnsi="宋体" w:eastAsia="宋体" w:cs="宋体"/>
          <w:color w:val="auto"/>
          <w:sz w:val="21"/>
          <w:szCs w:val="21"/>
          <w:highlight w:val="none"/>
          <w:u w:val="single"/>
        </w:rPr>
        <w:t>低于</w:t>
      </w:r>
      <w:r>
        <w:rPr>
          <w:rStyle w:val="183"/>
          <w:rFonts w:hint="eastAsia" w:ascii="宋体" w:hAnsi="宋体" w:eastAsia="宋体" w:cs="宋体"/>
          <w:color w:val="auto"/>
          <w:sz w:val="21"/>
          <w:szCs w:val="21"/>
          <w:highlight w:val="none"/>
          <w:u w:val="single"/>
          <w:lang w:val="en-US" w:eastAsia="zh-CN"/>
        </w:rPr>
        <w:t>25 万</w:t>
      </w:r>
      <w:r>
        <w:rPr>
          <w:rStyle w:val="183"/>
          <w:rFonts w:hint="eastAsia" w:ascii="宋体" w:hAnsi="宋体" w:eastAsia="宋体" w:cs="宋体"/>
          <w:color w:val="auto"/>
          <w:sz w:val="21"/>
          <w:szCs w:val="21"/>
          <w:highlight w:val="none"/>
        </w:rPr>
        <w:t>且</w:t>
      </w:r>
      <w:r>
        <w:rPr>
          <w:rStyle w:val="183"/>
          <w:rFonts w:hint="eastAsia" w:ascii="宋体" w:hAnsi="宋体" w:eastAsia="宋体" w:cs="宋体"/>
          <w:color w:val="auto"/>
          <w:sz w:val="21"/>
          <w:szCs w:val="21"/>
          <w:highlight w:val="none"/>
          <w:lang w:val="en-US" w:eastAsia="zh-CN"/>
        </w:rPr>
        <w:t>大</w:t>
      </w:r>
      <w:r>
        <w:rPr>
          <w:rStyle w:val="183"/>
          <w:rFonts w:hint="eastAsia" w:ascii="宋体" w:hAnsi="宋体" w:eastAsia="宋体" w:cs="宋体"/>
          <w:color w:val="auto"/>
          <w:sz w:val="21"/>
          <w:szCs w:val="21"/>
          <w:highlight w:val="none"/>
          <w:u w:val="none"/>
          <w:lang w:val="en-US" w:eastAsia="zh-CN"/>
        </w:rPr>
        <w:t>于</w:t>
      </w:r>
      <w:r>
        <w:rPr>
          <w:rStyle w:val="183"/>
          <w:rFonts w:hint="eastAsia" w:ascii="宋体" w:hAnsi="宋体" w:eastAsia="宋体" w:cs="宋体"/>
          <w:color w:val="auto"/>
          <w:sz w:val="21"/>
          <w:szCs w:val="21"/>
          <w:highlight w:val="none"/>
          <w:u w:val="single"/>
          <w:lang w:val="en-US" w:eastAsia="zh-CN"/>
        </w:rPr>
        <w:t xml:space="preserve"> 24.5万</w:t>
      </w:r>
      <w:r>
        <w:rPr>
          <w:rStyle w:val="183"/>
          <w:rFonts w:hint="eastAsia" w:ascii="宋体" w:hAnsi="宋体" w:eastAsia="宋体" w:cs="宋体"/>
          <w:color w:val="auto"/>
          <w:sz w:val="21"/>
          <w:szCs w:val="21"/>
          <w:highlight w:val="none"/>
          <w:lang w:val="en-US" w:eastAsia="zh-CN"/>
        </w:rPr>
        <w:t>或其他指标超过指定标准不满10%的，</w:t>
      </w:r>
      <w:r>
        <w:rPr>
          <w:rStyle w:val="183"/>
          <w:rFonts w:hint="eastAsia" w:ascii="宋体" w:hAnsi="宋体" w:eastAsia="宋体" w:cs="宋体"/>
          <w:color w:val="auto"/>
          <w:sz w:val="21"/>
          <w:szCs w:val="21"/>
          <w:highlight w:val="none"/>
        </w:rPr>
        <w:t>甲方有权要求</w:t>
      </w:r>
      <w:r>
        <w:rPr>
          <w:rStyle w:val="183"/>
          <w:rFonts w:hint="eastAsia" w:ascii="宋体" w:hAnsi="宋体" w:eastAsia="宋体" w:cs="宋体"/>
          <w:color w:val="auto"/>
          <w:sz w:val="21"/>
          <w:szCs w:val="21"/>
          <w:highlight w:val="none"/>
          <w:lang w:val="en-US" w:eastAsia="zh-CN"/>
        </w:rPr>
        <w:t>进行惩罚性扣款</w:t>
      </w:r>
      <w:r>
        <w:rPr>
          <w:rStyle w:val="183"/>
          <w:rFonts w:hint="eastAsia" w:ascii="宋体" w:hAnsi="宋体" w:eastAsia="宋体" w:cs="宋体"/>
          <w:color w:val="auto"/>
          <w:sz w:val="21"/>
          <w:szCs w:val="21"/>
          <w:highlight w:val="none"/>
          <w:lang w:eastAsia="zh-CN"/>
        </w:rPr>
        <w:t>；</w:t>
      </w:r>
      <w:r>
        <w:rPr>
          <w:rStyle w:val="183"/>
          <w:rFonts w:hint="eastAsia" w:ascii="宋体" w:hAnsi="宋体" w:eastAsia="宋体" w:cs="宋体"/>
          <w:color w:val="auto"/>
          <w:sz w:val="21"/>
          <w:szCs w:val="21"/>
          <w:highlight w:val="none"/>
        </w:rPr>
        <w:t>累计</w:t>
      </w:r>
      <w:r>
        <w:rPr>
          <w:rStyle w:val="183"/>
          <w:rFonts w:hint="eastAsia" w:ascii="宋体" w:hAnsi="宋体" w:eastAsia="宋体" w:cs="宋体"/>
          <w:color w:val="auto"/>
          <w:sz w:val="21"/>
          <w:szCs w:val="21"/>
          <w:highlight w:val="none"/>
          <w:lang w:val="en-US" w:eastAsia="zh-CN"/>
        </w:rPr>
        <w:t>出现</w:t>
      </w:r>
      <w:r>
        <w:rPr>
          <w:rStyle w:val="183"/>
          <w:rFonts w:hint="eastAsia" w:ascii="宋体" w:hAnsi="宋体" w:eastAsia="宋体" w:cs="宋体"/>
          <w:color w:val="auto"/>
          <w:sz w:val="21"/>
          <w:szCs w:val="21"/>
          <w:highlight w:val="none"/>
        </w:rPr>
        <w:t>3次</w:t>
      </w:r>
      <w:r>
        <w:rPr>
          <w:rStyle w:val="183"/>
          <w:rFonts w:hint="eastAsia" w:ascii="宋体" w:hAnsi="宋体" w:eastAsia="宋体" w:cs="宋体"/>
          <w:color w:val="auto"/>
          <w:sz w:val="21"/>
          <w:szCs w:val="21"/>
          <w:highlight w:val="none"/>
          <w:lang w:val="en-US" w:eastAsia="zh-CN"/>
        </w:rPr>
        <w:t>上述情况或，出现1次COD</w:t>
      </w:r>
      <w:r>
        <w:rPr>
          <w:rStyle w:val="183"/>
          <w:rFonts w:hint="eastAsia" w:ascii="宋体" w:hAnsi="宋体" w:eastAsia="宋体" w:cs="宋体"/>
          <w:color w:val="auto"/>
          <w:sz w:val="21"/>
          <w:szCs w:val="21"/>
          <w:highlight w:val="none"/>
        </w:rPr>
        <w:t>含量</w:t>
      </w:r>
      <w:r>
        <w:rPr>
          <w:rStyle w:val="183"/>
          <w:rFonts w:hint="eastAsia" w:ascii="宋体" w:hAnsi="宋体" w:eastAsia="宋体" w:cs="宋体"/>
          <w:color w:val="auto"/>
          <w:sz w:val="21"/>
          <w:szCs w:val="21"/>
          <w:highlight w:val="none"/>
          <w:u w:val="single"/>
        </w:rPr>
        <w:t>低于</w:t>
      </w:r>
      <w:r>
        <w:rPr>
          <w:rStyle w:val="183"/>
          <w:rFonts w:hint="eastAsia" w:ascii="宋体" w:hAnsi="宋体" w:eastAsia="宋体" w:cs="宋体"/>
          <w:color w:val="auto"/>
          <w:sz w:val="21"/>
          <w:szCs w:val="21"/>
          <w:highlight w:val="none"/>
          <w:u w:val="single"/>
          <w:lang w:val="en-US" w:eastAsia="zh-CN"/>
        </w:rPr>
        <w:t xml:space="preserve">   24.5     </w:t>
      </w:r>
      <w:r>
        <w:rPr>
          <w:rStyle w:val="183"/>
          <w:rFonts w:hint="eastAsia" w:ascii="宋体" w:hAnsi="宋体" w:eastAsia="宋体" w:cs="宋体"/>
          <w:color w:val="auto"/>
          <w:sz w:val="21"/>
          <w:szCs w:val="21"/>
          <w:highlight w:val="none"/>
          <w:u w:val="none"/>
          <w:lang w:val="en-US" w:eastAsia="zh-CN"/>
        </w:rPr>
        <w:t>万或其他指标超过指定标准10%的</w:t>
      </w:r>
      <w:r>
        <w:rPr>
          <w:rStyle w:val="183"/>
          <w:rFonts w:hint="eastAsia" w:ascii="宋体" w:hAnsi="宋体" w:eastAsia="宋体" w:cs="宋体"/>
          <w:color w:val="auto"/>
          <w:sz w:val="21"/>
          <w:szCs w:val="21"/>
          <w:highlight w:val="none"/>
        </w:rPr>
        <w:t>，甲方有权终止合同。</w:t>
      </w:r>
    </w:p>
    <w:p>
      <w:pPr>
        <w:pStyle w:val="182"/>
        <w:keepNext w:val="0"/>
        <w:keepLines w:val="0"/>
        <w:pageBreakBefore w:val="0"/>
        <w:kinsoku/>
        <w:wordWrap/>
        <w:overflowPunct/>
        <w:topLinePunct w:val="0"/>
        <w:autoSpaceDE/>
        <w:autoSpaceDN/>
        <w:bidi w:val="0"/>
        <w:adjustRightInd/>
        <w:snapToGrid/>
        <w:spacing w:line="480" w:lineRule="exact"/>
        <w:ind w:right="0" w:firstLine="420" w:firstLineChars="200"/>
        <w:textAlignment w:val="auto"/>
        <w:rPr>
          <w:rFonts w:hint="eastAsia" w:ascii="宋体" w:hAnsi="宋体" w:eastAsia="宋体" w:cs="宋体"/>
          <w:color w:val="auto"/>
          <w:sz w:val="21"/>
          <w:szCs w:val="21"/>
          <w:highlight w:val="none"/>
        </w:rPr>
      </w:pPr>
      <w:r>
        <w:rPr>
          <w:rStyle w:val="183"/>
          <w:rFonts w:hint="eastAsia" w:ascii="宋体" w:hAnsi="宋体" w:eastAsia="宋体" w:cs="宋体"/>
          <w:color w:val="auto"/>
          <w:sz w:val="21"/>
          <w:szCs w:val="21"/>
          <w:highlight w:val="none"/>
        </w:rPr>
        <w:t>1.3  产品包装</w:t>
      </w:r>
    </w:p>
    <w:p>
      <w:pPr>
        <w:pStyle w:val="182"/>
        <w:keepNext w:val="0"/>
        <w:keepLines w:val="0"/>
        <w:pageBreakBefore w:val="0"/>
        <w:kinsoku/>
        <w:wordWrap/>
        <w:overflowPunct/>
        <w:topLinePunct w:val="0"/>
        <w:autoSpaceDE/>
        <w:autoSpaceDN/>
        <w:bidi w:val="0"/>
        <w:adjustRightInd/>
        <w:snapToGrid/>
        <w:spacing w:line="480" w:lineRule="exact"/>
        <w:ind w:right="0" w:firstLine="420" w:firstLineChars="200"/>
        <w:textAlignment w:val="auto"/>
        <w:rPr>
          <w:rFonts w:hint="eastAsia" w:ascii="宋体" w:hAnsi="宋体" w:eastAsia="宋体" w:cs="宋体"/>
          <w:color w:val="auto"/>
          <w:sz w:val="21"/>
          <w:szCs w:val="21"/>
          <w:highlight w:val="none"/>
          <w:lang w:eastAsia="zh-CN"/>
        </w:rPr>
      </w:pPr>
      <w:r>
        <w:rPr>
          <w:rStyle w:val="183"/>
          <w:rFonts w:hint="eastAsia" w:ascii="宋体" w:hAnsi="宋体" w:eastAsia="宋体" w:cs="宋体"/>
          <w:color w:val="auto"/>
          <w:sz w:val="21"/>
          <w:szCs w:val="21"/>
          <w:highlight w:val="none"/>
        </w:rPr>
        <w:t>1.3.1  双方一致确认，本合同约定之产品由乙方负责送货至</w:t>
      </w:r>
      <w:r>
        <w:rPr>
          <w:rStyle w:val="183"/>
          <w:rFonts w:hint="eastAsia" w:ascii="宋体" w:hAnsi="宋体" w:eastAsia="宋体" w:cs="宋体"/>
          <w:color w:val="auto"/>
          <w:sz w:val="21"/>
          <w:szCs w:val="21"/>
          <w:highlight w:val="none"/>
          <w:lang w:val="en-US" w:eastAsia="zh-CN"/>
        </w:rPr>
        <w:t>盐城市大丰区沪城污水处理有限公司、江苏水发华夏环境科技有限公司</w:t>
      </w:r>
      <w:r>
        <w:rPr>
          <w:rStyle w:val="183"/>
          <w:rFonts w:hint="eastAsia" w:ascii="宋体" w:hAnsi="宋体" w:eastAsia="宋体" w:cs="宋体"/>
          <w:color w:val="auto"/>
          <w:sz w:val="21"/>
          <w:szCs w:val="21"/>
          <w:highlight w:val="none"/>
        </w:rPr>
        <w:t>，卸货至指定地点的药剂储存罐或储药池。乙方在货物运输、装卸过程中需严格遵守安全规章制度，如在运输及装卸过程中发生事故由乙方自行承担</w:t>
      </w:r>
      <w:r>
        <w:rPr>
          <w:rStyle w:val="183"/>
          <w:rFonts w:hint="eastAsia" w:ascii="宋体" w:hAnsi="宋体" w:eastAsia="宋体" w:cs="宋体"/>
          <w:color w:val="auto"/>
          <w:sz w:val="21"/>
          <w:szCs w:val="21"/>
          <w:highlight w:val="none"/>
          <w:lang w:eastAsia="zh-CN"/>
        </w:rPr>
        <w:t>。</w:t>
      </w:r>
    </w:p>
    <w:p>
      <w:pPr>
        <w:pStyle w:val="182"/>
        <w:keepNext w:val="0"/>
        <w:keepLines w:val="0"/>
        <w:pageBreakBefore w:val="0"/>
        <w:kinsoku/>
        <w:wordWrap/>
        <w:overflowPunct/>
        <w:topLinePunct w:val="0"/>
        <w:autoSpaceDE/>
        <w:autoSpaceDN/>
        <w:bidi w:val="0"/>
        <w:adjustRightInd/>
        <w:snapToGrid/>
        <w:spacing w:line="480" w:lineRule="exact"/>
        <w:ind w:right="0" w:firstLine="420" w:firstLineChars="200"/>
        <w:textAlignment w:val="auto"/>
        <w:rPr>
          <w:rFonts w:hint="eastAsia" w:ascii="宋体" w:hAnsi="宋体" w:eastAsia="宋体" w:cs="宋体"/>
          <w:color w:val="auto"/>
          <w:sz w:val="21"/>
          <w:szCs w:val="21"/>
          <w:highlight w:val="none"/>
        </w:rPr>
      </w:pPr>
      <w:r>
        <w:rPr>
          <w:rStyle w:val="183"/>
          <w:rFonts w:hint="eastAsia" w:ascii="宋体" w:hAnsi="宋体" w:eastAsia="宋体" w:cs="宋体"/>
          <w:color w:val="auto"/>
          <w:sz w:val="21"/>
          <w:szCs w:val="21"/>
          <w:highlight w:val="none"/>
        </w:rPr>
        <w:t>1.4  合同期限</w:t>
      </w:r>
    </w:p>
    <w:p>
      <w:pPr>
        <w:pStyle w:val="182"/>
        <w:keepNext w:val="0"/>
        <w:keepLines w:val="0"/>
        <w:pageBreakBefore w:val="0"/>
        <w:kinsoku/>
        <w:wordWrap/>
        <w:overflowPunct/>
        <w:topLinePunct w:val="0"/>
        <w:autoSpaceDE/>
        <w:autoSpaceDN/>
        <w:bidi w:val="0"/>
        <w:adjustRightInd/>
        <w:snapToGrid/>
        <w:spacing w:line="480" w:lineRule="exact"/>
        <w:ind w:right="0" w:firstLine="422" w:firstLineChars="200"/>
        <w:textAlignment w:val="auto"/>
        <w:rPr>
          <w:rFonts w:hint="eastAsia" w:ascii="宋体" w:hAnsi="宋体" w:eastAsia="宋体" w:cs="宋体"/>
          <w:color w:val="auto"/>
          <w:sz w:val="21"/>
          <w:szCs w:val="21"/>
          <w:highlight w:val="none"/>
        </w:rPr>
      </w:pPr>
      <w:r>
        <w:rPr>
          <w:rStyle w:val="183"/>
          <w:rFonts w:hint="eastAsia" w:ascii="宋体" w:hAnsi="宋体" w:eastAsia="宋体" w:cs="宋体"/>
          <w:b/>
          <w:bCs/>
          <w:color w:val="auto"/>
          <w:sz w:val="21"/>
          <w:szCs w:val="21"/>
          <w:highlight w:val="none"/>
        </w:rPr>
        <w:t>本合同签署期限为壹年，自</w:t>
      </w:r>
      <w:r>
        <w:rPr>
          <w:rStyle w:val="183"/>
          <w:rFonts w:hint="eastAsia" w:ascii="宋体" w:hAnsi="宋体" w:eastAsia="宋体" w:cs="宋体"/>
          <w:b/>
          <w:bCs/>
          <w:color w:val="auto"/>
          <w:sz w:val="21"/>
          <w:szCs w:val="21"/>
          <w:highlight w:val="none"/>
          <w:u w:val="single"/>
          <w:lang w:val="en-US" w:eastAsia="zh-CN"/>
        </w:rPr>
        <w:t xml:space="preserve"> 20  年   月   日至 20  年   月   日</w:t>
      </w:r>
      <w:r>
        <w:rPr>
          <w:rStyle w:val="183"/>
          <w:rFonts w:hint="eastAsia" w:ascii="宋体" w:hAnsi="宋体" w:eastAsia="宋体" w:cs="宋体"/>
          <w:color w:val="auto"/>
          <w:sz w:val="21"/>
          <w:szCs w:val="21"/>
          <w:highlight w:val="none"/>
        </w:rPr>
        <w:t>，产品数量以实际使用为准，不做限定。如实际使用过程中，因乙方产品不满足甲方要求而终止合同，供货数量按实际使用数量计算，本合同自动终止。</w:t>
      </w:r>
      <w:r>
        <w:rPr>
          <w:rFonts w:hint="eastAsia" w:ascii="宋体" w:hAnsi="宋体" w:eastAsia="宋体" w:cs="宋体"/>
          <w:color w:val="auto"/>
          <w:sz w:val="21"/>
          <w:szCs w:val="21"/>
          <w:highlight w:val="none"/>
        </w:rPr>
        <w:t> </w:t>
      </w:r>
    </w:p>
    <w:p>
      <w:pPr>
        <w:pStyle w:val="182"/>
        <w:keepNext w:val="0"/>
        <w:keepLines w:val="0"/>
        <w:pageBreakBefore w:val="0"/>
        <w:kinsoku/>
        <w:wordWrap/>
        <w:overflowPunct/>
        <w:topLinePunct w:val="0"/>
        <w:autoSpaceDE/>
        <w:autoSpaceDN/>
        <w:bidi w:val="0"/>
        <w:adjustRightInd/>
        <w:snapToGrid/>
        <w:spacing w:line="480" w:lineRule="exact"/>
        <w:ind w:right="0" w:firstLine="422" w:firstLineChars="200"/>
        <w:textAlignment w:val="auto"/>
        <w:rPr>
          <w:rFonts w:hint="eastAsia" w:ascii="宋体" w:hAnsi="宋体" w:eastAsia="宋体" w:cs="宋体"/>
          <w:color w:val="auto"/>
          <w:sz w:val="21"/>
          <w:szCs w:val="21"/>
          <w:highlight w:val="none"/>
        </w:rPr>
      </w:pPr>
      <w:r>
        <w:rPr>
          <w:rStyle w:val="183"/>
          <w:rFonts w:hint="eastAsia" w:ascii="宋体" w:hAnsi="宋体" w:eastAsia="宋体" w:cs="宋体"/>
          <w:b/>
          <w:bCs/>
          <w:color w:val="auto"/>
          <w:sz w:val="21"/>
          <w:szCs w:val="21"/>
          <w:highlight w:val="none"/>
        </w:rPr>
        <w:t>2.  合同价款及支付</w:t>
      </w:r>
    </w:p>
    <w:p>
      <w:pPr>
        <w:pStyle w:val="182"/>
        <w:keepNext w:val="0"/>
        <w:keepLines w:val="0"/>
        <w:pageBreakBefore w:val="0"/>
        <w:kinsoku/>
        <w:wordWrap/>
        <w:overflowPunct/>
        <w:topLinePunct w:val="0"/>
        <w:autoSpaceDE/>
        <w:autoSpaceDN/>
        <w:bidi w:val="0"/>
        <w:adjustRightInd/>
        <w:snapToGrid/>
        <w:spacing w:line="480" w:lineRule="exact"/>
        <w:ind w:right="0" w:firstLine="420" w:firstLineChars="200"/>
        <w:textAlignment w:val="auto"/>
        <w:rPr>
          <w:rFonts w:hint="eastAsia" w:ascii="宋体" w:hAnsi="宋体" w:eastAsia="宋体" w:cs="宋体"/>
          <w:color w:val="auto"/>
          <w:sz w:val="21"/>
          <w:szCs w:val="21"/>
          <w:highlight w:val="none"/>
        </w:rPr>
      </w:pPr>
      <w:r>
        <w:rPr>
          <w:rStyle w:val="183"/>
          <w:rFonts w:hint="eastAsia" w:ascii="宋体" w:hAnsi="宋体" w:eastAsia="宋体" w:cs="宋体"/>
          <w:color w:val="auto"/>
          <w:sz w:val="21"/>
          <w:szCs w:val="21"/>
          <w:highlight w:val="none"/>
        </w:rPr>
        <w:t>2.1  合同价款</w:t>
      </w:r>
    </w:p>
    <w:p>
      <w:pPr>
        <w:pStyle w:val="182"/>
        <w:keepNext w:val="0"/>
        <w:keepLines w:val="0"/>
        <w:pageBreakBefore w:val="0"/>
        <w:kinsoku/>
        <w:wordWrap/>
        <w:overflowPunct/>
        <w:topLinePunct w:val="0"/>
        <w:autoSpaceDE/>
        <w:autoSpaceDN/>
        <w:bidi w:val="0"/>
        <w:adjustRightInd/>
        <w:snapToGrid/>
        <w:spacing w:line="480" w:lineRule="exact"/>
        <w:ind w:right="0" w:firstLine="420" w:firstLineChars="200"/>
        <w:textAlignment w:val="auto"/>
        <w:rPr>
          <w:rStyle w:val="183"/>
          <w:rFonts w:hint="eastAsia" w:ascii="宋体" w:hAnsi="宋体" w:eastAsia="宋体" w:cs="宋体"/>
          <w:color w:val="auto"/>
          <w:sz w:val="21"/>
          <w:szCs w:val="21"/>
          <w:highlight w:val="none"/>
        </w:rPr>
      </w:pPr>
      <w:r>
        <w:rPr>
          <w:rStyle w:val="183"/>
          <w:rFonts w:hint="eastAsia" w:ascii="宋体" w:hAnsi="宋体" w:eastAsia="宋体" w:cs="宋体"/>
          <w:color w:val="auto"/>
          <w:sz w:val="21"/>
          <w:szCs w:val="21"/>
          <w:highlight w:val="none"/>
        </w:rPr>
        <w:t>经双方协商确认，乙方向甲方提供壹年的</w:t>
      </w:r>
      <w:r>
        <w:rPr>
          <w:rStyle w:val="183"/>
          <w:rFonts w:hint="eastAsia" w:ascii="宋体" w:hAnsi="宋体" w:eastAsia="宋体" w:cs="宋体"/>
          <w:color w:val="auto"/>
          <w:sz w:val="21"/>
          <w:szCs w:val="21"/>
          <w:highlight w:val="none"/>
          <w:lang w:val="en-US" w:eastAsia="zh-CN"/>
        </w:rPr>
        <w:t>复合碳源</w:t>
      </w:r>
      <w:r>
        <w:rPr>
          <w:rStyle w:val="183"/>
          <w:rFonts w:hint="eastAsia" w:ascii="宋体" w:hAnsi="宋体" w:eastAsia="宋体" w:cs="宋体"/>
          <w:color w:val="auto"/>
          <w:sz w:val="21"/>
          <w:szCs w:val="21"/>
          <w:highlight w:val="none"/>
        </w:rPr>
        <w:t>用量，产品</w:t>
      </w:r>
      <w:r>
        <w:rPr>
          <w:rStyle w:val="183"/>
          <w:rFonts w:hint="eastAsia" w:ascii="宋体" w:hAnsi="宋体" w:eastAsia="宋体" w:cs="宋体"/>
          <w:color w:val="auto"/>
          <w:sz w:val="21"/>
          <w:szCs w:val="21"/>
          <w:highlight w:val="none"/>
          <w:lang w:val="en-US" w:eastAsia="zh-CN"/>
        </w:rPr>
        <w:t>含税</w:t>
      </w:r>
      <w:r>
        <w:rPr>
          <w:rStyle w:val="183"/>
          <w:rFonts w:hint="eastAsia" w:ascii="宋体" w:hAnsi="宋体" w:eastAsia="宋体" w:cs="宋体"/>
          <w:color w:val="auto"/>
          <w:sz w:val="21"/>
          <w:szCs w:val="21"/>
          <w:highlight w:val="none"/>
        </w:rPr>
        <w:t>单价为￥</w:t>
      </w:r>
      <w:r>
        <w:rPr>
          <w:rStyle w:val="183"/>
          <w:rFonts w:hint="eastAsia" w:ascii="宋体" w:hAnsi="宋体" w:eastAsia="宋体" w:cs="宋体"/>
          <w:color w:val="auto"/>
          <w:sz w:val="21"/>
          <w:szCs w:val="21"/>
          <w:highlight w:val="none"/>
          <w:u w:val="single"/>
          <w:lang w:val="en-US" w:eastAsia="zh-CN"/>
        </w:rPr>
        <w:t xml:space="preserve">        元（大写：               ）</w:t>
      </w:r>
      <w:r>
        <w:rPr>
          <w:rStyle w:val="183"/>
          <w:rFonts w:hint="eastAsia" w:ascii="宋体" w:hAnsi="宋体" w:eastAsia="宋体" w:cs="宋体"/>
          <w:color w:val="auto"/>
          <w:sz w:val="21"/>
          <w:szCs w:val="21"/>
          <w:highlight w:val="none"/>
        </w:rPr>
        <w:t xml:space="preserve"> /吨</w:t>
      </w:r>
      <w:r>
        <w:rPr>
          <w:rStyle w:val="183"/>
          <w:rFonts w:hint="eastAsia" w:ascii="宋体" w:hAnsi="宋体" w:eastAsia="宋体" w:cs="宋体"/>
          <w:color w:val="auto"/>
          <w:sz w:val="21"/>
          <w:szCs w:val="21"/>
          <w:highlight w:val="none"/>
          <w:lang w:eastAsia="zh-CN"/>
        </w:rPr>
        <w:t>（</w:t>
      </w:r>
      <w:r>
        <w:rPr>
          <w:rStyle w:val="183"/>
          <w:rFonts w:hint="eastAsia" w:ascii="宋体" w:hAnsi="宋体" w:eastAsia="宋体" w:cs="宋体"/>
          <w:color w:val="auto"/>
          <w:sz w:val="21"/>
          <w:szCs w:val="21"/>
          <w:highlight w:val="none"/>
          <w:lang w:val="en-US" w:eastAsia="zh-CN"/>
        </w:rPr>
        <w:t>含运费、含装卸费等乙方将货物送至甲方指定地点的全部费用</w:t>
      </w:r>
      <w:r>
        <w:rPr>
          <w:rStyle w:val="183"/>
          <w:rFonts w:hint="eastAsia" w:ascii="宋体" w:hAnsi="宋体" w:eastAsia="宋体" w:cs="宋体"/>
          <w:color w:val="auto"/>
          <w:sz w:val="21"/>
          <w:szCs w:val="21"/>
          <w:highlight w:val="none"/>
          <w:lang w:eastAsia="zh-CN"/>
        </w:rPr>
        <w:t>），</w:t>
      </w:r>
      <w:r>
        <w:rPr>
          <w:rStyle w:val="183"/>
          <w:rFonts w:hint="eastAsia" w:ascii="宋体" w:hAnsi="宋体" w:eastAsia="宋体" w:cs="宋体"/>
          <w:color w:val="auto"/>
          <w:sz w:val="21"/>
          <w:szCs w:val="21"/>
          <w:highlight w:val="none"/>
          <w:lang w:val="en-US" w:eastAsia="zh-CN"/>
        </w:rPr>
        <w:t>税率</w:t>
      </w:r>
      <w:r>
        <w:rPr>
          <w:rStyle w:val="183"/>
          <w:rFonts w:hint="eastAsia" w:ascii="宋体" w:hAnsi="宋体" w:eastAsia="宋体" w:cs="宋体"/>
          <w:color w:val="auto"/>
          <w:sz w:val="21"/>
          <w:szCs w:val="21"/>
          <w:highlight w:val="none"/>
          <w:u w:val="single"/>
          <w:lang w:val="en-US" w:eastAsia="zh-CN"/>
        </w:rPr>
        <w:t xml:space="preserve">    </w:t>
      </w:r>
      <w:r>
        <w:rPr>
          <w:rStyle w:val="183"/>
          <w:rFonts w:hint="eastAsia" w:ascii="宋体" w:hAnsi="宋体" w:eastAsia="宋体" w:cs="宋体"/>
          <w:color w:val="auto"/>
          <w:sz w:val="21"/>
          <w:szCs w:val="21"/>
          <w:highlight w:val="none"/>
          <w:lang w:val="en-US" w:eastAsia="zh-CN"/>
        </w:rPr>
        <w:t>%</w:t>
      </w:r>
      <w:r>
        <w:rPr>
          <w:rStyle w:val="183"/>
          <w:rFonts w:hint="eastAsia" w:ascii="宋体" w:hAnsi="宋体" w:eastAsia="宋体" w:cs="宋体"/>
          <w:color w:val="auto"/>
          <w:sz w:val="21"/>
          <w:szCs w:val="21"/>
          <w:highlight w:val="none"/>
        </w:rPr>
        <w:t>；如实际使用过程中，因乙方产品不符合</w:t>
      </w:r>
      <w:r>
        <w:rPr>
          <w:rStyle w:val="183"/>
          <w:rFonts w:hint="eastAsia" w:ascii="宋体" w:hAnsi="宋体" w:eastAsia="宋体" w:cs="宋体"/>
          <w:color w:val="auto"/>
          <w:sz w:val="21"/>
          <w:szCs w:val="21"/>
          <w:highlight w:val="none"/>
          <w:lang w:val="en-US" w:eastAsia="zh-CN"/>
        </w:rPr>
        <w:t>合同约定</w:t>
      </w:r>
      <w:r>
        <w:rPr>
          <w:rStyle w:val="183"/>
          <w:rFonts w:hint="eastAsia" w:ascii="宋体" w:hAnsi="宋体" w:eastAsia="宋体" w:cs="宋体"/>
          <w:color w:val="auto"/>
          <w:sz w:val="21"/>
          <w:szCs w:val="21"/>
          <w:highlight w:val="none"/>
        </w:rPr>
        <w:t>，按如下约定执行：</w:t>
      </w:r>
    </w:p>
    <w:p>
      <w:pPr>
        <w:pStyle w:val="182"/>
        <w:keepNext w:val="0"/>
        <w:keepLines w:val="0"/>
        <w:pageBreakBefore w:val="0"/>
        <w:kinsoku/>
        <w:wordWrap/>
        <w:overflowPunct/>
        <w:topLinePunct w:val="0"/>
        <w:autoSpaceDE/>
        <w:autoSpaceDN/>
        <w:bidi w:val="0"/>
        <w:adjustRightInd/>
        <w:snapToGrid/>
        <w:spacing w:line="480" w:lineRule="exact"/>
        <w:ind w:right="0" w:firstLine="420" w:firstLineChars="200"/>
        <w:textAlignment w:val="auto"/>
        <w:rPr>
          <w:rStyle w:val="183"/>
          <w:rFonts w:hint="eastAsia" w:ascii="宋体" w:hAnsi="宋体" w:eastAsia="宋体" w:cs="宋体"/>
          <w:color w:val="auto"/>
          <w:sz w:val="21"/>
          <w:szCs w:val="21"/>
          <w:highlight w:val="none"/>
        </w:rPr>
      </w:pPr>
      <w:r>
        <w:rPr>
          <w:rStyle w:val="183"/>
          <w:rFonts w:hint="eastAsia" w:ascii="宋体" w:hAnsi="宋体" w:eastAsia="宋体" w:cs="宋体"/>
          <w:color w:val="auto"/>
          <w:sz w:val="21"/>
          <w:szCs w:val="21"/>
          <w:highlight w:val="none"/>
        </w:rPr>
        <w:t>一次供货内出现本合同标的产品物任何一项指标偏离指定标准10%以内情况，结算单价按合同单价的0.9倍计算，如同一批次产品物出现N项指标偏离指定标准10%以内情况，结算单价按合同单价的（10－N）/10倍计算。累计至第3次供货产品物出现任何一项指标偏离指定标准10%以内情况，则甲方有权终止合同，且第3批次货物作为对甲方的赔偿并不予支付该批次货款。</w:t>
      </w:r>
    </w:p>
    <w:p>
      <w:pPr>
        <w:pStyle w:val="182"/>
        <w:keepNext w:val="0"/>
        <w:keepLines w:val="0"/>
        <w:pageBreakBefore w:val="0"/>
        <w:kinsoku/>
        <w:wordWrap/>
        <w:overflowPunct/>
        <w:topLinePunct w:val="0"/>
        <w:autoSpaceDE/>
        <w:autoSpaceDN/>
        <w:bidi w:val="0"/>
        <w:adjustRightInd/>
        <w:snapToGrid/>
        <w:spacing w:line="480" w:lineRule="exact"/>
        <w:ind w:right="0" w:firstLine="420" w:firstLineChars="200"/>
        <w:textAlignment w:val="auto"/>
        <w:rPr>
          <w:rFonts w:hint="eastAsia" w:ascii="宋体" w:hAnsi="宋体" w:eastAsia="宋体" w:cs="宋体"/>
          <w:color w:val="auto"/>
          <w:sz w:val="21"/>
          <w:szCs w:val="21"/>
          <w:highlight w:val="none"/>
          <w:u w:val="none"/>
          <w:lang w:val="en-US" w:eastAsia="zh-CN"/>
        </w:rPr>
      </w:pPr>
      <w:r>
        <w:rPr>
          <w:rStyle w:val="183"/>
          <w:rFonts w:hint="eastAsia" w:ascii="宋体" w:hAnsi="宋体" w:eastAsia="宋体" w:cs="宋体"/>
          <w:color w:val="auto"/>
          <w:sz w:val="21"/>
          <w:szCs w:val="21"/>
          <w:highlight w:val="none"/>
          <w:u w:val="none"/>
        </w:rPr>
        <w:t>本合同标的产品物任何一项指标出现偏离指定标准10%以上的情况，甲方有权终止合同，且该批次货物作为对甲方的赔偿并不予支付该批次货款</w:t>
      </w:r>
      <w:r>
        <w:rPr>
          <w:rStyle w:val="183"/>
          <w:rFonts w:hint="eastAsia" w:ascii="宋体" w:hAnsi="宋体" w:eastAsia="宋体" w:cs="宋体"/>
          <w:color w:val="auto"/>
          <w:sz w:val="21"/>
          <w:szCs w:val="21"/>
          <w:highlight w:val="none"/>
          <w:u w:val="none"/>
          <w:lang w:val="en-US" w:eastAsia="zh-CN"/>
        </w:rPr>
        <w:t>。</w:t>
      </w:r>
    </w:p>
    <w:p>
      <w:pPr>
        <w:pStyle w:val="182"/>
        <w:keepNext w:val="0"/>
        <w:keepLines w:val="0"/>
        <w:pageBreakBefore w:val="0"/>
        <w:kinsoku/>
        <w:wordWrap/>
        <w:overflowPunct/>
        <w:topLinePunct w:val="0"/>
        <w:autoSpaceDE/>
        <w:autoSpaceDN/>
        <w:bidi w:val="0"/>
        <w:adjustRightInd/>
        <w:snapToGrid/>
        <w:spacing w:line="480" w:lineRule="exact"/>
        <w:ind w:right="0" w:firstLine="420" w:firstLineChars="200"/>
        <w:textAlignment w:val="auto"/>
        <w:rPr>
          <w:rFonts w:hint="eastAsia" w:ascii="宋体" w:hAnsi="宋体" w:eastAsia="宋体" w:cs="宋体"/>
          <w:color w:val="auto"/>
          <w:sz w:val="21"/>
          <w:szCs w:val="21"/>
          <w:highlight w:val="none"/>
        </w:rPr>
      </w:pPr>
      <w:r>
        <w:rPr>
          <w:rStyle w:val="183"/>
          <w:rFonts w:hint="eastAsia" w:ascii="宋体" w:hAnsi="宋体" w:eastAsia="宋体" w:cs="宋体"/>
          <w:color w:val="auto"/>
          <w:sz w:val="21"/>
          <w:szCs w:val="21"/>
          <w:highlight w:val="none"/>
        </w:rPr>
        <w:t>2.2  货款的结算与支付</w:t>
      </w:r>
    </w:p>
    <w:p>
      <w:pPr>
        <w:pStyle w:val="182"/>
        <w:keepNext w:val="0"/>
        <w:keepLines w:val="0"/>
        <w:pageBreakBefore w:val="0"/>
        <w:kinsoku/>
        <w:wordWrap/>
        <w:overflowPunct/>
        <w:topLinePunct w:val="0"/>
        <w:autoSpaceDE/>
        <w:autoSpaceDN/>
        <w:bidi w:val="0"/>
        <w:adjustRightInd/>
        <w:snapToGrid/>
        <w:spacing w:line="480" w:lineRule="exact"/>
        <w:ind w:right="0" w:firstLine="420" w:firstLineChars="200"/>
        <w:textAlignment w:val="auto"/>
        <w:rPr>
          <w:rFonts w:hint="eastAsia" w:ascii="宋体" w:hAnsi="宋体" w:eastAsia="宋体" w:cs="宋体"/>
          <w:color w:val="auto"/>
          <w:sz w:val="21"/>
          <w:szCs w:val="21"/>
          <w:highlight w:val="none"/>
        </w:rPr>
      </w:pPr>
      <w:r>
        <w:rPr>
          <w:rStyle w:val="183"/>
          <w:rFonts w:hint="eastAsia" w:ascii="宋体" w:hAnsi="宋体" w:eastAsia="宋体" w:cs="宋体"/>
          <w:color w:val="auto"/>
          <w:sz w:val="21"/>
          <w:szCs w:val="21"/>
          <w:highlight w:val="none"/>
        </w:rPr>
        <w:t>2.2.1  结算</w:t>
      </w:r>
    </w:p>
    <w:p>
      <w:pPr>
        <w:pStyle w:val="182"/>
        <w:keepNext w:val="0"/>
        <w:keepLines w:val="0"/>
        <w:pageBreakBefore w:val="0"/>
        <w:kinsoku/>
        <w:wordWrap/>
        <w:overflowPunct/>
        <w:topLinePunct w:val="0"/>
        <w:autoSpaceDE/>
        <w:autoSpaceDN/>
        <w:bidi w:val="0"/>
        <w:adjustRightInd/>
        <w:snapToGrid/>
        <w:spacing w:line="480" w:lineRule="exact"/>
        <w:ind w:right="0" w:firstLine="420" w:firstLineChars="200"/>
        <w:textAlignment w:val="auto"/>
        <w:rPr>
          <w:rFonts w:hint="eastAsia" w:ascii="宋体" w:hAnsi="宋体" w:eastAsia="宋体" w:cs="宋体"/>
          <w:color w:val="auto"/>
          <w:sz w:val="21"/>
          <w:szCs w:val="21"/>
          <w:highlight w:val="none"/>
        </w:rPr>
      </w:pPr>
      <w:r>
        <w:rPr>
          <w:rStyle w:val="183"/>
          <w:rFonts w:hint="eastAsia" w:ascii="宋体" w:hAnsi="宋体" w:eastAsia="宋体" w:cs="宋体"/>
          <w:color w:val="auto"/>
          <w:sz w:val="21"/>
          <w:szCs w:val="21"/>
          <w:highlight w:val="none"/>
        </w:rPr>
        <w:t>经双方协商一致，确定乙方与甲方采取月结的方式结算价款，即以一个日历月为一个结算周期，每月的</w:t>
      </w:r>
      <w:r>
        <w:rPr>
          <w:rStyle w:val="183"/>
          <w:rFonts w:hint="eastAsia" w:ascii="宋体" w:hAnsi="宋体" w:eastAsia="宋体" w:cs="宋体"/>
          <w:color w:val="auto"/>
          <w:sz w:val="21"/>
          <w:szCs w:val="21"/>
          <w:highlight w:val="none"/>
          <w:u w:val="single"/>
        </w:rPr>
        <w:t xml:space="preserve"> 25 </w:t>
      </w:r>
      <w:r>
        <w:rPr>
          <w:rStyle w:val="183"/>
          <w:rFonts w:hint="eastAsia" w:ascii="宋体" w:hAnsi="宋体" w:eastAsia="宋体" w:cs="宋体"/>
          <w:color w:val="auto"/>
          <w:sz w:val="21"/>
          <w:szCs w:val="21"/>
          <w:highlight w:val="none"/>
        </w:rPr>
        <w:t>日至</w:t>
      </w:r>
      <w:r>
        <w:rPr>
          <w:rStyle w:val="183"/>
          <w:rFonts w:hint="eastAsia" w:ascii="宋体" w:hAnsi="宋体" w:eastAsia="宋体" w:cs="宋体"/>
          <w:color w:val="auto"/>
          <w:sz w:val="21"/>
          <w:szCs w:val="21"/>
          <w:highlight w:val="none"/>
          <w:u w:val="single"/>
        </w:rPr>
        <w:t xml:space="preserve"> 30 </w:t>
      </w:r>
      <w:r>
        <w:rPr>
          <w:rStyle w:val="183"/>
          <w:rFonts w:hint="eastAsia" w:ascii="宋体" w:hAnsi="宋体" w:eastAsia="宋体" w:cs="宋体"/>
          <w:color w:val="auto"/>
          <w:sz w:val="21"/>
          <w:szCs w:val="21"/>
          <w:highlight w:val="none"/>
        </w:rPr>
        <w:t>日为本结算周期的核对期和上一个结算周期的付款期。</w:t>
      </w:r>
    </w:p>
    <w:p>
      <w:pPr>
        <w:pStyle w:val="182"/>
        <w:keepNext w:val="0"/>
        <w:keepLines w:val="0"/>
        <w:pageBreakBefore w:val="0"/>
        <w:kinsoku/>
        <w:wordWrap/>
        <w:overflowPunct/>
        <w:topLinePunct w:val="0"/>
        <w:autoSpaceDE/>
        <w:autoSpaceDN/>
        <w:bidi w:val="0"/>
        <w:adjustRightInd/>
        <w:snapToGrid/>
        <w:spacing w:line="480" w:lineRule="exact"/>
        <w:ind w:right="0" w:firstLine="420" w:firstLineChars="200"/>
        <w:textAlignment w:val="auto"/>
        <w:rPr>
          <w:rStyle w:val="183"/>
          <w:rFonts w:hint="eastAsia" w:ascii="宋体" w:hAnsi="宋体" w:eastAsia="宋体" w:cs="宋体"/>
          <w:color w:val="auto"/>
          <w:sz w:val="21"/>
          <w:szCs w:val="21"/>
          <w:highlight w:val="none"/>
        </w:rPr>
      </w:pPr>
      <w:r>
        <w:rPr>
          <w:rStyle w:val="183"/>
          <w:rFonts w:hint="eastAsia" w:ascii="宋体" w:hAnsi="宋体" w:eastAsia="宋体" w:cs="宋体"/>
          <w:color w:val="auto"/>
          <w:sz w:val="21"/>
          <w:szCs w:val="21"/>
          <w:highlight w:val="none"/>
        </w:rPr>
        <w:t>2.2.</w:t>
      </w:r>
      <w:r>
        <w:rPr>
          <w:rStyle w:val="183"/>
          <w:rFonts w:hint="eastAsia" w:ascii="宋体" w:hAnsi="宋体" w:eastAsia="宋体" w:cs="宋体"/>
          <w:color w:val="auto"/>
          <w:sz w:val="21"/>
          <w:szCs w:val="21"/>
          <w:highlight w:val="none"/>
          <w:lang w:val="en-US" w:eastAsia="zh-CN"/>
        </w:rPr>
        <w:t>2</w:t>
      </w:r>
      <w:r>
        <w:rPr>
          <w:rStyle w:val="183"/>
          <w:rFonts w:hint="eastAsia" w:ascii="宋体" w:hAnsi="宋体" w:eastAsia="宋体" w:cs="宋体"/>
          <w:color w:val="auto"/>
          <w:sz w:val="21"/>
          <w:szCs w:val="21"/>
          <w:highlight w:val="none"/>
        </w:rPr>
        <w:t>  付款</w:t>
      </w:r>
    </w:p>
    <w:p>
      <w:pPr>
        <w:pStyle w:val="182"/>
        <w:keepNext w:val="0"/>
        <w:keepLines w:val="0"/>
        <w:pageBreakBefore w:val="0"/>
        <w:kinsoku/>
        <w:wordWrap/>
        <w:overflowPunct/>
        <w:topLinePunct w:val="0"/>
        <w:autoSpaceDE/>
        <w:autoSpaceDN/>
        <w:bidi w:val="0"/>
        <w:adjustRightInd/>
        <w:snapToGrid/>
        <w:spacing w:line="480" w:lineRule="exact"/>
        <w:ind w:right="0" w:firstLine="420" w:firstLineChars="200"/>
        <w:textAlignment w:val="auto"/>
        <w:rPr>
          <w:rStyle w:val="183"/>
          <w:rFonts w:hint="eastAsia" w:ascii="宋体" w:hAnsi="宋体" w:eastAsia="宋体" w:cs="宋体"/>
          <w:color w:val="auto"/>
          <w:sz w:val="21"/>
          <w:szCs w:val="21"/>
          <w:highlight w:val="none"/>
        </w:rPr>
      </w:pPr>
      <w:r>
        <w:rPr>
          <w:rStyle w:val="183"/>
          <w:rFonts w:hint="eastAsia" w:ascii="宋体" w:hAnsi="宋体" w:eastAsia="宋体" w:cs="宋体"/>
          <w:color w:val="auto"/>
          <w:sz w:val="21"/>
          <w:szCs w:val="21"/>
          <w:highlight w:val="none"/>
        </w:rPr>
        <w:t>甲方在与乙方核对清楚并确定了付款金额后，乙方应向甲方开具等额的</w:t>
      </w:r>
      <w:r>
        <w:rPr>
          <w:rStyle w:val="183"/>
          <w:rFonts w:hint="eastAsia" w:ascii="宋体" w:hAnsi="宋体" w:eastAsia="宋体" w:cs="宋体"/>
          <w:color w:val="auto"/>
          <w:sz w:val="21"/>
          <w:szCs w:val="21"/>
          <w:highlight w:val="none"/>
          <w:lang w:val="en-US" w:eastAsia="zh-CN"/>
        </w:rPr>
        <w:t>增值税专用</w:t>
      </w:r>
      <w:r>
        <w:rPr>
          <w:rStyle w:val="183"/>
          <w:rFonts w:hint="eastAsia" w:ascii="宋体" w:hAnsi="宋体" w:eastAsia="宋体" w:cs="宋体"/>
          <w:color w:val="auto"/>
          <w:sz w:val="21"/>
          <w:szCs w:val="21"/>
          <w:highlight w:val="none"/>
        </w:rPr>
        <w:t>发票提示甲方付款，甲方在收到发票后</w:t>
      </w:r>
      <w:r>
        <w:rPr>
          <w:rStyle w:val="183"/>
          <w:rFonts w:hint="eastAsia" w:ascii="宋体" w:hAnsi="宋体" w:eastAsia="宋体" w:cs="宋体"/>
          <w:color w:val="auto"/>
          <w:sz w:val="21"/>
          <w:szCs w:val="21"/>
          <w:highlight w:val="none"/>
          <w:lang w:val="en-US" w:eastAsia="zh-CN"/>
        </w:rPr>
        <w:t>在2.2.1条款中规定的结算周期</w:t>
      </w:r>
      <w:r>
        <w:rPr>
          <w:rStyle w:val="183"/>
          <w:rFonts w:hint="eastAsia" w:ascii="宋体" w:hAnsi="宋体" w:eastAsia="宋体" w:cs="宋体"/>
          <w:color w:val="auto"/>
          <w:sz w:val="21"/>
          <w:szCs w:val="21"/>
          <w:highlight w:val="none"/>
        </w:rPr>
        <w:t>内付款。</w:t>
      </w:r>
    </w:p>
    <w:p>
      <w:pPr>
        <w:pStyle w:val="182"/>
        <w:keepNext w:val="0"/>
        <w:keepLines w:val="0"/>
        <w:pageBreakBefore w:val="0"/>
        <w:kinsoku/>
        <w:wordWrap/>
        <w:overflowPunct/>
        <w:topLinePunct w:val="0"/>
        <w:autoSpaceDE/>
        <w:autoSpaceDN/>
        <w:bidi w:val="0"/>
        <w:adjustRightInd/>
        <w:snapToGrid/>
        <w:spacing w:line="480" w:lineRule="exact"/>
        <w:ind w:right="0" w:firstLine="420" w:firstLineChars="200"/>
        <w:textAlignment w:val="auto"/>
        <w:rPr>
          <w:rFonts w:hint="eastAsia" w:ascii="宋体" w:hAnsi="宋体" w:eastAsia="宋体" w:cs="宋体"/>
          <w:color w:val="auto"/>
          <w:sz w:val="21"/>
          <w:szCs w:val="21"/>
          <w:highlight w:val="none"/>
        </w:rPr>
      </w:pPr>
      <w:r>
        <w:rPr>
          <w:rStyle w:val="183"/>
          <w:rFonts w:hint="eastAsia" w:ascii="宋体" w:hAnsi="宋体" w:eastAsia="宋体" w:cs="宋体"/>
          <w:color w:val="auto"/>
          <w:sz w:val="21"/>
          <w:szCs w:val="21"/>
          <w:highlight w:val="none"/>
        </w:rPr>
        <w:t>2.3  甲方向乙方支付货款采用</w:t>
      </w:r>
      <w:r>
        <w:rPr>
          <w:rStyle w:val="183"/>
          <w:rFonts w:hint="eastAsia" w:ascii="宋体" w:hAnsi="宋体" w:eastAsia="宋体" w:cs="宋体"/>
          <w:color w:val="auto"/>
          <w:sz w:val="21"/>
          <w:szCs w:val="21"/>
          <w:highlight w:val="none"/>
          <w:lang w:val="en-US" w:eastAsia="zh-CN"/>
        </w:rPr>
        <w:t>银行转账</w:t>
      </w:r>
      <w:r>
        <w:rPr>
          <w:rStyle w:val="183"/>
          <w:rFonts w:hint="eastAsia" w:ascii="宋体" w:hAnsi="宋体" w:eastAsia="宋体" w:cs="宋体"/>
          <w:color w:val="auto"/>
          <w:sz w:val="21"/>
          <w:szCs w:val="21"/>
          <w:highlight w:val="none"/>
        </w:rPr>
        <w:t xml:space="preserve">的方式以人民币支付。乙方提供并确认其帐户如下： </w:t>
      </w:r>
    </w:p>
    <w:p>
      <w:pPr>
        <w:pStyle w:val="182"/>
        <w:keepNext w:val="0"/>
        <w:keepLines w:val="0"/>
        <w:pageBreakBefore w:val="0"/>
        <w:kinsoku/>
        <w:wordWrap/>
        <w:overflowPunct/>
        <w:topLinePunct w:val="0"/>
        <w:autoSpaceDE/>
        <w:autoSpaceDN/>
        <w:bidi w:val="0"/>
        <w:adjustRightInd/>
        <w:snapToGrid/>
        <w:spacing w:line="480" w:lineRule="exact"/>
        <w:ind w:right="0" w:firstLine="420" w:firstLineChars="200"/>
        <w:textAlignment w:val="auto"/>
        <w:rPr>
          <w:rFonts w:hint="eastAsia" w:ascii="宋体" w:hAnsi="宋体" w:eastAsia="宋体" w:cs="宋体"/>
          <w:color w:val="auto"/>
          <w:sz w:val="21"/>
          <w:szCs w:val="21"/>
          <w:highlight w:val="none"/>
        </w:rPr>
      </w:pPr>
      <w:r>
        <w:rPr>
          <w:rStyle w:val="183"/>
          <w:rFonts w:hint="eastAsia" w:ascii="宋体" w:hAnsi="宋体" w:eastAsia="宋体" w:cs="宋体"/>
          <w:color w:val="auto"/>
          <w:sz w:val="21"/>
          <w:szCs w:val="21"/>
          <w:highlight w:val="none"/>
        </w:rPr>
        <w:t>开户银行：</w:t>
      </w:r>
      <w:r>
        <w:rPr>
          <w:rStyle w:val="183"/>
          <w:rFonts w:hint="eastAsia" w:ascii="宋体" w:hAnsi="宋体" w:eastAsia="宋体" w:cs="宋体"/>
          <w:color w:val="auto"/>
          <w:sz w:val="21"/>
          <w:szCs w:val="21"/>
          <w:highlight w:val="none"/>
          <w:u w:val="single"/>
        </w:rPr>
        <w:t xml:space="preserve">                                       </w:t>
      </w:r>
    </w:p>
    <w:p>
      <w:pPr>
        <w:pStyle w:val="182"/>
        <w:keepNext w:val="0"/>
        <w:keepLines w:val="0"/>
        <w:pageBreakBefore w:val="0"/>
        <w:kinsoku/>
        <w:wordWrap/>
        <w:overflowPunct/>
        <w:topLinePunct w:val="0"/>
        <w:autoSpaceDE/>
        <w:autoSpaceDN/>
        <w:bidi w:val="0"/>
        <w:adjustRightInd/>
        <w:snapToGrid/>
        <w:spacing w:line="480" w:lineRule="exact"/>
        <w:ind w:right="0" w:firstLine="420" w:firstLineChars="200"/>
        <w:textAlignment w:val="auto"/>
        <w:rPr>
          <w:rFonts w:hint="eastAsia" w:ascii="宋体" w:hAnsi="宋体" w:eastAsia="宋体" w:cs="宋体"/>
          <w:color w:val="auto"/>
          <w:sz w:val="21"/>
          <w:szCs w:val="21"/>
          <w:highlight w:val="none"/>
        </w:rPr>
      </w:pPr>
      <w:r>
        <w:rPr>
          <w:rStyle w:val="183"/>
          <w:rFonts w:hint="eastAsia" w:ascii="宋体" w:hAnsi="宋体" w:eastAsia="宋体" w:cs="宋体"/>
          <w:color w:val="auto"/>
          <w:sz w:val="21"/>
          <w:szCs w:val="21"/>
          <w:highlight w:val="none"/>
        </w:rPr>
        <w:t>帐  号：</w:t>
      </w:r>
      <w:r>
        <w:rPr>
          <w:rStyle w:val="183"/>
          <w:rFonts w:hint="eastAsia" w:ascii="宋体" w:hAnsi="宋体" w:eastAsia="宋体" w:cs="宋体"/>
          <w:color w:val="auto"/>
          <w:sz w:val="21"/>
          <w:szCs w:val="21"/>
          <w:highlight w:val="none"/>
          <w:u w:val="single"/>
        </w:rPr>
        <w:t xml:space="preserve">                                       </w:t>
      </w:r>
    </w:p>
    <w:p>
      <w:pPr>
        <w:pStyle w:val="182"/>
        <w:keepNext w:val="0"/>
        <w:keepLines w:val="0"/>
        <w:pageBreakBefore w:val="0"/>
        <w:kinsoku/>
        <w:wordWrap/>
        <w:overflowPunct/>
        <w:topLinePunct w:val="0"/>
        <w:autoSpaceDE/>
        <w:autoSpaceDN/>
        <w:bidi w:val="0"/>
        <w:adjustRightInd/>
        <w:snapToGrid/>
        <w:spacing w:line="480" w:lineRule="exact"/>
        <w:ind w:right="0" w:firstLine="420" w:firstLineChars="200"/>
        <w:textAlignment w:val="auto"/>
        <w:rPr>
          <w:rFonts w:hint="eastAsia" w:ascii="宋体" w:hAnsi="宋体" w:eastAsia="宋体" w:cs="宋体"/>
          <w:color w:val="auto"/>
          <w:sz w:val="21"/>
          <w:szCs w:val="21"/>
          <w:highlight w:val="none"/>
        </w:rPr>
      </w:pPr>
      <w:r>
        <w:rPr>
          <w:rStyle w:val="183"/>
          <w:rFonts w:hint="eastAsia" w:ascii="宋体" w:hAnsi="宋体" w:eastAsia="宋体" w:cs="宋体"/>
          <w:color w:val="auto"/>
          <w:sz w:val="21"/>
          <w:szCs w:val="21"/>
          <w:highlight w:val="none"/>
        </w:rPr>
        <w:t>单位名称：</w:t>
      </w:r>
      <w:r>
        <w:rPr>
          <w:rStyle w:val="183"/>
          <w:rFonts w:hint="eastAsia" w:ascii="宋体" w:hAnsi="宋体" w:eastAsia="宋体" w:cs="宋体"/>
          <w:color w:val="auto"/>
          <w:sz w:val="21"/>
          <w:szCs w:val="21"/>
          <w:highlight w:val="none"/>
          <w:u w:val="single"/>
        </w:rPr>
        <w:t xml:space="preserve">                                     </w:t>
      </w:r>
      <w:r>
        <w:rPr>
          <w:rStyle w:val="183"/>
          <w:rFonts w:hint="eastAsia" w:ascii="宋体" w:hAnsi="宋体" w:eastAsia="宋体" w:cs="宋体"/>
          <w:color w:val="auto"/>
          <w:sz w:val="21"/>
          <w:szCs w:val="21"/>
          <w:highlight w:val="none"/>
        </w:rPr>
        <w:t>              </w:t>
      </w:r>
    </w:p>
    <w:p>
      <w:pPr>
        <w:pStyle w:val="182"/>
        <w:keepNext w:val="0"/>
        <w:keepLines w:val="0"/>
        <w:pageBreakBefore w:val="0"/>
        <w:kinsoku/>
        <w:wordWrap/>
        <w:overflowPunct/>
        <w:topLinePunct w:val="0"/>
        <w:autoSpaceDE/>
        <w:autoSpaceDN/>
        <w:bidi w:val="0"/>
        <w:adjustRightInd/>
        <w:snapToGrid/>
        <w:spacing w:line="480" w:lineRule="exact"/>
        <w:ind w:right="0" w:firstLine="422" w:firstLineChars="200"/>
        <w:textAlignment w:val="auto"/>
        <w:rPr>
          <w:rFonts w:hint="eastAsia" w:ascii="宋体" w:hAnsi="宋体" w:eastAsia="宋体" w:cs="宋体"/>
          <w:color w:val="auto"/>
          <w:sz w:val="21"/>
          <w:szCs w:val="21"/>
          <w:highlight w:val="none"/>
        </w:rPr>
      </w:pPr>
      <w:r>
        <w:rPr>
          <w:rStyle w:val="183"/>
          <w:rFonts w:hint="eastAsia" w:ascii="宋体" w:hAnsi="宋体" w:eastAsia="宋体" w:cs="宋体"/>
          <w:b/>
          <w:bCs/>
          <w:color w:val="auto"/>
          <w:sz w:val="21"/>
          <w:szCs w:val="21"/>
          <w:highlight w:val="none"/>
        </w:rPr>
        <w:t>3.  交付</w:t>
      </w:r>
    </w:p>
    <w:p>
      <w:pPr>
        <w:pStyle w:val="182"/>
        <w:keepNext w:val="0"/>
        <w:keepLines w:val="0"/>
        <w:pageBreakBefore w:val="0"/>
        <w:kinsoku/>
        <w:wordWrap/>
        <w:overflowPunct/>
        <w:topLinePunct w:val="0"/>
        <w:autoSpaceDE/>
        <w:autoSpaceDN/>
        <w:bidi w:val="0"/>
        <w:adjustRightInd/>
        <w:snapToGrid/>
        <w:spacing w:line="480" w:lineRule="exact"/>
        <w:ind w:right="0" w:firstLine="420" w:firstLineChars="200"/>
        <w:textAlignment w:val="auto"/>
        <w:rPr>
          <w:rFonts w:hint="eastAsia" w:ascii="宋体" w:hAnsi="宋体" w:eastAsia="宋体" w:cs="宋体"/>
          <w:color w:val="auto"/>
          <w:sz w:val="21"/>
          <w:szCs w:val="21"/>
          <w:highlight w:val="none"/>
        </w:rPr>
      </w:pPr>
      <w:r>
        <w:rPr>
          <w:rStyle w:val="183"/>
          <w:rFonts w:hint="eastAsia" w:ascii="宋体" w:hAnsi="宋体" w:eastAsia="宋体" w:cs="宋体"/>
          <w:color w:val="auto"/>
          <w:sz w:val="21"/>
          <w:szCs w:val="21"/>
          <w:highlight w:val="none"/>
        </w:rPr>
        <w:t>3.1  交付方式</w:t>
      </w:r>
    </w:p>
    <w:p>
      <w:pPr>
        <w:pStyle w:val="182"/>
        <w:keepNext w:val="0"/>
        <w:keepLines w:val="0"/>
        <w:pageBreakBefore w:val="0"/>
        <w:kinsoku/>
        <w:wordWrap/>
        <w:overflowPunct/>
        <w:topLinePunct w:val="0"/>
        <w:autoSpaceDE/>
        <w:autoSpaceDN/>
        <w:bidi w:val="0"/>
        <w:adjustRightInd/>
        <w:snapToGrid/>
        <w:spacing w:line="480" w:lineRule="exact"/>
        <w:ind w:right="0" w:firstLine="420" w:firstLineChars="200"/>
        <w:textAlignment w:val="auto"/>
        <w:rPr>
          <w:rFonts w:hint="eastAsia" w:ascii="宋体" w:hAnsi="宋体" w:eastAsia="宋体" w:cs="宋体"/>
          <w:color w:val="auto"/>
          <w:sz w:val="21"/>
          <w:szCs w:val="21"/>
          <w:highlight w:val="none"/>
        </w:rPr>
      </w:pPr>
      <w:r>
        <w:rPr>
          <w:rStyle w:val="183"/>
          <w:rFonts w:hint="eastAsia" w:ascii="宋体" w:hAnsi="宋体" w:eastAsia="宋体" w:cs="宋体"/>
          <w:color w:val="auto"/>
          <w:sz w:val="21"/>
          <w:szCs w:val="21"/>
          <w:highlight w:val="none"/>
        </w:rPr>
        <w:t>3.1.1  经双方协商一致，共同确认本合同约定之产品的交付方式为乙方送货至甲方指定的地点。具体程序为：甲方根据自身生产经营需要，向乙方电话传达或发出书面送货通知（传真、邮寄、专人送达均可），送货通知应该记载明确甲方需要的产品型号、数量及送货时间，乙方在接到甲方的通知后</w:t>
      </w:r>
      <w:r>
        <w:rPr>
          <w:rStyle w:val="183"/>
          <w:rFonts w:hint="eastAsia" w:ascii="宋体" w:hAnsi="宋体" w:eastAsia="宋体" w:cs="宋体"/>
          <w:color w:val="auto"/>
          <w:sz w:val="21"/>
          <w:szCs w:val="21"/>
          <w:highlight w:val="none"/>
          <w:lang w:eastAsia="zh-CN"/>
        </w:rPr>
        <w:t>，</w:t>
      </w:r>
      <w:r>
        <w:rPr>
          <w:rStyle w:val="183"/>
          <w:rFonts w:hint="eastAsia" w:ascii="宋体" w:hAnsi="宋体" w:eastAsia="宋体" w:cs="宋体"/>
          <w:color w:val="auto"/>
          <w:sz w:val="21"/>
          <w:szCs w:val="21"/>
          <w:highlight w:val="none"/>
        </w:rPr>
        <w:t>在</w:t>
      </w:r>
      <w:r>
        <w:rPr>
          <w:rStyle w:val="183"/>
          <w:rFonts w:hint="eastAsia" w:ascii="宋体" w:hAnsi="宋体" w:eastAsia="宋体" w:cs="宋体"/>
          <w:color w:val="auto"/>
          <w:sz w:val="21"/>
          <w:szCs w:val="21"/>
          <w:highlight w:val="none"/>
          <w:lang w:val="en-US" w:eastAsia="zh-CN"/>
        </w:rPr>
        <w:t>承诺时效</w:t>
      </w:r>
      <w:r>
        <w:rPr>
          <w:rStyle w:val="183"/>
          <w:rFonts w:hint="eastAsia" w:ascii="宋体" w:hAnsi="宋体" w:eastAsia="宋体" w:cs="宋体"/>
          <w:color w:val="auto"/>
          <w:sz w:val="21"/>
          <w:szCs w:val="21"/>
          <w:highlight w:val="none"/>
        </w:rPr>
        <w:t>内应按通知的要求将甲方指定数量、型号的产品送到指定的地点。乙方须保证如下人员的及联系方式的24小时畅通：人员：</w:t>
      </w:r>
      <w:r>
        <w:rPr>
          <w:rStyle w:val="183"/>
          <w:rFonts w:hint="eastAsia" w:ascii="宋体" w:hAnsi="宋体" w:eastAsia="宋体" w:cs="宋体"/>
          <w:color w:val="auto"/>
          <w:sz w:val="21"/>
          <w:szCs w:val="21"/>
          <w:highlight w:val="none"/>
          <w:u w:val="single"/>
        </w:rPr>
        <w:t xml:space="preserve"> </w:t>
      </w:r>
      <w:r>
        <w:rPr>
          <w:rStyle w:val="183"/>
          <w:rFonts w:hint="eastAsia" w:ascii="宋体" w:hAnsi="宋体" w:eastAsia="宋体" w:cs="宋体"/>
          <w:color w:val="auto"/>
          <w:sz w:val="21"/>
          <w:szCs w:val="21"/>
          <w:highlight w:val="none"/>
          <w:u w:val="single"/>
          <w:lang w:val="en-US" w:eastAsia="zh-CN"/>
        </w:rPr>
        <w:t xml:space="preserve">        </w:t>
      </w:r>
      <w:r>
        <w:rPr>
          <w:rStyle w:val="183"/>
          <w:rFonts w:hint="eastAsia" w:ascii="宋体" w:hAnsi="宋体" w:eastAsia="宋体" w:cs="宋体"/>
          <w:color w:val="auto"/>
          <w:sz w:val="21"/>
          <w:szCs w:val="21"/>
          <w:highlight w:val="none"/>
          <w:u w:val="single"/>
        </w:rPr>
        <w:t xml:space="preserve"> </w:t>
      </w:r>
      <w:r>
        <w:rPr>
          <w:rStyle w:val="183"/>
          <w:rFonts w:hint="eastAsia" w:ascii="宋体" w:hAnsi="宋体" w:eastAsia="宋体" w:cs="宋体"/>
          <w:color w:val="auto"/>
          <w:sz w:val="21"/>
          <w:szCs w:val="21"/>
          <w:highlight w:val="none"/>
        </w:rPr>
        <w:t>电话：</w:t>
      </w:r>
      <w:r>
        <w:rPr>
          <w:rStyle w:val="183"/>
          <w:rFonts w:hint="eastAsia" w:ascii="宋体" w:hAnsi="宋体" w:eastAsia="宋体" w:cs="宋体"/>
          <w:color w:val="auto"/>
          <w:sz w:val="21"/>
          <w:szCs w:val="21"/>
          <w:highlight w:val="none"/>
          <w:u w:val="single"/>
        </w:rPr>
        <w:t> </w:t>
      </w:r>
      <w:r>
        <w:rPr>
          <w:rStyle w:val="183"/>
          <w:rFonts w:hint="eastAsia" w:ascii="宋体" w:hAnsi="宋体" w:eastAsia="宋体" w:cs="宋体"/>
          <w:color w:val="auto"/>
          <w:sz w:val="21"/>
          <w:szCs w:val="21"/>
          <w:highlight w:val="none"/>
          <w:u w:val="single"/>
          <w:lang w:val="en-US" w:eastAsia="zh-CN"/>
        </w:rPr>
        <w:t xml:space="preserve">             </w:t>
      </w:r>
      <w:r>
        <w:rPr>
          <w:rStyle w:val="183"/>
          <w:rFonts w:hint="eastAsia" w:ascii="宋体" w:hAnsi="宋体" w:eastAsia="宋体" w:cs="宋体"/>
          <w:color w:val="auto"/>
          <w:sz w:val="21"/>
          <w:szCs w:val="21"/>
          <w:highlight w:val="none"/>
          <w:u w:val="single"/>
        </w:rPr>
        <w:t xml:space="preserve">  </w:t>
      </w:r>
    </w:p>
    <w:p>
      <w:pPr>
        <w:pStyle w:val="182"/>
        <w:keepNext w:val="0"/>
        <w:keepLines w:val="0"/>
        <w:pageBreakBefore w:val="0"/>
        <w:kinsoku/>
        <w:wordWrap/>
        <w:overflowPunct/>
        <w:topLinePunct w:val="0"/>
        <w:autoSpaceDE/>
        <w:autoSpaceDN/>
        <w:bidi w:val="0"/>
        <w:adjustRightInd/>
        <w:snapToGrid/>
        <w:spacing w:line="480" w:lineRule="exact"/>
        <w:ind w:right="0" w:firstLine="420" w:firstLineChars="200"/>
        <w:textAlignment w:val="auto"/>
        <w:rPr>
          <w:rStyle w:val="183"/>
          <w:rFonts w:hint="eastAsia" w:ascii="宋体" w:hAnsi="宋体" w:eastAsia="宋体" w:cs="宋体"/>
          <w:color w:val="auto"/>
          <w:sz w:val="21"/>
          <w:szCs w:val="21"/>
          <w:highlight w:val="none"/>
        </w:rPr>
      </w:pPr>
      <w:r>
        <w:rPr>
          <w:rStyle w:val="183"/>
          <w:rFonts w:hint="eastAsia" w:ascii="宋体" w:hAnsi="宋体" w:eastAsia="宋体" w:cs="宋体"/>
          <w:color w:val="auto"/>
          <w:sz w:val="21"/>
          <w:szCs w:val="21"/>
          <w:highlight w:val="none"/>
        </w:rPr>
        <w:t>3.1.2  乙方因送货发生的费用由乙方自行承担。</w:t>
      </w:r>
    </w:p>
    <w:p>
      <w:pPr>
        <w:pStyle w:val="182"/>
        <w:keepNext w:val="0"/>
        <w:keepLines w:val="0"/>
        <w:pageBreakBefore w:val="0"/>
        <w:kinsoku/>
        <w:wordWrap/>
        <w:overflowPunct/>
        <w:topLinePunct w:val="0"/>
        <w:autoSpaceDE/>
        <w:autoSpaceDN/>
        <w:bidi w:val="0"/>
        <w:adjustRightInd/>
        <w:snapToGrid/>
        <w:spacing w:line="480" w:lineRule="exact"/>
        <w:ind w:right="0" w:firstLine="420" w:firstLineChars="200"/>
        <w:textAlignment w:val="auto"/>
        <w:rPr>
          <w:rFonts w:hint="eastAsia" w:ascii="宋体" w:hAnsi="宋体" w:eastAsia="宋体" w:cs="宋体"/>
          <w:color w:val="auto"/>
          <w:sz w:val="21"/>
          <w:szCs w:val="21"/>
          <w:highlight w:val="none"/>
        </w:rPr>
      </w:pPr>
      <w:r>
        <w:rPr>
          <w:rStyle w:val="183"/>
          <w:rFonts w:hint="eastAsia" w:ascii="宋体" w:hAnsi="宋体" w:eastAsia="宋体" w:cs="宋体"/>
          <w:color w:val="auto"/>
          <w:sz w:val="21"/>
          <w:szCs w:val="21"/>
          <w:highlight w:val="none"/>
        </w:rPr>
        <w:t>3.1.3  在乙方将产品送达至甲方指定的地点之前，无论甲方付款与否，该产品的损毁、灭失等一切风险均由乙方承担，在甲方检验并在送货单上签字确认接收后，该风险开始转移给甲方。</w:t>
      </w:r>
    </w:p>
    <w:p>
      <w:pPr>
        <w:pStyle w:val="182"/>
        <w:keepNext w:val="0"/>
        <w:keepLines w:val="0"/>
        <w:pageBreakBefore w:val="0"/>
        <w:kinsoku/>
        <w:wordWrap/>
        <w:overflowPunct/>
        <w:topLinePunct w:val="0"/>
        <w:autoSpaceDE/>
        <w:autoSpaceDN/>
        <w:bidi w:val="0"/>
        <w:adjustRightInd/>
        <w:snapToGrid/>
        <w:spacing w:line="480" w:lineRule="exact"/>
        <w:ind w:right="0" w:firstLine="420" w:firstLineChars="200"/>
        <w:textAlignment w:val="auto"/>
        <w:rPr>
          <w:rFonts w:hint="eastAsia" w:ascii="宋体" w:hAnsi="宋体" w:eastAsia="宋体" w:cs="宋体"/>
          <w:color w:val="auto"/>
          <w:sz w:val="21"/>
          <w:szCs w:val="21"/>
          <w:highlight w:val="none"/>
        </w:rPr>
      </w:pPr>
      <w:r>
        <w:rPr>
          <w:rStyle w:val="183"/>
          <w:rFonts w:hint="eastAsia" w:ascii="宋体" w:hAnsi="宋体" w:eastAsia="宋体" w:cs="宋体"/>
          <w:color w:val="auto"/>
          <w:sz w:val="21"/>
          <w:szCs w:val="21"/>
          <w:highlight w:val="none"/>
        </w:rPr>
        <w:t>3.2  交付地点</w:t>
      </w:r>
    </w:p>
    <w:p>
      <w:pPr>
        <w:pStyle w:val="182"/>
        <w:keepNext w:val="0"/>
        <w:keepLines w:val="0"/>
        <w:pageBreakBefore w:val="0"/>
        <w:kinsoku/>
        <w:wordWrap/>
        <w:overflowPunct/>
        <w:topLinePunct w:val="0"/>
        <w:autoSpaceDE/>
        <w:autoSpaceDN/>
        <w:bidi w:val="0"/>
        <w:adjustRightInd/>
        <w:snapToGrid/>
        <w:spacing w:line="480" w:lineRule="exact"/>
        <w:ind w:right="0" w:firstLine="420" w:firstLineChars="200"/>
        <w:textAlignment w:val="auto"/>
        <w:rPr>
          <w:rFonts w:hint="default" w:ascii="宋体" w:hAnsi="宋体" w:eastAsia="宋体" w:cs="宋体"/>
          <w:color w:val="auto"/>
          <w:sz w:val="21"/>
          <w:szCs w:val="21"/>
          <w:highlight w:val="none"/>
          <w:lang w:val="en-US" w:eastAsia="zh-CN"/>
        </w:rPr>
      </w:pPr>
      <w:r>
        <w:rPr>
          <w:rStyle w:val="183"/>
          <w:rFonts w:hint="eastAsia" w:ascii="宋体" w:hAnsi="宋体" w:eastAsia="宋体" w:cs="宋体"/>
          <w:color w:val="auto"/>
          <w:sz w:val="21"/>
          <w:szCs w:val="21"/>
          <w:highlight w:val="none"/>
        </w:rPr>
        <w:t>3.2.1  甲方指定的乙方交付地点为：</w:t>
      </w:r>
      <w:r>
        <w:rPr>
          <w:rStyle w:val="183"/>
          <w:rFonts w:hint="eastAsia" w:ascii="宋体" w:hAnsi="宋体" w:eastAsia="宋体" w:cs="宋体"/>
          <w:color w:val="auto"/>
          <w:sz w:val="21"/>
          <w:szCs w:val="21"/>
          <w:highlight w:val="none"/>
          <w:u w:val="single"/>
          <w:lang w:val="en-US" w:eastAsia="zh-CN"/>
        </w:rPr>
        <w:t>盐城市大丰区</w:t>
      </w:r>
      <w:r>
        <w:rPr>
          <w:rStyle w:val="183"/>
          <w:rFonts w:hint="eastAsia" w:ascii="宋体" w:hAnsi="宋体" w:eastAsia="宋体" w:cs="宋体"/>
          <w:color w:val="auto"/>
          <w:sz w:val="21"/>
          <w:szCs w:val="21"/>
          <w:highlight w:val="none"/>
          <w:lang w:eastAsia="zh-CN"/>
        </w:rPr>
        <w:t>，</w:t>
      </w:r>
      <w:r>
        <w:rPr>
          <w:rStyle w:val="183"/>
          <w:rFonts w:hint="eastAsia" w:ascii="宋体" w:hAnsi="宋体" w:eastAsia="宋体" w:cs="宋体"/>
          <w:color w:val="auto"/>
          <w:sz w:val="21"/>
          <w:szCs w:val="21"/>
          <w:highlight w:val="none"/>
        </w:rPr>
        <w:t>接货人：</w:t>
      </w:r>
      <w:r>
        <w:rPr>
          <w:rStyle w:val="183"/>
          <w:rFonts w:hint="eastAsia" w:ascii="宋体" w:hAnsi="宋体" w:eastAsia="宋体" w:cs="宋体"/>
          <w:color w:val="auto"/>
          <w:sz w:val="21"/>
          <w:szCs w:val="21"/>
          <w:highlight w:val="none"/>
          <w:u w:val="single"/>
        </w:rPr>
        <w:t xml:space="preserve"> </w:t>
      </w:r>
      <w:r>
        <w:rPr>
          <w:rStyle w:val="183"/>
          <w:rFonts w:hint="eastAsia" w:ascii="宋体" w:hAnsi="宋体" w:eastAsia="宋体" w:cs="宋体"/>
          <w:color w:val="auto"/>
          <w:sz w:val="21"/>
          <w:szCs w:val="21"/>
          <w:highlight w:val="none"/>
          <w:u w:val="single"/>
          <w:lang w:val="en-US" w:eastAsia="zh-CN"/>
        </w:rPr>
        <w:t xml:space="preserve">    </w:t>
      </w:r>
      <w:r>
        <w:rPr>
          <w:rStyle w:val="183"/>
          <w:rFonts w:hint="eastAsia" w:ascii="宋体" w:hAnsi="宋体" w:eastAsia="宋体" w:cs="宋体"/>
          <w:color w:val="auto"/>
          <w:sz w:val="21"/>
          <w:szCs w:val="21"/>
          <w:highlight w:val="none"/>
          <w:u w:val="none"/>
          <w:lang w:val="en-US" w:eastAsia="zh-CN"/>
        </w:rPr>
        <w:t>，</w:t>
      </w:r>
      <w:r>
        <w:rPr>
          <w:rStyle w:val="183"/>
          <w:rFonts w:hint="eastAsia" w:ascii="宋体" w:hAnsi="宋体" w:eastAsia="宋体" w:cs="宋体"/>
          <w:color w:val="auto"/>
          <w:sz w:val="21"/>
          <w:szCs w:val="21"/>
          <w:highlight w:val="none"/>
        </w:rPr>
        <w:t>联系电话：</w:t>
      </w:r>
      <w:r>
        <w:rPr>
          <w:rStyle w:val="183"/>
          <w:rFonts w:hint="eastAsia" w:ascii="宋体" w:hAnsi="宋体" w:eastAsia="宋体" w:cs="宋体"/>
          <w:color w:val="auto"/>
          <w:sz w:val="21"/>
          <w:szCs w:val="21"/>
          <w:highlight w:val="none"/>
          <w:u w:val="single"/>
          <w:lang w:val="en-US" w:eastAsia="zh-CN"/>
        </w:rPr>
        <w:t xml:space="preserve">             </w:t>
      </w:r>
      <w:r>
        <w:rPr>
          <w:rStyle w:val="183"/>
          <w:rFonts w:hint="eastAsia" w:ascii="宋体" w:hAnsi="宋体" w:eastAsia="宋体" w:cs="宋体"/>
          <w:color w:val="auto"/>
          <w:sz w:val="21"/>
          <w:szCs w:val="21"/>
          <w:highlight w:val="none"/>
          <w:u w:val="none"/>
          <w:lang w:val="en-US" w:eastAsia="zh-CN"/>
        </w:rPr>
        <w:t>。</w:t>
      </w:r>
    </w:p>
    <w:p>
      <w:pPr>
        <w:pStyle w:val="182"/>
        <w:keepNext w:val="0"/>
        <w:keepLines w:val="0"/>
        <w:pageBreakBefore w:val="0"/>
        <w:kinsoku/>
        <w:wordWrap/>
        <w:overflowPunct/>
        <w:topLinePunct w:val="0"/>
        <w:autoSpaceDE/>
        <w:autoSpaceDN/>
        <w:bidi w:val="0"/>
        <w:adjustRightInd/>
        <w:snapToGrid/>
        <w:spacing w:line="480" w:lineRule="exact"/>
        <w:ind w:right="0" w:firstLine="420" w:firstLineChars="200"/>
        <w:textAlignment w:val="auto"/>
        <w:rPr>
          <w:rFonts w:hint="eastAsia" w:ascii="宋体" w:hAnsi="宋体" w:eastAsia="宋体" w:cs="宋体"/>
          <w:color w:val="auto"/>
          <w:sz w:val="21"/>
          <w:szCs w:val="21"/>
          <w:highlight w:val="none"/>
        </w:rPr>
      </w:pPr>
      <w:r>
        <w:rPr>
          <w:rStyle w:val="183"/>
          <w:rFonts w:hint="eastAsia" w:ascii="宋体" w:hAnsi="宋体" w:eastAsia="宋体" w:cs="宋体"/>
          <w:color w:val="auto"/>
          <w:sz w:val="21"/>
          <w:szCs w:val="21"/>
          <w:highlight w:val="none"/>
        </w:rPr>
        <w:t>3.2.2  如甲方根据实际情况需要改变送货地点的，以甲方向乙方发出的送货通知所实际记载的送货地点为准，如甲方在送货单上没有记载送货地址的，视为送货地址为3.2.1条指定的地址。</w:t>
      </w:r>
    </w:p>
    <w:p>
      <w:pPr>
        <w:pStyle w:val="182"/>
        <w:keepNext w:val="0"/>
        <w:keepLines w:val="0"/>
        <w:pageBreakBefore w:val="0"/>
        <w:kinsoku/>
        <w:wordWrap/>
        <w:overflowPunct/>
        <w:topLinePunct w:val="0"/>
        <w:autoSpaceDE/>
        <w:autoSpaceDN/>
        <w:bidi w:val="0"/>
        <w:adjustRightInd/>
        <w:snapToGrid/>
        <w:spacing w:line="480" w:lineRule="exact"/>
        <w:ind w:right="0" w:firstLine="420" w:firstLineChars="200"/>
        <w:textAlignment w:val="auto"/>
        <w:rPr>
          <w:rFonts w:hint="eastAsia" w:ascii="宋体" w:hAnsi="宋体" w:eastAsia="宋体" w:cs="宋体"/>
          <w:color w:val="auto"/>
          <w:sz w:val="21"/>
          <w:szCs w:val="21"/>
          <w:highlight w:val="none"/>
        </w:rPr>
      </w:pPr>
      <w:r>
        <w:rPr>
          <w:rStyle w:val="183"/>
          <w:rFonts w:hint="eastAsia" w:ascii="宋体" w:hAnsi="宋体" w:eastAsia="宋体" w:cs="宋体"/>
          <w:color w:val="auto"/>
          <w:sz w:val="21"/>
          <w:szCs w:val="21"/>
          <w:highlight w:val="none"/>
        </w:rPr>
        <w:t>3.3  乙方向甲方交付产品时，应该由乙方或实际承运人向甲方提供送货的产品清单并留存一份给甲方保存。 盐城市大丰区沪城污水处理有限公司</w:t>
      </w:r>
      <w:r>
        <w:rPr>
          <w:rStyle w:val="183"/>
          <w:rFonts w:hint="eastAsia" w:ascii="宋体" w:hAnsi="宋体" w:eastAsia="宋体" w:cs="宋体"/>
          <w:color w:val="auto"/>
          <w:sz w:val="21"/>
          <w:szCs w:val="21"/>
          <w:highlight w:val="none"/>
          <w:lang w:val="en-US" w:eastAsia="zh-CN"/>
        </w:rPr>
        <w:t>有权签字人员（副总/生产技术科长/当班运行人员）</w:t>
      </w:r>
      <w:r>
        <w:rPr>
          <w:rStyle w:val="183"/>
          <w:rFonts w:hint="eastAsia" w:ascii="宋体" w:hAnsi="宋体" w:eastAsia="宋体" w:cs="宋体"/>
          <w:color w:val="auto"/>
          <w:sz w:val="21"/>
          <w:szCs w:val="21"/>
          <w:highlight w:val="none"/>
        </w:rPr>
        <w:t>在该送货单上的</w:t>
      </w:r>
      <w:r>
        <w:rPr>
          <w:rStyle w:val="183"/>
          <w:rFonts w:hint="eastAsia" w:ascii="宋体" w:hAnsi="宋体" w:eastAsia="宋体" w:cs="宋体"/>
          <w:color w:val="auto"/>
          <w:sz w:val="21"/>
          <w:szCs w:val="21"/>
          <w:highlight w:val="none"/>
          <w:lang w:val="en-US" w:eastAsia="zh-CN"/>
        </w:rPr>
        <w:t>签字</w:t>
      </w:r>
      <w:r>
        <w:rPr>
          <w:rStyle w:val="183"/>
          <w:rFonts w:hint="eastAsia" w:ascii="宋体" w:hAnsi="宋体" w:eastAsia="宋体" w:cs="宋体"/>
          <w:color w:val="auto"/>
          <w:sz w:val="21"/>
          <w:szCs w:val="21"/>
          <w:highlight w:val="none"/>
        </w:rPr>
        <w:t>行为，视为乙方完成交付义务。但上述行为仅表明甲方接收了乙方发送的如该清单所列的数量、型号的产品，并不表示甲方已经检验完毕，甲方检验应该在检验期内进行。</w:t>
      </w:r>
    </w:p>
    <w:p>
      <w:pPr>
        <w:pStyle w:val="182"/>
        <w:keepNext w:val="0"/>
        <w:keepLines w:val="0"/>
        <w:pageBreakBefore w:val="0"/>
        <w:kinsoku/>
        <w:wordWrap/>
        <w:overflowPunct/>
        <w:topLinePunct w:val="0"/>
        <w:autoSpaceDE/>
        <w:autoSpaceDN/>
        <w:bidi w:val="0"/>
        <w:adjustRightInd/>
        <w:snapToGrid/>
        <w:spacing w:line="480" w:lineRule="exact"/>
        <w:ind w:right="0" w:firstLine="420" w:firstLineChars="200"/>
        <w:textAlignment w:val="auto"/>
        <w:rPr>
          <w:rStyle w:val="183"/>
          <w:rFonts w:hint="eastAsia" w:ascii="宋体" w:hAnsi="宋体" w:eastAsia="宋体" w:cs="宋体"/>
          <w:color w:val="auto"/>
          <w:sz w:val="21"/>
          <w:szCs w:val="21"/>
          <w:highlight w:val="none"/>
        </w:rPr>
      </w:pPr>
      <w:r>
        <w:rPr>
          <w:rStyle w:val="183"/>
          <w:rFonts w:hint="eastAsia" w:ascii="宋体" w:hAnsi="宋体" w:eastAsia="宋体" w:cs="宋体"/>
          <w:color w:val="auto"/>
          <w:sz w:val="21"/>
          <w:szCs w:val="21"/>
          <w:highlight w:val="none"/>
        </w:rPr>
        <w:t>3.4  乙方应按照甲方送货通知指定的期间</w:t>
      </w:r>
      <w:r>
        <w:rPr>
          <w:rStyle w:val="183"/>
          <w:rFonts w:hint="eastAsia" w:ascii="宋体" w:hAnsi="宋体" w:eastAsia="宋体" w:cs="宋体"/>
          <w:color w:val="auto"/>
          <w:sz w:val="21"/>
          <w:szCs w:val="21"/>
          <w:highlight w:val="none"/>
          <w:lang w:val="en-US" w:eastAsia="zh-CN"/>
        </w:rPr>
        <w:t>及货物数量在24小时内</w:t>
      </w:r>
      <w:r>
        <w:rPr>
          <w:rStyle w:val="183"/>
          <w:rFonts w:hint="eastAsia" w:ascii="宋体" w:hAnsi="宋体" w:eastAsia="宋体" w:cs="宋体"/>
          <w:color w:val="auto"/>
          <w:sz w:val="21"/>
          <w:szCs w:val="21"/>
          <w:highlight w:val="none"/>
        </w:rPr>
        <w:t>向甲方履行交付义务，乙方未按时间到货，每逾期</w:t>
      </w:r>
      <w:r>
        <w:rPr>
          <w:rStyle w:val="183"/>
          <w:rFonts w:hint="eastAsia" w:ascii="宋体" w:hAnsi="宋体" w:eastAsia="宋体" w:cs="宋体"/>
          <w:color w:val="auto"/>
          <w:sz w:val="21"/>
          <w:szCs w:val="21"/>
          <w:highlight w:val="none"/>
          <w:lang w:val="en-US" w:eastAsia="zh-CN"/>
        </w:rPr>
        <w:t>1小时</w:t>
      </w:r>
      <w:r>
        <w:rPr>
          <w:rStyle w:val="183"/>
          <w:rFonts w:hint="eastAsia" w:ascii="宋体" w:hAnsi="宋体" w:eastAsia="宋体" w:cs="宋体"/>
          <w:color w:val="auto"/>
          <w:sz w:val="21"/>
          <w:szCs w:val="21"/>
          <w:highlight w:val="none"/>
        </w:rPr>
        <w:t>，按照未到货产品价款金额的</w:t>
      </w:r>
      <w:r>
        <w:rPr>
          <w:rStyle w:val="183"/>
          <w:rFonts w:hint="eastAsia" w:ascii="宋体" w:hAnsi="宋体" w:eastAsia="宋体" w:cs="宋体"/>
          <w:color w:val="auto"/>
          <w:sz w:val="21"/>
          <w:szCs w:val="21"/>
          <w:highlight w:val="none"/>
          <w:u w:val="single"/>
        </w:rPr>
        <w:t xml:space="preserve">10 </w:t>
      </w:r>
      <w:r>
        <w:rPr>
          <w:rStyle w:val="183"/>
          <w:rFonts w:hint="eastAsia" w:ascii="宋体" w:hAnsi="宋体" w:eastAsia="宋体" w:cs="宋体"/>
          <w:color w:val="auto"/>
          <w:sz w:val="21"/>
          <w:szCs w:val="21"/>
          <w:highlight w:val="none"/>
        </w:rPr>
        <w:t>%，向甲方支付赔偿金。如乙方超出交付期</w:t>
      </w:r>
      <w:r>
        <w:rPr>
          <w:rStyle w:val="183"/>
          <w:rFonts w:hint="eastAsia" w:ascii="宋体" w:hAnsi="宋体" w:eastAsia="宋体" w:cs="宋体"/>
          <w:color w:val="auto"/>
          <w:sz w:val="21"/>
          <w:szCs w:val="21"/>
          <w:highlight w:val="none"/>
          <w:u w:val="single"/>
          <w:lang w:val="en-US" w:eastAsia="zh-CN"/>
        </w:rPr>
        <w:t>24</w:t>
      </w:r>
      <w:r>
        <w:rPr>
          <w:rStyle w:val="183"/>
          <w:rFonts w:hint="eastAsia" w:ascii="宋体" w:hAnsi="宋体" w:eastAsia="宋体" w:cs="宋体"/>
          <w:color w:val="auto"/>
          <w:sz w:val="21"/>
          <w:szCs w:val="21"/>
          <w:highlight w:val="none"/>
          <w:lang w:val="en-US" w:eastAsia="zh-CN"/>
        </w:rPr>
        <w:t>小时</w:t>
      </w:r>
      <w:r>
        <w:rPr>
          <w:rStyle w:val="183"/>
          <w:rFonts w:hint="eastAsia" w:ascii="宋体" w:hAnsi="宋体" w:eastAsia="宋体" w:cs="宋体"/>
          <w:color w:val="auto"/>
          <w:sz w:val="21"/>
          <w:szCs w:val="21"/>
          <w:highlight w:val="none"/>
        </w:rPr>
        <w:t>交付的，甲方可以拒绝接收，同时</w:t>
      </w:r>
      <w:r>
        <w:rPr>
          <w:rStyle w:val="183"/>
          <w:rFonts w:hint="eastAsia" w:ascii="宋体" w:hAnsi="宋体" w:eastAsia="宋体" w:cs="宋体"/>
          <w:color w:val="auto"/>
          <w:sz w:val="21"/>
          <w:szCs w:val="21"/>
          <w:highlight w:val="none"/>
          <w:lang w:val="en-US" w:eastAsia="zh-CN"/>
        </w:rPr>
        <w:t>有权</w:t>
      </w:r>
      <w:r>
        <w:rPr>
          <w:rStyle w:val="183"/>
          <w:rFonts w:hint="eastAsia" w:ascii="宋体" w:hAnsi="宋体" w:eastAsia="宋体" w:cs="宋体"/>
          <w:color w:val="auto"/>
          <w:sz w:val="21"/>
          <w:szCs w:val="21"/>
          <w:highlight w:val="none"/>
        </w:rPr>
        <w:t>解除合同并要求乙方承担相应赔偿责任，包括因此</w:t>
      </w:r>
      <w:r>
        <w:rPr>
          <w:rStyle w:val="183"/>
          <w:rFonts w:hint="eastAsia" w:ascii="宋体" w:hAnsi="宋体" w:eastAsia="宋体" w:cs="宋体"/>
          <w:color w:val="auto"/>
          <w:sz w:val="21"/>
          <w:szCs w:val="21"/>
          <w:highlight w:val="none"/>
          <w:lang w:val="en-US" w:eastAsia="zh-CN"/>
        </w:rPr>
        <w:t>造成</w:t>
      </w:r>
      <w:r>
        <w:rPr>
          <w:rStyle w:val="183"/>
          <w:rFonts w:hint="eastAsia" w:ascii="宋体" w:hAnsi="宋体" w:eastAsia="宋体" w:cs="宋体"/>
          <w:color w:val="auto"/>
          <w:sz w:val="21"/>
          <w:szCs w:val="21"/>
          <w:highlight w:val="none"/>
        </w:rPr>
        <w:t>甲方</w:t>
      </w:r>
      <w:r>
        <w:rPr>
          <w:rStyle w:val="183"/>
          <w:rFonts w:hint="eastAsia" w:ascii="宋体" w:hAnsi="宋体" w:eastAsia="宋体" w:cs="宋体"/>
          <w:color w:val="auto"/>
          <w:sz w:val="21"/>
          <w:szCs w:val="21"/>
          <w:highlight w:val="none"/>
          <w:lang w:val="en-US" w:eastAsia="zh-CN"/>
        </w:rPr>
        <w:t>被处罚的</w:t>
      </w:r>
      <w:r>
        <w:rPr>
          <w:rStyle w:val="183"/>
          <w:rFonts w:hint="eastAsia" w:ascii="宋体" w:hAnsi="宋体" w:eastAsia="宋体" w:cs="宋体"/>
          <w:color w:val="auto"/>
          <w:sz w:val="21"/>
          <w:szCs w:val="21"/>
          <w:highlight w:val="none"/>
        </w:rPr>
        <w:t xml:space="preserve">罚款、损失以及临时购买其他替代产品的差价。 </w:t>
      </w:r>
    </w:p>
    <w:p>
      <w:pPr>
        <w:pStyle w:val="182"/>
        <w:keepNext w:val="0"/>
        <w:keepLines w:val="0"/>
        <w:pageBreakBefore w:val="0"/>
        <w:kinsoku/>
        <w:wordWrap/>
        <w:overflowPunct/>
        <w:topLinePunct w:val="0"/>
        <w:autoSpaceDE/>
        <w:autoSpaceDN/>
        <w:bidi w:val="0"/>
        <w:adjustRightInd/>
        <w:snapToGrid/>
        <w:spacing w:line="480" w:lineRule="exact"/>
        <w:ind w:right="0" w:firstLine="420" w:firstLineChars="200"/>
        <w:textAlignment w:val="auto"/>
        <w:rPr>
          <w:rStyle w:val="183"/>
          <w:rFonts w:hint="default" w:ascii="宋体" w:hAnsi="宋体" w:eastAsia="宋体" w:cs="宋体"/>
          <w:color w:val="auto"/>
          <w:sz w:val="21"/>
          <w:szCs w:val="21"/>
          <w:highlight w:val="none"/>
          <w:lang w:val="en-US" w:eastAsia="zh-CN"/>
        </w:rPr>
      </w:pPr>
      <w:r>
        <w:rPr>
          <w:rStyle w:val="183"/>
          <w:rFonts w:hint="eastAsia" w:ascii="宋体" w:hAnsi="宋体" w:eastAsia="宋体" w:cs="宋体"/>
          <w:color w:val="auto"/>
          <w:sz w:val="21"/>
          <w:szCs w:val="21"/>
          <w:highlight w:val="none"/>
          <w:lang w:val="en-US" w:eastAsia="zh-CN"/>
        </w:rPr>
        <w:t>3.5   如甲方在使用乙方产品进行生产过程中出现生产技术问题，乙方应派遣技术人员在12小时内至甲方现场处理解决。</w:t>
      </w:r>
      <w:r>
        <w:rPr>
          <w:rStyle w:val="183"/>
          <w:rFonts w:hint="eastAsia" w:ascii="宋体" w:hAnsi="宋体" w:eastAsia="宋体" w:cs="宋体"/>
          <w:color w:val="auto"/>
          <w:sz w:val="21"/>
          <w:szCs w:val="21"/>
          <w:highlight w:val="none"/>
        </w:rPr>
        <w:t>乙方未按</w:t>
      </w:r>
      <w:r>
        <w:rPr>
          <w:rStyle w:val="183"/>
          <w:rFonts w:hint="eastAsia" w:ascii="宋体" w:hAnsi="宋体" w:eastAsia="宋体" w:cs="宋体"/>
          <w:color w:val="auto"/>
          <w:sz w:val="21"/>
          <w:szCs w:val="21"/>
          <w:highlight w:val="none"/>
          <w:lang w:val="en-US" w:eastAsia="zh-CN"/>
        </w:rPr>
        <w:t>规定</w:t>
      </w:r>
      <w:r>
        <w:rPr>
          <w:rStyle w:val="183"/>
          <w:rFonts w:hint="eastAsia" w:ascii="宋体" w:hAnsi="宋体" w:eastAsia="宋体" w:cs="宋体"/>
          <w:color w:val="auto"/>
          <w:sz w:val="21"/>
          <w:szCs w:val="21"/>
          <w:highlight w:val="none"/>
        </w:rPr>
        <w:t>的时间</w:t>
      </w:r>
      <w:r>
        <w:rPr>
          <w:rStyle w:val="183"/>
          <w:rFonts w:hint="eastAsia" w:ascii="宋体" w:hAnsi="宋体" w:eastAsia="宋体" w:cs="宋体"/>
          <w:color w:val="auto"/>
          <w:sz w:val="21"/>
          <w:szCs w:val="21"/>
          <w:highlight w:val="none"/>
          <w:lang w:val="en-US" w:eastAsia="zh-CN"/>
        </w:rPr>
        <w:t>派技术人员</w:t>
      </w:r>
      <w:r>
        <w:rPr>
          <w:rStyle w:val="183"/>
          <w:rFonts w:hint="eastAsia" w:ascii="宋体" w:hAnsi="宋体" w:eastAsia="宋体" w:cs="宋体"/>
          <w:color w:val="auto"/>
          <w:sz w:val="21"/>
          <w:szCs w:val="21"/>
          <w:highlight w:val="none"/>
        </w:rPr>
        <w:t>到</w:t>
      </w:r>
      <w:r>
        <w:rPr>
          <w:rStyle w:val="183"/>
          <w:rFonts w:hint="eastAsia" w:ascii="宋体" w:hAnsi="宋体" w:eastAsia="宋体" w:cs="宋体"/>
          <w:color w:val="auto"/>
          <w:sz w:val="21"/>
          <w:szCs w:val="21"/>
          <w:highlight w:val="none"/>
          <w:lang w:val="en-US" w:eastAsia="zh-CN"/>
        </w:rPr>
        <w:t>厂</w:t>
      </w:r>
      <w:r>
        <w:rPr>
          <w:rStyle w:val="183"/>
          <w:rFonts w:hint="eastAsia" w:ascii="宋体" w:hAnsi="宋体" w:eastAsia="宋体" w:cs="宋体"/>
          <w:color w:val="auto"/>
          <w:sz w:val="21"/>
          <w:szCs w:val="21"/>
          <w:highlight w:val="none"/>
        </w:rPr>
        <w:t>，每逾期</w:t>
      </w:r>
      <w:r>
        <w:rPr>
          <w:rStyle w:val="183"/>
          <w:rFonts w:hint="eastAsia" w:ascii="宋体" w:hAnsi="宋体" w:eastAsia="宋体" w:cs="宋体"/>
          <w:color w:val="auto"/>
          <w:sz w:val="21"/>
          <w:szCs w:val="21"/>
          <w:highlight w:val="none"/>
          <w:lang w:val="en-US" w:eastAsia="zh-CN"/>
        </w:rPr>
        <w:t>1小时</w:t>
      </w:r>
      <w:r>
        <w:rPr>
          <w:rStyle w:val="183"/>
          <w:rFonts w:hint="eastAsia" w:ascii="宋体" w:hAnsi="宋体" w:eastAsia="宋体" w:cs="宋体"/>
          <w:color w:val="auto"/>
          <w:sz w:val="21"/>
          <w:szCs w:val="21"/>
          <w:highlight w:val="none"/>
        </w:rPr>
        <w:t>，</w:t>
      </w:r>
      <w:r>
        <w:rPr>
          <w:rStyle w:val="183"/>
          <w:rFonts w:hint="eastAsia" w:ascii="宋体" w:hAnsi="宋体" w:eastAsia="宋体" w:cs="宋体"/>
          <w:color w:val="auto"/>
          <w:sz w:val="21"/>
          <w:szCs w:val="21"/>
          <w:highlight w:val="none"/>
          <w:lang w:val="en-US" w:eastAsia="zh-CN"/>
        </w:rPr>
        <w:t>乙方</w:t>
      </w:r>
      <w:r>
        <w:rPr>
          <w:rStyle w:val="183"/>
          <w:rFonts w:hint="eastAsia" w:ascii="宋体" w:hAnsi="宋体" w:eastAsia="宋体" w:cs="宋体"/>
          <w:color w:val="auto"/>
          <w:sz w:val="21"/>
          <w:szCs w:val="21"/>
          <w:highlight w:val="none"/>
        </w:rPr>
        <w:t>按照</w:t>
      </w:r>
      <w:r>
        <w:rPr>
          <w:rStyle w:val="183"/>
          <w:rFonts w:hint="eastAsia" w:ascii="宋体" w:hAnsi="宋体" w:eastAsia="宋体" w:cs="宋体"/>
          <w:color w:val="auto"/>
          <w:sz w:val="21"/>
          <w:szCs w:val="21"/>
          <w:highlight w:val="none"/>
          <w:lang w:val="en-US" w:eastAsia="zh-CN"/>
        </w:rPr>
        <w:t>甲方尚未给付</w:t>
      </w:r>
      <w:r>
        <w:rPr>
          <w:rStyle w:val="183"/>
          <w:rFonts w:hint="eastAsia" w:ascii="宋体" w:hAnsi="宋体" w:eastAsia="宋体" w:cs="宋体"/>
          <w:color w:val="auto"/>
          <w:sz w:val="21"/>
          <w:szCs w:val="21"/>
          <w:highlight w:val="none"/>
        </w:rPr>
        <w:t>产品价款金额的</w:t>
      </w:r>
      <w:r>
        <w:rPr>
          <w:rStyle w:val="183"/>
          <w:rFonts w:hint="eastAsia" w:ascii="宋体" w:hAnsi="宋体" w:eastAsia="宋体" w:cs="宋体"/>
          <w:color w:val="auto"/>
          <w:sz w:val="21"/>
          <w:szCs w:val="21"/>
          <w:highlight w:val="none"/>
          <w:u w:val="single"/>
          <w:lang w:val="en-US" w:eastAsia="zh-CN"/>
        </w:rPr>
        <w:t>5</w:t>
      </w:r>
      <w:r>
        <w:rPr>
          <w:rStyle w:val="183"/>
          <w:rFonts w:hint="eastAsia" w:ascii="宋体" w:hAnsi="宋体" w:eastAsia="宋体" w:cs="宋体"/>
          <w:color w:val="auto"/>
          <w:sz w:val="21"/>
          <w:szCs w:val="21"/>
          <w:highlight w:val="none"/>
          <w:u w:val="single"/>
        </w:rPr>
        <w:t xml:space="preserve"> </w:t>
      </w:r>
      <w:r>
        <w:rPr>
          <w:rStyle w:val="183"/>
          <w:rFonts w:hint="eastAsia" w:ascii="宋体" w:hAnsi="宋体" w:eastAsia="宋体" w:cs="宋体"/>
          <w:color w:val="auto"/>
          <w:sz w:val="21"/>
          <w:szCs w:val="21"/>
          <w:highlight w:val="none"/>
        </w:rPr>
        <w:t>%，向甲方支付赔偿金</w:t>
      </w:r>
      <w:r>
        <w:rPr>
          <w:rStyle w:val="183"/>
          <w:rFonts w:hint="eastAsia" w:ascii="宋体" w:hAnsi="宋体" w:eastAsia="宋体" w:cs="宋体"/>
          <w:color w:val="auto"/>
          <w:sz w:val="21"/>
          <w:szCs w:val="21"/>
          <w:highlight w:val="none"/>
          <w:lang w:eastAsia="zh-CN"/>
        </w:rPr>
        <w:t>，</w:t>
      </w:r>
      <w:r>
        <w:rPr>
          <w:rStyle w:val="183"/>
          <w:rFonts w:hint="eastAsia" w:ascii="宋体" w:hAnsi="宋体" w:eastAsia="宋体" w:cs="宋体"/>
          <w:color w:val="auto"/>
          <w:sz w:val="21"/>
          <w:szCs w:val="21"/>
          <w:highlight w:val="none"/>
          <w:lang w:val="en-US" w:eastAsia="zh-CN"/>
        </w:rPr>
        <w:t>以此类推</w:t>
      </w:r>
      <w:r>
        <w:rPr>
          <w:rStyle w:val="183"/>
          <w:rFonts w:hint="eastAsia" w:ascii="宋体" w:hAnsi="宋体" w:eastAsia="宋体" w:cs="宋体"/>
          <w:color w:val="auto"/>
          <w:sz w:val="21"/>
          <w:szCs w:val="21"/>
          <w:highlight w:val="none"/>
        </w:rPr>
        <w:t>。如乙方</w:t>
      </w:r>
      <w:r>
        <w:rPr>
          <w:rStyle w:val="183"/>
          <w:rFonts w:hint="eastAsia" w:ascii="宋体" w:hAnsi="宋体" w:eastAsia="宋体" w:cs="宋体"/>
          <w:color w:val="auto"/>
          <w:sz w:val="21"/>
          <w:szCs w:val="21"/>
          <w:highlight w:val="none"/>
          <w:lang w:val="en-US" w:eastAsia="zh-CN"/>
        </w:rPr>
        <w:t>技术人员</w:t>
      </w:r>
      <w:r>
        <w:rPr>
          <w:rStyle w:val="183"/>
          <w:rFonts w:hint="eastAsia" w:ascii="宋体" w:hAnsi="宋体" w:eastAsia="宋体" w:cs="宋体"/>
          <w:color w:val="auto"/>
          <w:sz w:val="21"/>
          <w:szCs w:val="21"/>
          <w:highlight w:val="none"/>
        </w:rPr>
        <w:t>超出</w:t>
      </w:r>
      <w:r>
        <w:rPr>
          <w:rStyle w:val="183"/>
          <w:rFonts w:hint="eastAsia" w:ascii="宋体" w:hAnsi="宋体" w:eastAsia="宋体" w:cs="宋体"/>
          <w:color w:val="auto"/>
          <w:sz w:val="21"/>
          <w:szCs w:val="21"/>
          <w:highlight w:val="none"/>
          <w:u w:val="single"/>
          <w:lang w:val="en-US" w:eastAsia="zh-CN"/>
        </w:rPr>
        <w:t>12</w:t>
      </w:r>
      <w:r>
        <w:rPr>
          <w:rStyle w:val="183"/>
          <w:rFonts w:hint="eastAsia" w:ascii="宋体" w:hAnsi="宋体" w:eastAsia="宋体" w:cs="宋体"/>
          <w:color w:val="auto"/>
          <w:sz w:val="21"/>
          <w:szCs w:val="21"/>
          <w:highlight w:val="none"/>
          <w:lang w:val="en-US" w:eastAsia="zh-CN"/>
        </w:rPr>
        <w:t>小时未到厂</w:t>
      </w:r>
      <w:r>
        <w:rPr>
          <w:rStyle w:val="183"/>
          <w:rFonts w:hint="eastAsia" w:ascii="宋体" w:hAnsi="宋体" w:eastAsia="宋体" w:cs="宋体"/>
          <w:color w:val="auto"/>
          <w:sz w:val="21"/>
          <w:szCs w:val="21"/>
          <w:highlight w:val="none"/>
        </w:rPr>
        <w:t>的，甲方</w:t>
      </w:r>
      <w:r>
        <w:rPr>
          <w:rStyle w:val="183"/>
          <w:rFonts w:hint="eastAsia" w:ascii="宋体" w:hAnsi="宋体" w:eastAsia="宋体" w:cs="宋体"/>
          <w:color w:val="auto"/>
          <w:sz w:val="21"/>
          <w:szCs w:val="21"/>
          <w:highlight w:val="none"/>
          <w:lang w:val="en-US" w:eastAsia="zh-CN"/>
        </w:rPr>
        <w:t>有权</w:t>
      </w:r>
      <w:r>
        <w:rPr>
          <w:rStyle w:val="183"/>
          <w:rFonts w:hint="eastAsia" w:ascii="宋体" w:hAnsi="宋体" w:eastAsia="宋体" w:cs="宋体"/>
          <w:color w:val="auto"/>
          <w:sz w:val="21"/>
          <w:szCs w:val="21"/>
          <w:highlight w:val="none"/>
        </w:rPr>
        <w:t>解除合同并要求乙方承担相应赔偿责任，包括因此</w:t>
      </w:r>
      <w:r>
        <w:rPr>
          <w:rStyle w:val="183"/>
          <w:rFonts w:hint="eastAsia" w:ascii="宋体" w:hAnsi="宋体" w:eastAsia="宋体" w:cs="宋体"/>
          <w:color w:val="auto"/>
          <w:sz w:val="21"/>
          <w:szCs w:val="21"/>
          <w:highlight w:val="none"/>
          <w:lang w:val="en-US" w:eastAsia="zh-CN"/>
        </w:rPr>
        <w:t>造成</w:t>
      </w:r>
      <w:r>
        <w:rPr>
          <w:rStyle w:val="183"/>
          <w:rFonts w:hint="eastAsia" w:ascii="宋体" w:hAnsi="宋体" w:eastAsia="宋体" w:cs="宋体"/>
          <w:color w:val="auto"/>
          <w:sz w:val="21"/>
          <w:szCs w:val="21"/>
          <w:highlight w:val="none"/>
        </w:rPr>
        <w:t>甲方</w:t>
      </w:r>
      <w:r>
        <w:rPr>
          <w:rStyle w:val="183"/>
          <w:rFonts w:hint="eastAsia" w:ascii="宋体" w:hAnsi="宋体" w:eastAsia="宋体" w:cs="宋体"/>
          <w:color w:val="auto"/>
          <w:sz w:val="21"/>
          <w:szCs w:val="21"/>
          <w:highlight w:val="none"/>
          <w:lang w:val="en-US" w:eastAsia="zh-CN"/>
        </w:rPr>
        <w:t>被处罚的</w:t>
      </w:r>
      <w:r>
        <w:rPr>
          <w:rStyle w:val="183"/>
          <w:rFonts w:hint="eastAsia" w:ascii="宋体" w:hAnsi="宋体" w:eastAsia="宋体" w:cs="宋体"/>
          <w:color w:val="auto"/>
          <w:sz w:val="21"/>
          <w:szCs w:val="21"/>
          <w:highlight w:val="none"/>
        </w:rPr>
        <w:t>罚款、损失以及临时购买其他替代产品的差价。</w:t>
      </w:r>
    </w:p>
    <w:p>
      <w:pPr>
        <w:pStyle w:val="182"/>
        <w:keepNext w:val="0"/>
        <w:keepLines w:val="0"/>
        <w:pageBreakBefore w:val="0"/>
        <w:kinsoku/>
        <w:wordWrap/>
        <w:overflowPunct/>
        <w:topLinePunct w:val="0"/>
        <w:autoSpaceDE/>
        <w:autoSpaceDN/>
        <w:bidi w:val="0"/>
        <w:adjustRightInd/>
        <w:snapToGrid/>
        <w:spacing w:line="480" w:lineRule="exact"/>
        <w:ind w:right="0" w:firstLine="422" w:firstLineChars="200"/>
        <w:textAlignment w:val="auto"/>
        <w:rPr>
          <w:rStyle w:val="183"/>
          <w:rFonts w:hint="eastAsia" w:ascii="宋体" w:hAnsi="宋体" w:eastAsia="宋体" w:cs="宋体"/>
          <w:b/>
          <w:bCs/>
          <w:color w:val="auto"/>
          <w:sz w:val="21"/>
          <w:szCs w:val="21"/>
          <w:highlight w:val="none"/>
        </w:rPr>
      </w:pPr>
      <w:r>
        <w:rPr>
          <w:rStyle w:val="183"/>
          <w:rFonts w:hint="eastAsia" w:ascii="宋体" w:hAnsi="宋体" w:eastAsia="宋体" w:cs="宋体"/>
          <w:b/>
          <w:bCs/>
          <w:color w:val="auto"/>
          <w:sz w:val="21"/>
          <w:szCs w:val="21"/>
          <w:highlight w:val="none"/>
        </w:rPr>
        <w:t>4.  检验及质量保证</w:t>
      </w:r>
    </w:p>
    <w:p>
      <w:pPr>
        <w:pStyle w:val="182"/>
        <w:keepNext w:val="0"/>
        <w:keepLines w:val="0"/>
        <w:pageBreakBefore w:val="0"/>
        <w:kinsoku/>
        <w:wordWrap/>
        <w:overflowPunct/>
        <w:topLinePunct w:val="0"/>
        <w:autoSpaceDE/>
        <w:autoSpaceDN/>
        <w:bidi w:val="0"/>
        <w:adjustRightInd/>
        <w:snapToGrid/>
        <w:spacing w:line="480" w:lineRule="exact"/>
        <w:ind w:right="0" w:firstLine="420" w:firstLineChars="200"/>
        <w:textAlignment w:val="auto"/>
        <w:rPr>
          <w:rStyle w:val="183"/>
          <w:rFonts w:hint="eastAsia" w:ascii="宋体" w:hAnsi="宋体" w:eastAsia="宋体" w:cs="宋体"/>
          <w:color w:val="auto"/>
          <w:sz w:val="21"/>
          <w:szCs w:val="21"/>
          <w:highlight w:val="none"/>
          <w:lang w:val="en-US" w:eastAsia="zh-CN"/>
        </w:rPr>
      </w:pPr>
      <w:r>
        <w:rPr>
          <w:rStyle w:val="183"/>
          <w:rFonts w:hint="eastAsia" w:ascii="宋体" w:hAnsi="宋体" w:eastAsia="宋体" w:cs="宋体"/>
          <w:color w:val="auto"/>
          <w:sz w:val="21"/>
          <w:szCs w:val="21"/>
          <w:highlight w:val="none"/>
        </w:rPr>
        <w:t>4.1 在乙方将本合同约定的产品按照本合同第3条的约定交付甲方后，甲方应首先及时对乙方送货的数量、型号进行清点、检查，并在乙方或承运人提供的送货单上签字。对于产品数量不符合本合同约定的，甲方有权只按照实际接收的数量签收。</w:t>
      </w:r>
      <w:r>
        <w:rPr>
          <w:rStyle w:val="183"/>
          <w:rFonts w:hint="eastAsia" w:ascii="宋体" w:hAnsi="宋体" w:eastAsia="宋体" w:cs="宋体"/>
          <w:color w:val="auto"/>
          <w:sz w:val="21"/>
          <w:szCs w:val="21"/>
          <w:highlight w:val="none"/>
          <w:lang w:val="en-US" w:eastAsia="zh-CN"/>
        </w:rPr>
        <w:t>甲方在收到货物后5个工作日内完成产品品质检测。</w:t>
      </w:r>
    </w:p>
    <w:p>
      <w:pPr>
        <w:pStyle w:val="182"/>
        <w:keepNext w:val="0"/>
        <w:keepLines w:val="0"/>
        <w:pageBreakBefore w:val="0"/>
        <w:kinsoku/>
        <w:wordWrap/>
        <w:overflowPunct/>
        <w:topLinePunct w:val="0"/>
        <w:autoSpaceDE/>
        <w:autoSpaceDN/>
        <w:bidi w:val="0"/>
        <w:adjustRightInd/>
        <w:snapToGrid/>
        <w:spacing w:line="480" w:lineRule="exact"/>
        <w:ind w:right="0" w:firstLine="420" w:firstLineChars="200"/>
        <w:textAlignment w:val="auto"/>
        <w:rPr>
          <w:rStyle w:val="183"/>
          <w:rFonts w:hint="eastAsia" w:ascii="宋体" w:hAnsi="宋体" w:eastAsia="宋体" w:cs="宋体"/>
          <w:color w:val="auto"/>
          <w:sz w:val="21"/>
          <w:szCs w:val="21"/>
          <w:highlight w:val="none"/>
          <w:lang w:val="en-US" w:eastAsia="zh-CN"/>
        </w:rPr>
      </w:pPr>
      <w:r>
        <w:rPr>
          <w:rStyle w:val="183"/>
          <w:rFonts w:hint="eastAsia" w:ascii="宋体" w:hAnsi="宋体" w:eastAsia="宋体" w:cs="宋体"/>
          <w:color w:val="auto"/>
          <w:sz w:val="21"/>
          <w:szCs w:val="21"/>
          <w:highlight w:val="none"/>
          <w:lang w:val="en-US" w:eastAsia="zh-CN"/>
        </w:rPr>
        <w:t>产品品质检测以甲方实验室检测结果为准。如乙方对检测结果存在疑议，则在接到甲方通知后按承诺时效安排甲乙双方均认可的有资质的第三方检测单位进行复测，因此复测涉及的全额费用（不限于检测费）由乙方承担。对于第三方检测单位出具的有效检测报告的结果双方均予以认可。</w:t>
      </w:r>
    </w:p>
    <w:p>
      <w:pPr>
        <w:pStyle w:val="182"/>
        <w:keepNext w:val="0"/>
        <w:keepLines w:val="0"/>
        <w:pageBreakBefore w:val="0"/>
        <w:kinsoku/>
        <w:wordWrap/>
        <w:overflowPunct/>
        <w:topLinePunct w:val="0"/>
        <w:autoSpaceDE/>
        <w:autoSpaceDN/>
        <w:bidi w:val="0"/>
        <w:adjustRightInd/>
        <w:snapToGrid/>
        <w:spacing w:line="480" w:lineRule="exact"/>
        <w:ind w:right="0" w:firstLine="420" w:firstLineChars="200"/>
        <w:textAlignment w:val="auto"/>
        <w:rPr>
          <w:rStyle w:val="183"/>
          <w:rFonts w:hint="eastAsia" w:ascii="宋体" w:hAnsi="宋体" w:eastAsia="宋体" w:cs="宋体"/>
          <w:color w:val="auto"/>
          <w:sz w:val="21"/>
          <w:szCs w:val="21"/>
          <w:highlight w:val="none"/>
        </w:rPr>
      </w:pPr>
      <w:r>
        <w:rPr>
          <w:rStyle w:val="183"/>
          <w:rFonts w:hint="eastAsia" w:ascii="宋体" w:hAnsi="宋体" w:eastAsia="宋体" w:cs="宋体"/>
          <w:color w:val="auto"/>
          <w:sz w:val="21"/>
          <w:szCs w:val="21"/>
          <w:highlight w:val="none"/>
        </w:rPr>
        <w:t>4.2 甲方接收产品后，应在本合同约定的检验期间内及时对产品进行质量检验。如</w:t>
      </w:r>
      <w:r>
        <w:rPr>
          <w:rStyle w:val="183"/>
          <w:rFonts w:hint="eastAsia" w:ascii="宋体" w:hAnsi="宋体" w:eastAsia="宋体" w:cs="宋体"/>
          <w:color w:val="auto"/>
          <w:sz w:val="21"/>
          <w:szCs w:val="21"/>
          <w:highlight w:val="none"/>
          <w:lang w:val="en-US" w:eastAsia="zh-CN"/>
        </w:rPr>
        <w:t>出现质量问题，按本合同约定条款执行。</w:t>
      </w:r>
      <w:r>
        <w:rPr>
          <w:rStyle w:val="183"/>
          <w:rFonts w:hint="eastAsia" w:ascii="宋体" w:hAnsi="宋体" w:eastAsia="宋体" w:cs="宋体"/>
          <w:color w:val="auto"/>
          <w:sz w:val="21"/>
          <w:szCs w:val="21"/>
          <w:highlight w:val="none"/>
        </w:rPr>
        <w:t xml:space="preserve"> </w:t>
      </w:r>
    </w:p>
    <w:p>
      <w:pPr>
        <w:pStyle w:val="182"/>
        <w:keepNext w:val="0"/>
        <w:keepLines w:val="0"/>
        <w:pageBreakBefore w:val="0"/>
        <w:kinsoku/>
        <w:wordWrap/>
        <w:overflowPunct/>
        <w:topLinePunct w:val="0"/>
        <w:autoSpaceDE/>
        <w:autoSpaceDN/>
        <w:bidi w:val="0"/>
        <w:adjustRightInd/>
        <w:snapToGrid/>
        <w:spacing w:line="480" w:lineRule="exact"/>
        <w:ind w:right="0" w:firstLine="420" w:firstLineChars="200"/>
        <w:textAlignment w:val="auto"/>
        <w:rPr>
          <w:rStyle w:val="183"/>
          <w:rFonts w:hint="eastAsia" w:ascii="宋体" w:hAnsi="宋体" w:eastAsia="宋体" w:cs="宋体"/>
          <w:color w:val="auto"/>
          <w:sz w:val="21"/>
          <w:szCs w:val="21"/>
          <w:highlight w:val="none"/>
          <w:lang w:val="en-US" w:eastAsia="zh-CN"/>
        </w:rPr>
      </w:pPr>
      <w:r>
        <w:rPr>
          <w:rStyle w:val="183"/>
          <w:rFonts w:hint="eastAsia" w:ascii="宋体" w:hAnsi="宋体" w:eastAsia="宋体" w:cs="宋体"/>
          <w:color w:val="auto"/>
          <w:sz w:val="21"/>
          <w:szCs w:val="21"/>
          <w:highlight w:val="none"/>
          <w:lang w:val="en-US" w:eastAsia="zh-CN"/>
        </w:rPr>
        <w:t>4.3乙方所供货物质量标准除满足本合同1.2条约定外，还应满足《污水综合排放标准》（GB8978-1996）中第一类污染物限值要求，且不含剧毒物质，否则甲方有权解除合同并要求乙方承担全部赔偿责任，包括但不限于因此造成甲方被处罚的罚款、损失以及临时购买其他替代产品的差价。</w:t>
      </w:r>
    </w:p>
    <w:p>
      <w:pPr>
        <w:pStyle w:val="182"/>
        <w:keepNext w:val="0"/>
        <w:keepLines w:val="0"/>
        <w:pageBreakBefore w:val="0"/>
        <w:kinsoku/>
        <w:wordWrap/>
        <w:overflowPunct/>
        <w:topLinePunct w:val="0"/>
        <w:autoSpaceDE/>
        <w:autoSpaceDN/>
        <w:bidi w:val="0"/>
        <w:adjustRightInd/>
        <w:snapToGrid/>
        <w:spacing w:line="480" w:lineRule="exact"/>
        <w:ind w:right="0" w:firstLine="420" w:firstLineChars="200"/>
        <w:textAlignment w:val="auto"/>
        <w:rPr>
          <w:rStyle w:val="183"/>
          <w:rFonts w:hint="default" w:ascii="宋体" w:hAnsi="宋体" w:eastAsia="宋体" w:cs="宋体"/>
          <w:color w:val="auto"/>
          <w:sz w:val="21"/>
          <w:szCs w:val="21"/>
          <w:highlight w:val="none"/>
          <w:lang w:val="en-US" w:eastAsia="zh-CN"/>
        </w:rPr>
      </w:pPr>
      <w:r>
        <w:rPr>
          <w:rStyle w:val="183"/>
          <w:rFonts w:hint="eastAsia" w:ascii="宋体" w:hAnsi="宋体" w:eastAsia="宋体" w:cs="宋体"/>
          <w:color w:val="auto"/>
          <w:sz w:val="21"/>
          <w:szCs w:val="21"/>
          <w:highlight w:val="none"/>
          <w:lang w:val="en-US" w:eastAsia="zh-CN"/>
        </w:rPr>
        <w:t>4.4乙方所供货物生产厂家应取得生产原辅料的经营使用资格，如乙方所供货物为非法生产的，甲方有权解除合同并要求乙方承担全部赔偿责任，包括但不限于因此造成甲方被处罚的罚款、损失以及临时购买其他替代产品的差价。</w:t>
      </w:r>
    </w:p>
    <w:p>
      <w:pPr>
        <w:pStyle w:val="182"/>
        <w:keepNext w:val="0"/>
        <w:keepLines w:val="0"/>
        <w:pageBreakBefore w:val="0"/>
        <w:kinsoku/>
        <w:wordWrap/>
        <w:overflowPunct/>
        <w:topLinePunct w:val="0"/>
        <w:autoSpaceDE/>
        <w:autoSpaceDN/>
        <w:bidi w:val="0"/>
        <w:adjustRightInd/>
        <w:snapToGrid/>
        <w:spacing w:line="480" w:lineRule="exact"/>
        <w:ind w:right="0" w:firstLine="422" w:firstLineChars="200"/>
        <w:textAlignment w:val="auto"/>
        <w:rPr>
          <w:rFonts w:hint="eastAsia" w:ascii="宋体" w:hAnsi="宋体" w:eastAsia="宋体" w:cs="宋体"/>
          <w:color w:val="auto"/>
          <w:sz w:val="21"/>
          <w:szCs w:val="21"/>
          <w:highlight w:val="none"/>
        </w:rPr>
      </w:pPr>
      <w:r>
        <w:rPr>
          <w:rStyle w:val="183"/>
          <w:rFonts w:hint="eastAsia" w:ascii="宋体" w:hAnsi="宋体" w:eastAsia="宋体" w:cs="宋体"/>
          <w:b/>
          <w:bCs/>
          <w:color w:val="auto"/>
          <w:sz w:val="21"/>
          <w:szCs w:val="21"/>
          <w:highlight w:val="none"/>
          <w:lang w:val="en-US" w:eastAsia="zh-CN"/>
        </w:rPr>
        <w:t>5</w:t>
      </w:r>
      <w:r>
        <w:rPr>
          <w:rStyle w:val="183"/>
          <w:rFonts w:hint="eastAsia" w:ascii="宋体" w:hAnsi="宋体" w:eastAsia="宋体" w:cs="宋体"/>
          <w:b/>
          <w:bCs/>
          <w:color w:val="auto"/>
          <w:sz w:val="21"/>
          <w:szCs w:val="21"/>
          <w:highlight w:val="none"/>
        </w:rPr>
        <w:t>.  违约责任</w:t>
      </w:r>
    </w:p>
    <w:p>
      <w:pPr>
        <w:pStyle w:val="182"/>
        <w:keepNext w:val="0"/>
        <w:keepLines w:val="0"/>
        <w:pageBreakBefore w:val="0"/>
        <w:kinsoku/>
        <w:wordWrap/>
        <w:overflowPunct/>
        <w:topLinePunct w:val="0"/>
        <w:autoSpaceDE/>
        <w:autoSpaceDN/>
        <w:bidi w:val="0"/>
        <w:adjustRightInd/>
        <w:snapToGrid/>
        <w:spacing w:line="480" w:lineRule="exact"/>
        <w:ind w:right="0" w:firstLine="420" w:firstLineChars="200"/>
        <w:textAlignment w:val="auto"/>
        <w:rPr>
          <w:rFonts w:hint="eastAsia" w:ascii="宋体" w:hAnsi="宋体" w:eastAsia="宋体" w:cs="宋体"/>
          <w:color w:val="auto"/>
          <w:sz w:val="21"/>
          <w:szCs w:val="21"/>
          <w:highlight w:val="none"/>
        </w:rPr>
      </w:pPr>
      <w:r>
        <w:rPr>
          <w:rStyle w:val="183"/>
          <w:rFonts w:hint="eastAsia" w:ascii="宋体" w:hAnsi="宋体" w:eastAsia="宋体" w:cs="宋体"/>
          <w:color w:val="auto"/>
          <w:sz w:val="21"/>
          <w:szCs w:val="21"/>
          <w:highlight w:val="none"/>
        </w:rPr>
        <w:t xml:space="preserve">甲、乙双方违反本合同任何一条之约定，即视为违约。违约方须向守约方承担相应的违约责任，并赔偿对守约方的经济损失。                          </w:t>
      </w:r>
    </w:p>
    <w:p>
      <w:pPr>
        <w:pStyle w:val="182"/>
        <w:keepNext w:val="0"/>
        <w:keepLines w:val="0"/>
        <w:pageBreakBefore w:val="0"/>
        <w:kinsoku/>
        <w:wordWrap/>
        <w:overflowPunct/>
        <w:topLinePunct w:val="0"/>
        <w:autoSpaceDE/>
        <w:autoSpaceDN/>
        <w:bidi w:val="0"/>
        <w:adjustRightInd/>
        <w:snapToGrid/>
        <w:spacing w:line="480" w:lineRule="exact"/>
        <w:ind w:right="0" w:firstLine="422" w:firstLineChars="200"/>
        <w:textAlignment w:val="auto"/>
        <w:rPr>
          <w:rFonts w:hint="eastAsia" w:ascii="宋体" w:hAnsi="宋体" w:eastAsia="宋体" w:cs="宋体"/>
          <w:color w:val="auto"/>
          <w:sz w:val="21"/>
          <w:szCs w:val="21"/>
          <w:highlight w:val="none"/>
        </w:rPr>
      </w:pPr>
      <w:r>
        <w:rPr>
          <w:rStyle w:val="183"/>
          <w:rFonts w:hint="eastAsia" w:ascii="宋体" w:hAnsi="宋体" w:eastAsia="宋体" w:cs="宋体"/>
          <w:b/>
          <w:bCs/>
          <w:color w:val="auto"/>
          <w:sz w:val="21"/>
          <w:szCs w:val="21"/>
          <w:highlight w:val="none"/>
          <w:lang w:val="en-US" w:eastAsia="zh-CN"/>
        </w:rPr>
        <w:t>6</w:t>
      </w:r>
      <w:r>
        <w:rPr>
          <w:rStyle w:val="183"/>
          <w:rFonts w:hint="eastAsia" w:ascii="宋体" w:hAnsi="宋体" w:eastAsia="宋体" w:cs="宋体"/>
          <w:b/>
          <w:bCs/>
          <w:color w:val="auto"/>
          <w:sz w:val="21"/>
          <w:szCs w:val="21"/>
          <w:highlight w:val="none"/>
        </w:rPr>
        <w:t>.  附则</w:t>
      </w:r>
    </w:p>
    <w:p>
      <w:pPr>
        <w:pStyle w:val="182"/>
        <w:keepNext w:val="0"/>
        <w:keepLines w:val="0"/>
        <w:pageBreakBefore w:val="0"/>
        <w:kinsoku/>
        <w:wordWrap/>
        <w:overflowPunct/>
        <w:topLinePunct w:val="0"/>
        <w:autoSpaceDE/>
        <w:autoSpaceDN/>
        <w:bidi w:val="0"/>
        <w:adjustRightInd/>
        <w:snapToGrid/>
        <w:spacing w:line="480" w:lineRule="exact"/>
        <w:ind w:right="0" w:firstLine="420" w:firstLineChars="200"/>
        <w:textAlignment w:val="auto"/>
        <w:rPr>
          <w:rFonts w:hint="eastAsia" w:ascii="宋体" w:hAnsi="宋体" w:eastAsia="宋体" w:cs="宋体"/>
          <w:color w:val="auto"/>
          <w:sz w:val="21"/>
          <w:szCs w:val="21"/>
          <w:highlight w:val="none"/>
        </w:rPr>
      </w:pPr>
      <w:r>
        <w:rPr>
          <w:rStyle w:val="183"/>
          <w:rFonts w:hint="eastAsia" w:ascii="宋体" w:hAnsi="宋体" w:eastAsia="宋体" w:cs="宋体"/>
          <w:color w:val="auto"/>
          <w:sz w:val="21"/>
          <w:szCs w:val="21"/>
          <w:highlight w:val="none"/>
          <w:lang w:val="en-US" w:eastAsia="zh-CN"/>
        </w:rPr>
        <w:t>6</w:t>
      </w:r>
      <w:r>
        <w:rPr>
          <w:rStyle w:val="183"/>
          <w:rFonts w:hint="eastAsia" w:ascii="宋体" w:hAnsi="宋体" w:eastAsia="宋体" w:cs="宋体"/>
          <w:color w:val="auto"/>
          <w:sz w:val="21"/>
          <w:szCs w:val="21"/>
          <w:highlight w:val="none"/>
        </w:rPr>
        <w:t>.1 本合同在甲方住所地签署， 合同双方在履行合同过程中发生争议的，双方首先应协商解决，协商不成时，提交甲方住所地人民法院诉讼解决。</w:t>
      </w:r>
    </w:p>
    <w:p>
      <w:pPr>
        <w:keepNext w:val="0"/>
        <w:keepLines w:val="0"/>
        <w:pageBreakBefore w:val="0"/>
        <w:numPr>
          <w:ilvl w:val="0"/>
          <w:numId w:val="0"/>
        </w:numPr>
        <w:kinsoku/>
        <w:wordWrap/>
        <w:overflowPunct/>
        <w:topLinePunct w:val="0"/>
        <w:autoSpaceDE/>
        <w:autoSpaceDN/>
        <w:bidi w:val="0"/>
        <w:adjustRightInd/>
        <w:snapToGrid/>
        <w:spacing w:line="480" w:lineRule="exact"/>
        <w:ind w:leftChars="0" w:right="0" w:firstLine="420" w:firstLineChars="200"/>
        <w:jc w:val="left"/>
        <w:textAlignment w:val="auto"/>
        <w:rPr>
          <w:rStyle w:val="183"/>
          <w:rFonts w:hint="eastAsia" w:ascii="宋体" w:hAnsi="宋体" w:eastAsia="宋体" w:cs="宋体"/>
          <w:color w:val="auto"/>
          <w:sz w:val="21"/>
          <w:szCs w:val="21"/>
          <w:highlight w:val="none"/>
          <w:lang w:val="en-US" w:eastAsia="zh-CN"/>
        </w:rPr>
      </w:pPr>
      <w:r>
        <w:rPr>
          <w:rStyle w:val="183"/>
          <w:rFonts w:hint="eastAsia" w:ascii="宋体" w:hAnsi="宋体" w:eastAsia="宋体" w:cs="宋体"/>
          <w:color w:val="auto"/>
          <w:sz w:val="21"/>
          <w:szCs w:val="21"/>
          <w:highlight w:val="none"/>
          <w:lang w:val="en-US" w:eastAsia="zh-CN"/>
        </w:rPr>
        <w:t>6</w:t>
      </w:r>
      <w:r>
        <w:rPr>
          <w:rStyle w:val="183"/>
          <w:rFonts w:hint="eastAsia" w:ascii="宋体" w:hAnsi="宋体" w:eastAsia="宋体" w:cs="宋体"/>
          <w:color w:val="auto"/>
          <w:sz w:val="21"/>
          <w:szCs w:val="21"/>
          <w:highlight w:val="none"/>
        </w:rPr>
        <w:t>.2</w:t>
      </w:r>
      <w:r>
        <w:rPr>
          <w:rStyle w:val="183"/>
          <w:rFonts w:hint="eastAsia" w:ascii="宋体" w:hAnsi="宋体" w:eastAsia="宋体" w:cs="宋体"/>
          <w:color w:val="auto"/>
          <w:sz w:val="21"/>
          <w:szCs w:val="21"/>
          <w:highlight w:val="none"/>
          <w:lang w:val="en-US" w:eastAsia="zh-CN"/>
        </w:rPr>
        <w:t>乙方执行合同期间，应遵守国家相关安全法规和甲方安全管理规定。如乙方工作人员未按此项安全规定执行，由此造成的任何财产损失、人员伤亡、事故纠纷等，则由乙方承担，甲方不承担任何责任</w:t>
      </w:r>
      <w:r>
        <w:rPr>
          <w:rFonts w:hint="eastAsia" w:ascii="宋体" w:hAnsi="宋体" w:eastAsia="宋体" w:cs="宋体"/>
          <w:color w:val="auto"/>
          <w:sz w:val="21"/>
          <w:szCs w:val="21"/>
          <w:highlight w:val="none"/>
          <w:lang w:val="en-US" w:eastAsia="zh-CN"/>
        </w:rPr>
        <w:t>。</w:t>
      </w:r>
    </w:p>
    <w:p>
      <w:pPr>
        <w:pStyle w:val="182"/>
        <w:keepNext w:val="0"/>
        <w:keepLines w:val="0"/>
        <w:pageBreakBefore w:val="0"/>
        <w:kinsoku/>
        <w:wordWrap/>
        <w:overflowPunct/>
        <w:topLinePunct w:val="0"/>
        <w:autoSpaceDE/>
        <w:autoSpaceDN/>
        <w:bidi w:val="0"/>
        <w:adjustRightInd/>
        <w:snapToGrid/>
        <w:spacing w:line="480" w:lineRule="exact"/>
        <w:ind w:right="0" w:firstLine="420" w:firstLineChars="200"/>
        <w:textAlignment w:val="auto"/>
        <w:rPr>
          <w:rFonts w:hint="eastAsia" w:ascii="宋体" w:hAnsi="宋体" w:eastAsia="宋体" w:cs="宋体"/>
          <w:color w:val="auto"/>
          <w:sz w:val="21"/>
          <w:szCs w:val="21"/>
          <w:highlight w:val="none"/>
        </w:rPr>
      </w:pPr>
      <w:r>
        <w:rPr>
          <w:rStyle w:val="183"/>
          <w:rFonts w:hint="eastAsia" w:ascii="宋体" w:hAnsi="宋体" w:eastAsia="宋体" w:cs="宋体"/>
          <w:color w:val="auto"/>
          <w:sz w:val="21"/>
          <w:szCs w:val="21"/>
          <w:highlight w:val="none"/>
          <w:lang w:val="en-US" w:eastAsia="zh-CN"/>
        </w:rPr>
        <w:t>6.3</w:t>
      </w:r>
      <w:r>
        <w:rPr>
          <w:rStyle w:val="183"/>
          <w:rFonts w:hint="eastAsia" w:ascii="宋体" w:hAnsi="宋体" w:eastAsia="宋体" w:cs="宋体"/>
          <w:color w:val="auto"/>
          <w:sz w:val="21"/>
          <w:szCs w:val="21"/>
          <w:highlight w:val="none"/>
        </w:rPr>
        <w:t>本合同自双方签字盖章之日起生效,一式肆份，双方各执贰份，具有同等法律效力。</w:t>
      </w:r>
      <w:r>
        <w:rPr>
          <w:rFonts w:hint="eastAsia" w:ascii="宋体" w:hAnsi="宋体" w:eastAsia="宋体" w:cs="宋体"/>
          <w:color w:val="auto"/>
          <w:sz w:val="21"/>
          <w:szCs w:val="21"/>
          <w:highlight w:val="none"/>
        </w:rPr>
        <w:t> </w:t>
      </w:r>
    </w:p>
    <w:p>
      <w:pPr>
        <w:pStyle w:val="182"/>
        <w:keepNext w:val="0"/>
        <w:keepLines w:val="0"/>
        <w:pageBreakBefore w:val="0"/>
        <w:kinsoku/>
        <w:wordWrap/>
        <w:overflowPunct/>
        <w:topLinePunct w:val="0"/>
        <w:autoSpaceDE/>
        <w:autoSpaceDN/>
        <w:bidi w:val="0"/>
        <w:adjustRightInd/>
        <w:snapToGrid/>
        <w:spacing w:line="480" w:lineRule="exact"/>
        <w:ind w:right="0"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以下无正文</w:t>
      </w:r>
      <w:r>
        <w:rPr>
          <w:rFonts w:hint="eastAsia" w:ascii="宋体" w:hAnsi="宋体" w:eastAsia="宋体" w:cs="宋体"/>
          <w:color w:val="auto"/>
          <w:sz w:val="21"/>
          <w:szCs w:val="21"/>
          <w:highlight w:val="none"/>
          <w:lang w:eastAsia="zh-CN"/>
        </w:rPr>
        <w:t>）</w:t>
      </w:r>
    </w:p>
    <w:p>
      <w:pPr>
        <w:pStyle w:val="182"/>
        <w:keepNext w:val="0"/>
        <w:keepLines w:val="0"/>
        <w:pageBreakBefore w:val="0"/>
        <w:kinsoku/>
        <w:wordWrap/>
        <w:overflowPunct/>
        <w:topLinePunct w:val="0"/>
        <w:autoSpaceDE/>
        <w:autoSpaceDN/>
        <w:bidi w:val="0"/>
        <w:spacing w:before="140" w:after="60" w:line="480" w:lineRule="exact"/>
        <w:ind w:right="-320"/>
        <w:rPr>
          <w:rFonts w:hint="eastAsia" w:ascii="宋体" w:hAnsi="宋体" w:eastAsia="宋体" w:cs="宋体"/>
          <w:color w:val="auto"/>
          <w:sz w:val="21"/>
          <w:szCs w:val="21"/>
          <w:highlight w:val="none"/>
          <w:lang w:eastAsia="zh-CN"/>
        </w:rPr>
      </w:pPr>
    </w:p>
    <w:p>
      <w:pPr>
        <w:pStyle w:val="182"/>
        <w:keepNext w:val="0"/>
        <w:keepLines w:val="0"/>
        <w:pageBreakBefore w:val="0"/>
        <w:kinsoku/>
        <w:wordWrap/>
        <w:overflowPunct/>
        <w:topLinePunct w:val="0"/>
        <w:autoSpaceDE/>
        <w:autoSpaceDN/>
        <w:bidi w:val="0"/>
        <w:adjustRightInd w:val="0"/>
        <w:snapToGrid w:val="0"/>
        <w:spacing w:line="480" w:lineRule="exact"/>
        <w:ind w:right="0" w:firstLine="630" w:firstLineChars="300"/>
        <w:textAlignment w:val="auto"/>
        <w:rPr>
          <w:rStyle w:val="183"/>
          <w:rFonts w:hint="eastAsia" w:ascii="宋体" w:hAnsi="宋体" w:eastAsia="宋体" w:cs="宋体"/>
          <w:color w:val="auto"/>
          <w:sz w:val="21"/>
          <w:szCs w:val="21"/>
          <w:highlight w:val="none"/>
          <w:lang w:val="en-US" w:eastAsia="zh-CN"/>
        </w:rPr>
      </w:pPr>
      <w:r>
        <w:rPr>
          <w:rStyle w:val="183"/>
          <w:rFonts w:hint="eastAsia" w:ascii="宋体" w:hAnsi="宋体" w:eastAsia="宋体" w:cs="宋体"/>
          <w:color w:val="auto"/>
          <w:sz w:val="21"/>
          <w:szCs w:val="21"/>
          <w:highlight w:val="none"/>
          <w:lang w:val="en-US" w:eastAsia="zh-CN"/>
        </w:rPr>
        <w:t>甲方：    （盖章）                乙方：    （盖章）</w:t>
      </w:r>
    </w:p>
    <w:p>
      <w:pPr>
        <w:pStyle w:val="182"/>
        <w:keepNext w:val="0"/>
        <w:keepLines w:val="0"/>
        <w:pageBreakBefore w:val="0"/>
        <w:kinsoku/>
        <w:wordWrap/>
        <w:overflowPunct/>
        <w:topLinePunct w:val="0"/>
        <w:autoSpaceDE/>
        <w:autoSpaceDN/>
        <w:bidi w:val="0"/>
        <w:adjustRightInd w:val="0"/>
        <w:snapToGrid w:val="0"/>
        <w:spacing w:line="480" w:lineRule="exact"/>
        <w:ind w:right="0" w:firstLine="630" w:firstLineChars="300"/>
        <w:textAlignment w:val="auto"/>
        <w:rPr>
          <w:rStyle w:val="183"/>
          <w:rFonts w:hint="eastAsia" w:ascii="宋体" w:hAnsi="宋体" w:eastAsia="宋体" w:cs="宋体"/>
          <w:color w:val="auto"/>
          <w:sz w:val="21"/>
          <w:szCs w:val="21"/>
          <w:highlight w:val="none"/>
          <w:lang w:val="en-US" w:eastAsia="zh-CN"/>
        </w:rPr>
      </w:pPr>
      <w:r>
        <w:rPr>
          <w:rStyle w:val="183"/>
          <w:rFonts w:hint="eastAsia" w:ascii="宋体" w:hAnsi="宋体" w:eastAsia="宋体" w:cs="宋体"/>
          <w:color w:val="auto"/>
          <w:sz w:val="21"/>
          <w:szCs w:val="21"/>
          <w:highlight w:val="none"/>
          <w:lang w:val="en-US" w:eastAsia="zh-CN"/>
        </w:rPr>
        <w:t>法定代表或授权代表：（签字）                法定代表或授权代表：（签字）</w:t>
      </w:r>
    </w:p>
    <w:p>
      <w:pPr>
        <w:pStyle w:val="25"/>
        <w:keepNext w:val="0"/>
        <w:keepLines w:val="0"/>
        <w:pageBreakBefore w:val="0"/>
        <w:kinsoku/>
        <w:wordWrap/>
        <w:overflowPunct/>
        <w:topLinePunct w:val="0"/>
        <w:autoSpaceDE/>
        <w:autoSpaceDN/>
        <w:bidi w:val="0"/>
        <w:snapToGrid w:val="0"/>
        <w:spacing w:beforeLines="0" w:afterLines="0" w:line="480" w:lineRule="exact"/>
        <w:ind w:firstLine="630" w:firstLineChars="300"/>
        <w:jc w:val="left"/>
        <w:rPr>
          <w:rFonts w:hint="eastAsia" w:ascii="宋体" w:hAnsi="宋体" w:eastAsia="宋体" w:cs="宋体"/>
          <w:color w:val="auto"/>
          <w:sz w:val="24"/>
          <w:szCs w:val="24"/>
          <w:highlight w:val="none"/>
        </w:rPr>
      </w:pPr>
      <w:r>
        <w:rPr>
          <w:rStyle w:val="183"/>
          <w:rFonts w:hint="eastAsia" w:ascii="宋体" w:hAnsi="宋体" w:eastAsia="宋体" w:cs="宋体"/>
          <w:color w:val="auto"/>
          <w:sz w:val="21"/>
          <w:szCs w:val="21"/>
          <w:highlight w:val="none"/>
          <w:lang w:val="en-US" w:eastAsia="zh-CN"/>
        </w:rPr>
        <w:t>签订日期：  年  月  日                 签订日期：  年  月  日</w:t>
      </w:r>
    </w:p>
    <w:p>
      <w:pPr>
        <w:spacing w:after="565" w:line="1" w:lineRule="exact"/>
        <w:rPr>
          <w:rFonts w:hint="eastAsia" w:ascii="宋体" w:hAnsi="宋体" w:eastAsia="宋体" w:cs="宋体"/>
          <w:color w:val="auto"/>
          <w:highlight w:val="none"/>
        </w:rPr>
      </w:pPr>
    </w:p>
    <w:p>
      <w:pPr>
        <w:spacing w:line="1" w:lineRule="exact"/>
        <w:rPr>
          <w:rFonts w:hint="eastAsia" w:ascii="宋体" w:hAnsi="宋体" w:eastAsia="宋体" w:cs="宋体"/>
          <w:color w:val="auto"/>
          <w:highlight w:val="none"/>
        </w:rPr>
        <w:sectPr>
          <w:footerReference r:id="rId3" w:type="default"/>
          <w:footerReference r:id="rId4" w:type="even"/>
          <w:pgSz w:w="11900" w:h="16840"/>
          <w:pgMar w:top="1440" w:right="1077" w:bottom="1440" w:left="1077" w:header="0" w:footer="992" w:gutter="0"/>
          <w:cols w:space="720" w:num="1"/>
          <w:docGrid w:linePitch="360" w:charSpace="0"/>
        </w:sectPr>
      </w:pPr>
    </w:p>
    <w:p>
      <w:pPr>
        <w:spacing w:before="30" w:after="30" w:line="240" w:lineRule="exact"/>
        <w:rPr>
          <w:rFonts w:hint="eastAsia" w:ascii="宋体" w:hAnsi="宋体" w:eastAsia="宋体" w:cs="宋体"/>
          <w:color w:val="auto"/>
          <w:sz w:val="19"/>
          <w:szCs w:val="19"/>
          <w:highlight w:val="none"/>
        </w:rPr>
      </w:pPr>
    </w:p>
    <w:p>
      <w:pPr>
        <w:spacing w:line="360" w:lineRule="exact"/>
        <w:ind w:firstLine="420" w:firstLineChars="200"/>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廉 政 合 同</w:t>
      </w:r>
    </w:p>
    <w:p>
      <w:pPr>
        <w:keepNext w:val="0"/>
        <w:keepLines w:val="0"/>
        <w:pageBreakBefore w:val="0"/>
        <w:kinsoku/>
        <w:wordWrap/>
        <w:overflowPunct/>
        <w:topLinePunct w:val="0"/>
        <w:autoSpaceDE/>
        <w:autoSpaceDN/>
        <w:bidi w:val="0"/>
        <w:adjustRightInd/>
        <w:snapToGrid/>
        <w:spacing w:line="480" w:lineRule="exact"/>
        <w:ind w:firstLine="420" w:firstLineChars="200"/>
        <w:textAlignment w:val="auto"/>
        <w:rPr>
          <w:rFonts w:hint="eastAsia" w:ascii="宋体" w:hAnsi="宋体" w:eastAsia="宋体" w:cs="宋体"/>
          <w:color w:val="auto"/>
          <w:kern w:val="0"/>
          <w:sz w:val="21"/>
          <w:szCs w:val="21"/>
          <w:highlight w:val="none"/>
          <w:u w:val="single"/>
        </w:rPr>
      </w:pPr>
      <w:r>
        <w:rPr>
          <w:rFonts w:hint="eastAsia" w:ascii="宋体" w:hAnsi="宋体" w:eastAsia="宋体" w:cs="宋体"/>
          <w:b/>
          <w:color w:val="auto"/>
          <w:sz w:val="21"/>
          <w:szCs w:val="21"/>
          <w:highlight w:val="none"/>
        </w:rPr>
        <w:t>项目名称：</w:t>
      </w:r>
    </w:p>
    <w:p>
      <w:pPr>
        <w:keepNext w:val="0"/>
        <w:keepLines w:val="0"/>
        <w:pageBreakBefore w:val="0"/>
        <w:widowControl/>
        <w:kinsoku/>
        <w:wordWrap/>
        <w:overflowPunct/>
        <w:topLinePunct w:val="0"/>
        <w:autoSpaceDE/>
        <w:autoSpaceDN/>
        <w:bidi w:val="0"/>
        <w:adjustRightInd/>
        <w:snapToGrid/>
        <w:spacing w:line="480" w:lineRule="exact"/>
        <w:ind w:firstLine="420" w:firstLineChars="200"/>
        <w:textAlignment w:val="auto"/>
        <w:rPr>
          <w:rFonts w:hint="eastAsia" w:ascii="宋体" w:hAnsi="宋体" w:eastAsia="宋体" w:cs="宋体"/>
          <w:color w:val="auto"/>
          <w:kern w:val="0"/>
          <w:sz w:val="21"/>
          <w:szCs w:val="21"/>
          <w:highlight w:val="none"/>
        </w:rPr>
      </w:pPr>
      <w:r>
        <w:rPr>
          <w:rFonts w:hint="eastAsia" w:ascii="宋体" w:hAnsi="宋体" w:eastAsia="宋体" w:cs="宋体"/>
          <w:b/>
          <w:color w:val="auto"/>
          <w:sz w:val="21"/>
          <w:szCs w:val="21"/>
          <w:highlight w:val="none"/>
        </w:rPr>
        <w:t>委托方：</w:t>
      </w:r>
      <w:r>
        <w:rPr>
          <w:rFonts w:hint="eastAsia" w:ascii="宋体" w:hAnsi="宋体" w:eastAsia="宋体" w:cs="宋体"/>
          <w:color w:val="auto"/>
          <w:kern w:val="0"/>
          <w:sz w:val="21"/>
          <w:szCs w:val="21"/>
          <w:highlight w:val="none"/>
        </w:rPr>
        <w:t>（以下简称甲方）</w:t>
      </w:r>
    </w:p>
    <w:p>
      <w:pPr>
        <w:keepNext w:val="0"/>
        <w:keepLines w:val="0"/>
        <w:pageBreakBefore w:val="0"/>
        <w:widowControl/>
        <w:kinsoku/>
        <w:wordWrap/>
        <w:overflowPunct/>
        <w:topLinePunct w:val="0"/>
        <w:autoSpaceDE/>
        <w:autoSpaceDN/>
        <w:bidi w:val="0"/>
        <w:adjustRightInd/>
        <w:snapToGrid/>
        <w:spacing w:line="480" w:lineRule="exact"/>
        <w:ind w:firstLine="420" w:firstLineChars="200"/>
        <w:textAlignment w:val="auto"/>
        <w:rPr>
          <w:rFonts w:hint="eastAsia" w:ascii="宋体" w:hAnsi="宋体" w:eastAsia="宋体" w:cs="宋体"/>
          <w:color w:val="auto"/>
          <w:kern w:val="0"/>
          <w:sz w:val="21"/>
          <w:szCs w:val="21"/>
          <w:highlight w:val="none"/>
        </w:rPr>
      </w:pPr>
      <w:r>
        <w:rPr>
          <w:rFonts w:hint="eastAsia" w:ascii="宋体" w:hAnsi="宋体" w:eastAsia="宋体" w:cs="宋体"/>
          <w:b/>
          <w:color w:val="auto"/>
          <w:sz w:val="21"/>
          <w:szCs w:val="21"/>
          <w:highlight w:val="none"/>
        </w:rPr>
        <w:t>受托方：</w:t>
      </w:r>
      <w:r>
        <w:rPr>
          <w:rFonts w:hint="eastAsia" w:ascii="宋体" w:hAnsi="宋体" w:eastAsia="宋体" w:cs="宋体"/>
          <w:color w:val="auto"/>
          <w:kern w:val="0"/>
          <w:sz w:val="21"/>
          <w:szCs w:val="21"/>
          <w:highlight w:val="none"/>
        </w:rPr>
        <w:t>（以下简称乙方）</w:t>
      </w:r>
    </w:p>
    <w:p>
      <w:pPr>
        <w:keepNext w:val="0"/>
        <w:keepLines w:val="0"/>
        <w:pageBreakBefore w:val="0"/>
        <w:kinsoku/>
        <w:wordWrap/>
        <w:overflowPunct/>
        <w:topLinePunct w:val="0"/>
        <w:autoSpaceDE/>
        <w:autoSpaceDN/>
        <w:bidi w:val="0"/>
        <w:adjustRightInd/>
        <w:snapToGrid/>
        <w:spacing w:line="48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为贯彻执行党风廉政法规，加强中的党风廉政建设，特订立本廉政合同。</w:t>
      </w:r>
    </w:p>
    <w:p>
      <w:pPr>
        <w:keepNext w:val="0"/>
        <w:keepLines w:val="0"/>
        <w:pageBreakBefore w:val="0"/>
        <w:kinsoku/>
        <w:wordWrap/>
        <w:overflowPunct/>
        <w:topLinePunct w:val="0"/>
        <w:autoSpaceDE/>
        <w:autoSpaceDN/>
        <w:bidi w:val="0"/>
        <w:adjustRightInd/>
        <w:snapToGrid/>
        <w:spacing w:line="48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一、甲乙双方约定</w:t>
      </w:r>
    </w:p>
    <w:p>
      <w:pPr>
        <w:keepNext w:val="0"/>
        <w:keepLines w:val="0"/>
        <w:pageBreakBefore w:val="0"/>
        <w:kinsoku/>
        <w:wordWrap/>
        <w:overflowPunct/>
        <w:topLinePunct w:val="0"/>
        <w:autoSpaceDE/>
        <w:autoSpaceDN/>
        <w:bidi w:val="0"/>
        <w:adjustRightInd/>
        <w:snapToGrid/>
        <w:spacing w:line="48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1、强化廉政意识，共同遵守《盐城市市场廉政准入规定（试行）》等党风廉政建设的各项规定。</w:t>
      </w:r>
    </w:p>
    <w:p>
      <w:pPr>
        <w:keepNext w:val="0"/>
        <w:keepLines w:val="0"/>
        <w:pageBreakBefore w:val="0"/>
        <w:kinsoku/>
        <w:wordWrap/>
        <w:overflowPunct/>
        <w:topLinePunct w:val="0"/>
        <w:autoSpaceDE/>
        <w:autoSpaceDN/>
        <w:bidi w:val="0"/>
        <w:adjustRightInd/>
        <w:snapToGrid/>
        <w:spacing w:line="480" w:lineRule="exact"/>
        <w:ind w:firstLine="420" w:firstLineChars="20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rPr>
        <w:t>2、认真执行</w:t>
      </w:r>
      <w:r>
        <w:rPr>
          <w:rFonts w:hint="eastAsia" w:ascii="宋体" w:hAnsi="宋体" w:eastAsia="宋体" w:cs="宋体"/>
          <w:color w:val="auto"/>
          <w:kern w:val="0"/>
          <w:sz w:val="21"/>
          <w:szCs w:val="21"/>
          <w:highlight w:val="none"/>
        </w:rPr>
        <w:t>合同文件，自觉按合同办事。</w:t>
      </w:r>
    </w:p>
    <w:p>
      <w:pPr>
        <w:keepNext w:val="0"/>
        <w:keepLines w:val="0"/>
        <w:pageBreakBefore w:val="0"/>
        <w:kinsoku/>
        <w:wordWrap/>
        <w:overflowPunct/>
        <w:topLinePunct w:val="0"/>
        <w:autoSpaceDE/>
        <w:autoSpaceDN/>
        <w:bidi w:val="0"/>
        <w:adjustRightInd/>
        <w:snapToGrid/>
        <w:spacing w:line="480" w:lineRule="exact"/>
        <w:ind w:firstLine="420" w:firstLineChars="20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3、除法定的商业秘密和合同文件另有规定之外，甲、乙双方的业务活动应坚持公开、公正、透明的原则，严谨损害国家和集体利益，以及违反法律、制度规定的不正当交易。</w:t>
      </w:r>
    </w:p>
    <w:p>
      <w:pPr>
        <w:keepNext w:val="0"/>
        <w:keepLines w:val="0"/>
        <w:pageBreakBefore w:val="0"/>
        <w:kinsoku/>
        <w:wordWrap/>
        <w:overflowPunct/>
        <w:topLinePunct w:val="0"/>
        <w:autoSpaceDE/>
        <w:autoSpaceDN/>
        <w:bidi w:val="0"/>
        <w:adjustRightInd/>
        <w:snapToGrid/>
        <w:spacing w:line="480" w:lineRule="exact"/>
        <w:ind w:firstLine="420" w:firstLineChars="20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4、加强本方人员的廉政监督，建立和健全廉政制度，认真查处违法违纪行为。</w:t>
      </w:r>
    </w:p>
    <w:p>
      <w:pPr>
        <w:keepNext w:val="0"/>
        <w:keepLines w:val="0"/>
        <w:pageBreakBefore w:val="0"/>
        <w:kinsoku/>
        <w:wordWrap/>
        <w:overflowPunct/>
        <w:topLinePunct w:val="0"/>
        <w:autoSpaceDE/>
        <w:autoSpaceDN/>
        <w:bidi w:val="0"/>
        <w:adjustRightInd/>
        <w:snapToGrid/>
        <w:spacing w:line="480" w:lineRule="exact"/>
        <w:ind w:firstLine="420" w:firstLineChars="20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5、对本方人员开展廉政告知、廉政教育和职业道德教育。</w:t>
      </w:r>
    </w:p>
    <w:p>
      <w:pPr>
        <w:keepNext w:val="0"/>
        <w:keepLines w:val="0"/>
        <w:pageBreakBefore w:val="0"/>
        <w:kinsoku/>
        <w:wordWrap/>
        <w:overflowPunct/>
        <w:topLinePunct w:val="0"/>
        <w:autoSpaceDE/>
        <w:autoSpaceDN/>
        <w:bidi w:val="0"/>
        <w:adjustRightInd/>
        <w:snapToGrid/>
        <w:spacing w:line="480" w:lineRule="exact"/>
        <w:ind w:firstLine="420" w:firstLineChars="20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6、如发现对方在业务活动中有违反廉政制度的行为，甲乙双方有及时提醒对方并督促其纠正的权利和义务。</w:t>
      </w:r>
    </w:p>
    <w:p>
      <w:pPr>
        <w:keepNext w:val="0"/>
        <w:keepLines w:val="0"/>
        <w:pageBreakBefore w:val="0"/>
        <w:kinsoku/>
        <w:wordWrap/>
        <w:overflowPunct/>
        <w:topLinePunct w:val="0"/>
        <w:autoSpaceDE/>
        <w:autoSpaceDN/>
        <w:bidi w:val="0"/>
        <w:adjustRightInd/>
        <w:snapToGrid/>
        <w:spacing w:line="480" w:lineRule="exact"/>
        <w:ind w:firstLine="420" w:firstLineChars="20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二、甲方在廉政建设方面的责任</w:t>
      </w:r>
    </w:p>
    <w:p>
      <w:pPr>
        <w:keepNext w:val="0"/>
        <w:keepLines w:val="0"/>
        <w:pageBreakBefore w:val="0"/>
        <w:kinsoku/>
        <w:wordWrap/>
        <w:overflowPunct/>
        <w:topLinePunct w:val="0"/>
        <w:autoSpaceDE/>
        <w:autoSpaceDN/>
        <w:bidi w:val="0"/>
        <w:adjustRightInd/>
        <w:snapToGrid/>
        <w:spacing w:line="480" w:lineRule="exact"/>
        <w:ind w:firstLine="420" w:firstLineChars="20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1、不得以任何形式向乙方索要和收受回扣。</w:t>
      </w:r>
    </w:p>
    <w:p>
      <w:pPr>
        <w:keepNext w:val="0"/>
        <w:keepLines w:val="0"/>
        <w:pageBreakBefore w:val="0"/>
        <w:kinsoku/>
        <w:wordWrap/>
        <w:overflowPunct/>
        <w:topLinePunct w:val="0"/>
        <w:autoSpaceDE/>
        <w:autoSpaceDN/>
        <w:bidi w:val="0"/>
        <w:adjustRightInd/>
        <w:snapToGrid/>
        <w:spacing w:line="480" w:lineRule="exact"/>
        <w:ind w:firstLine="420" w:firstLineChars="20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2、不得接受乙方礼金、礼品、有价证券和贵重物品，不得在乙方报销任何应由个人支付的费用。对无法推辞的礼金、礼品、有价证券和贵重物品应交见证部门登记。</w:t>
      </w:r>
    </w:p>
    <w:p>
      <w:pPr>
        <w:keepNext w:val="0"/>
        <w:keepLines w:val="0"/>
        <w:pageBreakBefore w:val="0"/>
        <w:kinsoku/>
        <w:wordWrap/>
        <w:overflowPunct/>
        <w:topLinePunct w:val="0"/>
        <w:autoSpaceDE/>
        <w:autoSpaceDN/>
        <w:bidi w:val="0"/>
        <w:adjustRightInd/>
        <w:snapToGrid/>
        <w:spacing w:line="480" w:lineRule="exact"/>
        <w:ind w:firstLine="420" w:firstLineChars="20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3、不得参加可能对公正执行公务有影响的宴请和娱乐、旅游活动。</w:t>
      </w:r>
    </w:p>
    <w:p>
      <w:pPr>
        <w:keepNext w:val="0"/>
        <w:keepLines w:val="0"/>
        <w:pageBreakBefore w:val="0"/>
        <w:kinsoku/>
        <w:wordWrap/>
        <w:overflowPunct/>
        <w:topLinePunct w:val="0"/>
        <w:autoSpaceDE/>
        <w:autoSpaceDN/>
        <w:bidi w:val="0"/>
        <w:adjustRightInd/>
        <w:snapToGrid/>
        <w:spacing w:line="480" w:lineRule="exact"/>
        <w:ind w:firstLine="420" w:firstLineChars="20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4、不得要求或者接受乙方为其住宅装修、婚丧嫁娶、家属子女的工作安排以及外出旅行等提供方便。</w:t>
      </w:r>
    </w:p>
    <w:p>
      <w:pPr>
        <w:keepNext w:val="0"/>
        <w:keepLines w:val="0"/>
        <w:pageBreakBefore w:val="0"/>
        <w:kinsoku/>
        <w:wordWrap/>
        <w:overflowPunct/>
        <w:topLinePunct w:val="0"/>
        <w:autoSpaceDE/>
        <w:autoSpaceDN/>
        <w:bidi w:val="0"/>
        <w:adjustRightInd/>
        <w:snapToGrid/>
        <w:spacing w:line="480" w:lineRule="exact"/>
        <w:ind w:firstLine="420" w:firstLineChars="20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5、不得向乙方介绍家属、亲友从事于甲方工程有关的材料设备供应、工程分包、劳务等经济活动。</w:t>
      </w:r>
    </w:p>
    <w:p>
      <w:pPr>
        <w:keepNext w:val="0"/>
        <w:keepLines w:val="0"/>
        <w:pageBreakBefore w:val="0"/>
        <w:kinsoku/>
        <w:wordWrap/>
        <w:overflowPunct/>
        <w:topLinePunct w:val="0"/>
        <w:autoSpaceDE/>
        <w:autoSpaceDN/>
        <w:bidi w:val="0"/>
        <w:adjustRightInd/>
        <w:snapToGrid/>
        <w:spacing w:line="480" w:lineRule="exact"/>
        <w:ind w:firstLine="420" w:firstLineChars="20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6、不得以任何理由向乙方强行推荐分包单位，不得强行要求乙方购买合同规定外的材料和设备。</w:t>
      </w:r>
    </w:p>
    <w:p>
      <w:pPr>
        <w:keepNext w:val="0"/>
        <w:keepLines w:val="0"/>
        <w:pageBreakBefore w:val="0"/>
        <w:kinsoku/>
        <w:wordWrap/>
        <w:overflowPunct/>
        <w:topLinePunct w:val="0"/>
        <w:autoSpaceDE/>
        <w:autoSpaceDN/>
        <w:bidi w:val="0"/>
        <w:adjustRightInd/>
        <w:snapToGrid/>
        <w:spacing w:line="480" w:lineRule="exact"/>
        <w:ind w:firstLine="420" w:firstLineChars="20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7、不得在家接待乙方有关招投标和采购供应事项等涉及公务的询访。</w:t>
      </w:r>
    </w:p>
    <w:p>
      <w:pPr>
        <w:keepNext w:val="0"/>
        <w:keepLines w:val="0"/>
        <w:pageBreakBefore w:val="0"/>
        <w:kinsoku/>
        <w:wordWrap/>
        <w:overflowPunct/>
        <w:topLinePunct w:val="0"/>
        <w:autoSpaceDE/>
        <w:autoSpaceDN/>
        <w:bidi w:val="0"/>
        <w:adjustRightInd/>
        <w:snapToGrid/>
        <w:spacing w:line="480" w:lineRule="exact"/>
        <w:ind w:firstLine="420" w:firstLineChars="20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8、不得有其他违反廉政规定的行为。</w:t>
      </w:r>
    </w:p>
    <w:p>
      <w:pPr>
        <w:keepNext w:val="0"/>
        <w:keepLines w:val="0"/>
        <w:pageBreakBefore w:val="0"/>
        <w:kinsoku/>
        <w:wordWrap/>
        <w:overflowPunct/>
        <w:topLinePunct w:val="0"/>
        <w:autoSpaceDE/>
        <w:autoSpaceDN/>
        <w:bidi w:val="0"/>
        <w:adjustRightInd/>
        <w:snapToGrid/>
        <w:spacing w:line="480" w:lineRule="exact"/>
        <w:ind w:firstLine="420" w:firstLineChars="20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三、乙方在廉政建设方面的责任</w:t>
      </w:r>
    </w:p>
    <w:p>
      <w:pPr>
        <w:keepNext w:val="0"/>
        <w:keepLines w:val="0"/>
        <w:pageBreakBefore w:val="0"/>
        <w:kinsoku/>
        <w:wordWrap/>
        <w:overflowPunct/>
        <w:topLinePunct w:val="0"/>
        <w:autoSpaceDE/>
        <w:autoSpaceDN/>
        <w:bidi w:val="0"/>
        <w:adjustRightInd/>
        <w:snapToGrid/>
        <w:spacing w:line="480" w:lineRule="exact"/>
        <w:ind w:firstLine="420" w:firstLineChars="20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1、不得以任何理由向甲方人员行贿或馈赠礼品、礼金和有价证券。</w:t>
      </w:r>
    </w:p>
    <w:p>
      <w:pPr>
        <w:keepNext w:val="0"/>
        <w:keepLines w:val="0"/>
        <w:pageBreakBefore w:val="0"/>
        <w:kinsoku/>
        <w:wordWrap/>
        <w:overflowPunct/>
        <w:topLinePunct w:val="0"/>
        <w:autoSpaceDE/>
        <w:autoSpaceDN/>
        <w:bidi w:val="0"/>
        <w:adjustRightInd/>
        <w:snapToGrid/>
        <w:spacing w:line="480" w:lineRule="exact"/>
        <w:ind w:firstLine="420" w:firstLineChars="20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2、不得以甲方人员报支应由其支付的任何费用。</w:t>
      </w:r>
    </w:p>
    <w:p>
      <w:pPr>
        <w:keepNext w:val="0"/>
        <w:keepLines w:val="0"/>
        <w:pageBreakBefore w:val="0"/>
        <w:kinsoku/>
        <w:wordWrap/>
        <w:overflowPunct/>
        <w:topLinePunct w:val="0"/>
        <w:autoSpaceDE/>
        <w:autoSpaceDN/>
        <w:bidi w:val="0"/>
        <w:adjustRightInd/>
        <w:snapToGrid/>
        <w:spacing w:line="480" w:lineRule="exact"/>
        <w:ind w:firstLine="420" w:firstLineChars="20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3、不得邀请甲方工作人员外出旅游和参加由公款支付的各项高消费娱乐性活动。</w:t>
      </w:r>
    </w:p>
    <w:p>
      <w:pPr>
        <w:keepNext w:val="0"/>
        <w:keepLines w:val="0"/>
        <w:pageBreakBefore w:val="0"/>
        <w:kinsoku/>
        <w:wordWrap/>
        <w:overflowPunct/>
        <w:topLinePunct w:val="0"/>
        <w:autoSpaceDE/>
        <w:autoSpaceDN/>
        <w:bidi w:val="0"/>
        <w:adjustRightInd/>
        <w:snapToGrid/>
        <w:spacing w:line="480" w:lineRule="exact"/>
        <w:ind w:firstLine="420" w:firstLineChars="20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4、不得为甲方单位和个人购置或者提供通讯工具、交通工具、家电和高档办公用品。</w:t>
      </w:r>
    </w:p>
    <w:p>
      <w:pPr>
        <w:keepNext w:val="0"/>
        <w:keepLines w:val="0"/>
        <w:pageBreakBefore w:val="0"/>
        <w:kinsoku/>
        <w:wordWrap/>
        <w:overflowPunct/>
        <w:topLinePunct w:val="0"/>
        <w:autoSpaceDE/>
        <w:autoSpaceDN/>
        <w:bidi w:val="0"/>
        <w:adjustRightInd/>
        <w:snapToGrid/>
        <w:spacing w:line="480" w:lineRule="exact"/>
        <w:ind w:firstLine="420" w:firstLineChars="20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5、不得到甲方人员家里询访有关招标和采购事项。</w:t>
      </w:r>
    </w:p>
    <w:p>
      <w:pPr>
        <w:keepNext w:val="0"/>
        <w:keepLines w:val="0"/>
        <w:pageBreakBefore w:val="0"/>
        <w:kinsoku/>
        <w:wordWrap/>
        <w:overflowPunct/>
        <w:topLinePunct w:val="0"/>
        <w:autoSpaceDE/>
        <w:autoSpaceDN/>
        <w:bidi w:val="0"/>
        <w:adjustRightInd/>
        <w:snapToGrid/>
        <w:spacing w:line="480" w:lineRule="exact"/>
        <w:ind w:firstLine="420" w:firstLineChars="20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6、不得谋取私利擅自与甲方人员就项目承包、物资采购、设备供应项目的费用等问题私下商谈或达成默契。</w:t>
      </w:r>
    </w:p>
    <w:p>
      <w:pPr>
        <w:keepNext w:val="0"/>
        <w:keepLines w:val="0"/>
        <w:pageBreakBefore w:val="0"/>
        <w:kinsoku/>
        <w:wordWrap/>
        <w:overflowPunct/>
        <w:topLinePunct w:val="0"/>
        <w:autoSpaceDE/>
        <w:autoSpaceDN/>
        <w:bidi w:val="0"/>
        <w:adjustRightInd/>
        <w:snapToGrid/>
        <w:spacing w:line="480" w:lineRule="exact"/>
        <w:ind w:firstLine="420" w:firstLineChars="20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7、不得有其他违反廉政规定行为。</w:t>
      </w:r>
    </w:p>
    <w:p>
      <w:pPr>
        <w:keepNext w:val="0"/>
        <w:keepLines w:val="0"/>
        <w:pageBreakBefore w:val="0"/>
        <w:kinsoku/>
        <w:wordWrap/>
        <w:overflowPunct/>
        <w:topLinePunct w:val="0"/>
        <w:autoSpaceDE/>
        <w:autoSpaceDN/>
        <w:bidi w:val="0"/>
        <w:adjustRightInd/>
        <w:snapToGrid/>
        <w:spacing w:line="480" w:lineRule="exact"/>
        <w:ind w:firstLine="420" w:firstLineChars="20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四、违约责任</w:t>
      </w:r>
    </w:p>
    <w:p>
      <w:pPr>
        <w:keepNext w:val="0"/>
        <w:keepLines w:val="0"/>
        <w:pageBreakBefore w:val="0"/>
        <w:kinsoku/>
        <w:wordWrap/>
        <w:overflowPunct/>
        <w:topLinePunct w:val="0"/>
        <w:autoSpaceDE/>
        <w:autoSpaceDN/>
        <w:bidi w:val="0"/>
        <w:adjustRightInd/>
        <w:snapToGrid/>
        <w:spacing w:line="480" w:lineRule="exact"/>
        <w:ind w:firstLine="420" w:firstLineChars="20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1、甲方有违反本合同第一条第1至第5款和第二条的，除按党风廉政建设规定进行责任追究和执行主管部门有关处罚规定外，另外支付违约金</w:t>
      </w:r>
      <w:r>
        <w:rPr>
          <w:rFonts w:hint="eastAsia" w:ascii="宋体" w:hAnsi="宋体" w:eastAsia="宋体" w:cs="宋体"/>
          <w:color w:val="auto"/>
          <w:kern w:val="0"/>
          <w:sz w:val="21"/>
          <w:szCs w:val="21"/>
          <w:highlight w:val="none"/>
          <w:u w:val="single"/>
        </w:rPr>
        <w:t>2000</w:t>
      </w:r>
      <w:r>
        <w:rPr>
          <w:rFonts w:hint="eastAsia" w:ascii="宋体" w:hAnsi="宋体" w:eastAsia="宋体" w:cs="宋体"/>
          <w:color w:val="auto"/>
          <w:kern w:val="0"/>
          <w:sz w:val="21"/>
          <w:szCs w:val="21"/>
          <w:highlight w:val="none"/>
        </w:rPr>
        <w:t>元；给乙方造成损失的应于赔偿。</w:t>
      </w:r>
    </w:p>
    <w:p>
      <w:pPr>
        <w:keepNext w:val="0"/>
        <w:keepLines w:val="0"/>
        <w:pageBreakBefore w:val="0"/>
        <w:kinsoku/>
        <w:wordWrap/>
        <w:overflowPunct/>
        <w:topLinePunct w:val="0"/>
        <w:autoSpaceDE/>
        <w:autoSpaceDN/>
        <w:bidi w:val="0"/>
        <w:adjustRightInd/>
        <w:snapToGrid/>
        <w:spacing w:line="48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2、乙方有违反本合同第一条第1至第5款和第三条的，</w:t>
      </w:r>
      <w:r>
        <w:rPr>
          <w:rFonts w:hint="eastAsia" w:ascii="宋体" w:hAnsi="宋体" w:eastAsia="宋体" w:cs="宋体"/>
          <w:color w:val="auto"/>
          <w:sz w:val="21"/>
          <w:szCs w:val="21"/>
          <w:highlight w:val="none"/>
        </w:rPr>
        <w:t>除按《盐城市市场廉政准入规定（试行）》和行政主管部门有关规定处罚外，视情节轻重给与项目总价的</w:t>
      </w:r>
      <w:r>
        <w:rPr>
          <w:rFonts w:hint="eastAsia" w:ascii="宋体" w:hAnsi="宋体" w:eastAsia="宋体" w:cs="宋体"/>
          <w:color w:val="auto"/>
          <w:sz w:val="21"/>
          <w:szCs w:val="21"/>
          <w:highlight w:val="none"/>
          <w:u w:val="single"/>
        </w:rPr>
        <w:t>5%</w:t>
      </w:r>
      <w:r>
        <w:rPr>
          <w:rFonts w:hint="eastAsia" w:ascii="宋体" w:hAnsi="宋体" w:eastAsia="宋体" w:cs="宋体"/>
          <w:color w:val="auto"/>
          <w:sz w:val="21"/>
          <w:szCs w:val="21"/>
          <w:highlight w:val="none"/>
        </w:rPr>
        <w:t>违约处罚，并承担由此造成的损失。</w:t>
      </w:r>
    </w:p>
    <w:p>
      <w:pPr>
        <w:keepNext w:val="0"/>
        <w:keepLines w:val="0"/>
        <w:pageBreakBefore w:val="0"/>
        <w:kinsoku/>
        <w:wordWrap/>
        <w:overflowPunct/>
        <w:topLinePunct w:val="0"/>
        <w:autoSpaceDE/>
        <w:autoSpaceDN/>
        <w:bidi w:val="0"/>
        <w:adjustRightInd/>
        <w:snapToGrid/>
        <w:spacing w:line="48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3、甲方双方凡违反本合同规定的均要视情节追究纪律责任，情节严重的已经移送司法机关处理。</w:t>
      </w:r>
    </w:p>
    <w:p>
      <w:pPr>
        <w:keepNext w:val="0"/>
        <w:keepLines w:val="0"/>
        <w:pageBreakBefore w:val="0"/>
        <w:kinsoku/>
        <w:wordWrap/>
        <w:overflowPunct/>
        <w:topLinePunct w:val="0"/>
        <w:autoSpaceDE/>
        <w:autoSpaceDN/>
        <w:bidi w:val="0"/>
        <w:adjustRightInd/>
        <w:snapToGrid/>
        <w:spacing w:line="48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五、见证单位的约定和授权</w:t>
      </w:r>
    </w:p>
    <w:p>
      <w:pPr>
        <w:keepNext w:val="0"/>
        <w:keepLines w:val="0"/>
        <w:pageBreakBefore w:val="0"/>
        <w:kinsoku/>
        <w:wordWrap/>
        <w:overflowPunct/>
        <w:topLinePunct w:val="0"/>
        <w:autoSpaceDE/>
        <w:autoSpaceDN/>
        <w:bidi w:val="0"/>
        <w:adjustRightInd/>
        <w:snapToGrid/>
        <w:spacing w:line="48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1、双方约定：本合同的见证单位为各单位的内设纪检组织、市纪委派驻纪检组或纪检监察机关和检查机关。双方授权见证单位组织 本合同执行情况的检查，提出在本合同在规定范围内的意见。</w:t>
      </w:r>
    </w:p>
    <w:p>
      <w:pPr>
        <w:keepNext w:val="0"/>
        <w:keepLines w:val="0"/>
        <w:pageBreakBefore w:val="0"/>
        <w:kinsoku/>
        <w:wordWrap/>
        <w:overflowPunct/>
        <w:topLinePunct w:val="0"/>
        <w:autoSpaceDE/>
        <w:autoSpaceDN/>
        <w:bidi w:val="0"/>
        <w:adjustRightInd/>
        <w:snapToGrid/>
        <w:spacing w:line="48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六、检查方式</w:t>
      </w:r>
    </w:p>
    <w:p>
      <w:pPr>
        <w:keepNext w:val="0"/>
        <w:keepLines w:val="0"/>
        <w:pageBreakBefore w:val="0"/>
        <w:kinsoku/>
        <w:wordWrap/>
        <w:overflowPunct/>
        <w:topLinePunct w:val="0"/>
        <w:autoSpaceDE/>
        <w:autoSpaceDN/>
        <w:bidi w:val="0"/>
        <w:adjustRightInd/>
        <w:snapToGrid/>
        <w:spacing w:line="48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本合同的履约情况检查由甲乙双方共同派人参加。检查方式为座谈、问卷、调查、查阅资料或其他约定方式。检查时间、次数、检查方式和检查结论、处罚意见由甲方依据事实确定或裁定。</w:t>
      </w:r>
    </w:p>
    <w:p>
      <w:pPr>
        <w:keepNext w:val="0"/>
        <w:keepLines w:val="0"/>
        <w:pageBreakBefore w:val="0"/>
        <w:kinsoku/>
        <w:wordWrap/>
        <w:overflowPunct/>
        <w:topLinePunct w:val="0"/>
        <w:autoSpaceDE/>
        <w:autoSpaceDN/>
        <w:bidi w:val="0"/>
        <w:adjustRightInd/>
        <w:snapToGrid/>
        <w:spacing w:line="48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七、本合同有效期自甲、乙双方签署之日起至该项目款项付清时止。</w:t>
      </w:r>
    </w:p>
    <w:p>
      <w:pPr>
        <w:keepNext w:val="0"/>
        <w:keepLines w:val="0"/>
        <w:pageBreakBefore w:val="0"/>
        <w:kinsoku/>
        <w:wordWrap/>
        <w:overflowPunct/>
        <w:topLinePunct w:val="0"/>
        <w:autoSpaceDE/>
        <w:autoSpaceDN/>
        <w:bidi w:val="0"/>
        <w:adjustRightInd/>
        <w:snapToGrid/>
        <w:spacing w:line="48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八、本合同作为合同的附件，于本合同具有同等法律效力。</w:t>
      </w:r>
    </w:p>
    <w:p>
      <w:pPr>
        <w:spacing w:line="360" w:lineRule="exact"/>
        <w:ind w:firstLine="420" w:firstLineChars="200"/>
        <w:rPr>
          <w:rFonts w:hint="eastAsia" w:ascii="宋体" w:hAnsi="宋体" w:eastAsia="宋体" w:cs="宋体"/>
          <w:color w:val="auto"/>
          <w:sz w:val="21"/>
          <w:szCs w:val="21"/>
          <w:highlight w:val="none"/>
        </w:rPr>
      </w:pPr>
    </w:p>
    <w:p>
      <w:pPr>
        <w:spacing w:line="360" w:lineRule="exact"/>
        <w:ind w:firstLine="420" w:firstLineChars="200"/>
        <w:rPr>
          <w:rFonts w:hint="eastAsia" w:ascii="宋体" w:hAnsi="宋体" w:eastAsia="宋体" w:cs="宋体"/>
          <w:color w:val="auto"/>
          <w:sz w:val="21"/>
          <w:szCs w:val="21"/>
          <w:highlight w:val="none"/>
        </w:rPr>
      </w:pPr>
    </w:p>
    <w:p>
      <w:pPr>
        <w:spacing w:line="360" w:lineRule="exact"/>
        <w:ind w:firstLine="630" w:firstLineChars="3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甲方：（盖章）                             乙方：（盖章）</w:t>
      </w:r>
    </w:p>
    <w:p>
      <w:pPr>
        <w:spacing w:line="360" w:lineRule="exact"/>
        <w:rPr>
          <w:rFonts w:hint="eastAsia" w:ascii="宋体" w:hAnsi="宋体" w:eastAsia="宋体" w:cs="宋体"/>
          <w:color w:val="auto"/>
          <w:sz w:val="21"/>
          <w:szCs w:val="21"/>
          <w:highlight w:val="none"/>
        </w:rPr>
      </w:pPr>
    </w:p>
    <w:p>
      <w:pPr>
        <w:spacing w:line="360" w:lineRule="exact"/>
        <w:ind w:firstLine="630" w:firstLineChars="3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法定代表人　　　　　　　　</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法定代表人</w:t>
      </w:r>
    </w:p>
    <w:p>
      <w:pPr>
        <w:spacing w:line="360" w:lineRule="exact"/>
        <w:ind w:firstLine="630" w:firstLineChars="3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或授权委托人：　　　　　　　　　　         或授权委托人：</w:t>
      </w:r>
    </w:p>
    <w:p>
      <w:pPr>
        <w:spacing w:line="360" w:lineRule="exact"/>
        <w:rPr>
          <w:rFonts w:hint="eastAsia" w:ascii="宋体" w:hAnsi="宋体" w:eastAsia="宋体" w:cs="宋体"/>
          <w:color w:val="auto"/>
          <w:sz w:val="21"/>
          <w:szCs w:val="21"/>
          <w:highlight w:val="none"/>
        </w:rPr>
      </w:pPr>
    </w:p>
    <w:p>
      <w:pPr>
        <w:spacing w:line="360" w:lineRule="exact"/>
        <w:ind w:firstLine="630" w:firstLineChars="3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地址：　　　　　　　　　　　               地址：</w:t>
      </w:r>
    </w:p>
    <w:p>
      <w:pPr>
        <w:spacing w:line="360" w:lineRule="exact"/>
        <w:rPr>
          <w:rFonts w:hint="eastAsia" w:ascii="宋体" w:hAnsi="宋体" w:eastAsia="宋体" w:cs="宋体"/>
          <w:color w:val="auto"/>
          <w:sz w:val="21"/>
          <w:szCs w:val="21"/>
          <w:highlight w:val="none"/>
        </w:rPr>
      </w:pPr>
    </w:p>
    <w:p>
      <w:pPr>
        <w:spacing w:line="360" w:lineRule="exact"/>
        <w:ind w:firstLine="630" w:firstLineChars="3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电话：　　　　　　　　　　　               电话：</w:t>
      </w:r>
    </w:p>
    <w:p>
      <w:pPr>
        <w:spacing w:line="360" w:lineRule="exac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 xml:space="preserve">  </w:t>
      </w:r>
    </w:p>
    <w:p>
      <w:pPr>
        <w:ind w:firstLine="630" w:firstLineChars="3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签订日期：　　年　月　日                   签订日期： 　年　月　日</w:t>
      </w:r>
    </w:p>
    <w:p>
      <w:pPr>
        <w:pStyle w:val="2"/>
        <w:spacing w:before="0" w:after="0" w:line="360" w:lineRule="auto"/>
        <w:rPr>
          <w:rFonts w:hint="eastAsia" w:ascii="宋体" w:hAnsi="宋体" w:eastAsia="宋体" w:cs="宋体"/>
          <w:color w:val="auto"/>
          <w:highlight w:val="none"/>
        </w:rPr>
      </w:pPr>
      <w:r>
        <w:rPr>
          <w:rFonts w:hint="eastAsia" w:ascii="宋体" w:hAnsi="宋体" w:eastAsia="宋体" w:cs="宋体"/>
          <w:color w:val="auto"/>
          <w:highlight w:val="none"/>
        </w:rPr>
        <w:br w:type="page"/>
      </w:r>
      <w:r>
        <w:rPr>
          <w:rFonts w:hint="eastAsia" w:ascii="宋体" w:hAnsi="宋体" w:eastAsia="宋体" w:cs="宋体"/>
          <w:color w:val="auto"/>
          <w:highlight w:val="none"/>
        </w:rPr>
        <w:t>第五章  招标需求</w:t>
      </w:r>
    </w:p>
    <w:p>
      <w:pPr>
        <w:spacing w:line="360" w:lineRule="auto"/>
        <w:jc w:val="left"/>
        <w:rPr>
          <w:rFonts w:hint="eastAsia" w:ascii="宋体" w:hAnsi="宋体" w:eastAsia="宋体" w:cs="宋体"/>
          <w:b/>
          <w:bCs/>
          <w:color w:val="auto"/>
          <w:spacing w:val="-5"/>
          <w:sz w:val="24"/>
          <w:szCs w:val="32"/>
          <w:highlight w:val="none"/>
        </w:rPr>
      </w:pPr>
      <w:r>
        <w:rPr>
          <w:rFonts w:hint="eastAsia" w:ascii="宋体" w:hAnsi="宋体" w:eastAsia="宋体" w:cs="宋体"/>
          <w:b/>
          <w:bCs/>
          <w:color w:val="auto"/>
          <w:spacing w:val="-5"/>
          <w:sz w:val="24"/>
          <w:szCs w:val="32"/>
          <w:highlight w:val="none"/>
        </w:rPr>
        <w:t>一、项目名称</w:t>
      </w:r>
    </w:p>
    <w:p>
      <w:pPr>
        <w:numPr>
          <w:ilvl w:val="0"/>
          <w:numId w:val="0"/>
        </w:numPr>
        <w:spacing w:line="360" w:lineRule="auto"/>
        <w:jc w:val="left"/>
        <w:rPr>
          <w:rFonts w:hint="eastAsia" w:ascii="宋体" w:hAnsi="宋体" w:eastAsia="宋体" w:cs="宋体"/>
          <w:color w:val="auto"/>
          <w:spacing w:val="-5"/>
          <w:sz w:val="22"/>
          <w:szCs w:val="22"/>
          <w:highlight w:val="none"/>
          <w:lang w:eastAsia="zh-CN"/>
        </w:rPr>
      </w:pPr>
      <w:r>
        <w:rPr>
          <w:rFonts w:hint="eastAsia" w:ascii="宋体" w:hAnsi="宋体" w:eastAsia="宋体" w:cs="宋体"/>
          <w:color w:val="auto"/>
          <w:spacing w:val="-5"/>
          <w:sz w:val="22"/>
          <w:szCs w:val="22"/>
          <w:highlight w:val="none"/>
          <w:lang w:eastAsia="zh-CN"/>
        </w:rPr>
        <w:t>沪苏、三龙污水</w:t>
      </w:r>
      <w:r>
        <w:rPr>
          <w:rFonts w:hint="eastAsia" w:ascii="宋体" w:hAnsi="宋体" w:eastAsia="宋体" w:cs="宋体"/>
          <w:color w:val="auto"/>
          <w:spacing w:val="-5"/>
          <w:sz w:val="22"/>
          <w:szCs w:val="22"/>
          <w:highlight w:val="none"/>
          <w:lang w:val="en-US" w:eastAsia="zh-CN"/>
        </w:rPr>
        <w:t>厂</w:t>
      </w:r>
      <w:r>
        <w:rPr>
          <w:rFonts w:hint="eastAsia" w:ascii="宋体" w:hAnsi="宋体" w:eastAsia="宋体" w:cs="宋体"/>
          <w:color w:val="auto"/>
          <w:spacing w:val="-5"/>
          <w:sz w:val="22"/>
          <w:szCs w:val="22"/>
          <w:highlight w:val="none"/>
          <w:lang w:eastAsia="zh-CN"/>
        </w:rPr>
        <w:t>复合碳源采购及相关服务项目</w:t>
      </w:r>
    </w:p>
    <w:p>
      <w:pPr>
        <w:numPr>
          <w:ilvl w:val="0"/>
          <w:numId w:val="0"/>
        </w:numPr>
        <w:spacing w:line="360" w:lineRule="auto"/>
        <w:jc w:val="left"/>
        <w:rPr>
          <w:rFonts w:hint="eastAsia" w:ascii="宋体" w:hAnsi="宋体" w:eastAsia="宋体" w:cs="宋体"/>
          <w:b/>
          <w:bCs/>
          <w:color w:val="auto"/>
          <w:spacing w:val="-5"/>
          <w:sz w:val="24"/>
          <w:szCs w:val="32"/>
          <w:highlight w:val="none"/>
          <w:lang w:val="en-US" w:eastAsia="zh-CN"/>
        </w:rPr>
      </w:pPr>
      <w:r>
        <w:rPr>
          <w:rFonts w:hint="eastAsia" w:ascii="宋体" w:hAnsi="宋体" w:eastAsia="宋体" w:cs="宋体"/>
          <w:b/>
          <w:bCs/>
          <w:color w:val="auto"/>
          <w:spacing w:val="-5"/>
          <w:kern w:val="2"/>
          <w:sz w:val="24"/>
          <w:szCs w:val="32"/>
          <w:highlight w:val="none"/>
          <w:lang w:val="en-US" w:eastAsia="zh-CN" w:bidi="ar-SA"/>
        </w:rPr>
        <w:t>二、</w:t>
      </w:r>
      <w:r>
        <w:rPr>
          <w:rFonts w:hint="eastAsia" w:ascii="宋体" w:hAnsi="宋体" w:eastAsia="宋体" w:cs="宋体"/>
          <w:b/>
          <w:bCs/>
          <w:color w:val="auto"/>
          <w:spacing w:val="-5"/>
          <w:sz w:val="24"/>
          <w:szCs w:val="32"/>
          <w:highlight w:val="none"/>
        </w:rPr>
        <w:t>货物</w:t>
      </w:r>
      <w:r>
        <w:rPr>
          <w:rFonts w:hint="eastAsia" w:ascii="宋体" w:hAnsi="宋体" w:eastAsia="宋体" w:cs="宋体"/>
          <w:b/>
          <w:bCs/>
          <w:color w:val="auto"/>
          <w:spacing w:val="-5"/>
          <w:sz w:val="24"/>
          <w:szCs w:val="32"/>
          <w:highlight w:val="none"/>
          <w:lang w:val="en-US" w:eastAsia="zh-CN"/>
        </w:rPr>
        <w:t>名称</w:t>
      </w:r>
      <w:r>
        <w:rPr>
          <w:rFonts w:hint="eastAsia" w:ascii="宋体" w:hAnsi="宋体" w:eastAsia="宋体" w:cs="宋体"/>
          <w:b/>
          <w:bCs/>
          <w:color w:val="auto"/>
          <w:spacing w:val="-5"/>
          <w:sz w:val="24"/>
          <w:szCs w:val="32"/>
          <w:highlight w:val="none"/>
        </w:rPr>
        <w:t>及</w:t>
      </w:r>
      <w:r>
        <w:rPr>
          <w:rFonts w:hint="eastAsia" w:ascii="宋体" w:hAnsi="宋体" w:eastAsia="宋体" w:cs="宋体"/>
          <w:b/>
          <w:bCs/>
          <w:color w:val="auto"/>
          <w:spacing w:val="-5"/>
          <w:sz w:val="24"/>
          <w:szCs w:val="32"/>
          <w:highlight w:val="none"/>
          <w:lang w:val="en-US" w:eastAsia="zh-CN"/>
        </w:rPr>
        <w:t>参数</w:t>
      </w:r>
    </w:p>
    <w:tbl>
      <w:tblPr>
        <w:tblStyle w:val="181"/>
        <w:tblW w:w="5013" w:type="pct"/>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0" w:type="dxa"/>
          <w:bottom w:w="0" w:type="dxa"/>
          <w:right w:w="0" w:type="dxa"/>
        </w:tblCellMar>
      </w:tblPr>
      <w:tblGrid>
        <w:gridCol w:w="3106"/>
        <w:gridCol w:w="667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1" w:hRule="atLeast"/>
        </w:trPr>
        <w:tc>
          <w:tcPr>
            <w:tcW w:w="1588" w:type="pct"/>
            <w:tcBorders>
              <w:bottom w:val="single" w:color="auto" w:sz="4" w:space="0"/>
            </w:tcBorders>
            <w:noWrap w:val="0"/>
            <w:vAlign w:val="center"/>
          </w:tcPr>
          <w:p>
            <w:pPr>
              <w:pStyle w:val="180"/>
              <w:spacing w:before="190" w:line="219" w:lineRule="auto"/>
              <w:jc w:val="center"/>
              <w:rPr>
                <w:rFonts w:hint="eastAsia" w:ascii="宋体" w:hAnsi="宋体" w:eastAsia="宋体" w:cs="宋体"/>
                <w:color w:val="auto"/>
                <w:sz w:val="21"/>
                <w:szCs w:val="21"/>
                <w:highlight w:val="none"/>
              </w:rPr>
            </w:pPr>
            <w:r>
              <w:rPr>
                <w:rFonts w:hint="eastAsia" w:ascii="宋体" w:hAnsi="宋体" w:eastAsia="宋体" w:cs="宋体"/>
                <w:color w:val="auto"/>
                <w:spacing w:val="-3"/>
                <w:sz w:val="21"/>
                <w:szCs w:val="21"/>
                <w:highlight w:val="none"/>
              </w:rPr>
              <w:t>药剂名称</w:t>
            </w:r>
          </w:p>
        </w:tc>
        <w:tc>
          <w:tcPr>
            <w:tcW w:w="3411" w:type="pct"/>
            <w:noWrap w:val="0"/>
            <w:vAlign w:val="center"/>
          </w:tcPr>
          <w:p>
            <w:pPr>
              <w:pStyle w:val="180"/>
              <w:spacing w:before="190" w:line="221" w:lineRule="auto"/>
              <w:jc w:val="center"/>
              <w:rPr>
                <w:rFonts w:hint="eastAsia" w:ascii="宋体" w:hAnsi="宋体" w:eastAsia="宋体" w:cs="宋体"/>
                <w:color w:val="auto"/>
                <w:sz w:val="21"/>
                <w:szCs w:val="21"/>
                <w:highlight w:val="none"/>
              </w:rPr>
            </w:pPr>
            <w:r>
              <w:rPr>
                <w:rFonts w:hint="eastAsia" w:ascii="宋体" w:hAnsi="宋体" w:eastAsia="宋体" w:cs="宋体"/>
                <w:color w:val="auto"/>
                <w:spacing w:val="-4"/>
                <w:sz w:val="21"/>
                <w:szCs w:val="21"/>
                <w:highlight w:val="none"/>
              </w:rPr>
              <w:t>复合碳源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77" w:hRule="atLeast"/>
        </w:trPr>
        <w:tc>
          <w:tcPr>
            <w:tcW w:w="1588" w:type="pct"/>
            <w:tcBorders>
              <w:top w:val="single" w:color="auto" w:sz="4" w:space="0"/>
              <w:left w:val="single" w:color="auto" w:sz="4" w:space="0"/>
              <w:bottom w:val="single" w:color="auto" w:sz="4" w:space="0"/>
              <w:right w:val="single" w:color="auto" w:sz="4" w:space="0"/>
            </w:tcBorders>
            <w:noWrap w:val="0"/>
            <w:vAlign w:val="top"/>
          </w:tcPr>
          <w:p>
            <w:pPr>
              <w:spacing w:line="307" w:lineRule="auto"/>
              <w:rPr>
                <w:rFonts w:hint="eastAsia" w:ascii="宋体" w:hAnsi="宋体" w:eastAsia="宋体" w:cs="宋体"/>
                <w:color w:val="auto"/>
                <w:sz w:val="21"/>
                <w:szCs w:val="21"/>
                <w:highlight w:val="none"/>
              </w:rPr>
            </w:pPr>
          </w:p>
          <w:p>
            <w:pPr>
              <w:spacing w:line="308" w:lineRule="auto"/>
              <w:rPr>
                <w:rFonts w:hint="eastAsia" w:ascii="宋体" w:hAnsi="宋体" w:eastAsia="宋体" w:cs="宋体"/>
                <w:color w:val="auto"/>
                <w:sz w:val="21"/>
                <w:szCs w:val="21"/>
                <w:highlight w:val="none"/>
              </w:rPr>
            </w:pPr>
          </w:p>
          <w:p>
            <w:pPr>
              <w:pStyle w:val="180"/>
              <w:spacing w:before="71" w:line="22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pacing w:val="-4"/>
                <w:sz w:val="21"/>
                <w:szCs w:val="21"/>
                <w:highlight w:val="none"/>
              </w:rPr>
              <w:t>规格</w:t>
            </w:r>
          </w:p>
        </w:tc>
        <w:tc>
          <w:tcPr>
            <w:tcW w:w="3411" w:type="pct"/>
            <w:tcBorders>
              <w:left w:val="single" w:color="auto" w:sz="4" w:space="0"/>
            </w:tcBorders>
            <w:noWrap w:val="0"/>
            <w:vAlign w:val="top"/>
          </w:tcPr>
          <w:p>
            <w:pPr>
              <w:pStyle w:val="180"/>
              <w:spacing w:before="47" w:line="217" w:lineRule="auto"/>
              <w:rPr>
                <w:rFonts w:hint="eastAsia" w:ascii="宋体" w:hAnsi="宋体" w:eastAsia="宋体" w:cs="宋体"/>
                <w:color w:val="auto"/>
                <w:sz w:val="21"/>
                <w:szCs w:val="21"/>
                <w:highlight w:val="none"/>
              </w:rPr>
            </w:pPr>
          </w:p>
          <w:p>
            <w:pPr>
              <w:rPr>
                <w:rFonts w:hint="eastAsia" w:ascii="宋体" w:hAnsi="宋体" w:eastAsia="宋体" w:cs="宋体"/>
                <w:color w:val="auto"/>
                <w:highlight w:val="none"/>
              </w:rPr>
            </w:pPr>
            <w:r>
              <w:rPr>
                <w:rFonts w:hint="eastAsia" w:ascii="宋体" w:hAnsi="宋体" w:eastAsia="宋体" w:cs="宋体"/>
                <w:color w:val="auto"/>
                <w:spacing w:val="-4"/>
                <w:kern w:val="2"/>
                <w:sz w:val="21"/>
                <w:szCs w:val="21"/>
                <w:highlight w:val="none"/>
                <w:lang w:val="en-US" w:eastAsia="en-US" w:bidi="ar-SA"/>
              </w:rPr>
              <w:t>COD(mg/L)≥25万，外观：淡黄色或无色透明液体，密度(g/mL)1.05-1.15,总磷(mg/L)﹤5，总氮(mg/L)﹤50,残留 COD/ΔN﹤0.1,NH3-N≤10mg/L</w:t>
            </w:r>
          </w:p>
          <w:p>
            <w:pPr>
              <w:tabs>
                <w:tab w:val="left" w:pos="1128"/>
              </w:tabs>
              <w:bidi w:val="0"/>
              <w:jc w:val="left"/>
              <w:rPr>
                <w:rFonts w:hint="eastAsia" w:ascii="宋体" w:hAnsi="宋体" w:eastAsia="宋体" w:cs="宋体"/>
                <w:color w:val="auto"/>
                <w:highlight w:val="none"/>
                <w:lang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2" w:hRule="atLeast"/>
        </w:trPr>
        <w:tc>
          <w:tcPr>
            <w:tcW w:w="1588" w:type="pct"/>
            <w:tcBorders>
              <w:top w:val="single" w:color="auto" w:sz="4" w:space="0"/>
              <w:left w:val="single" w:color="auto" w:sz="4" w:space="0"/>
              <w:bottom w:val="single" w:color="auto" w:sz="4" w:space="0"/>
              <w:right w:val="single" w:color="auto" w:sz="4" w:space="0"/>
            </w:tcBorders>
            <w:noWrap w:val="0"/>
            <w:vAlign w:val="top"/>
          </w:tcPr>
          <w:p>
            <w:pPr>
              <w:pStyle w:val="180"/>
              <w:spacing w:before="242" w:line="222" w:lineRule="auto"/>
              <w:jc w:val="center"/>
              <w:rPr>
                <w:rFonts w:hint="eastAsia" w:ascii="宋体" w:hAnsi="宋体" w:eastAsia="宋体" w:cs="宋体"/>
                <w:color w:val="auto"/>
                <w:sz w:val="21"/>
                <w:szCs w:val="21"/>
                <w:highlight w:val="none"/>
              </w:rPr>
            </w:pPr>
            <w:r>
              <w:rPr>
                <w:rFonts w:hint="eastAsia" w:ascii="宋体" w:hAnsi="宋体" w:eastAsia="宋体" w:cs="宋体"/>
                <w:color w:val="auto"/>
                <w:spacing w:val="-5"/>
                <w:sz w:val="21"/>
                <w:szCs w:val="21"/>
                <w:highlight w:val="none"/>
              </w:rPr>
              <w:t>用途</w:t>
            </w:r>
          </w:p>
        </w:tc>
        <w:tc>
          <w:tcPr>
            <w:tcW w:w="3411" w:type="pct"/>
            <w:tcBorders>
              <w:left w:val="single" w:color="auto" w:sz="4" w:space="0"/>
            </w:tcBorders>
            <w:noWrap w:val="0"/>
            <w:vAlign w:val="top"/>
          </w:tcPr>
          <w:p>
            <w:pPr>
              <w:pStyle w:val="180"/>
              <w:spacing w:before="242" w:line="22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pacing w:val="-4"/>
                <w:sz w:val="21"/>
                <w:szCs w:val="21"/>
                <w:highlight w:val="none"/>
              </w:rPr>
              <w:t>培菌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3" w:hRule="atLeast"/>
        </w:trPr>
        <w:tc>
          <w:tcPr>
            <w:tcW w:w="1588" w:type="pct"/>
            <w:tcBorders>
              <w:top w:val="single" w:color="auto" w:sz="4" w:space="0"/>
              <w:bottom w:val="single" w:color="auto" w:sz="4" w:space="0"/>
            </w:tcBorders>
            <w:noWrap w:val="0"/>
            <w:vAlign w:val="top"/>
          </w:tcPr>
          <w:p>
            <w:pPr>
              <w:pStyle w:val="180"/>
              <w:spacing w:before="51" w:line="22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pacing w:val="-2"/>
                <w:sz w:val="21"/>
                <w:szCs w:val="21"/>
                <w:highlight w:val="none"/>
              </w:rPr>
              <w:t>预计年用量</w:t>
            </w:r>
          </w:p>
          <w:p>
            <w:pPr>
              <w:pStyle w:val="180"/>
              <w:spacing w:before="49" w:line="218" w:lineRule="auto"/>
              <w:jc w:val="center"/>
              <w:rPr>
                <w:rFonts w:hint="eastAsia" w:ascii="宋体" w:hAnsi="宋体" w:eastAsia="宋体" w:cs="宋体"/>
                <w:color w:val="auto"/>
                <w:sz w:val="21"/>
                <w:szCs w:val="21"/>
                <w:highlight w:val="none"/>
              </w:rPr>
            </w:pPr>
            <w:r>
              <w:rPr>
                <w:rFonts w:hint="eastAsia" w:ascii="宋体" w:hAnsi="宋体" w:eastAsia="宋体" w:cs="宋体"/>
                <w:color w:val="auto"/>
                <w:spacing w:val="-5"/>
                <w:sz w:val="21"/>
                <w:szCs w:val="21"/>
                <w:highlight w:val="none"/>
              </w:rPr>
              <w:t>（吨）</w:t>
            </w:r>
          </w:p>
        </w:tc>
        <w:tc>
          <w:tcPr>
            <w:tcW w:w="3411" w:type="pct"/>
            <w:noWrap w:val="0"/>
            <w:vAlign w:val="top"/>
          </w:tcPr>
          <w:p>
            <w:pPr>
              <w:pStyle w:val="180"/>
              <w:spacing w:before="241" w:line="184" w:lineRule="auto"/>
              <w:jc w:val="center"/>
              <w:rPr>
                <w:rFonts w:hint="eastAsia" w:ascii="宋体" w:hAnsi="宋体" w:eastAsia="宋体" w:cs="宋体"/>
                <w:color w:val="auto"/>
                <w:sz w:val="21"/>
                <w:szCs w:val="21"/>
                <w:highlight w:val="none"/>
              </w:rPr>
            </w:pPr>
            <w:r>
              <w:rPr>
                <w:rFonts w:hint="eastAsia" w:ascii="宋体" w:hAnsi="宋体" w:eastAsia="宋体" w:cs="宋体"/>
                <w:color w:val="auto"/>
                <w:spacing w:val="-5"/>
                <w:sz w:val="21"/>
                <w:szCs w:val="21"/>
                <w:highlight w:val="none"/>
                <w:lang w:val="en-US" w:eastAsia="zh-CN"/>
              </w:rPr>
              <w:t>1128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3" w:hRule="atLeast"/>
        </w:trPr>
        <w:tc>
          <w:tcPr>
            <w:tcW w:w="1588" w:type="pct"/>
            <w:tcBorders>
              <w:top w:val="single" w:color="auto" w:sz="4" w:space="0"/>
              <w:bottom w:val="single" w:color="auto" w:sz="4" w:space="0"/>
            </w:tcBorders>
            <w:noWrap w:val="0"/>
            <w:vAlign w:val="center"/>
          </w:tcPr>
          <w:p>
            <w:pPr>
              <w:pStyle w:val="180"/>
              <w:spacing w:before="49" w:line="218" w:lineRule="auto"/>
              <w:jc w:val="center"/>
              <w:rPr>
                <w:rFonts w:hint="default" w:ascii="宋体" w:hAnsi="宋体" w:eastAsia="宋体" w:cs="宋体"/>
                <w:color w:val="auto"/>
                <w:spacing w:val="-5"/>
                <w:sz w:val="21"/>
                <w:szCs w:val="21"/>
                <w:highlight w:val="none"/>
                <w:lang w:val="en-US" w:eastAsia="zh-CN"/>
              </w:rPr>
            </w:pPr>
            <w:r>
              <w:rPr>
                <w:rFonts w:hint="eastAsia" w:cs="宋体"/>
                <w:color w:val="auto"/>
                <w:spacing w:val="-5"/>
                <w:sz w:val="21"/>
                <w:szCs w:val="21"/>
                <w:highlight w:val="none"/>
                <w:lang w:val="en-US" w:eastAsia="zh-CN"/>
              </w:rPr>
              <w:t>单次送货量（吨）</w:t>
            </w:r>
          </w:p>
        </w:tc>
        <w:tc>
          <w:tcPr>
            <w:tcW w:w="3411" w:type="pct"/>
            <w:noWrap w:val="0"/>
            <w:vAlign w:val="top"/>
          </w:tcPr>
          <w:p>
            <w:pPr>
              <w:pStyle w:val="180"/>
              <w:spacing w:before="241" w:line="184" w:lineRule="auto"/>
              <w:jc w:val="center"/>
              <w:rPr>
                <w:rFonts w:hint="default" w:ascii="宋体" w:hAnsi="宋体" w:eastAsia="宋体" w:cs="宋体"/>
                <w:color w:val="auto"/>
                <w:spacing w:val="-5"/>
                <w:sz w:val="21"/>
                <w:szCs w:val="21"/>
                <w:highlight w:val="none"/>
                <w:lang w:val="en-US" w:eastAsia="zh-CN"/>
              </w:rPr>
            </w:pPr>
            <w:r>
              <w:rPr>
                <w:rFonts w:hint="eastAsia" w:cs="宋体"/>
                <w:color w:val="auto"/>
                <w:spacing w:val="-5"/>
                <w:sz w:val="21"/>
                <w:szCs w:val="21"/>
                <w:highlight w:val="none"/>
                <w:lang w:val="en-US" w:eastAsia="zh-CN"/>
              </w:rPr>
              <w:t>最少5吨，最多30吨</w:t>
            </w:r>
          </w:p>
        </w:tc>
      </w:tr>
    </w:tbl>
    <w:p>
      <w:pPr>
        <w:pStyle w:val="13"/>
        <w:rPr>
          <w:rFonts w:hint="eastAsia" w:ascii="宋体" w:hAnsi="宋体" w:eastAsia="宋体" w:cs="宋体"/>
          <w:color w:val="auto"/>
          <w:highlight w:val="none"/>
          <w:lang w:val="en-US" w:eastAsia="zh-CN"/>
        </w:rPr>
      </w:pPr>
    </w:p>
    <w:p>
      <w:pPr>
        <w:pStyle w:val="48"/>
        <w:keepNext w:val="0"/>
        <w:keepLines w:val="0"/>
        <w:pageBreakBefore w:val="0"/>
        <w:widowControl w:val="0"/>
        <w:numPr>
          <w:ilvl w:val="0"/>
          <w:numId w:val="0"/>
        </w:numPr>
        <w:kinsoku/>
        <w:wordWrap/>
        <w:overflowPunct/>
        <w:topLinePunct w:val="0"/>
        <w:autoSpaceDE/>
        <w:autoSpaceDN/>
        <w:bidi w:val="0"/>
        <w:adjustRightInd/>
        <w:snapToGrid/>
        <w:spacing w:line="480" w:lineRule="auto"/>
        <w:ind w:leftChars="200"/>
        <w:textAlignment w:val="auto"/>
        <w:rPr>
          <w:rFonts w:hint="eastAsia" w:ascii="宋体" w:hAnsi="宋体" w:eastAsia="宋体" w:cs="宋体"/>
          <w:color w:val="auto"/>
          <w:highlight w:val="none"/>
          <w:lang w:eastAsia="zh-CN"/>
        </w:rPr>
      </w:pPr>
      <w:r>
        <w:rPr>
          <w:rFonts w:hint="eastAsia" w:ascii="宋体" w:hAnsi="宋体" w:eastAsia="宋体" w:cs="宋体"/>
          <w:color w:val="auto"/>
          <w:sz w:val="22"/>
          <w:szCs w:val="18"/>
          <w:highlight w:val="none"/>
        </w:rPr>
        <w:t>特别提醒：本项目最终按实际供货数量进行结算</w:t>
      </w:r>
      <w:r>
        <w:rPr>
          <w:rFonts w:hint="eastAsia" w:ascii="宋体" w:hAnsi="宋体" w:eastAsia="宋体" w:cs="宋体"/>
          <w:color w:val="auto"/>
          <w:sz w:val="22"/>
          <w:szCs w:val="18"/>
          <w:highlight w:val="none"/>
          <w:lang w:eastAsia="zh-CN"/>
        </w:rPr>
        <w:t>，</w:t>
      </w:r>
      <w:r>
        <w:rPr>
          <w:rFonts w:hint="eastAsia" w:ascii="宋体" w:hAnsi="宋体" w:eastAsia="宋体" w:cs="宋体"/>
          <w:color w:val="auto"/>
          <w:sz w:val="22"/>
          <w:szCs w:val="18"/>
          <w:highlight w:val="none"/>
          <w:lang w:val="en-US" w:eastAsia="zh-CN"/>
        </w:rPr>
        <w:t>所供货物</w:t>
      </w:r>
      <w:r>
        <w:rPr>
          <w:rFonts w:hint="eastAsia" w:ascii="宋体" w:hAnsi="宋体" w:eastAsia="宋体" w:cs="宋体"/>
          <w:color w:val="auto"/>
          <w:sz w:val="22"/>
          <w:szCs w:val="18"/>
          <w:highlight w:val="none"/>
          <w:lang w:eastAsia="zh-CN"/>
        </w:rPr>
        <w:t>还应满足《污水综合排放标准》（GB8978-1996）中第一类污染物限值要求，且不含剧毒物质；所供货物的生产厂家应取得生产</w:t>
      </w:r>
      <w:r>
        <w:rPr>
          <w:rFonts w:hint="eastAsia" w:ascii="宋体" w:hAnsi="宋体" w:eastAsia="宋体" w:cs="宋体"/>
          <w:color w:val="auto"/>
          <w:sz w:val="22"/>
          <w:szCs w:val="18"/>
          <w:highlight w:val="none"/>
          <w:lang w:val="en-US" w:eastAsia="zh-CN"/>
        </w:rPr>
        <w:t>此货物</w:t>
      </w:r>
      <w:r>
        <w:rPr>
          <w:rFonts w:hint="eastAsia" w:ascii="宋体" w:hAnsi="宋体" w:eastAsia="宋体" w:cs="宋体"/>
          <w:color w:val="auto"/>
          <w:sz w:val="22"/>
          <w:szCs w:val="18"/>
          <w:highlight w:val="none"/>
          <w:lang w:eastAsia="zh-CN"/>
        </w:rPr>
        <w:t>原辅料的经营使用资格。</w:t>
      </w:r>
    </w:p>
    <w:p>
      <w:pPr>
        <w:pStyle w:val="13"/>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firstLine="0" w:firstLineChars="0"/>
        <w:textAlignment w:val="auto"/>
        <w:rPr>
          <w:rFonts w:hint="eastAsia" w:ascii="宋体" w:hAnsi="宋体" w:eastAsia="宋体" w:cs="宋体"/>
          <w:color w:val="auto"/>
          <w:highlight w:val="none"/>
          <w:lang w:val="en-US" w:eastAsia="zh-CN"/>
        </w:rPr>
      </w:pPr>
      <w:r>
        <w:rPr>
          <w:rFonts w:hint="eastAsia" w:ascii="宋体" w:hAnsi="宋体" w:eastAsia="宋体" w:cs="宋体"/>
          <w:b/>
          <w:color w:val="auto"/>
          <w:kern w:val="2"/>
          <w:sz w:val="24"/>
          <w:szCs w:val="20"/>
          <w:highlight w:val="none"/>
          <w:lang w:val="en-US" w:eastAsia="zh-CN" w:bidi="ar-SA"/>
        </w:rPr>
        <w:t>三、</w:t>
      </w:r>
      <w:r>
        <w:rPr>
          <w:rFonts w:hint="eastAsia" w:ascii="宋体" w:hAnsi="宋体" w:eastAsia="宋体" w:cs="宋体"/>
          <w:color w:val="auto"/>
          <w:highlight w:val="none"/>
          <w:lang w:val="en-US" w:eastAsia="zh-CN"/>
        </w:rPr>
        <w:t>交货要求</w:t>
      </w:r>
    </w:p>
    <w:p>
      <w:pPr>
        <w:pStyle w:val="13"/>
        <w:keepNext w:val="0"/>
        <w:keepLines w:val="0"/>
        <w:pageBreakBefore w:val="0"/>
        <w:widowControl w:val="0"/>
        <w:numPr>
          <w:ilvl w:val="0"/>
          <w:numId w:val="0"/>
        </w:numPr>
        <w:kinsoku/>
        <w:wordWrap/>
        <w:overflowPunct/>
        <w:topLinePunct w:val="0"/>
        <w:autoSpaceDE/>
        <w:autoSpaceDN/>
        <w:bidi w:val="0"/>
        <w:adjustRightInd/>
        <w:snapToGrid/>
        <w:spacing w:line="480" w:lineRule="auto"/>
        <w:ind w:leftChars="0"/>
        <w:textAlignment w:val="auto"/>
        <w:rPr>
          <w:rFonts w:hint="eastAsia" w:ascii="宋体" w:hAnsi="宋体" w:eastAsia="宋体" w:cs="宋体"/>
          <w:b w:val="0"/>
          <w:color w:val="auto"/>
          <w:kern w:val="2"/>
          <w:sz w:val="22"/>
          <w:szCs w:val="18"/>
          <w:highlight w:val="none"/>
          <w:lang w:val="en-US" w:eastAsia="zh-CN" w:bidi="ar-SA"/>
        </w:rPr>
      </w:pPr>
      <w:r>
        <w:rPr>
          <w:rFonts w:hint="eastAsia" w:ascii="宋体" w:hAnsi="宋体" w:eastAsia="宋体" w:cs="宋体"/>
          <w:b w:val="0"/>
          <w:color w:val="auto"/>
          <w:kern w:val="2"/>
          <w:sz w:val="22"/>
          <w:szCs w:val="18"/>
          <w:highlight w:val="none"/>
          <w:lang w:val="en-US" w:eastAsia="zh-CN" w:bidi="ar-SA"/>
        </w:rPr>
        <w:t>（1）交货期：由中标人根据采购人需求进行供货。</w:t>
      </w:r>
    </w:p>
    <w:p>
      <w:pPr>
        <w:pStyle w:val="13"/>
        <w:keepNext w:val="0"/>
        <w:keepLines w:val="0"/>
        <w:pageBreakBefore w:val="0"/>
        <w:widowControl w:val="0"/>
        <w:numPr>
          <w:ilvl w:val="0"/>
          <w:numId w:val="0"/>
        </w:numPr>
        <w:kinsoku/>
        <w:wordWrap/>
        <w:overflowPunct/>
        <w:topLinePunct w:val="0"/>
        <w:autoSpaceDE/>
        <w:autoSpaceDN/>
        <w:bidi w:val="0"/>
        <w:adjustRightInd/>
        <w:snapToGrid/>
        <w:spacing w:line="480" w:lineRule="auto"/>
        <w:ind w:leftChars="0"/>
        <w:textAlignment w:val="auto"/>
        <w:rPr>
          <w:rFonts w:hint="eastAsia" w:ascii="宋体" w:hAnsi="宋体" w:eastAsia="宋体" w:cs="宋体"/>
          <w:b w:val="0"/>
          <w:color w:val="auto"/>
          <w:kern w:val="2"/>
          <w:sz w:val="22"/>
          <w:szCs w:val="18"/>
          <w:highlight w:val="none"/>
          <w:lang w:val="en-US" w:eastAsia="zh-CN" w:bidi="ar-SA"/>
        </w:rPr>
      </w:pPr>
      <w:r>
        <w:rPr>
          <w:rFonts w:hint="eastAsia" w:ascii="宋体" w:hAnsi="宋体" w:eastAsia="宋体" w:cs="宋体"/>
          <w:b w:val="0"/>
          <w:color w:val="auto"/>
          <w:kern w:val="2"/>
          <w:sz w:val="22"/>
          <w:szCs w:val="18"/>
          <w:highlight w:val="none"/>
          <w:lang w:val="en-US" w:eastAsia="zh-CN" w:bidi="ar-SA"/>
        </w:rPr>
        <w:t>（2）交货地点：按采购人指定的地点，中标人不得以批量小为由拒绝送货、供货。</w:t>
      </w:r>
    </w:p>
    <w:p>
      <w:pPr>
        <w:pStyle w:val="2"/>
        <w:spacing w:before="0" w:after="0" w:line="360" w:lineRule="auto"/>
        <w:rPr>
          <w:rFonts w:hint="eastAsia" w:ascii="宋体" w:hAnsi="宋体" w:eastAsia="宋体" w:cs="宋体"/>
          <w:color w:val="auto"/>
          <w:highlight w:val="none"/>
        </w:rPr>
      </w:pPr>
    </w:p>
    <w:p>
      <w:pPr>
        <w:pStyle w:val="2"/>
        <w:spacing w:before="0" w:after="0" w:line="360" w:lineRule="auto"/>
        <w:rPr>
          <w:rFonts w:hint="eastAsia" w:ascii="宋体" w:hAnsi="宋体" w:eastAsia="宋体" w:cs="宋体"/>
          <w:color w:val="auto"/>
          <w:highlight w:val="none"/>
        </w:rPr>
      </w:pPr>
    </w:p>
    <w:p>
      <w:pPr>
        <w:pStyle w:val="2"/>
        <w:spacing w:before="0" w:after="0" w:line="360" w:lineRule="auto"/>
        <w:rPr>
          <w:rFonts w:hint="eastAsia" w:ascii="宋体" w:hAnsi="宋体" w:eastAsia="宋体" w:cs="宋体"/>
          <w:color w:val="auto"/>
          <w:highlight w:val="none"/>
        </w:rPr>
      </w:pPr>
    </w:p>
    <w:p>
      <w:pPr>
        <w:pStyle w:val="2"/>
        <w:spacing w:before="0" w:after="0" w:line="360" w:lineRule="auto"/>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pStyle w:val="2"/>
        <w:spacing w:before="0" w:after="0" w:line="360" w:lineRule="auto"/>
        <w:jc w:val="both"/>
        <w:rPr>
          <w:rFonts w:hint="eastAsia" w:ascii="宋体" w:hAnsi="宋体" w:eastAsia="宋体" w:cs="宋体"/>
          <w:color w:val="auto"/>
          <w:highlight w:val="none"/>
        </w:rPr>
      </w:pPr>
    </w:p>
    <w:p>
      <w:pPr>
        <w:rPr>
          <w:rFonts w:hint="eastAsia" w:ascii="宋体" w:hAnsi="宋体" w:eastAsia="宋体" w:cs="宋体"/>
          <w:color w:val="auto"/>
          <w:highlight w:val="none"/>
        </w:rPr>
      </w:pPr>
    </w:p>
    <w:p>
      <w:pPr>
        <w:pStyle w:val="2"/>
        <w:spacing w:before="0" w:after="0" w:line="360" w:lineRule="auto"/>
        <w:jc w:val="center"/>
        <w:rPr>
          <w:rFonts w:hint="eastAsia" w:ascii="宋体" w:hAnsi="宋体" w:eastAsia="宋体" w:cs="宋体"/>
          <w:color w:val="auto"/>
          <w:highlight w:val="none"/>
        </w:rPr>
      </w:pPr>
      <w:r>
        <w:rPr>
          <w:rFonts w:hint="eastAsia" w:ascii="宋体" w:hAnsi="宋体" w:eastAsia="宋体" w:cs="宋体"/>
          <w:color w:val="auto"/>
          <w:highlight w:val="none"/>
        </w:rPr>
        <w:t>第六章  投标文件格式</w:t>
      </w:r>
      <w:bookmarkEnd w:id="415"/>
      <w:bookmarkEnd w:id="416"/>
      <w:bookmarkEnd w:id="417"/>
    </w:p>
    <w:p>
      <w:pPr>
        <w:autoSpaceDE w:val="0"/>
        <w:autoSpaceDN w:val="0"/>
        <w:adjustRightInd w:val="0"/>
        <w:spacing w:line="480" w:lineRule="atLeast"/>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（本章仅提供有格式要求的材料模版，具体投标文件组成不限于以下材料，投标人需按“投标人须知”章节中“投标文件”的具体要求编制投标文件）</w:t>
      </w:r>
    </w:p>
    <w:p>
      <w:pPr>
        <w:rPr>
          <w:rFonts w:hint="eastAsia" w:ascii="宋体" w:hAnsi="宋体" w:eastAsia="宋体" w:cs="宋体"/>
          <w:b/>
          <w:color w:val="auto"/>
          <w:sz w:val="32"/>
          <w:highlight w:val="none"/>
        </w:rPr>
      </w:pPr>
      <w:r>
        <w:rPr>
          <w:rFonts w:hint="eastAsia" w:ascii="宋体" w:hAnsi="宋体" w:eastAsia="宋体" w:cs="宋体"/>
          <w:color w:val="auto"/>
          <w:sz w:val="24"/>
          <w:highlight w:val="none"/>
        </w:rPr>
        <w:br w:type="page"/>
      </w:r>
      <w:bookmarkStart w:id="418" w:name="_Toc508216955"/>
      <w:bookmarkStart w:id="419" w:name="_Toc445475396"/>
      <w:bookmarkStart w:id="420" w:name="_Toc397928631"/>
      <w:r>
        <w:rPr>
          <w:rStyle w:val="68"/>
          <w:rFonts w:hint="eastAsia" w:ascii="宋体" w:hAnsi="宋体" w:eastAsia="宋体" w:cs="宋体"/>
          <w:color w:val="auto"/>
          <w:highlight w:val="none"/>
        </w:rPr>
        <w:t>封面</w:t>
      </w:r>
      <w:bookmarkEnd w:id="418"/>
      <w:bookmarkEnd w:id="419"/>
      <w:bookmarkEnd w:id="420"/>
    </w:p>
    <w:p>
      <w:pPr>
        <w:spacing w:line="360" w:lineRule="auto"/>
        <w:jc w:val="center"/>
        <w:rPr>
          <w:rFonts w:hint="eastAsia" w:ascii="宋体" w:hAnsi="宋体" w:eastAsia="宋体" w:cs="宋体"/>
          <w:b/>
          <w:color w:val="auto"/>
          <w:sz w:val="32"/>
          <w:highlight w:val="none"/>
        </w:rPr>
      </w:pPr>
    </w:p>
    <w:p>
      <w:pPr>
        <w:jc w:val="center"/>
        <w:rPr>
          <w:rFonts w:hint="eastAsia" w:ascii="宋体" w:hAnsi="宋体" w:eastAsia="宋体" w:cs="宋体"/>
          <w:color w:val="auto"/>
          <w:sz w:val="44"/>
          <w:szCs w:val="44"/>
          <w:highlight w:val="none"/>
        </w:rPr>
      </w:pPr>
      <w:r>
        <w:rPr>
          <w:rFonts w:hint="eastAsia" w:ascii="宋体" w:hAnsi="宋体" w:eastAsia="宋体" w:cs="宋体"/>
          <w:color w:val="auto"/>
          <w:sz w:val="44"/>
          <w:szCs w:val="44"/>
          <w:highlight w:val="none"/>
        </w:rPr>
        <w:t xml:space="preserve"> </w:t>
      </w:r>
    </w:p>
    <w:p>
      <w:pPr>
        <w:jc w:val="center"/>
        <w:rPr>
          <w:rFonts w:hint="eastAsia" w:ascii="宋体" w:hAnsi="宋体" w:eastAsia="宋体" w:cs="宋体"/>
          <w:color w:val="auto"/>
          <w:sz w:val="44"/>
          <w:szCs w:val="44"/>
          <w:highlight w:val="none"/>
        </w:rPr>
      </w:pPr>
      <w:r>
        <w:rPr>
          <w:rFonts w:hint="eastAsia" w:ascii="宋体" w:hAnsi="宋体" w:eastAsia="宋体" w:cs="宋体"/>
          <w:color w:val="auto"/>
          <w:sz w:val="44"/>
          <w:szCs w:val="44"/>
          <w:highlight w:val="none"/>
          <w:u w:val="single"/>
        </w:rPr>
        <w:t xml:space="preserve"> （项目名称及标段）   </w:t>
      </w:r>
      <w:r>
        <w:rPr>
          <w:rFonts w:hint="eastAsia" w:ascii="宋体" w:hAnsi="宋体" w:eastAsia="宋体" w:cs="宋体"/>
          <w:color w:val="auto"/>
          <w:sz w:val="44"/>
          <w:szCs w:val="44"/>
          <w:highlight w:val="none"/>
        </w:rPr>
        <w:t>招标</w:t>
      </w:r>
    </w:p>
    <w:p>
      <w:pPr>
        <w:spacing w:line="360" w:lineRule="auto"/>
        <w:jc w:val="center"/>
        <w:rPr>
          <w:rFonts w:hint="eastAsia" w:ascii="宋体" w:hAnsi="宋体" w:eastAsia="宋体" w:cs="宋体"/>
          <w:color w:val="auto"/>
          <w:sz w:val="28"/>
          <w:szCs w:val="28"/>
          <w:highlight w:val="none"/>
        </w:rPr>
      </w:pPr>
    </w:p>
    <w:p>
      <w:pPr>
        <w:spacing w:line="360" w:lineRule="auto"/>
        <w:jc w:val="center"/>
        <w:rPr>
          <w:rFonts w:hint="eastAsia" w:ascii="宋体" w:hAnsi="宋体" w:eastAsia="宋体" w:cs="宋体"/>
          <w:color w:val="auto"/>
          <w:sz w:val="28"/>
          <w:szCs w:val="28"/>
          <w:highlight w:val="none"/>
        </w:rPr>
      </w:pPr>
    </w:p>
    <w:p>
      <w:pPr>
        <w:spacing w:line="360" w:lineRule="auto"/>
        <w:jc w:val="center"/>
        <w:rPr>
          <w:rFonts w:hint="eastAsia" w:ascii="宋体" w:hAnsi="宋体" w:eastAsia="宋体" w:cs="宋体"/>
          <w:color w:val="auto"/>
          <w:sz w:val="72"/>
          <w:szCs w:val="72"/>
          <w:highlight w:val="none"/>
        </w:rPr>
      </w:pPr>
    </w:p>
    <w:p>
      <w:pPr>
        <w:spacing w:line="360" w:lineRule="auto"/>
        <w:jc w:val="center"/>
        <w:rPr>
          <w:rFonts w:hint="eastAsia" w:ascii="宋体" w:hAnsi="宋体" w:eastAsia="宋体" w:cs="宋体"/>
          <w:color w:val="auto"/>
          <w:sz w:val="96"/>
          <w:szCs w:val="96"/>
          <w:highlight w:val="none"/>
        </w:rPr>
      </w:pPr>
      <w:r>
        <w:rPr>
          <w:rFonts w:hint="eastAsia" w:ascii="宋体" w:hAnsi="宋体" w:eastAsia="宋体" w:cs="宋体"/>
          <w:color w:val="auto"/>
          <w:sz w:val="96"/>
          <w:szCs w:val="96"/>
          <w:highlight w:val="none"/>
        </w:rPr>
        <w:t>投 标 文 件</w:t>
      </w:r>
    </w:p>
    <w:p>
      <w:pPr>
        <w:spacing w:line="360" w:lineRule="auto"/>
        <w:jc w:val="center"/>
        <w:rPr>
          <w:rFonts w:hint="eastAsia" w:ascii="宋体" w:hAnsi="宋体" w:eastAsia="宋体" w:cs="宋体"/>
          <w:color w:val="auto"/>
          <w:sz w:val="28"/>
          <w:szCs w:val="28"/>
          <w:highlight w:val="none"/>
        </w:rPr>
      </w:pPr>
    </w:p>
    <w:p>
      <w:pPr>
        <w:spacing w:line="360" w:lineRule="auto"/>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项目编号： </w:t>
      </w:r>
    </w:p>
    <w:p>
      <w:pPr>
        <w:spacing w:line="360" w:lineRule="auto"/>
        <w:jc w:val="center"/>
        <w:rPr>
          <w:rFonts w:hint="eastAsia" w:ascii="宋体" w:hAnsi="宋体" w:eastAsia="宋体" w:cs="宋体"/>
          <w:color w:val="auto"/>
          <w:sz w:val="28"/>
          <w:szCs w:val="28"/>
          <w:highlight w:val="none"/>
        </w:rPr>
      </w:pPr>
    </w:p>
    <w:p>
      <w:pPr>
        <w:spacing w:line="360" w:lineRule="auto"/>
        <w:jc w:val="center"/>
        <w:rPr>
          <w:rFonts w:hint="eastAsia" w:ascii="宋体" w:hAnsi="宋体" w:eastAsia="宋体" w:cs="宋体"/>
          <w:color w:val="auto"/>
          <w:sz w:val="28"/>
          <w:szCs w:val="28"/>
          <w:highlight w:val="none"/>
        </w:rPr>
      </w:pPr>
    </w:p>
    <w:p>
      <w:pPr>
        <w:spacing w:line="360" w:lineRule="auto"/>
        <w:jc w:val="center"/>
        <w:rPr>
          <w:rFonts w:hint="eastAsia" w:ascii="宋体" w:hAnsi="宋体" w:eastAsia="宋体" w:cs="宋体"/>
          <w:color w:val="auto"/>
          <w:sz w:val="28"/>
          <w:szCs w:val="28"/>
          <w:highlight w:val="none"/>
        </w:rPr>
      </w:pPr>
    </w:p>
    <w:p>
      <w:pPr>
        <w:spacing w:line="360" w:lineRule="auto"/>
        <w:jc w:val="center"/>
        <w:rPr>
          <w:rFonts w:hint="eastAsia" w:ascii="宋体" w:hAnsi="宋体" w:eastAsia="宋体" w:cs="宋体"/>
          <w:color w:val="auto"/>
          <w:sz w:val="28"/>
          <w:szCs w:val="28"/>
          <w:highlight w:val="none"/>
        </w:rPr>
      </w:pPr>
    </w:p>
    <w:p>
      <w:pPr>
        <w:spacing w:line="360" w:lineRule="auto"/>
        <w:jc w:val="center"/>
        <w:rPr>
          <w:rFonts w:hint="eastAsia" w:ascii="宋体" w:hAnsi="宋体" w:eastAsia="宋体" w:cs="宋体"/>
          <w:color w:val="auto"/>
          <w:sz w:val="28"/>
          <w:szCs w:val="28"/>
          <w:highlight w:val="none"/>
        </w:rPr>
      </w:pPr>
    </w:p>
    <w:p>
      <w:pPr>
        <w:spacing w:line="360" w:lineRule="auto"/>
        <w:jc w:val="center"/>
        <w:rPr>
          <w:rFonts w:hint="eastAsia" w:ascii="宋体" w:hAnsi="宋体" w:eastAsia="宋体" w:cs="宋体"/>
          <w:color w:val="auto"/>
          <w:sz w:val="28"/>
          <w:szCs w:val="28"/>
          <w:highlight w:val="none"/>
        </w:rPr>
      </w:pPr>
    </w:p>
    <w:p>
      <w:pPr>
        <w:spacing w:line="360" w:lineRule="auto"/>
        <w:jc w:val="center"/>
        <w:rPr>
          <w:rFonts w:hint="eastAsia" w:ascii="宋体" w:hAnsi="宋体" w:eastAsia="宋体" w:cs="宋体"/>
          <w:color w:val="auto"/>
          <w:sz w:val="28"/>
          <w:szCs w:val="28"/>
          <w:highlight w:val="none"/>
        </w:rPr>
      </w:pPr>
    </w:p>
    <w:p>
      <w:pPr>
        <w:spacing w:line="360" w:lineRule="auto"/>
        <w:ind w:firstLine="708" w:firstLineChars="253"/>
        <w:jc w:val="left"/>
        <w:rPr>
          <w:rFonts w:hint="eastAsia" w:ascii="宋体" w:hAnsi="宋体" w:eastAsia="宋体" w:cs="宋体"/>
          <w:color w:val="auto"/>
          <w:sz w:val="28"/>
          <w:szCs w:val="28"/>
          <w:highlight w:val="none"/>
          <w:u w:val="single"/>
        </w:rPr>
      </w:pPr>
      <w:r>
        <w:rPr>
          <w:rFonts w:hint="eastAsia" w:ascii="宋体" w:hAnsi="宋体" w:eastAsia="宋体" w:cs="宋体"/>
          <w:color w:val="auto"/>
          <w:sz w:val="28"/>
          <w:szCs w:val="28"/>
          <w:highlight w:val="none"/>
        </w:rPr>
        <w:t>投标人（盖章）：</w:t>
      </w:r>
      <w:r>
        <w:rPr>
          <w:rFonts w:hint="eastAsia" w:ascii="宋体" w:hAnsi="宋体" w:eastAsia="宋体" w:cs="宋体"/>
          <w:color w:val="auto"/>
          <w:sz w:val="28"/>
          <w:szCs w:val="28"/>
          <w:highlight w:val="none"/>
          <w:u w:val="single"/>
        </w:rPr>
        <w:t xml:space="preserve">                                </w:t>
      </w:r>
    </w:p>
    <w:p>
      <w:pPr>
        <w:spacing w:line="360" w:lineRule="auto"/>
        <w:ind w:firstLine="700" w:firstLineChars="25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日期：</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年</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月</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日</w:t>
      </w:r>
    </w:p>
    <w:p>
      <w:pPr>
        <w:spacing w:line="360" w:lineRule="auto"/>
        <w:jc w:val="center"/>
        <w:rPr>
          <w:rFonts w:hint="eastAsia" w:ascii="宋体" w:hAnsi="宋体" w:eastAsia="宋体" w:cs="宋体"/>
          <w:color w:val="auto"/>
          <w:highlight w:val="none"/>
        </w:rPr>
      </w:pPr>
      <w:r>
        <w:rPr>
          <w:rFonts w:hint="eastAsia" w:ascii="宋体" w:hAnsi="宋体" w:eastAsia="宋体" w:cs="宋体"/>
          <w:b/>
          <w:color w:val="auto"/>
          <w:sz w:val="32"/>
          <w:highlight w:val="none"/>
        </w:rPr>
        <w:br w:type="page"/>
      </w:r>
      <w:bookmarkStart w:id="421" w:name="_Toc5230"/>
      <w:bookmarkStart w:id="422" w:name="_Toc397928632"/>
      <w:bookmarkStart w:id="423" w:name="_Toc387526346"/>
      <w:bookmarkStart w:id="424" w:name="_Toc387526242"/>
      <w:bookmarkStart w:id="425" w:name="_Toc387526438"/>
      <w:r>
        <w:rPr>
          <w:rFonts w:hint="eastAsia" w:ascii="宋体" w:hAnsi="宋体" w:eastAsia="宋体" w:cs="宋体"/>
          <w:b/>
          <w:color w:val="auto"/>
          <w:sz w:val="32"/>
          <w:highlight w:val="none"/>
        </w:rPr>
        <w:t>目     录</w:t>
      </w:r>
    </w:p>
    <w:p>
      <w:pPr>
        <w:spacing w:line="360" w:lineRule="auto"/>
        <w:jc w:val="center"/>
        <w:rPr>
          <w:rFonts w:hint="eastAsia" w:ascii="宋体" w:hAnsi="宋体" w:eastAsia="宋体" w:cs="宋体"/>
          <w:color w:val="auto"/>
          <w:highlight w:val="none"/>
        </w:rPr>
      </w:pPr>
    </w:p>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由投标人根据招标文件自行编制</w:t>
      </w:r>
    </w:p>
    <w:p>
      <w:pPr>
        <w:spacing w:line="360" w:lineRule="auto"/>
        <w:ind w:firstLine="1785" w:firstLineChars="850"/>
        <w:jc w:val="left"/>
        <w:rPr>
          <w:rFonts w:hint="eastAsia" w:ascii="宋体" w:hAnsi="宋体" w:eastAsia="宋体" w:cs="宋体"/>
          <w:color w:val="auto"/>
          <w:highlight w:val="none"/>
        </w:rPr>
      </w:pPr>
    </w:p>
    <w:p>
      <w:pPr>
        <w:spacing w:line="360" w:lineRule="auto"/>
        <w:ind w:firstLine="1785" w:firstLineChars="850"/>
        <w:jc w:val="left"/>
        <w:rPr>
          <w:rFonts w:hint="eastAsia" w:ascii="宋体" w:hAnsi="宋体" w:eastAsia="宋体" w:cs="宋体"/>
          <w:color w:val="auto"/>
          <w:highlight w:val="none"/>
        </w:rPr>
      </w:pPr>
    </w:p>
    <w:p>
      <w:pPr>
        <w:spacing w:line="360" w:lineRule="auto"/>
        <w:ind w:firstLine="1785" w:firstLineChars="850"/>
        <w:jc w:val="left"/>
        <w:rPr>
          <w:rFonts w:hint="eastAsia" w:ascii="宋体" w:hAnsi="宋体" w:eastAsia="宋体" w:cs="宋体"/>
          <w:color w:val="auto"/>
          <w:highlight w:val="none"/>
        </w:rPr>
      </w:pPr>
    </w:p>
    <w:p>
      <w:pPr>
        <w:spacing w:line="360" w:lineRule="auto"/>
        <w:ind w:firstLine="1785" w:firstLineChars="850"/>
        <w:jc w:val="left"/>
        <w:rPr>
          <w:rFonts w:hint="eastAsia" w:ascii="宋体" w:hAnsi="宋体" w:eastAsia="宋体" w:cs="宋体"/>
          <w:color w:val="auto"/>
          <w:highlight w:val="none"/>
        </w:rPr>
      </w:pPr>
    </w:p>
    <w:p>
      <w:pPr>
        <w:spacing w:line="360" w:lineRule="auto"/>
        <w:ind w:firstLine="1785" w:firstLineChars="850"/>
        <w:jc w:val="left"/>
        <w:rPr>
          <w:rFonts w:hint="eastAsia" w:ascii="宋体" w:hAnsi="宋体" w:eastAsia="宋体" w:cs="宋体"/>
          <w:color w:val="auto"/>
          <w:highlight w:val="none"/>
        </w:rPr>
      </w:pPr>
    </w:p>
    <w:p>
      <w:pPr>
        <w:spacing w:line="360" w:lineRule="auto"/>
        <w:ind w:firstLine="1785" w:firstLineChars="850"/>
        <w:jc w:val="left"/>
        <w:rPr>
          <w:rFonts w:hint="eastAsia" w:ascii="宋体" w:hAnsi="宋体" w:eastAsia="宋体" w:cs="宋体"/>
          <w:color w:val="auto"/>
          <w:highlight w:val="none"/>
        </w:rPr>
      </w:pPr>
    </w:p>
    <w:p>
      <w:pPr>
        <w:spacing w:line="360" w:lineRule="auto"/>
        <w:ind w:firstLine="1785" w:firstLineChars="850"/>
        <w:jc w:val="left"/>
        <w:rPr>
          <w:rFonts w:hint="eastAsia" w:ascii="宋体" w:hAnsi="宋体" w:eastAsia="宋体" w:cs="宋体"/>
          <w:color w:val="auto"/>
          <w:highlight w:val="none"/>
        </w:rPr>
      </w:pPr>
    </w:p>
    <w:p>
      <w:pPr>
        <w:spacing w:line="360" w:lineRule="auto"/>
        <w:ind w:firstLine="1785" w:firstLineChars="850"/>
        <w:jc w:val="left"/>
        <w:rPr>
          <w:rFonts w:hint="eastAsia" w:ascii="宋体" w:hAnsi="宋体" w:eastAsia="宋体" w:cs="宋体"/>
          <w:color w:val="auto"/>
          <w:highlight w:val="none"/>
        </w:rPr>
      </w:pPr>
    </w:p>
    <w:p>
      <w:pPr>
        <w:spacing w:line="360" w:lineRule="auto"/>
        <w:ind w:firstLine="1785" w:firstLineChars="850"/>
        <w:jc w:val="left"/>
        <w:rPr>
          <w:rFonts w:hint="eastAsia" w:ascii="宋体" w:hAnsi="宋体" w:eastAsia="宋体" w:cs="宋体"/>
          <w:color w:val="auto"/>
          <w:highlight w:val="none"/>
        </w:rPr>
      </w:pPr>
    </w:p>
    <w:p>
      <w:pPr>
        <w:spacing w:line="360" w:lineRule="auto"/>
        <w:ind w:firstLine="1785" w:firstLineChars="850"/>
        <w:jc w:val="left"/>
        <w:rPr>
          <w:rFonts w:hint="eastAsia" w:ascii="宋体" w:hAnsi="宋体" w:eastAsia="宋体" w:cs="宋体"/>
          <w:color w:val="auto"/>
          <w:highlight w:val="none"/>
        </w:rPr>
      </w:pPr>
    </w:p>
    <w:p>
      <w:pPr>
        <w:spacing w:line="360" w:lineRule="auto"/>
        <w:ind w:firstLine="1785" w:firstLineChars="850"/>
        <w:jc w:val="left"/>
        <w:rPr>
          <w:rFonts w:hint="eastAsia" w:ascii="宋体" w:hAnsi="宋体" w:eastAsia="宋体" w:cs="宋体"/>
          <w:color w:val="auto"/>
          <w:highlight w:val="none"/>
        </w:rPr>
      </w:pPr>
    </w:p>
    <w:p>
      <w:pPr>
        <w:spacing w:line="360" w:lineRule="auto"/>
        <w:ind w:firstLine="1785" w:firstLineChars="850"/>
        <w:jc w:val="left"/>
        <w:rPr>
          <w:rFonts w:hint="eastAsia" w:ascii="宋体" w:hAnsi="宋体" w:eastAsia="宋体" w:cs="宋体"/>
          <w:color w:val="auto"/>
          <w:highlight w:val="none"/>
        </w:rPr>
      </w:pPr>
    </w:p>
    <w:p>
      <w:pPr>
        <w:spacing w:line="360" w:lineRule="auto"/>
        <w:ind w:firstLine="1785" w:firstLineChars="850"/>
        <w:jc w:val="left"/>
        <w:rPr>
          <w:rFonts w:hint="eastAsia" w:ascii="宋体" w:hAnsi="宋体" w:eastAsia="宋体" w:cs="宋体"/>
          <w:color w:val="auto"/>
          <w:highlight w:val="none"/>
        </w:rPr>
      </w:pPr>
    </w:p>
    <w:p>
      <w:pPr>
        <w:spacing w:line="360" w:lineRule="auto"/>
        <w:ind w:firstLine="1785" w:firstLineChars="850"/>
        <w:jc w:val="left"/>
        <w:rPr>
          <w:rFonts w:hint="eastAsia" w:ascii="宋体" w:hAnsi="宋体" w:eastAsia="宋体" w:cs="宋体"/>
          <w:color w:val="auto"/>
          <w:highlight w:val="none"/>
        </w:rPr>
      </w:pPr>
    </w:p>
    <w:p>
      <w:pPr>
        <w:spacing w:line="360" w:lineRule="auto"/>
        <w:ind w:firstLine="1785" w:firstLineChars="850"/>
        <w:jc w:val="left"/>
        <w:rPr>
          <w:rFonts w:hint="eastAsia" w:ascii="宋体" w:hAnsi="宋体" w:eastAsia="宋体" w:cs="宋体"/>
          <w:color w:val="auto"/>
          <w:highlight w:val="none"/>
        </w:rPr>
      </w:pPr>
    </w:p>
    <w:p>
      <w:pPr>
        <w:spacing w:line="360" w:lineRule="auto"/>
        <w:ind w:firstLine="1785" w:firstLineChars="850"/>
        <w:jc w:val="left"/>
        <w:rPr>
          <w:rFonts w:hint="eastAsia" w:ascii="宋体" w:hAnsi="宋体" w:eastAsia="宋体" w:cs="宋体"/>
          <w:color w:val="auto"/>
          <w:highlight w:val="none"/>
        </w:rPr>
      </w:pPr>
    </w:p>
    <w:p>
      <w:pPr>
        <w:spacing w:line="360" w:lineRule="auto"/>
        <w:ind w:firstLine="1785" w:firstLineChars="850"/>
        <w:jc w:val="left"/>
        <w:rPr>
          <w:rFonts w:hint="eastAsia" w:ascii="宋体" w:hAnsi="宋体" w:eastAsia="宋体" w:cs="宋体"/>
          <w:color w:val="auto"/>
          <w:highlight w:val="none"/>
        </w:rPr>
      </w:pPr>
    </w:p>
    <w:p>
      <w:pPr>
        <w:spacing w:line="360" w:lineRule="auto"/>
        <w:ind w:firstLine="1785" w:firstLineChars="850"/>
        <w:jc w:val="left"/>
        <w:rPr>
          <w:rFonts w:hint="eastAsia" w:ascii="宋体" w:hAnsi="宋体" w:eastAsia="宋体" w:cs="宋体"/>
          <w:color w:val="auto"/>
          <w:highlight w:val="none"/>
        </w:rPr>
      </w:pPr>
    </w:p>
    <w:p>
      <w:pPr>
        <w:spacing w:line="360" w:lineRule="auto"/>
        <w:ind w:firstLine="1785" w:firstLineChars="850"/>
        <w:jc w:val="left"/>
        <w:rPr>
          <w:rFonts w:hint="eastAsia" w:ascii="宋体" w:hAnsi="宋体" w:eastAsia="宋体" w:cs="宋体"/>
          <w:color w:val="auto"/>
          <w:highlight w:val="none"/>
        </w:rPr>
      </w:pPr>
    </w:p>
    <w:p>
      <w:pPr>
        <w:spacing w:line="360" w:lineRule="auto"/>
        <w:ind w:firstLine="1785" w:firstLineChars="850"/>
        <w:jc w:val="left"/>
        <w:rPr>
          <w:rFonts w:hint="eastAsia" w:ascii="宋体" w:hAnsi="宋体" w:eastAsia="宋体" w:cs="宋体"/>
          <w:color w:val="auto"/>
          <w:highlight w:val="none"/>
        </w:rPr>
      </w:pPr>
    </w:p>
    <w:p>
      <w:pPr>
        <w:spacing w:line="360" w:lineRule="auto"/>
        <w:ind w:firstLine="1785" w:firstLineChars="850"/>
        <w:jc w:val="left"/>
        <w:rPr>
          <w:rFonts w:hint="eastAsia" w:ascii="宋体" w:hAnsi="宋体" w:eastAsia="宋体" w:cs="宋体"/>
          <w:color w:val="auto"/>
          <w:highlight w:val="none"/>
        </w:rPr>
      </w:pPr>
    </w:p>
    <w:p>
      <w:pPr>
        <w:spacing w:line="360" w:lineRule="auto"/>
        <w:ind w:firstLine="1785" w:firstLineChars="850"/>
        <w:jc w:val="left"/>
        <w:rPr>
          <w:rFonts w:hint="eastAsia" w:ascii="宋体" w:hAnsi="宋体" w:eastAsia="宋体" w:cs="宋体"/>
          <w:color w:val="auto"/>
          <w:highlight w:val="none"/>
        </w:rPr>
      </w:pPr>
    </w:p>
    <w:p>
      <w:pPr>
        <w:spacing w:line="360" w:lineRule="auto"/>
        <w:ind w:firstLine="1785" w:firstLineChars="850"/>
        <w:jc w:val="left"/>
        <w:rPr>
          <w:rFonts w:hint="eastAsia" w:ascii="宋体" w:hAnsi="宋体" w:eastAsia="宋体" w:cs="宋体"/>
          <w:color w:val="auto"/>
          <w:highlight w:val="none"/>
        </w:rPr>
      </w:pPr>
    </w:p>
    <w:p>
      <w:pPr>
        <w:spacing w:line="360" w:lineRule="auto"/>
        <w:ind w:firstLine="1785" w:firstLineChars="850"/>
        <w:jc w:val="left"/>
        <w:rPr>
          <w:rFonts w:hint="eastAsia" w:ascii="宋体" w:hAnsi="宋体" w:eastAsia="宋体" w:cs="宋体"/>
          <w:color w:val="auto"/>
          <w:highlight w:val="none"/>
        </w:rPr>
      </w:pPr>
      <w:r>
        <w:rPr>
          <w:rFonts w:hint="eastAsia" w:ascii="宋体" w:hAnsi="宋体" w:eastAsia="宋体" w:cs="宋体"/>
          <w:color w:val="auto"/>
          <w:highlight w:val="none"/>
        </w:rPr>
        <w:t xml:space="preserve"> </w:t>
      </w:r>
    </w:p>
    <w:bookmarkEnd w:id="421"/>
    <w:bookmarkEnd w:id="422"/>
    <w:bookmarkEnd w:id="423"/>
    <w:bookmarkEnd w:id="424"/>
    <w:bookmarkEnd w:id="425"/>
    <w:p>
      <w:pPr>
        <w:pStyle w:val="25"/>
        <w:snapToGrid w:val="0"/>
        <w:spacing w:before="120" w:after="120" w:line="460" w:lineRule="exact"/>
        <w:jc w:val="left"/>
        <w:rPr>
          <w:rFonts w:hint="eastAsia" w:ascii="宋体" w:hAnsi="宋体" w:eastAsia="宋体" w:cs="宋体"/>
          <w:color w:val="auto"/>
          <w:highlight w:val="none"/>
          <w:lang w:bidi="th-TH"/>
        </w:rPr>
      </w:pPr>
    </w:p>
    <w:p>
      <w:pPr>
        <w:pStyle w:val="25"/>
        <w:snapToGrid w:val="0"/>
        <w:spacing w:before="120" w:after="120" w:line="460" w:lineRule="exact"/>
        <w:jc w:val="left"/>
        <w:rPr>
          <w:rFonts w:hint="eastAsia" w:ascii="宋体" w:hAnsi="宋体" w:eastAsia="宋体" w:cs="宋体"/>
          <w:color w:val="auto"/>
          <w:highlight w:val="none"/>
          <w:lang w:bidi="th-TH"/>
        </w:rPr>
      </w:pPr>
    </w:p>
    <w:p>
      <w:pPr>
        <w:pStyle w:val="25"/>
        <w:snapToGrid w:val="0"/>
        <w:spacing w:before="120" w:after="120" w:line="460" w:lineRule="exact"/>
        <w:jc w:val="left"/>
        <w:rPr>
          <w:rFonts w:hint="eastAsia" w:ascii="宋体" w:hAnsi="宋体" w:eastAsia="宋体" w:cs="宋体"/>
          <w:color w:val="auto"/>
          <w:sz w:val="24"/>
          <w:szCs w:val="24"/>
          <w:highlight w:val="none"/>
          <w:lang w:bidi="th-TH"/>
        </w:rPr>
      </w:pPr>
      <w:r>
        <w:rPr>
          <w:rFonts w:hint="eastAsia" w:ascii="宋体" w:hAnsi="宋体" w:eastAsia="宋体" w:cs="宋体"/>
          <w:color w:val="auto"/>
          <w:sz w:val="24"/>
          <w:szCs w:val="24"/>
          <w:highlight w:val="none"/>
        </w:rPr>
        <w:t>格式一：</w:t>
      </w:r>
    </w:p>
    <w:p>
      <w:pPr>
        <w:pStyle w:val="25"/>
        <w:snapToGrid w:val="0"/>
        <w:spacing w:before="120" w:after="120" w:line="460" w:lineRule="exact"/>
        <w:jc w:val="center"/>
        <w:rPr>
          <w:rFonts w:hint="eastAsia" w:ascii="宋体" w:hAnsi="宋体" w:eastAsia="宋体" w:cs="宋体"/>
          <w:b/>
          <w:color w:val="auto"/>
          <w:szCs w:val="28"/>
          <w:highlight w:val="none"/>
        </w:rPr>
      </w:pPr>
    </w:p>
    <w:p>
      <w:pPr>
        <w:pStyle w:val="25"/>
        <w:snapToGrid w:val="0"/>
        <w:spacing w:before="120" w:after="120" w:line="460" w:lineRule="exact"/>
        <w:jc w:val="center"/>
        <w:rPr>
          <w:rFonts w:hint="eastAsia" w:ascii="宋体" w:hAnsi="宋体" w:eastAsia="宋体" w:cs="宋体"/>
          <w:color w:val="auto"/>
          <w:highlight w:val="none"/>
          <w:lang w:bidi="th-TH"/>
        </w:rPr>
      </w:pPr>
      <w:r>
        <w:rPr>
          <w:rFonts w:hint="eastAsia" w:ascii="宋体" w:hAnsi="宋体" w:eastAsia="宋体" w:cs="宋体"/>
          <w:b/>
          <w:color w:val="auto"/>
          <w:szCs w:val="28"/>
          <w:highlight w:val="none"/>
        </w:rPr>
        <w:t>投标人的法定代表人身份证明书</w:t>
      </w:r>
    </w:p>
    <w:p>
      <w:pPr>
        <w:pStyle w:val="25"/>
        <w:snapToGrid w:val="0"/>
        <w:spacing w:before="120" w:after="120" w:line="460" w:lineRule="exact"/>
        <w:jc w:val="left"/>
        <w:rPr>
          <w:rFonts w:hint="eastAsia" w:ascii="宋体" w:hAnsi="宋体" w:eastAsia="宋体" w:cs="宋体"/>
          <w:color w:val="auto"/>
          <w:sz w:val="24"/>
          <w:szCs w:val="24"/>
          <w:highlight w:val="none"/>
          <w:u w:val="single"/>
          <w:lang w:bidi="th-TH"/>
        </w:rPr>
      </w:pPr>
      <w:r>
        <w:rPr>
          <w:rFonts w:hint="eastAsia" w:ascii="宋体" w:hAnsi="宋体" w:eastAsia="宋体" w:cs="宋体"/>
          <w:color w:val="auto"/>
          <w:sz w:val="24"/>
          <w:szCs w:val="24"/>
          <w:highlight w:val="none"/>
          <w:lang w:bidi="th-TH"/>
        </w:rPr>
        <w:t>单位名称：</w:t>
      </w:r>
      <w:r>
        <w:rPr>
          <w:rFonts w:hint="eastAsia" w:ascii="宋体" w:hAnsi="宋体" w:eastAsia="宋体" w:cs="宋体"/>
          <w:color w:val="auto"/>
          <w:sz w:val="24"/>
          <w:szCs w:val="24"/>
          <w:highlight w:val="none"/>
          <w:u w:val="single"/>
          <w:lang w:bidi="th-TH"/>
        </w:rPr>
        <w:t xml:space="preserve">                                  </w:t>
      </w:r>
    </w:p>
    <w:p>
      <w:pPr>
        <w:pStyle w:val="25"/>
        <w:snapToGrid w:val="0"/>
        <w:spacing w:before="120" w:after="120" w:line="460" w:lineRule="exact"/>
        <w:jc w:val="left"/>
        <w:rPr>
          <w:rFonts w:hint="eastAsia" w:ascii="宋体" w:hAnsi="宋体" w:eastAsia="宋体" w:cs="宋体"/>
          <w:color w:val="auto"/>
          <w:sz w:val="24"/>
          <w:szCs w:val="24"/>
          <w:highlight w:val="none"/>
          <w:u w:val="single"/>
          <w:lang w:bidi="th-TH"/>
        </w:rPr>
      </w:pPr>
      <w:r>
        <w:rPr>
          <w:rFonts w:hint="eastAsia" w:ascii="宋体" w:hAnsi="宋体" w:eastAsia="宋体" w:cs="宋体"/>
          <w:color w:val="auto"/>
          <w:sz w:val="24"/>
          <w:szCs w:val="24"/>
          <w:highlight w:val="none"/>
          <w:lang w:bidi="th-TH"/>
        </w:rPr>
        <w:t>单位性质：</w:t>
      </w:r>
      <w:r>
        <w:rPr>
          <w:rFonts w:hint="eastAsia" w:ascii="宋体" w:hAnsi="宋体" w:eastAsia="宋体" w:cs="宋体"/>
          <w:color w:val="auto"/>
          <w:sz w:val="24"/>
          <w:szCs w:val="24"/>
          <w:highlight w:val="none"/>
          <w:u w:val="single"/>
          <w:lang w:bidi="th-TH"/>
        </w:rPr>
        <w:t xml:space="preserve">                                 </w:t>
      </w:r>
    </w:p>
    <w:p>
      <w:pPr>
        <w:pStyle w:val="25"/>
        <w:snapToGrid w:val="0"/>
        <w:spacing w:before="120" w:after="120" w:line="460" w:lineRule="exact"/>
        <w:jc w:val="left"/>
        <w:rPr>
          <w:rFonts w:hint="eastAsia" w:ascii="宋体" w:hAnsi="宋体" w:eastAsia="宋体" w:cs="宋体"/>
          <w:color w:val="auto"/>
          <w:sz w:val="24"/>
          <w:szCs w:val="24"/>
          <w:highlight w:val="none"/>
          <w:u w:val="single"/>
          <w:lang w:bidi="th-TH"/>
        </w:rPr>
      </w:pPr>
      <w:r>
        <w:rPr>
          <w:rFonts w:hint="eastAsia" w:ascii="宋体" w:hAnsi="宋体" w:eastAsia="宋体" w:cs="宋体"/>
          <w:color w:val="auto"/>
          <w:sz w:val="24"/>
          <w:szCs w:val="24"/>
          <w:highlight w:val="none"/>
          <w:lang w:bidi="th-TH"/>
        </w:rPr>
        <w:t>地址：</w:t>
      </w:r>
      <w:r>
        <w:rPr>
          <w:rFonts w:hint="eastAsia" w:ascii="宋体" w:hAnsi="宋体" w:eastAsia="宋体" w:cs="宋体"/>
          <w:color w:val="auto"/>
          <w:sz w:val="24"/>
          <w:szCs w:val="24"/>
          <w:highlight w:val="none"/>
          <w:u w:val="single"/>
          <w:lang w:bidi="th-TH"/>
        </w:rPr>
        <w:t xml:space="preserve">                                     </w:t>
      </w:r>
    </w:p>
    <w:p>
      <w:pPr>
        <w:pStyle w:val="25"/>
        <w:snapToGrid w:val="0"/>
        <w:spacing w:before="120" w:after="120" w:line="460" w:lineRule="exact"/>
        <w:jc w:val="left"/>
        <w:rPr>
          <w:rFonts w:hint="eastAsia" w:ascii="宋体" w:hAnsi="宋体" w:eastAsia="宋体" w:cs="宋体"/>
          <w:color w:val="auto"/>
          <w:sz w:val="24"/>
          <w:szCs w:val="24"/>
          <w:highlight w:val="none"/>
          <w:lang w:bidi="th-TH"/>
        </w:rPr>
      </w:pPr>
      <w:r>
        <w:rPr>
          <w:rFonts w:hint="eastAsia" w:ascii="宋体" w:hAnsi="宋体" w:eastAsia="宋体" w:cs="宋体"/>
          <w:color w:val="auto"/>
          <w:sz w:val="24"/>
          <w:szCs w:val="24"/>
          <w:highlight w:val="none"/>
          <w:lang w:bidi="th-TH"/>
        </w:rPr>
        <w:t>成立时间：</w:t>
      </w:r>
      <w:r>
        <w:rPr>
          <w:rFonts w:hint="eastAsia" w:ascii="宋体" w:hAnsi="宋体" w:eastAsia="宋体" w:cs="宋体"/>
          <w:color w:val="auto"/>
          <w:sz w:val="24"/>
          <w:szCs w:val="24"/>
          <w:highlight w:val="none"/>
          <w:u w:val="single"/>
          <w:lang w:bidi="th-TH"/>
        </w:rPr>
        <w:t xml:space="preserve">       年    月      日</w:t>
      </w:r>
    </w:p>
    <w:p>
      <w:pPr>
        <w:pStyle w:val="25"/>
        <w:snapToGrid w:val="0"/>
        <w:spacing w:before="120" w:after="120" w:line="460" w:lineRule="exact"/>
        <w:jc w:val="left"/>
        <w:rPr>
          <w:rFonts w:hint="eastAsia" w:ascii="宋体" w:hAnsi="宋体" w:eastAsia="宋体" w:cs="宋体"/>
          <w:color w:val="auto"/>
          <w:sz w:val="24"/>
          <w:szCs w:val="24"/>
          <w:highlight w:val="none"/>
          <w:lang w:bidi="th-TH"/>
        </w:rPr>
      </w:pPr>
      <w:r>
        <w:rPr>
          <w:rFonts w:hint="eastAsia" w:ascii="宋体" w:hAnsi="宋体" w:eastAsia="宋体" w:cs="宋体"/>
          <w:color w:val="auto"/>
          <w:sz w:val="24"/>
          <w:szCs w:val="24"/>
          <w:highlight w:val="none"/>
          <w:lang w:bidi="th-TH"/>
        </w:rPr>
        <w:t>经营期限：</w:t>
      </w:r>
      <w:r>
        <w:rPr>
          <w:rFonts w:hint="eastAsia" w:ascii="宋体" w:hAnsi="宋体" w:eastAsia="宋体" w:cs="宋体"/>
          <w:color w:val="auto"/>
          <w:sz w:val="24"/>
          <w:szCs w:val="24"/>
          <w:highlight w:val="none"/>
          <w:u w:val="single"/>
          <w:lang w:bidi="th-TH"/>
        </w:rPr>
        <w:t xml:space="preserve">                                  </w:t>
      </w:r>
    </w:p>
    <w:p>
      <w:pPr>
        <w:pStyle w:val="25"/>
        <w:snapToGrid w:val="0"/>
        <w:spacing w:before="120" w:after="120" w:line="460" w:lineRule="exact"/>
        <w:jc w:val="left"/>
        <w:rPr>
          <w:rFonts w:hint="eastAsia" w:ascii="宋体" w:hAnsi="宋体" w:eastAsia="宋体" w:cs="宋体"/>
          <w:color w:val="auto"/>
          <w:sz w:val="24"/>
          <w:szCs w:val="24"/>
          <w:highlight w:val="none"/>
          <w:lang w:bidi="th-TH"/>
        </w:rPr>
      </w:pPr>
      <w:r>
        <w:rPr>
          <w:rFonts w:hint="eastAsia" w:ascii="宋体" w:hAnsi="宋体" w:eastAsia="宋体" w:cs="宋体"/>
          <w:color w:val="auto"/>
          <w:sz w:val="24"/>
          <w:szCs w:val="24"/>
          <w:highlight w:val="none"/>
          <w:lang w:bidi="th-TH"/>
        </w:rPr>
        <w:t xml:space="preserve">姓名： </w:t>
      </w:r>
      <w:r>
        <w:rPr>
          <w:rFonts w:hint="eastAsia" w:ascii="宋体" w:hAnsi="宋体" w:eastAsia="宋体" w:cs="宋体"/>
          <w:color w:val="auto"/>
          <w:sz w:val="24"/>
          <w:szCs w:val="24"/>
          <w:highlight w:val="none"/>
          <w:u w:val="single"/>
          <w:lang w:bidi="th-TH"/>
        </w:rPr>
        <w:t xml:space="preserve">      </w:t>
      </w:r>
      <w:r>
        <w:rPr>
          <w:rFonts w:hint="eastAsia" w:ascii="宋体" w:hAnsi="宋体" w:eastAsia="宋体" w:cs="宋体"/>
          <w:color w:val="auto"/>
          <w:sz w:val="24"/>
          <w:szCs w:val="24"/>
          <w:highlight w:val="none"/>
          <w:lang w:bidi="th-TH"/>
        </w:rPr>
        <w:t>性别：</w:t>
      </w:r>
      <w:r>
        <w:rPr>
          <w:rFonts w:hint="eastAsia" w:ascii="宋体" w:hAnsi="宋体" w:eastAsia="宋体" w:cs="宋体"/>
          <w:color w:val="auto"/>
          <w:sz w:val="24"/>
          <w:szCs w:val="24"/>
          <w:highlight w:val="none"/>
          <w:u w:val="single"/>
          <w:lang w:bidi="th-TH"/>
        </w:rPr>
        <w:t xml:space="preserve">      </w:t>
      </w:r>
      <w:r>
        <w:rPr>
          <w:rFonts w:hint="eastAsia" w:ascii="宋体" w:hAnsi="宋体" w:eastAsia="宋体" w:cs="宋体"/>
          <w:color w:val="auto"/>
          <w:sz w:val="24"/>
          <w:szCs w:val="24"/>
          <w:highlight w:val="none"/>
          <w:lang w:bidi="th-TH"/>
        </w:rPr>
        <w:t xml:space="preserve"> 年龄： </w:t>
      </w:r>
      <w:r>
        <w:rPr>
          <w:rFonts w:hint="eastAsia" w:ascii="宋体" w:hAnsi="宋体" w:eastAsia="宋体" w:cs="宋体"/>
          <w:color w:val="auto"/>
          <w:sz w:val="24"/>
          <w:szCs w:val="24"/>
          <w:highlight w:val="none"/>
          <w:u w:val="single"/>
          <w:lang w:bidi="th-TH"/>
        </w:rPr>
        <w:t xml:space="preserve">      </w:t>
      </w:r>
      <w:r>
        <w:rPr>
          <w:rFonts w:hint="eastAsia" w:ascii="宋体" w:hAnsi="宋体" w:eastAsia="宋体" w:cs="宋体"/>
          <w:color w:val="auto"/>
          <w:sz w:val="24"/>
          <w:szCs w:val="24"/>
          <w:highlight w:val="none"/>
          <w:lang w:bidi="th-TH"/>
        </w:rPr>
        <w:t>职务：</w:t>
      </w:r>
      <w:r>
        <w:rPr>
          <w:rFonts w:hint="eastAsia" w:ascii="宋体" w:hAnsi="宋体" w:eastAsia="宋体" w:cs="宋体"/>
          <w:color w:val="auto"/>
          <w:sz w:val="24"/>
          <w:szCs w:val="24"/>
          <w:highlight w:val="none"/>
          <w:u w:val="single"/>
          <w:lang w:bidi="th-TH"/>
        </w:rPr>
        <w:t xml:space="preserve">      </w:t>
      </w:r>
    </w:p>
    <w:p>
      <w:pPr>
        <w:pStyle w:val="25"/>
        <w:snapToGrid w:val="0"/>
        <w:spacing w:before="120" w:after="120" w:line="460" w:lineRule="exact"/>
        <w:jc w:val="left"/>
        <w:rPr>
          <w:rFonts w:hint="eastAsia" w:ascii="宋体" w:hAnsi="宋体" w:eastAsia="宋体" w:cs="宋体"/>
          <w:color w:val="auto"/>
          <w:sz w:val="24"/>
          <w:szCs w:val="24"/>
          <w:highlight w:val="none"/>
          <w:lang w:bidi="th-TH"/>
        </w:rPr>
      </w:pPr>
      <w:r>
        <w:rPr>
          <w:rFonts w:hint="eastAsia" w:ascii="宋体" w:hAnsi="宋体" w:eastAsia="宋体" w:cs="宋体"/>
          <w:color w:val="auto"/>
          <w:sz w:val="24"/>
          <w:szCs w:val="24"/>
          <w:highlight w:val="none"/>
          <w:lang w:bidi="th-TH"/>
        </w:rPr>
        <w:t>系</w:t>
      </w:r>
      <w:r>
        <w:rPr>
          <w:rFonts w:hint="eastAsia" w:ascii="宋体" w:hAnsi="宋体" w:eastAsia="宋体" w:cs="宋体"/>
          <w:color w:val="auto"/>
          <w:sz w:val="24"/>
          <w:szCs w:val="24"/>
          <w:highlight w:val="none"/>
          <w:u w:val="single"/>
          <w:lang w:bidi="th-TH"/>
        </w:rPr>
        <w:t>（投标人）</w:t>
      </w:r>
      <w:r>
        <w:rPr>
          <w:rFonts w:hint="eastAsia" w:ascii="宋体" w:hAnsi="宋体" w:eastAsia="宋体" w:cs="宋体"/>
          <w:color w:val="auto"/>
          <w:sz w:val="24"/>
          <w:szCs w:val="24"/>
          <w:highlight w:val="none"/>
          <w:lang w:bidi="th-TH"/>
        </w:rPr>
        <w:t>的法定代表人。</w:t>
      </w:r>
    </w:p>
    <w:p>
      <w:pPr>
        <w:pStyle w:val="25"/>
        <w:snapToGrid w:val="0"/>
        <w:spacing w:before="120" w:after="120" w:line="460" w:lineRule="exact"/>
        <w:jc w:val="left"/>
        <w:rPr>
          <w:rFonts w:hint="eastAsia" w:ascii="宋体" w:hAnsi="宋体" w:eastAsia="宋体" w:cs="宋体"/>
          <w:color w:val="auto"/>
          <w:sz w:val="24"/>
          <w:szCs w:val="24"/>
          <w:highlight w:val="none"/>
          <w:lang w:bidi="th-TH"/>
        </w:rPr>
      </w:pPr>
      <w:r>
        <w:rPr>
          <w:rFonts w:hint="eastAsia" w:ascii="宋体" w:hAnsi="宋体" w:eastAsia="宋体" w:cs="宋体"/>
          <w:color w:val="auto"/>
          <w:sz w:val="24"/>
          <w:szCs w:val="24"/>
          <w:highlight w:val="none"/>
          <w:lang w:bidi="th-TH"/>
        </w:rPr>
        <w:t>特此证明。</w:t>
      </w:r>
    </w:p>
    <w:p>
      <w:pPr>
        <w:pStyle w:val="25"/>
        <w:snapToGrid w:val="0"/>
        <w:spacing w:before="120" w:after="120" w:line="460" w:lineRule="exact"/>
        <w:jc w:val="left"/>
        <w:rPr>
          <w:rFonts w:hint="eastAsia" w:ascii="宋体" w:hAnsi="宋体" w:eastAsia="宋体" w:cs="宋体"/>
          <w:color w:val="auto"/>
          <w:sz w:val="24"/>
          <w:szCs w:val="24"/>
          <w:highlight w:val="none"/>
          <w:lang w:bidi="th-TH"/>
        </w:rPr>
      </w:pPr>
      <w:r>
        <w:rPr>
          <w:rFonts w:hint="eastAsia" w:ascii="宋体" w:hAnsi="宋体" w:eastAsia="宋体" w:cs="宋体"/>
          <w:color w:val="auto"/>
          <w:sz w:val="24"/>
          <w:szCs w:val="24"/>
          <w:highlight w:val="none"/>
        </w:rPr>
        <mc:AlternateContent>
          <mc:Choice Requires="wps">
            <w:drawing>
              <wp:anchor distT="0" distB="0" distL="114300" distR="114300" simplePos="0" relativeHeight="251660288" behindDoc="0" locked="0" layoutInCell="1" allowOverlap="1">
                <wp:simplePos x="0" y="0"/>
                <wp:positionH relativeFrom="column">
                  <wp:posOffset>19685</wp:posOffset>
                </wp:positionH>
                <wp:positionV relativeFrom="paragraph">
                  <wp:posOffset>113030</wp:posOffset>
                </wp:positionV>
                <wp:extent cx="1943100" cy="1089660"/>
                <wp:effectExtent l="5080" t="4445" r="13970" b="10795"/>
                <wp:wrapNone/>
                <wp:docPr id="2" name="Rectangle 3"/>
                <wp:cNvGraphicFramePr/>
                <a:graphic xmlns:a="http://schemas.openxmlformats.org/drawingml/2006/main">
                  <a:graphicData uri="http://schemas.microsoft.com/office/word/2010/wordprocessingShape">
                    <wps:wsp>
                      <wps:cNvSpPr/>
                      <wps:spPr>
                        <a:xfrm>
                          <a:off x="0" y="0"/>
                          <a:ext cx="1943100" cy="10896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宋体" w:hAnsi="宋体"/>
                                <w:sz w:val="24"/>
                              </w:rPr>
                            </w:pPr>
                          </w:p>
                          <w:p>
                            <w:pPr>
                              <w:jc w:val="center"/>
                              <w:rPr>
                                <w:rFonts w:ascii="宋体" w:hAnsi="宋体"/>
                                <w:sz w:val="24"/>
                              </w:rPr>
                            </w:pPr>
                            <w:r>
                              <w:rPr>
                                <w:rFonts w:hint="eastAsia" w:ascii="宋体" w:hAnsi="宋体"/>
                                <w:sz w:val="24"/>
                              </w:rPr>
                              <w:t>法定代表人身份证复印于此</w:t>
                            </w:r>
                          </w:p>
                        </w:txbxContent>
                      </wps:txbx>
                      <wps:bodyPr wrap="square" upright="1"/>
                    </wps:wsp>
                  </a:graphicData>
                </a:graphic>
              </wp:anchor>
            </w:drawing>
          </mc:Choice>
          <mc:Fallback>
            <w:pict>
              <v:rect id="Rectangle 3" o:spid="_x0000_s1026" o:spt="1" style="position:absolute;left:0pt;margin-left:1.55pt;margin-top:8.9pt;height:85.8pt;width:153pt;z-index:251660288;mso-width-relative:page;mso-height-relative:page;" fillcolor="#FFFFFF" filled="t" stroked="t" coordsize="21600,21600" o:gfxdata="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MAbmr9UAAAAIAQAADwAAAAAAAAABACAAAAAiAAAAZHJzL2Rv&#10;d25yZXYueG1sUEsBAhQAFAAAAAgAh07iQDHfh5QEAgAAOwQAAA4AAAAAAAAAAQAgAAAAJAEAAGRy&#10;cy9lMm9Eb2MueG1sUEsFBgAAAAAGAAYAWQEAAJoFAAAAAA==&#10;">
                <v:fill on="t" focussize="0,0"/>
                <v:stroke color="#000000" joinstyle="miter"/>
                <v:imagedata o:title=""/>
                <o:lock v:ext="edit" aspectratio="f"/>
                <v:textbox>
                  <w:txbxContent>
                    <w:p>
                      <w:pPr>
                        <w:jc w:val="center"/>
                        <w:rPr>
                          <w:rFonts w:hint="eastAsia" w:ascii="宋体" w:hAnsi="宋体"/>
                          <w:sz w:val="24"/>
                        </w:rPr>
                      </w:pPr>
                    </w:p>
                    <w:p>
                      <w:pPr>
                        <w:jc w:val="center"/>
                        <w:rPr>
                          <w:rFonts w:ascii="宋体" w:hAnsi="宋体"/>
                          <w:sz w:val="24"/>
                        </w:rPr>
                      </w:pPr>
                      <w:r>
                        <w:rPr>
                          <w:rFonts w:hint="eastAsia" w:ascii="宋体" w:hAnsi="宋体"/>
                          <w:sz w:val="24"/>
                        </w:rPr>
                        <w:t>法定代表人身份证复印于此</w:t>
                      </w:r>
                    </w:p>
                  </w:txbxContent>
                </v:textbox>
              </v:rect>
            </w:pict>
          </mc:Fallback>
        </mc:AlternateContent>
      </w:r>
    </w:p>
    <w:p>
      <w:pPr>
        <w:pStyle w:val="25"/>
        <w:snapToGrid w:val="0"/>
        <w:spacing w:before="120" w:after="120" w:line="460" w:lineRule="exact"/>
        <w:ind w:firstLine="5508" w:firstLineChars="2295"/>
        <w:jc w:val="left"/>
        <w:rPr>
          <w:rFonts w:hint="eastAsia" w:ascii="宋体" w:hAnsi="宋体" w:eastAsia="宋体" w:cs="宋体"/>
          <w:color w:val="auto"/>
          <w:sz w:val="24"/>
          <w:szCs w:val="24"/>
          <w:highlight w:val="none"/>
          <w:u w:val="single"/>
          <w:lang w:bidi="th-TH"/>
        </w:rPr>
      </w:pPr>
      <w:r>
        <w:rPr>
          <w:rFonts w:hint="eastAsia" w:ascii="宋体" w:hAnsi="宋体" w:eastAsia="宋体" w:cs="宋体"/>
          <w:color w:val="auto"/>
          <w:sz w:val="24"/>
          <w:szCs w:val="24"/>
          <w:highlight w:val="none"/>
          <w:lang w:bidi="th-TH"/>
        </w:rPr>
        <w:t>投标人（盖章）：</w:t>
      </w:r>
      <w:r>
        <w:rPr>
          <w:rFonts w:hint="eastAsia" w:ascii="宋体" w:hAnsi="宋体" w:eastAsia="宋体" w:cs="宋体"/>
          <w:color w:val="auto"/>
          <w:sz w:val="24"/>
          <w:szCs w:val="24"/>
          <w:highlight w:val="none"/>
          <w:u w:val="single"/>
          <w:lang w:bidi="th-TH"/>
        </w:rPr>
        <w:t xml:space="preserve">             </w:t>
      </w:r>
    </w:p>
    <w:p>
      <w:pPr>
        <w:pStyle w:val="25"/>
        <w:snapToGrid w:val="0"/>
        <w:spacing w:before="120" w:after="120" w:line="460" w:lineRule="exact"/>
        <w:ind w:firstLine="5508" w:firstLineChars="2295"/>
        <w:jc w:val="left"/>
        <w:rPr>
          <w:rFonts w:hint="eastAsia" w:ascii="宋体" w:hAnsi="宋体" w:eastAsia="宋体" w:cs="宋体"/>
          <w:color w:val="auto"/>
          <w:sz w:val="24"/>
          <w:szCs w:val="24"/>
          <w:highlight w:val="none"/>
          <w:lang w:bidi="th-TH"/>
        </w:rPr>
      </w:pPr>
      <w:r>
        <w:rPr>
          <w:rFonts w:hint="eastAsia" w:ascii="宋体" w:hAnsi="宋体" w:eastAsia="宋体" w:cs="宋体"/>
          <w:color w:val="auto"/>
          <w:sz w:val="24"/>
          <w:szCs w:val="24"/>
          <w:highlight w:val="none"/>
          <w:lang w:bidi="th-TH"/>
        </w:rPr>
        <w:t>日期：</w:t>
      </w:r>
      <w:r>
        <w:rPr>
          <w:rFonts w:hint="eastAsia" w:ascii="宋体" w:hAnsi="宋体" w:eastAsia="宋体" w:cs="宋体"/>
          <w:color w:val="auto"/>
          <w:sz w:val="24"/>
          <w:szCs w:val="24"/>
          <w:highlight w:val="none"/>
          <w:u w:val="single"/>
          <w:lang w:bidi="th-TH"/>
        </w:rPr>
        <w:t xml:space="preserve">   年  月  日</w:t>
      </w:r>
      <w:r>
        <w:rPr>
          <w:rFonts w:hint="eastAsia" w:ascii="宋体" w:hAnsi="宋体" w:eastAsia="宋体" w:cs="宋体"/>
          <w:color w:val="auto"/>
          <w:sz w:val="24"/>
          <w:szCs w:val="24"/>
          <w:highlight w:val="none"/>
          <w:lang w:bidi="th-TH"/>
        </w:rPr>
        <w:br w:type="page"/>
      </w:r>
      <w:r>
        <w:rPr>
          <w:rFonts w:hint="eastAsia" w:ascii="宋体" w:hAnsi="宋体" w:eastAsia="宋体" w:cs="宋体"/>
          <w:color w:val="auto"/>
          <w:sz w:val="24"/>
          <w:szCs w:val="24"/>
          <w:highlight w:val="none"/>
          <w:lang w:bidi="th-TH"/>
        </w:rPr>
        <w:t>格式二：</w:t>
      </w:r>
    </w:p>
    <w:p>
      <w:pPr>
        <w:pStyle w:val="25"/>
        <w:snapToGrid w:val="0"/>
        <w:spacing w:before="120" w:after="120" w:line="460" w:lineRule="exact"/>
        <w:jc w:val="center"/>
        <w:rPr>
          <w:rFonts w:hint="eastAsia" w:ascii="宋体" w:hAnsi="宋体" w:eastAsia="宋体" w:cs="宋体"/>
          <w:b/>
          <w:color w:val="auto"/>
          <w:szCs w:val="28"/>
          <w:highlight w:val="none"/>
        </w:rPr>
      </w:pPr>
    </w:p>
    <w:p>
      <w:pPr>
        <w:pStyle w:val="25"/>
        <w:snapToGrid w:val="0"/>
        <w:spacing w:before="120" w:after="120" w:line="460" w:lineRule="exact"/>
        <w:jc w:val="center"/>
        <w:rPr>
          <w:rFonts w:hint="eastAsia" w:ascii="宋体" w:hAnsi="宋体" w:eastAsia="宋体" w:cs="宋体"/>
          <w:b/>
          <w:color w:val="auto"/>
          <w:szCs w:val="28"/>
          <w:highlight w:val="none"/>
        </w:rPr>
      </w:pPr>
      <w:r>
        <w:rPr>
          <w:rFonts w:hint="eastAsia" w:ascii="宋体" w:hAnsi="宋体" w:eastAsia="宋体" w:cs="宋体"/>
          <w:b/>
          <w:color w:val="auto"/>
          <w:szCs w:val="28"/>
          <w:highlight w:val="none"/>
        </w:rPr>
        <w:t>投标人的法定代表人授权委托书</w:t>
      </w:r>
    </w:p>
    <w:p>
      <w:pPr>
        <w:pStyle w:val="25"/>
        <w:snapToGrid w:val="0"/>
        <w:spacing w:before="120" w:after="120" w:line="460" w:lineRule="exact"/>
        <w:ind w:firstLine="480" w:firstLineChars="200"/>
        <w:jc w:val="left"/>
        <w:rPr>
          <w:rFonts w:hint="eastAsia" w:ascii="宋体" w:hAnsi="宋体" w:eastAsia="宋体" w:cs="宋体"/>
          <w:color w:val="auto"/>
          <w:sz w:val="24"/>
          <w:szCs w:val="24"/>
          <w:highlight w:val="none"/>
          <w:lang w:bidi="th-TH"/>
        </w:rPr>
      </w:pPr>
      <w:r>
        <w:rPr>
          <w:rFonts w:hint="eastAsia" w:ascii="宋体" w:hAnsi="宋体" w:eastAsia="宋体" w:cs="宋体"/>
          <w:color w:val="auto"/>
          <w:sz w:val="24"/>
          <w:szCs w:val="24"/>
          <w:highlight w:val="none"/>
          <w:lang w:bidi="th-TH"/>
        </w:rPr>
        <w:t>本授权委托书声明：我</w:t>
      </w:r>
      <w:r>
        <w:rPr>
          <w:rFonts w:hint="eastAsia" w:ascii="宋体" w:hAnsi="宋体" w:eastAsia="宋体" w:cs="宋体"/>
          <w:color w:val="auto"/>
          <w:sz w:val="24"/>
          <w:szCs w:val="24"/>
          <w:highlight w:val="none"/>
          <w:u w:val="single"/>
          <w:lang w:bidi="th-TH"/>
        </w:rPr>
        <w:t>（姓名）</w:t>
      </w:r>
      <w:r>
        <w:rPr>
          <w:rFonts w:hint="eastAsia" w:ascii="宋体" w:hAnsi="宋体" w:eastAsia="宋体" w:cs="宋体"/>
          <w:color w:val="auto"/>
          <w:sz w:val="24"/>
          <w:szCs w:val="24"/>
          <w:highlight w:val="none"/>
          <w:lang w:bidi="th-TH"/>
        </w:rPr>
        <w:t>系</w:t>
      </w:r>
      <w:r>
        <w:rPr>
          <w:rFonts w:hint="eastAsia" w:ascii="宋体" w:hAnsi="宋体" w:eastAsia="宋体" w:cs="宋体"/>
          <w:color w:val="auto"/>
          <w:sz w:val="24"/>
          <w:szCs w:val="24"/>
          <w:highlight w:val="none"/>
          <w:u w:val="single"/>
          <w:lang w:bidi="th-TH"/>
        </w:rPr>
        <w:t>（投标人名称）</w:t>
      </w:r>
      <w:r>
        <w:rPr>
          <w:rFonts w:hint="eastAsia" w:ascii="宋体" w:hAnsi="宋体" w:eastAsia="宋体" w:cs="宋体"/>
          <w:color w:val="auto"/>
          <w:sz w:val="24"/>
          <w:szCs w:val="24"/>
          <w:highlight w:val="none"/>
          <w:lang w:bidi="th-TH"/>
        </w:rPr>
        <w:t>的法定代表人，现授权委托</w:t>
      </w:r>
      <w:r>
        <w:rPr>
          <w:rFonts w:hint="eastAsia" w:ascii="宋体" w:hAnsi="宋体" w:eastAsia="宋体" w:cs="宋体"/>
          <w:color w:val="auto"/>
          <w:sz w:val="24"/>
          <w:szCs w:val="24"/>
          <w:highlight w:val="none"/>
          <w:u w:val="single"/>
          <w:lang w:bidi="th-TH"/>
        </w:rPr>
        <w:t>（单位名称）</w:t>
      </w:r>
      <w:r>
        <w:rPr>
          <w:rFonts w:hint="eastAsia" w:ascii="宋体" w:hAnsi="宋体" w:eastAsia="宋体" w:cs="宋体"/>
          <w:color w:val="auto"/>
          <w:sz w:val="24"/>
          <w:szCs w:val="24"/>
          <w:highlight w:val="none"/>
          <w:lang w:bidi="th-TH"/>
        </w:rPr>
        <w:t>的</w:t>
      </w:r>
      <w:r>
        <w:rPr>
          <w:rFonts w:hint="eastAsia" w:ascii="宋体" w:hAnsi="宋体" w:eastAsia="宋体" w:cs="宋体"/>
          <w:color w:val="auto"/>
          <w:sz w:val="24"/>
          <w:szCs w:val="24"/>
          <w:highlight w:val="none"/>
          <w:u w:val="single"/>
          <w:lang w:bidi="th-TH"/>
        </w:rPr>
        <w:t>（姓名）</w:t>
      </w:r>
      <w:r>
        <w:rPr>
          <w:rFonts w:hint="eastAsia" w:ascii="宋体" w:hAnsi="宋体" w:eastAsia="宋体" w:cs="宋体"/>
          <w:color w:val="auto"/>
          <w:sz w:val="24"/>
          <w:szCs w:val="24"/>
          <w:highlight w:val="none"/>
          <w:lang w:bidi="th-TH"/>
        </w:rPr>
        <w:t>为我公司的代理人，以本公司的名义参加（</w:t>
      </w:r>
      <w:r>
        <w:rPr>
          <w:rFonts w:hint="eastAsia" w:ascii="宋体" w:hAnsi="宋体" w:eastAsia="宋体" w:cs="宋体"/>
          <w:color w:val="auto"/>
          <w:sz w:val="24"/>
          <w:szCs w:val="24"/>
          <w:highlight w:val="none"/>
          <w:u w:val="single"/>
          <w:lang w:bidi="th-TH"/>
        </w:rPr>
        <w:t>招标项目名称）</w:t>
      </w:r>
      <w:r>
        <w:rPr>
          <w:rFonts w:hint="eastAsia" w:ascii="宋体" w:hAnsi="宋体" w:eastAsia="宋体" w:cs="宋体"/>
          <w:color w:val="auto"/>
          <w:sz w:val="24"/>
          <w:szCs w:val="24"/>
          <w:highlight w:val="none"/>
          <w:lang w:bidi="th-TH"/>
        </w:rPr>
        <w:t>的投标活动。代理人在开标、评标、合同谈判过程中所签署的一切文件和处理与之有关的一切事务，我均予以承认。</w:t>
      </w:r>
    </w:p>
    <w:p>
      <w:pPr>
        <w:pStyle w:val="25"/>
        <w:snapToGrid w:val="0"/>
        <w:spacing w:before="120" w:after="120" w:line="460" w:lineRule="exact"/>
        <w:jc w:val="left"/>
        <w:rPr>
          <w:rFonts w:hint="eastAsia" w:ascii="宋体" w:hAnsi="宋体" w:eastAsia="宋体" w:cs="宋体"/>
          <w:color w:val="auto"/>
          <w:sz w:val="24"/>
          <w:szCs w:val="24"/>
          <w:highlight w:val="none"/>
          <w:lang w:bidi="th-TH"/>
        </w:rPr>
      </w:pPr>
      <w:r>
        <w:rPr>
          <w:rFonts w:hint="eastAsia" w:ascii="宋体" w:hAnsi="宋体" w:eastAsia="宋体" w:cs="宋体"/>
          <w:color w:val="auto"/>
          <w:sz w:val="24"/>
          <w:szCs w:val="24"/>
          <w:highlight w:val="none"/>
          <w:lang w:bidi="th-TH"/>
        </w:rPr>
        <w:t xml:space="preserve">代理人：                性别：           年龄：        </w:t>
      </w:r>
    </w:p>
    <w:p>
      <w:pPr>
        <w:pStyle w:val="25"/>
        <w:snapToGrid w:val="0"/>
        <w:spacing w:before="120" w:after="120" w:line="460" w:lineRule="exact"/>
        <w:jc w:val="left"/>
        <w:rPr>
          <w:rFonts w:hint="eastAsia" w:ascii="宋体" w:hAnsi="宋体" w:eastAsia="宋体" w:cs="宋体"/>
          <w:color w:val="auto"/>
          <w:sz w:val="24"/>
          <w:szCs w:val="24"/>
          <w:highlight w:val="none"/>
          <w:lang w:bidi="th-TH"/>
        </w:rPr>
      </w:pPr>
      <w:r>
        <w:rPr>
          <w:rFonts w:hint="eastAsia" w:ascii="宋体" w:hAnsi="宋体" w:eastAsia="宋体" w:cs="宋体"/>
          <w:color w:val="auto"/>
          <w:sz w:val="24"/>
          <w:szCs w:val="24"/>
          <w:highlight w:val="none"/>
          <w:lang w:bidi="th-TH"/>
        </w:rPr>
        <w:t>单位：                  部门：           职务：</w:t>
      </w:r>
    </w:p>
    <w:p>
      <w:pPr>
        <w:pStyle w:val="25"/>
        <w:snapToGrid w:val="0"/>
        <w:spacing w:before="120" w:after="120" w:line="460" w:lineRule="exact"/>
        <w:jc w:val="left"/>
        <w:rPr>
          <w:rFonts w:hint="eastAsia" w:ascii="宋体" w:hAnsi="宋体" w:eastAsia="宋体" w:cs="宋体"/>
          <w:color w:val="auto"/>
          <w:sz w:val="24"/>
          <w:szCs w:val="24"/>
          <w:highlight w:val="none"/>
          <w:lang w:bidi="th-TH"/>
        </w:rPr>
      </w:pPr>
      <w:r>
        <w:rPr>
          <w:rFonts w:hint="eastAsia" w:ascii="宋体" w:hAnsi="宋体" w:eastAsia="宋体" w:cs="宋体"/>
          <w:color w:val="auto"/>
          <w:sz w:val="24"/>
          <w:szCs w:val="24"/>
          <w:highlight w:val="none"/>
          <w:lang w:bidi="th-TH"/>
        </w:rPr>
        <w:t>代理人无转委托权。特此委托。</w:t>
      </w:r>
    </w:p>
    <w:p>
      <w:pPr>
        <w:pStyle w:val="25"/>
        <w:snapToGrid w:val="0"/>
        <w:spacing w:before="120" w:after="120" w:line="460" w:lineRule="exact"/>
        <w:jc w:val="left"/>
        <w:rPr>
          <w:rFonts w:hint="eastAsia" w:ascii="宋体" w:hAnsi="宋体" w:eastAsia="宋体" w:cs="宋体"/>
          <w:color w:val="auto"/>
          <w:sz w:val="24"/>
          <w:szCs w:val="24"/>
          <w:highlight w:val="none"/>
          <w:lang w:bidi="th-TH"/>
        </w:rPr>
      </w:pPr>
      <w:r>
        <w:rPr>
          <w:rFonts w:hint="eastAsia" w:ascii="宋体" w:hAnsi="宋体" w:eastAsia="宋体" w:cs="宋体"/>
          <w:color w:val="auto"/>
          <w:sz w:val="24"/>
          <w:szCs w:val="24"/>
          <w:highlight w:val="none"/>
        </w:rPr>
        <mc:AlternateContent>
          <mc:Choice Requires="wps">
            <w:drawing>
              <wp:anchor distT="0" distB="0" distL="114300" distR="114300" simplePos="0" relativeHeight="251659264" behindDoc="0" locked="0" layoutInCell="1" allowOverlap="1">
                <wp:simplePos x="0" y="0"/>
                <wp:positionH relativeFrom="column">
                  <wp:posOffset>41910</wp:posOffset>
                </wp:positionH>
                <wp:positionV relativeFrom="paragraph">
                  <wp:posOffset>22860</wp:posOffset>
                </wp:positionV>
                <wp:extent cx="1943100" cy="1089660"/>
                <wp:effectExtent l="5080" t="4445" r="13970" b="10795"/>
                <wp:wrapNone/>
                <wp:docPr id="1" name="Rectangle 2"/>
                <wp:cNvGraphicFramePr/>
                <a:graphic xmlns:a="http://schemas.openxmlformats.org/drawingml/2006/main">
                  <a:graphicData uri="http://schemas.microsoft.com/office/word/2010/wordprocessingShape">
                    <wps:wsp>
                      <wps:cNvSpPr/>
                      <wps:spPr>
                        <a:xfrm>
                          <a:off x="0" y="0"/>
                          <a:ext cx="1943100" cy="10896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宋体" w:hAnsi="宋体"/>
                                <w:sz w:val="24"/>
                              </w:rPr>
                            </w:pPr>
                          </w:p>
                          <w:p>
                            <w:pPr>
                              <w:jc w:val="center"/>
                              <w:rPr>
                                <w:rFonts w:ascii="宋体" w:hAnsi="宋体"/>
                                <w:szCs w:val="21"/>
                              </w:rPr>
                            </w:pPr>
                            <w:r>
                              <w:rPr>
                                <w:rFonts w:hint="eastAsia" w:ascii="宋体" w:hAnsi="宋体"/>
                                <w:szCs w:val="21"/>
                              </w:rPr>
                              <w:t>法定代表人及授权委托人身份证复印于此</w:t>
                            </w:r>
                          </w:p>
                        </w:txbxContent>
                      </wps:txbx>
                      <wps:bodyPr wrap="square" upright="1"/>
                    </wps:wsp>
                  </a:graphicData>
                </a:graphic>
              </wp:anchor>
            </w:drawing>
          </mc:Choice>
          <mc:Fallback>
            <w:pict>
              <v:rect id="Rectangle 2" o:spid="_x0000_s1026" o:spt="1" style="position:absolute;left:0pt;margin-left:3.3pt;margin-top:1.8pt;height:85.8pt;width:153pt;z-index:251659264;mso-width-relative:page;mso-height-relative:page;" fillcolor="#FFFFFF" filled="t" stroked="t" coordsize="21600,21600" o:gfxdata="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Cb5uU/UAAAABwEAAA8AAAAAAAAAAQAgAAAAIgAAAGRycy9kb3du&#10;cmV2LnhtbFBLAQIUABQAAAAIAIdO4kDdHlt3AwIAADsEAAAOAAAAAAAAAAEAIAAAACMBAABkcnMv&#10;ZTJvRG9jLnhtbFBLBQYAAAAABgAGAFkBAACYBQAAAAA=&#10;">
                <v:fill on="t" focussize="0,0"/>
                <v:stroke color="#000000" joinstyle="miter"/>
                <v:imagedata o:title=""/>
                <o:lock v:ext="edit" aspectratio="f"/>
                <v:textbox>
                  <w:txbxContent>
                    <w:p>
                      <w:pPr>
                        <w:jc w:val="center"/>
                        <w:rPr>
                          <w:rFonts w:hint="eastAsia" w:ascii="宋体" w:hAnsi="宋体"/>
                          <w:sz w:val="24"/>
                        </w:rPr>
                      </w:pPr>
                    </w:p>
                    <w:p>
                      <w:pPr>
                        <w:jc w:val="center"/>
                        <w:rPr>
                          <w:rFonts w:ascii="宋体" w:hAnsi="宋体"/>
                          <w:szCs w:val="21"/>
                        </w:rPr>
                      </w:pPr>
                      <w:r>
                        <w:rPr>
                          <w:rFonts w:hint="eastAsia" w:ascii="宋体" w:hAnsi="宋体"/>
                          <w:szCs w:val="21"/>
                        </w:rPr>
                        <w:t>法定代表人及授权委托人身份证复印于此</w:t>
                      </w:r>
                    </w:p>
                  </w:txbxContent>
                </v:textbox>
              </v:rect>
            </w:pict>
          </mc:Fallback>
        </mc:AlternateContent>
      </w:r>
    </w:p>
    <w:p>
      <w:pPr>
        <w:pStyle w:val="25"/>
        <w:snapToGrid w:val="0"/>
        <w:spacing w:before="120" w:after="120" w:line="460" w:lineRule="exact"/>
        <w:jc w:val="left"/>
        <w:rPr>
          <w:rFonts w:hint="eastAsia" w:ascii="宋体" w:hAnsi="宋体" w:eastAsia="宋体" w:cs="宋体"/>
          <w:color w:val="auto"/>
          <w:sz w:val="24"/>
          <w:szCs w:val="24"/>
          <w:highlight w:val="none"/>
          <w:lang w:bidi="th-TH"/>
        </w:rPr>
      </w:pPr>
    </w:p>
    <w:p>
      <w:pPr>
        <w:pStyle w:val="25"/>
        <w:snapToGrid w:val="0"/>
        <w:spacing w:before="120" w:after="120" w:line="460" w:lineRule="exact"/>
        <w:jc w:val="left"/>
        <w:rPr>
          <w:rFonts w:hint="eastAsia" w:ascii="宋体" w:hAnsi="宋体" w:eastAsia="宋体" w:cs="宋体"/>
          <w:color w:val="auto"/>
          <w:sz w:val="24"/>
          <w:szCs w:val="24"/>
          <w:highlight w:val="none"/>
          <w:lang w:bidi="th-TH"/>
        </w:rPr>
      </w:pPr>
    </w:p>
    <w:p>
      <w:pPr>
        <w:pStyle w:val="25"/>
        <w:snapToGrid w:val="0"/>
        <w:spacing w:before="120" w:after="120" w:line="460" w:lineRule="exact"/>
        <w:jc w:val="left"/>
        <w:rPr>
          <w:rFonts w:hint="eastAsia" w:ascii="宋体" w:hAnsi="宋体" w:eastAsia="宋体" w:cs="宋体"/>
          <w:color w:val="auto"/>
          <w:sz w:val="24"/>
          <w:szCs w:val="24"/>
          <w:highlight w:val="none"/>
          <w:u w:val="single"/>
          <w:lang w:bidi="th-TH"/>
        </w:rPr>
      </w:pPr>
      <w:r>
        <w:rPr>
          <w:rFonts w:hint="eastAsia" w:ascii="宋体" w:hAnsi="宋体" w:eastAsia="宋体" w:cs="宋体"/>
          <w:color w:val="auto"/>
          <w:sz w:val="24"/>
          <w:szCs w:val="24"/>
          <w:highlight w:val="none"/>
          <w:lang w:bidi="th-TH"/>
        </w:rPr>
        <w:t>投标人（盖章）：</w:t>
      </w:r>
      <w:r>
        <w:rPr>
          <w:rFonts w:hint="eastAsia" w:ascii="宋体" w:hAnsi="宋体" w:eastAsia="宋体" w:cs="宋体"/>
          <w:color w:val="auto"/>
          <w:sz w:val="24"/>
          <w:szCs w:val="24"/>
          <w:highlight w:val="none"/>
          <w:u w:val="single"/>
          <w:lang w:bidi="th-TH"/>
        </w:rPr>
        <w:t xml:space="preserve">                 </w:t>
      </w:r>
    </w:p>
    <w:p>
      <w:pPr>
        <w:pStyle w:val="25"/>
        <w:snapToGrid w:val="0"/>
        <w:spacing w:before="120" w:after="120" w:line="460" w:lineRule="exact"/>
        <w:jc w:val="left"/>
        <w:rPr>
          <w:rFonts w:hint="eastAsia" w:ascii="宋体" w:hAnsi="宋体" w:eastAsia="宋体" w:cs="宋体"/>
          <w:color w:val="auto"/>
          <w:sz w:val="24"/>
          <w:szCs w:val="24"/>
          <w:highlight w:val="none"/>
          <w:lang w:bidi="th-TH"/>
        </w:rPr>
      </w:pPr>
      <w:r>
        <w:rPr>
          <w:rFonts w:hint="eastAsia" w:ascii="宋体" w:hAnsi="宋体" w:eastAsia="宋体" w:cs="宋体"/>
          <w:color w:val="auto"/>
          <w:sz w:val="24"/>
          <w:szCs w:val="24"/>
          <w:highlight w:val="none"/>
          <w:lang w:bidi="th-TH"/>
        </w:rPr>
        <w:t>法定代表人（签字或盖章）：</w:t>
      </w:r>
      <w:r>
        <w:rPr>
          <w:rFonts w:hint="eastAsia" w:ascii="宋体" w:hAnsi="宋体" w:eastAsia="宋体" w:cs="宋体"/>
          <w:color w:val="auto"/>
          <w:sz w:val="24"/>
          <w:szCs w:val="24"/>
          <w:highlight w:val="none"/>
          <w:u w:val="single"/>
          <w:lang w:bidi="th-TH"/>
        </w:rPr>
        <w:t xml:space="preserve">        </w:t>
      </w:r>
    </w:p>
    <w:p>
      <w:pPr>
        <w:pStyle w:val="25"/>
        <w:snapToGrid w:val="0"/>
        <w:spacing w:before="120" w:after="120" w:line="460" w:lineRule="exact"/>
        <w:jc w:val="left"/>
        <w:rPr>
          <w:rFonts w:hint="eastAsia" w:ascii="宋体" w:hAnsi="宋体" w:eastAsia="宋体" w:cs="宋体"/>
          <w:color w:val="auto"/>
          <w:sz w:val="24"/>
          <w:szCs w:val="24"/>
          <w:highlight w:val="none"/>
          <w:u w:val="single"/>
          <w:lang w:bidi="th-TH"/>
        </w:rPr>
      </w:pPr>
      <w:r>
        <w:rPr>
          <w:rFonts w:hint="eastAsia" w:ascii="宋体" w:hAnsi="宋体" w:eastAsia="宋体" w:cs="宋体"/>
          <w:color w:val="auto"/>
          <w:sz w:val="24"/>
          <w:szCs w:val="24"/>
          <w:highlight w:val="none"/>
          <w:lang w:bidi="th-TH"/>
        </w:rPr>
        <w:t>日期：</w:t>
      </w:r>
      <w:r>
        <w:rPr>
          <w:rFonts w:hint="eastAsia" w:ascii="宋体" w:hAnsi="宋体" w:eastAsia="宋体" w:cs="宋体"/>
          <w:color w:val="auto"/>
          <w:sz w:val="24"/>
          <w:szCs w:val="24"/>
          <w:highlight w:val="none"/>
          <w:u w:val="single"/>
          <w:lang w:bidi="th-TH"/>
        </w:rPr>
        <w:t xml:space="preserve">   年  月  日</w:t>
      </w:r>
    </w:p>
    <w:p>
      <w:pPr>
        <w:pStyle w:val="25"/>
        <w:snapToGrid w:val="0"/>
        <w:spacing w:before="120" w:after="120" w:line="460" w:lineRule="exact"/>
        <w:jc w:val="left"/>
        <w:rPr>
          <w:rFonts w:hint="eastAsia" w:ascii="宋体" w:hAnsi="宋体" w:eastAsia="宋体" w:cs="宋体"/>
          <w:color w:val="auto"/>
          <w:highlight w:val="none"/>
          <w:lang w:bidi="th-TH"/>
        </w:rPr>
      </w:pPr>
    </w:p>
    <w:p>
      <w:pPr>
        <w:pStyle w:val="25"/>
        <w:snapToGrid w:val="0"/>
        <w:spacing w:before="120" w:after="120" w:line="460" w:lineRule="exact"/>
        <w:rPr>
          <w:rFonts w:hint="eastAsia" w:ascii="宋体" w:hAnsi="宋体" w:eastAsia="宋体" w:cs="宋体"/>
          <w:color w:val="auto"/>
          <w:sz w:val="24"/>
          <w:szCs w:val="24"/>
          <w:highlight w:val="none"/>
          <w:lang w:bidi="th-TH"/>
        </w:rPr>
      </w:pPr>
      <w:r>
        <w:rPr>
          <w:rFonts w:hint="eastAsia" w:ascii="宋体" w:hAnsi="宋体" w:eastAsia="宋体" w:cs="宋体"/>
          <w:color w:val="auto"/>
          <w:highlight w:val="none"/>
          <w:lang w:bidi="th-TH"/>
        </w:rPr>
        <w:br w:type="page"/>
      </w:r>
      <w:r>
        <w:rPr>
          <w:rFonts w:hint="eastAsia" w:ascii="宋体" w:hAnsi="宋体" w:eastAsia="宋体" w:cs="宋体"/>
          <w:color w:val="auto"/>
          <w:sz w:val="24"/>
          <w:szCs w:val="24"/>
          <w:highlight w:val="none"/>
          <w:lang w:bidi="th-TH"/>
        </w:rPr>
        <w:t>格式三：</w:t>
      </w:r>
    </w:p>
    <w:p>
      <w:pPr>
        <w:pStyle w:val="25"/>
        <w:snapToGrid w:val="0"/>
        <w:spacing w:line="480" w:lineRule="exact"/>
        <w:jc w:val="center"/>
        <w:rPr>
          <w:rFonts w:hint="eastAsia" w:ascii="宋体" w:hAnsi="宋体" w:eastAsia="宋体" w:cs="宋体"/>
          <w:b/>
          <w:color w:val="auto"/>
          <w:szCs w:val="28"/>
          <w:highlight w:val="none"/>
        </w:rPr>
      </w:pPr>
      <w:r>
        <w:rPr>
          <w:rFonts w:hint="eastAsia" w:ascii="宋体" w:hAnsi="宋体" w:eastAsia="宋体" w:cs="宋体"/>
          <w:b/>
          <w:color w:val="auto"/>
          <w:szCs w:val="28"/>
          <w:highlight w:val="none"/>
        </w:rPr>
        <w:t>投标函</w:t>
      </w:r>
    </w:p>
    <w:p>
      <w:pPr>
        <w:pStyle w:val="25"/>
        <w:spacing w:line="400" w:lineRule="exact"/>
        <w:jc w:val="left"/>
        <w:rPr>
          <w:rFonts w:hint="eastAsia" w:ascii="宋体" w:hAnsi="宋体" w:eastAsia="宋体" w:cs="宋体"/>
          <w:color w:val="auto"/>
          <w:sz w:val="24"/>
          <w:szCs w:val="24"/>
          <w:highlight w:val="none"/>
          <w:lang w:bidi="th-TH"/>
        </w:rPr>
      </w:pPr>
      <w:r>
        <w:rPr>
          <w:rFonts w:hint="eastAsia" w:ascii="宋体" w:hAnsi="宋体" w:eastAsia="宋体" w:cs="宋体"/>
          <w:color w:val="auto"/>
          <w:sz w:val="24"/>
          <w:szCs w:val="24"/>
          <w:highlight w:val="none"/>
          <w:u w:val="single"/>
          <w:lang w:bidi="th-TH"/>
        </w:rPr>
        <w:t>（招标人名称）</w:t>
      </w:r>
      <w:r>
        <w:rPr>
          <w:rFonts w:hint="eastAsia" w:ascii="宋体" w:hAnsi="宋体" w:eastAsia="宋体" w:cs="宋体"/>
          <w:color w:val="auto"/>
          <w:sz w:val="24"/>
          <w:szCs w:val="24"/>
          <w:highlight w:val="none"/>
          <w:lang w:bidi="th-TH"/>
        </w:rPr>
        <w:t>：</w:t>
      </w:r>
      <w:r>
        <w:rPr>
          <w:rFonts w:hint="eastAsia" w:ascii="宋体" w:hAnsi="宋体" w:eastAsia="宋体" w:cs="宋体"/>
          <w:color w:val="auto"/>
          <w:sz w:val="24"/>
          <w:szCs w:val="24"/>
          <w:highlight w:val="none"/>
          <w:u w:val="single"/>
          <w:lang w:bidi="th-TH"/>
        </w:rPr>
        <w:t xml:space="preserve">                                 </w:t>
      </w:r>
      <w:r>
        <w:rPr>
          <w:rFonts w:hint="eastAsia" w:ascii="宋体" w:hAnsi="宋体" w:eastAsia="宋体" w:cs="宋体"/>
          <w:color w:val="auto"/>
          <w:sz w:val="24"/>
          <w:szCs w:val="24"/>
          <w:highlight w:val="none"/>
          <w:lang w:bidi="th-TH"/>
        </w:rPr>
        <w:t xml:space="preserve">  </w:t>
      </w:r>
    </w:p>
    <w:p>
      <w:pPr>
        <w:pStyle w:val="25"/>
        <w:spacing w:line="400" w:lineRule="exact"/>
        <w:jc w:val="left"/>
        <w:rPr>
          <w:rFonts w:hint="eastAsia" w:ascii="宋体" w:hAnsi="宋体" w:eastAsia="宋体" w:cs="宋体"/>
          <w:color w:val="auto"/>
          <w:sz w:val="24"/>
          <w:szCs w:val="24"/>
          <w:highlight w:val="none"/>
          <w:lang w:bidi="th-TH"/>
        </w:rPr>
      </w:pPr>
      <w:r>
        <w:rPr>
          <w:rFonts w:hint="eastAsia" w:ascii="宋体" w:hAnsi="宋体" w:eastAsia="宋体" w:cs="宋体"/>
          <w:color w:val="auto"/>
          <w:sz w:val="24"/>
          <w:szCs w:val="24"/>
          <w:highlight w:val="none"/>
          <w:u w:val="single"/>
          <w:lang w:bidi="th-TH"/>
        </w:rPr>
        <w:t>（项目名称）</w:t>
      </w:r>
      <w:r>
        <w:rPr>
          <w:rFonts w:hint="eastAsia" w:ascii="宋体" w:hAnsi="宋体" w:eastAsia="宋体" w:cs="宋体"/>
          <w:color w:val="auto"/>
          <w:sz w:val="24"/>
          <w:szCs w:val="24"/>
          <w:highlight w:val="none"/>
          <w:lang w:bidi="th-TH"/>
        </w:rPr>
        <w:t>：</w:t>
      </w:r>
      <w:r>
        <w:rPr>
          <w:rFonts w:hint="eastAsia" w:ascii="宋体" w:hAnsi="宋体" w:eastAsia="宋体" w:cs="宋体"/>
          <w:color w:val="auto"/>
          <w:sz w:val="24"/>
          <w:szCs w:val="24"/>
          <w:highlight w:val="none"/>
          <w:u w:val="single"/>
          <w:lang w:bidi="th-TH"/>
        </w:rPr>
        <w:t xml:space="preserve">                                   </w:t>
      </w:r>
    </w:p>
    <w:p>
      <w:pPr>
        <w:pStyle w:val="25"/>
        <w:spacing w:line="400" w:lineRule="exact"/>
        <w:jc w:val="left"/>
        <w:rPr>
          <w:rFonts w:hint="eastAsia" w:ascii="宋体" w:hAnsi="宋体" w:eastAsia="宋体" w:cs="宋体"/>
          <w:color w:val="auto"/>
          <w:sz w:val="24"/>
          <w:szCs w:val="24"/>
          <w:highlight w:val="none"/>
          <w:lang w:bidi="th-TH"/>
        </w:rPr>
      </w:pPr>
      <w:r>
        <w:rPr>
          <w:rFonts w:hint="eastAsia" w:ascii="宋体" w:hAnsi="宋体" w:eastAsia="宋体" w:cs="宋体"/>
          <w:color w:val="auto"/>
          <w:sz w:val="24"/>
          <w:szCs w:val="24"/>
          <w:highlight w:val="none"/>
          <w:lang w:bidi="th-TH"/>
        </w:rPr>
        <w:t>据此函，签字代表宣布同意如下：</w:t>
      </w:r>
    </w:p>
    <w:p>
      <w:pPr>
        <w:pStyle w:val="25"/>
        <w:spacing w:line="400" w:lineRule="exact"/>
        <w:ind w:firstLine="480" w:firstLineChars="200"/>
        <w:jc w:val="left"/>
        <w:rPr>
          <w:rFonts w:hint="eastAsia" w:ascii="宋体" w:hAnsi="宋体" w:eastAsia="宋体" w:cs="宋体"/>
          <w:color w:val="auto"/>
          <w:sz w:val="24"/>
          <w:szCs w:val="24"/>
          <w:highlight w:val="none"/>
          <w:u w:val="single"/>
          <w:lang w:eastAsia="zh-CN" w:bidi="th-TH"/>
        </w:rPr>
      </w:pPr>
      <w:r>
        <w:rPr>
          <w:rFonts w:hint="eastAsia" w:ascii="宋体" w:hAnsi="宋体" w:eastAsia="宋体" w:cs="宋体"/>
          <w:color w:val="auto"/>
          <w:sz w:val="24"/>
          <w:szCs w:val="24"/>
          <w:highlight w:val="none"/>
          <w:lang w:bidi="th-TH"/>
        </w:rPr>
        <w:t>1.所附投标分项报价表中规定的应提交和交付的</w:t>
      </w:r>
      <w:r>
        <w:rPr>
          <w:rFonts w:hint="eastAsia" w:ascii="宋体" w:hAnsi="宋体" w:eastAsia="宋体" w:cs="宋体"/>
          <w:color w:val="auto"/>
          <w:sz w:val="24"/>
          <w:szCs w:val="24"/>
          <w:highlight w:val="none"/>
          <w:u w:val="single"/>
          <w:lang w:bidi="th-TH"/>
        </w:rPr>
        <w:t>（产品名称）</w:t>
      </w:r>
      <w:r>
        <w:rPr>
          <w:rFonts w:hint="eastAsia" w:ascii="宋体" w:hAnsi="宋体" w:eastAsia="宋体" w:cs="宋体"/>
          <w:color w:val="auto"/>
          <w:sz w:val="24"/>
          <w:szCs w:val="24"/>
          <w:highlight w:val="none"/>
          <w:lang w:bidi="th-TH"/>
        </w:rPr>
        <w:t>的投标单价为人民币大写：</w:t>
      </w:r>
      <w:r>
        <w:rPr>
          <w:rFonts w:hint="eastAsia" w:ascii="宋体" w:hAnsi="宋体" w:eastAsia="宋体" w:cs="宋体"/>
          <w:color w:val="auto"/>
          <w:sz w:val="24"/>
          <w:szCs w:val="24"/>
          <w:highlight w:val="none"/>
          <w:lang w:val="en-US" w:eastAsia="zh-CN" w:bidi="th-TH"/>
        </w:rPr>
        <w:t xml:space="preserve">               </w:t>
      </w:r>
      <w:r>
        <w:rPr>
          <w:rFonts w:hint="eastAsia" w:ascii="宋体" w:hAnsi="宋体" w:eastAsia="宋体" w:cs="宋体"/>
          <w:color w:val="auto"/>
          <w:sz w:val="24"/>
          <w:szCs w:val="24"/>
          <w:highlight w:val="none"/>
          <w:u w:val="single"/>
          <w:lang w:bidi="th-TH"/>
        </w:rPr>
        <w:t xml:space="preserve">      </w:t>
      </w:r>
      <w:r>
        <w:rPr>
          <w:rFonts w:hint="eastAsia" w:ascii="宋体" w:hAnsi="宋体" w:eastAsia="宋体" w:cs="宋体"/>
          <w:color w:val="auto"/>
          <w:sz w:val="24"/>
          <w:szCs w:val="24"/>
          <w:highlight w:val="none"/>
          <w:lang w:bidi="th-TH"/>
        </w:rPr>
        <w:t>元/吨，小写：￥</w:t>
      </w:r>
      <w:r>
        <w:rPr>
          <w:rFonts w:hint="eastAsia" w:ascii="宋体" w:hAnsi="宋体" w:eastAsia="宋体" w:cs="宋体"/>
          <w:color w:val="auto"/>
          <w:sz w:val="24"/>
          <w:szCs w:val="24"/>
          <w:highlight w:val="none"/>
          <w:u w:val="single"/>
          <w:lang w:bidi="th-TH"/>
        </w:rPr>
        <w:t xml:space="preserve">         </w:t>
      </w:r>
      <w:r>
        <w:rPr>
          <w:rFonts w:hint="eastAsia" w:ascii="宋体" w:hAnsi="宋体" w:eastAsia="宋体" w:cs="宋体"/>
          <w:color w:val="auto"/>
          <w:sz w:val="24"/>
          <w:szCs w:val="24"/>
          <w:highlight w:val="none"/>
          <w:lang w:bidi="th-TH"/>
        </w:rPr>
        <w:t>元/吨）。我方承诺在合同签订之日起按采购人使用要求供货。产品质量达</w:t>
      </w:r>
      <w:r>
        <w:rPr>
          <w:rFonts w:hint="eastAsia" w:ascii="宋体" w:hAnsi="宋体" w:eastAsia="宋体" w:cs="宋体"/>
          <w:color w:val="auto"/>
          <w:sz w:val="24"/>
          <w:szCs w:val="24"/>
          <w:highlight w:val="none"/>
          <w:u w:val="single"/>
          <w:lang w:bidi="th-TH"/>
        </w:rPr>
        <w:t>合格</w:t>
      </w:r>
      <w:r>
        <w:rPr>
          <w:rFonts w:hint="eastAsia" w:ascii="宋体" w:hAnsi="宋体" w:eastAsia="宋体" w:cs="宋体"/>
          <w:color w:val="auto"/>
          <w:sz w:val="24"/>
          <w:szCs w:val="24"/>
          <w:highlight w:val="none"/>
          <w:lang w:bidi="th-TH"/>
        </w:rPr>
        <w:t>标准</w:t>
      </w:r>
      <w:r>
        <w:rPr>
          <w:rFonts w:hint="eastAsia" w:ascii="宋体" w:hAnsi="宋体" w:eastAsia="宋体" w:cs="宋体"/>
          <w:color w:val="auto"/>
          <w:sz w:val="24"/>
          <w:szCs w:val="24"/>
          <w:highlight w:val="none"/>
          <w:lang w:eastAsia="zh-CN" w:bidi="th-TH"/>
        </w:rPr>
        <w:t>。</w:t>
      </w:r>
    </w:p>
    <w:p>
      <w:pPr>
        <w:pStyle w:val="25"/>
        <w:spacing w:line="400" w:lineRule="exact"/>
        <w:ind w:firstLine="480" w:firstLineChars="200"/>
        <w:jc w:val="left"/>
        <w:rPr>
          <w:rFonts w:hint="eastAsia" w:ascii="宋体" w:hAnsi="宋体" w:eastAsia="宋体" w:cs="宋体"/>
          <w:color w:val="auto"/>
          <w:sz w:val="24"/>
          <w:szCs w:val="24"/>
          <w:highlight w:val="none"/>
          <w:lang w:bidi="th-TH"/>
        </w:rPr>
      </w:pPr>
      <w:r>
        <w:rPr>
          <w:rFonts w:hint="eastAsia" w:ascii="宋体" w:hAnsi="宋体" w:eastAsia="宋体" w:cs="宋体"/>
          <w:color w:val="auto"/>
          <w:sz w:val="24"/>
          <w:szCs w:val="24"/>
          <w:highlight w:val="none"/>
          <w:lang w:bidi="th-TH"/>
        </w:rPr>
        <w:t>2.我方已详细审查全部招标文件，包括有关澄清和补充说明（如果有的话）。我们完全理解并同意放弃对这方面有不明及误解的权力。</w:t>
      </w:r>
    </w:p>
    <w:p>
      <w:pPr>
        <w:pStyle w:val="25"/>
        <w:spacing w:line="400" w:lineRule="exact"/>
        <w:ind w:firstLine="480" w:firstLineChars="200"/>
        <w:jc w:val="left"/>
        <w:rPr>
          <w:rFonts w:hint="eastAsia" w:ascii="宋体" w:hAnsi="宋体" w:eastAsia="宋体" w:cs="宋体"/>
          <w:color w:val="auto"/>
          <w:sz w:val="24"/>
          <w:szCs w:val="24"/>
          <w:highlight w:val="none"/>
          <w:lang w:bidi="th-TH"/>
        </w:rPr>
      </w:pPr>
      <w:r>
        <w:rPr>
          <w:rFonts w:hint="eastAsia" w:ascii="宋体" w:hAnsi="宋体" w:eastAsia="宋体" w:cs="宋体"/>
          <w:color w:val="auto"/>
          <w:sz w:val="24"/>
          <w:szCs w:val="24"/>
          <w:highlight w:val="none"/>
          <w:lang w:bidi="th-TH"/>
        </w:rPr>
        <w:t>3.本投标文件有效期为自开标日起60个日历天。在这期间，本投标文件将始终对我方具有约束力，并可随时被接受。本次招标文件和本投标文件（含承诺书）将作为买卖合同的附件。</w:t>
      </w:r>
    </w:p>
    <w:p>
      <w:pPr>
        <w:pStyle w:val="25"/>
        <w:spacing w:line="400" w:lineRule="exact"/>
        <w:ind w:firstLine="480" w:firstLineChars="200"/>
        <w:jc w:val="left"/>
        <w:rPr>
          <w:rFonts w:hint="eastAsia" w:ascii="宋体" w:hAnsi="宋体" w:eastAsia="宋体" w:cs="宋体"/>
          <w:color w:val="auto"/>
          <w:sz w:val="24"/>
          <w:szCs w:val="24"/>
          <w:highlight w:val="none"/>
          <w:lang w:bidi="th-TH"/>
        </w:rPr>
      </w:pPr>
      <w:r>
        <w:rPr>
          <w:rFonts w:hint="eastAsia" w:ascii="宋体" w:hAnsi="宋体" w:eastAsia="宋体" w:cs="宋体"/>
          <w:color w:val="auto"/>
          <w:sz w:val="24"/>
          <w:szCs w:val="24"/>
          <w:highlight w:val="none"/>
          <w:lang w:bidi="th-TH"/>
        </w:rPr>
        <w:t>4.我方愿意向招标人提供与本次招标的相关资料，并对其真实性、合法性、有效性负责。</w:t>
      </w:r>
    </w:p>
    <w:p>
      <w:pPr>
        <w:pStyle w:val="25"/>
        <w:spacing w:line="400" w:lineRule="exact"/>
        <w:ind w:firstLine="480" w:firstLineChars="200"/>
        <w:jc w:val="left"/>
        <w:rPr>
          <w:rFonts w:hint="eastAsia" w:ascii="宋体" w:hAnsi="宋体" w:eastAsia="宋体" w:cs="宋体"/>
          <w:color w:val="auto"/>
          <w:sz w:val="24"/>
          <w:szCs w:val="24"/>
          <w:highlight w:val="none"/>
          <w:lang w:bidi="th-TH"/>
        </w:rPr>
      </w:pPr>
      <w:r>
        <w:rPr>
          <w:rFonts w:hint="eastAsia" w:ascii="宋体" w:hAnsi="宋体" w:eastAsia="宋体" w:cs="宋体"/>
          <w:color w:val="auto"/>
          <w:sz w:val="24"/>
          <w:szCs w:val="24"/>
          <w:highlight w:val="none"/>
          <w:lang w:bidi="th-TH"/>
        </w:rPr>
        <w:t>5.我方将严格履行本投标文件中的全部承诺和责任，并遵守招标文件中对投标人的所有规定。</w:t>
      </w:r>
    </w:p>
    <w:p>
      <w:pPr>
        <w:pStyle w:val="25"/>
        <w:spacing w:line="400" w:lineRule="exact"/>
        <w:ind w:firstLine="480" w:firstLineChars="200"/>
        <w:jc w:val="left"/>
        <w:rPr>
          <w:rFonts w:hint="eastAsia" w:ascii="宋体" w:hAnsi="宋体" w:eastAsia="宋体" w:cs="宋体"/>
          <w:color w:val="auto"/>
          <w:sz w:val="24"/>
          <w:szCs w:val="24"/>
          <w:highlight w:val="none"/>
          <w:lang w:bidi="th-TH"/>
        </w:rPr>
      </w:pPr>
      <w:r>
        <w:rPr>
          <w:rFonts w:hint="eastAsia" w:ascii="宋体" w:hAnsi="宋体" w:eastAsia="宋体" w:cs="宋体"/>
          <w:color w:val="auto"/>
          <w:sz w:val="24"/>
          <w:szCs w:val="24"/>
          <w:highlight w:val="none"/>
          <w:lang w:bidi="th-TH"/>
        </w:rPr>
        <w:t>6.我方完全理解招标人有保留在授标之前任何时候根据评标委员会的意见接受或拒绝任何投标的权力，并完全理解招标人对此无解释的义务。</w:t>
      </w:r>
    </w:p>
    <w:p>
      <w:pPr>
        <w:pStyle w:val="25"/>
        <w:spacing w:line="400" w:lineRule="exact"/>
        <w:ind w:firstLine="480" w:firstLineChars="200"/>
        <w:jc w:val="left"/>
        <w:rPr>
          <w:rFonts w:hint="eastAsia" w:ascii="宋体" w:hAnsi="宋体" w:eastAsia="宋体" w:cs="宋体"/>
          <w:color w:val="auto"/>
          <w:sz w:val="24"/>
          <w:szCs w:val="24"/>
          <w:highlight w:val="none"/>
          <w:lang w:bidi="th-TH"/>
        </w:rPr>
      </w:pPr>
      <w:r>
        <w:rPr>
          <w:rFonts w:hint="eastAsia" w:ascii="宋体" w:hAnsi="宋体" w:eastAsia="宋体" w:cs="宋体"/>
          <w:color w:val="auto"/>
          <w:sz w:val="24"/>
          <w:szCs w:val="24"/>
          <w:highlight w:val="none"/>
          <w:lang w:bidi="th-TH"/>
        </w:rPr>
        <w:t>7.我方完全理解招标人不一定接受投标价最低的投标。</w:t>
      </w:r>
    </w:p>
    <w:p>
      <w:pPr>
        <w:pStyle w:val="25"/>
        <w:spacing w:line="400" w:lineRule="exact"/>
        <w:ind w:firstLine="480" w:firstLineChars="200"/>
        <w:jc w:val="left"/>
        <w:rPr>
          <w:rFonts w:hint="eastAsia" w:ascii="宋体" w:hAnsi="宋体" w:eastAsia="宋体" w:cs="宋体"/>
          <w:color w:val="auto"/>
          <w:sz w:val="24"/>
          <w:szCs w:val="24"/>
          <w:highlight w:val="none"/>
          <w:lang w:bidi="th-TH"/>
        </w:rPr>
      </w:pPr>
      <w:r>
        <w:rPr>
          <w:rFonts w:hint="eastAsia" w:ascii="宋体" w:hAnsi="宋体" w:eastAsia="宋体" w:cs="宋体"/>
          <w:color w:val="auto"/>
          <w:sz w:val="24"/>
          <w:szCs w:val="24"/>
          <w:highlight w:val="none"/>
          <w:lang w:bidi="th-TH"/>
        </w:rPr>
        <w:t>8.我方承诺在此次招标过程中涉及的一切应当保密的事项，不向任何第三方泄露，否则承担一切法律责任。</w:t>
      </w:r>
    </w:p>
    <w:p>
      <w:pPr>
        <w:pStyle w:val="25"/>
        <w:spacing w:line="400" w:lineRule="exact"/>
        <w:ind w:firstLine="480" w:firstLineChars="200"/>
        <w:jc w:val="left"/>
        <w:rPr>
          <w:rFonts w:hint="eastAsia" w:ascii="宋体" w:hAnsi="宋体" w:eastAsia="宋体" w:cs="宋体"/>
          <w:color w:val="auto"/>
          <w:sz w:val="24"/>
          <w:szCs w:val="24"/>
          <w:highlight w:val="none"/>
          <w:lang w:bidi="th-TH"/>
        </w:rPr>
      </w:pPr>
      <w:r>
        <w:rPr>
          <w:rFonts w:hint="eastAsia" w:ascii="宋体" w:hAnsi="宋体" w:eastAsia="宋体" w:cs="宋体"/>
          <w:color w:val="auto"/>
          <w:sz w:val="24"/>
          <w:szCs w:val="24"/>
          <w:highlight w:val="none"/>
          <w:lang w:bidi="th-TH"/>
        </w:rPr>
        <w:t>9.如果我方中标，我们将按招标人要求的时间节点供货和安装，严格按照招标文件的规定履行合同责任和义务。</w:t>
      </w:r>
    </w:p>
    <w:p>
      <w:pPr>
        <w:pStyle w:val="25"/>
        <w:spacing w:line="400" w:lineRule="exact"/>
        <w:ind w:firstLine="480" w:firstLineChars="200"/>
        <w:jc w:val="left"/>
        <w:rPr>
          <w:rFonts w:hint="eastAsia" w:ascii="宋体" w:hAnsi="宋体" w:eastAsia="宋体" w:cs="宋体"/>
          <w:color w:val="auto"/>
          <w:sz w:val="24"/>
          <w:szCs w:val="24"/>
          <w:highlight w:val="none"/>
          <w:lang w:bidi="th-TH"/>
        </w:rPr>
      </w:pPr>
      <w:r>
        <w:rPr>
          <w:rFonts w:hint="eastAsia" w:ascii="宋体" w:hAnsi="宋体" w:eastAsia="宋体" w:cs="宋体"/>
          <w:color w:val="auto"/>
          <w:sz w:val="24"/>
          <w:szCs w:val="24"/>
          <w:highlight w:val="none"/>
          <w:lang w:bidi="th-TH"/>
        </w:rPr>
        <w:t>10.如果我方中标，为执行合同，我们将按照招标文件约定要求，接受招标人、监理及总承包等单位的管理、考核等。</w:t>
      </w:r>
    </w:p>
    <w:p>
      <w:pPr>
        <w:pStyle w:val="25"/>
        <w:spacing w:line="400" w:lineRule="exact"/>
        <w:ind w:firstLine="480" w:firstLineChars="200"/>
        <w:jc w:val="left"/>
        <w:rPr>
          <w:rFonts w:hint="eastAsia" w:ascii="宋体" w:hAnsi="宋体" w:eastAsia="宋体" w:cs="宋体"/>
          <w:color w:val="auto"/>
          <w:sz w:val="24"/>
          <w:szCs w:val="24"/>
          <w:highlight w:val="none"/>
          <w:lang w:bidi="th-TH"/>
        </w:rPr>
      </w:pPr>
      <w:r>
        <w:rPr>
          <w:rFonts w:hint="eastAsia" w:ascii="宋体" w:hAnsi="宋体" w:eastAsia="宋体" w:cs="宋体"/>
          <w:color w:val="auto"/>
          <w:sz w:val="24"/>
          <w:szCs w:val="24"/>
          <w:highlight w:val="none"/>
          <w:lang w:bidi="th-TH"/>
        </w:rPr>
        <w:t>11.与本次投标有关的一切往来信函请寄：</w:t>
      </w:r>
    </w:p>
    <w:p>
      <w:pPr>
        <w:pStyle w:val="25"/>
        <w:spacing w:line="400" w:lineRule="exact"/>
        <w:ind w:firstLine="480" w:firstLineChars="200"/>
        <w:jc w:val="left"/>
        <w:rPr>
          <w:rFonts w:hint="eastAsia" w:ascii="宋体" w:hAnsi="宋体" w:eastAsia="宋体" w:cs="宋体"/>
          <w:color w:val="auto"/>
          <w:sz w:val="24"/>
          <w:szCs w:val="24"/>
          <w:highlight w:val="none"/>
          <w:u w:val="single"/>
          <w:lang w:bidi="th-TH"/>
        </w:rPr>
      </w:pPr>
      <w:r>
        <w:rPr>
          <w:rFonts w:hint="eastAsia" w:ascii="宋体" w:hAnsi="宋体" w:eastAsia="宋体" w:cs="宋体"/>
          <w:color w:val="auto"/>
          <w:sz w:val="24"/>
          <w:szCs w:val="24"/>
          <w:highlight w:val="none"/>
          <w:lang w:bidi="th-TH"/>
        </w:rPr>
        <w:t>地址：</w:t>
      </w:r>
      <w:r>
        <w:rPr>
          <w:rFonts w:hint="eastAsia" w:ascii="宋体" w:hAnsi="宋体" w:eastAsia="宋体" w:cs="宋体"/>
          <w:color w:val="auto"/>
          <w:sz w:val="24"/>
          <w:szCs w:val="24"/>
          <w:highlight w:val="none"/>
          <w:u w:val="single"/>
          <w:lang w:bidi="th-TH"/>
        </w:rPr>
        <w:t xml:space="preserve">             </w:t>
      </w:r>
      <w:r>
        <w:rPr>
          <w:rFonts w:hint="eastAsia" w:ascii="宋体" w:hAnsi="宋体" w:eastAsia="宋体" w:cs="宋体"/>
          <w:color w:val="auto"/>
          <w:sz w:val="24"/>
          <w:szCs w:val="24"/>
          <w:highlight w:val="none"/>
          <w:lang w:bidi="th-TH"/>
        </w:rPr>
        <w:t xml:space="preserve">    传真：</w:t>
      </w:r>
      <w:r>
        <w:rPr>
          <w:rFonts w:hint="eastAsia" w:ascii="宋体" w:hAnsi="宋体" w:eastAsia="宋体" w:cs="宋体"/>
          <w:color w:val="auto"/>
          <w:sz w:val="24"/>
          <w:szCs w:val="24"/>
          <w:highlight w:val="none"/>
          <w:u w:val="single"/>
          <w:lang w:bidi="th-TH"/>
        </w:rPr>
        <w:t xml:space="preserve">               </w:t>
      </w:r>
    </w:p>
    <w:p>
      <w:pPr>
        <w:pStyle w:val="25"/>
        <w:spacing w:line="400" w:lineRule="exact"/>
        <w:ind w:firstLine="480" w:firstLineChars="200"/>
        <w:jc w:val="left"/>
        <w:rPr>
          <w:rFonts w:hint="eastAsia" w:ascii="宋体" w:hAnsi="宋体" w:eastAsia="宋体" w:cs="宋体"/>
          <w:color w:val="auto"/>
          <w:sz w:val="24"/>
          <w:szCs w:val="24"/>
          <w:highlight w:val="none"/>
          <w:u w:val="single"/>
          <w:lang w:bidi="th-TH"/>
        </w:rPr>
      </w:pPr>
      <w:r>
        <w:rPr>
          <w:rFonts w:hint="eastAsia" w:ascii="宋体" w:hAnsi="宋体" w:eastAsia="宋体" w:cs="宋体"/>
          <w:color w:val="auto"/>
          <w:sz w:val="24"/>
          <w:szCs w:val="24"/>
          <w:highlight w:val="none"/>
          <w:lang w:bidi="th-TH"/>
        </w:rPr>
        <w:t>电话：</w:t>
      </w:r>
      <w:r>
        <w:rPr>
          <w:rFonts w:hint="eastAsia" w:ascii="宋体" w:hAnsi="宋体" w:eastAsia="宋体" w:cs="宋体"/>
          <w:color w:val="auto"/>
          <w:sz w:val="24"/>
          <w:szCs w:val="24"/>
          <w:highlight w:val="none"/>
          <w:u w:val="single"/>
          <w:lang w:bidi="th-TH"/>
        </w:rPr>
        <w:t xml:space="preserve">             </w:t>
      </w:r>
      <w:r>
        <w:rPr>
          <w:rFonts w:hint="eastAsia" w:ascii="宋体" w:hAnsi="宋体" w:eastAsia="宋体" w:cs="宋体"/>
          <w:color w:val="auto"/>
          <w:sz w:val="24"/>
          <w:szCs w:val="24"/>
          <w:highlight w:val="none"/>
          <w:lang w:bidi="th-TH"/>
        </w:rPr>
        <w:t xml:space="preserve">    电子邮件：</w:t>
      </w:r>
      <w:r>
        <w:rPr>
          <w:rFonts w:hint="eastAsia" w:ascii="宋体" w:hAnsi="宋体" w:eastAsia="宋体" w:cs="宋体"/>
          <w:color w:val="auto"/>
          <w:sz w:val="24"/>
          <w:szCs w:val="24"/>
          <w:highlight w:val="none"/>
          <w:u w:val="single"/>
          <w:lang w:bidi="th-TH"/>
        </w:rPr>
        <w:t xml:space="preserve">            </w:t>
      </w:r>
    </w:p>
    <w:p>
      <w:pPr>
        <w:pStyle w:val="25"/>
        <w:spacing w:line="400" w:lineRule="exact"/>
        <w:ind w:firstLine="480" w:firstLineChars="200"/>
        <w:jc w:val="left"/>
        <w:rPr>
          <w:rFonts w:hint="eastAsia" w:ascii="宋体" w:hAnsi="宋体" w:eastAsia="宋体" w:cs="宋体"/>
          <w:color w:val="auto"/>
          <w:sz w:val="24"/>
          <w:szCs w:val="24"/>
          <w:highlight w:val="none"/>
          <w:u w:val="single"/>
          <w:lang w:bidi="th-TH"/>
        </w:rPr>
      </w:pPr>
    </w:p>
    <w:p>
      <w:pPr>
        <w:pStyle w:val="25"/>
        <w:spacing w:line="400" w:lineRule="exact"/>
        <w:ind w:firstLine="480" w:firstLineChars="200"/>
        <w:jc w:val="left"/>
        <w:rPr>
          <w:rFonts w:hint="eastAsia" w:ascii="宋体" w:hAnsi="宋体" w:eastAsia="宋体" w:cs="宋体"/>
          <w:color w:val="auto"/>
          <w:sz w:val="24"/>
          <w:szCs w:val="24"/>
          <w:highlight w:val="none"/>
          <w:u w:val="single"/>
          <w:lang w:bidi="th-TH"/>
        </w:rPr>
      </w:pPr>
      <w:r>
        <w:rPr>
          <w:rFonts w:hint="eastAsia" w:ascii="宋体" w:hAnsi="宋体" w:eastAsia="宋体" w:cs="宋体"/>
          <w:color w:val="auto"/>
          <w:sz w:val="24"/>
          <w:szCs w:val="24"/>
          <w:highlight w:val="none"/>
          <w:lang w:bidi="th-TH"/>
        </w:rPr>
        <w:t>投标人（盖章）：</w:t>
      </w:r>
      <w:r>
        <w:rPr>
          <w:rFonts w:hint="eastAsia" w:ascii="宋体" w:hAnsi="宋体" w:eastAsia="宋体" w:cs="宋体"/>
          <w:color w:val="auto"/>
          <w:sz w:val="24"/>
          <w:szCs w:val="24"/>
          <w:highlight w:val="none"/>
          <w:u w:val="single"/>
          <w:lang w:bidi="th-TH"/>
        </w:rPr>
        <w:t xml:space="preserve">                 </w:t>
      </w:r>
    </w:p>
    <w:p>
      <w:pPr>
        <w:pStyle w:val="25"/>
        <w:spacing w:line="400" w:lineRule="exact"/>
        <w:ind w:firstLine="480" w:firstLineChars="200"/>
        <w:jc w:val="left"/>
        <w:rPr>
          <w:rFonts w:hint="eastAsia" w:ascii="宋体" w:hAnsi="宋体" w:eastAsia="宋体" w:cs="宋体"/>
          <w:color w:val="auto"/>
          <w:sz w:val="24"/>
          <w:szCs w:val="24"/>
          <w:highlight w:val="none"/>
          <w:lang w:bidi="th-TH"/>
        </w:rPr>
      </w:pPr>
      <w:r>
        <w:rPr>
          <w:rFonts w:hint="eastAsia" w:ascii="宋体" w:hAnsi="宋体" w:eastAsia="宋体" w:cs="宋体"/>
          <w:color w:val="auto"/>
          <w:sz w:val="24"/>
          <w:szCs w:val="24"/>
          <w:highlight w:val="none"/>
          <w:lang w:bidi="th-TH"/>
        </w:rPr>
        <w:t>法定代表人或授权委托人（签字或盖章）：</w:t>
      </w:r>
      <w:r>
        <w:rPr>
          <w:rFonts w:hint="eastAsia" w:ascii="宋体" w:hAnsi="宋体" w:eastAsia="宋体" w:cs="宋体"/>
          <w:color w:val="auto"/>
          <w:sz w:val="24"/>
          <w:szCs w:val="24"/>
          <w:highlight w:val="none"/>
          <w:u w:val="single"/>
          <w:lang w:bidi="th-TH"/>
        </w:rPr>
        <w:t xml:space="preserve">        </w:t>
      </w:r>
    </w:p>
    <w:p>
      <w:pPr>
        <w:pStyle w:val="25"/>
        <w:spacing w:line="400" w:lineRule="exact"/>
        <w:ind w:firstLine="480" w:firstLineChars="200"/>
        <w:jc w:val="left"/>
        <w:rPr>
          <w:rFonts w:hint="eastAsia" w:ascii="宋体" w:hAnsi="宋体" w:eastAsia="宋体" w:cs="宋体"/>
          <w:color w:val="auto"/>
          <w:sz w:val="24"/>
          <w:szCs w:val="24"/>
          <w:highlight w:val="none"/>
          <w:u w:val="single"/>
          <w:lang w:bidi="th-TH"/>
        </w:rPr>
      </w:pPr>
      <w:r>
        <w:rPr>
          <w:rFonts w:hint="eastAsia" w:ascii="宋体" w:hAnsi="宋体" w:eastAsia="宋体" w:cs="宋体"/>
          <w:color w:val="auto"/>
          <w:sz w:val="24"/>
          <w:szCs w:val="24"/>
          <w:highlight w:val="none"/>
          <w:lang w:bidi="th-TH"/>
        </w:rPr>
        <w:t>日期：</w:t>
      </w:r>
      <w:r>
        <w:rPr>
          <w:rFonts w:hint="eastAsia" w:ascii="宋体" w:hAnsi="宋体" w:eastAsia="宋体" w:cs="宋体"/>
          <w:color w:val="auto"/>
          <w:sz w:val="24"/>
          <w:szCs w:val="24"/>
          <w:highlight w:val="none"/>
          <w:u w:val="single"/>
          <w:lang w:bidi="th-TH"/>
        </w:rPr>
        <w:t xml:space="preserve">   年  月  日</w:t>
      </w:r>
    </w:p>
    <w:p>
      <w:pPr>
        <w:pStyle w:val="25"/>
        <w:snapToGrid w:val="0"/>
        <w:spacing w:before="120" w:after="120" w:line="460" w:lineRule="exact"/>
        <w:jc w:val="left"/>
        <w:rPr>
          <w:rFonts w:hint="eastAsia" w:ascii="宋体" w:hAnsi="宋体" w:eastAsia="宋体" w:cs="宋体"/>
          <w:color w:val="auto"/>
          <w:sz w:val="24"/>
          <w:szCs w:val="24"/>
          <w:highlight w:val="none"/>
          <w:lang w:bidi="th-TH"/>
        </w:rPr>
      </w:pPr>
    </w:p>
    <w:p>
      <w:pPr>
        <w:pStyle w:val="25"/>
        <w:snapToGrid w:val="0"/>
        <w:spacing w:before="120" w:after="120" w:line="460" w:lineRule="exact"/>
        <w:jc w:val="left"/>
        <w:rPr>
          <w:rFonts w:hint="eastAsia" w:ascii="宋体" w:hAnsi="宋体" w:eastAsia="宋体" w:cs="宋体"/>
          <w:color w:val="auto"/>
          <w:sz w:val="24"/>
          <w:szCs w:val="24"/>
          <w:highlight w:val="none"/>
          <w:lang w:bidi="th-TH"/>
        </w:rPr>
      </w:pPr>
      <w:r>
        <w:rPr>
          <w:rFonts w:hint="eastAsia" w:ascii="宋体" w:hAnsi="宋体" w:eastAsia="宋体" w:cs="宋体"/>
          <w:color w:val="auto"/>
          <w:sz w:val="24"/>
          <w:szCs w:val="24"/>
          <w:highlight w:val="none"/>
          <w:lang w:bidi="th-TH"/>
        </w:rPr>
        <w:t>格式四</w:t>
      </w:r>
    </w:p>
    <w:p>
      <w:pPr>
        <w:pStyle w:val="25"/>
        <w:snapToGrid w:val="0"/>
        <w:spacing w:before="120" w:after="120" w:line="460" w:lineRule="exact"/>
        <w:jc w:val="center"/>
        <w:rPr>
          <w:rFonts w:hint="eastAsia" w:ascii="宋体" w:hAnsi="宋体" w:eastAsia="宋体" w:cs="宋体"/>
          <w:b/>
          <w:bCs/>
          <w:color w:val="auto"/>
          <w:kern w:val="0"/>
          <w:sz w:val="36"/>
          <w:szCs w:val="36"/>
          <w:highlight w:val="none"/>
        </w:rPr>
      </w:pPr>
      <w:r>
        <w:rPr>
          <w:rFonts w:hint="eastAsia" w:ascii="宋体" w:hAnsi="宋体" w:eastAsia="宋体" w:cs="宋体"/>
          <w:b/>
          <w:bCs/>
          <w:color w:val="auto"/>
          <w:kern w:val="0"/>
          <w:sz w:val="36"/>
          <w:szCs w:val="36"/>
          <w:highlight w:val="none"/>
        </w:rPr>
        <w:t>商务条款偏离表</w:t>
      </w:r>
    </w:p>
    <w:p>
      <w:pPr>
        <w:pStyle w:val="18"/>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项目名称：</w:t>
      </w:r>
    </w:p>
    <w:tbl>
      <w:tblPr>
        <w:tblStyle w:val="4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1971"/>
        <w:gridCol w:w="2349"/>
        <w:gridCol w:w="234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trPr>
        <w:tc>
          <w:tcPr>
            <w:tcW w:w="1368" w:type="dxa"/>
            <w:noWrap w:val="0"/>
            <w:vAlign w:val="center"/>
          </w:tcPr>
          <w:p>
            <w:pPr>
              <w:autoSpaceDE w:val="0"/>
              <w:autoSpaceDN w:val="0"/>
              <w:adjustRightInd w:val="0"/>
              <w:spacing w:line="360" w:lineRule="exact"/>
              <w:jc w:val="center"/>
              <w:rPr>
                <w:rFonts w:hint="eastAsia" w:ascii="宋体" w:hAnsi="宋体" w:eastAsia="宋体" w:cs="宋体"/>
                <w:bCs/>
                <w:color w:val="auto"/>
                <w:kern w:val="0"/>
                <w:sz w:val="24"/>
                <w:highlight w:val="none"/>
              </w:rPr>
            </w:pPr>
            <w:r>
              <w:rPr>
                <w:rFonts w:hint="eastAsia" w:ascii="宋体" w:hAnsi="宋体" w:eastAsia="宋体" w:cs="宋体"/>
                <w:bCs/>
                <w:color w:val="auto"/>
                <w:kern w:val="0"/>
                <w:sz w:val="24"/>
                <w:highlight w:val="none"/>
              </w:rPr>
              <w:t>序号</w:t>
            </w:r>
          </w:p>
        </w:tc>
        <w:tc>
          <w:tcPr>
            <w:tcW w:w="1971" w:type="dxa"/>
            <w:noWrap w:val="0"/>
            <w:vAlign w:val="center"/>
          </w:tcPr>
          <w:p>
            <w:pPr>
              <w:autoSpaceDE w:val="0"/>
              <w:autoSpaceDN w:val="0"/>
              <w:adjustRightInd w:val="0"/>
              <w:spacing w:line="360" w:lineRule="exact"/>
              <w:jc w:val="center"/>
              <w:rPr>
                <w:rFonts w:hint="eastAsia" w:ascii="宋体" w:hAnsi="宋体" w:eastAsia="宋体" w:cs="宋体"/>
                <w:bCs/>
                <w:color w:val="auto"/>
                <w:kern w:val="0"/>
                <w:sz w:val="24"/>
                <w:highlight w:val="none"/>
              </w:rPr>
            </w:pPr>
            <w:r>
              <w:rPr>
                <w:rFonts w:hint="eastAsia" w:ascii="宋体" w:hAnsi="宋体" w:eastAsia="宋体" w:cs="宋体"/>
                <w:bCs/>
                <w:color w:val="auto"/>
                <w:kern w:val="0"/>
                <w:sz w:val="24"/>
                <w:highlight w:val="none"/>
              </w:rPr>
              <w:t>招标文件</w:t>
            </w:r>
          </w:p>
          <w:p>
            <w:pPr>
              <w:autoSpaceDE w:val="0"/>
              <w:autoSpaceDN w:val="0"/>
              <w:adjustRightInd w:val="0"/>
              <w:spacing w:line="360" w:lineRule="exact"/>
              <w:jc w:val="center"/>
              <w:rPr>
                <w:rFonts w:hint="eastAsia" w:ascii="宋体" w:hAnsi="宋体" w:eastAsia="宋体" w:cs="宋体"/>
                <w:bCs/>
                <w:color w:val="auto"/>
                <w:kern w:val="0"/>
                <w:sz w:val="24"/>
                <w:highlight w:val="none"/>
              </w:rPr>
            </w:pPr>
            <w:r>
              <w:rPr>
                <w:rFonts w:hint="eastAsia" w:ascii="宋体" w:hAnsi="宋体" w:eastAsia="宋体" w:cs="宋体"/>
                <w:bCs/>
                <w:color w:val="auto"/>
                <w:kern w:val="0"/>
                <w:sz w:val="24"/>
                <w:highlight w:val="none"/>
              </w:rPr>
              <w:t>条目号</w:t>
            </w:r>
          </w:p>
        </w:tc>
        <w:tc>
          <w:tcPr>
            <w:tcW w:w="2349" w:type="dxa"/>
            <w:noWrap w:val="0"/>
            <w:vAlign w:val="center"/>
          </w:tcPr>
          <w:p>
            <w:pPr>
              <w:autoSpaceDE w:val="0"/>
              <w:autoSpaceDN w:val="0"/>
              <w:adjustRightInd w:val="0"/>
              <w:spacing w:line="360" w:lineRule="exact"/>
              <w:jc w:val="center"/>
              <w:rPr>
                <w:rFonts w:hint="eastAsia" w:ascii="宋体" w:hAnsi="宋体" w:eastAsia="宋体" w:cs="宋体"/>
                <w:bCs/>
                <w:color w:val="auto"/>
                <w:kern w:val="0"/>
                <w:sz w:val="24"/>
                <w:highlight w:val="none"/>
              </w:rPr>
            </w:pPr>
            <w:r>
              <w:rPr>
                <w:rFonts w:hint="eastAsia" w:ascii="宋体" w:hAnsi="宋体" w:eastAsia="宋体" w:cs="宋体"/>
                <w:bCs/>
                <w:color w:val="auto"/>
                <w:kern w:val="0"/>
                <w:sz w:val="24"/>
                <w:highlight w:val="none"/>
              </w:rPr>
              <w:t>招标文件的</w:t>
            </w:r>
          </w:p>
          <w:p>
            <w:pPr>
              <w:autoSpaceDE w:val="0"/>
              <w:autoSpaceDN w:val="0"/>
              <w:adjustRightInd w:val="0"/>
              <w:spacing w:line="360" w:lineRule="exact"/>
              <w:jc w:val="center"/>
              <w:rPr>
                <w:rFonts w:hint="eastAsia" w:ascii="宋体" w:hAnsi="宋体" w:eastAsia="宋体" w:cs="宋体"/>
                <w:bCs/>
                <w:color w:val="auto"/>
                <w:kern w:val="0"/>
                <w:sz w:val="24"/>
                <w:highlight w:val="none"/>
              </w:rPr>
            </w:pPr>
            <w:r>
              <w:rPr>
                <w:rFonts w:hint="eastAsia" w:ascii="宋体" w:hAnsi="宋体" w:eastAsia="宋体" w:cs="宋体"/>
                <w:bCs/>
                <w:color w:val="auto"/>
                <w:kern w:val="0"/>
                <w:sz w:val="24"/>
                <w:highlight w:val="none"/>
              </w:rPr>
              <w:t>商务条款</w:t>
            </w:r>
          </w:p>
        </w:tc>
        <w:tc>
          <w:tcPr>
            <w:tcW w:w="2340" w:type="dxa"/>
            <w:noWrap w:val="0"/>
            <w:vAlign w:val="center"/>
          </w:tcPr>
          <w:p>
            <w:pPr>
              <w:autoSpaceDE w:val="0"/>
              <w:autoSpaceDN w:val="0"/>
              <w:adjustRightInd w:val="0"/>
              <w:spacing w:line="360" w:lineRule="exact"/>
              <w:jc w:val="center"/>
              <w:rPr>
                <w:rFonts w:hint="eastAsia" w:ascii="宋体" w:hAnsi="宋体" w:eastAsia="宋体" w:cs="宋体"/>
                <w:bCs/>
                <w:color w:val="auto"/>
                <w:kern w:val="0"/>
                <w:sz w:val="24"/>
                <w:highlight w:val="none"/>
              </w:rPr>
            </w:pPr>
            <w:r>
              <w:rPr>
                <w:rFonts w:hint="eastAsia" w:ascii="宋体" w:hAnsi="宋体" w:eastAsia="宋体" w:cs="宋体"/>
                <w:bCs/>
                <w:color w:val="auto"/>
                <w:kern w:val="0"/>
                <w:sz w:val="24"/>
                <w:highlight w:val="none"/>
              </w:rPr>
              <w:t>投标文件的</w:t>
            </w:r>
          </w:p>
          <w:p>
            <w:pPr>
              <w:autoSpaceDE w:val="0"/>
              <w:autoSpaceDN w:val="0"/>
              <w:adjustRightInd w:val="0"/>
              <w:spacing w:line="360" w:lineRule="exact"/>
              <w:jc w:val="center"/>
              <w:rPr>
                <w:rFonts w:hint="eastAsia" w:ascii="宋体" w:hAnsi="宋体" w:eastAsia="宋体" w:cs="宋体"/>
                <w:bCs/>
                <w:color w:val="auto"/>
                <w:kern w:val="0"/>
                <w:sz w:val="24"/>
                <w:highlight w:val="none"/>
              </w:rPr>
            </w:pPr>
            <w:r>
              <w:rPr>
                <w:rFonts w:hint="eastAsia" w:ascii="宋体" w:hAnsi="宋体" w:eastAsia="宋体" w:cs="宋体"/>
                <w:bCs/>
                <w:color w:val="auto"/>
                <w:kern w:val="0"/>
                <w:sz w:val="24"/>
                <w:highlight w:val="none"/>
              </w:rPr>
              <w:t>商务条款</w:t>
            </w:r>
          </w:p>
        </w:tc>
        <w:tc>
          <w:tcPr>
            <w:tcW w:w="1620" w:type="dxa"/>
            <w:noWrap w:val="0"/>
            <w:vAlign w:val="center"/>
          </w:tcPr>
          <w:p>
            <w:pPr>
              <w:autoSpaceDE w:val="0"/>
              <w:autoSpaceDN w:val="0"/>
              <w:adjustRightInd w:val="0"/>
              <w:spacing w:line="360" w:lineRule="exact"/>
              <w:jc w:val="center"/>
              <w:rPr>
                <w:rFonts w:hint="eastAsia" w:ascii="宋体" w:hAnsi="宋体" w:eastAsia="宋体" w:cs="宋体"/>
                <w:bCs/>
                <w:color w:val="auto"/>
                <w:kern w:val="0"/>
                <w:sz w:val="24"/>
                <w:highlight w:val="none"/>
              </w:rPr>
            </w:pPr>
            <w:r>
              <w:rPr>
                <w:rFonts w:hint="eastAsia" w:ascii="宋体" w:hAnsi="宋体" w:eastAsia="宋体" w:cs="宋体"/>
                <w:bCs/>
                <w:color w:val="auto"/>
                <w:kern w:val="0"/>
                <w:sz w:val="24"/>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exact"/>
          <w:jc w:val="center"/>
        </w:trPr>
        <w:tc>
          <w:tcPr>
            <w:tcW w:w="1368" w:type="dxa"/>
            <w:noWrap w:val="0"/>
            <w:vAlign w:val="center"/>
          </w:tcPr>
          <w:p>
            <w:pPr>
              <w:autoSpaceDE w:val="0"/>
              <w:autoSpaceDN w:val="0"/>
              <w:adjustRightInd w:val="0"/>
              <w:spacing w:line="700" w:lineRule="exact"/>
              <w:jc w:val="center"/>
              <w:rPr>
                <w:rFonts w:hint="eastAsia" w:ascii="宋体" w:hAnsi="宋体" w:eastAsia="宋体" w:cs="宋体"/>
                <w:bCs/>
                <w:color w:val="auto"/>
                <w:kern w:val="0"/>
                <w:sz w:val="24"/>
                <w:highlight w:val="none"/>
              </w:rPr>
            </w:pPr>
          </w:p>
        </w:tc>
        <w:tc>
          <w:tcPr>
            <w:tcW w:w="1971" w:type="dxa"/>
            <w:noWrap w:val="0"/>
            <w:vAlign w:val="center"/>
          </w:tcPr>
          <w:p>
            <w:pPr>
              <w:autoSpaceDE w:val="0"/>
              <w:autoSpaceDN w:val="0"/>
              <w:adjustRightInd w:val="0"/>
              <w:spacing w:line="700" w:lineRule="exact"/>
              <w:jc w:val="center"/>
              <w:rPr>
                <w:rFonts w:hint="eastAsia" w:ascii="宋体" w:hAnsi="宋体" w:eastAsia="宋体" w:cs="宋体"/>
                <w:bCs/>
                <w:color w:val="auto"/>
                <w:kern w:val="0"/>
                <w:sz w:val="24"/>
                <w:highlight w:val="none"/>
              </w:rPr>
            </w:pPr>
          </w:p>
        </w:tc>
        <w:tc>
          <w:tcPr>
            <w:tcW w:w="2349" w:type="dxa"/>
            <w:noWrap w:val="0"/>
            <w:vAlign w:val="center"/>
          </w:tcPr>
          <w:p>
            <w:pPr>
              <w:autoSpaceDE w:val="0"/>
              <w:autoSpaceDN w:val="0"/>
              <w:adjustRightInd w:val="0"/>
              <w:spacing w:line="700" w:lineRule="exact"/>
              <w:jc w:val="center"/>
              <w:rPr>
                <w:rFonts w:hint="eastAsia" w:ascii="宋体" w:hAnsi="宋体" w:eastAsia="宋体" w:cs="宋体"/>
                <w:bCs/>
                <w:color w:val="auto"/>
                <w:kern w:val="0"/>
                <w:sz w:val="24"/>
                <w:highlight w:val="none"/>
              </w:rPr>
            </w:pPr>
          </w:p>
        </w:tc>
        <w:tc>
          <w:tcPr>
            <w:tcW w:w="2340" w:type="dxa"/>
            <w:noWrap w:val="0"/>
            <w:vAlign w:val="center"/>
          </w:tcPr>
          <w:p>
            <w:pPr>
              <w:autoSpaceDE w:val="0"/>
              <w:autoSpaceDN w:val="0"/>
              <w:adjustRightInd w:val="0"/>
              <w:spacing w:line="700" w:lineRule="exact"/>
              <w:jc w:val="center"/>
              <w:rPr>
                <w:rFonts w:hint="eastAsia" w:ascii="宋体" w:hAnsi="宋体" w:eastAsia="宋体" w:cs="宋体"/>
                <w:bCs/>
                <w:color w:val="auto"/>
                <w:kern w:val="0"/>
                <w:sz w:val="24"/>
                <w:highlight w:val="none"/>
              </w:rPr>
            </w:pPr>
          </w:p>
        </w:tc>
        <w:tc>
          <w:tcPr>
            <w:tcW w:w="1620" w:type="dxa"/>
            <w:noWrap w:val="0"/>
            <w:vAlign w:val="center"/>
          </w:tcPr>
          <w:p>
            <w:pPr>
              <w:autoSpaceDE w:val="0"/>
              <w:autoSpaceDN w:val="0"/>
              <w:adjustRightInd w:val="0"/>
              <w:spacing w:line="700" w:lineRule="exact"/>
              <w:jc w:val="center"/>
              <w:rPr>
                <w:rFonts w:hint="eastAsia" w:ascii="宋体" w:hAnsi="宋体" w:eastAsia="宋体" w:cs="宋体"/>
                <w:bCs/>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exact"/>
          <w:jc w:val="center"/>
        </w:trPr>
        <w:tc>
          <w:tcPr>
            <w:tcW w:w="1368" w:type="dxa"/>
            <w:noWrap w:val="0"/>
            <w:vAlign w:val="center"/>
          </w:tcPr>
          <w:p>
            <w:pPr>
              <w:autoSpaceDE w:val="0"/>
              <w:autoSpaceDN w:val="0"/>
              <w:adjustRightInd w:val="0"/>
              <w:spacing w:line="700" w:lineRule="exact"/>
              <w:jc w:val="center"/>
              <w:rPr>
                <w:rFonts w:hint="eastAsia" w:ascii="宋体" w:hAnsi="宋体" w:eastAsia="宋体" w:cs="宋体"/>
                <w:bCs/>
                <w:color w:val="auto"/>
                <w:kern w:val="0"/>
                <w:sz w:val="24"/>
                <w:highlight w:val="none"/>
              </w:rPr>
            </w:pPr>
          </w:p>
        </w:tc>
        <w:tc>
          <w:tcPr>
            <w:tcW w:w="1971" w:type="dxa"/>
            <w:noWrap w:val="0"/>
            <w:vAlign w:val="center"/>
          </w:tcPr>
          <w:p>
            <w:pPr>
              <w:autoSpaceDE w:val="0"/>
              <w:autoSpaceDN w:val="0"/>
              <w:adjustRightInd w:val="0"/>
              <w:spacing w:line="700" w:lineRule="exact"/>
              <w:jc w:val="center"/>
              <w:rPr>
                <w:rFonts w:hint="eastAsia" w:ascii="宋体" w:hAnsi="宋体" w:eastAsia="宋体" w:cs="宋体"/>
                <w:bCs/>
                <w:color w:val="auto"/>
                <w:kern w:val="0"/>
                <w:sz w:val="24"/>
                <w:highlight w:val="none"/>
              </w:rPr>
            </w:pPr>
          </w:p>
        </w:tc>
        <w:tc>
          <w:tcPr>
            <w:tcW w:w="2349" w:type="dxa"/>
            <w:noWrap w:val="0"/>
            <w:vAlign w:val="center"/>
          </w:tcPr>
          <w:p>
            <w:pPr>
              <w:autoSpaceDE w:val="0"/>
              <w:autoSpaceDN w:val="0"/>
              <w:adjustRightInd w:val="0"/>
              <w:spacing w:line="700" w:lineRule="exact"/>
              <w:jc w:val="center"/>
              <w:rPr>
                <w:rFonts w:hint="eastAsia" w:ascii="宋体" w:hAnsi="宋体" w:eastAsia="宋体" w:cs="宋体"/>
                <w:bCs/>
                <w:color w:val="auto"/>
                <w:kern w:val="0"/>
                <w:sz w:val="24"/>
                <w:highlight w:val="none"/>
              </w:rPr>
            </w:pPr>
          </w:p>
        </w:tc>
        <w:tc>
          <w:tcPr>
            <w:tcW w:w="2340" w:type="dxa"/>
            <w:noWrap w:val="0"/>
            <w:vAlign w:val="center"/>
          </w:tcPr>
          <w:p>
            <w:pPr>
              <w:autoSpaceDE w:val="0"/>
              <w:autoSpaceDN w:val="0"/>
              <w:adjustRightInd w:val="0"/>
              <w:spacing w:line="700" w:lineRule="exact"/>
              <w:jc w:val="center"/>
              <w:rPr>
                <w:rFonts w:hint="eastAsia" w:ascii="宋体" w:hAnsi="宋体" w:eastAsia="宋体" w:cs="宋体"/>
                <w:bCs/>
                <w:color w:val="auto"/>
                <w:kern w:val="0"/>
                <w:sz w:val="24"/>
                <w:highlight w:val="none"/>
              </w:rPr>
            </w:pPr>
          </w:p>
        </w:tc>
        <w:tc>
          <w:tcPr>
            <w:tcW w:w="1620" w:type="dxa"/>
            <w:noWrap w:val="0"/>
            <w:vAlign w:val="center"/>
          </w:tcPr>
          <w:p>
            <w:pPr>
              <w:autoSpaceDE w:val="0"/>
              <w:autoSpaceDN w:val="0"/>
              <w:adjustRightInd w:val="0"/>
              <w:spacing w:line="700" w:lineRule="exact"/>
              <w:jc w:val="center"/>
              <w:rPr>
                <w:rFonts w:hint="eastAsia" w:ascii="宋体" w:hAnsi="宋体" w:eastAsia="宋体" w:cs="宋体"/>
                <w:bCs/>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exact"/>
          <w:jc w:val="center"/>
        </w:trPr>
        <w:tc>
          <w:tcPr>
            <w:tcW w:w="1368" w:type="dxa"/>
            <w:noWrap w:val="0"/>
            <w:vAlign w:val="center"/>
          </w:tcPr>
          <w:p>
            <w:pPr>
              <w:autoSpaceDE w:val="0"/>
              <w:autoSpaceDN w:val="0"/>
              <w:adjustRightInd w:val="0"/>
              <w:spacing w:line="700" w:lineRule="exact"/>
              <w:jc w:val="center"/>
              <w:rPr>
                <w:rFonts w:hint="eastAsia" w:ascii="宋体" w:hAnsi="宋体" w:eastAsia="宋体" w:cs="宋体"/>
                <w:bCs/>
                <w:color w:val="auto"/>
                <w:kern w:val="0"/>
                <w:sz w:val="24"/>
                <w:highlight w:val="none"/>
              </w:rPr>
            </w:pPr>
          </w:p>
        </w:tc>
        <w:tc>
          <w:tcPr>
            <w:tcW w:w="1971" w:type="dxa"/>
            <w:noWrap w:val="0"/>
            <w:vAlign w:val="center"/>
          </w:tcPr>
          <w:p>
            <w:pPr>
              <w:autoSpaceDE w:val="0"/>
              <w:autoSpaceDN w:val="0"/>
              <w:adjustRightInd w:val="0"/>
              <w:spacing w:line="700" w:lineRule="exact"/>
              <w:jc w:val="center"/>
              <w:rPr>
                <w:rFonts w:hint="eastAsia" w:ascii="宋体" w:hAnsi="宋体" w:eastAsia="宋体" w:cs="宋体"/>
                <w:bCs/>
                <w:color w:val="auto"/>
                <w:kern w:val="0"/>
                <w:sz w:val="24"/>
                <w:highlight w:val="none"/>
              </w:rPr>
            </w:pPr>
          </w:p>
        </w:tc>
        <w:tc>
          <w:tcPr>
            <w:tcW w:w="2349" w:type="dxa"/>
            <w:noWrap w:val="0"/>
            <w:vAlign w:val="center"/>
          </w:tcPr>
          <w:p>
            <w:pPr>
              <w:autoSpaceDE w:val="0"/>
              <w:autoSpaceDN w:val="0"/>
              <w:adjustRightInd w:val="0"/>
              <w:spacing w:line="700" w:lineRule="exact"/>
              <w:jc w:val="center"/>
              <w:rPr>
                <w:rFonts w:hint="eastAsia" w:ascii="宋体" w:hAnsi="宋体" w:eastAsia="宋体" w:cs="宋体"/>
                <w:bCs/>
                <w:color w:val="auto"/>
                <w:kern w:val="0"/>
                <w:sz w:val="24"/>
                <w:highlight w:val="none"/>
              </w:rPr>
            </w:pPr>
          </w:p>
        </w:tc>
        <w:tc>
          <w:tcPr>
            <w:tcW w:w="2340" w:type="dxa"/>
            <w:noWrap w:val="0"/>
            <w:vAlign w:val="center"/>
          </w:tcPr>
          <w:p>
            <w:pPr>
              <w:autoSpaceDE w:val="0"/>
              <w:autoSpaceDN w:val="0"/>
              <w:adjustRightInd w:val="0"/>
              <w:spacing w:line="700" w:lineRule="exact"/>
              <w:jc w:val="center"/>
              <w:rPr>
                <w:rFonts w:hint="eastAsia" w:ascii="宋体" w:hAnsi="宋体" w:eastAsia="宋体" w:cs="宋体"/>
                <w:bCs/>
                <w:color w:val="auto"/>
                <w:kern w:val="0"/>
                <w:sz w:val="24"/>
                <w:highlight w:val="none"/>
              </w:rPr>
            </w:pPr>
          </w:p>
        </w:tc>
        <w:tc>
          <w:tcPr>
            <w:tcW w:w="1620" w:type="dxa"/>
            <w:noWrap w:val="0"/>
            <w:vAlign w:val="center"/>
          </w:tcPr>
          <w:p>
            <w:pPr>
              <w:autoSpaceDE w:val="0"/>
              <w:autoSpaceDN w:val="0"/>
              <w:adjustRightInd w:val="0"/>
              <w:spacing w:line="700" w:lineRule="exact"/>
              <w:jc w:val="center"/>
              <w:rPr>
                <w:rFonts w:hint="eastAsia" w:ascii="宋体" w:hAnsi="宋体" w:eastAsia="宋体" w:cs="宋体"/>
                <w:bCs/>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exact"/>
          <w:jc w:val="center"/>
        </w:trPr>
        <w:tc>
          <w:tcPr>
            <w:tcW w:w="1368" w:type="dxa"/>
            <w:noWrap w:val="0"/>
            <w:vAlign w:val="center"/>
          </w:tcPr>
          <w:p>
            <w:pPr>
              <w:autoSpaceDE w:val="0"/>
              <w:autoSpaceDN w:val="0"/>
              <w:adjustRightInd w:val="0"/>
              <w:spacing w:line="700" w:lineRule="exact"/>
              <w:jc w:val="center"/>
              <w:rPr>
                <w:rFonts w:hint="eastAsia" w:ascii="宋体" w:hAnsi="宋体" w:eastAsia="宋体" w:cs="宋体"/>
                <w:bCs/>
                <w:color w:val="auto"/>
                <w:kern w:val="0"/>
                <w:sz w:val="24"/>
                <w:highlight w:val="none"/>
              </w:rPr>
            </w:pPr>
          </w:p>
        </w:tc>
        <w:tc>
          <w:tcPr>
            <w:tcW w:w="1971" w:type="dxa"/>
            <w:noWrap w:val="0"/>
            <w:vAlign w:val="center"/>
          </w:tcPr>
          <w:p>
            <w:pPr>
              <w:autoSpaceDE w:val="0"/>
              <w:autoSpaceDN w:val="0"/>
              <w:adjustRightInd w:val="0"/>
              <w:spacing w:line="700" w:lineRule="exact"/>
              <w:jc w:val="center"/>
              <w:rPr>
                <w:rFonts w:hint="eastAsia" w:ascii="宋体" w:hAnsi="宋体" w:eastAsia="宋体" w:cs="宋体"/>
                <w:bCs/>
                <w:color w:val="auto"/>
                <w:kern w:val="0"/>
                <w:sz w:val="24"/>
                <w:highlight w:val="none"/>
              </w:rPr>
            </w:pPr>
          </w:p>
        </w:tc>
        <w:tc>
          <w:tcPr>
            <w:tcW w:w="2349" w:type="dxa"/>
            <w:noWrap w:val="0"/>
            <w:vAlign w:val="center"/>
          </w:tcPr>
          <w:p>
            <w:pPr>
              <w:autoSpaceDE w:val="0"/>
              <w:autoSpaceDN w:val="0"/>
              <w:adjustRightInd w:val="0"/>
              <w:spacing w:line="700" w:lineRule="exact"/>
              <w:jc w:val="center"/>
              <w:rPr>
                <w:rFonts w:hint="eastAsia" w:ascii="宋体" w:hAnsi="宋体" w:eastAsia="宋体" w:cs="宋体"/>
                <w:bCs/>
                <w:color w:val="auto"/>
                <w:kern w:val="0"/>
                <w:sz w:val="24"/>
                <w:highlight w:val="none"/>
              </w:rPr>
            </w:pPr>
          </w:p>
        </w:tc>
        <w:tc>
          <w:tcPr>
            <w:tcW w:w="2340" w:type="dxa"/>
            <w:noWrap w:val="0"/>
            <w:vAlign w:val="center"/>
          </w:tcPr>
          <w:p>
            <w:pPr>
              <w:autoSpaceDE w:val="0"/>
              <w:autoSpaceDN w:val="0"/>
              <w:adjustRightInd w:val="0"/>
              <w:spacing w:line="700" w:lineRule="exact"/>
              <w:jc w:val="center"/>
              <w:rPr>
                <w:rFonts w:hint="eastAsia" w:ascii="宋体" w:hAnsi="宋体" w:eastAsia="宋体" w:cs="宋体"/>
                <w:bCs/>
                <w:color w:val="auto"/>
                <w:kern w:val="0"/>
                <w:sz w:val="24"/>
                <w:highlight w:val="none"/>
              </w:rPr>
            </w:pPr>
          </w:p>
        </w:tc>
        <w:tc>
          <w:tcPr>
            <w:tcW w:w="1620" w:type="dxa"/>
            <w:noWrap w:val="0"/>
            <w:vAlign w:val="center"/>
          </w:tcPr>
          <w:p>
            <w:pPr>
              <w:autoSpaceDE w:val="0"/>
              <w:autoSpaceDN w:val="0"/>
              <w:adjustRightInd w:val="0"/>
              <w:spacing w:line="700" w:lineRule="exact"/>
              <w:jc w:val="center"/>
              <w:rPr>
                <w:rFonts w:hint="eastAsia" w:ascii="宋体" w:hAnsi="宋体" w:eastAsia="宋体" w:cs="宋体"/>
                <w:bCs/>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exact"/>
          <w:jc w:val="center"/>
        </w:trPr>
        <w:tc>
          <w:tcPr>
            <w:tcW w:w="1368" w:type="dxa"/>
            <w:noWrap w:val="0"/>
            <w:vAlign w:val="center"/>
          </w:tcPr>
          <w:p>
            <w:pPr>
              <w:autoSpaceDE w:val="0"/>
              <w:autoSpaceDN w:val="0"/>
              <w:adjustRightInd w:val="0"/>
              <w:spacing w:line="700" w:lineRule="exact"/>
              <w:jc w:val="center"/>
              <w:rPr>
                <w:rFonts w:hint="eastAsia" w:ascii="宋体" w:hAnsi="宋体" w:eastAsia="宋体" w:cs="宋体"/>
                <w:bCs/>
                <w:color w:val="auto"/>
                <w:kern w:val="0"/>
                <w:sz w:val="24"/>
                <w:highlight w:val="none"/>
              </w:rPr>
            </w:pPr>
          </w:p>
        </w:tc>
        <w:tc>
          <w:tcPr>
            <w:tcW w:w="1971" w:type="dxa"/>
            <w:noWrap w:val="0"/>
            <w:vAlign w:val="center"/>
          </w:tcPr>
          <w:p>
            <w:pPr>
              <w:autoSpaceDE w:val="0"/>
              <w:autoSpaceDN w:val="0"/>
              <w:adjustRightInd w:val="0"/>
              <w:spacing w:line="700" w:lineRule="exact"/>
              <w:jc w:val="center"/>
              <w:rPr>
                <w:rFonts w:hint="eastAsia" w:ascii="宋体" w:hAnsi="宋体" w:eastAsia="宋体" w:cs="宋体"/>
                <w:bCs/>
                <w:color w:val="auto"/>
                <w:kern w:val="0"/>
                <w:sz w:val="24"/>
                <w:highlight w:val="none"/>
              </w:rPr>
            </w:pPr>
          </w:p>
        </w:tc>
        <w:tc>
          <w:tcPr>
            <w:tcW w:w="2349" w:type="dxa"/>
            <w:noWrap w:val="0"/>
            <w:vAlign w:val="center"/>
          </w:tcPr>
          <w:p>
            <w:pPr>
              <w:autoSpaceDE w:val="0"/>
              <w:autoSpaceDN w:val="0"/>
              <w:adjustRightInd w:val="0"/>
              <w:spacing w:line="700" w:lineRule="exact"/>
              <w:jc w:val="center"/>
              <w:rPr>
                <w:rFonts w:hint="eastAsia" w:ascii="宋体" w:hAnsi="宋体" w:eastAsia="宋体" w:cs="宋体"/>
                <w:bCs/>
                <w:color w:val="auto"/>
                <w:kern w:val="0"/>
                <w:sz w:val="24"/>
                <w:highlight w:val="none"/>
              </w:rPr>
            </w:pPr>
          </w:p>
        </w:tc>
        <w:tc>
          <w:tcPr>
            <w:tcW w:w="2340" w:type="dxa"/>
            <w:noWrap w:val="0"/>
            <w:vAlign w:val="center"/>
          </w:tcPr>
          <w:p>
            <w:pPr>
              <w:autoSpaceDE w:val="0"/>
              <w:autoSpaceDN w:val="0"/>
              <w:adjustRightInd w:val="0"/>
              <w:spacing w:line="700" w:lineRule="exact"/>
              <w:jc w:val="center"/>
              <w:rPr>
                <w:rFonts w:hint="eastAsia" w:ascii="宋体" w:hAnsi="宋体" w:eastAsia="宋体" w:cs="宋体"/>
                <w:bCs/>
                <w:color w:val="auto"/>
                <w:kern w:val="0"/>
                <w:sz w:val="24"/>
                <w:highlight w:val="none"/>
              </w:rPr>
            </w:pPr>
          </w:p>
        </w:tc>
        <w:tc>
          <w:tcPr>
            <w:tcW w:w="1620" w:type="dxa"/>
            <w:noWrap w:val="0"/>
            <w:vAlign w:val="center"/>
          </w:tcPr>
          <w:p>
            <w:pPr>
              <w:autoSpaceDE w:val="0"/>
              <w:autoSpaceDN w:val="0"/>
              <w:adjustRightInd w:val="0"/>
              <w:spacing w:line="700" w:lineRule="exact"/>
              <w:jc w:val="center"/>
              <w:rPr>
                <w:rFonts w:hint="eastAsia" w:ascii="宋体" w:hAnsi="宋体" w:eastAsia="宋体" w:cs="宋体"/>
                <w:bCs/>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exact"/>
          <w:jc w:val="center"/>
        </w:trPr>
        <w:tc>
          <w:tcPr>
            <w:tcW w:w="1368" w:type="dxa"/>
            <w:noWrap w:val="0"/>
            <w:vAlign w:val="center"/>
          </w:tcPr>
          <w:p>
            <w:pPr>
              <w:autoSpaceDE w:val="0"/>
              <w:autoSpaceDN w:val="0"/>
              <w:adjustRightInd w:val="0"/>
              <w:spacing w:line="700" w:lineRule="exact"/>
              <w:jc w:val="center"/>
              <w:rPr>
                <w:rFonts w:hint="eastAsia" w:ascii="宋体" w:hAnsi="宋体" w:eastAsia="宋体" w:cs="宋体"/>
                <w:bCs/>
                <w:color w:val="auto"/>
                <w:kern w:val="0"/>
                <w:sz w:val="24"/>
                <w:highlight w:val="none"/>
              </w:rPr>
            </w:pPr>
          </w:p>
        </w:tc>
        <w:tc>
          <w:tcPr>
            <w:tcW w:w="1971" w:type="dxa"/>
            <w:noWrap w:val="0"/>
            <w:vAlign w:val="center"/>
          </w:tcPr>
          <w:p>
            <w:pPr>
              <w:autoSpaceDE w:val="0"/>
              <w:autoSpaceDN w:val="0"/>
              <w:adjustRightInd w:val="0"/>
              <w:spacing w:line="700" w:lineRule="exact"/>
              <w:jc w:val="center"/>
              <w:rPr>
                <w:rFonts w:hint="eastAsia" w:ascii="宋体" w:hAnsi="宋体" w:eastAsia="宋体" w:cs="宋体"/>
                <w:bCs/>
                <w:color w:val="auto"/>
                <w:kern w:val="0"/>
                <w:sz w:val="24"/>
                <w:highlight w:val="none"/>
              </w:rPr>
            </w:pPr>
          </w:p>
        </w:tc>
        <w:tc>
          <w:tcPr>
            <w:tcW w:w="2349" w:type="dxa"/>
            <w:noWrap w:val="0"/>
            <w:vAlign w:val="center"/>
          </w:tcPr>
          <w:p>
            <w:pPr>
              <w:autoSpaceDE w:val="0"/>
              <w:autoSpaceDN w:val="0"/>
              <w:adjustRightInd w:val="0"/>
              <w:spacing w:line="700" w:lineRule="exact"/>
              <w:jc w:val="center"/>
              <w:rPr>
                <w:rFonts w:hint="eastAsia" w:ascii="宋体" w:hAnsi="宋体" w:eastAsia="宋体" w:cs="宋体"/>
                <w:bCs/>
                <w:color w:val="auto"/>
                <w:kern w:val="0"/>
                <w:sz w:val="24"/>
                <w:highlight w:val="none"/>
              </w:rPr>
            </w:pPr>
          </w:p>
        </w:tc>
        <w:tc>
          <w:tcPr>
            <w:tcW w:w="2340" w:type="dxa"/>
            <w:noWrap w:val="0"/>
            <w:vAlign w:val="center"/>
          </w:tcPr>
          <w:p>
            <w:pPr>
              <w:autoSpaceDE w:val="0"/>
              <w:autoSpaceDN w:val="0"/>
              <w:adjustRightInd w:val="0"/>
              <w:spacing w:line="700" w:lineRule="exact"/>
              <w:jc w:val="center"/>
              <w:rPr>
                <w:rFonts w:hint="eastAsia" w:ascii="宋体" w:hAnsi="宋体" w:eastAsia="宋体" w:cs="宋体"/>
                <w:bCs/>
                <w:color w:val="auto"/>
                <w:kern w:val="0"/>
                <w:sz w:val="24"/>
                <w:highlight w:val="none"/>
              </w:rPr>
            </w:pPr>
          </w:p>
        </w:tc>
        <w:tc>
          <w:tcPr>
            <w:tcW w:w="1620" w:type="dxa"/>
            <w:noWrap w:val="0"/>
            <w:vAlign w:val="center"/>
          </w:tcPr>
          <w:p>
            <w:pPr>
              <w:autoSpaceDE w:val="0"/>
              <w:autoSpaceDN w:val="0"/>
              <w:adjustRightInd w:val="0"/>
              <w:spacing w:line="700" w:lineRule="exact"/>
              <w:jc w:val="center"/>
              <w:rPr>
                <w:rFonts w:hint="eastAsia" w:ascii="宋体" w:hAnsi="宋体" w:eastAsia="宋体" w:cs="宋体"/>
                <w:bCs/>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exact"/>
          <w:jc w:val="center"/>
        </w:trPr>
        <w:tc>
          <w:tcPr>
            <w:tcW w:w="1368" w:type="dxa"/>
            <w:noWrap w:val="0"/>
            <w:vAlign w:val="center"/>
          </w:tcPr>
          <w:p>
            <w:pPr>
              <w:autoSpaceDE w:val="0"/>
              <w:autoSpaceDN w:val="0"/>
              <w:adjustRightInd w:val="0"/>
              <w:spacing w:line="700" w:lineRule="exact"/>
              <w:jc w:val="center"/>
              <w:rPr>
                <w:rFonts w:hint="eastAsia" w:ascii="宋体" w:hAnsi="宋体" w:eastAsia="宋体" w:cs="宋体"/>
                <w:bCs/>
                <w:color w:val="auto"/>
                <w:kern w:val="0"/>
                <w:sz w:val="24"/>
                <w:highlight w:val="none"/>
              </w:rPr>
            </w:pPr>
          </w:p>
        </w:tc>
        <w:tc>
          <w:tcPr>
            <w:tcW w:w="1971" w:type="dxa"/>
            <w:noWrap w:val="0"/>
            <w:vAlign w:val="center"/>
          </w:tcPr>
          <w:p>
            <w:pPr>
              <w:autoSpaceDE w:val="0"/>
              <w:autoSpaceDN w:val="0"/>
              <w:adjustRightInd w:val="0"/>
              <w:spacing w:line="700" w:lineRule="exact"/>
              <w:jc w:val="center"/>
              <w:rPr>
                <w:rFonts w:hint="eastAsia" w:ascii="宋体" w:hAnsi="宋体" w:eastAsia="宋体" w:cs="宋体"/>
                <w:bCs/>
                <w:color w:val="auto"/>
                <w:kern w:val="0"/>
                <w:sz w:val="24"/>
                <w:highlight w:val="none"/>
              </w:rPr>
            </w:pPr>
          </w:p>
        </w:tc>
        <w:tc>
          <w:tcPr>
            <w:tcW w:w="2349" w:type="dxa"/>
            <w:noWrap w:val="0"/>
            <w:vAlign w:val="center"/>
          </w:tcPr>
          <w:p>
            <w:pPr>
              <w:autoSpaceDE w:val="0"/>
              <w:autoSpaceDN w:val="0"/>
              <w:adjustRightInd w:val="0"/>
              <w:spacing w:line="700" w:lineRule="exact"/>
              <w:jc w:val="center"/>
              <w:rPr>
                <w:rFonts w:hint="eastAsia" w:ascii="宋体" w:hAnsi="宋体" w:eastAsia="宋体" w:cs="宋体"/>
                <w:bCs/>
                <w:color w:val="auto"/>
                <w:kern w:val="0"/>
                <w:sz w:val="24"/>
                <w:highlight w:val="none"/>
              </w:rPr>
            </w:pPr>
          </w:p>
        </w:tc>
        <w:tc>
          <w:tcPr>
            <w:tcW w:w="2340" w:type="dxa"/>
            <w:noWrap w:val="0"/>
            <w:vAlign w:val="center"/>
          </w:tcPr>
          <w:p>
            <w:pPr>
              <w:autoSpaceDE w:val="0"/>
              <w:autoSpaceDN w:val="0"/>
              <w:adjustRightInd w:val="0"/>
              <w:spacing w:line="700" w:lineRule="exact"/>
              <w:jc w:val="center"/>
              <w:rPr>
                <w:rFonts w:hint="eastAsia" w:ascii="宋体" w:hAnsi="宋体" w:eastAsia="宋体" w:cs="宋体"/>
                <w:bCs/>
                <w:color w:val="auto"/>
                <w:kern w:val="0"/>
                <w:sz w:val="24"/>
                <w:highlight w:val="none"/>
              </w:rPr>
            </w:pPr>
          </w:p>
        </w:tc>
        <w:tc>
          <w:tcPr>
            <w:tcW w:w="1620" w:type="dxa"/>
            <w:noWrap w:val="0"/>
            <w:vAlign w:val="center"/>
          </w:tcPr>
          <w:p>
            <w:pPr>
              <w:autoSpaceDE w:val="0"/>
              <w:autoSpaceDN w:val="0"/>
              <w:adjustRightInd w:val="0"/>
              <w:spacing w:line="700" w:lineRule="exact"/>
              <w:jc w:val="center"/>
              <w:rPr>
                <w:rFonts w:hint="eastAsia" w:ascii="宋体" w:hAnsi="宋体" w:eastAsia="宋体" w:cs="宋体"/>
                <w:bCs/>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exact"/>
          <w:jc w:val="center"/>
        </w:trPr>
        <w:tc>
          <w:tcPr>
            <w:tcW w:w="1368" w:type="dxa"/>
            <w:noWrap w:val="0"/>
            <w:vAlign w:val="center"/>
          </w:tcPr>
          <w:p>
            <w:pPr>
              <w:autoSpaceDE w:val="0"/>
              <w:autoSpaceDN w:val="0"/>
              <w:adjustRightInd w:val="0"/>
              <w:spacing w:line="700" w:lineRule="exact"/>
              <w:jc w:val="center"/>
              <w:rPr>
                <w:rFonts w:hint="eastAsia" w:ascii="宋体" w:hAnsi="宋体" w:eastAsia="宋体" w:cs="宋体"/>
                <w:bCs/>
                <w:color w:val="auto"/>
                <w:kern w:val="0"/>
                <w:sz w:val="24"/>
                <w:highlight w:val="none"/>
              </w:rPr>
            </w:pPr>
          </w:p>
        </w:tc>
        <w:tc>
          <w:tcPr>
            <w:tcW w:w="1971" w:type="dxa"/>
            <w:noWrap w:val="0"/>
            <w:vAlign w:val="center"/>
          </w:tcPr>
          <w:p>
            <w:pPr>
              <w:autoSpaceDE w:val="0"/>
              <w:autoSpaceDN w:val="0"/>
              <w:adjustRightInd w:val="0"/>
              <w:spacing w:line="700" w:lineRule="exact"/>
              <w:jc w:val="center"/>
              <w:rPr>
                <w:rFonts w:hint="eastAsia" w:ascii="宋体" w:hAnsi="宋体" w:eastAsia="宋体" w:cs="宋体"/>
                <w:bCs/>
                <w:color w:val="auto"/>
                <w:kern w:val="0"/>
                <w:sz w:val="24"/>
                <w:highlight w:val="none"/>
              </w:rPr>
            </w:pPr>
          </w:p>
        </w:tc>
        <w:tc>
          <w:tcPr>
            <w:tcW w:w="2349" w:type="dxa"/>
            <w:noWrap w:val="0"/>
            <w:vAlign w:val="center"/>
          </w:tcPr>
          <w:p>
            <w:pPr>
              <w:autoSpaceDE w:val="0"/>
              <w:autoSpaceDN w:val="0"/>
              <w:adjustRightInd w:val="0"/>
              <w:spacing w:line="700" w:lineRule="exact"/>
              <w:jc w:val="center"/>
              <w:rPr>
                <w:rFonts w:hint="eastAsia" w:ascii="宋体" w:hAnsi="宋体" w:eastAsia="宋体" w:cs="宋体"/>
                <w:bCs/>
                <w:color w:val="auto"/>
                <w:kern w:val="0"/>
                <w:sz w:val="24"/>
                <w:highlight w:val="none"/>
              </w:rPr>
            </w:pPr>
          </w:p>
        </w:tc>
        <w:tc>
          <w:tcPr>
            <w:tcW w:w="2340" w:type="dxa"/>
            <w:noWrap w:val="0"/>
            <w:vAlign w:val="center"/>
          </w:tcPr>
          <w:p>
            <w:pPr>
              <w:autoSpaceDE w:val="0"/>
              <w:autoSpaceDN w:val="0"/>
              <w:adjustRightInd w:val="0"/>
              <w:spacing w:line="700" w:lineRule="exact"/>
              <w:jc w:val="center"/>
              <w:rPr>
                <w:rFonts w:hint="eastAsia" w:ascii="宋体" w:hAnsi="宋体" w:eastAsia="宋体" w:cs="宋体"/>
                <w:bCs/>
                <w:color w:val="auto"/>
                <w:kern w:val="0"/>
                <w:sz w:val="24"/>
                <w:highlight w:val="none"/>
              </w:rPr>
            </w:pPr>
          </w:p>
        </w:tc>
        <w:tc>
          <w:tcPr>
            <w:tcW w:w="1620" w:type="dxa"/>
            <w:noWrap w:val="0"/>
            <w:vAlign w:val="center"/>
          </w:tcPr>
          <w:p>
            <w:pPr>
              <w:autoSpaceDE w:val="0"/>
              <w:autoSpaceDN w:val="0"/>
              <w:adjustRightInd w:val="0"/>
              <w:spacing w:line="700" w:lineRule="exact"/>
              <w:jc w:val="center"/>
              <w:rPr>
                <w:rFonts w:hint="eastAsia" w:ascii="宋体" w:hAnsi="宋体" w:eastAsia="宋体" w:cs="宋体"/>
                <w:bCs/>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exact"/>
          <w:jc w:val="center"/>
        </w:trPr>
        <w:tc>
          <w:tcPr>
            <w:tcW w:w="1368" w:type="dxa"/>
            <w:noWrap w:val="0"/>
            <w:vAlign w:val="center"/>
          </w:tcPr>
          <w:p>
            <w:pPr>
              <w:autoSpaceDE w:val="0"/>
              <w:autoSpaceDN w:val="0"/>
              <w:adjustRightInd w:val="0"/>
              <w:spacing w:line="700" w:lineRule="exact"/>
              <w:jc w:val="center"/>
              <w:rPr>
                <w:rFonts w:hint="eastAsia" w:ascii="宋体" w:hAnsi="宋体" w:eastAsia="宋体" w:cs="宋体"/>
                <w:bCs/>
                <w:color w:val="auto"/>
                <w:kern w:val="0"/>
                <w:sz w:val="24"/>
                <w:highlight w:val="none"/>
              </w:rPr>
            </w:pPr>
          </w:p>
        </w:tc>
        <w:tc>
          <w:tcPr>
            <w:tcW w:w="1971" w:type="dxa"/>
            <w:noWrap w:val="0"/>
            <w:vAlign w:val="center"/>
          </w:tcPr>
          <w:p>
            <w:pPr>
              <w:autoSpaceDE w:val="0"/>
              <w:autoSpaceDN w:val="0"/>
              <w:adjustRightInd w:val="0"/>
              <w:spacing w:line="700" w:lineRule="exact"/>
              <w:jc w:val="center"/>
              <w:rPr>
                <w:rFonts w:hint="eastAsia" w:ascii="宋体" w:hAnsi="宋体" w:eastAsia="宋体" w:cs="宋体"/>
                <w:bCs/>
                <w:color w:val="auto"/>
                <w:kern w:val="0"/>
                <w:sz w:val="24"/>
                <w:highlight w:val="none"/>
              </w:rPr>
            </w:pPr>
          </w:p>
        </w:tc>
        <w:tc>
          <w:tcPr>
            <w:tcW w:w="2349" w:type="dxa"/>
            <w:noWrap w:val="0"/>
            <w:vAlign w:val="center"/>
          </w:tcPr>
          <w:p>
            <w:pPr>
              <w:autoSpaceDE w:val="0"/>
              <w:autoSpaceDN w:val="0"/>
              <w:adjustRightInd w:val="0"/>
              <w:spacing w:line="700" w:lineRule="exact"/>
              <w:jc w:val="center"/>
              <w:rPr>
                <w:rFonts w:hint="eastAsia" w:ascii="宋体" w:hAnsi="宋体" w:eastAsia="宋体" w:cs="宋体"/>
                <w:bCs/>
                <w:color w:val="auto"/>
                <w:kern w:val="0"/>
                <w:sz w:val="24"/>
                <w:highlight w:val="none"/>
              </w:rPr>
            </w:pPr>
          </w:p>
        </w:tc>
        <w:tc>
          <w:tcPr>
            <w:tcW w:w="2340" w:type="dxa"/>
            <w:noWrap w:val="0"/>
            <w:vAlign w:val="center"/>
          </w:tcPr>
          <w:p>
            <w:pPr>
              <w:autoSpaceDE w:val="0"/>
              <w:autoSpaceDN w:val="0"/>
              <w:adjustRightInd w:val="0"/>
              <w:spacing w:line="700" w:lineRule="exact"/>
              <w:jc w:val="center"/>
              <w:rPr>
                <w:rFonts w:hint="eastAsia" w:ascii="宋体" w:hAnsi="宋体" w:eastAsia="宋体" w:cs="宋体"/>
                <w:bCs/>
                <w:color w:val="auto"/>
                <w:kern w:val="0"/>
                <w:sz w:val="24"/>
                <w:highlight w:val="none"/>
              </w:rPr>
            </w:pPr>
          </w:p>
        </w:tc>
        <w:tc>
          <w:tcPr>
            <w:tcW w:w="1620" w:type="dxa"/>
            <w:noWrap w:val="0"/>
            <w:vAlign w:val="center"/>
          </w:tcPr>
          <w:p>
            <w:pPr>
              <w:autoSpaceDE w:val="0"/>
              <w:autoSpaceDN w:val="0"/>
              <w:adjustRightInd w:val="0"/>
              <w:spacing w:line="700" w:lineRule="exact"/>
              <w:jc w:val="center"/>
              <w:rPr>
                <w:rFonts w:hint="eastAsia" w:ascii="宋体" w:hAnsi="宋体" w:eastAsia="宋体" w:cs="宋体"/>
                <w:bCs/>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exact"/>
          <w:jc w:val="center"/>
        </w:trPr>
        <w:tc>
          <w:tcPr>
            <w:tcW w:w="1368" w:type="dxa"/>
            <w:noWrap w:val="0"/>
            <w:vAlign w:val="center"/>
          </w:tcPr>
          <w:p>
            <w:pPr>
              <w:autoSpaceDE w:val="0"/>
              <w:autoSpaceDN w:val="0"/>
              <w:adjustRightInd w:val="0"/>
              <w:spacing w:line="700" w:lineRule="exact"/>
              <w:jc w:val="center"/>
              <w:rPr>
                <w:rFonts w:hint="eastAsia" w:ascii="宋体" w:hAnsi="宋体" w:eastAsia="宋体" w:cs="宋体"/>
                <w:bCs/>
                <w:color w:val="auto"/>
                <w:kern w:val="0"/>
                <w:sz w:val="24"/>
                <w:highlight w:val="none"/>
              </w:rPr>
            </w:pPr>
          </w:p>
        </w:tc>
        <w:tc>
          <w:tcPr>
            <w:tcW w:w="1971" w:type="dxa"/>
            <w:noWrap w:val="0"/>
            <w:vAlign w:val="center"/>
          </w:tcPr>
          <w:p>
            <w:pPr>
              <w:autoSpaceDE w:val="0"/>
              <w:autoSpaceDN w:val="0"/>
              <w:adjustRightInd w:val="0"/>
              <w:spacing w:line="700" w:lineRule="exact"/>
              <w:jc w:val="center"/>
              <w:rPr>
                <w:rFonts w:hint="eastAsia" w:ascii="宋体" w:hAnsi="宋体" w:eastAsia="宋体" w:cs="宋体"/>
                <w:bCs/>
                <w:color w:val="auto"/>
                <w:kern w:val="0"/>
                <w:sz w:val="24"/>
                <w:highlight w:val="none"/>
              </w:rPr>
            </w:pPr>
          </w:p>
        </w:tc>
        <w:tc>
          <w:tcPr>
            <w:tcW w:w="2349" w:type="dxa"/>
            <w:noWrap w:val="0"/>
            <w:vAlign w:val="center"/>
          </w:tcPr>
          <w:p>
            <w:pPr>
              <w:autoSpaceDE w:val="0"/>
              <w:autoSpaceDN w:val="0"/>
              <w:adjustRightInd w:val="0"/>
              <w:spacing w:line="700" w:lineRule="exact"/>
              <w:jc w:val="center"/>
              <w:rPr>
                <w:rFonts w:hint="eastAsia" w:ascii="宋体" w:hAnsi="宋体" w:eastAsia="宋体" w:cs="宋体"/>
                <w:bCs/>
                <w:color w:val="auto"/>
                <w:kern w:val="0"/>
                <w:sz w:val="24"/>
                <w:highlight w:val="none"/>
              </w:rPr>
            </w:pPr>
          </w:p>
        </w:tc>
        <w:tc>
          <w:tcPr>
            <w:tcW w:w="2340" w:type="dxa"/>
            <w:noWrap w:val="0"/>
            <w:vAlign w:val="center"/>
          </w:tcPr>
          <w:p>
            <w:pPr>
              <w:autoSpaceDE w:val="0"/>
              <w:autoSpaceDN w:val="0"/>
              <w:adjustRightInd w:val="0"/>
              <w:spacing w:line="700" w:lineRule="exact"/>
              <w:jc w:val="center"/>
              <w:rPr>
                <w:rFonts w:hint="eastAsia" w:ascii="宋体" w:hAnsi="宋体" w:eastAsia="宋体" w:cs="宋体"/>
                <w:bCs/>
                <w:color w:val="auto"/>
                <w:kern w:val="0"/>
                <w:sz w:val="24"/>
                <w:highlight w:val="none"/>
              </w:rPr>
            </w:pPr>
          </w:p>
        </w:tc>
        <w:tc>
          <w:tcPr>
            <w:tcW w:w="1620" w:type="dxa"/>
            <w:noWrap w:val="0"/>
            <w:vAlign w:val="center"/>
          </w:tcPr>
          <w:p>
            <w:pPr>
              <w:autoSpaceDE w:val="0"/>
              <w:autoSpaceDN w:val="0"/>
              <w:adjustRightInd w:val="0"/>
              <w:spacing w:line="700" w:lineRule="exact"/>
              <w:jc w:val="center"/>
              <w:rPr>
                <w:rFonts w:hint="eastAsia" w:ascii="宋体" w:hAnsi="宋体" w:eastAsia="宋体" w:cs="宋体"/>
                <w:bCs/>
                <w:color w:val="auto"/>
                <w:kern w:val="0"/>
                <w:sz w:val="24"/>
                <w:highlight w:val="none"/>
              </w:rPr>
            </w:pPr>
          </w:p>
        </w:tc>
      </w:tr>
    </w:tbl>
    <w:p>
      <w:pPr>
        <w:autoSpaceDE w:val="0"/>
        <w:autoSpaceDN w:val="0"/>
        <w:adjustRightInd w:val="0"/>
        <w:spacing w:line="700" w:lineRule="exact"/>
        <w:rPr>
          <w:rFonts w:hint="eastAsia" w:ascii="宋体" w:hAnsi="宋体" w:eastAsia="宋体" w:cs="宋体"/>
          <w:bCs/>
          <w:color w:val="auto"/>
          <w:kern w:val="0"/>
          <w:sz w:val="24"/>
          <w:highlight w:val="none"/>
        </w:rPr>
      </w:pPr>
      <w:r>
        <w:rPr>
          <w:rFonts w:hint="eastAsia" w:ascii="宋体" w:hAnsi="宋体" w:eastAsia="宋体" w:cs="宋体"/>
          <w:color w:val="auto"/>
          <w:kern w:val="0"/>
          <w:sz w:val="24"/>
          <w:highlight w:val="none"/>
        </w:rPr>
        <w:t>我方承诺：除上表中的偏离外，完全响应招标文件的其他条款。</w:t>
      </w:r>
    </w:p>
    <w:p>
      <w:pPr>
        <w:autoSpaceDE w:val="0"/>
        <w:autoSpaceDN w:val="0"/>
        <w:adjustRightInd w:val="0"/>
        <w:spacing w:line="500" w:lineRule="exact"/>
        <w:jc w:val="left"/>
        <w:rPr>
          <w:rFonts w:hint="eastAsia" w:ascii="宋体" w:hAnsi="宋体" w:eastAsia="宋体" w:cs="宋体"/>
          <w:color w:val="auto"/>
          <w:kern w:val="0"/>
          <w:sz w:val="24"/>
          <w:highlight w:val="none"/>
        </w:rPr>
      </w:pPr>
    </w:p>
    <w:p>
      <w:pPr>
        <w:autoSpaceDE w:val="0"/>
        <w:autoSpaceDN w:val="0"/>
        <w:adjustRightInd w:val="0"/>
        <w:spacing w:line="500" w:lineRule="exact"/>
        <w:jc w:val="left"/>
        <w:rPr>
          <w:rFonts w:hint="eastAsia" w:ascii="宋体" w:hAnsi="宋体" w:eastAsia="宋体" w:cs="宋体"/>
          <w:color w:val="auto"/>
          <w:kern w:val="0"/>
          <w:sz w:val="24"/>
          <w:highlight w:val="none"/>
          <w:u w:val="single"/>
        </w:rPr>
      </w:pPr>
      <w:r>
        <w:rPr>
          <w:rFonts w:hint="eastAsia" w:ascii="宋体" w:hAnsi="宋体" w:eastAsia="宋体" w:cs="宋体"/>
          <w:color w:val="auto"/>
          <w:kern w:val="0"/>
          <w:sz w:val="24"/>
          <w:highlight w:val="none"/>
        </w:rPr>
        <w:t>投标人(公章) ：</w:t>
      </w:r>
      <w:r>
        <w:rPr>
          <w:rFonts w:hint="eastAsia" w:ascii="宋体" w:hAnsi="宋体" w:eastAsia="宋体" w:cs="宋体"/>
          <w:color w:val="auto"/>
          <w:kern w:val="0"/>
          <w:sz w:val="24"/>
          <w:highlight w:val="none"/>
          <w:u w:val="single"/>
        </w:rPr>
        <w:t xml:space="preserve">                          </w:t>
      </w:r>
    </w:p>
    <w:p>
      <w:pPr>
        <w:autoSpaceDE w:val="0"/>
        <w:autoSpaceDN w:val="0"/>
        <w:adjustRightInd w:val="0"/>
        <w:spacing w:line="500" w:lineRule="exact"/>
        <w:jc w:val="left"/>
        <w:rPr>
          <w:rFonts w:hint="eastAsia" w:ascii="宋体" w:hAnsi="宋体" w:eastAsia="宋体" w:cs="宋体"/>
          <w:color w:val="auto"/>
          <w:kern w:val="0"/>
          <w:sz w:val="24"/>
          <w:highlight w:val="none"/>
          <w:u w:val="single"/>
        </w:rPr>
      </w:pPr>
      <w:r>
        <w:rPr>
          <w:rFonts w:hint="eastAsia" w:ascii="宋体" w:hAnsi="宋体" w:eastAsia="宋体" w:cs="宋体"/>
          <w:color w:val="auto"/>
          <w:kern w:val="0"/>
          <w:sz w:val="24"/>
          <w:highlight w:val="none"/>
        </w:rPr>
        <w:t>法定代表人或授权委托人（签字或盖章）：</w:t>
      </w:r>
      <w:r>
        <w:rPr>
          <w:rFonts w:hint="eastAsia" w:ascii="宋体" w:hAnsi="宋体" w:eastAsia="宋体" w:cs="宋体"/>
          <w:color w:val="auto"/>
          <w:kern w:val="0"/>
          <w:sz w:val="24"/>
          <w:highlight w:val="none"/>
          <w:u w:val="single"/>
        </w:rPr>
        <w:t xml:space="preserve">                       </w:t>
      </w:r>
    </w:p>
    <w:p>
      <w:pPr>
        <w:autoSpaceDE w:val="0"/>
        <w:autoSpaceDN w:val="0"/>
        <w:adjustRightInd w:val="0"/>
        <w:spacing w:line="500" w:lineRule="exact"/>
        <w:jc w:val="left"/>
        <w:rPr>
          <w:rFonts w:hint="eastAsia" w:ascii="宋体" w:hAnsi="宋体" w:eastAsia="宋体" w:cs="宋体"/>
          <w:b/>
          <w:bCs/>
          <w:color w:val="auto"/>
          <w:kern w:val="0"/>
          <w:sz w:val="24"/>
          <w:highlight w:val="none"/>
        </w:rPr>
      </w:pPr>
      <w:r>
        <w:rPr>
          <w:rFonts w:hint="eastAsia" w:ascii="宋体" w:hAnsi="宋体" w:eastAsia="宋体" w:cs="宋体"/>
          <w:color w:val="auto"/>
          <w:kern w:val="0"/>
          <w:sz w:val="24"/>
          <w:highlight w:val="none"/>
        </w:rPr>
        <w:t xml:space="preserve">日期： </w:t>
      </w:r>
      <w:r>
        <w:rPr>
          <w:rFonts w:hint="eastAsia" w:ascii="宋体" w:hAnsi="宋体" w:eastAsia="宋体" w:cs="宋体"/>
          <w:color w:val="auto"/>
          <w:kern w:val="0"/>
          <w:sz w:val="24"/>
          <w:highlight w:val="none"/>
          <w:u w:val="single"/>
        </w:rPr>
        <w:t xml:space="preserve">         </w:t>
      </w:r>
      <w:r>
        <w:rPr>
          <w:rFonts w:hint="eastAsia" w:ascii="宋体" w:hAnsi="宋体" w:eastAsia="宋体" w:cs="宋体"/>
          <w:color w:val="auto"/>
          <w:kern w:val="0"/>
          <w:sz w:val="24"/>
          <w:highlight w:val="none"/>
        </w:rPr>
        <w:t>年</w:t>
      </w:r>
      <w:r>
        <w:rPr>
          <w:rFonts w:hint="eastAsia" w:ascii="宋体" w:hAnsi="宋体" w:eastAsia="宋体" w:cs="宋体"/>
          <w:color w:val="auto"/>
          <w:kern w:val="0"/>
          <w:sz w:val="24"/>
          <w:highlight w:val="none"/>
          <w:u w:val="single"/>
        </w:rPr>
        <w:t xml:space="preserve">        </w:t>
      </w:r>
      <w:r>
        <w:rPr>
          <w:rFonts w:hint="eastAsia" w:ascii="宋体" w:hAnsi="宋体" w:eastAsia="宋体" w:cs="宋体"/>
          <w:color w:val="auto"/>
          <w:kern w:val="0"/>
          <w:sz w:val="24"/>
          <w:highlight w:val="none"/>
        </w:rPr>
        <w:t>月</w:t>
      </w:r>
      <w:r>
        <w:rPr>
          <w:rFonts w:hint="eastAsia" w:ascii="宋体" w:hAnsi="宋体" w:eastAsia="宋体" w:cs="宋体"/>
          <w:color w:val="auto"/>
          <w:kern w:val="0"/>
          <w:sz w:val="24"/>
          <w:highlight w:val="none"/>
          <w:u w:val="single"/>
        </w:rPr>
        <w:t xml:space="preserve">         </w:t>
      </w:r>
      <w:r>
        <w:rPr>
          <w:rFonts w:hint="eastAsia" w:ascii="宋体" w:hAnsi="宋体" w:eastAsia="宋体" w:cs="宋体"/>
          <w:color w:val="auto"/>
          <w:kern w:val="0"/>
          <w:sz w:val="24"/>
          <w:highlight w:val="none"/>
        </w:rPr>
        <w:t>日</w:t>
      </w: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spacing w:line="440" w:lineRule="exact"/>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格式</w:t>
      </w:r>
      <w:r>
        <w:rPr>
          <w:rFonts w:hint="eastAsia" w:ascii="宋体" w:hAnsi="宋体" w:eastAsia="宋体" w:cs="宋体"/>
          <w:color w:val="auto"/>
          <w:sz w:val="24"/>
          <w:highlight w:val="none"/>
          <w:lang w:val="en-US" w:eastAsia="zh-CN"/>
        </w:rPr>
        <w:t>五</w:t>
      </w:r>
      <w:r>
        <w:rPr>
          <w:rFonts w:hint="eastAsia" w:ascii="宋体" w:hAnsi="宋体" w:eastAsia="宋体" w:cs="宋体"/>
          <w:color w:val="auto"/>
          <w:sz w:val="24"/>
          <w:highlight w:val="none"/>
        </w:rPr>
        <w:t>：</w:t>
      </w:r>
    </w:p>
    <w:p>
      <w:pPr>
        <w:pStyle w:val="25"/>
        <w:snapToGrid w:val="0"/>
        <w:spacing w:before="120" w:after="120" w:line="460" w:lineRule="exact"/>
        <w:jc w:val="center"/>
        <w:rPr>
          <w:rFonts w:hint="eastAsia" w:ascii="宋体" w:hAnsi="宋体" w:eastAsia="宋体" w:cs="宋体"/>
          <w:b/>
          <w:color w:val="auto"/>
          <w:szCs w:val="28"/>
          <w:highlight w:val="none"/>
        </w:rPr>
      </w:pPr>
      <w:r>
        <w:rPr>
          <w:rFonts w:hint="eastAsia" w:ascii="宋体" w:hAnsi="宋体" w:eastAsia="宋体" w:cs="宋体"/>
          <w:b/>
          <w:color w:val="auto"/>
          <w:szCs w:val="28"/>
          <w:highlight w:val="none"/>
        </w:rPr>
        <w:t>开标一览表</w:t>
      </w:r>
    </w:p>
    <w:tbl>
      <w:tblPr>
        <w:tblStyle w:val="49"/>
        <w:tblW w:w="0" w:type="auto"/>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3639"/>
        <w:gridCol w:w="6317"/>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1827" w:type="pct"/>
            <w:noWrap w:val="0"/>
            <w:vAlign w:val="center"/>
          </w:tcPr>
          <w:p>
            <w:pPr>
              <w:spacing w:line="480" w:lineRule="exact"/>
              <w:jc w:val="center"/>
              <w:rPr>
                <w:rFonts w:hint="eastAsia" w:ascii="宋体" w:hAnsi="宋体" w:eastAsia="宋体" w:cs="宋体"/>
                <w:color w:val="auto"/>
                <w:sz w:val="24"/>
                <w:highlight w:val="none"/>
                <w:lang w:bidi="th-TH"/>
              </w:rPr>
            </w:pPr>
            <w:r>
              <w:rPr>
                <w:rFonts w:hint="eastAsia" w:ascii="宋体" w:hAnsi="宋体" w:eastAsia="宋体" w:cs="宋体"/>
                <w:color w:val="auto"/>
                <w:sz w:val="24"/>
                <w:highlight w:val="none"/>
                <w:lang w:bidi="th-TH"/>
              </w:rPr>
              <w:t>招标项目名称</w:t>
            </w:r>
          </w:p>
        </w:tc>
        <w:tc>
          <w:tcPr>
            <w:tcW w:w="3172" w:type="pct"/>
            <w:noWrap w:val="0"/>
            <w:vAlign w:val="center"/>
          </w:tcPr>
          <w:p>
            <w:pPr>
              <w:spacing w:line="480" w:lineRule="exact"/>
              <w:jc w:val="center"/>
              <w:rPr>
                <w:rFonts w:hint="eastAsia" w:ascii="宋体" w:hAnsi="宋体" w:eastAsia="宋体" w:cs="宋体"/>
                <w:color w:val="auto"/>
                <w:sz w:val="24"/>
                <w:highlight w:val="none"/>
                <w:lang w:bidi="th-TH"/>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1827" w:type="pct"/>
            <w:noWrap w:val="0"/>
            <w:vAlign w:val="center"/>
          </w:tcPr>
          <w:p>
            <w:pPr>
              <w:spacing w:line="480" w:lineRule="exact"/>
              <w:jc w:val="center"/>
              <w:rPr>
                <w:rFonts w:hint="eastAsia" w:ascii="宋体" w:hAnsi="宋体" w:eastAsia="宋体" w:cs="宋体"/>
                <w:color w:val="auto"/>
                <w:sz w:val="24"/>
                <w:highlight w:val="none"/>
                <w:lang w:bidi="th-TH"/>
              </w:rPr>
            </w:pPr>
            <w:r>
              <w:rPr>
                <w:rFonts w:hint="eastAsia" w:ascii="宋体" w:hAnsi="宋体" w:eastAsia="宋体" w:cs="宋体"/>
                <w:color w:val="auto"/>
                <w:sz w:val="24"/>
                <w:highlight w:val="none"/>
                <w:lang w:bidi="th-TH"/>
              </w:rPr>
              <w:t>服务期</w:t>
            </w:r>
          </w:p>
        </w:tc>
        <w:tc>
          <w:tcPr>
            <w:tcW w:w="3172" w:type="pct"/>
            <w:noWrap w:val="0"/>
            <w:vAlign w:val="center"/>
          </w:tcPr>
          <w:p>
            <w:pPr>
              <w:spacing w:line="480" w:lineRule="exact"/>
              <w:jc w:val="center"/>
              <w:rPr>
                <w:rFonts w:hint="eastAsia" w:ascii="宋体" w:hAnsi="宋体" w:eastAsia="宋体" w:cs="宋体"/>
                <w:color w:val="auto"/>
                <w:sz w:val="24"/>
                <w:highlight w:val="none"/>
                <w:lang w:eastAsia="zh-CN" w:bidi="th-TH"/>
              </w:rPr>
            </w:pPr>
            <w:r>
              <w:rPr>
                <w:rFonts w:hint="eastAsia" w:ascii="宋体" w:hAnsi="宋体" w:eastAsia="宋体" w:cs="宋体"/>
                <w:color w:val="auto"/>
                <w:sz w:val="24"/>
                <w:highlight w:val="none"/>
                <w:u w:val="single"/>
                <w:lang w:bidi="th-TH"/>
              </w:rPr>
              <w:t xml:space="preserve">     </w:t>
            </w:r>
            <w:r>
              <w:rPr>
                <w:rFonts w:hint="eastAsia" w:ascii="宋体" w:hAnsi="宋体" w:eastAsia="宋体" w:cs="宋体"/>
                <w:color w:val="auto"/>
                <w:sz w:val="24"/>
                <w:highlight w:val="none"/>
                <w:lang w:val="en-US" w:eastAsia="zh-CN" w:bidi="th-TH"/>
              </w:rPr>
              <w:t>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1827" w:type="pct"/>
            <w:noWrap w:val="0"/>
            <w:vAlign w:val="center"/>
          </w:tcPr>
          <w:p>
            <w:pPr>
              <w:spacing w:line="480" w:lineRule="exact"/>
              <w:jc w:val="center"/>
              <w:rPr>
                <w:rFonts w:hint="eastAsia" w:ascii="宋体" w:hAnsi="宋体" w:eastAsia="宋体" w:cs="宋体"/>
                <w:color w:val="auto"/>
                <w:sz w:val="24"/>
                <w:highlight w:val="none"/>
                <w:lang w:bidi="th-TH"/>
              </w:rPr>
            </w:pPr>
            <w:r>
              <w:rPr>
                <w:rFonts w:hint="eastAsia" w:ascii="宋体" w:hAnsi="宋体" w:eastAsia="宋体" w:cs="宋体"/>
                <w:color w:val="auto"/>
                <w:sz w:val="24"/>
                <w:highlight w:val="none"/>
                <w:lang w:bidi="th-TH"/>
              </w:rPr>
              <w:t>投标单价（元/吨）</w:t>
            </w:r>
          </w:p>
        </w:tc>
        <w:tc>
          <w:tcPr>
            <w:tcW w:w="3172" w:type="pct"/>
            <w:noWrap w:val="0"/>
            <w:vAlign w:val="center"/>
          </w:tcPr>
          <w:p>
            <w:pPr>
              <w:spacing w:line="480" w:lineRule="exact"/>
              <w:jc w:val="center"/>
              <w:rPr>
                <w:rFonts w:hint="eastAsia" w:ascii="宋体" w:hAnsi="宋体" w:eastAsia="宋体" w:cs="宋体"/>
                <w:color w:val="auto"/>
                <w:sz w:val="24"/>
                <w:highlight w:val="none"/>
                <w:lang w:bidi="th-TH"/>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1827" w:type="pct"/>
            <w:noWrap w:val="0"/>
            <w:vAlign w:val="center"/>
          </w:tcPr>
          <w:p>
            <w:pPr>
              <w:spacing w:line="480" w:lineRule="exact"/>
              <w:jc w:val="center"/>
              <w:rPr>
                <w:rFonts w:hint="eastAsia" w:ascii="宋体" w:hAnsi="宋体" w:eastAsia="宋体" w:cs="宋体"/>
                <w:color w:val="auto"/>
                <w:sz w:val="24"/>
                <w:highlight w:val="none"/>
                <w:lang w:val="en-US" w:eastAsia="zh-CN" w:bidi="th-TH"/>
              </w:rPr>
            </w:pPr>
            <w:r>
              <w:rPr>
                <w:rFonts w:hint="eastAsia" w:ascii="宋体" w:hAnsi="宋体" w:eastAsia="宋体" w:cs="宋体"/>
                <w:color w:val="auto"/>
                <w:sz w:val="24"/>
                <w:highlight w:val="none"/>
                <w:lang w:val="en-US" w:eastAsia="zh-CN" w:bidi="th-TH"/>
              </w:rPr>
              <w:t>投标总价（元）</w:t>
            </w:r>
          </w:p>
        </w:tc>
        <w:tc>
          <w:tcPr>
            <w:tcW w:w="3172" w:type="pct"/>
            <w:noWrap w:val="0"/>
            <w:vAlign w:val="center"/>
          </w:tcPr>
          <w:p>
            <w:pPr>
              <w:spacing w:line="480" w:lineRule="exact"/>
              <w:jc w:val="center"/>
              <w:rPr>
                <w:rFonts w:hint="eastAsia" w:ascii="宋体" w:hAnsi="宋体" w:eastAsia="宋体" w:cs="宋体"/>
                <w:color w:val="auto"/>
                <w:sz w:val="24"/>
                <w:highlight w:val="none"/>
                <w:lang w:bidi="th-TH"/>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1827" w:type="pct"/>
            <w:noWrap w:val="0"/>
            <w:vAlign w:val="center"/>
          </w:tcPr>
          <w:p>
            <w:pPr>
              <w:spacing w:line="480" w:lineRule="exact"/>
              <w:jc w:val="center"/>
              <w:rPr>
                <w:rFonts w:hint="eastAsia" w:ascii="宋体" w:hAnsi="宋体" w:eastAsia="宋体" w:cs="宋体"/>
                <w:color w:val="auto"/>
                <w:sz w:val="24"/>
                <w:highlight w:val="none"/>
                <w:lang w:bidi="th-TH"/>
              </w:rPr>
            </w:pPr>
            <w:r>
              <w:rPr>
                <w:rFonts w:hint="eastAsia" w:ascii="宋体" w:hAnsi="宋体" w:eastAsia="宋体" w:cs="宋体"/>
                <w:color w:val="auto"/>
                <w:sz w:val="24"/>
                <w:highlight w:val="none"/>
                <w:lang w:bidi="th-TH"/>
              </w:rPr>
              <w:t>质量承诺</w:t>
            </w:r>
          </w:p>
        </w:tc>
        <w:tc>
          <w:tcPr>
            <w:tcW w:w="3172" w:type="pct"/>
            <w:noWrap w:val="0"/>
            <w:vAlign w:val="center"/>
          </w:tcPr>
          <w:p>
            <w:pPr>
              <w:spacing w:line="480" w:lineRule="exact"/>
              <w:jc w:val="center"/>
              <w:rPr>
                <w:rFonts w:hint="eastAsia" w:ascii="宋体" w:hAnsi="宋体" w:eastAsia="宋体" w:cs="宋体"/>
                <w:color w:val="auto"/>
                <w:sz w:val="24"/>
                <w:highlight w:val="none"/>
                <w:lang w:bidi="th-TH"/>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1827" w:type="pct"/>
            <w:noWrap w:val="0"/>
            <w:vAlign w:val="center"/>
          </w:tcPr>
          <w:p>
            <w:pPr>
              <w:spacing w:line="480" w:lineRule="exact"/>
              <w:jc w:val="center"/>
              <w:rPr>
                <w:rFonts w:hint="eastAsia" w:ascii="宋体" w:hAnsi="宋体" w:eastAsia="宋体" w:cs="宋体"/>
                <w:color w:val="auto"/>
                <w:sz w:val="24"/>
                <w:highlight w:val="none"/>
                <w:lang w:bidi="th-TH"/>
              </w:rPr>
            </w:pPr>
            <w:r>
              <w:rPr>
                <w:rFonts w:hint="eastAsia" w:ascii="宋体" w:hAnsi="宋体" w:eastAsia="宋体" w:cs="宋体"/>
                <w:color w:val="auto"/>
                <w:sz w:val="24"/>
                <w:highlight w:val="none"/>
                <w:lang w:bidi="th-TH"/>
              </w:rPr>
              <w:t>备注</w:t>
            </w:r>
          </w:p>
        </w:tc>
        <w:tc>
          <w:tcPr>
            <w:tcW w:w="3172" w:type="pct"/>
            <w:noWrap w:val="0"/>
            <w:vAlign w:val="center"/>
          </w:tcPr>
          <w:p>
            <w:pPr>
              <w:spacing w:line="480" w:lineRule="exact"/>
              <w:jc w:val="center"/>
              <w:rPr>
                <w:rFonts w:hint="eastAsia" w:ascii="宋体" w:hAnsi="宋体" w:eastAsia="宋体" w:cs="宋体"/>
                <w:color w:val="auto"/>
                <w:sz w:val="24"/>
                <w:highlight w:val="none"/>
                <w:lang w:val="en-US" w:eastAsia="zh-CN" w:bidi="th-TH"/>
              </w:rPr>
            </w:pPr>
            <w:r>
              <w:rPr>
                <w:rFonts w:hint="eastAsia" w:ascii="宋体" w:hAnsi="宋体" w:eastAsia="宋体" w:cs="宋体"/>
                <w:color w:val="auto"/>
                <w:sz w:val="24"/>
                <w:highlight w:val="none"/>
                <w:lang w:val="en-US" w:eastAsia="zh-CN" w:bidi="th-TH"/>
              </w:rPr>
              <w:t>总价按1128吨计算</w:t>
            </w:r>
          </w:p>
        </w:tc>
      </w:tr>
    </w:tbl>
    <w:p>
      <w:pPr>
        <w:pStyle w:val="25"/>
        <w:snapToGrid w:val="0"/>
        <w:spacing w:line="480" w:lineRule="exact"/>
        <w:jc w:val="left"/>
        <w:rPr>
          <w:rFonts w:hint="eastAsia" w:ascii="宋体" w:hAnsi="宋体" w:eastAsia="宋体" w:cs="宋体"/>
          <w:color w:val="auto"/>
          <w:sz w:val="24"/>
          <w:szCs w:val="24"/>
          <w:highlight w:val="none"/>
          <w:lang w:bidi="th-TH"/>
        </w:rPr>
      </w:pPr>
      <w:r>
        <w:rPr>
          <w:rFonts w:hint="eastAsia" w:ascii="宋体" w:hAnsi="宋体" w:eastAsia="宋体" w:cs="宋体"/>
          <w:color w:val="auto"/>
          <w:sz w:val="24"/>
          <w:szCs w:val="24"/>
          <w:highlight w:val="none"/>
          <w:lang w:bidi="th-TH"/>
        </w:rPr>
        <w:t>注: 1、报价一经涂改，应在涂改处加盖单位公章或者由法定代表人或授权委托人签字或盖章，否则其投标作无效标处理。</w:t>
      </w:r>
    </w:p>
    <w:p>
      <w:pPr>
        <w:pStyle w:val="25"/>
        <w:snapToGrid w:val="0"/>
        <w:spacing w:line="480" w:lineRule="exact"/>
        <w:jc w:val="left"/>
        <w:rPr>
          <w:rFonts w:hint="eastAsia" w:ascii="宋体" w:hAnsi="宋体" w:eastAsia="宋体" w:cs="宋体"/>
          <w:color w:val="auto"/>
          <w:sz w:val="24"/>
          <w:szCs w:val="24"/>
          <w:highlight w:val="none"/>
          <w:lang w:bidi="th-TH"/>
        </w:rPr>
      </w:pPr>
      <w:r>
        <w:rPr>
          <w:rFonts w:hint="eastAsia" w:ascii="宋体" w:hAnsi="宋体" w:eastAsia="宋体" w:cs="宋体"/>
          <w:color w:val="auto"/>
          <w:sz w:val="24"/>
          <w:szCs w:val="24"/>
          <w:highlight w:val="none"/>
          <w:lang w:bidi="th-TH"/>
        </w:rPr>
        <w:t>2、投标费用包括本项目招标文件规定的一切费用。</w:t>
      </w:r>
    </w:p>
    <w:p>
      <w:pPr>
        <w:pStyle w:val="25"/>
        <w:snapToGrid w:val="0"/>
        <w:spacing w:line="480" w:lineRule="exact"/>
        <w:jc w:val="left"/>
        <w:rPr>
          <w:rFonts w:hint="eastAsia" w:ascii="宋体" w:hAnsi="宋体" w:eastAsia="宋体" w:cs="宋体"/>
          <w:color w:val="auto"/>
          <w:sz w:val="24"/>
          <w:szCs w:val="24"/>
          <w:highlight w:val="none"/>
          <w:lang w:bidi="th-TH"/>
        </w:rPr>
      </w:pPr>
      <w:r>
        <w:rPr>
          <w:rFonts w:hint="eastAsia" w:ascii="宋体" w:hAnsi="宋体" w:eastAsia="宋体" w:cs="宋体"/>
          <w:color w:val="auto"/>
          <w:sz w:val="24"/>
          <w:szCs w:val="24"/>
          <w:highlight w:val="none"/>
          <w:lang w:bidi="th-TH"/>
        </w:rPr>
        <w:t>3、以上报价应与投标函中、投标分项报价表中的价格相一致。</w:t>
      </w:r>
    </w:p>
    <w:p>
      <w:pPr>
        <w:pStyle w:val="25"/>
        <w:snapToGrid w:val="0"/>
        <w:spacing w:line="480" w:lineRule="exact"/>
        <w:jc w:val="left"/>
        <w:rPr>
          <w:rFonts w:hint="eastAsia" w:ascii="宋体" w:hAnsi="宋体" w:eastAsia="宋体" w:cs="宋体"/>
          <w:color w:val="auto"/>
          <w:sz w:val="24"/>
          <w:szCs w:val="24"/>
          <w:highlight w:val="none"/>
          <w:lang w:bidi="th-TH"/>
        </w:rPr>
      </w:pPr>
    </w:p>
    <w:p>
      <w:pPr>
        <w:pStyle w:val="25"/>
        <w:keepNext w:val="0"/>
        <w:keepLines w:val="0"/>
        <w:pageBreakBefore w:val="0"/>
        <w:widowControl w:val="0"/>
        <w:kinsoku/>
        <w:wordWrap/>
        <w:overflowPunct/>
        <w:topLinePunct w:val="0"/>
        <w:autoSpaceDE/>
        <w:autoSpaceDN/>
        <w:bidi w:val="0"/>
        <w:adjustRightInd/>
        <w:snapToGrid w:val="0"/>
        <w:spacing w:line="440" w:lineRule="exact"/>
        <w:jc w:val="left"/>
        <w:textAlignment w:val="auto"/>
        <w:rPr>
          <w:rFonts w:hint="eastAsia" w:ascii="宋体" w:hAnsi="宋体" w:eastAsia="宋体" w:cs="宋体"/>
          <w:color w:val="auto"/>
          <w:sz w:val="24"/>
          <w:szCs w:val="24"/>
          <w:highlight w:val="none"/>
          <w:u w:val="single"/>
          <w:lang w:bidi="th-TH"/>
        </w:rPr>
      </w:pPr>
      <w:r>
        <w:rPr>
          <w:rFonts w:hint="eastAsia" w:ascii="宋体" w:hAnsi="宋体" w:eastAsia="宋体" w:cs="宋体"/>
          <w:color w:val="auto"/>
          <w:sz w:val="24"/>
          <w:szCs w:val="24"/>
          <w:highlight w:val="none"/>
          <w:lang w:bidi="th-TH"/>
        </w:rPr>
        <w:t>投标人（盖章）：</w:t>
      </w:r>
      <w:r>
        <w:rPr>
          <w:rFonts w:hint="eastAsia" w:ascii="宋体" w:hAnsi="宋体" w:eastAsia="宋体" w:cs="宋体"/>
          <w:color w:val="auto"/>
          <w:sz w:val="24"/>
          <w:szCs w:val="24"/>
          <w:highlight w:val="none"/>
          <w:u w:val="single"/>
          <w:lang w:bidi="th-TH"/>
        </w:rPr>
        <w:t xml:space="preserve">                         </w:t>
      </w:r>
    </w:p>
    <w:p>
      <w:pPr>
        <w:pStyle w:val="25"/>
        <w:keepNext w:val="0"/>
        <w:keepLines w:val="0"/>
        <w:pageBreakBefore w:val="0"/>
        <w:widowControl w:val="0"/>
        <w:kinsoku/>
        <w:wordWrap/>
        <w:overflowPunct/>
        <w:topLinePunct w:val="0"/>
        <w:autoSpaceDE/>
        <w:autoSpaceDN/>
        <w:bidi w:val="0"/>
        <w:adjustRightInd/>
        <w:snapToGrid w:val="0"/>
        <w:spacing w:line="440" w:lineRule="exact"/>
        <w:jc w:val="left"/>
        <w:textAlignment w:val="auto"/>
        <w:rPr>
          <w:rFonts w:hint="eastAsia" w:ascii="宋体" w:hAnsi="宋体" w:eastAsia="宋体" w:cs="宋体"/>
          <w:color w:val="auto"/>
          <w:sz w:val="24"/>
          <w:szCs w:val="24"/>
          <w:highlight w:val="none"/>
          <w:u w:val="single"/>
          <w:lang w:bidi="th-TH"/>
        </w:rPr>
      </w:pPr>
      <w:r>
        <w:rPr>
          <w:rFonts w:hint="eastAsia" w:ascii="宋体" w:hAnsi="宋体" w:eastAsia="宋体" w:cs="宋体"/>
          <w:color w:val="auto"/>
          <w:sz w:val="24"/>
          <w:szCs w:val="24"/>
          <w:highlight w:val="none"/>
          <w:lang w:bidi="th-TH"/>
        </w:rPr>
        <w:t>法定代表人（签字或盖章）：</w:t>
      </w:r>
      <w:r>
        <w:rPr>
          <w:rFonts w:hint="eastAsia" w:ascii="宋体" w:hAnsi="宋体" w:eastAsia="宋体" w:cs="宋体"/>
          <w:color w:val="auto"/>
          <w:sz w:val="24"/>
          <w:szCs w:val="24"/>
          <w:highlight w:val="none"/>
          <w:u w:val="single"/>
          <w:lang w:bidi="th-TH"/>
        </w:rPr>
        <w:t xml:space="preserve">                </w:t>
      </w:r>
    </w:p>
    <w:p>
      <w:pPr>
        <w:pStyle w:val="25"/>
        <w:keepNext w:val="0"/>
        <w:keepLines w:val="0"/>
        <w:pageBreakBefore w:val="0"/>
        <w:widowControl w:val="0"/>
        <w:kinsoku/>
        <w:wordWrap/>
        <w:overflowPunct/>
        <w:topLinePunct w:val="0"/>
        <w:autoSpaceDE/>
        <w:autoSpaceDN/>
        <w:bidi w:val="0"/>
        <w:adjustRightInd/>
        <w:snapToGrid w:val="0"/>
        <w:spacing w:line="440" w:lineRule="exact"/>
        <w:jc w:val="left"/>
        <w:textAlignment w:val="auto"/>
        <w:rPr>
          <w:rFonts w:hint="eastAsia" w:ascii="宋体" w:hAnsi="宋体" w:eastAsia="宋体" w:cs="宋体"/>
          <w:color w:val="auto"/>
          <w:sz w:val="24"/>
          <w:szCs w:val="24"/>
          <w:highlight w:val="none"/>
          <w:lang w:bidi="th-TH"/>
        </w:rPr>
      </w:pPr>
      <w:r>
        <w:rPr>
          <w:rFonts w:hint="eastAsia" w:ascii="宋体" w:hAnsi="宋体" w:eastAsia="宋体" w:cs="宋体"/>
          <w:color w:val="auto"/>
          <w:sz w:val="24"/>
          <w:szCs w:val="24"/>
          <w:highlight w:val="none"/>
          <w:lang w:bidi="th-TH"/>
        </w:rPr>
        <w:t>授权委托人（签字或盖章）：</w:t>
      </w:r>
      <w:r>
        <w:rPr>
          <w:rFonts w:hint="eastAsia" w:ascii="宋体" w:hAnsi="宋体" w:eastAsia="宋体" w:cs="宋体"/>
          <w:color w:val="auto"/>
          <w:sz w:val="24"/>
          <w:szCs w:val="24"/>
          <w:highlight w:val="none"/>
          <w:u w:val="single"/>
          <w:lang w:bidi="th-TH"/>
        </w:rPr>
        <w:t xml:space="preserve">                </w:t>
      </w:r>
    </w:p>
    <w:p>
      <w:pPr>
        <w:pStyle w:val="18"/>
        <w:keepNext w:val="0"/>
        <w:keepLines w:val="0"/>
        <w:pageBreakBefore w:val="0"/>
        <w:widowControl w:val="0"/>
        <w:kinsoku/>
        <w:wordWrap/>
        <w:overflowPunct/>
        <w:topLinePunct w:val="0"/>
        <w:autoSpaceDE/>
        <w:autoSpaceDN/>
        <w:bidi w:val="0"/>
        <w:adjustRightInd/>
        <w:spacing w:line="440" w:lineRule="exact"/>
        <w:textAlignment w:val="auto"/>
        <w:rPr>
          <w:rFonts w:hint="eastAsia" w:ascii="宋体" w:hAnsi="宋体" w:eastAsia="宋体" w:cs="宋体"/>
          <w:color w:val="auto"/>
          <w:sz w:val="24"/>
          <w:highlight w:val="none"/>
          <w:u w:val="single"/>
          <w:lang w:bidi="th-TH"/>
        </w:rPr>
        <w:sectPr>
          <w:headerReference r:id="rId5" w:type="default"/>
          <w:footerReference r:id="rId6" w:type="default"/>
          <w:pgSz w:w="11906" w:h="16838"/>
          <w:pgMar w:top="1440" w:right="1080" w:bottom="1440" w:left="1080" w:header="851" w:footer="992" w:gutter="0"/>
          <w:cols w:space="720" w:num="1"/>
          <w:rtlGutter w:val="0"/>
          <w:docGrid w:type="linesAndChars" w:linePitch="312" w:charSpace="0"/>
        </w:sectPr>
      </w:pPr>
      <w:r>
        <w:rPr>
          <w:rFonts w:hint="eastAsia" w:ascii="宋体" w:hAnsi="宋体" w:eastAsia="宋体" w:cs="宋体"/>
          <w:color w:val="auto"/>
          <w:sz w:val="24"/>
          <w:highlight w:val="none"/>
          <w:lang w:bidi="th-TH"/>
        </w:rPr>
        <w:t>日期：</w:t>
      </w:r>
      <w:r>
        <w:rPr>
          <w:rFonts w:hint="eastAsia" w:ascii="宋体" w:hAnsi="宋体" w:eastAsia="宋体" w:cs="宋体"/>
          <w:color w:val="auto"/>
          <w:sz w:val="24"/>
          <w:highlight w:val="none"/>
          <w:u w:val="single"/>
          <w:lang w:bidi="th-TH"/>
        </w:rPr>
        <w:t xml:space="preserve">   年  月  日</w:t>
      </w:r>
    </w:p>
    <w:p>
      <w:pPr>
        <w:spacing w:line="440" w:lineRule="exact"/>
        <w:jc w:val="left"/>
        <w:rPr>
          <w:rFonts w:hint="eastAsia" w:ascii="宋体" w:hAnsi="宋体" w:eastAsia="宋体" w:cs="宋体"/>
          <w:b/>
          <w:bCs/>
          <w:color w:val="auto"/>
          <w:sz w:val="44"/>
          <w:szCs w:val="44"/>
          <w:highlight w:val="none"/>
        </w:rPr>
      </w:pPr>
      <w:r>
        <w:rPr>
          <w:rFonts w:hint="eastAsia" w:ascii="宋体" w:hAnsi="宋体" w:eastAsia="宋体" w:cs="宋体"/>
          <w:color w:val="auto"/>
          <w:sz w:val="24"/>
          <w:highlight w:val="none"/>
        </w:rPr>
        <w:t>格式</w:t>
      </w:r>
      <w:r>
        <w:rPr>
          <w:rFonts w:hint="eastAsia" w:ascii="宋体" w:hAnsi="宋体" w:eastAsia="宋体" w:cs="宋体"/>
          <w:color w:val="auto"/>
          <w:sz w:val="24"/>
          <w:highlight w:val="none"/>
          <w:lang w:val="en-US" w:eastAsia="zh-CN"/>
        </w:rPr>
        <w:t>六</w:t>
      </w:r>
      <w:r>
        <w:rPr>
          <w:rFonts w:hint="eastAsia" w:ascii="宋体" w:hAnsi="宋体" w:eastAsia="宋体" w:cs="宋体"/>
          <w:color w:val="auto"/>
          <w:sz w:val="24"/>
          <w:highlight w:val="none"/>
        </w:rPr>
        <w:t>：</w:t>
      </w:r>
    </w:p>
    <w:p>
      <w:pPr>
        <w:jc w:val="center"/>
        <w:rPr>
          <w:rFonts w:hint="eastAsia" w:ascii="宋体" w:hAnsi="宋体" w:eastAsia="宋体" w:cs="宋体"/>
          <w:b/>
          <w:bCs/>
          <w:color w:val="auto"/>
          <w:sz w:val="44"/>
          <w:szCs w:val="44"/>
          <w:highlight w:val="none"/>
        </w:rPr>
      </w:pPr>
      <w:r>
        <w:rPr>
          <w:rFonts w:hint="eastAsia" w:ascii="宋体" w:hAnsi="宋体" w:eastAsia="宋体" w:cs="宋体"/>
          <w:b/>
          <w:bCs/>
          <w:color w:val="auto"/>
          <w:sz w:val="44"/>
          <w:szCs w:val="44"/>
          <w:highlight w:val="none"/>
        </w:rPr>
        <w:t>盐城市大丰区政府招标采购供应商承诺书</w:t>
      </w:r>
    </w:p>
    <w:p>
      <w:pPr>
        <w:spacing w:line="400" w:lineRule="exact"/>
        <w:ind w:firstLine="600" w:firstLineChars="200"/>
        <w:rPr>
          <w:rFonts w:hint="eastAsia" w:ascii="宋体" w:hAnsi="宋体" w:eastAsia="宋体" w:cs="宋体"/>
          <w:color w:val="auto"/>
          <w:sz w:val="30"/>
          <w:szCs w:val="30"/>
          <w:highlight w:val="none"/>
        </w:rPr>
      </w:pPr>
    </w:p>
    <w:p>
      <w:pPr>
        <w:spacing w:line="340" w:lineRule="exact"/>
        <w:ind w:firstLine="640" w:firstLineChars="200"/>
        <w:rPr>
          <w:rFonts w:hint="eastAsia" w:ascii="宋体" w:hAnsi="宋体" w:eastAsia="宋体" w:cs="宋体"/>
          <w:color w:val="auto"/>
          <w:sz w:val="32"/>
          <w:szCs w:val="32"/>
          <w:highlight w:val="none"/>
          <w:u w:val="single"/>
        </w:rPr>
      </w:pPr>
      <w:r>
        <w:rPr>
          <w:rFonts w:hint="eastAsia" w:ascii="宋体" w:hAnsi="宋体" w:eastAsia="宋体" w:cs="宋体"/>
          <w:color w:val="auto"/>
          <w:sz w:val="32"/>
          <w:szCs w:val="32"/>
          <w:highlight w:val="none"/>
        </w:rPr>
        <w:t>为营造公开、公平、公正、诚实守信的政府招标采购交易环境，树立诚信守法的投标人形象，本单位参加政府招标采购项目</w:t>
      </w:r>
      <w:r>
        <w:rPr>
          <w:rFonts w:hint="eastAsia" w:ascii="宋体" w:hAnsi="宋体" w:eastAsia="宋体" w:cs="宋体"/>
          <w:color w:val="auto"/>
          <w:sz w:val="32"/>
          <w:szCs w:val="32"/>
          <w:highlight w:val="none"/>
          <w:u w:val="single"/>
        </w:rPr>
        <w:t xml:space="preserve">：                                       </w:t>
      </w:r>
    </w:p>
    <w:p>
      <w:pPr>
        <w:spacing w:line="340" w:lineRule="exac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的招标采购活动，本人代表本单位作出以下承诺：</w:t>
      </w:r>
    </w:p>
    <w:p>
      <w:pPr>
        <w:spacing w:line="340" w:lineRule="exact"/>
        <w:ind w:firstLine="640" w:firstLineChars="2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一）本单位对所提交的企（事）业单位基本信息、企（事）业负责人、项目负责人、技术负责人、从业资质和资格、业绩、财务状况、信誉等所有资料，均合法、真实、准确、有效，无任何伪造、修改、虚假成份，并对所提供资料的真实性负责；</w:t>
      </w:r>
    </w:p>
    <w:p>
      <w:pPr>
        <w:spacing w:line="340" w:lineRule="exact"/>
        <w:ind w:firstLine="640" w:firstLineChars="2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（二）本单位无涉及政府招标采购活动的违法、违规不良记录，我公司及相关负责人无因存在重大隐患整改不力、发生有重大社会影响生产安全事故或其他严重违法违规行为而被列入失信联合惩戒的不良记录；</w:t>
      </w:r>
    </w:p>
    <w:p>
      <w:pPr>
        <w:spacing w:line="340" w:lineRule="exact"/>
        <w:ind w:firstLine="640" w:firstLineChars="2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 xml:space="preserve">（三）严格依照国家和省、市关于政府招标采购的法律、法规、规章、规范性文件，参加政府招标采购的投标活动；积极履行社会责任，促进廉政建设； </w:t>
      </w:r>
    </w:p>
    <w:p>
      <w:pPr>
        <w:spacing w:line="340" w:lineRule="exac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   （四）严格遵守即时信息公示规定，及时维护和更新盐城市政府采购网、公共资源交易平台中与本单位相关的信息；</w:t>
      </w:r>
    </w:p>
    <w:p>
      <w:pPr>
        <w:spacing w:line="340" w:lineRule="exact"/>
        <w:ind w:firstLine="367"/>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五）自我约束、自我管理，守合同、重信用，自觉维护政府招标采购交易的良好秩序，与参与本次政府招标采购活动的其他供应商不存在直接控股或管理关系，不参与围标串标、弄虚作假、骗取中标、干扰评标、违约毁约等行为；</w:t>
      </w:r>
    </w:p>
    <w:p>
      <w:pPr>
        <w:spacing w:line="340" w:lineRule="exact"/>
        <w:ind w:firstLine="367"/>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（六）自觉接受政府、行业组织、社会公众、新闻舆论的监督；</w:t>
      </w:r>
    </w:p>
    <w:p>
      <w:pPr>
        <w:spacing w:line="340" w:lineRule="exact"/>
        <w:ind w:firstLine="367"/>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七）本单位自愿接受政府采购监督管理机构和有关行政监督部门的依法检查。如发生违法违规或不良失信行为，自愿接受政府采购监督管理机构和有关行政监督部门依法给予的行政处罚（处理），并依法承担相应责任；</w:t>
      </w:r>
    </w:p>
    <w:p>
      <w:pPr>
        <w:spacing w:line="340" w:lineRule="exact"/>
        <w:ind w:firstLine="367"/>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（八）本人已认真阅读了上述承诺，并向本单位员工作了宣传教育。</w:t>
      </w:r>
    </w:p>
    <w:p>
      <w:pPr>
        <w:spacing w:line="340" w:lineRule="exact"/>
        <w:ind w:firstLine="640" w:firstLineChars="200"/>
        <w:rPr>
          <w:rFonts w:hint="eastAsia" w:ascii="宋体" w:hAnsi="宋体" w:eastAsia="宋体" w:cs="宋体"/>
          <w:color w:val="auto"/>
          <w:sz w:val="32"/>
          <w:szCs w:val="32"/>
          <w:highlight w:val="none"/>
        </w:rPr>
      </w:pPr>
    </w:p>
    <w:p>
      <w:pPr>
        <w:spacing w:line="340" w:lineRule="exact"/>
        <w:ind w:firstLine="640" w:firstLineChars="200"/>
        <w:rPr>
          <w:rFonts w:hint="eastAsia" w:ascii="宋体" w:hAnsi="宋体" w:eastAsia="宋体" w:cs="宋体"/>
          <w:color w:val="auto"/>
          <w:sz w:val="32"/>
          <w:szCs w:val="32"/>
          <w:highlight w:val="none"/>
        </w:rPr>
      </w:pPr>
    </w:p>
    <w:p>
      <w:pPr>
        <w:spacing w:line="340" w:lineRule="exact"/>
        <w:ind w:firstLine="640" w:firstLineChars="2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法定代表人签名：           单位名称（盖章）：</w:t>
      </w:r>
    </w:p>
    <w:p>
      <w:pPr>
        <w:rPr>
          <w:rFonts w:hint="eastAsia" w:ascii="宋体" w:hAnsi="宋体" w:eastAsia="宋体" w:cs="宋体"/>
          <w:color w:val="auto"/>
          <w:sz w:val="32"/>
          <w:szCs w:val="32"/>
          <w:highlight w:val="none"/>
        </w:rPr>
      </w:pPr>
    </w:p>
    <w:p>
      <w:pPr>
        <w:jc w:val="right"/>
        <w:rPr>
          <w:rFonts w:hint="eastAsia" w:ascii="宋体" w:hAnsi="宋体" w:eastAsia="宋体" w:cs="宋体"/>
          <w:color w:val="auto"/>
          <w:sz w:val="40"/>
          <w:szCs w:val="40"/>
          <w:highlight w:val="none"/>
        </w:rPr>
      </w:pPr>
      <w:r>
        <w:rPr>
          <w:rFonts w:hint="eastAsia" w:ascii="宋体" w:hAnsi="宋体" w:eastAsia="宋体" w:cs="宋体"/>
          <w:color w:val="auto"/>
          <w:sz w:val="32"/>
          <w:szCs w:val="32"/>
          <w:highlight w:val="none"/>
        </w:rPr>
        <w:t>年    月    日</w:t>
      </w:r>
      <w:bookmarkEnd w:id="0"/>
      <w:bookmarkEnd w:id="1"/>
      <w:bookmarkEnd w:id="2"/>
      <w:bookmarkStart w:id="426" w:name="_Toc368759511"/>
      <w:bookmarkStart w:id="427" w:name="OLE_LINK5"/>
      <w:bookmarkStart w:id="428" w:name="OLE_LINK4"/>
      <w:bookmarkStart w:id="429" w:name="OLE_LINK3"/>
      <w:bookmarkStart w:id="430" w:name="OLE_LINK6"/>
      <w:bookmarkStart w:id="431" w:name="OLE_LINK2"/>
      <w:bookmarkStart w:id="432" w:name="OLE_LINK1"/>
      <w:bookmarkStart w:id="433" w:name="_Toc369077550"/>
      <w:bookmarkStart w:id="434" w:name="_Toc508216877"/>
    </w:p>
    <w:p>
      <w:pPr>
        <w:pStyle w:val="2"/>
        <w:spacing w:before="0" w:after="0" w:line="360" w:lineRule="auto"/>
        <w:jc w:val="both"/>
        <w:rPr>
          <w:rFonts w:hint="eastAsia" w:ascii="宋体" w:hAnsi="宋体" w:eastAsia="宋体" w:cs="宋体"/>
          <w:color w:val="auto"/>
          <w:sz w:val="40"/>
          <w:szCs w:val="40"/>
          <w:highlight w:val="none"/>
        </w:rPr>
      </w:pPr>
    </w:p>
    <w:bookmarkEnd w:id="426"/>
    <w:bookmarkEnd w:id="427"/>
    <w:bookmarkEnd w:id="428"/>
    <w:bookmarkEnd w:id="429"/>
    <w:bookmarkEnd w:id="430"/>
    <w:bookmarkEnd w:id="431"/>
    <w:bookmarkEnd w:id="432"/>
    <w:bookmarkEnd w:id="433"/>
    <w:bookmarkEnd w:id="434"/>
    <w:p>
      <w:pPr>
        <w:pStyle w:val="18"/>
        <w:rPr>
          <w:rFonts w:hint="eastAsia" w:ascii="宋体" w:hAnsi="宋体" w:eastAsia="宋体" w:cs="宋体"/>
          <w:color w:val="auto"/>
          <w:highlight w:val="none"/>
        </w:rPr>
      </w:pPr>
    </w:p>
    <w:sectPr>
      <w:headerReference r:id="rId7" w:type="default"/>
      <w:footerReference r:id="rId8" w:type="default"/>
      <w:pgSz w:w="11906" w:h="16838"/>
      <w:pgMar w:top="1440" w:right="1080" w:bottom="1440" w:left="1080" w:header="851" w:footer="992" w:gutter="0"/>
      <w:cols w:space="720" w:num="1"/>
      <w:rtlGutter w:val="0"/>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monospace">
    <w:altName w:val="微软雅黑"/>
    <w:panose1 w:val="00000000000000000000"/>
    <w:charset w:val="00"/>
    <w:family w:val="auto"/>
    <w:pitch w:val="default"/>
    <w:sig w:usb0="00000000" w:usb1="00000000" w:usb2="00000000"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Impact">
    <w:panose1 w:val="020B0806030902050204"/>
    <w:charset w:val="00"/>
    <w:family w:val="swiss"/>
    <w:pitch w:val="default"/>
    <w:sig w:usb0="00000287" w:usb1="00000000" w:usb2="00000000" w:usb3="00000000" w:csb0="2000009F" w:csb1="DFD70000"/>
  </w:font>
  <w:font w:name="华文细黑">
    <w:altName w:val="微软雅黑"/>
    <w:panose1 w:val="02010600040101010101"/>
    <w:charset w:val="86"/>
    <w:family w:val="auto"/>
    <w:pitch w:val="default"/>
    <w:sig w:usb0="00000000" w:usb1="00000000" w:usb2="00000000" w:usb3="00000000" w:csb0="0004009F" w:csb1="DFD70000"/>
  </w:font>
  <w:font w:name="Helvetica">
    <w:altName w:val="Arial"/>
    <w:panose1 w:val="020B0604020202020204"/>
    <w:charset w:val="00"/>
    <w:family w:val="swiss"/>
    <w:pitch w:val="default"/>
    <w:sig w:usb0="00000000" w:usb1="00000000" w:usb2="00000009" w:usb3="00000000" w:csb0="000001FF" w:csb1="00000000"/>
  </w:font>
  <w:font w:name="ˎ̥">
    <w:altName w:val="Times New Roman"/>
    <w:panose1 w:val="00000000000000000000"/>
    <w:charset w:val="00"/>
    <w:family w:val="roman"/>
    <w:pitch w:val="default"/>
    <w:sig w:usb0="00000000" w:usb1="00000000" w:usb2="00000000" w:usb3="00000000" w:csb0="00040001" w:csb1="00000000"/>
  </w:font>
  <w:font w:name="Wingdings 2">
    <w:altName w:val="Wingdings"/>
    <w:panose1 w:val="05020102010507070707"/>
    <w:charset w:val="02"/>
    <w:family w:val="roman"/>
    <w:pitch w:val="default"/>
    <w:sig w:usb0="00000000" w:usb1="00000000" w:usb2="00000000" w:usb3="00000000" w:csb0="80000000" w:csb1="00000000"/>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center"/>
    </w:pPr>
    <w:r>
      <w:fldChar w:fldCharType="begin"/>
    </w:r>
    <w:r>
      <w:instrText xml:space="preserve"> PAGE   \* MERGEFORMAT </w:instrText>
    </w:r>
    <w:r>
      <w:fldChar w:fldCharType="separate"/>
    </w:r>
    <w:r>
      <w:rPr>
        <w:lang w:val="zh-CN"/>
      </w:rPr>
      <w:t>51</w:t>
    </w:r>
    <w:r>
      <w:rPr>
        <w:lang w:val="zh-CN"/>
      </w:rPr>
      <w:fldChar w:fldCharType="end"/>
    </w:r>
  </w:p>
  <w:p>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mc:AlternateContent>
        <mc:Choice Requires="wps">
          <w:drawing>
            <wp:anchor distT="0" distB="0" distL="114300" distR="114300" simplePos="0" relativeHeight="251659264" behindDoc="1" locked="0" layoutInCell="1" allowOverlap="1">
              <wp:simplePos x="0" y="0"/>
              <wp:positionH relativeFrom="page">
                <wp:posOffset>3533140</wp:posOffset>
              </wp:positionH>
              <wp:positionV relativeFrom="page">
                <wp:posOffset>9797415</wp:posOffset>
              </wp:positionV>
              <wp:extent cx="103505" cy="73025"/>
              <wp:effectExtent l="0" t="0" r="0" b="0"/>
              <wp:wrapNone/>
              <wp:docPr id="7" name="Shape 7"/>
              <wp:cNvGraphicFramePr/>
              <a:graphic xmlns:a="http://schemas.openxmlformats.org/drawingml/2006/main">
                <a:graphicData uri="http://schemas.microsoft.com/office/word/2010/wordprocessingShape">
                  <wps:wsp>
                    <wps:cNvSpPr txBox="1"/>
                    <wps:spPr>
                      <a:xfrm>
                        <a:off x="0" y="0"/>
                        <a:ext cx="103505" cy="73025"/>
                      </a:xfrm>
                      <a:prstGeom prst="rect">
                        <a:avLst/>
                      </a:prstGeom>
                      <a:noFill/>
                      <a:ln>
                        <a:noFill/>
                      </a:ln>
                      <a:effectLst/>
                    </wps:spPr>
                    <wps:txbx>
                      <w:txbxContent>
                        <w:p>
                          <w:pPr>
                            <w:pStyle w:val="179"/>
                            <w:rPr>
                              <w:sz w:val="16"/>
                              <w:szCs w:val="16"/>
                            </w:rPr>
                          </w:pPr>
                          <w:r>
                            <w:rPr>
                              <w:rFonts w:eastAsia="Times New Roman"/>
                              <w:color w:val="000000"/>
                              <w:sz w:val="16"/>
                              <w:szCs w:val="16"/>
                              <w:lang w:eastAsia="en-US" w:bidi="en-US"/>
                            </w:rPr>
                            <w:t>-</w:t>
                          </w:r>
                          <w:r>
                            <w:fldChar w:fldCharType="begin"/>
                          </w:r>
                          <w:r>
                            <w:instrText xml:space="preserve"> PAGE \* MERGEFORMAT </w:instrText>
                          </w:r>
                          <w:r>
                            <w:fldChar w:fldCharType="separate"/>
                          </w:r>
                          <w:r>
                            <w:rPr>
                              <w:sz w:val="16"/>
                              <w:szCs w:val="16"/>
                            </w:rPr>
                            <w:t>2</w:t>
                          </w:r>
                          <w:r>
                            <w:rPr>
                              <w:sz w:val="16"/>
                              <w:szCs w:val="16"/>
                            </w:rPr>
                            <w:fldChar w:fldCharType="end"/>
                          </w:r>
                          <w:r>
                            <w:rPr>
                              <w:rFonts w:eastAsia="Times New Roman"/>
                              <w:color w:val="000000"/>
                              <w:sz w:val="16"/>
                              <w:szCs w:val="16"/>
                              <w:lang w:val="zh-CN" w:bidi="zh-CN"/>
                            </w:rPr>
                            <w:t>-</w:t>
                          </w:r>
                        </w:p>
                      </w:txbxContent>
                    </wps:txbx>
                    <wps:bodyPr vert="horz" wrap="none" lIns="0" tIns="0" rIns="0" bIns="0" anchor="t" anchorCtr="0">
                      <a:spAutoFit/>
                    </wps:bodyPr>
                  </wps:wsp>
                </a:graphicData>
              </a:graphic>
            </wp:anchor>
          </w:drawing>
        </mc:Choice>
        <mc:Fallback>
          <w:pict>
            <v:shape id="Shape 7" o:spid="_x0000_s1026" o:spt="202" type="#_x0000_t202" style="position:absolute;left:0pt;margin-left:278.2pt;margin-top:771.45pt;height:5.75pt;width:8.15pt;mso-position-horizontal-relative:page;mso-position-vertical-relative:page;mso-wrap-style:none;z-index:-251657216;mso-width-relative:page;mso-height-relative:page;" filled="f" stroked="f" coordsize="21600,21600" o:gfxdata="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9/K/12AAAAA0BAAAPAAAAAAAAAAEAIAAAACIAAABk&#10;cnMvZG93bnJldi54bWxQSwECFAAUAAAACACHTuJA14XWgs0BAAC5AwAADgAAAAAAAAABACAAAAAn&#10;AQAAZHJzL2Uyb0RvYy54bWxQSwUGAAAAAAYABgBZAQAAZgUAAAAA&#10;">
              <v:fill on="f" focussize="0,0"/>
              <v:stroke on="f"/>
              <v:imagedata o:title=""/>
              <o:lock v:ext="edit" aspectratio="f"/>
              <v:textbox inset="0mm,0mm,0mm,0mm" style="mso-fit-shape-to-text:t;">
                <w:txbxContent>
                  <w:p>
                    <w:pPr>
                      <w:pStyle w:val="179"/>
                      <w:rPr>
                        <w:sz w:val="16"/>
                        <w:szCs w:val="16"/>
                      </w:rPr>
                    </w:pPr>
                    <w:r>
                      <w:rPr>
                        <w:rFonts w:eastAsia="Times New Roman"/>
                        <w:color w:val="000000"/>
                        <w:sz w:val="16"/>
                        <w:szCs w:val="16"/>
                        <w:lang w:eastAsia="en-US" w:bidi="en-US"/>
                      </w:rPr>
                      <w:t>-</w:t>
                    </w:r>
                    <w:r>
                      <w:fldChar w:fldCharType="begin"/>
                    </w:r>
                    <w:r>
                      <w:instrText xml:space="preserve"> PAGE \* MERGEFORMAT </w:instrText>
                    </w:r>
                    <w:r>
                      <w:fldChar w:fldCharType="separate"/>
                    </w:r>
                    <w:r>
                      <w:rPr>
                        <w:sz w:val="16"/>
                        <w:szCs w:val="16"/>
                      </w:rPr>
                      <w:t>2</w:t>
                    </w:r>
                    <w:r>
                      <w:rPr>
                        <w:sz w:val="16"/>
                        <w:szCs w:val="16"/>
                      </w:rPr>
                      <w:fldChar w:fldCharType="end"/>
                    </w:r>
                    <w:r>
                      <w:rPr>
                        <w:rFonts w:eastAsia="Times New Roman"/>
                        <w:color w:val="000000"/>
                        <w:sz w:val="16"/>
                        <w:szCs w:val="16"/>
                        <w:lang w:val="zh-CN" w:bidi="zh-CN"/>
                      </w:rPr>
                      <w:t>-</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30"/>
                            <w:jc w:val="center"/>
                          </w:pPr>
                          <w:r>
                            <w:fldChar w:fldCharType="begin"/>
                          </w:r>
                          <w:r>
                            <w:instrText xml:space="preserve">PAGE   \* MERGEFORMAT</w:instrText>
                          </w:r>
                          <w:r>
                            <w:fldChar w:fldCharType="separate"/>
                          </w:r>
                          <w:r>
                            <w:rPr>
                              <w:lang w:val="zh-CN"/>
                            </w:rPr>
                            <w:t>48</w:t>
                          </w:r>
                          <w:r>
                            <w:fldChar w:fldCharType="end"/>
                          </w:r>
                        </w:p>
                      </w:txbxContent>
                    </wps:txbx>
                    <wps:bodyPr wrap="none" lIns="0" tIns="0" rIns="0" bIns="0" upright="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GhpgkvTAAAABQEAAA8AAAAAAAAAAQAgAAAAIgAA&#10;AGRycy9kb3ducmV2LnhtbFBLAQIUABQAAAAIAIdO4kCvMX1V1AEAAKYDAAAOAAAAAAAAAAEAIAAA&#10;ACIBAABkcnMvZTJvRG9jLnhtbFBLBQYAAAAABgAGAFkBAABoBQAAAAA=&#10;">
              <v:fill on="f" focussize="0,0"/>
              <v:stroke on="f" weight="1.25pt"/>
              <v:imagedata o:title=""/>
              <o:lock v:ext="edit" aspectratio="f"/>
              <v:textbox inset="0mm,0mm,0mm,0mm" style="mso-fit-shape-to-text:t;">
                <w:txbxContent>
                  <w:p>
                    <w:pPr>
                      <w:pStyle w:val="30"/>
                      <w:jc w:val="center"/>
                    </w:pPr>
                    <w:r>
                      <w:fldChar w:fldCharType="begin"/>
                    </w:r>
                    <w:r>
                      <w:instrText xml:space="preserve">PAGE   \* MERGEFORMAT</w:instrText>
                    </w:r>
                    <w:r>
                      <w:fldChar w:fldCharType="separate"/>
                    </w:r>
                    <w:r>
                      <w:rPr>
                        <w:lang w:val="zh-CN"/>
                      </w:rPr>
                      <w:t>48</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0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30"/>
                            <w:jc w:val="center"/>
                          </w:pPr>
                          <w:r>
                            <w:fldChar w:fldCharType="begin"/>
                          </w:r>
                          <w:r>
                            <w:instrText xml:space="preserve">PAGE   \* MERGEFORMAT</w:instrText>
                          </w:r>
                          <w:r>
                            <w:fldChar w:fldCharType="separate"/>
                          </w:r>
                          <w:r>
                            <w:rPr>
                              <w:lang w:val="zh-CN"/>
                            </w:rPr>
                            <w:t>50</w:t>
                          </w:r>
                          <w:r>
                            <w:fldChar w:fldCharType="end"/>
                          </w:r>
                        </w:p>
                      </w:txbxContent>
                    </wps:txbx>
                    <wps:bodyPr wrap="none" lIns="0" tIns="0" rIns="0" bIns="0" upright="0">
                      <a:spAutoFit/>
                    </wps:bodyPr>
                  </wps:wsp>
                </a:graphicData>
              </a:graphic>
            </wp:anchor>
          </w:drawing>
        </mc:Choice>
        <mc:Fallback>
          <w:pict>
            <v:shape id="文本框 1028"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GhpgkvTAAAABQEAAA8AAAAAAAAAAQAgAAAAIgAA&#10;AGRycy9kb3ducmV2LnhtbFBLAQIUABQAAAAIAIdO4kBe+EI21AEAAKYDAAAOAAAAAAAAAAEAIAAA&#10;ACIBAABkcnMvZTJvRG9jLnhtbFBLBQYAAAAABgAGAFkBAABoBQAAAAA=&#10;">
              <v:fill on="f" focussize="0,0"/>
              <v:stroke on="f" weight="1.25pt"/>
              <v:imagedata o:title=""/>
              <o:lock v:ext="edit" aspectratio="f"/>
              <v:textbox inset="0mm,0mm,0mm,0mm" style="mso-fit-shape-to-text:t;">
                <w:txbxContent>
                  <w:p>
                    <w:pPr>
                      <w:pStyle w:val="30"/>
                      <w:jc w:val="center"/>
                    </w:pPr>
                    <w:r>
                      <w:fldChar w:fldCharType="begin"/>
                    </w:r>
                    <w:r>
                      <w:instrText xml:space="preserve">PAGE   \* MERGEFORMAT</w:instrText>
                    </w:r>
                    <w:r>
                      <w:fldChar w:fldCharType="separate"/>
                    </w:r>
                    <w:r>
                      <w:rPr>
                        <w:lang w:val="zh-CN"/>
                      </w:rPr>
                      <w:t>50</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930BC3"/>
    <w:multiLevelType w:val="multilevel"/>
    <w:tmpl w:val="09930BC3"/>
    <w:lvl w:ilvl="0" w:tentative="0">
      <w:start w:val="1"/>
      <w:numFmt w:val="decimal"/>
      <w:pStyle w:val="12"/>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59A01F3"/>
    <w:multiLevelType w:val="singleLevel"/>
    <w:tmpl w:val="559A01F3"/>
    <w:lvl w:ilvl="0" w:tentative="0">
      <w:start w:val="8"/>
      <w:numFmt w:val="decimal"/>
      <w:pStyle w:val="21"/>
      <w:suff w:val="nothing"/>
      <w:lvlText w:val="%1、"/>
      <w:lvlJc w:val="left"/>
    </w:lvl>
  </w:abstractNum>
  <w:abstractNum w:abstractNumId="2">
    <w:nsid w:val="6E2A840C"/>
    <w:multiLevelType w:val="singleLevel"/>
    <w:tmpl w:val="6E2A840C"/>
    <w:lvl w:ilvl="0" w:tentative="0">
      <w:start w:val="1"/>
      <w:numFmt w:val="decimal"/>
      <w:suff w:val="nothing"/>
      <w:lvlText w:val="%1、"/>
      <w:lvlJc w:val="left"/>
      <w:pPr>
        <w:ind w:left="-2"/>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ZiYmIyZjJkMTU0NTIxYmFhMDg2ZTNkNWU4MTc3OWYifQ=="/>
    <w:docVar w:name="KSO_WPS_MARK_KEY" w:val="8edc32ce-61d8-4b09-b1a4-8b5f012d09ae"/>
  </w:docVars>
  <w:rsids>
    <w:rsidRoot w:val="00172A27"/>
    <w:rsid w:val="000E698B"/>
    <w:rsid w:val="00BC757B"/>
    <w:rsid w:val="05C17F6D"/>
    <w:rsid w:val="05DB66F5"/>
    <w:rsid w:val="06EC66E0"/>
    <w:rsid w:val="06F57E57"/>
    <w:rsid w:val="0730471E"/>
    <w:rsid w:val="09D07A14"/>
    <w:rsid w:val="0B460AB5"/>
    <w:rsid w:val="0C301D70"/>
    <w:rsid w:val="0C745A8E"/>
    <w:rsid w:val="0CDD0FA5"/>
    <w:rsid w:val="0D8C6527"/>
    <w:rsid w:val="0DBF61B0"/>
    <w:rsid w:val="0ED4462A"/>
    <w:rsid w:val="0F275A47"/>
    <w:rsid w:val="10716468"/>
    <w:rsid w:val="10AA3894"/>
    <w:rsid w:val="117D68B3"/>
    <w:rsid w:val="126C2F8C"/>
    <w:rsid w:val="12D93782"/>
    <w:rsid w:val="13903FD0"/>
    <w:rsid w:val="13E555F8"/>
    <w:rsid w:val="16B710DA"/>
    <w:rsid w:val="1A155D13"/>
    <w:rsid w:val="1A954D7F"/>
    <w:rsid w:val="1B5C135E"/>
    <w:rsid w:val="1BC4722D"/>
    <w:rsid w:val="1CD81789"/>
    <w:rsid w:val="1DD77622"/>
    <w:rsid w:val="1E6A76C6"/>
    <w:rsid w:val="1EC363BF"/>
    <w:rsid w:val="20972DCD"/>
    <w:rsid w:val="2110329F"/>
    <w:rsid w:val="21AF045E"/>
    <w:rsid w:val="23C5155A"/>
    <w:rsid w:val="24AB7969"/>
    <w:rsid w:val="2630215B"/>
    <w:rsid w:val="263B7010"/>
    <w:rsid w:val="27050E90"/>
    <w:rsid w:val="277C3D2E"/>
    <w:rsid w:val="279D1605"/>
    <w:rsid w:val="283261F1"/>
    <w:rsid w:val="29132DFA"/>
    <w:rsid w:val="292D0766"/>
    <w:rsid w:val="2931475C"/>
    <w:rsid w:val="29557FF0"/>
    <w:rsid w:val="2A0C7C96"/>
    <w:rsid w:val="2A7E3970"/>
    <w:rsid w:val="2AA417C4"/>
    <w:rsid w:val="2B041358"/>
    <w:rsid w:val="2B2B1894"/>
    <w:rsid w:val="2D29217C"/>
    <w:rsid w:val="2D654973"/>
    <w:rsid w:val="2F0361F1"/>
    <w:rsid w:val="31684A32"/>
    <w:rsid w:val="325543BE"/>
    <w:rsid w:val="32584AA6"/>
    <w:rsid w:val="35C97364"/>
    <w:rsid w:val="377B1DEF"/>
    <w:rsid w:val="37D72629"/>
    <w:rsid w:val="38796146"/>
    <w:rsid w:val="38F601B0"/>
    <w:rsid w:val="3A647D60"/>
    <w:rsid w:val="3AD5427E"/>
    <w:rsid w:val="3C6A63E1"/>
    <w:rsid w:val="3CE0134B"/>
    <w:rsid w:val="3D4520CB"/>
    <w:rsid w:val="3F7E18C4"/>
    <w:rsid w:val="3FD634AE"/>
    <w:rsid w:val="41B97150"/>
    <w:rsid w:val="430B16C1"/>
    <w:rsid w:val="435406AC"/>
    <w:rsid w:val="436B22B8"/>
    <w:rsid w:val="446C43E1"/>
    <w:rsid w:val="45246A6A"/>
    <w:rsid w:val="45851272"/>
    <w:rsid w:val="46AA2F9F"/>
    <w:rsid w:val="4748002B"/>
    <w:rsid w:val="4A277718"/>
    <w:rsid w:val="4DC4528E"/>
    <w:rsid w:val="4DF54C25"/>
    <w:rsid w:val="4ED6270F"/>
    <w:rsid w:val="50DD556D"/>
    <w:rsid w:val="50E579F5"/>
    <w:rsid w:val="513804D3"/>
    <w:rsid w:val="51586419"/>
    <w:rsid w:val="53051C89"/>
    <w:rsid w:val="53C23ECB"/>
    <w:rsid w:val="55DB20F6"/>
    <w:rsid w:val="572A6162"/>
    <w:rsid w:val="57B9697F"/>
    <w:rsid w:val="582A3F3F"/>
    <w:rsid w:val="596A0A97"/>
    <w:rsid w:val="5AC4067B"/>
    <w:rsid w:val="5B6D41FC"/>
    <w:rsid w:val="5C3B1112"/>
    <w:rsid w:val="5C4828E0"/>
    <w:rsid w:val="5CEF3563"/>
    <w:rsid w:val="5F585F76"/>
    <w:rsid w:val="60912DAE"/>
    <w:rsid w:val="614A3BD1"/>
    <w:rsid w:val="61A066AB"/>
    <w:rsid w:val="63524B28"/>
    <w:rsid w:val="63DF71B3"/>
    <w:rsid w:val="63F91396"/>
    <w:rsid w:val="642C4430"/>
    <w:rsid w:val="646D1D84"/>
    <w:rsid w:val="64E8748B"/>
    <w:rsid w:val="668313EA"/>
    <w:rsid w:val="66C326F6"/>
    <w:rsid w:val="66DB2FD4"/>
    <w:rsid w:val="68B37DC1"/>
    <w:rsid w:val="692A1FF1"/>
    <w:rsid w:val="6959079E"/>
    <w:rsid w:val="6A42619E"/>
    <w:rsid w:val="6BF83F46"/>
    <w:rsid w:val="6C1B7A5A"/>
    <w:rsid w:val="6CF7668E"/>
    <w:rsid w:val="6E054DDB"/>
    <w:rsid w:val="6E1A5DAB"/>
    <w:rsid w:val="6E79193C"/>
    <w:rsid w:val="6F322C07"/>
    <w:rsid w:val="70575B13"/>
    <w:rsid w:val="706E43AB"/>
    <w:rsid w:val="70B874B0"/>
    <w:rsid w:val="723F5E30"/>
    <w:rsid w:val="72F84F0E"/>
    <w:rsid w:val="72F9226F"/>
    <w:rsid w:val="758A1502"/>
    <w:rsid w:val="77272F93"/>
    <w:rsid w:val="79EB757B"/>
    <w:rsid w:val="7AB423B0"/>
    <w:rsid w:val="7B327373"/>
    <w:rsid w:val="7BAC1400"/>
    <w:rsid w:val="7DB303A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9" w:semiHidden="0" w:name="heading 3"/>
    <w:lsdException w:qFormat="1" w:unhideWhenUsed="0" w:uiPriority="99"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1" w:name="index 1"/>
    <w:lsdException w:uiPriority="1" w:name="index 2"/>
    <w:lsdException w:uiPriority="1" w:name="index 3"/>
    <w:lsdException w:uiPriority="1" w:name="index 4"/>
    <w:lsdException w:uiPriority="1" w:name="index 5"/>
    <w:lsdException w:uiPriority="1" w:name="index 6"/>
    <w:lsdException w:uiPriority="1" w:name="index 7"/>
    <w:lsdException w:uiPriority="1" w:name="index 8"/>
    <w:lsdException w:uiPriority="1"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unhideWhenUsed="0" w:uiPriority="39" w:semiHidden="0" w:name="toc 8"/>
    <w:lsdException w:unhideWhenUsed="0" w:uiPriority="39" w:semiHidden="0" w:name="toc 9"/>
    <w:lsdException w:qFormat="1" w:unhideWhenUsed="0" w:uiPriority="0" w:semiHidden="0" w:name="Normal Indent"/>
    <w:lsdException w:qFormat="1" w:unhideWhenUsed="0" w:uiPriority="0" w:semiHidden="0" w:name="footnote text"/>
    <w:lsdException w:qFormat="1" w:uiPriority="99" w:semiHidden="0" w:name="annotation text"/>
    <w:lsdException w:unhideWhenUsed="0" w:uiPriority="99" w:semiHidden="0" w:name="header"/>
    <w:lsdException w:qFormat="1" w:unhideWhenUsed="0" w:uiPriority="99" w:semiHidden="0" w:name="footer"/>
    <w:lsdException w:uiPriority="1" w:name="index heading"/>
    <w:lsdException w:qFormat="1" w:unhideWhenUsed="0" w:uiPriority="0" w:semiHidden="0" w:name="caption"/>
    <w:lsdException w:qFormat="1" w:unhideWhenUsed="0" w:uiPriority="0" w:semiHidden="0" w:name="table of figures"/>
    <w:lsdException w:uiPriority="1" w:name="envelope address"/>
    <w:lsdException w:qFormat="1" w:unhideWhenUsed="0" w:uiPriority="0" w:semiHidden="0" w:name="envelope return"/>
    <w:lsdException w:qFormat="1" w:unhideWhenUsed="0" w:uiPriority="0" w:semiHidden="0" w:name="footnote reference"/>
    <w:lsdException w:qFormat="1" w:unhideWhenUsed="0" w:uiPriority="0" w:semiHidden="0" w:name="annotation reference"/>
    <w:lsdException w:uiPriority="1" w:name="line number"/>
    <w:lsdException w:qFormat="1" w:unhideWhenUsed="0" w:uiPriority="0" w:semiHidden="0" w:name="page number"/>
    <w:lsdException w:uiPriority="1" w:name="endnote reference"/>
    <w:lsdException w:uiPriority="1" w:name="endnote text"/>
    <w:lsdException w:uiPriority="1" w:name="table of authorities"/>
    <w:lsdException w:uiPriority="1" w:name="macro"/>
    <w:lsdException w:uiPriority="1" w:name="toa heading"/>
    <w:lsdException w:unhideWhenUsed="0" w:uiPriority="0" w:semiHidden="0" w:name="List"/>
    <w:lsdException w:uiPriority="1" w:name="List Bullet"/>
    <w:lsdException w:qFormat="1" w:unhideWhenUsed="0" w:uiPriority="0" w:semiHidden="0" w:name="List Number"/>
    <w:lsdException w:qFormat="1" w:unhideWhenUsed="0" w:uiPriority="0" w:semiHidden="0" w:name="List 2"/>
    <w:lsdException w:uiPriority="1" w:name="List 3"/>
    <w:lsdException w:uiPriority="1" w:name="List 4"/>
    <w:lsdException w:uiPriority="1" w:name="List 5"/>
    <w:lsdException w:uiPriority="1" w:name="List Bullet 2"/>
    <w:lsdException w:uiPriority="1" w:name="List Bullet 3"/>
    <w:lsdException w:uiPriority="1" w:name="List Bullet 4"/>
    <w:lsdException w:uiPriority="1" w:name="List Bullet 5"/>
    <w:lsdException w:uiPriority="1" w:name="List Number 2"/>
    <w:lsdException w:qFormat="1" w:unhideWhenUsed="0" w:uiPriority="0" w:semiHidden="0" w:name="List Number 3"/>
    <w:lsdException w:uiPriority="1" w:name="List Number 4"/>
    <w:lsdException w:uiPriority="1" w:name="List Number 5"/>
    <w:lsdException w:qFormat="1" w:unhideWhenUsed="0" w:uiPriority="0" w:semiHidden="0" w:name="Title"/>
    <w:lsdException w:uiPriority="1" w:name="Closing"/>
    <w:lsdException w:uiPriority="1"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iPriority="1" w:name="List Continue"/>
    <w:lsdException w:qFormat="1" w:unhideWhenUsed="0" w:uiPriority="0" w:semiHidden="0" w:name="List Continue 2"/>
    <w:lsdException w:uiPriority="1" w:name="List Continue 3"/>
    <w:lsdException w:uiPriority="1" w:name="List Continue 4"/>
    <w:lsdException w:uiPriority="1" w:name="List Continue 5"/>
    <w:lsdException w:uiPriority="1" w:name="Message Header"/>
    <w:lsdException w:qFormat="1" w:unhideWhenUsed="0" w:uiPriority="11" w:semiHidden="0" w:name="Subtitle"/>
    <w:lsdException w:uiPriority="1" w:name="Salutation"/>
    <w:lsdException w:qFormat="1" w:unhideWhenUsed="0" w:uiPriority="0" w:semiHidden="0" w:name="Date"/>
    <w:lsdException w:qFormat="1" w:uiPriority="99" w:semiHidden="0" w:name="Body Text First Indent"/>
    <w:lsdException w:qFormat="1" w:uiPriority="0" w:semiHidden="0" w:name="Body Text First Indent 2"/>
    <w:lsdException w:uiPriority="1"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unhideWhenUsed="0" w:uiPriority="0" w:semiHidden="0" w:name="Body Text Indent 3"/>
    <w:lsdException w:uiPriority="1" w:name="Block Text"/>
    <w:lsdException w:unhideWhenUsed="0" w:uiPriority="99"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unhideWhenUsed="0" w:uiPriority="99" w:semiHidden="0" w:name="Plain Text"/>
    <w:lsdException w:uiPriority="1" w:name="E-mail Signature"/>
    <w:lsdException w:qFormat="1" w:unhideWhenUsed="0" w:uiPriority="0" w:semiHidden="0" w:name="Normal (Web)"/>
    <w:lsdException w:qFormat="1" w:uiPriority="99" w:semiHidden="0" w:name="HTML Acronym"/>
    <w:lsdException w:uiPriority="1" w:name="HTML Address"/>
    <w:lsdException w:qFormat="1" w:uiPriority="99" w:semiHidden="0" w:name="HTML Cite"/>
    <w:lsdException w:uiPriority="99" w:semiHidden="0" w:name="HTML Code"/>
    <w:lsdException w:uiPriority="99" w:semiHidden="0" w:name="HTML Definition"/>
    <w:lsdException w:qFormat="1" w:uiPriority="99" w:semiHidden="0" w:name="HTML Keyboard"/>
    <w:lsdException w:uiPriority="1" w:name="HTML Preformatted"/>
    <w:lsdException w:qFormat="1" w:uiPriority="99" w:semiHidden="0" w:name="HTML Sample"/>
    <w:lsdException w:uiPriority="99" w:semiHidden="0" w:name="HTML Typewriter"/>
    <w:lsdException w:qFormat="1" w:uiPriority="99" w:semiHidden="0" w:name="HTML Variable"/>
    <w:lsdException w:qFormat="1" w:unhideWhenUsed="0" w:uiPriority="0" w:name="Normal Table"/>
    <w:lsdException w:qFormat="1" w:unhideWhenUsed="0" w:uiPriority="0" w:semiHidden="0" w:name="annotation subject"/>
    <w:lsdException w:uiPriority="1" w:name="Table Simple 1"/>
    <w:lsdException w:uiPriority="1" w:name="Table Simple 2"/>
    <w:lsdException w:uiPriority="1" w:name="Table Simple 3"/>
    <w:lsdException w:uiPriority="1" w:name="Table Classic 1"/>
    <w:lsdException w:uiPriority="1" w:name="Table Classic 2"/>
    <w:lsdException w:uiPriority="1" w:name="Table Classic 3"/>
    <w:lsdException w:uiPriority="1" w:name="Table Classic 4"/>
    <w:lsdException w:uiPriority="1" w:name="Table Colorful 1"/>
    <w:lsdException w:uiPriority="1" w:name="Table Colorful 2"/>
    <w:lsdException w:uiPriority="1" w:name="Table Colorful 3"/>
    <w:lsdException w:uiPriority="1" w:name="Table Columns 1"/>
    <w:lsdException w:uiPriority="1" w:name="Table Columns 2"/>
    <w:lsdException w:uiPriority="1" w:name="Table Columns 3"/>
    <w:lsdException w:uiPriority="1" w:name="Table Columns 4"/>
    <w:lsdException w:uiPriority="1" w:name="Table Columns 5"/>
    <w:lsdException w:uiPriority="1" w:name="Table Grid 1"/>
    <w:lsdException w:uiPriority="1" w:name="Table Grid 2"/>
    <w:lsdException w:uiPriority="1" w:name="Table Grid 3"/>
    <w:lsdException w:uiPriority="1" w:name="Table Grid 4"/>
    <w:lsdException w:uiPriority="1" w:name="Table Grid 5"/>
    <w:lsdException w:uiPriority="1" w:name="Table Grid 6"/>
    <w:lsdException w:uiPriority="1" w:name="Table Grid 7"/>
    <w:lsdException w:uiPriority="1" w:name="Table Grid 8"/>
    <w:lsdException w:uiPriority="1" w:name="Table List 1"/>
    <w:lsdException w:uiPriority="1" w:name="Table List 2"/>
    <w:lsdException w:uiPriority="1" w:name="Table List 3"/>
    <w:lsdException w:uiPriority="1" w:name="Table List 4"/>
    <w:lsdException w:uiPriority="1" w:name="Table List 5"/>
    <w:lsdException w:uiPriority="1" w:name="Table List 6"/>
    <w:lsdException w:uiPriority="1" w:name="Table List 7"/>
    <w:lsdException w:uiPriority="1" w:name="Table List 8"/>
    <w:lsdException w:uiPriority="1" w:name="Table 3D effects 1"/>
    <w:lsdException w:uiPriority="1" w:name="Table 3D effects 2"/>
    <w:lsdException w:uiPriority="1" w:name="Table 3D effects 3"/>
    <w:lsdException w:uiPriority="1" w:name="Table Contemporary"/>
    <w:lsdException w:uiPriority="1" w:name="Table Elegant"/>
    <w:lsdException w:uiPriority="1" w:name="Table Professional"/>
    <w:lsdException w:uiPriority="1" w:name="Table Subtle 1"/>
    <w:lsdException w:uiPriority="1" w:name="Table Subtle 2"/>
    <w:lsdException w:uiPriority="1" w:name="Table Web 1"/>
    <w:lsdException w:uiPriority="1" w:name="Table Web 2"/>
    <w:lsdException w:uiPriority="1" w:name="Table Web 3"/>
    <w:lsdException w:uiPriority="99" w:semiHidden="0" w:name="Balloon Text"/>
    <w:lsdException w:qFormat="1" w:uiPriority="99" w:semiHidden="0" w:name="Table Grid"/>
    <w:lsdException w:uiPriority="1"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67"/>
    <w:autoRedefine/>
    <w:qFormat/>
    <w:uiPriority w:val="0"/>
    <w:pPr>
      <w:keepNext/>
      <w:keepLines/>
      <w:spacing w:before="340" w:after="330" w:line="576" w:lineRule="auto"/>
      <w:jc w:val="center"/>
      <w:outlineLvl w:val="0"/>
    </w:pPr>
    <w:rPr>
      <w:b/>
      <w:bCs/>
      <w:kern w:val="44"/>
      <w:sz w:val="44"/>
      <w:szCs w:val="44"/>
    </w:rPr>
  </w:style>
  <w:style w:type="paragraph" w:styleId="3">
    <w:name w:val="heading 2"/>
    <w:basedOn w:val="1"/>
    <w:next w:val="1"/>
    <w:link w:val="68"/>
    <w:autoRedefine/>
    <w:qFormat/>
    <w:uiPriority w:val="0"/>
    <w:pPr>
      <w:keepNext/>
      <w:keepLines/>
      <w:spacing w:before="260" w:after="260" w:line="415" w:lineRule="auto"/>
      <w:outlineLvl w:val="1"/>
    </w:pPr>
    <w:rPr>
      <w:rFonts w:ascii="Arial" w:hAnsi="Arial" w:eastAsia="黑体"/>
      <w:b/>
      <w:bCs/>
      <w:sz w:val="32"/>
      <w:szCs w:val="32"/>
    </w:rPr>
  </w:style>
  <w:style w:type="paragraph" w:styleId="4">
    <w:name w:val="heading 3"/>
    <w:basedOn w:val="1"/>
    <w:next w:val="1"/>
    <w:link w:val="69"/>
    <w:qFormat/>
    <w:uiPriority w:val="99"/>
    <w:pPr>
      <w:keepNext/>
      <w:keepLines/>
      <w:spacing w:before="20" w:after="20" w:line="415" w:lineRule="auto"/>
      <w:ind w:firstLine="137" w:firstLineChars="49"/>
      <w:outlineLvl w:val="2"/>
    </w:pPr>
    <w:rPr>
      <w:rFonts w:hAnsi="黑体" w:eastAsia="黑体"/>
      <w:sz w:val="24"/>
      <w:szCs w:val="20"/>
    </w:rPr>
  </w:style>
  <w:style w:type="paragraph" w:styleId="5">
    <w:name w:val="heading 4"/>
    <w:basedOn w:val="1"/>
    <w:next w:val="1"/>
    <w:link w:val="70"/>
    <w:qFormat/>
    <w:uiPriority w:val="99"/>
    <w:pPr>
      <w:keepNext/>
      <w:keepLines/>
      <w:spacing w:before="280" w:after="290" w:line="374" w:lineRule="auto"/>
      <w:outlineLvl w:val="3"/>
    </w:pPr>
    <w:rPr>
      <w:rFonts w:hint="eastAsia" w:ascii="Cambria" w:hAnsi="Cambria"/>
      <w:b/>
      <w:sz w:val="28"/>
      <w:szCs w:val="20"/>
    </w:rPr>
  </w:style>
  <w:style w:type="paragraph" w:styleId="6">
    <w:name w:val="heading 5"/>
    <w:basedOn w:val="1"/>
    <w:next w:val="1"/>
    <w:link w:val="71"/>
    <w:qFormat/>
    <w:uiPriority w:val="0"/>
    <w:pPr>
      <w:keepNext/>
      <w:keepLines/>
      <w:spacing w:before="280" w:after="290" w:line="376" w:lineRule="auto"/>
      <w:outlineLvl w:val="4"/>
    </w:pPr>
    <w:rPr>
      <w:b/>
      <w:bCs/>
      <w:sz w:val="28"/>
      <w:szCs w:val="28"/>
    </w:rPr>
  </w:style>
  <w:style w:type="paragraph" w:styleId="7">
    <w:name w:val="heading 6"/>
    <w:basedOn w:val="1"/>
    <w:next w:val="1"/>
    <w:link w:val="72"/>
    <w:autoRedefine/>
    <w:qFormat/>
    <w:uiPriority w:val="0"/>
    <w:pPr>
      <w:keepNext/>
      <w:keepLines/>
      <w:widowControl/>
      <w:tabs>
        <w:tab w:val="left" w:pos="1440"/>
      </w:tabs>
      <w:spacing w:before="240" w:after="64" w:line="319" w:lineRule="auto"/>
      <w:ind w:left="1152" w:hanging="1152"/>
      <w:jc w:val="left"/>
      <w:outlineLvl w:val="5"/>
    </w:pPr>
    <w:rPr>
      <w:rFonts w:ascii="Arial" w:hAnsi="Arial" w:eastAsia="黑体"/>
      <w:b/>
      <w:bCs/>
      <w:kern w:val="0"/>
      <w:sz w:val="24"/>
    </w:rPr>
  </w:style>
  <w:style w:type="paragraph" w:styleId="8">
    <w:name w:val="heading 7"/>
    <w:basedOn w:val="1"/>
    <w:next w:val="1"/>
    <w:link w:val="73"/>
    <w:autoRedefine/>
    <w:qFormat/>
    <w:uiPriority w:val="0"/>
    <w:pPr>
      <w:keepNext/>
      <w:keepLines/>
      <w:widowControl/>
      <w:tabs>
        <w:tab w:val="left" w:pos="2520"/>
      </w:tabs>
      <w:spacing w:before="240" w:after="64" w:line="319" w:lineRule="auto"/>
      <w:ind w:left="1296" w:hanging="1296"/>
      <w:jc w:val="left"/>
      <w:outlineLvl w:val="6"/>
    </w:pPr>
    <w:rPr>
      <w:b/>
      <w:bCs/>
      <w:kern w:val="0"/>
      <w:sz w:val="24"/>
    </w:rPr>
  </w:style>
  <w:style w:type="paragraph" w:styleId="9">
    <w:name w:val="heading 8"/>
    <w:basedOn w:val="1"/>
    <w:next w:val="1"/>
    <w:link w:val="74"/>
    <w:qFormat/>
    <w:uiPriority w:val="0"/>
    <w:pPr>
      <w:keepNext/>
      <w:keepLines/>
      <w:widowControl/>
      <w:tabs>
        <w:tab w:val="left" w:pos="1440"/>
      </w:tabs>
      <w:spacing w:before="240" w:after="64" w:line="319" w:lineRule="auto"/>
      <w:ind w:left="1440" w:hanging="1440"/>
      <w:jc w:val="left"/>
      <w:outlineLvl w:val="7"/>
    </w:pPr>
    <w:rPr>
      <w:rFonts w:ascii="Arial" w:hAnsi="Arial" w:eastAsia="黑体"/>
      <w:kern w:val="0"/>
      <w:sz w:val="24"/>
    </w:rPr>
  </w:style>
  <w:style w:type="paragraph" w:styleId="10">
    <w:name w:val="heading 9"/>
    <w:basedOn w:val="1"/>
    <w:next w:val="1"/>
    <w:link w:val="75"/>
    <w:qFormat/>
    <w:uiPriority w:val="0"/>
    <w:pPr>
      <w:keepNext/>
      <w:keepLines/>
      <w:widowControl/>
      <w:tabs>
        <w:tab w:val="left" w:pos="1584"/>
      </w:tabs>
      <w:spacing w:before="240" w:after="64" w:line="319" w:lineRule="auto"/>
      <w:ind w:left="1584" w:hanging="1584"/>
      <w:jc w:val="left"/>
      <w:outlineLvl w:val="8"/>
    </w:pPr>
    <w:rPr>
      <w:rFonts w:ascii="Arial" w:hAnsi="Arial" w:eastAsia="黑体"/>
      <w:kern w:val="0"/>
      <w:szCs w:val="21"/>
    </w:rPr>
  </w:style>
  <w:style w:type="character" w:default="1" w:styleId="51">
    <w:name w:val="Default Paragraph Font"/>
    <w:autoRedefine/>
    <w:qFormat/>
    <w:uiPriority w:val="0"/>
  </w:style>
  <w:style w:type="table" w:default="1" w:styleId="49">
    <w:name w:val="Normal Table"/>
    <w:autoRedefine/>
    <w:semiHidden/>
    <w:qFormat/>
    <w:uiPriority w:val="0"/>
    <w:tblPr>
      <w:tblCellMar>
        <w:top w:w="0" w:type="dxa"/>
        <w:left w:w="108" w:type="dxa"/>
        <w:bottom w:w="0" w:type="dxa"/>
        <w:right w:w="108" w:type="dxa"/>
      </w:tblCellMar>
    </w:tblPr>
  </w:style>
  <w:style w:type="paragraph" w:styleId="11">
    <w:name w:val="toc 7"/>
    <w:basedOn w:val="1"/>
    <w:next w:val="1"/>
    <w:autoRedefine/>
    <w:qFormat/>
    <w:uiPriority w:val="39"/>
    <w:pPr>
      <w:ind w:left="2520" w:leftChars="1200"/>
    </w:pPr>
  </w:style>
  <w:style w:type="paragraph" w:styleId="12">
    <w:name w:val="List Number"/>
    <w:basedOn w:val="1"/>
    <w:autoRedefine/>
    <w:qFormat/>
    <w:uiPriority w:val="0"/>
    <w:pPr>
      <w:widowControl/>
      <w:numPr>
        <w:ilvl w:val="0"/>
        <w:numId w:val="1"/>
      </w:numPr>
      <w:tabs>
        <w:tab w:val="left" w:pos="454"/>
        <w:tab w:val="left" w:pos="720"/>
      </w:tabs>
      <w:spacing w:afterLines="50"/>
      <w:ind w:left="454" w:hanging="284"/>
      <w:jc w:val="left"/>
    </w:pPr>
    <w:rPr>
      <w:kern w:val="0"/>
      <w:sz w:val="24"/>
      <w:szCs w:val="20"/>
    </w:rPr>
  </w:style>
  <w:style w:type="paragraph" w:styleId="13">
    <w:name w:val="Normal Indent"/>
    <w:basedOn w:val="1"/>
    <w:link w:val="76"/>
    <w:autoRedefine/>
    <w:qFormat/>
    <w:uiPriority w:val="0"/>
    <w:pPr>
      <w:ind w:firstLine="420"/>
    </w:pPr>
    <w:rPr>
      <w:b/>
      <w:sz w:val="24"/>
      <w:szCs w:val="20"/>
    </w:rPr>
  </w:style>
  <w:style w:type="paragraph" w:styleId="14">
    <w:name w:val="caption"/>
    <w:basedOn w:val="1"/>
    <w:next w:val="1"/>
    <w:qFormat/>
    <w:uiPriority w:val="0"/>
    <w:rPr>
      <w:rFonts w:ascii="Cambria" w:hAnsi="Cambria" w:eastAsia="黑体" w:cs="Times New Roman"/>
      <w:sz w:val="20"/>
      <w:szCs w:val="20"/>
    </w:rPr>
  </w:style>
  <w:style w:type="paragraph" w:styleId="15">
    <w:name w:val="Document Map"/>
    <w:basedOn w:val="1"/>
    <w:link w:val="77"/>
    <w:autoRedefine/>
    <w:qFormat/>
    <w:uiPriority w:val="0"/>
    <w:pPr>
      <w:shd w:val="clear" w:color="auto" w:fill="000080"/>
    </w:pPr>
  </w:style>
  <w:style w:type="paragraph" w:styleId="16">
    <w:name w:val="annotation text"/>
    <w:basedOn w:val="1"/>
    <w:link w:val="78"/>
    <w:autoRedefine/>
    <w:unhideWhenUsed/>
    <w:qFormat/>
    <w:uiPriority w:val="99"/>
    <w:pPr>
      <w:jc w:val="left"/>
    </w:pPr>
    <w:rPr>
      <w:szCs w:val="20"/>
    </w:rPr>
  </w:style>
  <w:style w:type="paragraph" w:styleId="17">
    <w:name w:val="Body Text 3"/>
    <w:basedOn w:val="1"/>
    <w:link w:val="79"/>
    <w:autoRedefine/>
    <w:qFormat/>
    <w:uiPriority w:val="0"/>
    <w:rPr>
      <w:rFonts w:ascii="宋体"/>
      <w:sz w:val="24"/>
      <w:szCs w:val="20"/>
    </w:rPr>
  </w:style>
  <w:style w:type="paragraph" w:styleId="18">
    <w:name w:val="Body Text"/>
    <w:basedOn w:val="1"/>
    <w:next w:val="1"/>
    <w:link w:val="80"/>
    <w:qFormat/>
    <w:uiPriority w:val="0"/>
    <w:pPr>
      <w:spacing w:after="120"/>
    </w:pPr>
  </w:style>
  <w:style w:type="paragraph" w:styleId="19">
    <w:name w:val="Body Text Indent"/>
    <w:basedOn w:val="1"/>
    <w:next w:val="20"/>
    <w:link w:val="81"/>
    <w:autoRedefine/>
    <w:qFormat/>
    <w:uiPriority w:val="0"/>
    <w:pPr>
      <w:spacing w:line="360" w:lineRule="auto"/>
      <w:ind w:firstLine="420"/>
    </w:pPr>
    <w:rPr>
      <w:rFonts w:ascii="宋体"/>
      <w:sz w:val="24"/>
      <w:szCs w:val="20"/>
    </w:rPr>
  </w:style>
  <w:style w:type="paragraph" w:styleId="20">
    <w:name w:val="envelope return"/>
    <w:basedOn w:val="1"/>
    <w:autoRedefine/>
    <w:qFormat/>
    <w:uiPriority w:val="0"/>
    <w:pPr>
      <w:snapToGrid w:val="0"/>
      <w:spacing w:line="360" w:lineRule="auto"/>
      <w:ind w:firstLine="200" w:firstLineChars="200"/>
    </w:pPr>
    <w:rPr>
      <w:rFonts w:ascii="Arial" w:hAnsi="Arial" w:eastAsia="仿宋_GB2312" w:cs="Arial"/>
      <w:sz w:val="24"/>
    </w:rPr>
  </w:style>
  <w:style w:type="paragraph" w:styleId="21">
    <w:name w:val="List Number 3"/>
    <w:basedOn w:val="1"/>
    <w:autoRedefine/>
    <w:qFormat/>
    <w:uiPriority w:val="0"/>
    <w:pPr>
      <w:numPr>
        <w:ilvl w:val="0"/>
        <w:numId w:val="2"/>
      </w:numPr>
      <w:tabs>
        <w:tab w:val="left" w:pos="1200"/>
      </w:tabs>
    </w:pPr>
  </w:style>
  <w:style w:type="paragraph" w:styleId="22">
    <w:name w:val="List 2"/>
    <w:basedOn w:val="1"/>
    <w:autoRedefine/>
    <w:qFormat/>
    <w:uiPriority w:val="0"/>
    <w:pPr>
      <w:ind w:left="100" w:leftChars="200" w:hanging="200" w:hangingChars="200"/>
    </w:pPr>
    <w:rPr>
      <w:sz w:val="28"/>
    </w:rPr>
  </w:style>
  <w:style w:type="paragraph" w:styleId="23">
    <w:name w:val="toc 5"/>
    <w:basedOn w:val="1"/>
    <w:next w:val="1"/>
    <w:autoRedefine/>
    <w:qFormat/>
    <w:uiPriority w:val="39"/>
    <w:pPr>
      <w:ind w:left="1680" w:leftChars="800"/>
    </w:pPr>
  </w:style>
  <w:style w:type="paragraph" w:styleId="24">
    <w:name w:val="toc 3"/>
    <w:basedOn w:val="1"/>
    <w:next w:val="1"/>
    <w:autoRedefine/>
    <w:qFormat/>
    <w:uiPriority w:val="39"/>
    <w:pPr>
      <w:ind w:left="840" w:leftChars="400"/>
      <w:jc w:val="left"/>
    </w:pPr>
  </w:style>
  <w:style w:type="paragraph" w:styleId="25">
    <w:name w:val="Plain Text"/>
    <w:basedOn w:val="1"/>
    <w:link w:val="82"/>
    <w:uiPriority w:val="99"/>
    <w:rPr>
      <w:rFonts w:ascii="宋体" w:hAnsi="Courier New"/>
      <w:sz w:val="28"/>
      <w:szCs w:val="20"/>
    </w:rPr>
  </w:style>
  <w:style w:type="paragraph" w:styleId="26">
    <w:name w:val="toc 8"/>
    <w:basedOn w:val="1"/>
    <w:next w:val="1"/>
    <w:uiPriority w:val="39"/>
    <w:pPr>
      <w:ind w:left="2940" w:leftChars="1400"/>
    </w:pPr>
  </w:style>
  <w:style w:type="paragraph" w:styleId="27">
    <w:name w:val="Date"/>
    <w:basedOn w:val="1"/>
    <w:next w:val="1"/>
    <w:qFormat/>
    <w:uiPriority w:val="0"/>
    <w:pPr>
      <w:ind w:left="100" w:leftChars="2500"/>
    </w:pPr>
  </w:style>
  <w:style w:type="paragraph" w:styleId="28">
    <w:name w:val="Body Text Indent 2"/>
    <w:basedOn w:val="1"/>
    <w:link w:val="83"/>
    <w:qFormat/>
    <w:uiPriority w:val="0"/>
    <w:pPr>
      <w:spacing w:line="420" w:lineRule="exact"/>
      <w:ind w:firstLine="525"/>
    </w:pPr>
    <w:rPr>
      <w:rFonts w:ascii="宋体"/>
      <w:szCs w:val="20"/>
    </w:rPr>
  </w:style>
  <w:style w:type="paragraph" w:styleId="29">
    <w:name w:val="Balloon Text"/>
    <w:basedOn w:val="1"/>
    <w:link w:val="84"/>
    <w:unhideWhenUsed/>
    <w:uiPriority w:val="99"/>
    <w:rPr>
      <w:sz w:val="18"/>
      <w:szCs w:val="18"/>
    </w:rPr>
  </w:style>
  <w:style w:type="paragraph" w:styleId="30">
    <w:name w:val="footer"/>
    <w:basedOn w:val="1"/>
    <w:link w:val="85"/>
    <w:autoRedefine/>
    <w:qFormat/>
    <w:uiPriority w:val="99"/>
    <w:pPr>
      <w:tabs>
        <w:tab w:val="center" w:pos="4153"/>
        <w:tab w:val="right" w:pos="8306"/>
      </w:tabs>
      <w:snapToGrid w:val="0"/>
      <w:jc w:val="left"/>
    </w:pPr>
    <w:rPr>
      <w:sz w:val="18"/>
      <w:szCs w:val="20"/>
    </w:rPr>
  </w:style>
  <w:style w:type="paragraph" w:styleId="31">
    <w:name w:val="header"/>
    <w:basedOn w:val="1"/>
    <w:next w:val="18"/>
    <w:link w:val="86"/>
    <w:autoRedefine/>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szCs w:val="20"/>
    </w:rPr>
  </w:style>
  <w:style w:type="paragraph" w:styleId="32">
    <w:name w:val="toc 1"/>
    <w:basedOn w:val="1"/>
    <w:next w:val="1"/>
    <w:autoRedefine/>
    <w:qFormat/>
    <w:uiPriority w:val="39"/>
    <w:pPr>
      <w:jc w:val="left"/>
    </w:pPr>
  </w:style>
  <w:style w:type="paragraph" w:styleId="33">
    <w:name w:val="toc 4"/>
    <w:basedOn w:val="1"/>
    <w:next w:val="1"/>
    <w:autoRedefine/>
    <w:qFormat/>
    <w:uiPriority w:val="39"/>
    <w:pPr>
      <w:ind w:left="1260" w:leftChars="600"/>
    </w:pPr>
  </w:style>
  <w:style w:type="paragraph" w:styleId="34">
    <w:name w:val="Subtitle"/>
    <w:basedOn w:val="1"/>
    <w:next w:val="1"/>
    <w:link w:val="87"/>
    <w:qFormat/>
    <w:uiPriority w:val="11"/>
    <w:pPr>
      <w:spacing w:before="240" w:after="60" w:line="312" w:lineRule="auto"/>
      <w:jc w:val="center"/>
      <w:outlineLvl w:val="1"/>
    </w:pPr>
    <w:rPr>
      <w:rFonts w:ascii="Cambria" w:hAnsi="Cambria"/>
      <w:b/>
      <w:bCs/>
      <w:kern w:val="28"/>
      <w:sz w:val="32"/>
      <w:szCs w:val="32"/>
    </w:rPr>
  </w:style>
  <w:style w:type="paragraph" w:styleId="35">
    <w:name w:val="List"/>
    <w:basedOn w:val="1"/>
    <w:autoRedefine/>
    <w:uiPriority w:val="0"/>
    <w:pPr>
      <w:ind w:left="200" w:hanging="200" w:hangingChars="200"/>
    </w:pPr>
    <w:rPr>
      <w:sz w:val="28"/>
    </w:rPr>
  </w:style>
  <w:style w:type="paragraph" w:styleId="36">
    <w:name w:val="footnote text"/>
    <w:basedOn w:val="1"/>
    <w:link w:val="88"/>
    <w:autoRedefine/>
    <w:qFormat/>
    <w:uiPriority w:val="0"/>
    <w:rPr>
      <w:sz w:val="20"/>
      <w:szCs w:val="20"/>
    </w:rPr>
  </w:style>
  <w:style w:type="paragraph" w:styleId="37">
    <w:name w:val="toc 6"/>
    <w:basedOn w:val="1"/>
    <w:next w:val="1"/>
    <w:autoRedefine/>
    <w:qFormat/>
    <w:uiPriority w:val="39"/>
    <w:pPr>
      <w:ind w:left="2100" w:leftChars="1000"/>
    </w:pPr>
  </w:style>
  <w:style w:type="paragraph" w:styleId="38">
    <w:name w:val="Body Text Indent 3"/>
    <w:basedOn w:val="1"/>
    <w:link w:val="89"/>
    <w:autoRedefine/>
    <w:uiPriority w:val="0"/>
    <w:pPr>
      <w:spacing w:after="120"/>
      <w:ind w:left="420" w:leftChars="200"/>
    </w:pPr>
    <w:rPr>
      <w:sz w:val="16"/>
      <w:szCs w:val="16"/>
    </w:rPr>
  </w:style>
  <w:style w:type="paragraph" w:styleId="39">
    <w:name w:val="table of figures"/>
    <w:basedOn w:val="1"/>
    <w:next w:val="1"/>
    <w:autoRedefine/>
    <w:qFormat/>
    <w:uiPriority w:val="0"/>
    <w:pPr>
      <w:ind w:leftChars="200" w:hanging="200" w:hangingChars="200"/>
    </w:pPr>
    <w:rPr>
      <w:szCs w:val="24"/>
    </w:rPr>
  </w:style>
  <w:style w:type="paragraph" w:styleId="40">
    <w:name w:val="toc 2"/>
    <w:basedOn w:val="1"/>
    <w:next w:val="1"/>
    <w:autoRedefine/>
    <w:qFormat/>
    <w:uiPriority w:val="39"/>
    <w:pPr>
      <w:ind w:left="420" w:leftChars="200"/>
      <w:jc w:val="left"/>
    </w:pPr>
  </w:style>
  <w:style w:type="paragraph" w:styleId="41">
    <w:name w:val="toc 9"/>
    <w:basedOn w:val="1"/>
    <w:next w:val="1"/>
    <w:autoRedefine/>
    <w:uiPriority w:val="39"/>
    <w:pPr>
      <w:ind w:left="3360" w:leftChars="1600"/>
    </w:pPr>
  </w:style>
  <w:style w:type="paragraph" w:styleId="42">
    <w:name w:val="Body Text 2"/>
    <w:basedOn w:val="1"/>
    <w:link w:val="90"/>
    <w:qFormat/>
    <w:uiPriority w:val="0"/>
    <w:pPr>
      <w:widowControl/>
      <w:snapToGrid w:val="0"/>
      <w:spacing w:before="50" w:afterLines="50" w:line="400" w:lineRule="exact"/>
      <w:jc w:val="left"/>
    </w:pPr>
    <w:rPr>
      <w:rFonts w:ascii="宋体" w:hAnsi="宋体"/>
      <w:color w:val="000000"/>
      <w:sz w:val="24"/>
    </w:rPr>
  </w:style>
  <w:style w:type="paragraph" w:styleId="43">
    <w:name w:val="List Continue 2"/>
    <w:basedOn w:val="1"/>
    <w:autoRedefine/>
    <w:qFormat/>
    <w:uiPriority w:val="0"/>
    <w:pPr>
      <w:spacing w:after="120"/>
      <w:ind w:left="840"/>
    </w:pPr>
  </w:style>
  <w:style w:type="paragraph" w:styleId="44">
    <w:name w:val="Normal (Web)"/>
    <w:basedOn w:val="1"/>
    <w:autoRedefine/>
    <w:qFormat/>
    <w:uiPriority w:val="0"/>
    <w:pPr>
      <w:widowControl/>
      <w:spacing w:before="100" w:beforeAutospacing="1" w:after="100" w:afterAutospacing="1"/>
      <w:jc w:val="left"/>
    </w:pPr>
    <w:rPr>
      <w:rFonts w:ascii="宋体" w:hAnsi="宋体" w:cs="宋体"/>
      <w:kern w:val="0"/>
      <w:sz w:val="24"/>
      <w:szCs w:val="24"/>
    </w:rPr>
  </w:style>
  <w:style w:type="paragraph" w:styleId="45">
    <w:name w:val="Title"/>
    <w:basedOn w:val="1"/>
    <w:link w:val="91"/>
    <w:qFormat/>
    <w:uiPriority w:val="0"/>
    <w:pPr>
      <w:adjustRightInd w:val="0"/>
      <w:spacing w:before="240" w:after="60" w:line="420" w:lineRule="atLeast"/>
      <w:jc w:val="center"/>
      <w:textAlignment w:val="baseline"/>
      <w:outlineLvl w:val="0"/>
    </w:pPr>
    <w:rPr>
      <w:rFonts w:ascii="Arial" w:hAnsi="Arial"/>
      <w:b/>
      <w:kern w:val="0"/>
      <w:sz w:val="32"/>
      <w:szCs w:val="20"/>
    </w:rPr>
  </w:style>
  <w:style w:type="paragraph" w:styleId="46">
    <w:name w:val="annotation subject"/>
    <w:basedOn w:val="16"/>
    <w:next w:val="16"/>
    <w:link w:val="92"/>
    <w:autoRedefine/>
    <w:qFormat/>
    <w:uiPriority w:val="0"/>
    <w:rPr>
      <w:b/>
      <w:bCs/>
      <w:szCs w:val="24"/>
    </w:rPr>
  </w:style>
  <w:style w:type="paragraph" w:styleId="47">
    <w:name w:val="Body Text First Indent"/>
    <w:basedOn w:val="18"/>
    <w:next w:val="1"/>
    <w:autoRedefine/>
    <w:unhideWhenUsed/>
    <w:qFormat/>
    <w:uiPriority w:val="99"/>
    <w:pPr>
      <w:ind w:firstLine="420" w:firstLineChars="100"/>
    </w:pPr>
  </w:style>
  <w:style w:type="paragraph" w:styleId="48">
    <w:name w:val="Body Text First Indent 2"/>
    <w:basedOn w:val="19"/>
    <w:next w:val="13"/>
    <w:autoRedefine/>
    <w:unhideWhenUsed/>
    <w:qFormat/>
    <w:uiPriority w:val="0"/>
    <w:pPr>
      <w:spacing w:line="240" w:lineRule="auto"/>
      <w:ind w:left="420" w:leftChars="200" w:firstLine="200" w:firstLineChars="200"/>
    </w:pPr>
    <w:rPr>
      <w:rFonts w:ascii="仿宋_GB2312" w:eastAsia="仿宋_GB2312"/>
    </w:rPr>
  </w:style>
  <w:style w:type="table" w:styleId="50">
    <w:name w:val="Table Grid"/>
    <w:basedOn w:val="49"/>
    <w:autoRedefine/>
    <w:unhideWhenUsed/>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52">
    <w:name w:val="Strong"/>
    <w:qFormat/>
    <w:uiPriority w:val="0"/>
    <w:rPr>
      <w:b/>
      <w:bCs/>
    </w:rPr>
  </w:style>
  <w:style w:type="character" w:styleId="53">
    <w:name w:val="page number"/>
    <w:autoRedefine/>
    <w:qFormat/>
    <w:uiPriority w:val="0"/>
  </w:style>
  <w:style w:type="character" w:styleId="54">
    <w:name w:val="FollowedHyperlink"/>
    <w:uiPriority w:val="0"/>
    <w:rPr>
      <w:color w:val="800080"/>
      <w:u w:val="none"/>
    </w:rPr>
  </w:style>
  <w:style w:type="character" w:styleId="55">
    <w:name w:val="Emphasis"/>
    <w:autoRedefine/>
    <w:qFormat/>
    <w:uiPriority w:val="20"/>
    <w:rPr>
      <w:i/>
      <w:iCs/>
    </w:rPr>
  </w:style>
  <w:style w:type="character" w:styleId="56">
    <w:name w:val="HTML Definition"/>
    <w:autoRedefine/>
    <w:unhideWhenUsed/>
    <w:uiPriority w:val="99"/>
  </w:style>
  <w:style w:type="character" w:styleId="57">
    <w:name w:val="HTML Typewriter"/>
    <w:unhideWhenUsed/>
    <w:uiPriority w:val="99"/>
    <w:rPr>
      <w:rFonts w:hint="default" w:ascii="monospace" w:hAnsi="monospace" w:eastAsia="monospace" w:cs="monospace"/>
      <w:sz w:val="20"/>
    </w:rPr>
  </w:style>
  <w:style w:type="character" w:styleId="58">
    <w:name w:val="HTML Acronym"/>
    <w:basedOn w:val="51"/>
    <w:autoRedefine/>
    <w:unhideWhenUsed/>
    <w:qFormat/>
    <w:uiPriority w:val="99"/>
  </w:style>
  <w:style w:type="character" w:styleId="59">
    <w:name w:val="HTML Variable"/>
    <w:autoRedefine/>
    <w:unhideWhenUsed/>
    <w:qFormat/>
    <w:uiPriority w:val="99"/>
  </w:style>
  <w:style w:type="character" w:styleId="60">
    <w:name w:val="Hyperlink"/>
    <w:uiPriority w:val="99"/>
    <w:rPr>
      <w:color w:val="0000FF"/>
      <w:u w:val="none"/>
    </w:rPr>
  </w:style>
  <w:style w:type="character" w:styleId="61">
    <w:name w:val="HTML Code"/>
    <w:unhideWhenUsed/>
    <w:uiPriority w:val="99"/>
    <w:rPr>
      <w:rFonts w:ascii="monospace" w:hAnsi="monospace" w:eastAsia="monospace" w:cs="monospace"/>
      <w:sz w:val="20"/>
    </w:rPr>
  </w:style>
  <w:style w:type="character" w:styleId="62">
    <w:name w:val="annotation reference"/>
    <w:autoRedefine/>
    <w:qFormat/>
    <w:uiPriority w:val="0"/>
    <w:rPr>
      <w:sz w:val="21"/>
      <w:szCs w:val="21"/>
    </w:rPr>
  </w:style>
  <w:style w:type="character" w:styleId="63">
    <w:name w:val="HTML Cite"/>
    <w:autoRedefine/>
    <w:unhideWhenUsed/>
    <w:qFormat/>
    <w:uiPriority w:val="99"/>
  </w:style>
  <w:style w:type="character" w:styleId="64">
    <w:name w:val="footnote reference"/>
    <w:autoRedefine/>
    <w:qFormat/>
    <w:uiPriority w:val="0"/>
    <w:rPr>
      <w:vertAlign w:val="superscript"/>
    </w:rPr>
  </w:style>
  <w:style w:type="character" w:styleId="65">
    <w:name w:val="HTML Keyboard"/>
    <w:autoRedefine/>
    <w:unhideWhenUsed/>
    <w:qFormat/>
    <w:uiPriority w:val="99"/>
    <w:rPr>
      <w:rFonts w:hint="default" w:ascii="monospace" w:hAnsi="monospace" w:eastAsia="monospace" w:cs="monospace"/>
      <w:sz w:val="20"/>
    </w:rPr>
  </w:style>
  <w:style w:type="character" w:styleId="66">
    <w:name w:val="HTML Sample"/>
    <w:autoRedefine/>
    <w:unhideWhenUsed/>
    <w:qFormat/>
    <w:uiPriority w:val="99"/>
    <w:rPr>
      <w:rFonts w:hint="default" w:ascii="monospace" w:hAnsi="monospace" w:eastAsia="monospace" w:cs="monospace"/>
    </w:rPr>
  </w:style>
  <w:style w:type="character" w:customStyle="1" w:styleId="67">
    <w:name w:val="标题 1 Char"/>
    <w:link w:val="2"/>
    <w:autoRedefine/>
    <w:qFormat/>
    <w:uiPriority w:val="0"/>
    <w:rPr>
      <w:b/>
      <w:bCs/>
      <w:kern w:val="44"/>
      <w:sz w:val="44"/>
      <w:szCs w:val="44"/>
    </w:rPr>
  </w:style>
  <w:style w:type="character" w:customStyle="1" w:styleId="68">
    <w:name w:val="标题 2 Char"/>
    <w:link w:val="3"/>
    <w:autoRedefine/>
    <w:qFormat/>
    <w:uiPriority w:val="0"/>
    <w:rPr>
      <w:rFonts w:ascii="Arial" w:hAnsi="Arial" w:eastAsia="黑体"/>
      <w:b/>
      <w:bCs/>
      <w:kern w:val="2"/>
      <w:sz w:val="32"/>
      <w:szCs w:val="32"/>
    </w:rPr>
  </w:style>
  <w:style w:type="character" w:customStyle="1" w:styleId="69">
    <w:name w:val="标题 3 Char1"/>
    <w:link w:val="4"/>
    <w:autoRedefine/>
    <w:unhideWhenUsed/>
    <w:qFormat/>
    <w:uiPriority w:val="99"/>
    <w:rPr>
      <w:rFonts w:hint="default" w:hAnsi="黑体" w:eastAsia="黑体"/>
      <w:kern w:val="2"/>
      <w:sz w:val="24"/>
    </w:rPr>
  </w:style>
  <w:style w:type="character" w:customStyle="1" w:styleId="70">
    <w:name w:val="标题 4 Char1"/>
    <w:link w:val="5"/>
    <w:autoRedefine/>
    <w:unhideWhenUsed/>
    <w:qFormat/>
    <w:uiPriority w:val="99"/>
    <w:rPr>
      <w:rFonts w:hint="eastAsia" w:ascii="Cambria" w:hAnsi="Cambria" w:eastAsia="宋体"/>
      <w:b/>
      <w:kern w:val="2"/>
      <w:sz w:val="28"/>
    </w:rPr>
  </w:style>
  <w:style w:type="character" w:customStyle="1" w:styleId="71">
    <w:name w:val="标题 5 Char"/>
    <w:link w:val="6"/>
    <w:autoRedefine/>
    <w:qFormat/>
    <w:uiPriority w:val="0"/>
    <w:rPr>
      <w:b/>
      <w:bCs/>
      <w:kern w:val="2"/>
      <w:sz w:val="28"/>
      <w:szCs w:val="28"/>
    </w:rPr>
  </w:style>
  <w:style w:type="character" w:customStyle="1" w:styleId="72">
    <w:name w:val="标题 6 Char"/>
    <w:link w:val="7"/>
    <w:autoRedefine/>
    <w:qFormat/>
    <w:uiPriority w:val="0"/>
    <w:rPr>
      <w:rFonts w:ascii="Arial" w:hAnsi="Arial" w:eastAsia="黑体"/>
      <w:b/>
      <w:bCs/>
      <w:sz w:val="24"/>
      <w:szCs w:val="24"/>
    </w:rPr>
  </w:style>
  <w:style w:type="character" w:customStyle="1" w:styleId="73">
    <w:name w:val="标题 7 Char"/>
    <w:link w:val="8"/>
    <w:autoRedefine/>
    <w:qFormat/>
    <w:uiPriority w:val="0"/>
    <w:rPr>
      <w:b/>
      <w:bCs/>
      <w:sz w:val="24"/>
      <w:szCs w:val="24"/>
    </w:rPr>
  </w:style>
  <w:style w:type="character" w:customStyle="1" w:styleId="74">
    <w:name w:val="标题 8 Char"/>
    <w:link w:val="9"/>
    <w:autoRedefine/>
    <w:qFormat/>
    <w:uiPriority w:val="0"/>
    <w:rPr>
      <w:rFonts w:ascii="Arial" w:hAnsi="Arial" w:eastAsia="黑体"/>
      <w:sz w:val="24"/>
      <w:szCs w:val="24"/>
    </w:rPr>
  </w:style>
  <w:style w:type="character" w:customStyle="1" w:styleId="75">
    <w:name w:val="标题 9 Char"/>
    <w:link w:val="10"/>
    <w:autoRedefine/>
    <w:qFormat/>
    <w:uiPriority w:val="0"/>
    <w:rPr>
      <w:rFonts w:ascii="Arial" w:hAnsi="Arial" w:eastAsia="黑体"/>
      <w:sz w:val="21"/>
      <w:szCs w:val="21"/>
    </w:rPr>
  </w:style>
  <w:style w:type="character" w:customStyle="1" w:styleId="76">
    <w:name w:val="正文缩进 Char"/>
    <w:link w:val="13"/>
    <w:autoRedefine/>
    <w:qFormat/>
    <w:uiPriority w:val="0"/>
    <w:rPr>
      <w:b/>
      <w:kern w:val="2"/>
      <w:sz w:val="24"/>
    </w:rPr>
  </w:style>
  <w:style w:type="character" w:customStyle="1" w:styleId="77">
    <w:name w:val="文档结构图 Char"/>
    <w:link w:val="15"/>
    <w:autoRedefine/>
    <w:qFormat/>
    <w:uiPriority w:val="0"/>
    <w:rPr>
      <w:kern w:val="2"/>
      <w:sz w:val="21"/>
      <w:szCs w:val="24"/>
      <w:shd w:val="clear" w:color="auto" w:fill="000080"/>
    </w:rPr>
  </w:style>
  <w:style w:type="character" w:customStyle="1" w:styleId="78">
    <w:name w:val="批注文字 Char1"/>
    <w:link w:val="16"/>
    <w:autoRedefine/>
    <w:semiHidden/>
    <w:qFormat/>
    <w:uiPriority w:val="99"/>
    <w:rPr>
      <w:kern w:val="2"/>
      <w:sz w:val="21"/>
    </w:rPr>
  </w:style>
  <w:style w:type="character" w:customStyle="1" w:styleId="79">
    <w:name w:val="正文文本 3 Char"/>
    <w:link w:val="17"/>
    <w:autoRedefine/>
    <w:qFormat/>
    <w:uiPriority w:val="0"/>
    <w:rPr>
      <w:rFonts w:ascii="宋体"/>
      <w:kern w:val="2"/>
      <w:sz w:val="24"/>
    </w:rPr>
  </w:style>
  <w:style w:type="character" w:customStyle="1" w:styleId="80">
    <w:name w:val="正文文本 Char"/>
    <w:link w:val="18"/>
    <w:autoRedefine/>
    <w:qFormat/>
    <w:uiPriority w:val="0"/>
    <w:rPr>
      <w:kern w:val="2"/>
      <w:sz w:val="21"/>
      <w:szCs w:val="24"/>
    </w:rPr>
  </w:style>
  <w:style w:type="character" w:customStyle="1" w:styleId="81">
    <w:name w:val="正文文本缩进 Char"/>
    <w:link w:val="19"/>
    <w:autoRedefine/>
    <w:qFormat/>
    <w:uiPriority w:val="0"/>
    <w:rPr>
      <w:rFonts w:ascii="宋体"/>
      <w:kern w:val="2"/>
      <w:sz w:val="24"/>
    </w:rPr>
  </w:style>
  <w:style w:type="character" w:customStyle="1" w:styleId="82">
    <w:name w:val="纯文本 Char"/>
    <w:link w:val="25"/>
    <w:autoRedefine/>
    <w:qFormat/>
    <w:uiPriority w:val="99"/>
    <w:rPr>
      <w:rFonts w:ascii="宋体" w:hAnsi="Courier New"/>
      <w:kern w:val="2"/>
      <w:sz w:val="28"/>
    </w:rPr>
  </w:style>
  <w:style w:type="character" w:customStyle="1" w:styleId="83">
    <w:name w:val="正文文本缩进 2 Char"/>
    <w:link w:val="28"/>
    <w:autoRedefine/>
    <w:qFormat/>
    <w:uiPriority w:val="0"/>
    <w:rPr>
      <w:rFonts w:ascii="宋体"/>
      <w:kern w:val="2"/>
      <w:sz w:val="21"/>
    </w:rPr>
  </w:style>
  <w:style w:type="character" w:customStyle="1" w:styleId="84">
    <w:name w:val="批注框文本 Char"/>
    <w:link w:val="29"/>
    <w:autoRedefine/>
    <w:semiHidden/>
    <w:qFormat/>
    <w:uiPriority w:val="99"/>
    <w:rPr>
      <w:kern w:val="2"/>
      <w:sz w:val="18"/>
      <w:szCs w:val="18"/>
    </w:rPr>
  </w:style>
  <w:style w:type="character" w:customStyle="1" w:styleId="85">
    <w:name w:val="页脚 Char1"/>
    <w:link w:val="30"/>
    <w:autoRedefine/>
    <w:unhideWhenUsed/>
    <w:qFormat/>
    <w:uiPriority w:val="99"/>
    <w:rPr>
      <w:rFonts w:hint="default" w:eastAsia="宋体"/>
      <w:kern w:val="2"/>
      <w:sz w:val="18"/>
    </w:rPr>
  </w:style>
  <w:style w:type="character" w:customStyle="1" w:styleId="86">
    <w:name w:val="页眉 Char1"/>
    <w:link w:val="31"/>
    <w:autoRedefine/>
    <w:unhideWhenUsed/>
    <w:qFormat/>
    <w:uiPriority w:val="99"/>
    <w:rPr>
      <w:rFonts w:hint="default" w:eastAsia="宋体"/>
      <w:kern w:val="2"/>
      <w:sz w:val="18"/>
      <w:lang w:val="en-US" w:eastAsia="zh-CN"/>
    </w:rPr>
  </w:style>
  <w:style w:type="character" w:customStyle="1" w:styleId="87">
    <w:name w:val="副标题 Char"/>
    <w:link w:val="34"/>
    <w:autoRedefine/>
    <w:qFormat/>
    <w:uiPriority w:val="11"/>
    <w:rPr>
      <w:rFonts w:ascii="Cambria" w:hAnsi="Cambria" w:cs="Times New Roman"/>
      <w:b/>
      <w:bCs/>
      <w:kern w:val="28"/>
      <w:sz w:val="32"/>
      <w:szCs w:val="32"/>
    </w:rPr>
  </w:style>
  <w:style w:type="character" w:customStyle="1" w:styleId="88">
    <w:name w:val="脚注文本 Char"/>
    <w:link w:val="36"/>
    <w:autoRedefine/>
    <w:qFormat/>
    <w:uiPriority w:val="0"/>
    <w:rPr>
      <w:kern w:val="2"/>
    </w:rPr>
  </w:style>
  <w:style w:type="character" w:customStyle="1" w:styleId="89">
    <w:name w:val="正文文本缩进 3 Char"/>
    <w:link w:val="38"/>
    <w:autoRedefine/>
    <w:qFormat/>
    <w:uiPriority w:val="0"/>
    <w:rPr>
      <w:kern w:val="2"/>
      <w:sz w:val="16"/>
      <w:szCs w:val="16"/>
    </w:rPr>
  </w:style>
  <w:style w:type="character" w:customStyle="1" w:styleId="90">
    <w:name w:val="正文文本 2 Char"/>
    <w:link w:val="42"/>
    <w:autoRedefine/>
    <w:qFormat/>
    <w:uiPriority w:val="0"/>
    <w:rPr>
      <w:rFonts w:ascii="宋体" w:hAnsi="宋体"/>
      <w:color w:val="000000"/>
      <w:kern w:val="2"/>
      <w:sz w:val="24"/>
      <w:szCs w:val="24"/>
    </w:rPr>
  </w:style>
  <w:style w:type="character" w:customStyle="1" w:styleId="91">
    <w:name w:val="标题 Char"/>
    <w:link w:val="45"/>
    <w:autoRedefine/>
    <w:qFormat/>
    <w:uiPriority w:val="0"/>
    <w:rPr>
      <w:rFonts w:ascii="Arial" w:hAnsi="Arial"/>
      <w:b/>
      <w:sz w:val="32"/>
    </w:rPr>
  </w:style>
  <w:style w:type="character" w:customStyle="1" w:styleId="92">
    <w:name w:val="批注主题 Char"/>
    <w:link w:val="46"/>
    <w:autoRedefine/>
    <w:qFormat/>
    <w:uiPriority w:val="0"/>
    <w:rPr>
      <w:b/>
      <w:bCs/>
      <w:kern w:val="2"/>
      <w:sz w:val="21"/>
      <w:szCs w:val="24"/>
    </w:rPr>
  </w:style>
  <w:style w:type="character" w:customStyle="1" w:styleId="93">
    <w:name w:val="标题 1 Char_1"/>
    <w:link w:val="94"/>
    <w:autoRedefine/>
    <w:qFormat/>
    <w:uiPriority w:val="9"/>
    <w:rPr>
      <w:b/>
      <w:bCs/>
      <w:kern w:val="44"/>
      <w:sz w:val="44"/>
      <w:szCs w:val="44"/>
    </w:rPr>
  </w:style>
  <w:style w:type="paragraph" w:customStyle="1" w:styleId="94">
    <w:name w:val="标题 1_1_0"/>
    <w:basedOn w:val="1"/>
    <w:next w:val="1"/>
    <w:link w:val="93"/>
    <w:autoRedefine/>
    <w:qFormat/>
    <w:uiPriority w:val="9"/>
    <w:pPr>
      <w:keepNext/>
      <w:keepLines/>
      <w:spacing w:before="340" w:after="330" w:line="578" w:lineRule="auto"/>
      <w:outlineLvl w:val="0"/>
    </w:pPr>
    <w:rPr>
      <w:b/>
      <w:bCs/>
      <w:kern w:val="44"/>
      <w:sz w:val="44"/>
      <w:szCs w:val="44"/>
    </w:rPr>
  </w:style>
  <w:style w:type="character" w:customStyle="1" w:styleId="95">
    <w:name w:val="正文文本 (2)_"/>
    <w:link w:val="96"/>
    <w:autoRedefine/>
    <w:qFormat/>
    <w:locked/>
    <w:uiPriority w:val="0"/>
    <w:rPr>
      <w:sz w:val="11"/>
      <w:szCs w:val="11"/>
      <w:shd w:val="clear" w:color="auto" w:fill="FFFFFF"/>
    </w:rPr>
  </w:style>
  <w:style w:type="paragraph" w:customStyle="1" w:styleId="96">
    <w:name w:val="正文文本 (2)"/>
    <w:basedOn w:val="1"/>
    <w:link w:val="95"/>
    <w:autoRedefine/>
    <w:qFormat/>
    <w:uiPriority w:val="0"/>
    <w:pPr>
      <w:shd w:val="clear" w:color="auto" w:fill="FFFFFF"/>
      <w:spacing w:line="308" w:lineRule="exact"/>
      <w:jc w:val="center"/>
    </w:pPr>
    <w:rPr>
      <w:kern w:val="0"/>
      <w:sz w:val="11"/>
      <w:szCs w:val="11"/>
    </w:rPr>
  </w:style>
  <w:style w:type="character" w:customStyle="1" w:styleId="97">
    <w:name w:val="页脚 Char"/>
    <w:autoRedefine/>
    <w:qFormat/>
    <w:uiPriority w:val="0"/>
    <w:rPr>
      <w:kern w:val="2"/>
      <w:sz w:val="18"/>
    </w:rPr>
  </w:style>
  <w:style w:type="character" w:customStyle="1" w:styleId="98">
    <w:name w:val=" Char Char8"/>
    <w:autoRedefine/>
    <w:qFormat/>
    <w:uiPriority w:val="0"/>
    <w:rPr>
      <w:rFonts w:ascii="Arial" w:hAnsi="Arial" w:eastAsia="黑体"/>
      <w:b/>
      <w:bCs/>
      <w:kern w:val="2"/>
      <w:sz w:val="32"/>
      <w:szCs w:val="32"/>
      <w:lang w:val="en-US" w:eastAsia="zh-CN" w:bidi="ar-SA"/>
    </w:rPr>
  </w:style>
  <w:style w:type="character" w:customStyle="1" w:styleId="99">
    <w:name w:val="font31"/>
    <w:autoRedefine/>
    <w:qFormat/>
    <w:uiPriority w:val="0"/>
    <w:rPr>
      <w:rFonts w:hint="eastAsia" w:ascii="宋体" w:hAnsi="宋体" w:eastAsia="宋体" w:cs="宋体"/>
      <w:b/>
      <w:bCs/>
      <w:color w:val="000000"/>
      <w:sz w:val="20"/>
      <w:szCs w:val="20"/>
      <w:u w:val="none"/>
    </w:rPr>
  </w:style>
  <w:style w:type="character" w:customStyle="1" w:styleId="100">
    <w:name w:val="_Style 99"/>
    <w:autoRedefine/>
    <w:qFormat/>
    <w:uiPriority w:val="32"/>
    <w:rPr>
      <w:b/>
      <w:bCs/>
      <w:smallCaps/>
      <w:color w:val="C0504D"/>
      <w:spacing w:val="5"/>
      <w:u w:val="single"/>
    </w:rPr>
  </w:style>
  <w:style w:type="character" w:customStyle="1" w:styleId="101">
    <w:name w:val="样式 Char"/>
    <w:link w:val="102"/>
    <w:autoRedefine/>
    <w:qFormat/>
    <w:uiPriority w:val="0"/>
    <w:rPr>
      <w:rFonts w:ascii="宋体" w:hAnsi="宋体" w:cs="宋体"/>
      <w:sz w:val="24"/>
      <w:szCs w:val="24"/>
      <w:lang w:val="en-US" w:eastAsia="zh-CN" w:bidi="ar-SA"/>
    </w:rPr>
  </w:style>
  <w:style w:type="paragraph" w:customStyle="1" w:styleId="102">
    <w:name w:val="样式"/>
    <w:link w:val="101"/>
    <w:autoRedefine/>
    <w:qFormat/>
    <w:uiPriority w:val="0"/>
    <w:pPr>
      <w:widowControl w:val="0"/>
      <w:autoSpaceDE w:val="0"/>
      <w:autoSpaceDN w:val="0"/>
      <w:adjustRightInd w:val="0"/>
    </w:pPr>
    <w:rPr>
      <w:rFonts w:ascii="宋体" w:hAnsi="宋体" w:eastAsia="宋体" w:cs="宋体"/>
      <w:sz w:val="24"/>
      <w:szCs w:val="24"/>
      <w:lang w:val="en-US" w:eastAsia="zh-CN" w:bidi="ar-SA"/>
    </w:rPr>
  </w:style>
  <w:style w:type="character" w:customStyle="1" w:styleId="103">
    <w:name w:val="font161"/>
    <w:autoRedefine/>
    <w:qFormat/>
    <w:uiPriority w:val="0"/>
    <w:rPr>
      <w:b/>
      <w:bCs/>
      <w:sz w:val="32"/>
      <w:szCs w:val="32"/>
    </w:rPr>
  </w:style>
  <w:style w:type="character" w:customStyle="1" w:styleId="104">
    <w:name w:val="mini-outputtext1"/>
    <w:autoRedefine/>
    <w:qFormat/>
    <w:uiPriority w:val="0"/>
  </w:style>
  <w:style w:type="character" w:customStyle="1" w:styleId="105">
    <w:name w:val="正文文本 (4) + 5.5 pt"/>
    <w:autoRedefine/>
    <w:qFormat/>
    <w:uiPriority w:val="0"/>
    <w:rPr>
      <w:b/>
      <w:bCs/>
      <w:spacing w:val="0"/>
      <w:sz w:val="11"/>
      <w:szCs w:val="11"/>
      <w:shd w:val="clear" w:color="auto" w:fill="FFFFFF"/>
      <w:lang w:eastAsia="en-US"/>
    </w:rPr>
  </w:style>
  <w:style w:type="character" w:customStyle="1" w:styleId="106">
    <w:name w:val="正文文本 (3) + 10 pt"/>
    <w:autoRedefine/>
    <w:qFormat/>
    <w:uiPriority w:val="0"/>
    <w:rPr>
      <w:rFonts w:ascii="Times New Roman" w:hAnsi="Times New Roman"/>
      <w:sz w:val="20"/>
      <w:szCs w:val="20"/>
      <w:shd w:val="clear" w:color="auto" w:fill="FFFFFF"/>
    </w:rPr>
  </w:style>
  <w:style w:type="character" w:customStyle="1" w:styleId="107">
    <w:name w:val="ca-3"/>
    <w:autoRedefine/>
    <w:qFormat/>
    <w:uiPriority w:val="0"/>
  </w:style>
  <w:style w:type="character" w:customStyle="1" w:styleId="108">
    <w:name w:val="标题 3 Char"/>
    <w:autoRedefine/>
    <w:qFormat/>
    <w:uiPriority w:val="0"/>
    <w:rPr>
      <w:rFonts w:ascii="黑体" w:hAnsi="宋体" w:eastAsia="黑体"/>
      <w:bCs/>
      <w:kern w:val="2"/>
      <w:sz w:val="28"/>
      <w:szCs w:val="28"/>
    </w:rPr>
  </w:style>
  <w:style w:type="character" w:customStyle="1" w:styleId="109">
    <w:name w:val="正文文本 (2) + 9 pt"/>
    <w:autoRedefine/>
    <w:qFormat/>
    <w:uiPriority w:val="0"/>
    <w:rPr>
      <w:rFonts w:ascii="Times New Roman" w:hAnsi="Times New Roman"/>
      <w:b/>
      <w:bCs/>
      <w:spacing w:val="20"/>
      <w:sz w:val="18"/>
      <w:szCs w:val="18"/>
      <w:shd w:val="clear" w:color="auto" w:fill="FFFFFF"/>
      <w:lang w:val="en-US" w:eastAsia="en-US"/>
    </w:rPr>
  </w:style>
  <w:style w:type="character" w:customStyle="1" w:styleId="110">
    <w:name w:val="正文文本 (3) + 9 pt"/>
    <w:autoRedefine/>
    <w:qFormat/>
    <w:uiPriority w:val="0"/>
    <w:rPr>
      <w:rFonts w:ascii="Times New Roman" w:hAnsi="Times New Roman"/>
      <w:b/>
      <w:bCs/>
      <w:spacing w:val="20"/>
      <w:sz w:val="18"/>
      <w:szCs w:val="18"/>
      <w:shd w:val="clear" w:color="auto" w:fill="FFFFFF"/>
      <w:lang w:val="en-US" w:eastAsia="en-US"/>
    </w:rPr>
  </w:style>
  <w:style w:type="character" w:customStyle="1" w:styleId="111">
    <w:name w:val="明显引用 Char"/>
    <w:link w:val="112"/>
    <w:autoRedefine/>
    <w:qFormat/>
    <w:uiPriority w:val="30"/>
    <w:rPr>
      <w:b/>
      <w:bCs/>
      <w:i/>
      <w:iCs/>
      <w:color w:val="4F81BD"/>
      <w:kern w:val="2"/>
      <w:sz w:val="21"/>
      <w:szCs w:val="24"/>
    </w:rPr>
  </w:style>
  <w:style w:type="paragraph" w:styleId="112">
    <w:name w:val="Intense Quote"/>
    <w:basedOn w:val="1"/>
    <w:next w:val="1"/>
    <w:link w:val="111"/>
    <w:autoRedefine/>
    <w:qFormat/>
    <w:uiPriority w:val="30"/>
    <w:pPr>
      <w:pBdr>
        <w:bottom w:val="single" w:color="4F81BD" w:sz="4" w:space="4"/>
      </w:pBdr>
      <w:spacing w:before="200" w:after="280"/>
      <w:ind w:left="936" w:right="936"/>
    </w:pPr>
    <w:rPr>
      <w:b/>
      <w:bCs/>
      <w:i/>
      <w:iCs/>
      <w:color w:val="4F81BD"/>
    </w:rPr>
  </w:style>
  <w:style w:type="character" w:customStyle="1" w:styleId="113">
    <w:name w:val="_Style 112"/>
    <w:autoRedefine/>
    <w:qFormat/>
    <w:uiPriority w:val="31"/>
    <w:rPr>
      <w:smallCaps/>
      <w:color w:val="C0504D"/>
      <w:u w:val="single"/>
    </w:rPr>
  </w:style>
  <w:style w:type="character" w:customStyle="1" w:styleId="114">
    <w:name w:val="_Style 113"/>
    <w:autoRedefine/>
    <w:qFormat/>
    <w:uiPriority w:val="21"/>
    <w:rPr>
      <w:b/>
      <w:bCs/>
      <w:i/>
      <w:iCs/>
      <w:color w:val="4F81BD"/>
    </w:rPr>
  </w:style>
  <w:style w:type="character" w:customStyle="1" w:styleId="115">
    <w:name w:val=" Char Char2"/>
    <w:autoRedefine/>
    <w:qFormat/>
    <w:uiPriority w:val="0"/>
    <w:rPr>
      <w:rFonts w:eastAsia="宋体"/>
      <w:kern w:val="2"/>
      <w:sz w:val="21"/>
      <w:szCs w:val="24"/>
      <w:lang w:val="en-US" w:eastAsia="zh-CN" w:bidi="ar-SA"/>
    </w:rPr>
  </w:style>
  <w:style w:type="character" w:customStyle="1" w:styleId="116">
    <w:name w:val=" Char Char7"/>
    <w:autoRedefine/>
    <w:qFormat/>
    <w:uiPriority w:val="0"/>
    <w:rPr>
      <w:rFonts w:ascii="Arial" w:hAnsi="Arial" w:eastAsia="黑体"/>
      <w:b/>
      <w:bCs/>
      <w:kern w:val="2"/>
      <w:sz w:val="32"/>
      <w:szCs w:val="32"/>
      <w:lang w:val="en-US" w:eastAsia="zh-CN" w:bidi="ar-SA"/>
    </w:rPr>
  </w:style>
  <w:style w:type="character" w:customStyle="1" w:styleId="117">
    <w:name w:val="页眉 Char"/>
    <w:autoRedefine/>
    <w:qFormat/>
    <w:uiPriority w:val="0"/>
    <w:rPr>
      <w:kern w:val="2"/>
      <w:sz w:val="18"/>
    </w:rPr>
  </w:style>
  <w:style w:type="character" w:customStyle="1" w:styleId="118">
    <w:name w:val="标题 4 Char"/>
    <w:autoRedefine/>
    <w:qFormat/>
    <w:uiPriority w:val="0"/>
    <w:rPr>
      <w:rFonts w:ascii="Arial" w:hAnsi="Arial" w:eastAsia="黑体"/>
      <w:b/>
      <w:bCs/>
      <w:kern w:val="2"/>
      <w:sz w:val="28"/>
      <w:szCs w:val="28"/>
    </w:rPr>
  </w:style>
  <w:style w:type="character" w:customStyle="1" w:styleId="119">
    <w:name w:val="font91"/>
    <w:autoRedefine/>
    <w:qFormat/>
    <w:uiPriority w:val="0"/>
    <w:rPr>
      <w:rFonts w:hint="eastAsia" w:ascii="宋体" w:hAnsi="宋体" w:eastAsia="宋体" w:cs="宋体"/>
      <w:b/>
      <w:bCs/>
      <w:color w:val="000000"/>
      <w:sz w:val="24"/>
      <w:szCs w:val="24"/>
      <w:u w:val="none"/>
    </w:rPr>
  </w:style>
  <w:style w:type="character" w:customStyle="1" w:styleId="120">
    <w:name w:val="引用 Char"/>
    <w:link w:val="121"/>
    <w:autoRedefine/>
    <w:qFormat/>
    <w:uiPriority w:val="29"/>
    <w:rPr>
      <w:i/>
      <w:iCs/>
      <w:color w:val="000000"/>
      <w:kern w:val="2"/>
      <w:sz w:val="21"/>
      <w:szCs w:val="24"/>
    </w:rPr>
  </w:style>
  <w:style w:type="paragraph" w:styleId="121">
    <w:name w:val="Quote"/>
    <w:basedOn w:val="1"/>
    <w:next w:val="1"/>
    <w:link w:val="120"/>
    <w:autoRedefine/>
    <w:qFormat/>
    <w:uiPriority w:val="29"/>
    <w:rPr>
      <w:i/>
      <w:iCs/>
      <w:color w:val="000000"/>
    </w:rPr>
  </w:style>
  <w:style w:type="character" w:customStyle="1" w:styleId="122">
    <w:name w:val="_Style 121"/>
    <w:autoRedefine/>
    <w:qFormat/>
    <w:uiPriority w:val="33"/>
    <w:rPr>
      <w:b/>
      <w:bCs/>
      <w:smallCaps/>
      <w:spacing w:val="5"/>
    </w:rPr>
  </w:style>
  <w:style w:type="character" w:customStyle="1" w:styleId="123">
    <w:name w:val="批注文字 Char"/>
    <w:autoRedefine/>
    <w:qFormat/>
    <w:uiPriority w:val="0"/>
    <w:rPr>
      <w:rFonts w:eastAsia="宋体"/>
      <w:kern w:val="2"/>
      <w:sz w:val="21"/>
      <w:szCs w:val="24"/>
      <w:lang w:val="en-US" w:eastAsia="zh-CN" w:bidi="ar-SA"/>
    </w:rPr>
  </w:style>
  <w:style w:type="character" w:customStyle="1" w:styleId="124">
    <w:name w:val=" Char Char"/>
    <w:autoRedefine/>
    <w:qFormat/>
    <w:uiPriority w:val="0"/>
    <w:rPr>
      <w:rFonts w:ascii="Arial" w:hAnsi="Arial" w:eastAsia="黑体"/>
      <w:b/>
      <w:bCs/>
      <w:kern w:val="2"/>
      <w:sz w:val="32"/>
      <w:szCs w:val="32"/>
      <w:lang w:val="en-US" w:eastAsia="zh-CN" w:bidi="ar-SA"/>
    </w:rPr>
  </w:style>
  <w:style w:type="character" w:customStyle="1" w:styleId="125">
    <w:name w:val="_Style 124"/>
    <w:autoRedefine/>
    <w:qFormat/>
    <w:uiPriority w:val="19"/>
    <w:rPr>
      <w:i/>
      <w:iCs/>
      <w:color w:val="808080"/>
    </w:rPr>
  </w:style>
  <w:style w:type="character" w:customStyle="1" w:styleId="126">
    <w:name w:val="正文文本 (3)_"/>
    <w:link w:val="127"/>
    <w:autoRedefine/>
    <w:qFormat/>
    <w:locked/>
    <w:uiPriority w:val="0"/>
    <w:rPr>
      <w:sz w:val="11"/>
      <w:szCs w:val="11"/>
      <w:shd w:val="clear" w:color="auto" w:fill="FFFFFF"/>
    </w:rPr>
  </w:style>
  <w:style w:type="paragraph" w:customStyle="1" w:styleId="127">
    <w:name w:val="正文文本 (3)"/>
    <w:basedOn w:val="1"/>
    <w:link w:val="126"/>
    <w:autoRedefine/>
    <w:qFormat/>
    <w:uiPriority w:val="0"/>
    <w:pPr>
      <w:shd w:val="clear" w:color="auto" w:fill="FFFFFF"/>
      <w:spacing w:line="240" w:lineRule="atLeast"/>
    </w:pPr>
    <w:rPr>
      <w:kern w:val="0"/>
      <w:sz w:val="11"/>
      <w:szCs w:val="11"/>
    </w:rPr>
  </w:style>
  <w:style w:type="character" w:customStyle="1" w:styleId="128">
    <w:name w:val="正文文本 (2) + 9 pt1"/>
    <w:autoRedefine/>
    <w:qFormat/>
    <w:uiPriority w:val="0"/>
    <w:rPr>
      <w:rFonts w:ascii="Times New Roman" w:hAnsi="Times New Roman" w:cs="Times New Roman"/>
      <w:b/>
      <w:bCs/>
      <w:spacing w:val="-20"/>
      <w:sz w:val="18"/>
      <w:szCs w:val="18"/>
      <w:u w:val="none"/>
      <w:shd w:val="clear" w:color="auto" w:fill="FFFFFF"/>
      <w:lang w:val="en-US" w:eastAsia="en-US"/>
    </w:rPr>
  </w:style>
  <w:style w:type="character" w:customStyle="1" w:styleId="129">
    <w:name w:val="无间隔 Char"/>
    <w:link w:val="130"/>
    <w:autoRedefine/>
    <w:qFormat/>
    <w:uiPriority w:val="1"/>
    <w:rPr>
      <w:kern w:val="2"/>
      <w:sz w:val="21"/>
      <w:szCs w:val="24"/>
      <w:lang w:val="en-US" w:eastAsia="zh-CN" w:bidi="ar-SA"/>
    </w:rPr>
  </w:style>
  <w:style w:type="paragraph" w:styleId="130">
    <w:name w:val="No Spacing"/>
    <w:link w:val="129"/>
    <w:autoRedefine/>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131">
    <w:name w:val="正文文本 (4)_"/>
    <w:link w:val="132"/>
    <w:autoRedefine/>
    <w:qFormat/>
    <w:locked/>
    <w:uiPriority w:val="0"/>
    <w:rPr>
      <w:b/>
      <w:bCs/>
      <w:spacing w:val="20"/>
      <w:sz w:val="18"/>
      <w:szCs w:val="18"/>
      <w:shd w:val="clear" w:color="auto" w:fill="FFFFFF"/>
      <w:lang w:eastAsia="en-US"/>
    </w:rPr>
  </w:style>
  <w:style w:type="paragraph" w:customStyle="1" w:styleId="132">
    <w:name w:val="正文文本 (4)"/>
    <w:basedOn w:val="1"/>
    <w:link w:val="131"/>
    <w:autoRedefine/>
    <w:qFormat/>
    <w:uiPriority w:val="0"/>
    <w:pPr>
      <w:shd w:val="clear" w:color="auto" w:fill="FFFFFF"/>
      <w:spacing w:line="240" w:lineRule="atLeast"/>
      <w:jc w:val="center"/>
    </w:pPr>
    <w:rPr>
      <w:b/>
      <w:bCs/>
      <w:spacing w:val="20"/>
      <w:kern w:val="0"/>
      <w:sz w:val="18"/>
      <w:szCs w:val="18"/>
      <w:lang w:eastAsia="en-US"/>
    </w:rPr>
  </w:style>
  <w:style w:type="character" w:customStyle="1" w:styleId="133">
    <w:name w:val=" Char Char14"/>
    <w:autoRedefine/>
    <w:qFormat/>
    <w:uiPriority w:val="0"/>
    <w:rPr>
      <w:rFonts w:ascii="宋体" w:hAnsi="Courier New" w:eastAsia="楷体_GB2312"/>
      <w:kern w:val="2"/>
      <w:sz w:val="28"/>
      <w:lang w:val="en-US" w:eastAsia="zh-CN" w:bidi="ar-SA"/>
    </w:rPr>
  </w:style>
  <w:style w:type="character" w:customStyle="1" w:styleId="134">
    <w:name w:val="font71"/>
    <w:autoRedefine/>
    <w:qFormat/>
    <w:uiPriority w:val="0"/>
    <w:rPr>
      <w:rFonts w:hint="eastAsia" w:ascii="宋体" w:hAnsi="宋体" w:eastAsia="宋体" w:cs="宋体"/>
      <w:color w:val="000000"/>
      <w:sz w:val="24"/>
      <w:szCs w:val="24"/>
      <w:u w:val="none"/>
    </w:rPr>
  </w:style>
  <w:style w:type="character" w:customStyle="1" w:styleId="135">
    <w:name w:val="font51"/>
    <w:autoRedefine/>
    <w:qFormat/>
    <w:uiPriority w:val="0"/>
    <w:rPr>
      <w:rFonts w:hint="eastAsia" w:ascii="宋体" w:hAnsi="宋体" w:eastAsia="宋体" w:cs="宋体"/>
      <w:b/>
      <w:bCs/>
      <w:color w:val="000000"/>
      <w:sz w:val="20"/>
      <w:szCs w:val="20"/>
      <w:u w:val="none"/>
    </w:rPr>
  </w:style>
  <w:style w:type="paragraph" w:customStyle="1" w:styleId="136">
    <w:name w:val="样式1"/>
    <w:basedOn w:val="4"/>
    <w:autoRedefine/>
    <w:qFormat/>
    <w:uiPriority w:val="0"/>
    <w:pPr>
      <w:spacing w:line="415" w:lineRule="auto"/>
    </w:pPr>
    <w:rPr>
      <w:rFonts w:eastAsia="Arial"/>
    </w:rPr>
  </w:style>
  <w:style w:type="paragraph" w:customStyle="1" w:styleId="137">
    <w:name w:val=" Char Char2 Char Char"/>
    <w:basedOn w:val="15"/>
    <w:autoRedefine/>
    <w:unhideWhenUsed/>
    <w:qFormat/>
    <w:uiPriority w:val="99"/>
    <w:rPr>
      <w:rFonts w:hint="eastAsia" w:ascii="Tahoma" w:hAnsi="Tahoma"/>
      <w:sz w:val="24"/>
    </w:rPr>
  </w:style>
  <w:style w:type="paragraph" w:customStyle="1" w:styleId="138">
    <w:name w:val="_Style 137"/>
    <w:basedOn w:val="2"/>
    <w:next w:val="1"/>
    <w:autoRedefine/>
    <w:qFormat/>
    <w:uiPriority w:val="39"/>
    <w:pPr>
      <w:spacing w:line="578" w:lineRule="auto"/>
      <w:outlineLvl w:val="9"/>
    </w:pPr>
  </w:style>
  <w:style w:type="paragraph" w:customStyle="1" w:styleId="139">
    <w:name w:val="正文段"/>
    <w:basedOn w:val="1"/>
    <w:autoRedefine/>
    <w:qFormat/>
    <w:uiPriority w:val="0"/>
    <w:pPr>
      <w:widowControl/>
      <w:snapToGrid w:val="0"/>
      <w:spacing w:afterLines="50"/>
      <w:ind w:firstLine="200" w:firstLineChars="200"/>
    </w:pPr>
    <w:rPr>
      <w:kern w:val="0"/>
      <w:sz w:val="24"/>
      <w:szCs w:val="20"/>
    </w:rPr>
  </w:style>
  <w:style w:type="paragraph" w:customStyle="1" w:styleId="140">
    <w:name w:val="列出段落1"/>
    <w:basedOn w:val="1"/>
    <w:autoRedefine/>
    <w:qFormat/>
    <w:uiPriority w:val="0"/>
    <w:pPr>
      <w:ind w:firstLine="420" w:firstLineChars="200"/>
    </w:pPr>
    <w:rPr>
      <w:rFonts w:ascii="Calibri" w:hAnsi="Calibri"/>
      <w:szCs w:val="22"/>
    </w:rPr>
  </w:style>
  <w:style w:type="paragraph" w:styleId="141">
    <w:name w:val="List Paragraph"/>
    <w:basedOn w:val="1"/>
    <w:autoRedefine/>
    <w:qFormat/>
    <w:uiPriority w:val="34"/>
    <w:pPr>
      <w:ind w:firstLine="420" w:firstLineChars="200"/>
    </w:pPr>
  </w:style>
  <w:style w:type="paragraph" w:customStyle="1" w:styleId="142">
    <w:name w:val="样式4"/>
    <w:basedOn w:val="4"/>
    <w:uiPriority w:val="0"/>
    <w:pPr>
      <w:spacing w:line="415" w:lineRule="auto"/>
    </w:pPr>
    <w:rPr>
      <w:rFonts w:eastAsia="Arial"/>
    </w:rPr>
  </w:style>
  <w:style w:type="paragraph" w:customStyle="1" w:styleId="143">
    <w:name w:val="默认段落字体 Para Char Char Char Char Char Char Char Char Char1 Char Char Char Char Char Char Char"/>
    <w:basedOn w:val="15"/>
    <w:autoRedefine/>
    <w:qFormat/>
    <w:uiPriority w:val="0"/>
    <w:rPr>
      <w:rFonts w:ascii="Tahoma" w:hAnsi="Tahoma"/>
      <w:sz w:val="24"/>
      <w:lang w:val="en-US" w:eastAsia="zh-CN"/>
    </w:rPr>
  </w:style>
  <w:style w:type="paragraph" w:customStyle="1" w:styleId="144">
    <w:name w:val="Personal Name"/>
    <w:basedOn w:val="45"/>
    <w:autoRedefine/>
    <w:qFormat/>
    <w:uiPriority w:val="0"/>
    <w:rPr>
      <w:rFonts w:ascii="Impact" w:hAnsi="Impact" w:eastAsia="宋体" w:cs="Times New Roman"/>
      <w:b w:val="0"/>
      <w:caps/>
      <w:color w:val="000000"/>
      <w:sz w:val="28"/>
      <w:szCs w:val="28"/>
    </w:rPr>
  </w:style>
  <w:style w:type="paragraph" w:customStyle="1" w:styleId="145">
    <w:name w:val="p0"/>
    <w:basedOn w:val="1"/>
    <w:autoRedefine/>
    <w:qFormat/>
    <w:uiPriority w:val="0"/>
    <w:pPr>
      <w:widowControl/>
      <w:adjustRightInd w:val="0"/>
      <w:spacing w:line="360" w:lineRule="atLeast"/>
      <w:textAlignment w:val="baseline"/>
    </w:pPr>
    <w:rPr>
      <w:rFonts w:eastAsia="Times New Roman"/>
      <w:kern w:val="0"/>
      <w:szCs w:val="21"/>
    </w:rPr>
  </w:style>
  <w:style w:type="paragraph" w:customStyle="1" w:styleId="146">
    <w:name w:val="pa-5"/>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47">
    <w:name w:val="6'"/>
    <w:basedOn w:val="1"/>
    <w:autoRedefine/>
    <w:qFormat/>
    <w:uiPriority w:val="0"/>
    <w:pPr>
      <w:autoSpaceDE w:val="0"/>
      <w:autoSpaceDN w:val="0"/>
      <w:adjustRightInd w:val="0"/>
      <w:snapToGrid w:val="0"/>
      <w:spacing w:line="320" w:lineRule="exact"/>
      <w:jc w:val="center"/>
      <w:textAlignment w:val="baseline"/>
    </w:pPr>
    <w:rPr>
      <w:spacing w:val="20"/>
      <w:kern w:val="28"/>
    </w:rPr>
  </w:style>
  <w:style w:type="paragraph" w:customStyle="1" w:styleId="148">
    <w:name w:val="表格"/>
    <w:basedOn w:val="1"/>
    <w:autoRedefine/>
    <w:qFormat/>
    <w:uiPriority w:val="0"/>
    <w:pPr>
      <w:jc w:val="center"/>
      <w:textAlignment w:val="center"/>
    </w:pPr>
    <w:rPr>
      <w:rFonts w:ascii="华文细黑" w:hAnsi="华文细黑"/>
      <w:kern w:val="0"/>
    </w:rPr>
  </w:style>
  <w:style w:type="paragraph" w:customStyle="1" w:styleId="149">
    <w:name w:val="正文2"/>
    <w:basedOn w:val="1"/>
    <w:autoRedefine/>
    <w:qFormat/>
    <w:uiPriority w:val="0"/>
    <w:pPr>
      <w:widowControl/>
      <w:jc w:val="left"/>
    </w:pPr>
    <w:rPr>
      <w:kern w:val="0"/>
      <w:sz w:val="24"/>
      <w:szCs w:val="20"/>
    </w:rPr>
  </w:style>
  <w:style w:type="paragraph" w:customStyle="1" w:styleId="150">
    <w:name w:val="样式 标题 3 + (中文) 黑体 小四 非加粗 段前: 7.8 磅 段后: 0 磅 行距: 固定值 20 磅"/>
    <w:basedOn w:val="4"/>
    <w:autoRedefine/>
    <w:qFormat/>
    <w:uiPriority w:val="0"/>
    <w:pPr>
      <w:spacing w:before="0" w:after="0" w:line="400" w:lineRule="exact"/>
    </w:pPr>
    <w:rPr>
      <w:rFonts w:eastAsia="黑体" w:cs="宋体"/>
      <w:b/>
      <w:bCs/>
      <w:sz w:val="24"/>
      <w:szCs w:val="20"/>
    </w:rPr>
  </w:style>
  <w:style w:type="paragraph" w:customStyle="1" w:styleId="151">
    <w:name w:val=" Char Char5"/>
    <w:basedOn w:val="15"/>
    <w:autoRedefine/>
    <w:qFormat/>
    <w:uiPriority w:val="0"/>
    <w:pPr>
      <w:adjustRightInd w:val="0"/>
      <w:spacing w:line="436" w:lineRule="exact"/>
      <w:ind w:left="357"/>
      <w:jc w:val="left"/>
      <w:outlineLvl w:val="3"/>
    </w:pPr>
    <w:rPr>
      <w:color w:val="000000"/>
      <w:kern w:val="0"/>
      <w:szCs w:val="20"/>
      <w:u w:val="none" w:color="000000"/>
      <w:lang w:val="en-US" w:eastAsia="zh-CN"/>
    </w:rPr>
  </w:style>
  <w:style w:type="paragraph" w:customStyle="1" w:styleId="152">
    <w:name w:val=" Char"/>
    <w:basedOn w:val="1"/>
    <w:uiPriority w:val="0"/>
    <w:pPr>
      <w:tabs>
        <w:tab w:val="left" w:pos="360"/>
      </w:tabs>
    </w:pPr>
    <w:rPr>
      <w:sz w:val="24"/>
      <w:szCs w:val="24"/>
    </w:rPr>
  </w:style>
  <w:style w:type="paragraph" w:customStyle="1" w:styleId="153">
    <w:name w:val="样式 标题 2 + 黑色 行距: 1.5 倍行距"/>
    <w:basedOn w:val="3"/>
    <w:uiPriority w:val="0"/>
    <w:pPr>
      <w:spacing w:line="360" w:lineRule="auto"/>
    </w:pPr>
    <w:rPr>
      <w:rFonts w:eastAsia="宋体" w:cs="宋体"/>
      <w:color w:val="000000"/>
    </w:rPr>
  </w:style>
  <w:style w:type="paragraph" w:customStyle="1" w:styleId="154">
    <w:name w:val="_Style 153"/>
    <w:semiHidden/>
    <w:uiPriority w:val="99"/>
    <w:rPr>
      <w:rFonts w:ascii="Times New Roman" w:hAnsi="Times New Roman" w:eastAsia="宋体" w:cs="Times New Roman"/>
      <w:kern w:val="2"/>
      <w:sz w:val="21"/>
      <w:szCs w:val="24"/>
      <w:lang w:val="en-US" w:eastAsia="zh-CN" w:bidi="ar-SA"/>
    </w:rPr>
  </w:style>
  <w:style w:type="paragraph" w:customStyle="1" w:styleId="155">
    <w:name w:val="正文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56">
    <w:name w:val="样式2"/>
    <w:basedOn w:val="4"/>
    <w:uiPriority w:val="0"/>
    <w:pPr>
      <w:spacing w:line="415" w:lineRule="auto"/>
    </w:pPr>
  </w:style>
  <w:style w:type="paragraph" w:customStyle="1" w:styleId="157">
    <w:name w:val="Plain Text"/>
    <w:basedOn w:val="1"/>
    <w:uiPriority w:val="0"/>
    <w:rPr>
      <w:rFonts w:ascii="宋体" w:hAnsi="Courier New"/>
      <w:sz w:val="28"/>
    </w:rPr>
  </w:style>
  <w:style w:type="paragraph" w:customStyle="1" w:styleId="158">
    <w:name w:val="样式 标题 2 + Times New Roman 四号 非加粗 段前: 5 磅 段后: 0 磅 行距: 固定值 20..."/>
    <w:basedOn w:val="3"/>
    <w:uiPriority w:val="0"/>
    <w:pPr>
      <w:spacing w:before="100" w:after="0" w:line="400" w:lineRule="exact"/>
    </w:pPr>
    <w:rPr>
      <w:rFonts w:ascii="Times New Roman" w:hAnsi="Times New Roman" w:eastAsia="黑体" w:cs="宋体"/>
      <w:b w:val="0"/>
      <w:bCs w:val="0"/>
      <w:sz w:val="28"/>
      <w:szCs w:val="20"/>
    </w:rPr>
  </w:style>
  <w:style w:type="paragraph" w:customStyle="1" w:styleId="159">
    <w:name w:val="样式 标题 1 + 黑体 三号 非加粗 居中 段前: 6 磅 段后: 6 磅 行距: 固定值 20 磅"/>
    <w:basedOn w:val="2"/>
    <w:autoRedefine/>
    <w:qFormat/>
    <w:uiPriority w:val="0"/>
    <w:pPr>
      <w:spacing w:before="120" w:after="120" w:line="400" w:lineRule="exact"/>
      <w:jc w:val="center"/>
    </w:pPr>
    <w:rPr>
      <w:rFonts w:ascii="黑体" w:hAnsi="黑体" w:eastAsia="黑体" w:cs="宋体"/>
      <w:b w:val="0"/>
      <w:bCs w:val="0"/>
      <w:sz w:val="32"/>
      <w:szCs w:val="20"/>
    </w:rPr>
  </w:style>
  <w:style w:type="paragraph" w:customStyle="1" w:styleId="160">
    <w:name w:val="样式3"/>
    <w:basedOn w:val="4"/>
    <w:uiPriority w:val="0"/>
    <w:pPr>
      <w:spacing w:line="415" w:lineRule="auto"/>
    </w:pPr>
    <w:rPr>
      <w:rFonts w:eastAsia="Arial"/>
    </w:rPr>
  </w:style>
  <w:style w:type="paragraph" w:customStyle="1" w:styleId="161">
    <w:name w:val="纯文本1"/>
    <w:basedOn w:val="1"/>
    <w:autoRedefine/>
    <w:qFormat/>
    <w:uiPriority w:val="0"/>
    <w:pPr>
      <w:adjustRightInd w:val="0"/>
      <w:textAlignment w:val="baseline"/>
    </w:pPr>
    <w:rPr>
      <w:rFonts w:ascii="宋体" w:hAnsi="Courier New" w:eastAsia="楷体_GB2312"/>
      <w:sz w:val="26"/>
    </w:rPr>
  </w:style>
  <w:style w:type="paragraph" w:customStyle="1" w:styleId="162">
    <w:name w:val="正文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63">
    <w:name w:val="Char"/>
    <w:basedOn w:val="1"/>
    <w:qFormat/>
    <w:uiPriority w:val="0"/>
  </w:style>
  <w:style w:type="paragraph" w:customStyle="1" w:styleId="164">
    <w:name w:val="表内文字"/>
    <w:basedOn w:val="1"/>
    <w:qFormat/>
    <w:uiPriority w:val="0"/>
    <w:pPr>
      <w:tabs>
        <w:tab w:val="left" w:pos="1418"/>
      </w:tabs>
      <w:spacing w:line="360" w:lineRule="auto"/>
      <w:jc w:val="center"/>
    </w:pPr>
    <w:rPr>
      <w:rFonts w:ascii="仿宋_GB2312" w:eastAsia="仿宋_GB2312"/>
      <w:spacing w:val="-20"/>
      <w:kern w:val="0"/>
      <w:sz w:val="24"/>
    </w:rPr>
  </w:style>
  <w:style w:type="paragraph" w:customStyle="1" w:styleId="165">
    <w:name w:val="pa-2"/>
    <w:basedOn w:val="1"/>
    <w:uiPriority w:val="0"/>
    <w:pPr>
      <w:widowControl/>
      <w:spacing w:before="100" w:beforeAutospacing="1" w:after="100" w:afterAutospacing="1"/>
      <w:jc w:val="left"/>
    </w:pPr>
    <w:rPr>
      <w:rFonts w:ascii="宋体" w:hAnsi="宋体" w:cs="宋体"/>
      <w:kern w:val="0"/>
      <w:sz w:val="24"/>
    </w:rPr>
  </w:style>
  <w:style w:type="paragraph" w:customStyle="1" w:styleId="166">
    <w:name w:val=" Char Char Char Char"/>
    <w:basedOn w:val="1"/>
    <w:qFormat/>
    <w:uiPriority w:val="0"/>
    <w:rPr>
      <w:rFonts w:ascii="Tahoma" w:hAnsi="Tahoma" w:cs="仿宋_GB2312"/>
      <w:sz w:val="24"/>
      <w:szCs w:val="28"/>
    </w:rPr>
  </w:style>
  <w:style w:type="paragraph" w:customStyle="1" w:styleId="167">
    <w:name w:val="表格文字"/>
    <w:basedOn w:val="1"/>
    <w:qFormat/>
    <w:uiPriority w:val="0"/>
    <w:pPr>
      <w:adjustRightInd w:val="0"/>
      <w:spacing w:line="420" w:lineRule="atLeast"/>
      <w:jc w:val="left"/>
      <w:textAlignment w:val="baseline"/>
    </w:pPr>
    <w:rPr>
      <w:kern w:val="0"/>
    </w:rPr>
  </w:style>
  <w:style w:type="paragraph" w:customStyle="1" w:styleId="168">
    <w:name w:val="默认段落字体 Para Char Char Char Char Char Char Char Char Char1 Char Char Char Char"/>
    <w:basedOn w:val="1"/>
    <w:qFormat/>
    <w:uiPriority w:val="0"/>
    <w:rPr>
      <w:rFonts w:ascii="Tahoma" w:hAnsi="Tahoma"/>
      <w:sz w:val="24"/>
      <w:szCs w:val="20"/>
    </w:rPr>
  </w:style>
  <w:style w:type="paragraph" w:customStyle="1" w:styleId="169">
    <w:name w:val="Body Text Indent"/>
    <w:basedOn w:val="1"/>
    <w:qFormat/>
    <w:uiPriority w:val="0"/>
    <w:pPr>
      <w:spacing w:line="360" w:lineRule="auto"/>
      <w:ind w:firstLine="420"/>
    </w:pPr>
    <w:rPr>
      <w:rFonts w:ascii="宋体"/>
      <w:sz w:val="24"/>
    </w:rPr>
  </w:style>
  <w:style w:type="paragraph" w:customStyle="1" w:styleId="170">
    <w:name w:val="正文_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71">
    <w:name w:val="标题 2 + 黑色 行距: 1.5 倍行距"/>
    <w:basedOn w:val="3"/>
    <w:qFormat/>
    <w:uiPriority w:val="0"/>
    <w:pPr>
      <w:spacing w:line="360" w:lineRule="auto"/>
    </w:pPr>
    <w:rPr>
      <w:rFonts w:eastAsia="宋体" w:cs="宋体"/>
      <w:color w:val="000000"/>
      <w:szCs w:val="20"/>
    </w:rPr>
  </w:style>
  <w:style w:type="paragraph" w:customStyle="1" w:styleId="172">
    <w:name w:val="1"/>
    <w:basedOn w:val="1"/>
    <w:next w:val="1"/>
    <w:qFormat/>
    <w:uiPriority w:val="0"/>
    <w:rPr>
      <w:szCs w:val="24"/>
    </w:rPr>
  </w:style>
  <w:style w:type="paragraph" w:customStyle="1" w:styleId="173">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174">
    <w:name w:val="f1"/>
    <w:basedOn w:val="1"/>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175">
    <w:name w:val="普通(Web)4"/>
    <w:basedOn w:val="1"/>
    <w:qFormat/>
    <w:uiPriority w:val="0"/>
    <w:pPr>
      <w:widowControl/>
      <w:spacing w:before="100" w:beforeAutospacing="1" w:after="100" w:afterAutospacing="1" w:line="375" w:lineRule="atLeast"/>
      <w:jc w:val="left"/>
    </w:pPr>
    <w:rPr>
      <w:rFonts w:ascii="ˎ̥" w:hAnsi="ˎ̥"/>
      <w:kern w:val="0"/>
      <w:sz w:val="24"/>
    </w:rPr>
  </w:style>
  <w:style w:type="paragraph" w:customStyle="1" w:styleId="176">
    <w:name w:val="注"/>
    <w:basedOn w:val="1"/>
    <w:uiPriority w:val="0"/>
    <w:pPr>
      <w:adjustRightInd w:val="0"/>
      <w:spacing w:line="360" w:lineRule="atLeast"/>
      <w:ind w:left="840" w:hanging="420"/>
      <w:textAlignment w:val="baseline"/>
    </w:pPr>
    <w:rPr>
      <w:kern w:val="0"/>
      <w:szCs w:val="20"/>
    </w:rPr>
  </w:style>
  <w:style w:type="paragraph" w:customStyle="1" w:styleId="177">
    <w:name w:val="首行缩进"/>
    <w:basedOn w:val="1"/>
    <w:qFormat/>
    <w:uiPriority w:val="0"/>
    <w:pPr>
      <w:spacing w:line="360" w:lineRule="auto"/>
      <w:ind w:firstLine="480" w:firstLineChars="200"/>
      <w:jc w:val="left"/>
    </w:pPr>
    <w:rPr>
      <w:rFonts w:ascii="宋体" w:hAnsi="宋体"/>
      <w:sz w:val="24"/>
    </w:rPr>
  </w:style>
  <w:style w:type="paragraph" w:customStyle="1" w:styleId="178">
    <w:name w:val="Table Paragraph"/>
    <w:basedOn w:val="1"/>
    <w:qFormat/>
    <w:uiPriority w:val="1"/>
    <w:rPr>
      <w:rFonts w:ascii="宋体" w:hAnsi="宋体" w:eastAsia="宋体" w:cs="宋体"/>
      <w:lang w:val="zh-CN" w:eastAsia="zh-CN" w:bidi="zh-CN"/>
    </w:rPr>
  </w:style>
  <w:style w:type="paragraph" w:customStyle="1" w:styleId="179">
    <w:name w:val="Header or footer|2"/>
    <w:basedOn w:val="1"/>
    <w:qFormat/>
    <w:uiPriority w:val="0"/>
    <w:pPr>
      <w:jc w:val="left"/>
    </w:pPr>
    <w:rPr>
      <w:kern w:val="0"/>
      <w:sz w:val="20"/>
      <w:szCs w:val="20"/>
    </w:rPr>
  </w:style>
  <w:style w:type="paragraph" w:customStyle="1" w:styleId="180">
    <w:name w:val="Table Text"/>
    <w:basedOn w:val="1"/>
    <w:semiHidden/>
    <w:qFormat/>
    <w:uiPriority w:val="0"/>
    <w:rPr>
      <w:rFonts w:ascii="宋体" w:hAnsi="宋体" w:eastAsia="宋体" w:cs="宋体"/>
      <w:sz w:val="20"/>
      <w:szCs w:val="20"/>
      <w:lang w:val="en-US" w:eastAsia="en-US" w:bidi="ar-SA"/>
    </w:rPr>
  </w:style>
  <w:style w:type="table" w:customStyle="1" w:styleId="181">
    <w:name w:val="Table Normal"/>
    <w:unhideWhenUsed/>
    <w:qFormat/>
    <w:uiPriority w:val="0"/>
    <w:tblPr>
      <w:tblCellMar>
        <w:top w:w="0" w:type="dxa"/>
        <w:left w:w="0" w:type="dxa"/>
        <w:bottom w:w="0" w:type="dxa"/>
        <w:right w:w="0" w:type="dxa"/>
      </w:tblCellMar>
    </w:tblPr>
  </w:style>
  <w:style w:type="paragraph" w:customStyle="1" w:styleId="182">
    <w:name w:val="dash6b63_5e38"/>
    <w:basedOn w:val="1"/>
    <w:qFormat/>
    <w:uiPriority w:val="0"/>
    <w:pPr>
      <w:widowControl/>
    </w:pPr>
    <w:rPr>
      <w:kern w:val="0"/>
      <w:sz w:val="20"/>
      <w:szCs w:val="20"/>
    </w:rPr>
  </w:style>
  <w:style w:type="character" w:customStyle="1" w:styleId="183">
    <w:name w:val="dash6b63_5e38__char1"/>
    <w:qFormat/>
    <w:uiPriority w:val="0"/>
    <w:rPr>
      <w:rFonts w:hint="default" w:ascii="Times New Roman" w:hAnsi="Times New Roman" w:cs="Times New Roman"/>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39</Pages>
  <Words>21950</Words>
  <Characters>24426</Characters>
  <Lines>201</Lines>
  <Paragraphs>56</Paragraphs>
  <TotalTime>162</TotalTime>
  <ScaleCrop>false</ScaleCrop>
  <LinksUpToDate>false</LinksUpToDate>
  <CharactersWithSpaces>26096</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2022-01-24T01:10:00Z</dcterms:created>
  <dc:creator>kikmfga</dc:creator>
  <cp:lastModifiedBy>陈彬cium</cp:lastModifiedBy>
  <cp:lastPrinted>2024-06-04T01:51:23Z</cp:lastPrinted>
  <dcterms:modified xsi:type="dcterms:W3CDTF">2024-06-04T01:55:11Z</dcterms:modified>
  <dc:title>江苏省房屋建筑和市政基础设施工程</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6762472E24DA4C50B14526A826D1AE64_13</vt:lpwstr>
  </property>
</Properties>
</file>