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Theme="minorEastAsia" w:hAnsiTheme="minorEastAsia" w:eastAsiaTheme="minorEastAsia" w:cstheme="minorEastAsia"/>
          <w:b/>
          <w:bCs/>
          <w:color w:val="000000" w:themeColor="text1"/>
          <w:sz w:val="44"/>
          <w:szCs w:val="44"/>
        </w:rPr>
      </w:pPr>
      <w:bookmarkStart w:id="0" w:name="_Toc398107835"/>
      <w:r>
        <w:rPr>
          <w:rFonts w:hint="eastAsia" w:asciiTheme="minorEastAsia" w:hAnsiTheme="minorEastAsia" w:eastAsiaTheme="minorEastAsia" w:cstheme="minorEastAsia"/>
          <w:b/>
          <w:bCs/>
          <w:color w:val="000000" w:themeColor="text1"/>
          <w:sz w:val="44"/>
          <w:szCs w:val="44"/>
        </w:rPr>
        <w:t>大丰区城镇污水处理设施提标改造工程二期</w:t>
      </w:r>
    </w:p>
    <w:p>
      <w:pPr>
        <w:spacing w:line="900" w:lineRule="exact"/>
        <w:jc w:val="center"/>
        <w:rPr>
          <w:rFonts w:asciiTheme="minorEastAsia" w:hAnsiTheme="minorEastAsia" w:eastAsiaTheme="minorEastAsia" w:cstheme="minorEastAsia"/>
          <w:b/>
          <w:color w:val="000000" w:themeColor="text1"/>
          <w:sz w:val="44"/>
          <w:szCs w:val="44"/>
        </w:rPr>
      </w:pPr>
      <w:r>
        <w:rPr>
          <w:rFonts w:hint="eastAsia" w:asciiTheme="minorEastAsia" w:hAnsiTheme="minorEastAsia" w:eastAsiaTheme="minorEastAsia" w:cstheme="minorEastAsia"/>
          <w:b/>
          <w:bCs/>
          <w:color w:val="000000" w:themeColor="text1"/>
          <w:sz w:val="44"/>
          <w:szCs w:val="44"/>
          <w:lang w:eastAsia="zh-CN"/>
        </w:rPr>
        <w:t>1标段</w:t>
      </w:r>
      <w:r>
        <w:rPr>
          <w:rFonts w:hint="eastAsia" w:asciiTheme="minorEastAsia" w:hAnsiTheme="minorEastAsia" w:eastAsiaTheme="minorEastAsia" w:cstheme="minorEastAsia"/>
          <w:b/>
          <w:bCs/>
          <w:color w:val="000000" w:themeColor="text1"/>
          <w:sz w:val="44"/>
          <w:szCs w:val="44"/>
        </w:rPr>
        <w:t>施工阶段全过程造价咨询服务</w:t>
      </w:r>
    </w:p>
    <w:p>
      <w:pPr>
        <w:jc w:val="center"/>
        <w:rPr>
          <w:rFonts w:asciiTheme="minorEastAsia" w:hAnsiTheme="minorEastAsia" w:eastAsiaTheme="minorEastAsia" w:cstheme="minorEastAsia"/>
          <w:color w:val="000000" w:themeColor="text1"/>
          <w:sz w:val="28"/>
          <w:szCs w:val="28"/>
        </w:rPr>
      </w:pPr>
    </w:p>
    <w:p>
      <w:pPr>
        <w:jc w:val="center"/>
        <w:rPr>
          <w:rFonts w:asciiTheme="minorEastAsia" w:hAnsiTheme="minorEastAsia" w:eastAsiaTheme="minorEastAsia" w:cstheme="minorEastAsia"/>
          <w:color w:val="000000" w:themeColor="text1"/>
          <w:sz w:val="72"/>
          <w:szCs w:val="72"/>
        </w:rPr>
      </w:pPr>
    </w:p>
    <w:p>
      <w:pPr>
        <w:pStyle w:val="2"/>
      </w:pPr>
    </w:p>
    <w:p>
      <w:pPr>
        <w:pStyle w:val="2"/>
      </w:pPr>
    </w:p>
    <w:p>
      <w:pPr>
        <w:jc w:val="center"/>
        <w:rPr>
          <w:rFonts w:asciiTheme="minorEastAsia" w:hAnsiTheme="minorEastAsia" w:eastAsiaTheme="minorEastAsia" w:cstheme="minorEastAsia"/>
          <w:color w:val="000000" w:themeColor="text1"/>
          <w:sz w:val="72"/>
          <w:szCs w:val="72"/>
        </w:rPr>
      </w:pPr>
    </w:p>
    <w:p>
      <w:pPr>
        <w:jc w:val="center"/>
        <w:rPr>
          <w:rFonts w:asciiTheme="minorEastAsia" w:hAnsiTheme="minorEastAsia" w:eastAsiaTheme="minorEastAsia" w:cstheme="minorEastAsia"/>
          <w:color w:val="000000" w:themeColor="text1"/>
          <w:sz w:val="100"/>
          <w:szCs w:val="100"/>
        </w:rPr>
      </w:pPr>
      <w:r>
        <w:rPr>
          <w:rFonts w:hint="eastAsia" w:asciiTheme="minorEastAsia" w:hAnsiTheme="minorEastAsia" w:eastAsiaTheme="minorEastAsia" w:cstheme="minorEastAsia"/>
          <w:color w:val="000000" w:themeColor="text1"/>
          <w:sz w:val="100"/>
          <w:szCs w:val="100"/>
        </w:rPr>
        <w:t>招标文件</w:t>
      </w:r>
    </w:p>
    <w:p>
      <w:pPr>
        <w:spacing w:line="400" w:lineRule="exact"/>
        <w:ind w:firstLine="2570" w:firstLineChars="800"/>
        <w:rPr>
          <w:rFonts w:asciiTheme="minorEastAsia" w:hAnsiTheme="minorEastAsia" w:eastAsiaTheme="minorEastAsia" w:cstheme="minorEastAsia"/>
          <w:b/>
          <w:color w:val="000000" w:themeColor="text1"/>
          <w:sz w:val="32"/>
          <w:szCs w:val="32"/>
        </w:rPr>
      </w:pPr>
    </w:p>
    <w:p>
      <w:pPr>
        <w:spacing w:line="400" w:lineRule="exact"/>
        <w:rPr>
          <w:rFonts w:asciiTheme="minorEastAsia" w:hAnsiTheme="minorEastAsia" w:eastAsiaTheme="minorEastAsia" w:cstheme="minorEastAsia"/>
          <w:color w:val="000000" w:themeColor="text1"/>
        </w:rPr>
      </w:pPr>
    </w:p>
    <w:p>
      <w:pPr>
        <w:spacing w:line="400" w:lineRule="exact"/>
        <w:rPr>
          <w:rFonts w:asciiTheme="minorEastAsia" w:hAnsiTheme="minorEastAsia" w:eastAsiaTheme="minorEastAsia" w:cstheme="minorEastAsia"/>
          <w:color w:val="000000" w:themeColor="text1"/>
        </w:rPr>
      </w:pPr>
    </w:p>
    <w:p>
      <w:pPr>
        <w:spacing w:line="400" w:lineRule="exact"/>
        <w:rPr>
          <w:rFonts w:asciiTheme="minorEastAsia" w:hAnsiTheme="minorEastAsia" w:eastAsiaTheme="minorEastAsia" w:cstheme="minorEastAsia"/>
          <w:color w:val="000000" w:themeColor="text1"/>
        </w:rPr>
      </w:pPr>
    </w:p>
    <w:p>
      <w:pPr>
        <w:spacing w:line="400" w:lineRule="exact"/>
        <w:rPr>
          <w:rFonts w:asciiTheme="minorEastAsia" w:hAnsiTheme="minorEastAsia" w:eastAsiaTheme="minorEastAsia" w:cstheme="minorEastAsia"/>
          <w:color w:val="000000" w:themeColor="text1"/>
        </w:rPr>
      </w:pPr>
    </w:p>
    <w:p>
      <w:pPr>
        <w:spacing w:line="400" w:lineRule="exact"/>
        <w:rPr>
          <w:rFonts w:asciiTheme="minorEastAsia" w:hAnsiTheme="minorEastAsia" w:eastAsiaTheme="minorEastAsia" w:cstheme="minorEastAsia"/>
          <w:color w:val="000000" w:themeColor="text1"/>
        </w:rPr>
      </w:pPr>
    </w:p>
    <w:p>
      <w:pPr>
        <w:spacing w:line="400" w:lineRule="exact"/>
        <w:rPr>
          <w:rFonts w:asciiTheme="minorEastAsia" w:hAnsiTheme="minorEastAsia" w:eastAsiaTheme="minorEastAsia" w:cstheme="minorEastAsia"/>
          <w:color w:val="000000" w:themeColor="text1"/>
        </w:rPr>
      </w:pPr>
    </w:p>
    <w:p>
      <w:pPr>
        <w:spacing w:line="400" w:lineRule="exact"/>
        <w:rPr>
          <w:rFonts w:asciiTheme="minorEastAsia" w:hAnsiTheme="minorEastAsia" w:eastAsiaTheme="minorEastAsia" w:cstheme="minorEastAsia"/>
          <w:color w:val="000000" w:themeColor="text1"/>
        </w:rPr>
      </w:pPr>
    </w:p>
    <w:p>
      <w:pPr>
        <w:spacing w:line="400" w:lineRule="exact"/>
        <w:rPr>
          <w:rFonts w:asciiTheme="minorEastAsia" w:hAnsiTheme="minorEastAsia" w:eastAsiaTheme="minorEastAsia" w:cstheme="minorEastAsia"/>
          <w:color w:val="000000" w:themeColor="text1"/>
        </w:rPr>
      </w:pPr>
    </w:p>
    <w:p>
      <w:pPr>
        <w:spacing w:line="1100" w:lineRule="exact"/>
        <w:ind w:firstLine="1078" w:firstLineChars="385"/>
        <w:jc w:val="left"/>
        <w:rPr>
          <w:rFonts w:hint="default" w:eastAsia="黑体" w:asciiTheme="minorEastAsia" w:hAnsiTheme="minorEastAsia" w:cstheme="minorEastAsia"/>
          <w:color w:val="000000" w:themeColor="text1"/>
          <w:sz w:val="28"/>
          <w:szCs w:val="28"/>
          <w:u w:val="single"/>
          <w:lang w:val="en-US" w:eastAsia="zh-CN"/>
        </w:rPr>
      </w:pPr>
      <w:r>
        <w:rPr>
          <w:rFonts w:hint="eastAsia" w:asciiTheme="minorEastAsia" w:hAnsiTheme="minorEastAsia" w:eastAsiaTheme="minorEastAsia" w:cstheme="minorEastAsia"/>
          <w:color w:val="000000" w:themeColor="text1"/>
          <w:sz w:val="28"/>
          <w:szCs w:val="28"/>
        </w:rPr>
        <w:t>招   标   人：</w:t>
      </w:r>
      <w:r>
        <w:rPr>
          <w:rFonts w:hint="eastAsia" w:asciiTheme="minorEastAsia" w:hAnsiTheme="minorEastAsia" w:eastAsiaTheme="minorEastAsia" w:cstheme="minorEastAsia"/>
          <w:color w:val="000000" w:themeColor="text1"/>
          <w:sz w:val="28"/>
          <w:szCs w:val="28"/>
          <w:u w:val="single"/>
          <w:lang w:val="en-US" w:eastAsia="zh-CN"/>
        </w:rPr>
        <w:t xml:space="preserve">    </w:t>
      </w:r>
      <w:r>
        <w:rPr>
          <w:rFonts w:hint="eastAsia" w:ascii="黑体" w:eastAsia="黑体"/>
          <w:color w:val="000000" w:themeColor="text1"/>
          <w:sz w:val="28"/>
          <w:szCs w:val="28"/>
          <w:u w:val="single"/>
        </w:rPr>
        <w:t>盐城市大丰区城镇净水有限公司</w:t>
      </w:r>
      <w:r>
        <w:rPr>
          <w:rFonts w:hint="eastAsia" w:ascii="黑体" w:eastAsia="黑体"/>
          <w:color w:val="000000" w:themeColor="text1"/>
          <w:sz w:val="28"/>
          <w:szCs w:val="28"/>
          <w:u w:val="single"/>
          <w:lang w:val="en-US" w:eastAsia="zh-CN"/>
        </w:rPr>
        <w:t xml:space="preserve">      </w:t>
      </w:r>
    </w:p>
    <w:p>
      <w:pPr>
        <w:spacing w:line="1100" w:lineRule="exact"/>
        <w:ind w:firstLine="1078" w:firstLineChars="385"/>
        <w:jc w:val="left"/>
        <w:rPr>
          <w:rFonts w:hint="eastAsia" w:asciiTheme="minorEastAsia" w:hAnsiTheme="minorEastAsia" w:eastAsiaTheme="minorEastAsia" w:cstheme="minorEastAsia"/>
          <w:color w:val="000000" w:themeColor="text1"/>
          <w:sz w:val="28"/>
          <w:szCs w:val="28"/>
          <w:u w:val="single"/>
          <w:lang w:eastAsia="zh-CN"/>
        </w:rPr>
      </w:pPr>
      <w:r>
        <w:rPr>
          <w:rFonts w:hint="eastAsia" w:asciiTheme="minorEastAsia" w:hAnsiTheme="minorEastAsia" w:eastAsiaTheme="minorEastAsia" w:cstheme="minorEastAsia"/>
          <w:color w:val="000000" w:themeColor="text1"/>
          <w:sz w:val="28"/>
          <w:szCs w:val="28"/>
        </w:rPr>
        <w:t>招标代理机构：</w:t>
      </w:r>
      <w:r>
        <w:rPr>
          <w:rFonts w:hint="eastAsia" w:ascii="黑体" w:eastAsia="黑体"/>
          <w:color w:val="000000" w:themeColor="text1"/>
          <w:sz w:val="28"/>
          <w:szCs w:val="28"/>
          <w:u w:val="single"/>
          <w:lang w:eastAsia="zh-CN"/>
        </w:rPr>
        <w:t>江苏仁禾中衡工程咨询房地产估价有限公司</w:t>
      </w:r>
    </w:p>
    <w:p>
      <w:pPr>
        <w:spacing w:line="1100" w:lineRule="exact"/>
        <w:jc w:val="cente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二〇二一年八月</w:t>
      </w:r>
    </w:p>
    <w:p>
      <w:pPr>
        <w:jc w:val="center"/>
        <w:rPr>
          <w:b/>
          <w:sz w:val="32"/>
          <w:szCs w:val="32"/>
        </w:rPr>
        <w:sectPr>
          <w:headerReference r:id="rId3" w:type="default"/>
          <w:pgSz w:w="11906" w:h="16838"/>
          <w:pgMar w:top="1418" w:right="1418" w:bottom="1418" w:left="1418" w:header="851" w:footer="992" w:gutter="0"/>
          <w:cols w:space="720" w:num="1"/>
          <w:docGrid w:type="lines" w:linePitch="312" w:charSpace="0"/>
        </w:sectPr>
      </w:pPr>
    </w:p>
    <w:p>
      <w:pPr>
        <w:jc w:val="center"/>
        <w:rPr>
          <w:b/>
          <w:sz w:val="32"/>
          <w:szCs w:val="32"/>
        </w:rPr>
      </w:pPr>
      <w:r>
        <w:rPr>
          <w:rFonts w:hint="eastAsia"/>
          <w:b/>
          <w:sz w:val="32"/>
          <w:szCs w:val="32"/>
        </w:rPr>
        <w:t>不见面开标须知</w:t>
      </w:r>
    </w:p>
    <w:p>
      <w:pPr>
        <w:jc w:val="center"/>
        <w:rPr>
          <w:rFonts w:ascii="宋体" w:hAnsi="宋体" w:cs="宋体"/>
          <w:b/>
          <w:bCs/>
          <w:szCs w:val="21"/>
        </w:rPr>
      </w:pPr>
    </w:p>
    <w:p>
      <w:pPr>
        <w:spacing w:line="360" w:lineRule="auto"/>
        <w:rPr>
          <w:rFonts w:ascii="宋体" w:hAnsi="宋体"/>
          <w:szCs w:val="21"/>
        </w:rPr>
      </w:pPr>
    </w:p>
    <w:p>
      <w:pPr>
        <w:spacing w:line="480" w:lineRule="exact"/>
        <w:rPr>
          <w:rFonts w:ascii="宋体" w:hAnsi="宋体"/>
          <w:szCs w:val="21"/>
        </w:rPr>
      </w:pPr>
      <w:r>
        <w:rPr>
          <w:rFonts w:hint="eastAsia" w:ascii="宋体" w:hAnsi="宋体"/>
          <w:szCs w:val="21"/>
        </w:rPr>
        <w:t>各潜在投标单位：</w:t>
      </w:r>
    </w:p>
    <w:p>
      <w:pPr>
        <w:spacing w:line="480" w:lineRule="exact"/>
        <w:ind w:firstLine="420" w:firstLineChars="200"/>
        <w:rPr>
          <w:rFonts w:ascii="宋体" w:hAnsi="宋体"/>
          <w:szCs w:val="21"/>
        </w:rPr>
      </w:pPr>
      <w:r>
        <w:rPr>
          <w:rFonts w:hint="eastAsia" w:ascii="宋体" w:hAnsi="宋体"/>
          <w:szCs w:val="21"/>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w:t>
      </w:r>
      <w:r>
        <w:rPr>
          <w:rFonts w:ascii="宋体" w:hAnsi="宋体"/>
          <w:szCs w:val="21"/>
        </w:rPr>
        <w:t>结合当前疫情防控要求，本</w:t>
      </w:r>
      <w:r>
        <w:rPr>
          <w:rFonts w:hint="eastAsia" w:ascii="宋体" w:hAnsi="宋体"/>
          <w:szCs w:val="21"/>
        </w:rPr>
        <w:t>项目开标方式为</w:t>
      </w:r>
      <w:r>
        <w:rPr>
          <w:rFonts w:ascii="宋体" w:hAnsi="宋体"/>
          <w:szCs w:val="21"/>
        </w:rPr>
        <w:t>不见面</w:t>
      </w:r>
      <w:r>
        <w:rPr>
          <w:rFonts w:hint="eastAsia" w:ascii="宋体" w:hAnsi="宋体"/>
          <w:szCs w:val="21"/>
        </w:rPr>
        <w:t>纸质文件</w:t>
      </w:r>
      <w:r>
        <w:rPr>
          <w:rFonts w:ascii="宋体" w:hAnsi="宋体"/>
          <w:szCs w:val="21"/>
        </w:rPr>
        <w:t>开标</w:t>
      </w:r>
      <w:r>
        <w:rPr>
          <w:rFonts w:hint="eastAsia" w:ascii="宋体" w:hAnsi="宋体"/>
          <w:szCs w:val="21"/>
        </w:rPr>
        <w:t>。</w:t>
      </w:r>
      <w:r>
        <w:rPr>
          <w:rFonts w:ascii="宋体" w:hAnsi="宋体"/>
          <w:szCs w:val="21"/>
        </w:rPr>
        <w:t>开标当日，投标人无需到达开标现场，仅需在任意地点通过 PC端或移动端的“腾讯会议”及相应的配套硬件设备参加开标会议</w:t>
      </w:r>
      <w:r>
        <w:rPr>
          <w:rFonts w:hint="eastAsia" w:ascii="宋体" w:hAnsi="宋体"/>
          <w:szCs w:val="21"/>
        </w:rPr>
        <w:t>。</w:t>
      </w:r>
    </w:p>
    <w:p>
      <w:pPr>
        <w:spacing w:line="480" w:lineRule="exact"/>
        <w:ind w:firstLine="420" w:firstLineChars="200"/>
        <w:rPr>
          <w:rFonts w:ascii="宋体" w:hAnsi="宋体"/>
          <w:szCs w:val="21"/>
        </w:rPr>
      </w:pPr>
      <w:r>
        <w:rPr>
          <w:rFonts w:hint="eastAsia" w:ascii="宋体" w:hAnsi="宋体"/>
          <w:szCs w:val="21"/>
        </w:rPr>
        <w:t>参加会议的方法（必选）：电脑或智能手机可以搜索下载并安装“腾讯会议”，注册完成后点击“加入会议”，输入会议号</w:t>
      </w:r>
      <w:r>
        <w:rPr>
          <w:rFonts w:hint="eastAsia" w:ascii="宋体" w:hAnsi="宋体"/>
          <w:color w:val="000000"/>
          <w:szCs w:val="21"/>
        </w:rPr>
        <w:t>“</w:t>
      </w:r>
      <w:r>
        <w:rPr>
          <w:rFonts w:hint="eastAsia" w:hAnsi="宋体"/>
          <w:color w:val="000000"/>
          <w:szCs w:val="21"/>
          <w:u w:val="single"/>
          <w:lang w:eastAsia="zh-CN"/>
        </w:rPr>
        <w:t>496-477-282</w:t>
      </w:r>
      <w:r>
        <w:rPr>
          <w:rFonts w:ascii="宋体" w:hAnsi="宋体"/>
          <w:color w:val="000000"/>
          <w:szCs w:val="21"/>
        </w:rPr>
        <w:t>”</w:t>
      </w:r>
      <w:r>
        <w:rPr>
          <w:rFonts w:ascii="宋体" w:hAnsi="宋体"/>
          <w:szCs w:val="21"/>
        </w:rPr>
        <w:t>，“您的姓名”按“</w:t>
      </w:r>
      <w:r>
        <w:rPr>
          <w:rFonts w:ascii="宋体" w:hAnsi="宋体"/>
          <w:b/>
          <w:bCs/>
          <w:szCs w:val="21"/>
        </w:rPr>
        <w:t>单位</w:t>
      </w:r>
      <w:r>
        <w:rPr>
          <w:rFonts w:hint="eastAsia" w:ascii="宋体" w:hAnsi="宋体"/>
          <w:b/>
          <w:bCs/>
          <w:szCs w:val="21"/>
        </w:rPr>
        <w:t>简</w:t>
      </w:r>
      <w:r>
        <w:rPr>
          <w:rFonts w:ascii="宋体" w:hAnsi="宋体"/>
          <w:b/>
          <w:bCs/>
          <w:szCs w:val="21"/>
        </w:rPr>
        <w:t>称+授权委托人姓名</w:t>
      </w:r>
      <w:r>
        <w:rPr>
          <w:rFonts w:ascii="宋体" w:hAnsi="宋体"/>
          <w:szCs w:val="21"/>
        </w:rPr>
        <w:t>”格式填写，然后点击“加入会议”。会议系统将在投标截止时间前10分钟开放。</w:t>
      </w:r>
    </w:p>
    <w:p>
      <w:pPr>
        <w:spacing w:line="480" w:lineRule="exact"/>
        <w:rPr>
          <w:rFonts w:ascii="宋体" w:hAnsi="宋体"/>
          <w:szCs w:val="21"/>
        </w:rPr>
      </w:pPr>
      <w:r>
        <w:rPr>
          <w:rFonts w:hint="eastAsia" w:ascii="宋体" w:hAnsi="宋体"/>
          <w:szCs w:val="21"/>
        </w:rPr>
        <w:t xml:space="preserve">    2、投标文件递交地点：盐城市大丰区丰华国际大厦二楼西侧大厅（盐城市大丰区飞达路100号，北门进，右侧自动扶梯上）</w:t>
      </w:r>
    </w:p>
    <w:p>
      <w:pPr>
        <w:spacing w:line="480" w:lineRule="exact"/>
        <w:rPr>
          <w:rFonts w:hint="eastAsia" w:ascii="宋体" w:hAnsi="宋体" w:eastAsia="宋体"/>
          <w:szCs w:val="21"/>
          <w:lang w:eastAsia="zh-CN"/>
        </w:rPr>
      </w:pPr>
      <w:r>
        <w:rPr>
          <w:rFonts w:hint="eastAsia" w:ascii="宋体" w:hAnsi="宋体"/>
          <w:szCs w:val="21"/>
        </w:rPr>
        <w:t xml:space="preserve">    招标代理联系人：</w:t>
      </w:r>
      <w:r>
        <w:rPr>
          <w:rFonts w:hint="eastAsia" w:ascii="宋体" w:hAnsi="宋体"/>
          <w:szCs w:val="21"/>
          <w:lang w:eastAsia="zh-CN"/>
        </w:rPr>
        <w:t>李杨</w:t>
      </w:r>
      <w:r>
        <w:rPr>
          <w:rFonts w:hint="eastAsia" w:ascii="宋体" w:hAnsi="宋体"/>
          <w:szCs w:val="21"/>
        </w:rPr>
        <w:t xml:space="preserve">      联系电话：</w:t>
      </w:r>
      <w:r>
        <w:rPr>
          <w:rFonts w:hint="eastAsia" w:ascii="宋体" w:hAnsi="宋体"/>
          <w:szCs w:val="21"/>
          <w:lang w:eastAsia="zh-CN"/>
        </w:rPr>
        <w:t>15295367065</w:t>
      </w:r>
    </w:p>
    <w:p>
      <w:pPr>
        <w:spacing w:line="480" w:lineRule="exact"/>
        <w:ind w:firstLine="420" w:firstLineChars="200"/>
        <w:rPr>
          <w:rFonts w:ascii="宋体" w:hAnsi="宋体"/>
          <w:szCs w:val="21"/>
        </w:rPr>
      </w:pPr>
      <w:r>
        <w:rPr>
          <w:rFonts w:hint="eastAsia" w:ascii="宋体" w:hAnsi="宋体"/>
          <w:szCs w:val="21"/>
        </w:rPr>
        <w:t>2.1投标文件提交开始及截止时间：</w:t>
      </w:r>
    </w:p>
    <w:p>
      <w:pPr>
        <w:spacing w:line="480" w:lineRule="exact"/>
        <w:ind w:firstLine="420" w:firstLineChars="200"/>
        <w:rPr>
          <w:rFonts w:ascii="宋体" w:hAnsi="宋体"/>
          <w:szCs w:val="21"/>
        </w:rPr>
      </w:pPr>
      <w:r>
        <w:rPr>
          <w:rFonts w:hint="eastAsia" w:ascii="宋体" w:hAnsi="宋体"/>
          <w:szCs w:val="21"/>
        </w:rPr>
        <w:t>纸质投标文件的递交开始时间：2021年</w:t>
      </w:r>
      <w:r>
        <w:rPr>
          <w:rFonts w:hint="eastAsia" w:ascii="宋体" w:hAnsi="宋体"/>
          <w:szCs w:val="21"/>
          <w:u w:val="single"/>
        </w:rPr>
        <w:t>8</w:t>
      </w:r>
      <w:r>
        <w:rPr>
          <w:rFonts w:hint="eastAsia" w:ascii="宋体" w:hAnsi="宋体"/>
          <w:szCs w:val="21"/>
        </w:rPr>
        <w:t>月</w:t>
      </w:r>
      <w:r>
        <w:rPr>
          <w:rFonts w:hint="eastAsia" w:ascii="宋体" w:hAnsi="宋体"/>
          <w:szCs w:val="21"/>
          <w:u w:val="single"/>
        </w:rPr>
        <w:t>25</w:t>
      </w:r>
      <w:r>
        <w:rPr>
          <w:rFonts w:hint="eastAsia" w:ascii="宋体" w:hAnsi="宋体"/>
          <w:szCs w:val="21"/>
        </w:rPr>
        <w:t>日</w:t>
      </w:r>
      <w:r>
        <w:rPr>
          <w:rFonts w:hint="eastAsia" w:ascii="宋体" w:hAnsi="宋体"/>
          <w:szCs w:val="21"/>
          <w:u w:val="single"/>
          <w:lang w:val="en-US" w:eastAsia="zh-CN"/>
        </w:rPr>
        <w:t>8</w:t>
      </w:r>
      <w:r>
        <w:rPr>
          <w:rFonts w:hint="eastAsia" w:ascii="宋体" w:hAnsi="宋体"/>
          <w:szCs w:val="21"/>
        </w:rPr>
        <w:t>时</w:t>
      </w:r>
      <w:r>
        <w:rPr>
          <w:rFonts w:hint="eastAsia" w:ascii="宋体" w:hAnsi="宋体"/>
          <w:szCs w:val="21"/>
          <w:u w:val="single"/>
          <w:lang w:val="en-US" w:eastAsia="zh-CN"/>
        </w:rPr>
        <w:t>30</w:t>
      </w:r>
      <w:r>
        <w:rPr>
          <w:rFonts w:hint="eastAsia" w:ascii="宋体" w:hAnsi="宋体"/>
          <w:szCs w:val="21"/>
        </w:rPr>
        <w:t>分</w:t>
      </w:r>
    </w:p>
    <w:p>
      <w:pPr>
        <w:spacing w:line="480" w:lineRule="exact"/>
        <w:ind w:firstLine="420" w:firstLineChars="200"/>
        <w:rPr>
          <w:rFonts w:ascii="宋体" w:hAnsi="宋体"/>
          <w:szCs w:val="21"/>
        </w:rPr>
      </w:pPr>
      <w:r>
        <w:rPr>
          <w:rFonts w:hint="eastAsia" w:ascii="宋体" w:hAnsi="宋体"/>
          <w:szCs w:val="21"/>
        </w:rPr>
        <w:t>纸质投标文件的递交截止时间、投标保证金缴纳截止时间：</w:t>
      </w:r>
      <w:r>
        <w:rPr>
          <w:rFonts w:hint="eastAsia" w:ascii="宋体" w:hAnsi="宋体"/>
          <w:b/>
          <w:szCs w:val="21"/>
        </w:rPr>
        <w:t>2021年</w:t>
      </w:r>
      <w:r>
        <w:rPr>
          <w:rFonts w:hint="eastAsia" w:ascii="宋体" w:hAnsi="宋体"/>
          <w:b/>
          <w:szCs w:val="21"/>
          <w:u w:val="single"/>
        </w:rPr>
        <w:t>8</w:t>
      </w:r>
      <w:r>
        <w:rPr>
          <w:rFonts w:hint="eastAsia" w:ascii="宋体" w:hAnsi="宋体"/>
          <w:b/>
          <w:szCs w:val="21"/>
        </w:rPr>
        <w:t>月</w:t>
      </w:r>
      <w:r>
        <w:rPr>
          <w:rFonts w:hint="eastAsia" w:ascii="宋体" w:hAnsi="宋体"/>
          <w:b/>
          <w:szCs w:val="21"/>
          <w:u w:val="single"/>
        </w:rPr>
        <w:t>25</w:t>
      </w:r>
      <w:r>
        <w:rPr>
          <w:rFonts w:hint="eastAsia" w:ascii="宋体" w:hAnsi="宋体"/>
          <w:b/>
          <w:szCs w:val="21"/>
        </w:rPr>
        <w:t>日</w:t>
      </w:r>
      <w:r>
        <w:rPr>
          <w:rFonts w:hint="eastAsia" w:ascii="宋体" w:hAnsi="宋体"/>
          <w:b/>
          <w:szCs w:val="21"/>
          <w:u w:val="single"/>
        </w:rPr>
        <w:t>9</w:t>
      </w:r>
      <w:r>
        <w:rPr>
          <w:rFonts w:hint="eastAsia" w:ascii="宋体" w:hAnsi="宋体"/>
          <w:b/>
          <w:szCs w:val="21"/>
        </w:rPr>
        <w:t>时</w:t>
      </w:r>
      <w:r>
        <w:rPr>
          <w:rFonts w:hint="eastAsia" w:ascii="宋体" w:hAnsi="宋体"/>
          <w:b/>
          <w:szCs w:val="21"/>
          <w:u w:val="single"/>
          <w:lang w:val="en-US" w:eastAsia="zh-CN"/>
        </w:rPr>
        <w:t>00</w:t>
      </w:r>
      <w:r>
        <w:rPr>
          <w:rFonts w:hint="eastAsia" w:ascii="宋体" w:hAnsi="宋体"/>
          <w:b/>
          <w:szCs w:val="21"/>
        </w:rPr>
        <w:t>分</w:t>
      </w:r>
      <w:r>
        <w:rPr>
          <w:rFonts w:hint="eastAsia" w:ascii="宋体" w:hAnsi="宋体"/>
          <w:szCs w:val="21"/>
        </w:rPr>
        <w:t>，逾期提交的文件拒绝接受。</w:t>
      </w:r>
    </w:p>
    <w:p>
      <w:pPr>
        <w:spacing w:line="480" w:lineRule="exact"/>
        <w:ind w:firstLine="420" w:firstLineChars="200"/>
        <w:rPr>
          <w:rFonts w:ascii="宋体" w:hAnsi="宋体"/>
          <w:szCs w:val="21"/>
        </w:rPr>
      </w:pPr>
      <w:r>
        <w:rPr>
          <w:rFonts w:hint="eastAsia" w:ascii="宋体" w:hAnsi="宋体"/>
          <w:szCs w:val="21"/>
        </w:rPr>
        <w:t>开标时间：</w:t>
      </w:r>
      <w:r>
        <w:rPr>
          <w:rFonts w:hint="eastAsia" w:ascii="宋体" w:hAnsi="宋体"/>
          <w:b/>
          <w:szCs w:val="21"/>
        </w:rPr>
        <w:t>2021年</w:t>
      </w:r>
      <w:r>
        <w:rPr>
          <w:rFonts w:hint="eastAsia" w:ascii="宋体" w:hAnsi="宋体"/>
          <w:b/>
          <w:szCs w:val="21"/>
          <w:u w:val="single"/>
        </w:rPr>
        <w:t>8</w:t>
      </w:r>
      <w:r>
        <w:rPr>
          <w:rFonts w:hint="eastAsia" w:ascii="宋体" w:hAnsi="宋体"/>
          <w:b/>
          <w:szCs w:val="21"/>
        </w:rPr>
        <w:t>月</w:t>
      </w:r>
      <w:r>
        <w:rPr>
          <w:rFonts w:hint="eastAsia" w:ascii="宋体" w:hAnsi="宋体"/>
          <w:b/>
          <w:szCs w:val="21"/>
          <w:u w:val="single"/>
        </w:rPr>
        <w:t>25</w:t>
      </w:r>
      <w:r>
        <w:rPr>
          <w:rFonts w:hint="eastAsia" w:ascii="宋体" w:hAnsi="宋体"/>
          <w:b/>
          <w:szCs w:val="21"/>
        </w:rPr>
        <w:t>日</w:t>
      </w:r>
      <w:r>
        <w:rPr>
          <w:rFonts w:hint="eastAsia" w:ascii="宋体" w:hAnsi="宋体"/>
          <w:b/>
          <w:szCs w:val="21"/>
          <w:u w:val="single"/>
        </w:rPr>
        <w:t>9</w:t>
      </w:r>
      <w:r>
        <w:rPr>
          <w:rFonts w:hint="eastAsia" w:ascii="宋体" w:hAnsi="宋体"/>
          <w:b/>
          <w:szCs w:val="21"/>
        </w:rPr>
        <w:t>时</w:t>
      </w:r>
      <w:r>
        <w:rPr>
          <w:rFonts w:hint="eastAsia" w:ascii="宋体" w:hAnsi="宋体"/>
          <w:b/>
          <w:szCs w:val="21"/>
          <w:u w:val="single"/>
          <w:lang w:val="en-US" w:eastAsia="zh-CN"/>
        </w:rPr>
        <w:t>00</w:t>
      </w:r>
      <w:r>
        <w:rPr>
          <w:rFonts w:hint="eastAsia" w:ascii="宋体" w:hAnsi="宋体"/>
          <w:b/>
          <w:szCs w:val="21"/>
        </w:rPr>
        <w:t>分。</w:t>
      </w:r>
    </w:p>
    <w:p>
      <w:pPr>
        <w:spacing w:line="480" w:lineRule="exact"/>
        <w:ind w:firstLine="420" w:firstLineChars="200"/>
        <w:rPr>
          <w:rFonts w:ascii="宋体" w:hAnsi="宋体"/>
          <w:szCs w:val="21"/>
        </w:rPr>
      </w:pPr>
      <w:r>
        <w:rPr>
          <w:rFonts w:hint="eastAsia" w:ascii="宋体" w:hAnsi="宋体"/>
          <w:szCs w:val="21"/>
        </w:rPr>
        <w:t>3、开标程序</w:t>
      </w:r>
    </w:p>
    <w:p>
      <w:pPr>
        <w:spacing w:line="48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1 招标人按下列程序进行开标：</w:t>
      </w:r>
    </w:p>
    <w:p>
      <w:pPr>
        <w:spacing w:line="480" w:lineRule="exact"/>
        <w:ind w:firstLine="420" w:firstLineChars="200"/>
        <w:rPr>
          <w:rFonts w:ascii="宋体" w:hAnsi="宋体"/>
        </w:rPr>
      </w:pPr>
      <w:r>
        <w:rPr>
          <w:rFonts w:hint="eastAsia" w:ascii="宋体" w:hAnsi="宋体"/>
        </w:rPr>
        <w:t>（</w:t>
      </w:r>
      <w:r>
        <w:rPr>
          <w:rFonts w:ascii="宋体" w:hAnsi="宋体"/>
        </w:rPr>
        <w:t>1</w:t>
      </w:r>
      <w:r>
        <w:rPr>
          <w:rFonts w:hint="eastAsia" w:ascii="宋体" w:hAnsi="宋体"/>
        </w:rPr>
        <w:t>）宣布开标纪律；</w:t>
      </w:r>
    </w:p>
    <w:p>
      <w:pPr>
        <w:spacing w:line="480" w:lineRule="exact"/>
        <w:ind w:firstLine="420" w:firstLineChars="200"/>
        <w:rPr>
          <w:rFonts w:ascii="宋体" w:hAnsi="宋体"/>
          <w:kern w:val="0"/>
        </w:rPr>
      </w:pPr>
      <w:r>
        <w:rPr>
          <w:rFonts w:hint="eastAsia" w:ascii="宋体" w:hAnsi="宋体"/>
        </w:rPr>
        <w:t>（</w:t>
      </w:r>
      <w:r>
        <w:rPr>
          <w:rFonts w:ascii="宋体" w:hAnsi="宋体"/>
        </w:rPr>
        <w:t>2</w:t>
      </w:r>
      <w:r>
        <w:rPr>
          <w:rFonts w:hint="eastAsia" w:ascii="宋体" w:hAnsi="宋体"/>
        </w:rPr>
        <w:t>）宣布</w:t>
      </w:r>
      <w:r>
        <w:rPr>
          <w:rFonts w:hint="eastAsia" w:ascii="宋体" w:hAnsi="宋体"/>
          <w:kern w:val="0"/>
        </w:rPr>
        <w:t>招标人、招标代理机构、招投标监管部门出席开标会的有关人员；</w:t>
      </w:r>
    </w:p>
    <w:p>
      <w:pPr>
        <w:spacing w:line="480" w:lineRule="exact"/>
        <w:ind w:firstLine="420" w:firstLineChars="200"/>
        <w:rPr>
          <w:rFonts w:ascii="宋体" w:hAnsi="宋体"/>
        </w:rPr>
      </w:pPr>
      <w:r>
        <w:rPr>
          <w:rFonts w:hint="eastAsia" w:ascii="宋体" w:hAnsi="宋体"/>
          <w:kern w:val="0"/>
        </w:rPr>
        <w:t>（</w:t>
      </w:r>
      <w:r>
        <w:rPr>
          <w:rFonts w:ascii="宋体" w:hAnsi="宋体"/>
          <w:kern w:val="0"/>
        </w:rPr>
        <w:t>3</w:t>
      </w:r>
      <w:r>
        <w:rPr>
          <w:rFonts w:hint="eastAsia" w:ascii="宋体" w:hAnsi="宋体"/>
          <w:kern w:val="0"/>
        </w:rPr>
        <w:t>）公布投标</w:t>
      </w:r>
      <w:r>
        <w:rPr>
          <w:rFonts w:hint="eastAsia" w:ascii="宋体" w:hAnsi="宋体"/>
        </w:rPr>
        <w:t>人数量并检查投标文件的密封情况、公布</w:t>
      </w:r>
      <w:r>
        <w:rPr>
          <w:rFonts w:hint="eastAsia" w:ascii="宋体" w:hAnsi="宋体" w:cs="宋体"/>
        </w:rPr>
        <w:t>投标保证金的递交情况</w:t>
      </w:r>
      <w:r>
        <w:rPr>
          <w:rFonts w:hint="eastAsia" w:ascii="宋体" w:hAnsi="宋体"/>
        </w:rPr>
        <w:t>；</w:t>
      </w:r>
    </w:p>
    <w:p>
      <w:pPr>
        <w:spacing w:line="480" w:lineRule="exact"/>
        <w:ind w:firstLine="420" w:firstLineChars="200"/>
        <w:rPr>
          <w:rFonts w:ascii="宋体" w:hAnsi="宋体"/>
        </w:rPr>
      </w:pPr>
      <w:r>
        <w:rPr>
          <w:rFonts w:hint="eastAsia" w:ascii="宋体" w:hAnsi="宋体"/>
        </w:rPr>
        <w:t>（4）工作人员当众启封有效投标文件及修改文件，宣读投标文件的主要内容；</w:t>
      </w:r>
    </w:p>
    <w:p>
      <w:pPr>
        <w:spacing w:line="480" w:lineRule="exact"/>
        <w:ind w:firstLine="420" w:firstLineChars="200"/>
        <w:rPr>
          <w:rFonts w:ascii="宋体" w:hAnsi="宋体"/>
        </w:rPr>
      </w:pPr>
      <w:r>
        <w:rPr>
          <w:rFonts w:hint="eastAsia" w:ascii="宋体" w:hAnsi="宋体"/>
        </w:rPr>
        <w:t>（5）开标结束。</w:t>
      </w:r>
    </w:p>
    <w:p>
      <w:pPr>
        <w:spacing w:line="480" w:lineRule="exact"/>
        <w:ind w:firstLine="420" w:firstLineChars="200"/>
        <w:rPr>
          <w:rFonts w:ascii="宋体" w:hAnsi="宋体"/>
          <w:szCs w:val="21"/>
        </w:rPr>
      </w:pPr>
      <w:r>
        <w:rPr>
          <w:rFonts w:hint="eastAsia" w:ascii="宋体" w:hAnsi="宋体"/>
          <w:szCs w:val="21"/>
        </w:rPr>
        <w:t>4、因本</w:t>
      </w:r>
      <w:r>
        <w:rPr>
          <w:rFonts w:hint="eastAsia" w:ascii="宋体" w:hAnsi="宋体"/>
          <w:bCs/>
          <w:szCs w:val="21"/>
        </w:rPr>
        <w:t>项目</w:t>
      </w:r>
      <w:r>
        <w:rPr>
          <w:rFonts w:hint="eastAsia" w:ascii="宋体" w:hAnsi="宋体"/>
          <w:szCs w:val="21"/>
        </w:rPr>
        <w:t xml:space="preserve">采用不见面纸质开标模式，故招标人特别说明如下： </w:t>
      </w:r>
    </w:p>
    <w:p>
      <w:pPr>
        <w:spacing w:line="480" w:lineRule="exact"/>
        <w:ind w:firstLine="420" w:firstLineChars="200"/>
        <w:rPr>
          <w:rFonts w:ascii="宋体" w:hAnsi="宋体"/>
          <w:szCs w:val="21"/>
        </w:rPr>
      </w:pPr>
      <w:r>
        <w:rPr>
          <w:rFonts w:hint="eastAsia" w:ascii="宋体" w:hAnsi="宋体"/>
          <w:szCs w:val="21"/>
        </w:rPr>
        <w:t>4.1投标人投标文件的编制和递交，应依照招标文件的规定进行。如未按招标文件要求编制、递交投标文件，将可能导致废标，其后果由投标人自负。</w:t>
      </w:r>
      <w:r>
        <w:rPr>
          <w:rFonts w:hint="eastAsia" w:ascii="宋体" w:hAnsi="宋体"/>
          <w:b/>
          <w:bCs/>
          <w:szCs w:val="21"/>
          <w:lang w:bidi="zh-CN"/>
        </w:rPr>
        <w:t>特别说明：由于本项目时间紧、任务重，又恰逢防控新型冠状病毒肺炎疫情期，因某种原因无法在规定的时间内递交投标文件的，视同放弃此次投标机会，不得向招标人、监管部门、招标代理机构等所有相关部门追责。</w:t>
      </w:r>
    </w:p>
    <w:p>
      <w:pPr>
        <w:spacing w:line="480" w:lineRule="exact"/>
        <w:ind w:firstLine="420" w:firstLineChars="200"/>
        <w:rPr>
          <w:rFonts w:ascii="宋体" w:hAnsi="宋体"/>
          <w:szCs w:val="21"/>
        </w:rPr>
      </w:pPr>
      <w:r>
        <w:rPr>
          <w:rFonts w:hint="eastAsia" w:ascii="宋体" w:hAnsi="宋体"/>
          <w:szCs w:val="21"/>
        </w:rPr>
        <w:t>4.2开标当日，投标人提交纸质投标文件后可离开，不需要到开标现场参加开标会，开标会议视频按第1条方法进行。</w:t>
      </w:r>
    </w:p>
    <w:p>
      <w:pPr>
        <w:spacing w:line="480" w:lineRule="exact"/>
        <w:ind w:firstLine="420" w:firstLineChars="200"/>
        <w:rPr>
          <w:rFonts w:ascii="宋体" w:hAnsi="宋体"/>
          <w:szCs w:val="21"/>
        </w:rPr>
      </w:pPr>
      <w:r>
        <w:rPr>
          <w:rFonts w:hint="eastAsia" w:ascii="宋体" w:hAnsi="宋体"/>
          <w:szCs w:val="21"/>
        </w:rPr>
        <w:t>4.3开标时间前10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spacing w:line="480" w:lineRule="exact"/>
        <w:ind w:firstLine="420" w:firstLineChars="200"/>
        <w:rPr>
          <w:rFonts w:ascii="宋体" w:hAnsi="宋体"/>
          <w:szCs w:val="21"/>
        </w:rPr>
      </w:pPr>
      <w:r>
        <w:rPr>
          <w:rFonts w:hint="eastAsia" w:ascii="宋体" w:hAnsi="宋体"/>
          <w:szCs w:val="21"/>
        </w:rPr>
        <w:t xml:space="preserve">4.4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pPr>
        <w:spacing w:line="480" w:lineRule="exact"/>
        <w:ind w:firstLine="420" w:firstLineChars="200"/>
        <w:rPr>
          <w:rFonts w:ascii="宋体" w:hAnsi="宋体"/>
          <w:szCs w:val="21"/>
        </w:rPr>
      </w:pPr>
      <w:r>
        <w:rPr>
          <w:rFonts w:hint="eastAsia" w:ascii="宋体" w:hAnsi="宋体"/>
          <w:szCs w:val="21"/>
        </w:rPr>
        <w:t xml:space="preserve">4.5为顺利实现本项目开评标的远程交互，建议投标人配置能够实现远程音视频通话的高配置笔记本电脑、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 </w:t>
      </w:r>
    </w:p>
    <w:p>
      <w:pPr>
        <w:spacing w:line="480" w:lineRule="exact"/>
        <w:ind w:firstLine="420" w:firstLineChars="200"/>
        <w:rPr>
          <w:rFonts w:ascii="宋体" w:hAnsi="宋体"/>
          <w:szCs w:val="21"/>
        </w:rPr>
      </w:pPr>
      <w:r>
        <w:rPr>
          <w:rFonts w:hint="eastAsia" w:ascii="宋体" w:hAnsi="宋体"/>
          <w:szCs w:val="21"/>
        </w:rPr>
        <w:t>5、友情提醒：投标人如对上述腾讯会议软件等有疑问的，请尽早和软件公司的服务人员或其他专业人员联系，他们会根据投标人要求，提供必要的培训和技术支持。</w:t>
      </w:r>
    </w:p>
    <w:p>
      <w:pPr>
        <w:spacing w:line="480" w:lineRule="exact"/>
        <w:ind w:firstLine="422" w:firstLineChars="200"/>
        <w:rPr>
          <w:rFonts w:ascii="宋体" w:hAnsi="宋体"/>
          <w:b/>
          <w:szCs w:val="21"/>
        </w:rPr>
      </w:pPr>
      <w:r>
        <w:rPr>
          <w:rFonts w:hint="eastAsia" w:ascii="宋体" w:hAnsi="宋体"/>
          <w:b/>
          <w:szCs w:val="21"/>
        </w:rPr>
        <w:t>腾讯客服联系方式：0755-83765566</w:t>
      </w:r>
    </w:p>
    <w:p>
      <w:pPr>
        <w:spacing w:line="480" w:lineRule="exact"/>
        <w:ind w:firstLine="422" w:firstLineChars="200"/>
        <w:rPr>
          <w:rFonts w:hint="eastAsia" w:ascii="宋体" w:hAnsi="宋体" w:eastAsia="宋体"/>
          <w:b/>
          <w:szCs w:val="21"/>
          <w:lang w:eastAsia="zh-CN"/>
        </w:rPr>
      </w:pPr>
      <w:r>
        <w:rPr>
          <w:rFonts w:hint="eastAsia" w:ascii="宋体" w:hAnsi="宋体"/>
          <w:b/>
          <w:szCs w:val="21"/>
        </w:rPr>
        <w:t>招标代理业务技术支持联系人：</w:t>
      </w:r>
      <w:r>
        <w:rPr>
          <w:rFonts w:hint="eastAsia" w:ascii="宋体" w:hAnsi="宋体"/>
          <w:b/>
          <w:szCs w:val="21"/>
          <w:lang w:eastAsia="zh-CN"/>
        </w:rPr>
        <w:t>李杨</w:t>
      </w:r>
      <w:r>
        <w:rPr>
          <w:rFonts w:hint="eastAsia" w:ascii="宋体" w:hAnsi="宋体"/>
          <w:b/>
          <w:szCs w:val="21"/>
        </w:rPr>
        <w:t xml:space="preserve">        联系电话：</w:t>
      </w:r>
      <w:r>
        <w:rPr>
          <w:rFonts w:hint="eastAsia" w:ascii="宋体" w:hAnsi="宋体"/>
          <w:b/>
          <w:szCs w:val="21"/>
          <w:lang w:eastAsia="zh-CN"/>
        </w:rPr>
        <w:t>15295367065</w:t>
      </w:r>
    </w:p>
    <w:p>
      <w:pPr>
        <w:jc w:val="center"/>
        <w:rPr>
          <w:rFonts w:asciiTheme="minorEastAsia" w:hAnsiTheme="minorEastAsia" w:eastAsiaTheme="minorEastAsia" w:cstheme="minorEastAsia"/>
          <w:b/>
          <w:color w:val="000000" w:themeColor="text1"/>
          <w:sz w:val="36"/>
        </w:rPr>
      </w:pPr>
      <w:r>
        <w:rPr>
          <w:rFonts w:ascii="宋体" w:hAnsi="宋体"/>
          <w:b/>
          <w:sz w:val="24"/>
        </w:rPr>
        <w:br w:type="page"/>
      </w:r>
      <w:r>
        <w:rPr>
          <w:rFonts w:hint="eastAsia" w:asciiTheme="minorEastAsia" w:hAnsiTheme="minorEastAsia" w:eastAsiaTheme="minorEastAsia" w:cstheme="minorEastAsia"/>
          <w:b/>
          <w:color w:val="000000" w:themeColor="text1"/>
          <w:sz w:val="36"/>
        </w:rPr>
        <w:t>第一章</w:t>
      </w:r>
      <w:bookmarkStart w:id="1" w:name="OLE_LINK2"/>
      <w:bookmarkStart w:id="2" w:name="OLE_LINK1"/>
      <w:r>
        <w:rPr>
          <w:rFonts w:hint="eastAsia" w:asciiTheme="minorEastAsia" w:hAnsiTheme="minorEastAsia" w:eastAsiaTheme="minorEastAsia" w:cstheme="minorEastAsia"/>
          <w:b/>
          <w:color w:val="000000" w:themeColor="text1"/>
          <w:sz w:val="36"/>
        </w:rPr>
        <w:t>招标公告</w:t>
      </w:r>
    </w:p>
    <w:p>
      <w:pPr>
        <w:widowControl/>
        <w:spacing w:line="480" w:lineRule="exact"/>
        <w:jc w:val="center"/>
        <w:rPr>
          <w:rFonts w:asciiTheme="minorEastAsia" w:hAnsiTheme="minorEastAsia" w:eastAsiaTheme="minorEastAsia" w:cstheme="minorEastAsia"/>
          <w:color w:val="000000" w:themeColor="text1"/>
          <w:sz w:val="24"/>
        </w:rPr>
      </w:pP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一、本招标项目大丰区城镇污水处理设施提标改造工程二期</w:t>
      </w:r>
      <w:r>
        <w:rPr>
          <w:rFonts w:hint="eastAsia" w:asciiTheme="minorEastAsia" w:hAnsiTheme="minorEastAsia" w:eastAsiaTheme="minorEastAsia" w:cstheme="minorEastAsia"/>
          <w:color w:val="000000" w:themeColor="text1"/>
          <w:kern w:val="0"/>
          <w:szCs w:val="21"/>
          <w:lang w:eastAsia="zh-CN"/>
        </w:rPr>
        <w:t>1标段</w:t>
      </w:r>
      <w:r>
        <w:rPr>
          <w:rFonts w:hint="eastAsia" w:asciiTheme="minorEastAsia" w:hAnsiTheme="minorEastAsia" w:eastAsiaTheme="minorEastAsia" w:cstheme="minorEastAsia"/>
          <w:color w:val="000000" w:themeColor="text1"/>
          <w:kern w:val="0"/>
          <w:szCs w:val="21"/>
        </w:rPr>
        <w:t>已由盐城市大丰区行政审批局批准建设，项目业主为盐城市大丰区城镇净水有限公司，建设资金来自自筹资金，项目出资比例为100%。项目已具备招标条件，现对该项目施工阶段全过程造价咨询服务及工程竣工结算初审服务进行公开招标，招标人按招标文件规定的评标方法择优选择工程造价咨询单位，对本工程造价进行全过程控制。</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lang w:eastAsia="zh-CN"/>
        </w:rPr>
        <w:t>江苏仁禾中衡工程咨询房地产估价有限公司</w:t>
      </w:r>
      <w:r>
        <w:rPr>
          <w:rFonts w:hint="eastAsia" w:asciiTheme="minorEastAsia" w:hAnsiTheme="minorEastAsia" w:eastAsiaTheme="minorEastAsia" w:cstheme="minorEastAsia"/>
          <w:color w:val="000000" w:themeColor="text1"/>
          <w:kern w:val="0"/>
          <w:szCs w:val="21"/>
        </w:rPr>
        <w:t>受盐城市大丰区城镇净水有限公司的委托具体负责本项目的招标事宜。</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二、项目概况</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（1）项目名称：</w:t>
      </w:r>
      <w:r>
        <w:rPr>
          <w:rFonts w:hint="eastAsia" w:eastAsia="新宋体" w:asciiTheme="minorEastAsia" w:hAnsiTheme="minorEastAsia" w:cstheme="minorEastAsia"/>
          <w:color w:val="000000" w:themeColor="text1"/>
          <w:kern w:val="0"/>
          <w:szCs w:val="21"/>
          <w:u w:val="single"/>
        </w:rPr>
        <w:t>大丰区城镇污水处理设施提标改造工程二期</w:t>
      </w:r>
      <w:r>
        <w:rPr>
          <w:rFonts w:hint="eastAsia" w:eastAsia="新宋体" w:asciiTheme="minorEastAsia" w:hAnsiTheme="minorEastAsia" w:cstheme="minorEastAsia"/>
          <w:color w:val="000000" w:themeColor="text1"/>
          <w:kern w:val="0"/>
          <w:szCs w:val="21"/>
          <w:u w:val="single"/>
          <w:lang w:eastAsia="zh-CN"/>
        </w:rPr>
        <w:t>1标段</w:t>
      </w:r>
      <w:r>
        <w:rPr>
          <w:rFonts w:hint="eastAsia" w:eastAsia="新宋体" w:asciiTheme="minorEastAsia" w:hAnsiTheme="minorEastAsia" w:cstheme="minorEastAsia"/>
          <w:color w:val="000000" w:themeColor="text1"/>
          <w:kern w:val="0"/>
          <w:szCs w:val="21"/>
          <w:u w:val="single"/>
        </w:rPr>
        <w:t>施工阶段全过程造价咨询服务</w:t>
      </w:r>
    </w:p>
    <w:p>
      <w:pPr>
        <w:widowControl/>
        <w:spacing w:line="480" w:lineRule="exact"/>
        <w:ind w:firstLine="420" w:firstLineChars="200"/>
        <w:jc w:val="left"/>
        <w:rPr>
          <w:rFonts w:hint="default" w:eastAsia="新宋体" w:asciiTheme="minorEastAsia" w:hAnsiTheme="minorEastAsia" w:cstheme="minorEastAsia"/>
          <w:color w:val="000000" w:themeColor="text1"/>
          <w:kern w:val="0"/>
          <w:szCs w:val="21"/>
          <w:u w:val="single"/>
          <w:lang w:val="en-US" w:eastAsia="zh-CN"/>
        </w:rPr>
      </w:pPr>
      <w:r>
        <w:rPr>
          <w:rFonts w:hint="eastAsia" w:asciiTheme="minorEastAsia" w:hAnsiTheme="minorEastAsia" w:eastAsiaTheme="minorEastAsia" w:cstheme="minorEastAsia"/>
          <w:color w:val="000000" w:themeColor="text1"/>
          <w:kern w:val="0"/>
          <w:szCs w:val="21"/>
        </w:rPr>
        <w:t>（2）项目编号：</w:t>
      </w:r>
      <w:r>
        <w:rPr>
          <w:rFonts w:hint="eastAsia" w:eastAsia="新宋体" w:asciiTheme="minorEastAsia" w:hAnsiTheme="minorEastAsia" w:cstheme="minorEastAsia"/>
          <w:color w:val="000000" w:themeColor="text1"/>
          <w:kern w:val="0"/>
          <w:szCs w:val="21"/>
          <w:u w:val="single"/>
        </w:rPr>
        <w:t>3209822020090201</w:t>
      </w:r>
    </w:p>
    <w:p>
      <w:pPr>
        <w:widowControl/>
        <w:spacing w:line="480" w:lineRule="exact"/>
        <w:ind w:firstLine="420" w:firstLineChars="200"/>
        <w:jc w:val="left"/>
        <w:rPr>
          <w:rFonts w:eastAsia="新宋体" w:asciiTheme="minorEastAsia" w:hAnsiTheme="minorEastAsia" w:cstheme="minorEastAsia"/>
          <w:color w:val="000000" w:themeColor="text1"/>
          <w:kern w:val="0"/>
          <w:szCs w:val="21"/>
          <w:u w:val="single"/>
        </w:rPr>
      </w:pPr>
      <w:r>
        <w:rPr>
          <w:rFonts w:hint="eastAsia" w:asciiTheme="minorEastAsia" w:hAnsiTheme="minorEastAsia" w:eastAsiaTheme="minorEastAsia" w:cstheme="minorEastAsia"/>
          <w:color w:val="000000" w:themeColor="text1"/>
          <w:kern w:val="0"/>
          <w:szCs w:val="21"/>
        </w:rPr>
        <w:t>（3）项目地址：</w:t>
      </w:r>
      <w:r>
        <w:rPr>
          <w:rFonts w:hint="eastAsia" w:ascii="宋体" w:hAnsi="宋体" w:cs="宋体"/>
          <w:color w:val="000000" w:themeColor="text1"/>
          <w:szCs w:val="21"/>
          <w:u w:val="single"/>
          <w:lang w:val="zh-CN"/>
        </w:rPr>
        <w:t>西团镇、刘庄镇、白驹镇、草堰镇、小海镇</w:t>
      </w:r>
    </w:p>
    <w:p>
      <w:pPr>
        <w:widowControl/>
        <w:spacing w:line="480" w:lineRule="exact"/>
        <w:ind w:firstLine="420" w:firstLineChars="200"/>
        <w:jc w:val="left"/>
        <w:rPr>
          <w:rFonts w:ascii="宋体" w:hAnsi="宋体"/>
          <w:kern w:val="0"/>
          <w:u w:val="single"/>
        </w:rPr>
      </w:pPr>
      <w:r>
        <w:rPr>
          <w:rFonts w:hint="eastAsia" w:ascii="宋体" w:hAnsi="宋体"/>
          <w:kern w:val="0"/>
        </w:rPr>
        <w:t>（</w:t>
      </w:r>
      <w:r>
        <w:rPr>
          <w:rFonts w:ascii="宋体" w:hAnsi="宋体"/>
          <w:kern w:val="0"/>
        </w:rPr>
        <w:t>4</w:t>
      </w:r>
      <w:r>
        <w:rPr>
          <w:rFonts w:hint="eastAsia" w:ascii="宋体" w:hAnsi="宋体"/>
          <w:kern w:val="0"/>
        </w:rPr>
        <w:t>）建设规模及内容：</w:t>
      </w:r>
      <w:r>
        <w:rPr>
          <w:rFonts w:hint="eastAsia" w:ascii="宋体" w:hAnsi="宋体" w:cs="宋体"/>
          <w:szCs w:val="21"/>
          <w:u w:val="single"/>
        </w:rPr>
        <w:t>总投资约20000万元</w:t>
      </w:r>
    </w:p>
    <w:p>
      <w:pPr>
        <w:widowControl/>
        <w:spacing w:line="480" w:lineRule="exact"/>
        <w:ind w:firstLine="420" w:firstLineChars="200"/>
        <w:jc w:val="left"/>
        <w:rPr>
          <w:rFonts w:ascii="宋体" w:hAnsi="宋体"/>
          <w:kern w:val="0"/>
          <w:u w:val="single"/>
        </w:rPr>
      </w:pPr>
      <w:r>
        <w:rPr>
          <w:rFonts w:hint="eastAsia" w:ascii="宋体" w:hAnsi="宋体"/>
          <w:kern w:val="0"/>
        </w:rPr>
        <w:t>（5）招标内容：</w:t>
      </w:r>
      <w:r>
        <w:rPr>
          <w:rFonts w:hint="eastAsia" w:ascii="宋体" w:hAnsi="宋体"/>
          <w:kern w:val="0"/>
          <w:u w:val="single"/>
        </w:rPr>
        <w:t>大丰区城镇污水处理设施提标改造工程二期</w:t>
      </w:r>
      <w:r>
        <w:rPr>
          <w:rFonts w:hint="eastAsia" w:ascii="宋体" w:hAnsi="宋体"/>
          <w:kern w:val="0"/>
          <w:u w:val="single"/>
          <w:lang w:eastAsia="zh-CN"/>
        </w:rPr>
        <w:t>1标段</w:t>
      </w:r>
      <w:r>
        <w:rPr>
          <w:rFonts w:hint="eastAsia" w:ascii="宋体" w:hAnsi="宋体"/>
          <w:kern w:val="0"/>
          <w:u w:val="single"/>
        </w:rPr>
        <w:t>施工阶段全过程造价咨询服务及工程竣工结算初审服务，并按招标人要求提供完整的咨询成果文件，配合招标人委托的二审单位对本项目的最终审计。</w:t>
      </w:r>
    </w:p>
    <w:p>
      <w:pPr>
        <w:spacing w:line="480" w:lineRule="exact"/>
        <w:ind w:firstLine="420" w:firstLineChars="200"/>
        <w:rPr>
          <w:rFonts w:hAnsi="宋体"/>
          <w:szCs w:val="21"/>
        </w:rPr>
      </w:pPr>
      <w:r>
        <w:rPr>
          <w:rFonts w:hint="eastAsia" w:ascii="宋体" w:hAnsi="宋体"/>
          <w:kern w:val="0"/>
        </w:rPr>
        <w:t>（6）</w:t>
      </w:r>
      <w:r>
        <w:rPr>
          <w:rFonts w:hint="eastAsia" w:hAnsi="宋体"/>
          <w:szCs w:val="21"/>
        </w:rPr>
        <w:t>服务期：</w:t>
      </w:r>
    </w:p>
    <w:p>
      <w:pPr>
        <w:spacing w:line="480" w:lineRule="exact"/>
        <w:ind w:firstLine="420" w:firstLineChars="200"/>
        <w:rPr>
          <w:rFonts w:hAnsi="宋体"/>
          <w:szCs w:val="21"/>
          <w:u w:val="single"/>
        </w:rPr>
      </w:pPr>
      <w:r>
        <w:rPr>
          <w:rFonts w:hint="eastAsia" w:hAnsi="宋体"/>
          <w:szCs w:val="21"/>
          <w:u w:val="single"/>
        </w:rPr>
        <w:t>a.进场时间：合同签订后5 个工作日内；</w:t>
      </w:r>
    </w:p>
    <w:p>
      <w:pPr>
        <w:spacing w:line="480" w:lineRule="exact"/>
        <w:ind w:firstLine="420" w:firstLineChars="200"/>
        <w:rPr>
          <w:rFonts w:hint="eastAsia" w:hAnsi="宋体" w:eastAsia="宋体"/>
          <w:szCs w:val="21"/>
          <w:u w:val="single"/>
          <w:lang w:eastAsia="zh-CN"/>
        </w:rPr>
      </w:pPr>
      <w:r>
        <w:rPr>
          <w:rFonts w:hint="eastAsia" w:hAnsi="宋体"/>
          <w:szCs w:val="21"/>
          <w:u w:val="single"/>
        </w:rPr>
        <w:t>b.施工阶段服务结束时间：自施工单位进场之日起至工程结算审计结束，在服务期间定期编制跟踪审计月度、季度、半年度情况报告，最终按招标人要求提交完整的</w:t>
      </w:r>
      <w:r>
        <w:rPr>
          <w:rFonts w:hint="eastAsia" w:ascii="宋体" w:hAnsi="宋体"/>
          <w:kern w:val="0"/>
          <w:u w:val="single"/>
        </w:rPr>
        <w:t>初审</w:t>
      </w:r>
      <w:r>
        <w:rPr>
          <w:rFonts w:hint="eastAsia" w:hAnsi="宋体"/>
          <w:szCs w:val="21"/>
          <w:u w:val="single"/>
        </w:rPr>
        <w:t>造价咨询报告</w:t>
      </w:r>
      <w:r>
        <w:rPr>
          <w:rFonts w:hint="eastAsia" w:hAnsi="宋体"/>
          <w:szCs w:val="21"/>
          <w:u w:val="single"/>
          <w:lang w:eastAsia="zh-CN"/>
        </w:rPr>
        <w:t>；</w:t>
      </w:r>
    </w:p>
    <w:p>
      <w:pPr>
        <w:spacing w:line="480" w:lineRule="exact"/>
        <w:ind w:firstLine="420" w:firstLineChars="200"/>
      </w:pPr>
      <w:r>
        <w:rPr>
          <w:rFonts w:hint="eastAsia" w:hAnsi="宋体"/>
          <w:szCs w:val="21"/>
          <w:u w:val="single"/>
        </w:rPr>
        <w:t>c.工程竣工结算审核：施工单位提交竣工结算资料后一个月内</w:t>
      </w:r>
      <w:r>
        <w:rPr>
          <w:rFonts w:hint="eastAsia" w:hAnsi="宋体"/>
          <w:szCs w:val="21"/>
        </w:rPr>
        <w:t>。</w:t>
      </w:r>
    </w:p>
    <w:p>
      <w:pPr>
        <w:widowControl/>
        <w:spacing w:line="480" w:lineRule="exact"/>
        <w:ind w:firstLine="420" w:firstLineChars="200"/>
        <w:jc w:val="left"/>
        <w:rPr>
          <w:rFonts w:ascii="宋体" w:hAnsi="宋体"/>
          <w:kern w:val="0"/>
          <w:u w:val="single"/>
        </w:rPr>
      </w:pPr>
      <w:r>
        <w:rPr>
          <w:rFonts w:hint="eastAsia" w:ascii="宋体" w:hAnsi="宋体"/>
          <w:kern w:val="0"/>
        </w:rPr>
        <w:t>（7）资金来源：</w:t>
      </w:r>
      <w:r>
        <w:rPr>
          <w:rFonts w:hint="eastAsia" w:ascii="宋体" w:hAnsi="宋体"/>
          <w:kern w:val="0"/>
          <w:u w:val="single"/>
        </w:rPr>
        <w:t>自筹资金</w:t>
      </w:r>
    </w:p>
    <w:p>
      <w:pPr>
        <w:adjustRightInd w:val="0"/>
        <w:snapToGrid w:val="0"/>
        <w:spacing w:line="480" w:lineRule="exact"/>
        <w:ind w:firstLine="420" w:firstLineChars="200"/>
        <w:rPr>
          <w:rFonts w:ascii="宋体" w:hAnsi="宋体"/>
          <w:szCs w:val="21"/>
        </w:rPr>
      </w:pPr>
      <w:r>
        <w:rPr>
          <w:rFonts w:hint="eastAsia" w:ascii="宋体" w:hAnsi="宋体"/>
          <w:kern w:val="0"/>
        </w:rPr>
        <w:t>（8）质量要求：</w:t>
      </w:r>
      <w:r>
        <w:rPr>
          <w:rFonts w:hint="eastAsia" w:cs="Arial"/>
          <w:u w:val="single"/>
        </w:rPr>
        <w:t>符合</w:t>
      </w:r>
      <w:r>
        <w:rPr>
          <w:rFonts w:hint="eastAsia" w:ascii="宋体" w:hAnsi="宋体"/>
          <w:szCs w:val="21"/>
          <w:u w:val="single"/>
        </w:rPr>
        <w:t>国家、省、市及行业现行有关规定、标准、规范的要求</w:t>
      </w:r>
      <w:r>
        <w:rPr>
          <w:rFonts w:hint="eastAsia" w:ascii="宋体" w:hAnsi="宋体"/>
          <w:szCs w:val="21"/>
        </w:rPr>
        <w:t>。</w:t>
      </w:r>
    </w:p>
    <w:p>
      <w:pPr>
        <w:widowControl/>
        <w:spacing w:line="480" w:lineRule="exact"/>
        <w:ind w:firstLine="420" w:firstLineChars="200"/>
        <w:jc w:val="left"/>
        <w:rPr>
          <w:rFonts w:hint="eastAsia" w:ascii="宋体" w:hAnsi="宋体"/>
          <w:kern w:val="0"/>
        </w:rPr>
      </w:pPr>
      <w:r>
        <w:rPr>
          <w:rFonts w:hint="eastAsia" w:ascii="宋体" w:hAnsi="宋体"/>
          <w:kern w:val="0"/>
        </w:rPr>
        <w:t>三、标段划分：本招标项目共分</w:t>
      </w:r>
      <w:r>
        <w:rPr>
          <w:rFonts w:hint="eastAsia" w:ascii="宋体" w:hAnsi="宋体"/>
          <w:u w:val="single"/>
        </w:rPr>
        <w:t>1</w:t>
      </w:r>
      <w:r>
        <w:rPr>
          <w:rFonts w:hint="eastAsia" w:ascii="宋体" w:hAnsi="宋体"/>
        </w:rPr>
        <w:t>个</w:t>
      </w:r>
      <w:r>
        <w:rPr>
          <w:rFonts w:hint="eastAsia" w:ascii="宋体" w:hAnsi="宋体"/>
          <w:kern w:val="0"/>
        </w:rPr>
        <w:t>标段。标段编号、标段名称、招标内容、估算额如下：</w:t>
      </w:r>
    </w:p>
    <w:p>
      <w:pPr>
        <w:pStyle w:val="2"/>
        <w:spacing w:after="0" w:line="480" w:lineRule="exact"/>
        <w:ind w:firstLine="420" w:firstLineChars="200"/>
      </w:pPr>
    </w:p>
    <w:p>
      <w:pPr>
        <w:spacing w:line="480" w:lineRule="exact"/>
        <w:ind w:firstLine="420" w:firstLineChars="200"/>
      </w:pPr>
    </w:p>
    <w:tbl>
      <w:tblPr>
        <w:tblStyle w:val="41"/>
        <w:tblW w:w="0" w:type="auto"/>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884"/>
        <w:gridCol w:w="3544"/>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828" w:type="dxa"/>
            <w:noWrap/>
            <w:vAlign w:val="center"/>
          </w:tcPr>
          <w:p>
            <w:pPr>
              <w:widowControl/>
              <w:spacing w:line="480" w:lineRule="exact"/>
              <w:jc w:val="center"/>
              <w:rPr>
                <w:rFonts w:ascii="宋体" w:hAnsi="宋体"/>
                <w:kern w:val="0"/>
              </w:rPr>
            </w:pPr>
            <w:r>
              <w:rPr>
                <w:rFonts w:hint="eastAsia" w:ascii="宋体" w:hAnsi="宋体"/>
                <w:kern w:val="0"/>
              </w:rPr>
              <w:t>序号</w:t>
            </w:r>
          </w:p>
        </w:tc>
        <w:tc>
          <w:tcPr>
            <w:tcW w:w="2884" w:type="dxa"/>
            <w:noWrap/>
            <w:vAlign w:val="center"/>
          </w:tcPr>
          <w:p>
            <w:pPr>
              <w:widowControl/>
              <w:spacing w:line="480" w:lineRule="exact"/>
              <w:jc w:val="center"/>
              <w:rPr>
                <w:rFonts w:ascii="宋体" w:hAnsi="宋体"/>
                <w:kern w:val="0"/>
              </w:rPr>
            </w:pPr>
            <w:r>
              <w:rPr>
                <w:rFonts w:hint="eastAsia" w:ascii="宋体" w:hAnsi="宋体"/>
                <w:kern w:val="0"/>
              </w:rPr>
              <w:t>标段名称</w:t>
            </w:r>
          </w:p>
        </w:tc>
        <w:tc>
          <w:tcPr>
            <w:tcW w:w="3544" w:type="dxa"/>
            <w:noWrap/>
            <w:vAlign w:val="center"/>
          </w:tcPr>
          <w:p>
            <w:pPr>
              <w:widowControl/>
              <w:spacing w:line="480" w:lineRule="exact"/>
              <w:jc w:val="center"/>
              <w:rPr>
                <w:rFonts w:ascii="宋体" w:hAnsi="宋体"/>
                <w:kern w:val="0"/>
              </w:rPr>
            </w:pPr>
            <w:r>
              <w:rPr>
                <w:rFonts w:hint="eastAsia" w:ascii="宋体" w:hAnsi="宋体"/>
                <w:kern w:val="0"/>
              </w:rPr>
              <w:t>招标内容</w:t>
            </w:r>
          </w:p>
        </w:tc>
        <w:tc>
          <w:tcPr>
            <w:tcW w:w="1464" w:type="dxa"/>
            <w:noWrap/>
            <w:vAlign w:val="center"/>
          </w:tcPr>
          <w:p>
            <w:pPr>
              <w:widowControl/>
              <w:spacing w:line="480" w:lineRule="exact"/>
              <w:jc w:val="center"/>
              <w:rPr>
                <w:rFonts w:ascii="宋体" w:hAnsi="宋体"/>
                <w:kern w:val="0"/>
              </w:rPr>
            </w:pPr>
            <w:r>
              <w:rPr>
                <w:rFonts w:hint="eastAsia" w:ascii="宋体" w:hAnsi="宋体"/>
                <w:kern w:val="0"/>
              </w:rPr>
              <w:t>估算额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9" w:hRule="atLeast"/>
        </w:trPr>
        <w:tc>
          <w:tcPr>
            <w:tcW w:w="828" w:type="dxa"/>
            <w:noWrap/>
            <w:vAlign w:val="center"/>
          </w:tcPr>
          <w:p>
            <w:pPr>
              <w:widowControl/>
              <w:spacing w:line="480" w:lineRule="exact"/>
              <w:jc w:val="center"/>
              <w:rPr>
                <w:rFonts w:ascii="宋体" w:hAnsi="宋体"/>
                <w:kern w:val="0"/>
              </w:rPr>
            </w:pPr>
            <w:r>
              <w:rPr>
                <w:rFonts w:hint="eastAsia" w:ascii="宋体" w:hAnsi="宋体"/>
                <w:kern w:val="0"/>
              </w:rPr>
              <w:t>1</w:t>
            </w:r>
          </w:p>
        </w:tc>
        <w:tc>
          <w:tcPr>
            <w:tcW w:w="2884" w:type="dxa"/>
            <w:noWrap/>
            <w:vAlign w:val="center"/>
          </w:tcPr>
          <w:p>
            <w:pPr>
              <w:widowControl/>
              <w:spacing w:line="480" w:lineRule="exact"/>
              <w:jc w:val="center"/>
              <w:rPr>
                <w:rFonts w:ascii="宋体" w:hAnsi="宋体"/>
                <w:kern w:val="0"/>
              </w:rPr>
            </w:pPr>
            <w:r>
              <w:rPr>
                <w:rFonts w:hint="eastAsia" w:ascii="宋体" w:hAnsi="宋体"/>
                <w:kern w:val="0"/>
              </w:rPr>
              <w:t>大丰区城镇污水处理设施提标改造工程二期</w:t>
            </w:r>
            <w:r>
              <w:rPr>
                <w:rFonts w:hint="eastAsia" w:ascii="宋体" w:hAnsi="宋体"/>
                <w:kern w:val="0"/>
                <w:lang w:eastAsia="zh-CN"/>
              </w:rPr>
              <w:t>1标段</w:t>
            </w:r>
            <w:r>
              <w:rPr>
                <w:rFonts w:hint="eastAsia" w:ascii="宋体" w:hAnsi="宋体"/>
                <w:kern w:val="0"/>
              </w:rPr>
              <w:t>施工阶段全过程造价咨询服务</w:t>
            </w:r>
          </w:p>
        </w:tc>
        <w:tc>
          <w:tcPr>
            <w:tcW w:w="3544" w:type="dxa"/>
            <w:noWrap/>
            <w:vAlign w:val="center"/>
          </w:tcPr>
          <w:p>
            <w:pPr>
              <w:widowControl/>
              <w:spacing w:line="480" w:lineRule="exact"/>
              <w:jc w:val="center"/>
              <w:rPr>
                <w:rFonts w:ascii="宋体" w:hAnsi="宋体"/>
                <w:kern w:val="0"/>
              </w:rPr>
            </w:pPr>
            <w:r>
              <w:rPr>
                <w:rFonts w:hint="eastAsia" w:ascii="宋体" w:hAnsi="宋体"/>
                <w:kern w:val="0"/>
              </w:rPr>
              <w:t>施工阶段全过程造价咨询服务及工程竣工结算初审服务，并按招标人要求提供完整的咨询成果文件，配合招标人委托的二审单位对本项目的最终审计。</w:t>
            </w:r>
          </w:p>
        </w:tc>
        <w:tc>
          <w:tcPr>
            <w:tcW w:w="1464" w:type="dxa"/>
            <w:noWrap/>
            <w:vAlign w:val="center"/>
          </w:tcPr>
          <w:p>
            <w:pPr>
              <w:widowControl/>
              <w:spacing w:line="480" w:lineRule="exact"/>
              <w:jc w:val="center"/>
              <w:rPr>
                <w:rFonts w:ascii="宋体" w:hAnsi="宋体" w:cs="宋体"/>
                <w:color w:val="000000"/>
                <w:kern w:val="0"/>
                <w:szCs w:val="21"/>
              </w:rPr>
            </w:pPr>
            <w:r>
              <w:rPr>
                <w:rFonts w:hint="eastAsia" w:ascii="宋体" w:hAnsi="宋体" w:cs="宋体"/>
                <w:color w:val="000000"/>
                <w:kern w:val="0"/>
                <w:szCs w:val="21"/>
                <w:u w:val="single"/>
              </w:rPr>
              <w:t>168.24</w:t>
            </w:r>
            <w:r>
              <w:rPr>
                <w:rFonts w:hint="eastAsia" w:ascii="宋体" w:hAnsi="宋体" w:cs="宋体"/>
                <w:color w:val="000000"/>
                <w:kern w:val="0"/>
                <w:szCs w:val="21"/>
              </w:rPr>
              <w:t>万元</w:t>
            </w:r>
          </w:p>
        </w:tc>
      </w:tr>
    </w:tbl>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四、申请人应当具备的主要资格条件及要求：</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1、投标人必须满足下列条件，并在人员、设备、资金等方面具备相应的工程全过程服务咨询能力：</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（1）投标申请人须在中国境内注册，具有独立法人资格，具有独立订立合同的能力。</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（2）投标人没有被国家、江苏省省级有关部门及盐城市级有关部门暂停招投标或市场准入资格且在公示处罚期内。</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（3）招投标相关单位及个人 在招投标活动中存在招标文件正文11.1.1以及11.1.2条失信行为的，在“江苏省建设工程招标网”公示期间，本项目的招标人拒绝其投标。</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（4）投标人不得存在：近3年内有行贿犯罪行为且被记录，或者法定代表人有行贿犯罪记录且自记录之日起未超过5年的情形。</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 xml:space="preserve">（5）投标人被人民法院列为失信被执行人的信息在“信用中国”、“信用江苏”等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 </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（6）投标人不存在盐住建招【2020】4文规定的安全生产事故情形，且在通报暂停投标资格处罚期内。</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2、项目负责人及项目部组成人员要求：</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（1）投标人拟投入本工程的项目负责人须同时具有国家注册一级造价工程师注册证书（旧版注册证书为造价工程师证书，不分等级，余同）和工程类中级及以上技术职称，且必须满足下列条件：</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项目负责人不得同时在两个或者两个以上单位受聘或者执业特指下列三种情形：</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a.同时在两个及以上单位签订劳动合同或交纳社会保险；</w:t>
      </w:r>
    </w:p>
    <w:p>
      <w:pPr>
        <w:widowControl/>
        <w:spacing w:line="480" w:lineRule="exact"/>
        <w:ind w:firstLine="420" w:firstLineChars="200"/>
        <w:jc w:val="left"/>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b.将本人执业资格证书同时注册在两个及以上单位</w:t>
      </w:r>
      <w:r>
        <w:rPr>
          <w:rFonts w:hint="eastAsia" w:asciiTheme="minorEastAsia" w:hAnsiTheme="minorEastAsia" w:eastAsiaTheme="minorEastAsia" w:cstheme="minorEastAsia"/>
          <w:color w:val="000000" w:themeColor="text1"/>
          <w:kern w:val="0"/>
          <w:szCs w:val="21"/>
          <w:lang w:eastAsia="zh-CN"/>
        </w:rPr>
        <w:t>；</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c.项目负责人担任其他公司法定代表人。</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除项目负责人外，项目组成员不少于5名，其中国家注册造价工程师不少于3人（土建专业不少于1人、安装专业不少于2人，以造价师执业资格证书上的专业类别为准），其他人员具有安装、市政等专业中级造价员或造价工程师资格。</w:t>
      </w:r>
    </w:p>
    <w:p>
      <w:pPr>
        <w:widowControl/>
        <w:spacing w:line="480" w:lineRule="exact"/>
        <w:ind w:firstLine="420" w:firstLineChars="200"/>
        <w:jc w:val="left"/>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3）拟派项目负责人和项目组主要组成人员具有社保部门出具的2021年1月份（含1月份）以来任意连续6个月在该单位参加养老保险缴费清单（注：①以上人员参保证明需单独出具每人一份，注明缴费起止时间且加盖社保部门有效章印；②外市区（盐城市外）投标企业也可提供印有社会保险管理中心参保缴费证明电子专用章的养老保险缴费清单和参保缴费证明查询途径）</w:t>
      </w:r>
      <w:r>
        <w:rPr>
          <w:rFonts w:hint="eastAsia" w:asciiTheme="minorEastAsia" w:hAnsiTheme="minorEastAsia" w:eastAsiaTheme="minorEastAsia" w:cstheme="minorEastAsia"/>
          <w:color w:val="000000" w:themeColor="text1"/>
          <w:kern w:val="0"/>
          <w:szCs w:val="21"/>
          <w:lang w:eastAsia="zh-CN"/>
        </w:rPr>
        <w:t>。</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3、本项目项目部组成人员在工程实施期间须常驻施工现场，每月不得少于22天。招标人对中标项目部人员实行每日考勤。未经招标人允许，所有人员均不得调换。</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本项目按村实施，分段开工，时间跨度较长，根据工程实际实施进度、实施地点，各镇（街道、区）常驻现场的跟踪审计人员每天不少于2人。</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项目负责人须具有自2018年1月1日以后（以咨询合同签订时间为准）单项施工合同造价（报审价）达5000万元及以上的市政公用工程施工阶段全过程造价控制业绩或包含施工阶段全过程造价服务内容的项目管理业绩或工程竣工结算审核业绩。</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其中：①施工阶段全过程造价控制业绩或包含施工阶段全过程造价服务内容的项目管理业绩投标时至少须提供工程造价咨询合同原件及复印件。</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②工程竣工结算审核业绩投标时至少须提供咨询合同原件、审定单原件。审定单中至少须有建设单位、施工单位、造价咨询单位三方盖章，否则不予认可。</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如是政府审计部门委托的，则须提供协审合同（协议书）原件、审计报告（或审定单或审核交换意见书）复印件加盖政府审计部门公章原件。</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③如提供的合同等上述证明材料原件未能体现上述业绩要求的相关指标的，还须提供能反映相关指标的其他证明材料原件及复印件，投标人自行证明的不予认可。如因内容不全面影响评标委员会计分的后果自负，招标人不接受投标申请人主动提出的澄清、说明或补正。</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5、本次招标</w:t>
      </w:r>
      <w:r>
        <w:rPr>
          <w:rFonts w:hint="eastAsia" w:asciiTheme="minorEastAsia" w:hAnsiTheme="minorEastAsia" w:eastAsiaTheme="minorEastAsia" w:cstheme="minorEastAsia"/>
          <w:color w:val="000000" w:themeColor="text1"/>
          <w:kern w:val="0"/>
          <w:szCs w:val="21"/>
          <w:u w:val="single"/>
        </w:rPr>
        <w:t xml:space="preserve"> 不接受 </w:t>
      </w:r>
      <w:r>
        <w:rPr>
          <w:rFonts w:hint="eastAsia" w:asciiTheme="minorEastAsia" w:hAnsiTheme="minorEastAsia" w:eastAsiaTheme="minorEastAsia" w:cstheme="minorEastAsia"/>
          <w:color w:val="000000" w:themeColor="text1"/>
          <w:kern w:val="0"/>
          <w:szCs w:val="21"/>
        </w:rPr>
        <w:t>联合体投标。</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6、符合相关法律、法规规定的其他要求。</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7、单位负责人为同一人或者存在直接控股、管理关系的不同单位，不得同时参加本项目。</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8、凡为采购项目提供规范编制或者项目管理、监理等服务的单位，不得再参加本项目。</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9、盐城市招投标及标后履约不良行为系统已启用，投标承诺的人员不到场以及其他履约不良记录，将会被系统记录，影响后续参加我市招投标活动，请各投标人慎重选派项目人员，诚信投标、确保履约。</w:t>
      </w:r>
    </w:p>
    <w:p>
      <w:pPr>
        <w:widowControl/>
        <w:spacing w:line="480" w:lineRule="exact"/>
        <w:ind w:firstLine="420" w:firstLineChars="200"/>
        <w:jc w:val="left"/>
        <w:rPr>
          <w:rFonts w:ascii="宋体" w:hAnsi="宋体" w:cs="宋体"/>
          <w:kern w:val="0"/>
          <w:szCs w:val="21"/>
        </w:rPr>
      </w:pPr>
      <w:r>
        <w:rPr>
          <w:rFonts w:hint="eastAsia" w:ascii="宋体" w:hAnsi="宋体" w:cs="宋体"/>
          <w:kern w:val="0"/>
          <w:szCs w:val="21"/>
        </w:rPr>
        <w:t>五、投标保证金的缴纳</w:t>
      </w:r>
    </w:p>
    <w:p>
      <w:pPr>
        <w:widowControl/>
        <w:spacing w:line="480" w:lineRule="exact"/>
        <w:ind w:firstLine="420" w:firstLineChars="200"/>
        <w:jc w:val="left"/>
        <w:rPr>
          <w:rFonts w:ascii="宋体" w:hAnsi="宋体" w:cs="宋体"/>
          <w:kern w:val="0"/>
          <w:szCs w:val="21"/>
        </w:rPr>
      </w:pPr>
      <w:r>
        <w:rPr>
          <w:rFonts w:hint="eastAsia" w:ascii="宋体" w:hAnsi="宋体" w:cs="宋体"/>
          <w:kern w:val="0"/>
          <w:szCs w:val="21"/>
        </w:rPr>
        <w:t>5.1 投标人在递交投标文件的同时，应按规定的金额（大写：人民币贰万元整，小写：20000.00元）形式递交投标保证金，并作为其投标文件的组成部分。</w:t>
      </w:r>
    </w:p>
    <w:p>
      <w:pPr>
        <w:widowControl/>
        <w:spacing w:line="480" w:lineRule="exact"/>
        <w:ind w:firstLine="420" w:firstLineChars="200"/>
        <w:jc w:val="left"/>
      </w:pPr>
      <w:r>
        <w:rPr>
          <w:rFonts w:hint="eastAsia" w:ascii="宋体" w:hAnsi="宋体" w:cs="宋体"/>
          <w:kern w:val="0"/>
          <w:szCs w:val="21"/>
        </w:rPr>
        <w:t>5.2投标保证金可采用现金、电子保函（保单）形式，投标人根据企业实际情况合理选择投标保证金的缴纳形式，不同缴纳形式具有同等法律效力。具体缴纳方式为：</w:t>
      </w:r>
    </w:p>
    <w:p>
      <w:pPr>
        <w:widowControl/>
        <w:spacing w:line="480" w:lineRule="exact"/>
        <w:ind w:firstLine="420" w:firstLineChars="200"/>
        <w:jc w:val="left"/>
      </w:pPr>
      <w:r>
        <w:rPr>
          <w:rFonts w:hint="eastAsia" w:ascii="宋体" w:hAnsi="宋体" w:cs="宋体"/>
          <w:kern w:val="0"/>
          <w:szCs w:val="21"/>
        </w:rPr>
        <w:t>5.2.1 现金保证金缴纳方式：招标人委托盐城市大丰区公共资源交易中心负责保证金的管理，投标人必须在投标文件递交截止时间前将投标保证金从投标人本单位的基本账户上直接转（汇）至盐城市大丰区公共资源交易中心投标保证金专用帐户（</w:t>
      </w:r>
      <w:r>
        <w:rPr>
          <w:rFonts w:hint="eastAsia" w:ascii="宋体" w:hAnsi="宋体" w:cs="宋体"/>
          <w:b/>
          <w:bCs/>
          <w:kern w:val="0"/>
          <w:szCs w:val="21"/>
          <w:u w:val="single"/>
        </w:rPr>
        <w:t>收款单位：盐城市大丰区公共资源交易中心，开户银行：江苏大丰农村商业银行创业支行，</w:t>
      </w:r>
      <w:r>
        <w:rPr>
          <w:rFonts w:hint="eastAsia" w:ascii="宋体" w:hAnsi="宋体" w:eastAsia="宋体" w:cs="宋体"/>
          <w:b/>
          <w:bCs/>
          <w:kern w:val="0"/>
          <w:szCs w:val="21"/>
          <w:u w:val="single"/>
        </w:rPr>
        <w:t>账号：3209820531010000113810</w:t>
      </w:r>
      <w:r>
        <w:rPr>
          <w:rFonts w:hint="eastAsia" w:ascii="宋体" w:hAnsi="宋体" w:eastAsia="宋体" w:cs="宋体"/>
          <w:b w:val="0"/>
          <w:bCs w:val="0"/>
          <w:kern w:val="0"/>
          <w:szCs w:val="21"/>
          <w:u w:val="single"/>
          <w:lang w:eastAsia="zh-CN"/>
        </w:rPr>
        <w:t>）</w:t>
      </w:r>
      <w:r>
        <w:rPr>
          <w:rFonts w:hint="eastAsia" w:ascii="宋体" w:hAnsi="宋体" w:eastAsia="宋体" w:cs="宋体"/>
          <w:b w:val="0"/>
          <w:bCs w:val="0"/>
          <w:kern w:val="0"/>
          <w:szCs w:val="21"/>
          <w:u w:val="single"/>
        </w:rPr>
        <w:t>。</w:t>
      </w:r>
    </w:p>
    <w:p>
      <w:pPr>
        <w:widowControl/>
        <w:adjustRightInd w:val="0"/>
        <w:snapToGrid w:val="0"/>
        <w:spacing w:line="480" w:lineRule="exact"/>
        <w:ind w:firstLine="420" w:firstLineChars="200"/>
        <w:jc w:val="left"/>
      </w:pPr>
      <w:r>
        <w:rPr>
          <w:rFonts w:hint="eastAsia" w:ascii="宋体" w:hAnsi="宋体" w:cs="宋体"/>
          <w:kern w:val="0"/>
          <w:szCs w:val="21"/>
        </w:rPr>
        <w:t>特别提醒：1、请各投标人提前1个工作日办理投标保证金缴纳手续，以确保投标保证金在投标截止时间前到达指定账户，没有到账的保证金一律无效。未按招标文件约定要求缴纳投标保证金，其投标文件作无效标处理。</w:t>
      </w:r>
    </w:p>
    <w:p>
      <w:pPr>
        <w:widowControl/>
        <w:adjustRightInd w:val="0"/>
        <w:snapToGrid w:val="0"/>
        <w:spacing w:line="480" w:lineRule="exact"/>
        <w:ind w:firstLine="420" w:firstLineChars="200"/>
        <w:jc w:val="left"/>
      </w:pPr>
      <w:r>
        <w:rPr>
          <w:rFonts w:hint="eastAsia" w:ascii="宋体" w:hAnsi="宋体" w:cs="宋体"/>
          <w:kern w:val="0"/>
          <w:szCs w:val="21"/>
        </w:rPr>
        <w:t>投标人在缴纳保证金后，请至会员系统保证金到账情况中查看，选中该标段点击"查看"按钮，在弹出页面中确认付款账号和诚信库中录入的基本户开户账号是否一致(请确保基本户开户账号中没有空格)。投标人需认真核对诚信库及投标文件中有关保证金基本账户信息，正确操作。因开标现场不再核验保证金收据，以开标现场开标系统显示的信息为准。如开标现场开评标系统未显示保证金已缴纳或显示与投标人基本账户不一致的，一律视为投标保证金未按招标文件约定要求缴纳，其投标文件作无效标处理。</w:t>
      </w:r>
    </w:p>
    <w:p>
      <w:pPr>
        <w:widowControl/>
        <w:adjustRightInd w:val="0"/>
        <w:snapToGrid w:val="0"/>
        <w:spacing w:line="480" w:lineRule="exact"/>
        <w:ind w:firstLine="420" w:firstLineChars="200"/>
        <w:jc w:val="left"/>
      </w:pPr>
      <w:r>
        <w:rPr>
          <w:rFonts w:hint="eastAsia" w:ascii="宋体" w:hAnsi="宋体" w:cs="宋体"/>
          <w:kern w:val="0"/>
          <w:szCs w:val="21"/>
        </w:rPr>
        <w:t>投标人的保证金账户必须是投标人本单位的基本账户，且与盐城市公共资源交易企业诚信库登记账户一致。如果不一致，银行将会自动退回该项目投标保证金，投标人将失去该项目的投标资格。</w:t>
      </w:r>
    </w:p>
    <w:p>
      <w:pPr>
        <w:widowControl/>
        <w:adjustRightInd w:val="0"/>
        <w:snapToGrid w:val="0"/>
        <w:spacing w:line="480" w:lineRule="exact"/>
        <w:ind w:firstLine="420" w:firstLineChars="200"/>
        <w:jc w:val="left"/>
      </w:pPr>
      <w:r>
        <w:rPr>
          <w:rFonts w:hint="eastAsia" w:ascii="宋体" w:hAnsi="宋体" w:cs="宋体"/>
          <w:kern w:val="0"/>
          <w:szCs w:val="21"/>
        </w:rPr>
        <w:t>5.2.2电子保函（保单）保证金缴纳方式：电子保函（保单）保证金缴纳方式按照“一标段一保函”的原则，投标人必须在投标文件递交截止时间前一日17时前通过建设工程保函平台（登录地址：http://www.ycsggzy.com:9922/ycfinanceplatform）办理完成，确保保险起始时间在开标时间前，否则，按无效标处理。具体操作流程详见盐城市公共资源交易平台网站“办事指南”栏目“房建市政”（登录地址：http://www.ycsggzy.com/bszn/020001/superviseInfo2.html）中《电子保函（保单）业务操作手册》。</w:t>
      </w:r>
    </w:p>
    <w:p>
      <w:pPr>
        <w:widowControl/>
        <w:adjustRightInd w:val="0"/>
        <w:snapToGrid w:val="0"/>
        <w:spacing w:line="480" w:lineRule="exact"/>
        <w:ind w:firstLine="420" w:firstLineChars="200"/>
        <w:jc w:val="left"/>
        <w:rPr>
          <w:rFonts w:ascii="宋体" w:hAnsi="宋体" w:cs="宋体"/>
          <w:kern w:val="0"/>
          <w:szCs w:val="21"/>
        </w:rPr>
      </w:pPr>
      <w:r>
        <w:rPr>
          <w:rFonts w:hint="eastAsia" w:ascii="宋体" w:hAnsi="宋体" w:cs="宋体"/>
          <w:kern w:val="0"/>
          <w:szCs w:val="21"/>
        </w:rPr>
        <w:t>投标人采用电子保函（保单）形式缴纳投标保证金的，在投标截止日之前须到建设工程保函平台中确认是否生效。在使用过程中发现问题请及时与相关技术保障人员联系解决。</w:t>
      </w:r>
    </w:p>
    <w:p>
      <w:pPr>
        <w:spacing w:line="480" w:lineRule="exact"/>
        <w:ind w:firstLine="422" w:firstLineChars="200"/>
        <w:rPr>
          <w:rFonts w:ascii="宋体" w:hAnsi="宋体" w:cs="宋体"/>
          <w:b/>
          <w:bCs/>
          <w:color w:val="000000"/>
          <w:szCs w:val="21"/>
        </w:rPr>
      </w:pPr>
      <w:r>
        <w:rPr>
          <w:rFonts w:hint="eastAsia" w:ascii="宋体" w:hAnsi="宋体" w:cs="宋体"/>
          <w:b/>
          <w:bCs/>
          <w:color w:val="000000"/>
          <w:szCs w:val="21"/>
        </w:rPr>
        <w:t>根据盐政发〔2020〕57 号精神，获得我市2019年度、2020 年度建筑业星级企业或建筑业发展先进企业，投标人提供获奖证明或文件扫描件的可免交本项目投标保证金、履约保证金等缴纳的相关保证金。属于免交情形的提供盐城市建筑业星级企业或建筑业发展先进企业获奖证明或文件扫描件，未提供证明文件的视为未缴纳保证金，按无效标处理。</w:t>
      </w:r>
    </w:p>
    <w:p>
      <w:pPr>
        <w:widowControl/>
        <w:spacing w:line="480" w:lineRule="exact"/>
        <w:ind w:firstLine="422" w:firstLineChars="200"/>
        <w:jc w:val="left"/>
        <w:rPr>
          <w:rFonts w:ascii="宋体" w:hAnsi="宋体" w:cs="宋体"/>
          <w:b/>
          <w:bCs/>
          <w:color w:val="000000"/>
          <w:szCs w:val="21"/>
        </w:rPr>
      </w:pPr>
      <w:r>
        <w:rPr>
          <w:rFonts w:hint="eastAsia" w:ascii="宋体" w:hAnsi="宋体" w:cs="宋体"/>
          <w:b/>
          <w:bCs/>
          <w:color w:val="000000"/>
          <w:szCs w:val="21"/>
        </w:rPr>
        <w:t>如投标人属于上述免交情形的，为便于本项目开标活动顺利开展，投标人须从其基本账户缴纳1元至本项目投标保证金子账户，开、评标结束后即可退回。属于免交情形的提供盐城市建筑业星级企业和建筑业发展先进企业获奖证明或文件扫描件，未提供证明文件的视为未缴纳保证金，其投标文件作无效标处理。</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六、</w:t>
      </w:r>
      <w:bookmarkStart w:id="3" w:name="_Toc389065126"/>
      <w:r>
        <w:rPr>
          <w:rFonts w:hint="eastAsia" w:asciiTheme="minorEastAsia" w:hAnsiTheme="minorEastAsia" w:eastAsiaTheme="minorEastAsia" w:cstheme="minorEastAsia"/>
          <w:color w:val="000000" w:themeColor="text1"/>
          <w:kern w:val="0"/>
          <w:szCs w:val="21"/>
        </w:rPr>
        <w:t>招标文件的获取</w:t>
      </w:r>
      <w:bookmarkEnd w:id="3"/>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bookmarkStart w:id="4" w:name="_Toc389065127"/>
      <w:bookmarkStart w:id="5" w:name="_Toc498006636"/>
      <w:r>
        <w:rPr>
          <w:rFonts w:hint="eastAsia" w:asciiTheme="minorEastAsia" w:hAnsiTheme="minorEastAsia" w:eastAsiaTheme="minorEastAsia" w:cstheme="minorEastAsia"/>
          <w:color w:val="000000" w:themeColor="text1"/>
          <w:kern w:val="0"/>
          <w:szCs w:val="21"/>
        </w:rPr>
        <w:t>6.1请各投标申请人于2021年8月6日至2021年8月13日18时前用CA锁登陆“盐城市招投标会员网上交易系统大丰平台”网上下载招标文件。</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下载网址：http://221.231.4.242:81/yanchenghuiyuan，如在规定时间内未下载招标文件，将导致无法上传投标文件，由此引起的责任自负。</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6.2招标文件每套售价250元，售后不退。</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七、投标</w:t>
      </w:r>
      <w:bookmarkEnd w:id="4"/>
      <w:r>
        <w:rPr>
          <w:rFonts w:hint="eastAsia" w:asciiTheme="minorEastAsia" w:hAnsiTheme="minorEastAsia" w:eastAsiaTheme="minorEastAsia" w:cstheme="minorEastAsia"/>
          <w:color w:val="000000" w:themeColor="text1"/>
          <w:kern w:val="0"/>
          <w:szCs w:val="21"/>
        </w:rPr>
        <w:t>截止时间</w:t>
      </w:r>
      <w:bookmarkEnd w:id="5"/>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7.1 投标截止时间为 ：</w:t>
      </w:r>
      <w:r>
        <w:rPr>
          <w:rFonts w:hint="eastAsia" w:asciiTheme="minorEastAsia" w:hAnsiTheme="minorEastAsia" w:eastAsiaTheme="minorEastAsia" w:cstheme="minorEastAsia"/>
          <w:color w:val="000000" w:themeColor="text1"/>
          <w:kern w:val="0"/>
          <w:szCs w:val="21"/>
          <w:u w:val="single"/>
        </w:rPr>
        <w:t>2021年8月25日9时</w:t>
      </w:r>
      <w:r>
        <w:rPr>
          <w:rFonts w:hint="eastAsia" w:asciiTheme="minorEastAsia" w:hAnsiTheme="minorEastAsia" w:eastAsiaTheme="minorEastAsia" w:cstheme="minorEastAsia"/>
          <w:color w:val="000000" w:themeColor="text1"/>
          <w:kern w:val="0"/>
          <w:szCs w:val="21"/>
          <w:u w:val="single"/>
          <w:lang w:val="en-US" w:eastAsia="zh-CN"/>
        </w:rPr>
        <w:t>00</w:t>
      </w:r>
      <w:r>
        <w:rPr>
          <w:rFonts w:hint="eastAsia" w:asciiTheme="minorEastAsia" w:hAnsiTheme="minorEastAsia" w:eastAsiaTheme="minorEastAsia" w:cstheme="minorEastAsia"/>
          <w:color w:val="000000" w:themeColor="text1"/>
          <w:kern w:val="0"/>
          <w:szCs w:val="21"/>
          <w:u w:val="single"/>
        </w:rPr>
        <w:t>分</w:t>
      </w:r>
      <w:r>
        <w:rPr>
          <w:rFonts w:hint="eastAsia" w:asciiTheme="minorEastAsia" w:hAnsiTheme="minorEastAsia" w:eastAsiaTheme="minorEastAsia" w:cstheme="minorEastAsia"/>
          <w:color w:val="000000" w:themeColor="text1"/>
          <w:kern w:val="0"/>
          <w:szCs w:val="21"/>
        </w:rPr>
        <w:t>。</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7.2逾期送达的投标文件，招标人不予受理。</w:t>
      </w:r>
    </w:p>
    <w:p>
      <w:pPr>
        <w:widowControl/>
        <w:numPr>
          <w:ilvl w:val="0"/>
          <w:numId w:val="1"/>
        </w:numPr>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本项目对投标申请人的资格审查采用资格后审方式，由评标委员会根据招标文件进行评定；报名时不进行报名资料的任何审查，由意向投标人自行判断是否符合投标资格。</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凡具备承担本招标工程项目的能力的企业，均可以参加大丰区城镇污水处理设施提标改造工程二期施工阶段全过程造价咨询服务一个或多个标段的投标，但同一投标人只能中其中一个标段。</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highlight w:val="red"/>
        </w:rPr>
      </w:pPr>
      <w:r>
        <w:rPr>
          <w:rFonts w:hint="eastAsia" w:asciiTheme="minorEastAsia" w:hAnsiTheme="minorEastAsia" w:eastAsiaTheme="minorEastAsia" w:cstheme="minorEastAsia"/>
          <w:color w:val="000000" w:themeColor="text1"/>
          <w:kern w:val="0"/>
          <w:szCs w:val="21"/>
        </w:rPr>
        <w:t>评标、定标顺序：按1标段→</w:t>
      </w:r>
      <w:r>
        <w:rPr>
          <w:rFonts w:hint="eastAsia" w:asciiTheme="minorEastAsia" w:hAnsiTheme="minorEastAsia" w:eastAsiaTheme="minorEastAsia" w:cstheme="minorEastAsia"/>
          <w:color w:val="000000" w:themeColor="text1"/>
          <w:kern w:val="0"/>
          <w:szCs w:val="21"/>
          <w:lang w:eastAsia="zh-CN"/>
        </w:rPr>
        <w:t>1标段</w:t>
      </w:r>
      <w:r>
        <w:rPr>
          <w:rFonts w:hint="eastAsia" w:asciiTheme="minorEastAsia" w:hAnsiTheme="minorEastAsia" w:eastAsiaTheme="minorEastAsia" w:cstheme="minorEastAsia"/>
          <w:color w:val="000000" w:themeColor="text1"/>
          <w:kern w:val="0"/>
          <w:szCs w:val="21"/>
        </w:rPr>
        <w:t>→3标段顺序进行，在1标段评审过程中被评标委员会确定排名第一的中标候选人的投标人将不作为后序中标候选人的推荐，但其有效投标报价仍参加后序的评审，依次类推。</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九、本招标项目采用的评标方法：合理低价法。</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十、本招标项目招标公告发布媒介：本次招标公告同时在江苏建设工程招标网、大丰公共资源交易平台上发布。</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十一、不见面开标特别提醒：</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纸质文件开标。开标当日，投标人无需到达开标现场，仅需在任意地点通过PC端或移动端的“腾讯会议”及相应的配套硬件设备参加开标会议。</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参加会议的方法（必选）：电脑或智能手机可以搜索下载并安装“腾讯会议”，注册完成后点击“加入会议”，输入会议号（</w:t>
      </w:r>
      <w:r>
        <w:rPr>
          <w:rFonts w:hint="eastAsia" w:hAnsi="宋体" w:eastAsiaTheme="minorEastAsia"/>
          <w:color w:val="000000"/>
          <w:szCs w:val="21"/>
          <w:u w:val="single"/>
          <w:lang w:eastAsia="zh-CN"/>
        </w:rPr>
        <w:t>496-477-282</w:t>
      </w:r>
      <w:r>
        <w:rPr>
          <w:rFonts w:hint="eastAsia" w:asciiTheme="minorEastAsia" w:hAnsiTheme="minorEastAsia" w:eastAsiaTheme="minorEastAsia" w:cstheme="minorEastAsia"/>
          <w:color w:val="000000" w:themeColor="text1"/>
          <w:kern w:val="0"/>
          <w:szCs w:val="21"/>
        </w:rPr>
        <w:t>），“您的姓名”按“单位简称+授权委托人姓名”格式填写，然后点击“加入会议”。会议系统将在投标截止时间前10分钟开放。</w:t>
      </w:r>
    </w:p>
    <w:p>
      <w:pPr>
        <w:widowControl/>
        <w:numPr>
          <w:ilvl w:val="0"/>
          <w:numId w:val="2"/>
        </w:numPr>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投标文件递交地点：盐城市大丰区丰华国际大厦二楼西侧大厅（盐城市大丰区飞达路100号，北门进，右侧自动扶梯上）。</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2.1投标文件提交开始及截止时间：</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纸质投标文件的递交开始时间：2021年8月25日</w:t>
      </w:r>
      <w:r>
        <w:rPr>
          <w:rFonts w:hint="eastAsia" w:asciiTheme="minorEastAsia" w:hAnsiTheme="minorEastAsia" w:eastAsiaTheme="minorEastAsia" w:cstheme="minorEastAsia"/>
          <w:color w:val="000000" w:themeColor="text1"/>
          <w:kern w:val="0"/>
          <w:szCs w:val="21"/>
          <w:lang w:val="en-US" w:eastAsia="zh-CN"/>
        </w:rPr>
        <w:t>8</w:t>
      </w:r>
      <w:r>
        <w:rPr>
          <w:rFonts w:hint="eastAsia" w:asciiTheme="minorEastAsia" w:hAnsiTheme="minorEastAsia" w:eastAsiaTheme="minorEastAsia" w:cstheme="minorEastAsia"/>
          <w:color w:val="000000" w:themeColor="text1"/>
          <w:kern w:val="0"/>
          <w:szCs w:val="21"/>
        </w:rPr>
        <w:t>时</w:t>
      </w:r>
      <w:r>
        <w:rPr>
          <w:rFonts w:hint="eastAsia" w:asciiTheme="minorEastAsia" w:hAnsiTheme="minorEastAsia" w:eastAsiaTheme="minorEastAsia" w:cstheme="minorEastAsia"/>
          <w:color w:val="000000" w:themeColor="text1"/>
          <w:kern w:val="0"/>
          <w:szCs w:val="21"/>
          <w:lang w:val="en-US" w:eastAsia="zh-CN"/>
        </w:rPr>
        <w:t>30</w:t>
      </w:r>
      <w:r>
        <w:rPr>
          <w:rFonts w:hint="eastAsia" w:asciiTheme="minorEastAsia" w:hAnsiTheme="minorEastAsia" w:eastAsiaTheme="minorEastAsia" w:cstheme="minorEastAsia"/>
          <w:color w:val="000000" w:themeColor="text1"/>
          <w:kern w:val="0"/>
          <w:szCs w:val="21"/>
        </w:rPr>
        <w:t>分</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纸质投标文件的递交截止时间、投标保证金缴纳截止时间：2021年8月25日9时</w:t>
      </w:r>
      <w:r>
        <w:rPr>
          <w:rFonts w:hint="eastAsia" w:asciiTheme="minorEastAsia" w:hAnsiTheme="minorEastAsia" w:eastAsiaTheme="minorEastAsia" w:cstheme="minorEastAsia"/>
          <w:color w:val="000000" w:themeColor="text1"/>
          <w:kern w:val="0"/>
          <w:szCs w:val="21"/>
          <w:lang w:val="en-US" w:eastAsia="zh-CN"/>
        </w:rPr>
        <w:t>00</w:t>
      </w:r>
      <w:r>
        <w:rPr>
          <w:rFonts w:hint="eastAsia" w:asciiTheme="minorEastAsia" w:hAnsiTheme="minorEastAsia" w:eastAsiaTheme="minorEastAsia" w:cstheme="minorEastAsia"/>
          <w:color w:val="000000" w:themeColor="text1"/>
          <w:kern w:val="0"/>
          <w:szCs w:val="21"/>
        </w:rPr>
        <w:t>分，逾期提交的文件拒绝接受。</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开标时间：2021年8月25日9时</w:t>
      </w:r>
      <w:r>
        <w:rPr>
          <w:rFonts w:hint="eastAsia" w:asciiTheme="minorEastAsia" w:hAnsiTheme="minorEastAsia" w:eastAsiaTheme="minorEastAsia" w:cstheme="minorEastAsia"/>
          <w:color w:val="000000" w:themeColor="text1"/>
          <w:kern w:val="0"/>
          <w:szCs w:val="21"/>
          <w:lang w:val="en-US" w:eastAsia="zh-CN"/>
        </w:rPr>
        <w:t>00</w:t>
      </w:r>
      <w:r>
        <w:rPr>
          <w:rFonts w:hint="eastAsia" w:asciiTheme="minorEastAsia" w:hAnsiTheme="minorEastAsia" w:eastAsiaTheme="minorEastAsia" w:cstheme="minorEastAsia"/>
          <w:color w:val="000000" w:themeColor="text1"/>
          <w:kern w:val="0"/>
          <w:szCs w:val="21"/>
        </w:rPr>
        <w:t>分</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为防止集中拥堵递交投标文件，请各投标单位尽可能提早递交。</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十二、联系方式</w:t>
      </w:r>
    </w:p>
    <w:p>
      <w:pPr>
        <w:widowControl/>
        <w:shd w:val="clear" w:color="auto" w:fill="FFFFFF"/>
        <w:spacing w:line="48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招 标 人：盐城市大丰区城镇净水有限公司 </w:t>
      </w:r>
    </w:p>
    <w:p>
      <w:pPr>
        <w:widowControl/>
        <w:shd w:val="clear" w:color="auto" w:fill="FFFFFF"/>
        <w:spacing w:line="48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联系人：丁国辉</w:t>
      </w:r>
    </w:p>
    <w:p>
      <w:pPr>
        <w:widowControl/>
        <w:shd w:val="clear" w:color="auto" w:fill="FFFFFF"/>
        <w:spacing w:line="48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联系地址：大丰区飞达路与丰华路交叉口东北角</w:t>
      </w:r>
    </w:p>
    <w:p>
      <w:pPr>
        <w:widowControl/>
        <w:shd w:val="clear" w:color="auto" w:fill="FFFFFF"/>
        <w:spacing w:line="48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联系电话：15151085991</w:t>
      </w:r>
    </w:p>
    <w:p>
      <w:pPr>
        <w:widowControl/>
        <w:shd w:val="clear" w:color="auto" w:fill="FFFFFF"/>
        <w:spacing w:line="48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招标代理：</w:t>
      </w:r>
      <w:r>
        <w:rPr>
          <w:rFonts w:hint="eastAsia" w:ascii="宋体" w:hAnsi="宋体"/>
          <w:color w:val="000000" w:themeColor="text1"/>
          <w:kern w:val="0"/>
          <w:szCs w:val="21"/>
          <w:lang w:eastAsia="zh-CN"/>
        </w:rPr>
        <w:t>江苏仁禾中衡工程咨询房地产估价有限公司</w:t>
      </w:r>
      <w:r>
        <w:rPr>
          <w:rFonts w:hint="eastAsia" w:ascii="宋体" w:hAnsi="宋体"/>
          <w:color w:val="000000" w:themeColor="text1"/>
          <w:kern w:val="0"/>
          <w:szCs w:val="21"/>
        </w:rPr>
        <w:t>     </w:t>
      </w:r>
    </w:p>
    <w:p>
      <w:pPr>
        <w:widowControl/>
        <w:shd w:val="clear" w:color="auto" w:fill="FFFFFF"/>
        <w:spacing w:line="480" w:lineRule="exact"/>
        <w:ind w:firstLine="420" w:firstLineChars="200"/>
        <w:jc w:val="left"/>
        <w:rPr>
          <w:rFonts w:hint="eastAsia" w:ascii="宋体" w:hAnsi="宋体" w:eastAsia="宋体"/>
          <w:color w:val="000000" w:themeColor="text1"/>
          <w:kern w:val="0"/>
          <w:szCs w:val="21"/>
          <w:lang w:eastAsia="zh-CN"/>
        </w:rPr>
      </w:pPr>
      <w:r>
        <w:rPr>
          <w:rFonts w:hint="eastAsia" w:ascii="宋体" w:hAnsi="宋体"/>
          <w:color w:val="000000" w:themeColor="text1"/>
          <w:kern w:val="0"/>
          <w:szCs w:val="21"/>
        </w:rPr>
        <w:t>联系地址：</w:t>
      </w:r>
      <w:r>
        <w:rPr>
          <w:rFonts w:hint="eastAsia" w:ascii="宋体" w:hAnsi="宋体"/>
          <w:color w:val="000000" w:themeColor="text1"/>
          <w:kern w:val="0"/>
          <w:szCs w:val="21"/>
          <w:lang w:eastAsia="zh-CN"/>
        </w:rPr>
        <w:t>大丰区丰尚国际1号楼9楼</w:t>
      </w:r>
    </w:p>
    <w:p>
      <w:pPr>
        <w:widowControl/>
        <w:shd w:val="clear" w:color="auto" w:fill="FFFFFF"/>
        <w:spacing w:line="480" w:lineRule="exact"/>
        <w:ind w:firstLine="420" w:firstLineChars="200"/>
        <w:jc w:val="left"/>
        <w:rPr>
          <w:rFonts w:hint="eastAsia" w:ascii="宋体" w:hAnsi="宋体" w:eastAsia="宋体"/>
          <w:color w:val="000000" w:themeColor="text1"/>
          <w:kern w:val="0"/>
          <w:szCs w:val="21"/>
          <w:lang w:eastAsia="zh-CN"/>
        </w:rPr>
      </w:pPr>
      <w:r>
        <w:rPr>
          <w:rFonts w:hint="eastAsia" w:ascii="宋体" w:hAnsi="宋体"/>
          <w:color w:val="000000" w:themeColor="text1"/>
          <w:kern w:val="0"/>
          <w:szCs w:val="21"/>
        </w:rPr>
        <w:t>联 系 人：</w:t>
      </w:r>
      <w:r>
        <w:rPr>
          <w:rFonts w:hint="eastAsia" w:ascii="宋体" w:hAnsi="宋体"/>
          <w:color w:val="000000" w:themeColor="text1"/>
          <w:kern w:val="0"/>
          <w:szCs w:val="21"/>
          <w:lang w:eastAsia="zh-CN"/>
        </w:rPr>
        <w:t>李杨</w:t>
      </w:r>
    </w:p>
    <w:p>
      <w:pPr>
        <w:widowControl/>
        <w:shd w:val="clear" w:color="auto" w:fill="FFFFFF"/>
        <w:spacing w:line="480" w:lineRule="exact"/>
        <w:ind w:firstLine="420" w:firstLineChars="200"/>
        <w:jc w:val="left"/>
        <w:rPr>
          <w:rFonts w:hint="eastAsia" w:ascii="宋体" w:hAnsi="宋体" w:eastAsia="宋体"/>
          <w:color w:val="000000" w:themeColor="text1"/>
          <w:kern w:val="0"/>
          <w:szCs w:val="21"/>
          <w:lang w:eastAsia="zh-CN"/>
        </w:rPr>
      </w:pPr>
      <w:r>
        <w:rPr>
          <w:rFonts w:hint="eastAsia" w:ascii="宋体" w:hAnsi="宋体"/>
          <w:color w:val="000000" w:themeColor="text1"/>
          <w:kern w:val="0"/>
          <w:szCs w:val="21"/>
        </w:rPr>
        <w:t xml:space="preserve">联系电话： </w:t>
      </w:r>
      <w:bookmarkEnd w:id="1"/>
      <w:r>
        <w:rPr>
          <w:rFonts w:hint="eastAsia" w:ascii="宋体" w:hAnsi="宋体"/>
          <w:color w:val="000000" w:themeColor="text1"/>
          <w:kern w:val="0"/>
          <w:szCs w:val="21"/>
          <w:lang w:eastAsia="zh-CN"/>
        </w:rPr>
        <w:t>15295367065</w:t>
      </w:r>
    </w:p>
    <w:bookmarkEnd w:id="2"/>
    <w:p>
      <w:pPr>
        <w:widowControl/>
        <w:spacing w:line="500" w:lineRule="exact"/>
        <w:ind w:firstLine="540" w:firstLineChars="225"/>
        <w:jc w:val="left"/>
        <w:rPr>
          <w:rFonts w:asciiTheme="minorEastAsia" w:hAnsiTheme="minorEastAsia" w:eastAsiaTheme="minorEastAsia" w:cstheme="minorEastAsia"/>
          <w:color w:val="000000" w:themeColor="text1"/>
          <w:sz w:val="24"/>
        </w:rPr>
      </w:pPr>
    </w:p>
    <w:p>
      <w:pPr>
        <w:widowControl/>
        <w:spacing w:line="500" w:lineRule="exact"/>
        <w:jc w:val="center"/>
        <w:rPr>
          <w:rFonts w:asciiTheme="minorEastAsia" w:hAnsiTheme="minorEastAsia" w:eastAsiaTheme="minorEastAsia" w:cstheme="minorEastAsia"/>
          <w:b/>
          <w:color w:val="000000" w:themeColor="text1"/>
          <w:sz w:val="44"/>
          <w:szCs w:val="44"/>
        </w:rPr>
      </w:pPr>
      <w:r>
        <w:rPr>
          <w:rFonts w:hint="eastAsia" w:asciiTheme="minorEastAsia" w:hAnsiTheme="minorEastAsia" w:eastAsiaTheme="minorEastAsia" w:cstheme="minorEastAsia"/>
          <w:color w:val="000000" w:themeColor="text1"/>
          <w:szCs w:val="21"/>
        </w:rPr>
        <w:br w:type="page"/>
      </w:r>
      <w:r>
        <w:rPr>
          <w:rFonts w:hint="eastAsia" w:asciiTheme="minorEastAsia" w:hAnsiTheme="minorEastAsia" w:eastAsiaTheme="minorEastAsia" w:cstheme="minorEastAsia"/>
          <w:b/>
          <w:color w:val="000000" w:themeColor="text1"/>
          <w:sz w:val="44"/>
          <w:szCs w:val="44"/>
        </w:rPr>
        <w:t>第二章  投标人须知</w:t>
      </w:r>
      <w:bookmarkEnd w:id="0"/>
    </w:p>
    <w:p>
      <w:pPr>
        <w:pStyle w:val="4"/>
        <w:jc w:val="center"/>
        <w:rPr>
          <w:rFonts w:asciiTheme="minorEastAsia" w:hAnsiTheme="minorEastAsia" w:eastAsiaTheme="minorEastAsia" w:cstheme="minorEastAsia"/>
          <w:color w:val="000000" w:themeColor="text1"/>
          <w:sz w:val="21"/>
          <w:szCs w:val="21"/>
        </w:rPr>
      </w:pPr>
      <w:bookmarkStart w:id="6" w:name="_Toc398107836"/>
      <w:r>
        <w:rPr>
          <w:rFonts w:hint="eastAsia" w:asciiTheme="minorEastAsia" w:hAnsiTheme="minorEastAsia" w:eastAsiaTheme="minorEastAsia" w:cstheme="minorEastAsia"/>
          <w:color w:val="000000" w:themeColor="text1"/>
          <w:sz w:val="21"/>
          <w:szCs w:val="21"/>
        </w:rPr>
        <w:t>投标人须知前附表</w:t>
      </w:r>
      <w:bookmarkEnd w:id="6"/>
    </w:p>
    <w:tbl>
      <w:tblPr>
        <w:tblStyle w:val="41"/>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1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6" w:type="dxa"/>
            <w:vAlign w:val="center"/>
          </w:tcPr>
          <w:p>
            <w:pPr>
              <w:spacing w:line="360" w:lineRule="exac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条款号</w:t>
            </w:r>
          </w:p>
        </w:tc>
        <w:tc>
          <w:tcPr>
            <w:tcW w:w="2817" w:type="dxa"/>
            <w:vAlign w:val="center"/>
          </w:tcPr>
          <w:p>
            <w:pPr>
              <w:spacing w:line="360" w:lineRule="exact"/>
              <w:jc w:val="center"/>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条款名称</w:t>
            </w:r>
          </w:p>
        </w:tc>
        <w:tc>
          <w:tcPr>
            <w:tcW w:w="5812" w:type="dxa"/>
            <w:vAlign w:val="center"/>
          </w:tcPr>
          <w:p>
            <w:pPr>
              <w:spacing w:line="360" w:lineRule="exact"/>
              <w:jc w:val="center"/>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1.1.2</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招标人</w:t>
            </w:r>
          </w:p>
        </w:tc>
        <w:tc>
          <w:tcPr>
            <w:tcW w:w="5812" w:type="dxa"/>
          </w:tcPr>
          <w:p>
            <w:pPr>
              <w:autoSpaceDE w:val="0"/>
              <w:autoSpaceDN w:val="0"/>
              <w:adjustRightInd w:val="0"/>
              <w:spacing w:line="36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招标人：盐城市大丰区城镇净水有限公司</w:t>
            </w:r>
          </w:p>
          <w:p>
            <w:pPr>
              <w:autoSpaceDE w:val="0"/>
              <w:autoSpaceDN w:val="0"/>
              <w:adjustRightInd w:val="0"/>
              <w:spacing w:line="36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联系地址：</w:t>
            </w:r>
            <w:r>
              <w:rPr>
                <w:rFonts w:hint="eastAsia" w:ascii="宋体" w:hAnsi="宋体" w:eastAsiaTheme="minorEastAsia"/>
                <w:color w:val="000000" w:themeColor="text1"/>
                <w:kern w:val="0"/>
                <w:szCs w:val="21"/>
              </w:rPr>
              <w:t>大丰区飞达路与丰华路交叉口东北角</w:t>
            </w:r>
          </w:p>
          <w:p>
            <w:pPr>
              <w:autoSpaceDE w:val="0"/>
              <w:autoSpaceDN w:val="0"/>
              <w:adjustRightInd w:val="0"/>
              <w:spacing w:line="36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联 系 人：</w:t>
            </w:r>
            <w:r>
              <w:rPr>
                <w:rFonts w:hint="eastAsia" w:ascii="宋体" w:hAnsi="宋体" w:eastAsiaTheme="minorEastAsia"/>
                <w:color w:val="000000" w:themeColor="text1"/>
                <w:kern w:val="0"/>
                <w:szCs w:val="21"/>
              </w:rPr>
              <w:t>丁国辉</w:t>
            </w:r>
          </w:p>
          <w:p>
            <w:pPr>
              <w:autoSpaceDE w:val="0"/>
              <w:autoSpaceDN w:val="0"/>
              <w:adjustRightInd w:val="0"/>
              <w:spacing w:line="36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联系电话：</w:t>
            </w:r>
            <w:r>
              <w:rPr>
                <w:rFonts w:hint="eastAsia" w:ascii="宋体" w:hAnsi="宋体" w:eastAsiaTheme="minorEastAsia"/>
                <w:color w:val="000000" w:themeColor="text1"/>
                <w:kern w:val="0"/>
                <w:szCs w:val="21"/>
              </w:rPr>
              <w:t>15151085991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1.1.3</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招标代理机构</w:t>
            </w:r>
          </w:p>
        </w:tc>
        <w:tc>
          <w:tcPr>
            <w:tcW w:w="5812" w:type="dxa"/>
          </w:tcPr>
          <w:p>
            <w:pPr>
              <w:autoSpaceDE w:val="0"/>
              <w:autoSpaceDN w:val="0"/>
              <w:adjustRightInd w:val="0"/>
              <w:spacing w:line="360" w:lineRule="exact"/>
              <w:jc w:val="left"/>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招标代理：</w:t>
            </w:r>
            <w:r>
              <w:rPr>
                <w:rFonts w:hint="eastAsia" w:asciiTheme="minorEastAsia" w:hAnsiTheme="minorEastAsia" w:eastAsiaTheme="minorEastAsia" w:cstheme="minorEastAsia"/>
                <w:color w:val="000000" w:themeColor="text1"/>
                <w:kern w:val="0"/>
                <w:szCs w:val="21"/>
                <w:lang w:eastAsia="zh-CN"/>
              </w:rPr>
              <w:t>江苏仁禾中衡工程咨询房地产估价有限公司</w:t>
            </w:r>
          </w:p>
          <w:p>
            <w:pPr>
              <w:autoSpaceDE w:val="0"/>
              <w:autoSpaceDN w:val="0"/>
              <w:adjustRightInd w:val="0"/>
              <w:spacing w:line="360" w:lineRule="exact"/>
              <w:jc w:val="left"/>
              <w:rPr>
                <w:rFonts w:hint="eastAsia" w:ascii="宋体" w:hAnsi="宋体" w:eastAsia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联系地址：</w:t>
            </w:r>
            <w:r>
              <w:rPr>
                <w:rFonts w:hint="eastAsia" w:asciiTheme="minorEastAsia" w:hAnsiTheme="minorEastAsia" w:eastAsiaTheme="minorEastAsia" w:cstheme="minorEastAsia"/>
                <w:color w:val="000000" w:themeColor="text1"/>
                <w:kern w:val="0"/>
                <w:szCs w:val="21"/>
                <w:lang w:eastAsia="zh-CN"/>
              </w:rPr>
              <w:t>大丰区丰尚国际1号楼9楼</w:t>
            </w:r>
          </w:p>
          <w:p>
            <w:pPr>
              <w:autoSpaceDE w:val="0"/>
              <w:autoSpaceDN w:val="0"/>
              <w:adjustRightInd w:val="0"/>
              <w:spacing w:line="360" w:lineRule="exact"/>
              <w:jc w:val="left"/>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联 系 人：</w:t>
            </w:r>
            <w:r>
              <w:rPr>
                <w:rFonts w:hint="eastAsia" w:asciiTheme="minorEastAsia" w:hAnsiTheme="minorEastAsia" w:eastAsiaTheme="minorEastAsia" w:cstheme="minorEastAsia"/>
                <w:color w:val="000000" w:themeColor="text1"/>
                <w:kern w:val="0"/>
                <w:szCs w:val="21"/>
                <w:lang w:eastAsia="zh-CN"/>
              </w:rPr>
              <w:t>李杨</w:t>
            </w:r>
          </w:p>
          <w:p>
            <w:pPr>
              <w:autoSpaceDE w:val="0"/>
              <w:autoSpaceDN w:val="0"/>
              <w:adjustRightInd w:val="0"/>
              <w:spacing w:line="360" w:lineRule="exact"/>
              <w:jc w:val="left"/>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联系电话：</w:t>
            </w:r>
            <w:r>
              <w:rPr>
                <w:rFonts w:hint="eastAsia" w:asciiTheme="minorEastAsia" w:hAnsiTheme="minorEastAsia" w:eastAsiaTheme="minorEastAsia" w:cstheme="minorEastAsia"/>
                <w:color w:val="000000" w:themeColor="text1"/>
                <w:kern w:val="0"/>
                <w:szCs w:val="21"/>
                <w:lang w:eastAsia="zh-CN"/>
              </w:rPr>
              <w:t>15295367065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1.1.4</w:t>
            </w:r>
          </w:p>
        </w:tc>
        <w:tc>
          <w:tcPr>
            <w:tcW w:w="2817" w:type="dxa"/>
            <w:vAlign w:val="center"/>
          </w:tcPr>
          <w:p>
            <w:pPr>
              <w:spacing w:line="36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项目名称</w:t>
            </w:r>
          </w:p>
        </w:tc>
        <w:tc>
          <w:tcPr>
            <w:tcW w:w="5812" w:type="dxa"/>
          </w:tcPr>
          <w:p>
            <w:pPr>
              <w:spacing w:line="36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大丰区城镇污水处理设施提标改造工程二期</w:t>
            </w:r>
            <w:r>
              <w:rPr>
                <w:rFonts w:hint="eastAsia" w:asciiTheme="minorEastAsia" w:hAnsiTheme="minorEastAsia" w:eastAsiaTheme="minorEastAsia" w:cstheme="minorEastAsia"/>
                <w:color w:val="000000" w:themeColor="text1"/>
                <w:kern w:val="0"/>
                <w:szCs w:val="21"/>
                <w:lang w:eastAsia="zh-CN"/>
              </w:rPr>
              <w:t>1标段</w:t>
            </w:r>
            <w:r>
              <w:rPr>
                <w:rFonts w:hint="eastAsia" w:asciiTheme="minorEastAsia" w:hAnsiTheme="minorEastAsia" w:eastAsiaTheme="minorEastAsia" w:cstheme="minorEastAsia"/>
                <w:color w:val="000000" w:themeColor="text1"/>
                <w:kern w:val="0"/>
                <w:szCs w:val="21"/>
              </w:rPr>
              <w:t>施工阶段全过程造价咨询服务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1.1.5</w:t>
            </w:r>
          </w:p>
        </w:tc>
        <w:tc>
          <w:tcPr>
            <w:tcW w:w="2817" w:type="dxa"/>
            <w:vAlign w:val="center"/>
          </w:tcPr>
          <w:p>
            <w:pPr>
              <w:spacing w:line="36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项目地点</w:t>
            </w:r>
          </w:p>
        </w:tc>
        <w:tc>
          <w:tcPr>
            <w:tcW w:w="5812" w:type="dxa"/>
          </w:tcPr>
          <w:p>
            <w:pPr>
              <w:spacing w:line="360" w:lineRule="exact"/>
              <w:rPr>
                <w:rFonts w:asciiTheme="minorEastAsia" w:hAnsiTheme="minorEastAsia" w:eastAsiaTheme="minorEastAsia" w:cstheme="minorEastAsia"/>
                <w:color w:val="000000" w:themeColor="text1"/>
                <w:kern w:val="0"/>
                <w:szCs w:val="21"/>
              </w:rPr>
            </w:pPr>
            <w:r>
              <w:rPr>
                <w:rFonts w:hint="eastAsia" w:ascii="宋体" w:hAnsi="宋体" w:cs="宋体"/>
                <w:color w:val="000000" w:themeColor="text1"/>
                <w:szCs w:val="21"/>
                <w:lang w:val="zh-CN"/>
              </w:rPr>
              <w:t>西团镇、刘庄镇、白驹镇、草堰镇、小海镇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1.2</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建设资金</w:t>
            </w:r>
          </w:p>
        </w:tc>
        <w:tc>
          <w:tcPr>
            <w:tcW w:w="5812" w:type="dxa"/>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资金来源：自筹</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出资比例：100%</w:t>
            </w:r>
          </w:p>
          <w:p>
            <w:pPr>
              <w:spacing w:line="360" w:lineRule="exac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szCs w:val="21"/>
              </w:rPr>
              <w:t>资金落实情况：已落实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1.3.1</w:t>
            </w:r>
          </w:p>
        </w:tc>
        <w:tc>
          <w:tcPr>
            <w:tcW w:w="2817" w:type="dxa"/>
            <w:vAlign w:val="center"/>
          </w:tcPr>
          <w:p>
            <w:pPr>
              <w:spacing w:line="36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招标内容</w:t>
            </w:r>
          </w:p>
        </w:tc>
        <w:tc>
          <w:tcPr>
            <w:tcW w:w="5812" w:type="dxa"/>
            <w:vAlign w:val="center"/>
          </w:tcPr>
          <w:p>
            <w:pPr>
              <w:spacing w:line="36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1.3.2</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服务时间</w:t>
            </w:r>
          </w:p>
        </w:tc>
        <w:tc>
          <w:tcPr>
            <w:tcW w:w="5812" w:type="dxa"/>
            <w:vAlign w:val="center"/>
          </w:tcPr>
          <w:p>
            <w:pPr>
              <w:spacing w:line="360" w:lineRule="exact"/>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kern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1.3.3</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质量要求</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1.4.1</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投标人资格要求</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1.4.2</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是否接受联合体投标</w:t>
            </w:r>
          </w:p>
        </w:tc>
        <w:tc>
          <w:tcPr>
            <w:tcW w:w="5812" w:type="dxa"/>
            <w:vAlign w:val="center"/>
          </w:tcPr>
          <w:p>
            <w:pPr>
              <w:spacing w:line="360" w:lineRule="exact"/>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6" w:type="dxa"/>
            <w:vAlign w:val="center"/>
          </w:tcPr>
          <w:p>
            <w:pPr>
              <w:spacing w:line="360" w:lineRule="exact"/>
              <w:jc w:val="center"/>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szCs w:val="21"/>
              </w:rPr>
              <w:t>1.9.1</w:t>
            </w:r>
          </w:p>
        </w:tc>
        <w:tc>
          <w:tcPr>
            <w:tcW w:w="2817" w:type="dxa"/>
            <w:vAlign w:val="center"/>
          </w:tcPr>
          <w:p>
            <w:pPr>
              <w:spacing w:line="360" w:lineRule="exact"/>
              <w:jc w:val="center"/>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kern w:val="0"/>
                <w:szCs w:val="21"/>
              </w:rPr>
              <w:t>踏勘现场</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1.10.1</w:t>
            </w:r>
          </w:p>
        </w:tc>
        <w:tc>
          <w:tcPr>
            <w:tcW w:w="2817" w:type="dxa"/>
            <w:vAlign w:val="center"/>
          </w:tcPr>
          <w:p>
            <w:pPr>
              <w:spacing w:line="360" w:lineRule="exact"/>
              <w:jc w:val="center"/>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kern w:val="0"/>
                <w:szCs w:val="21"/>
              </w:rPr>
              <w:t>投标预备会</w:t>
            </w:r>
          </w:p>
        </w:tc>
        <w:tc>
          <w:tcPr>
            <w:tcW w:w="5812" w:type="dxa"/>
            <w:vAlign w:val="center"/>
          </w:tcPr>
          <w:p>
            <w:pPr>
              <w:spacing w:line="360" w:lineRule="exact"/>
              <w:rPr>
                <w:rFonts w:asciiTheme="minorEastAsia" w:hAnsiTheme="minorEastAsia" w:eastAsiaTheme="minorEastAsia" w:cstheme="minorEastAsia"/>
                <w:b/>
                <w:color w:val="000000" w:themeColor="text1"/>
                <w:szCs w:val="21"/>
                <w:u w:val="single"/>
              </w:rPr>
            </w:pPr>
            <w:r>
              <w:rPr>
                <w:rFonts w:hint="eastAsia" w:asciiTheme="minorEastAsia" w:hAnsiTheme="minorEastAsia" w:eastAsiaTheme="minorEastAsia" w:cstheme="minorEastAsia"/>
                <w:color w:val="000000" w:themeColor="text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2.1.1</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招标文件的组成</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详见投标人须知2.1条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exac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2.2</w:t>
            </w:r>
          </w:p>
        </w:tc>
        <w:tc>
          <w:tcPr>
            <w:tcW w:w="2817" w:type="dxa"/>
            <w:vAlign w:val="center"/>
          </w:tcPr>
          <w:p>
            <w:pPr>
              <w:spacing w:line="36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澄清和答疑</w:t>
            </w:r>
          </w:p>
        </w:tc>
        <w:tc>
          <w:tcPr>
            <w:tcW w:w="5812" w:type="dxa"/>
            <w:vAlign w:val="center"/>
          </w:tcPr>
          <w:p>
            <w:pPr>
              <w:spacing w:line="360" w:lineRule="exac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szCs w:val="21"/>
              </w:rPr>
              <w:t>投标人要求澄清招标文件的截止时间：</w:t>
            </w:r>
            <w:r>
              <w:rPr>
                <w:rFonts w:hint="eastAsia" w:asciiTheme="minorEastAsia" w:hAnsiTheme="minorEastAsia" w:eastAsiaTheme="minorEastAsia" w:cstheme="minorEastAsia"/>
                <w:color w:val="000000" w:themeColor="text1"/>
                <w:szCs w:val="21"/>
                <w:u w:val="single"/>
              </w:rPr>
              <w:t>2021</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u w:val="single"/>
              </w:rPr>
              <w:t>8</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u w:val="single"/>
              </w:rPr>
              <w:t>16</w:t>
            </w:r>
            <w:r>
              <w:rPr>
                <w:rFonts w:hint="eastAsia" w:asciiTheme="minorEastAsia" w:hAnsiTheme="minorEastAsia" w:eastAsiaTheme="minorEastAsia" w:cstheme="minorEastAsia"/>
                <w:color w:val="000000" w:themeColor="text1"/>
                <w:szCs w:val="21"/>
              </w:rPr>
              <w:t>日</w:t>
            </w:r>
            <w:r>
              <w:rPr>
                <w:rFonts w:hint="eastAsia" w:asciiTheme="minorEastAsia" w:hAnsiTheme="minorEastAsia" w:eastAsiaTheme="minorEastAsia" w:cstheme="minorEastAsia"/>
                <w:color w:val="000000" w:themeColor="text1"/>
                <w:szCs w:val="21"/>
                <w:u w:val="single"/>
              </w:rPr>
              <w:t>9</w:t>
            </w:r>
            <w:r>
              <w:rPr>
                <w:rFonts w:hint="eastAsia" w:asciiTheme="minorEastAsia" w:hAnsiTheme="minorEastAsia" w:eastAsiaTheme="minorEastAsia" w:cstheme="minorEastAsia"/>
                <w:color w:val="000000" w:themeColor="text1"/>
                <w:szCs w:val="21"/>
              </w:rPr>
              <w:t>时</w:t>
            </w:r>
            <w:r>
              <w:rPr>
                <w:rFonts w:hint="eastAsia" w:asciiTheme="minorEastAsia" w:hAnsiTheme="minorEastAsia" w:eastAsiaTheme="minorEastAsia" w:cstheme="minorEastAsia"/>
                <w:color w:val="000000" w:themeColor="text1"/>
                <w:szCs w:val="21"/>
                <w:u w:val="single"/>
              </w:rPr>
              <w:t>00</w:t>
            </w:r>
            <w:r>
              <w:rPr>
                <w:rFonts w:hint="eastAsia" w:asciiTheme="minorEastAsia" w:hAnsiTheme="minorEastAsia" w:eastAsiaTheme="minorEastAsia" w:cstheme="minorEastAsia"/>
                <w:color w:val="000000" w:themeColor="text1"/>
                <w:szCs w:val="21"/>
              </w:rPr>
              <w:t>分【招标人澄清文件将在“大丰公共资源交易平台”发布，但不指明澄清问题的来源】。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3.1.1</w:t>
            </w:r>
          </w:p>
        </w:tc>
        <w:tc>
          <w:tcPr>
            <w:tcW w:w="2817" w:type="dxa"/>
            <w:vAlign w:val="center"/>
          </w:tcPr>
          <w:p>
            <w:pPr>
              <w:spacing w:line="360" w:lineRule="exact"/>
              <w:jc w:val="center"/>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kern w:val="0"/>
                <w:szCs w:val="21"/>
              </w:rPr>
              <w:t>投标文件的组成</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详见投标人须知3.1.1条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3.1.1</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投标人须提交核验的</w:t>
            </w:r>
          </w:p>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原件材料</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详见投标人须知3.1.1条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exac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3.2.2</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宋体" w:hAnsi="宋体"/>
              </w:rPr>
              <w:t>招标控制价（最高投标限价）</w:t>
            </w:r>
          </w:p>
        </w:tc>
        <w:tc>
          <w:tcPr>
            <w:tcW w:w="5812" w:type="dxa"/>
            <w:vAlign w:val="center"/>
          </w:tcPr>
          <w:p>
            <w:pPr>
              <w:spacing w:line="360" w:lineRule="exact"/>
              <w:rPr>
                <w:rFonts w:asciiTheme="minorEastAsia" w:hAnsiTheme="minorEastAsia" w:eastAsiaTheme="minorEastAsia" w:cstheme="minorEastAsia"/>
                <w:b/>
                <w:bCs/>
                <w:color w:val="000000" w:themeColor="text1"/>
                <w:szCs w:val="21"/>
              </w:rPr>
            </w:pPr>
            <w:r>
              <w:rPr>
                <w:rFonts w:hint="eastAsia" w:ascii="宋体" w:hAnsi="Courier New"/>
                <w:color w:val="000000" w:themeColor="text1"/>
                <w:szCs w:val="21"/>
              </w:rPr>
              <w:t>采用固定收费标准报价，投标人应根据本工程的特点和咨询工作量，</w:t>
            </w:r>
            <w:r>
              <w:rPr>
                <w:rFonts w:hint="eastAsia" w:ascii="宋体" w:hAnsi="Courier New"/>
                <w:b/>
                <w:color w:val="000000" w:themeColor="text1"/>
                <w:szCs w:val="21"/>
              </w:rPr>
              <w:t>充分考虑跟踪审计相关人员吃住行等必要开支</w:t>
            </w:r>
            <w:r>
              <w:rPr>
                <w:rFonts w:hint="eastAsia" w:ascii="宋体" w:hAnsi="Courier New"/>
                <w:color w:val="000000" w:themeColor="text1"/>
                <w:szCs w:val="21"/>
              </w:rPr>
              <w:t>，结合自身实际。</w:t>
            </w:r>
            <w:r>
              <w:rPr>
                <w:rFonts w:hint="eastAsia" w:ascii="宋体" w:hAnsi="宋体" w:cs="宋体"/>
                <w:color w:val="000000" w:themeColor="text1"/>
                <w:szCs w:val="21"/>
              </w:rPr>
              <w:t>本工程施工合同估算价约20000万元，本项目招标人设定的最高投标限价为苏价服【2014】383号文件标准的80%（其中核减额投标费率不得高于4.8%）。施工阶段全过程造价咨询费（仅计取基本收费及驻场收费）, 竣工结算阶段工程结算审核咨询费（仅计取效益收费，暂按5%核减额计算），即168.24万元。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3.3.1</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投标有效期</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u w:val="single"/>
              </w:rPr>
              <w:t>60</w:t>
            </w:r>
            <w:r>
              <w:rPr>
                <w:rFonts w:hint="eastAsia" w:asciiTheme="minorEastAsia" w:hAnsiTheme="minorEastAsia" w:eastAsiaTheme="minorEastAsia" w:cstheme="minorEastAsia"/>
                <w:color w:val="000000" w:themeColor="text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3.4</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投标保证金</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详见投标人须知3.4条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3.5</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备选投标方案</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fldChar w:fldCharType="begin"/>
            </w:r>
            <w:r>
              <w:rPr>
                <w:rFonts w:hint="eastAsia" w:asciiTheme="minorEastAsia" w:hAnsiTheme="minorEastAsia" w:eastAsiaTheme="minorEastAsia" w:cstheme="minorEastAsia"/>
                <w:color w:val="000000" w:themeColor="text1"/>
                <w:szCs w:val="21"/>
              </w:rPr>
              <w:instrText xml:space="preserve"> eq \o\ac(□,√)</w:instrText>
            </w:r>
            <w:r>
              <w:rPr>
                <w:rFonts w:hint="eastAsia" w:asciiTheme="minorEastAsia" w:hAnsiTheme="minorEastAsia" w:eastAsiaTheme="minorEastAsia" w:cstheme="minorEastAsia"/>
                <w:color w:val="000000" w:themeColor="text1"/>
                <w:szCs w:val="21"/>
              </w:rPr>
              <w:fldChar w:fldCharType="end"/>
            </w:r>
            <w:r>
              <w:rPr>
                <w:rFonts w:hint="eastAsia" w:asciiTheme="minorEastAsia" w:hAnsiTheme="minorEastAsia" w:eastAsiaTheme="minorEastAsia" w:cstheme="minorEastAsia"/>
                <w:color w:val="000000" w:themeColor="text1"/>
                <w:szCs w:val="21"/>
              </w:rPr>
              <w:t>不允许</w:t>
            </w:r>
          </w:p>
          <w:p>
            <w:pPr>
              <w:spacing w:line="360" w:lineRule="exact"/>
              <w:ind w:hanging="25"/>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4.2.1</w:t>
            </w:r>
          </w:p>
        </w:tc>
        <w:tc>
          <w:tcPr>
            <w:tcW w:w="2817" w:type="dxa"/>
            <w:vAlign w:val="center"/>
          </w:tcPr>
          <w:p>
            <w:pPr>
              <w:spacing w:line="36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投标截止时间</w:t>
            </w:r>
          </w:p>
        </w:tc>
        <w:tc>
          <w:tcPr>
            <w:tcW w:w="5812" w:type="dxa"/>
            <w:vAlign w:val="center"/>
          </w:tcPr>
          <w:p>
            <w:pPr>
              <w:spacing w:line="360" w:lineRule="exact"/>
              <w:rPr>
                <w:rFonts w:asciiTheme="minorEastAsia" w:hAnsiTheme="minorEastAsia" w:eastAsiaTheme="minorEastAsia" w:cstheme="minorEastAsia"/>
                <w:color w:val="000000" w:themeColor="text1"/>
                <w:szCs w:val="21"/>
                <w:u w:val="single"/>
              </w:rPr>
            </w:pPr>
            <w:r>
              <w:rPr>
                <w:rFonts w:hint="eastAsia"/>
                <w:color w:val="000000" w:themeColor="text1"/>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4.2.2</w:t>
            </w:r>
          </w:p>
        </w:tc>
        <w:tc>
          <w:tcPr>
            <w:tcW w:w="2817" w:type="dxa"/>
            <w:vAlign w:val="center"/>
          </w:tcPr>
          <w:p>
            <w:pPr>
              <w:spacing w:line="36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递交投标文件地点</w:t>
            </w:r>
          </w:p>
        </w:tc>
        <w:tc>
          <w:tcPr>
            <w:tcW w:w="5812" w:type="dxa"/>
            <w:vAlign w:val="center"/>
          </w:tcPr>
          <w:p>
            <w:pPr>
              <w:spacing w:line="360" w:lineRule="exac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5.1</w:t>
            </w:r>
          </w:p>
        </w:tc>
        <w:tc>
          <w:tcPr>
            <w:tcW w:w="2817" w:type="dxa"/>
            <w:vAlign w:val="center"/>
          </w:tcPr>
          <w:p>
            <w:pPr>
              <w:spacing w:line="360" w:lineRule="exact"/>
              <w:jc w:val="center"/>
              <w:rPr>
                <w:rFonts w:ascii="宋体" w:hAnsi="宋体"/>
              </w:rPr>
            </w:pPr>
            <w:r>
              <w:rPr>
                <w:rFonts w:hint="eastAsia" w:ascii="宋体" w:hAnsi="宋体"/>
              </w:rPr>
              <w:t>开标时间、地点</w:t>
            </w:r>
          </w:p>
        </w:tc>
        <w:tc>
          <w:tcPr>
            <w:tcW w:w="5812" w:type="dxa"/>
            <w:vAlign w:val="center"/>
          </w:tcPr>
          <w:p>
            <w:pPr>
              <w:spacing w:line="360" w:lineRule="exact"/>
              <w:rPr>
                <w:rFonts w:ascii="宋体" w:hAnsi="宋体"/>
              </w:rPr>
            </w:pPr>
            <w:r>
              <w:rPr>
                <w:rFonts w:hint="eastAsia" w:ascii="宋体" w:hAnsi="宋体"/>
              </w:rPr>
              <w:t>开标时间：同投标截止时间</w:t>
            </w:r>
          </w:p>
          <w:p>
            <w:pPr>
              <w:spacing w:line="360" w:lineRule="exact"/>
              <w:rPr>
                <w:rFonts w:ascii="宋体" w:hAnsi="宋体"/>
                <w:u w:val="single"/>
              </w:rPr>
            </w:pPr>
            <w:r>
              <w:rPr>
                <w:rFonts w:hint="eastAsia" w:ascii="宋体" w:hAnsi="宋体"/>
              </w:rPr>
              <w:t>开标地点：开标当日，投标人授权委托人仅需在任意地点通过 PC端或移动端的“腾讯会议”及相应的配套硬件设备参加开标会议。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8.1</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是否授权评标委员会确定</w:t>
            </w:r>
          </w:p>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中标人</w:t>
            </w:r>
          </w:p>
        </w:tc>
        <w:tc>
          <w:tcPr>
            <w:tcW w:w="5812" w:type="dxa"/>
            <w:vAlign w:val="center"/>
          </w:tcPr>
          <w:p>
            <w:pPr>
              <w:spacing w:line="36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kern w:val="0"/>
                <w:szCs w:val="21"/>
              </w:rPr>
              <w:t>是</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fldChar w:fldCharType="begin"/>
            </w:r>
            <w:r>
              <w:rPr>
                <w:rFonts w:hint="eastAsia" w:asciiTheme="minorEastAsia" w:hAnsiTheme="minorEastAsia" w:eastAsiaTheme="minorEastAsia" w:cstheme="minorEastAsia"/>
                <w:color w:val="000000" w:themeColor="text1"/>
                <w:szCs w:val="21"/>
              </w:rPr>
              <w:instrText xml:space="preserve"> eq \o\ac(□,√)</w:instrText>
            </w:r>
            <w:r>
              <w:rPr>
                <w:rFonts w:hint="eastAsia" w:asciiTheme="minorEastAsia" w:hAnsiTheme="minorEastAsia" w:eastAsiaTheme="minorEastAsia" w:cstheme="minorEastAsia"/>
                <w:color w:val="000000" w:themeColor="text1"/>
                <w:szCs w:val="21"/>
              </w:rPr>
              <w:fldChar w:fldCharType="end"/>
            </w:r>
            <w:r>
              <w:rPr>
                <w:rFonts w:hint="eastAsia" w:asciiTheme="minorEastAsia" w:hAnsiTheme="minorEastAsia" w:eastAsiaTheme="minorEastAsia" w:cstheme="minorEastAsia"/>
                <w:color w:val="000000" w:themeColor="text1"/>
                <w:kern w:val="0"/>
                <w:szCs w:val="21"/>
              </w:rPr>
              <w:t>否</w:t>
            </w:r>
            <w:r>
              <w:rPr>
                <w:rFonts w:hint="eastAsia" w:asciiTheme="minorEastAsia" w:hAnsiTheme="minorEastAsia" w:eastAsiaTheme="minorEastAsia" w:cstheme="minorEastAsia"/>
                <w:color w:val="000000" w:themeColor="text1"/>
                <w:szCs w:val="21"/>
              </w:rPr>
              <w:t>，推荐的中标人数：1名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8.2</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中标候选人公示媒介</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8.3</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履约担保</w:t>
            </w:r>
          </w:p>
        </w:tc>
        <w:tc>
          <w:tcPr>
            <w:tcW w:w="5812" w:type="dxa"/>
            <w:vAlign w:val="center"/>
          </w:tcPr>
          <w:p>
            <w:pPr>
              <w:spacing w:line="36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详见投标人须知8.3条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监督</w:t>
            </w:r>
          </w:p>
        </w:tc>
        <w:tc>
          <w:tcPr>
            <w:tcW w:w="5812" w:type="dxa"/>
            <w:vAlign w:val="center"/>
          </w:tcPr>
          <w:p>
            <w:pPr>
              <w:spacing w:line="36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10.5</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异议与投诉处理</w:t>
            </w:r>
          </w:p>
        </w:tc>
        <w:tc>
          <w:tcPr>
            <w:tcW w:w="5812" w:type="dxa"/>
            <w:vAlign w:val="center"/>
          </w:tcPr>
          <w:p>
            <w:pPr>
              <w:spacing w:line="36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详见投标人须知10.5条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75" w:type="dxa"/>
            <w:gridSpan w:val="3"/>
            <w:vAlign w:val="center"/>
          </w:tcPr>
          <w:p>
            <w:pPr>
              <w:spacing w:line="360" w:lineRule="exact"/>
              <w:jc w:val="center"/>
              <w:rPr>
                <w:rFonts w:asciiTheme="minorEastAsia" w:hAnsiTheme="minorEastAsia" w:eastAsiaTheme="minorEastAsia" w:cstheme="minorEastAsia"/>
                <w:b/>
                <w:color w:val="000000" w:themeColor="text1"/>
                <w:kern w:val="0"/>
                <w:szCs w:val="21"/>
              </w:rPr>
            </w:pPr>
            <w:r>
              <w:rPr>
                <w:rFonts w:hint="eastAsia" w:asciiTheme="minorEastAsia" w:hAnsiTheme="minorEastAsia" w:eastAsiaTheme="minorEastAsia" w:cstheme="minorEastAsia"/>
                <w:b/>
                <w:color w:val="000000" w:themeColor="text1"/>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电子招标投标</w:t>
            </w:r>
          </w:p>
        </w:tc>
        <w:tc>
          <w:tcPr>
            <w:tcW w:w="5812" w:type="dxa"/>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fldChar w:fldCharType="begin"/>
            </w:r>
            <w:r>
              <w:rPr>
                <w:rFonts w:hint="eastAsia" w:asciiTheme="minorEastAsia" w:hAnsiTheme="minorEastAsia" w:eastAsiaTheme="minorEastAsia" w:cstheme="minorEastAsia"/>
                <w:color w:val="000000" w:themeColor="text1"/>
                <w:szCs w:val="21"/>
              </w:rPr>
              <w:instrText xml:space="preserve"> eq \o\ac(□,√)</w:instrText>
            </w:r>
            <w:r>
              <w:rPr>
                <w:rFonts w:hint="eastAsia" w:asciiTheme="minorEastAsia" w:hAnsiTheme="minorEastAsia" w:eastAsiaTheme="minorEastAsia" w:cstheme="minorEastAsia"/>
                <w:color w:val="000000" w:themeColor="text1"/>
                <w:szCs w:val="21"/>
              </w:rPr>
              <w:fldChar w:fldCharType="end"/>
            </w:r>
            <w:r>
              <w:rPr>
                <w:rFonts w:hint="eastAsia" w:asciiTheme="minorEastAsia" w:hAnsiTheme="minorEastAsia" w:eastAsiaTheme="minorEastAsia" w:cstheme="minorEastAsia"/>
                <w:color w:val="000000" w:themeColor="text1"/>
                <w:szCs w:val="21"/>
              </w:rPr>
              <w:t>否</w:t>
            </w:r>
          </w:p>
          <w:p>
            <w:pPr>
              <w:autoSpaceDE w:val="0"/>
              <w:autoSpaceDN w:val="0"/>
              <w:adjustRightInd w:val="0"/>
              <w:spacing w:line="36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是否要求投标文件电子版（光盘）</w:t>
            </w:r>
          </w:p>
        </w:tc>
        <w:tc>
          <w:tcPr>
            <w:tcW w:w="5812" w:type="dxa"/>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fldChar w:fldCharType="begin"/>
            </w:r>
            <w:r>
              <w:rPr>
                <w:rFonts w:hint="eastAsia" w:asciiTheme="minorEastAsia" w:hAnsiTheme="minorEastAsia" w:eastAsiaTheme="minorEastAsia" w:cstheme="minorEastAsia"/>
                <w:color w:val="000000" w:themeColor="text1"/>
                <w:szCs w:val="21"/>
              </w:rPr>
              <w:instrText xml:space="preserve"> eq \o\ac(□,√)</w:instrText>
            </w:r>
            <w:r>
              <w:rPr>
                <w:rFonts w:hint="eastAsia" w:asciiTheme="minorEastAsia" w:hAnsiTheme="minorEastAsia" w:eastAsiaTheme="minorEastAsia" w:cstheme="minorEastAsia"/>
                <w:color w:val="000000" w:themeColor="text1"/>
                <w:szCs w:val="21"/>
              </w:rPr>
              <w:fldChar w:fldCharType="end"/>
            </w:r>
            <w:r>
              <w:rPr>
                <w:rFonts w:hint="eastAsia" w:asciiTheme="minorEastAsia" w:hAnsiTheme="minorEastAsia" w:eastAsiaTheme="minorEastAsia" w:cstheme="minorEastAsia"/>
                <w:color w:val="000000" w:themeColor="text1"/>
                <w:szCs w:val="21"/>
              </w:rPr>
              <w:t>不要求</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w:t>
            </w:r>
          </w:p>
        </w:tc>
        <w:tc>
          <w:tcPr>
            <w:tcW w:w="2817"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本项目招标人是否接受企业退休人员担任项目负责人</w:t>
            </w:r>
          </w:p>
        </w:tc>
        <w:tc>
          <w:tcPr>
            <w:tcW w:w="5812" w:type="dxa"/>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fldChar w:fldCharType="begin"/>
            </w:r>
            <w:r>
              <w:rPr>
                <w:rFonts w:hint="eastAsia" w:asciiTheme="minorEastAsia" w:hAnsiTheme="minorEastAsia" w:eastAsiaTheme="minorEastAsia" w:cstheme="minorEastAsia"/>
                <w:color w:val="000000" w:themeColor="text1"/>
                <w:szCs w:val="21"/>
              </w:rPr>
              <w:instrText xml:space="preserve"> eq \o\ac(□,√)</w:instrText>
            </w:r>
            <w:r>
              <w:rPr>
                <w:rFonts w:hint="eastAsia" w:asciiTheme="minorEastAsia" w:hAnsiTheme="minorEastAsia" w:eastAsiaTheme="minorEastAsia" w:cstheme="minorEastAsia"/>
                <w:color w:val="000000" w:themeColor="text1"/>
                <w:szCs w:val="21"/>
              </w:rPr>
              <w:fldChar w:fldCharType="end"/>
            </w:r>
            <w:r>
              <w:rPr>
                <w:rFonts w:hint="eastAsia" w:asciiTheme="minorEastAsia" w:hAnsiTheme="minorEastAsia" w:eastAsiaTheme="minorEastAsia" w:cstheme="minorEastAsia"/>
                <w:color w:val="000000" w:themeColor="text1"/>
                <w:szCs w:val="21"/>
              </w:rPr>
              <w:t>否</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w:t>
            </w:r>
          </w:p>
        </w:tc>
        <w:tc>
          <w:tcPr>
            <w:tcW w:w="8629" w:type="dxa"/>
            <w:gridSpan w:val="2"/>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⑴凡是构成合同文件组成内容的不明确或不一致，以合同文件约定内容为准；</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⑵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⑶按本款前述规定仍不能形成结论的，由招标人负责解释。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846" w:type="dxa"/>
            <w:vAlign w:val="center"/>
          </w:tcPr>
          <w:p>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w:t>
            </w:r>
          </w:p>
        </w:tc>
        <w:tc>
          <w:tcPr>
            <w:tcW w:w="8629" w:type="dxa"/>
            <w:gridSpan w:val="2"/>
            <w:vAlign w:val="center"/>
          </w:tcPr>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1、本招标文件时间均以中华人民共和国北京时间为准，所涉及金额的币种均为人民币。</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2、凡参与本项目投标的投标人，视同已踏勘过项目现场和研究了本招标文件的所有内容，并无保留地接受招标文件的所有条款（含招标答疑、补充通知等）。</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3、本招标文件未尽事宜，按国家和省法律法规、规章要求处理。</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4、本招标文件的解释权归招标人所有。</w:t>
            </w:r>
          </w:p>
        </w:tc>
      </w:tr>
    </w:tbl>
    <w:p>
      <w:pPr>
        <w:spacing w:line="360" w:lineRule="exac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特别提醒：</w:t>
      </w:r>
    </w:p>
    <w:p>
      <w:pPr>
        <w:spacing w:line="500" w:lineRule="exact"/>
        <w:ind w:firstLine="422" w:firstLineChars="200"/>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招标人根据招标需要，可能会不定期在“盐城市招投标会员网上交易系统大丰平台”发布该项目补充答疑等澄清修改文件，请各投标人在投标截止时间前每天自行网上查询，未能及时查阅响应而影响投标的，结果由投标人自负。</w:t>
      </w:r>
    </w:p>
    <w:p>
      <w:pPr>
        <w:pStyle w:val="4"/>
        <w:spacing w:before="0" w:after="0"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rPr>
        <w:br w:type="page"/>
      </w:r>
      <w:bookmarkStart w:id="7" w:name="_Toc398107837"/>
      <w:r>
        <w:rPr>
          <w:rFonts w:hint="eastAsia" w:asciiTheme="minorEastAsia" w:hAnsiTheme="minorEastAsia" w:eastAsiaTheme="minorEastAsia" w:cstheme="minorEastAsia"/>
          <w:color w:val="000000" w:themeColor="text1"/>
          <w:sz w:val="21"/>
          <w:szCs w:val="21"/>
        </w:rPr>
        <w:t>1 总则</w:t>
      </w:r>
      <w:bookmarkEnd w:id="7"/>
      <w:r>
        <w:rPr>
          <w:rFonts w:hint="eastAsia" w:asciiTheme="minorEastAsia" w:hAnsiTheme="minorEastAsia" w:eastAsiaTheme="minorEastAsia" w:cstheme="minorEastAsia"/>
          <w:color w:val="000000" w:themeColor="text1"/>
          <w:sz w:val="21"/>
          <w:szCs w:val="21"/>
        </w:rPr>
        <w:tab/>
      </w:r>
    </w:p>
    <w:p>
      <w:pPr>
        <w:pStyle w:val="5"/>
        <w:spacing w:before="0" w:after="0" w:line="480" w:lineRule="exact"/>
        <w:rPr>
          <w:rFonts w:asciiTheme="minorEastAsia" w:hAnsiTheme="minorEastAsia" w:eastAsiaTheme="minorEastAsia" w:cstheme="minorEastAsia"/>
          <w:color w:val="000000" w:themeColor="text1"/>
          <w:sz w:val="21"/>
          <w:szCs w:val="21"/>
        </w:rPr>
      </w:pPr>
      <w:bookmarkStart w:id="8" w:name="_Toc398107838"/>
      <w:r>
        <w:rPr>
          <w:rFonts w:hint="eastAsia" w:asciiTheme="minorEastAsia" w:hAnsiTheme="minorEastAsia" w:eastAsiaTheme="minorEastAsia" w:cstheme="minorEastAsia"/>
          <w:color w:val="000000" w:themeColor="text1"/>
          <w:sz w:val="21"/>
          <w:szCs w:val="21"/>
        </w:rPr>
        <w:t>1.1 项目概况</w:t>
      </w:r>
      <w:bookmarkEnd w:id="8"/>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1.1.1 根据《中华人民共和国招标投标法》、《中华人民共和国招标投标法实施条例》等有关法律、法规和规章的规定，本招标项目已具备招标条件，现对本项目进行招标。</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1.1.2 本招标项目招标人：见投标人须知前附表。</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1.1.3 本项目招标代理机构：见投标人须知前附表。</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1.1.4 本招标项目名称：见投标人须知前附表。</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1.1.5 本项目项目地点：见投标人须知前附表。</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9" w:name="_Toc398107839"/>
      <w:r>
        <w:rPr>
          <w:rFonts w:hint="eastAsia" w:asciiTheme="minorEastAsia" w:hAnsiTheme="minorEastAsia" w:eastAsiaTheme="minorEastAsia" w:cstheme="minorEastAsia"/>
          <w:color w:val="000000" w:themeColor="text1"/>
          <w:sz w:val="21"/>
          <w:szCs w:val="21"/>
        </w:rPr>
        <w:t>1.2 资金来源和落实情况</w:t>
      </w:r>
      <w:bookmarkEnd w:id="9"/>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1.2.1 本招标项目的资金来源：见投标人须知前附表。</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1.2.2 本招标项目的出资比例：见投标人须知前附表。</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1.2.3 本招标项目的资金落实情况：见投标人须知前附表。</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10" w:name="_Toc398107840"/>
      <w:r>
        <w:rPr>
          <w:rFonts w:hint="eastAsia" w:asciiTheme="minorEastAsia" w:hAnsiTheme="minorEastAsia" w:eastAsiaTheme="minorEastAsia" w:cstheme="minorEastAsia"/>
          <w:color w:val="000000" w:themeColor="text1"/>
          <w:sz w:val="21"/>
          <w:szCs w:val="21"/>
        </w:rPr>
        <w:t>1.3 招标内容、服务时间及质量要求</w:t>
      </w:r>
      <w:bookmarkEnd w:id="10"/>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1.3.1 本次招标内容：见投标人须知前附表。</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1.3.2 本项目的服务时间：见投标人须知前附表。</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1.3.3 本项目的质量要求：见投标人须知前附表。</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11" w:name="_Toc398107841"/>
      <w:r>
        <w:rPr>
          <w:rFonts w:hint="eastAsia" w:asciiTheme="minorEastAsia" w:hAnsiTheme="minorEastAsia" w:eastAsiaTheme="minorEastAsia" w:cstheme="minorEastAsia"/>
          <w:color w:val="000000" w:themeColor="text1"/>
          <w:sz w:val="21"/>
          <w:szCs w:val="21"/>
        </w:rPr>
        <w:t>1.4 投标人资格要求</w:t>
      </w:r>
      <w:bookmarkEnd w:id="11"/>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1.4.1 投标人应具备的资格要求见投标人须知前附表。</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1.4.2 投标人须知前附表规定接受联合体投标的，除应符合本章第1.4.1项和投标人须知前附表的要求外，还应遵守以下规定：</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（1）联合体各方应按招标文件提供的格式签订联合体协议书，明确联合体牵头人和各方的权利义务；</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（2）由同一专业的单位组成的联合体，按照资质等级较高的单位确定资质等级；</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（3）联合体各方不得再以自己名义单独或加入其他联合体在同一标段中参加资格预审。</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1.4.3 投标人不得存在下列情形之一：</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w:t>
      </w:r>
      <w:r>
        <w:rPr>
          <w:rFonts w:hint="eastAsia" w:asciiTheme="minorEastAsia" w:hAnsiTheme="minorEastAsia" w:eastAsiaTheme="minorEastAsia" w:cstheme="minorEastAsia"/>
          <w:color w:val="000000" w:themeColor="text1"/>
          <w:szCs w:val="21"/>
        </w:rPr>
        <w:t>为招标人不具有独立法人资格的附属机构（单位）</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w:t>
      </w:r>
      <w:r>
        <w:rPr>
          <w:rFonts w:hint="eastAsia" w:asciiTheme="minorEastAsia" w:hAnsiTheme="minorEastAsia" w:eastAsiaTheme="minorEastAsia" w:cstheme="minorEastAsia"/>
          <w:color w:val="000000" w:themeColor="text1"/>
          <w:szCs w:val="21"/>
        </w:rPr>
        <w:t>为本项目前期准备提供设计服务的；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（3）与本项目的招标代理机构存在单位负责人为同一人的；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（4）与本项目的招标代理机构存在相互控股或参股的；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（5）与本项目其他投标人存在单位负责人为同一人或者存在控股、管理关系的；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（6）被责令停业的；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（7）被暂停或取消投标资格的；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（8）财产被接管或冻结的；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（9）法律法规规定的其它情形。</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12" w:name="_Toc398107842"/>
      <w:r>
        <w:rPr>
          <w:rFonts w:hint="eastAsia" w:asciiTheme="minorEastAsia" w:hAnsiTheme="minorEastAsia" w:eastAsiaTheme="minorEastAsia" w:cstheme="minorEastAsia"/>
          <w:color w:val="000000" w:themeColor="text1"/>
          <w:sz w:val="21"/>
          <w:szCs w:val="21"/>
        </w:rPr>
        <w:t>1.5 费用承担</w:t>
      </w:r>
      <w:bookmarkEnd w:id="12"/>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投标人准备和参加投标活动发生的费用自理，招标人不予以补偿。</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13" w:name="_Toc398107843"/>
      <w:r>
        <w:rPr>
          <w:rFonts w:hint="eastAsia" w:asciiTheme="minorEastAsia" w:hAnsiTheme="minorEastAsia" w:eastAsiaTheme="minorEastAsia" w:cstheme="minorEastAsia"/>
          <w:color w:val="000000" w:themeColor="text1"/>
          <w:sz w:val="21"/>
          <w:szCs w:val="21"/>
        </w:rPr>
        <w:t>1.6 保密</w:t>
      </w:r>
      <w:bookmarkEnd w:id="13"/>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参与招标投标活动的各方应对招标文件和投标文件中的商业和技术等秘密保密，违者应对由此造成的后果承担法律责任。</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14" w:name="_Toc398107844"/>
      <w:r>
        <w:rPr>
          <w:rFonts w:hint="eastAsia" w:asciiTheme="minorEastAsia" w:hAnsiTheme="minorEastAsia" w:eastAsiaTheme="minorEastAsia" w:cstheme="minorEastAsia"/>
          <w:color w:val="000000" w:themeColor="text1"/>
          <w:sz w:val="21"/>
          <w:szCs w:val="21"/>
        </w:rPr>
        <w:t>1.7 语言文字</w:t>
      </w:r>
      <w:bookmarkEnd w:id="14"/>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除专用术语外，与招标投标有关的语言均使用简体中文。必要时专用术语应附有中文注释。</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15" w:name="_Toc398107845"/>
      <w:r>
        <w:rPr>
          <w:rFonts w:hint="eastAsia" w:asciiTheme="minorEastAsia" w:hAnsiTheme="minorEastAsia" w:eastAsiaTheme="minorEastAsia" w:cstheme="minorEastAsia"/>
          <w:color w:val="000000" w:themeColor="text1"/>
          <w:sz w:val="21"/>
          <w:szCs w:val="21"/>
        </w:rPr>
        <w:t>1.8 计量单位</w:t>
      </w:r>
      <w:bookmarkEnd w:id="15"/>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所有计量均采用中华人民共和国法定计量单位。</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16" w:name="_Toc398107846"/>
      <w:r>
        <w:rPr>
          <w:rFonts w:hint="eastAsia" w:asciiTheme="minorEastAsia" w:hAnsiTheme="minorEastAsia" w:eastAsiaTheme="minorEastAsia" w:cstheme="minorEastAsia"/>
          <w:color w:val="000000" w:themeColor="text1"/>
          <w:sz w:val="21"/>
          <w:szCs w:val="21"/>
        </w:rPr>
        <w:t>1.9 踏勘现场</w:t>
      </w:r>
      <w:bookmarkEnd w:id="16"/>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1.9.1招标人不组织投标人踏勘现场，投标人可以自行对项目现场和周围环境进行勘察，以获取编制投标文件和签署合同所需的所有资料。</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1.9.2 投标人踏勘现场发生的费用自理。</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1.9.3 投标人自行负责在踏勘现场中所发生的人员伤亡和财产损失。</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1.9.4 招标人向投标人提供的有关现场的资料和数据是招标人现有的能使投标人利用的资料。招标人对投标人由此而做出的推论、理解和结论概不负责。</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17" w:name="_Toc398107847"/>
      <w:r>
        <w:rPr>
          <w:rFonts w:hint="eastAsia" w:asciiTheme="minorEastAsia" w:hAnsiTheme="minorEastAsia" w:eastAsiaTheme="minorEastAsia" w:cstheme="minorEastAsia"/>
          <w:color w:val="000000" w:themeColor="text1"/>
          <w:sz w:val="21"/>
          <w:szCs w:val="21"/>
        </w:rPr>
        <w:t>1.10 投标预备会</w:t>
      </w:r>
      <w:bookmarkEnd w:id="17"/>
    </w:p>
    <w:p>
      <w:pPr>
        <w:autoSpaceDE w:val="0"/>
        <w:autoSpaceDN w:val="0"/>
        <w:adjustRightInd w:val="0"/>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1.10.1 投标人须知前附表规定召开投标预备会的，招标人按投标人须知前附表规定的时间和地点召开投标预备会，澄清投标人提出的问题。</w:t>
      </w:r>
    </w:p>
    <w:p>
      <w:pPr>
        <w:autoSpaceDE w:val="0"/>
        <w:autoSpaceDN w:val="0"/>
        <w:adjustRightInd w:val="0"/>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1.10.2 投标人应在投标人须知前附表规定的时间前，以书面形式将提出的问题送达招标人，以便招标人在会议期间澄清。</w:t>
      </w:r>
    </w:p>
    <w:p>
      <w:pPr>
        <w:autoSpaceDE w:val="0"/>
        <w:autoSpaceDN w:val="0"/>
        <w:adjustRightInd w:val="0"/>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1.10.3 投标预备会后，招标人在投标人须知前附表规定的时间内，将对投标人所提问题的澄清，以书面方式通知所有购买招标文件的投标人。该澄清内容为招标文件的组成部分。</w:t>
      </w:r>
    </w:p>
    <w:p>
      <w:pPr>
        <w:pStyle w:val="4"/>
        <w:spacing w:before="0" w:after="0" w:line="480" w:lineRule="exact"/>
        <w:rPr>
          <w:rFonts w:asciiTheme="minorEastAsia" w:hAnsiTheme="minorEastAsia" w:eastAsiaTheme="minorEastAsia" w:cstheme="minorEastAsia"/>
          <w:color w:val="000000" w:themeColor="text1"/>
          <w:sz w:val="21"/>
          <w:szCs w:val="21"/>
        </w:rPr>
      </w:pPr>
      <w:bookmarkStart w:id="18" w:name="_Toc398107848"/>
      <w:r>
        <w:rPr>
          <w:rFonts w:hint="eastAsia" w:asciiTheme="minorEastAsia" w:hAnsiTheme="minorEastAsia" w:eastAsiaTheme="minorEastAsia" w:cstheme="minorEastAsia"/>
          <w:color w:val="000000" w:themeColor="text1"/>
          <w:sz w:val="21"/>
          <w:szCs w:val="21"/>
        </w:rPr>
        <w:t>2  招标文件</w:t>
      </w:r>
      <w:bookmarkEnd w:id="18"/>
    </w:p>
    <w:p>
      <w:pPr>
        <w:pStyle w:val="5"/>
        <w:spacing w:before="0" w:after="0" w:line="480" w:lineRule="exact"/>
        <w:rPr>
          <w:rFonts w:asciiTheme="minorEastAsia" w:hAnsiTheme="minorEastAsia" w:eastAsiaTheme="minorEastAsia" w:cstheme="minorEastAsia"/>
          <w:color w:val="000000" w:themeColor="text1"/>
          <w:sz w:val="21"/>
          <w:szCs w:val="21"/>
        </w:rPr>
      </w:pPr>
      <w:bookmarkStart w:id="19" w:name="_Toc398107849"/>
      <w:r>
        <w:rPr>
          <w:rFonts w:hint="eastAsia" w:asciiTheme="minorEastAsia" w:hAnsiTheme="minorEastAsia" w:eastAsiaTheme="minorEastAsia" w:cstheme="minorEastAsia"/>
          <w:color w:val="000000" w:themeColor="text1"/>
          <w:sz w:val="21"/>
          <w:szCs w:val="21"/>
        </w:rPr>
        <w:t>2.1 招标文件的组成</w:t>
      </w:r>
      <w:bookmarkEnd w:id="19"/>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2.1.1 本招标文件包括：</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（1）招标公告；</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（2）投标人须知；</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（3）评标办法；</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（4）合同主要条款；</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（5）技术资料；</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（6）投标文件格式；</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（7）投标人须知前附表规定的其他材料。</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根据本章第1.10款、第2.2款对招标文件所作的澄清、修改，构成招标文件的组成部分。当招标文件相互之间发生矛盾时，以最后发出的文件为准。</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2.1.2 投标人在投标截止时间前，应通过</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highlight w:val="white"/>
        </w:rPr>
        <w:t>大丰公共资源交易平台</w:t>
      </w:r>
      <w:r>
        <w:rPr>
          <w:rFonts w:hint="eastAsia" w:asciiTheme="minorEastAsia" w:hAnsiTheme="minorEastAsia" w:eastAsiaTheme="minorEastAsia" w:cstheme="minorEastAsia"/>
          <w:color w:val="000000" w:themeColor="text1"/>
          <w:kern w:val="0"/>
          <w:szCs w:val="21"/>
        </w:rPr>
        <w:t>”随时查看有关该项目招标文件的澄清、招标文件的修改(招标答疑、补遗文件)等内容。查询如有遗漏，其风险应由投标人自行承担。</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2.1.3 投标人交纳招标文件费用并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20" w:name="_Toc398107850"/>
      <w:r>
        <w:rPr>
          <w:rFonts w:hint="eastAsia" w:asciiTheme="minorEastAsia" w:hAnsiTheme="minorEastAsia" w:eastAsiaTheme="minorEastAsia" w:cstheme="minorEastAsia"/>
          <w:color w:val="000000" w:themeColor="text1"/>
          <w:sz w:val="21"/>
          <w:szCs w:val="21"/>
        </w:rPr>
        <w:t>2.2 招标文件的澄清</w:t>
      </w:r>
      <w:bookmarkEnd w:id="20"/>
      <w:r>
        <w:rPr>
          <w:rFonts w:hint="eastAsia" w:asciiTheme="minorEastAsia" w:hAnsiTheme="minorEastAsia" w:eastAsiaTheme="minorEastAsia" w:cstheme="minorEastAsia"/>
          <w:color w:val="000000" w:themeColor="text1"/>
          <w:sz w:val="21"/>
          <w:szCs w:val="21"/>
        </w:rPr>
        <w:t>、修改</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2.2.1 投标人下载招标文件后，应仔细阅读招标文件的全部内容。如有疑问，应在规定时间内向招标人提出，以便澄清。</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2.2.2 招标人不集中组织答疑，投标人若对招标文件有疑问，需要招标人予以澄清，</w:t>
      </w:r>
      <w:r>
        <w:rPr>
          <w:rFonts w:hint="eastAsia" w:asciiTheme="minorEastAsia" w:hAnsiTheme="minorEastAsia" w:eastAsiaTheme="minorEastAsia" w:cstheme="minorEastAsia"/>
          <w:color w:val="000000" w:themeColor="text1"/>
          <w:szCs w:val="21"/>
          <w:highlight w:val="white"/>
        </w:rPr>
        <w:t>应在投标人须知前附表规定的时间前以书面形式（包括信函、电报、传真等可以有形地表现所载内容的形式，下同），要求招标人对招标文件予以澄清</w:t>
      </w:r>
      <w:r>
        <w:rPr>
          <w:rFonts w:hint="eastAsia" w:asciiTheme="minorEastAsia" w:hAnsiTheme="minorEastAsia" w:eastAsiaTheme="minorEastAsia" w:cstheme="minorEastAsia"/>
          <w:color w:val="000000" w:themeColor="text1"/>
          <w:szCs w:val="21"/>
        </w:rPr>
        <w:t>。</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2.2.3 招标文件的澄清将在投标人须知前附表规定的投标截止时间15日前</w:t>
      </w:r>
      <w:r>
        <w:rPr>
          <w:rFonts w:hint="eastAsia" w:asciiTheme="minorEastAsia" w:hAnsiTheme="minorEastAsia" w:eastAsiaTheme="minorEastAsia" w:cstheme="minorEastAsia"/>
          <w:color w:val="000000" w:themeColor="text1"/>
          <w:szCs w:val="21"/>
          <w:highlight w:val="white"/>
        </w:rPr>
        <w:t>以“补充答疑”的形式在大丰公共资源交易平台上公开发布，但不指明澄清问题的来源。如果澄清发出的时间距投标截止时间不足15天，且澄清内容影响投标文件编制的，相应延长投标截止时间。</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2.2.4 招标文件发布后，在投标人须知前附表规定时限的任何时候，确需要变更招标文件内容的，招标人可主动或在解答投标人提出的澄清答疑时对招标文件进行修改，并同时报招标办备案。招标文件的修改以答疑形式在“大丰公共资源交易平台”发布，招标文件的答疑作为招标文件的组成部分，并具有约束力。</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2.2.5投标人应在截止投标时间前随时查看大丰公共资源交易平台中有关该项目招标文件的答疑内容。否则，由此引起的投标损失自负。</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2.2.6招标文件、招标文件的答疑内容均以网上发布的为准。</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2.2.7为使投标人在编写投标文件时有充分时间对招标文件的答疑部分进行研究，招标人可以酌情延长递交投标文件的截止日期，具体时间将在招标文件的答疑中明确。</w:t>
      </w:r>
    </w:p>
    <w:p>
      <w:pPr>
        <w:pStyle w:val="4"/>
        <w:spacing w:before="0" w:after="0" w:line="480" w:lineRule="exact"/>
        <w:rPr>
          <w:rFonts w:asciiTheme="minorEastAsia" w:hAnsiTheme="minorEastAsia" w:eastAsiaTheme="minorEastAsia" w:cstheme="minorEastAsia"/>
          <w:color w:val="000000" w:themeColor="text1"/>
          <w:sz w:val="21"/>
          <w:szCs w:val="21"/>
        </w:rPr>
      </w:pPr>
      <w:bookmarkStart w:id="21" w:name="_Toc398107852"/>
      <w:r>
        <w:rPr>
          <w:rFonts w:hint="eastAsia" w:asciiTheme="minorEastAsia" w:hAnsiTheme="minorEastAsia" w:eastAsiaTheme="minorEastAsia" w:cstheme="minorEastAsia"/>
          <w:color w:val="000000" w:themeColor="text1"/>
          <w:sz w:val="21"/>
          <w:szCs w:val="21"/>
        </w:rPr>
        <w:t>3  投标文件</w:t>
      </w:r>
      <w:bookmarkEnd w:id="21"/>
    </w:p>
    <w:p>
      <w:pPr>
        <w:pStyle w:val="5"/>
        <w:spacing w:before="0" w:after="0" w:line="480" w:lineRule="exact"/>
        <w:rPr>
          <w:rFonts w:asciiTheme="minorEastAsia" w:hAnsiTheme="minorEastAsia" w:eastAsiaTheme="minorEastAsia" w:cstheme="minorEastAsia"/>
          <w:color w:val="000000" w:themeColor="text1"/>
          <w:sz w:val="21"/>
          <w:szCs w:val="21"/>
        </w:rPr>
      </w:pPr>
      <w:bookmarkStart w:id="22" w:name="_Toc398107853"/>
      <w:r>
        <w:rPr>
          <w:rFonts w:hint="eastAsia" w:asciiTheme="minorEastAsia" w:hAnsiTheme="minorEastAsia" w:eastAsiaTheme="minorEastAsia" w:cstheme="minorEastAsia"/>
          <w:color w:val="000000" w:themeColor="text1"/>
          <w:sz w:val="21"/>
          <w:szCs w:val="21"/>
        </w:rPr>
        <w:t>3.1 投标文件的组成</w:t>
      </w:r>
      <w:bookmarkEnd w:id="22"/>
    </w:p>
    <w:p>
      <w:pPr>
        <w:autoSpaceDE w:val="0"/>
        <w:autoSpaceDN w:val="0"/>
        <w:adjustRightInd w:val="0"/>
        <w:spacing w:line="480" w:lineRule="exact"/>
        <w:ind w:firstLine="420" w:firstLineChars="200"/>
        <w:rPr>
          <w:rFonts w:asciiTheme="minorEastAsia" w:hAnsiTheme="minorEastAsia" w:eastAsiaTheme="minorEastAsia" w:cstheme="minorEastAsia"/>
          <w:color w:val="000000" w:themeColor="text1"/>
          <w:kern w:val="0"/>
          <w:szCs w:val="21"/>
        </w:rPr>
      </w:pPr>
      <w:bookmarkStart w:id="23" w:name="_Toc24988"/>
      <w:bookmarkStart w:id="24" w:name="_Toc13714"/>
      <w:r>
        <w:rPr>
          <w:rFonts w:hint="eastAsia" w:asciiTheme="minorEastAsia" w:hAnsiTheme="minorEastAsia" w:eastAsiaTheme="minorEastAsia" w:cstheme="minorEastAsia"/>
          <w:color w:val="000000" w:themeColor="text1"/>
          <w:kern w:val="0"/>
          <w:szCs w:val="21"/>
        </w:rPr>
        <w:t>3.1.1 投标文件的组成：</w:t>
      </w:r>
    </w:p>
    <w:p>
      <w:pPr>
        <w:spacing w:line="480" w:lineRule="exact"/>
        <w:ind w:firstLine="422" w:firstLineChars="200"/>
        <w:rPr>
          <w:rFonts w:asciiTheme="minorEastAsia" w:hAnsiTheme="minorEastAsia" w:eastAsiaTheme="minorEastAsia" w:cstheme="minorEastAsia"/>
          <w:b/>
          <w:color w:val="000000" w:themeColor="text1"/>
          <w:szCs w:val="21"/>
          <w:highlight w:val="white"/>
        </w:rPr>
      </w:pPr>
      <w:r>
        <w:rPr>
          <w:rFonts w:hint="eastAsia" w:asciiTheme="minorEastAsia" w:hAnsiTheme="minorEastAsia" w:eastAsiaTheme="minorEastAsia" w:cstheme="minorEastAsia"/>
          <w:b/>
          <w:color w:val="000000" w:themeColor="text1"/>
          <w:szCs w:val="21"/>
          <w:highlight w:val="white"/>
        </w:rPr>
        <w:t>投标文件主要包括但不限于下列内容：</w:t>
      </w:r>
    </w:p>
    <w:p>
      <w:pPr>
        <w:tabs>
          <w:tab w:val="left" w:pos="6264"/>
        </w:tabs>
        <w:snapToGrid w:val="0"/>
        <w:spacing w:line="480" w:lineRule="exact"/>
        <w:ind w:firstLine="420" w:firstLineChars="200"/>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szCs w:val="21"/>
          <w:highlight w:val="white"/>
        </w:rPr>
        <w:t>（一）</w:t>
      </w:r>
      <w:r>
        <w:rPr>
          <w:rFonts w:hint="eastAsia" w:asciiTheme="minorEastAsia" w:hAnsiTheme="minorEastAsia" w:eastAsiaTheme="minorEastAsia" w:cstheme="minorEastAsia"/>
          <w:b/>
          <w:color w:val="000000" w:themeColor="text1"/>
          <w:szCs w:val="21"/>
          <w:highlight w:val="white"/>
        </w:rPr>
        <w:t>资信文件</w:t>
      </w:r>
      <w:r>
        <w:rPr>
          <w:rFonts w:hint="eastAsia" w:asciiTheme="minorEastAsia" w:hAnsiTheme="minorEastAsia" w:eastAsiaTheme="minorEastAsia" w:cstheme="minorEastAsia"/>
          <w:color w:val="000000" w:themeColor="text1"/>
          <w:szCs w:val="21"/>
          <w:highlight w:val="white"/>
        </w:rPr>
        <w:t>主要包括下述材料原件和复印件</w:t>
      </w:r>
      <w:r>
        <w:rPr>
          <w:rFonts w:hint="eastAsia" w:asciiTheme="minorEastAsia" w:hAnsiTheme="minorEastAsia" w:eastAsiaTheme="minorEastAsia" w:cstheme="minorEastAsia"/>
          <w:b/>
          <w:color w:val="000000" w:themeColor="text1"/>
          <w:szCs w:val="21"/>
        </w:rPr>
        <w:t>：</w:t>
      </w:r>
    </w:p>
    <w:p>
      <w:pPr>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（1）企业法人营业执照副本；</w:t>
      </w:r>
    </w:p>
    <w:p>
      <w:pPr>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符合招标公告要求的项目负责人、项目部组成人员相关证书；项目负责人须同时具有国家注册一级造价工程师注册证书和工程类中级及以上技术职称。除项目负责人外，项目组成员不少于5名，其中国家注册造价工程师不少于3人（土建专业不少于1人、安装专业不少于2人，以造价师执业资格证书上的专业类别为准），其他人员具有安装、市政等专业中级造价员或造价工程师资格。</w:t>
      </w:r>
    </w:p>
    <w:p>
      <w:pPr>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投标时须提供项目部人员能体现上述要求的专业造价人员相关证明材料的原件及复印件。投标人也可提供带可识别二维码的相关证书复印件加盖投标单位公章视同原件，或提供有效的官网查询截图页面（含网络平台查询链接网址）复印件加盖投标单位公章视同原件。</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拟派项目负责人和项目组主要组成人员具有社保部门出具的2021年1月份（含1月份）以来任意连续6个月在该单位参加养老保险缴费清单（注：①以上人员参保证明需单独出具每人一份，注明缴费起止时间且加盖社保部门有效章印；②外市区（盐城市外）投标企业也可提供印有社会保险管理中心参保缴费证明电子专用章的养老保险缴费清单和参保缴费证明查询途径）</w:t>
      </w:r>
    </w:p>
    <w:p>
      <w:pPr>
        <w:widowControl/>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（4）符合招标公告要求的项目负责人业绩证明材料</w:t>
      </w:r>
      <w:r>
        <w:rPr>
          <w:rFonts w:hint="eastAsia" w:asciiTheme="minorEastAsia" w:hAnsiTheme="minorEastAsia" w:eastAsiaTheme="minorEastAsia" w:cstheme="minorEastAsia"/>
          <w:color w:val="000000" w:themeColor="text1"/>
          <w:szCs w:val="21"/>
        </w:rPr>
        <w:t>。</w:t>
      </w:r>
    </w:p>
    <w:p>
      <w:pPr>
        <w:spacing w:line="480" w:lineRule="exact"/>
        <w:ind w:firstLine="422" w:firstLineChars="200"/>
        <w:rPr>
          <w:rFonts w:asciiTheme="minorEastAsia" w:hAnsiTheme="minorEastAsia" w:eastAsiaTheme="minorEastAsia" w:cstheme="minorEastAsia"/>
          <w:b/>
          <w:color w:val="000000" w:themeColor="text1"/>
          <w:szCs w:val="21"/>
          <w:highlight w:val="white"/>
        </w:rPr>
      </w:pPr>
      <w:r>
        <w:rPr>
          <w:rFonts w:hint="eastAsia" w:asciiTheme="minorEastAsia" w:hAnsiTheme="minorEastAsia" w:eastAsiaTheme="minorEastAsia" w:cstheme="minorEastAsia"/>
          <w:b/>
          <w:color w:val="000000" w:themeColor="text1"/>
          <w:szCs w:val="21"/>
          <w:highlight w:val="white"/>
        </w:rPr>
        <w:t>资格审查内容为（1）-（4）项，</w:t>
      </w:r>
      <w:r>
        <w:rPr>
          <w:rFonts w:hint="eastAsia" w:asciiTheme="minorEastAsia" w:hAnsiTheme="minorEastAsia" w:eastAsiaTheme="minorEastAsia" w:cstheme="minorEastAsia"/>
          <w:color w:val="000000" w:themeColor="text1"/>
          <w:kern w:val="0"/>
          <w:szCs w:val="21"/>
        </w:rPr>
        <w:t>提供原件和复印件（没有提供原件的或</w:t>
      </w:r>
      <w:r>
        <w:rPr>
          <w:rFonts w:hint="eastAsia" w:asciiTheme="minorEastAsia" w:hAnsiTheme="minorEastAsia" w:eastAsiaTheme="minorEastAsia" w:cstheme="minorEastAsia"/>
          <w:b/>
          <w:color w:val="000000" w:themeColor="text1"/>
          <w:szCs w:val="21"/>
        </w:rPr>
        <w:t>复印件若模糊无法确认</w:t>
      </w:r>
      <w:r>
        <w:rPr>
          <w:rFonts w:hint="eastAsia" w:asciiTheme="minorEastAsia" w:hAnsiTheme="minorEastAsia" w:eastAsiaTheme="minorEastAsia" w:cstheme="minorEastAsia"/>
          <w:b/>
          <w:color w:val="000000" w:themeColor="text1"/>
          <w:szCs w:val="21"/>
          <w:highlight w:val="white"/>
        </w:rPr>
        <w:t>，资格审查不予通过，不进入后续评审</w:t>
      </w:r>
      <w:r>
        <w:rPr>
          <w:rFonts w:hint="eastAsia" w:asciiTheme="minorEastAsia" w:hAnsiTheme="minorEastAsia" w:eastAsiaTheme="minorEastAsia" w:cstheme="minorEastAsia"/>
          <w:color w:val="000000" w:themeColor="text1"/>
          <w:kern w:val="0"/>
          <w:szCs w:val="21"/>
        </w:rPr>
        <w:t>）</w:t>
      </w:r>
      <w:r>
        <w:rPr>
          <w:rFonts w:hint="eastAsia" w:asciiTheme="minorEastAsia" w:hAnsiTheme="minorEastAsia" w:eastAsiaTheme="minorEastAsia" w:cstheme="minorEastAsia"/>
          <w:b/>
          <w:color w:val="000000" w:themeColor="text1"/>
          <w:szCs w:val="21"/>
          <w:highlight w:val="white"/>
        </w:rPr>
        <w:t>。</w:t>
      </w:r>
    </w:p>
    <w:p>
      <w:pPr>
        <w:spacing w:line="480" w:lineRule="exact"/>
        <w:ind w:firstLine="420" w:firstLineChars="200"/>
        <w:rPr>
          <w:rFonts w:asciiTheme="minorEastAsia" w:hAnsiTheme="minorEastAsia" w:eastAsiaTheme="minorEastAsia" w:cstheme="minorEastAsia"/>
          <w:color w:val="000000" w:themeColor="text1"/>
          <w:szCs w:val="21"/>
          <w:highlight w:val="white"/>
        </w:rPr>
      </w:pPr>
      <w:r>
        <w:rPr>
          <w:rFonts w:hint="eastAsia" w:asciiTheme="minorEastAsia" w:hAnsiTheme="minorEastAsia" w:eastAsiaTheme="minorEastAsia" w:cstheme="minorEastAsia"/>
          <w:color w:val="000000" w:themeColor="text1"/>
          <w:szCs w:val="21"/>
          <w:highlight w:val="white"/>
        </w:rPr>
        <w:t>（二）</w:t>
      </w:r>
      <w:r>
        <w:rPr>
          <w:rFonts w:hint="eastAsia" w:asciiTheme="minorEastAsia" w:hAnsiTheme="minorEastAsia" w:eastAsiaTheme="minorEastAsia" w:cstheme="minorEastAsia"/>
          <w:b/>
          <w:color w:val="000000" w:themeColor="text1"/>
          <w:szCs w:val="21"/>
          <w:highlight w:val="white"/>
        </w:rPr>
        <w:t>商务文件</w:t>
      </w:r>
      <w:r>
        <w:rPr>
          <w:rFonts w:hint="eastAsia" w:asciiTheme="minorEastAsia" w:hAnsiTheme="minorEastAsia" w:eastAsiaTheme="minorEastAsia" w:cstheme="minorEastAsia"/>
          <w:color w:val="000000" w:themeColor="text1"/>
          <w:szCs w:val="21"/>
          <w:highlight w:val="white"/>
        </w:rPr>
        <w:t>应包括如下内容：</w:t>
      </w:r>
    </w:p>
    <w:p>
      <w:pPr>
        <w:spacing w:line="480" w:lineRule="exact"/>
        <w:ind w:firstLine="420" w:firstLineChars="200"/>
        <w:rPr>
          <w:rFonts w:asciiTheme="minorEastAsia" w:hAnsiTheme="minorEastAsia" w:eastAsiaTheme="minorEastAsia" w:cstheme="minorEastAsia"/>
          <w:color w:val="000000" w:themeColor="text1"/>
          <w:szCs w:val="21"/>
          <w:highlight w:val="white"/>
        </w:rPr>
      </w:pPr>
      <w:r>
        <w:rPr>
          <w:rFonts w:hint="eastAsia" w:asciiTheme="minorEastAsia" w:hAnsiTheme="minorEastAsia" w:eastAsiaTheme="minorEastAsia" w:cstheme="minorEastAsia"/>
          <w:color w:val="000000" w:themeColor="text1"/>
          <w:szCs w:val="21"/>
          <w:highlight w:val="white"/>
        </w:rPr>
        <w:t>（1）投标函；</w:t>
      </w:r>
    </w:p>
    <w:p>
      <w:pPr>
        <w:spacing w:line="480" w:lineRule="exact"/>
        <w:ind w:firstLine="420" w:firstLineChars="200"/>
        <w:rPr>
          <w:rFonts w:asciiTheme="minorEastAsia" w:hAnsiTheme="minorEastAsia" w:eastAsiaTheme="minorEastAsia" w:cstheme="minorEastAsia"/>
          <w:color w:val="000000" w:themeColor="text1"/>
          <w:szCs w:val="21"/>
          <w:highlight w:val="white"/>
        </w:rPr>
      </w:pPr>
      <w:r>
        <w:rPr>
          <w:rFonts w:hint="eastAsia" w:asciiTheme="minorEastAsia" w:hAnsiTheme="minorEastAsia" w:eastAsiaTheme="minorEastAsia" w:cstheme="minorEastAsia"/>
          <w:color w:val="000000" w:themeColor="text1"/>
          <w:szCs w:val="21"/>
          <w:highlight w:val="white"/>
        </w:rPr>
        <w:t>（2）法定代表人身份证明书；</w:t>
      </w:r>
    </w:p>
    <w:p>
      <w:pPr>
        <w:spacing w:line="480" w:lineRule="exact"/>
        <w:ind w:firstLine="420" w:firstLineChars="200"/>
        <w:rPr>
          <w:rFonts w:asciiTheme="minorEastAsia" w:hAnsiTheme="minorEastAsia" w:eastAsiaTheme="minorEastAsia" w:cstheme="minorEastAsia"/>
          <w:color w:val="000000" w:themeColor="text1"/>
          <w:szCs w:val="21"/>
          <w:highlight w:val="white"/>
        </w:rPr>
      </w:pPr>
      <w:r>
        <w:rPr>
          <w:rFonts w:hint="eastAsia" w:asciiTheme="minorEastAsia" w:hAnsiTheme="minorEastAsia" w:eastAsiaTheme="minorEastAsia" w:cstheme="minorEastAsia"/>
          <w:color w:val="000000" w:themeColor="text1"/>
          <w:szCs w:val="21"/>
          <w:highlight w:val="white"/>
        </w:rPr>
        <w:t>（3）法定代表人授权委托书及受托人身份证复印件（如有授权）；</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highlight w:val="white"/>
        </w:rPr>
        <w:t>（4）</w:t>
      </w:r>
      <w:r>
        <w:rPr>
          <w:rFonts w:hint="eastAsia" w:asciiTheme="minorEastAsia" w:hAnsiTheme="minorEastAsia" w:eastAsiaTheme="minorEastAsia" w:cstheme="minorEastAsia"/>
          <w:color w:val="000000" w:themeColor="text1"/>
          <w:szCs w:val="21"/>
        </w:rPr>
        <w:t>项目负责人委任书；</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highlight w:val="white"/>
        </w:rPr>
        <w:t>（5）</w:t>
      </w:r>
      <w:r>
        <w:rPr>
          <w:rFonts w:hint="eastAsia" w:asciiTheme="minorEastAsia" w:hAnsiTheme="minorEastAsia" w:eastAsiaTheme="minorEastAsia" w:cstheme="minorEastAsia"/>
          <w:color w:val="000000" w:themeColor="text1"/>
          <w:szCs w:val="21"/>
        </w:rPr>
        <w:t>投标人资料真实性承诺书；</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highlight w:val="white"/>
        </w:rPr>
        <w:t>（6）申请人基本情况表</w:t>
      </w:r>
      <w:r>
        <w:rPr>
          <w:rFonts w:hint="eastAsia" w:asciiTheme="minorEastAsia" w:hAnsiTheme="minorEastAsia" w:eastAsiaTheme="minorEastAsia" w:cstheme="minorEastAsia"/>
          <w:color w:val="000000" w:themeColor="text1"/>
          <w:szCs w:val="21"/>
        </w:rPr>
        <w:t>；</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highlight w:val="white"/>
        </w:rPr>
        <w:t>（7）</w:t>
      </w:r>
      <w:r>
        <w:rPr>
          <w:rFonts w:hint="eastAsia" w:asciiTheme="minorEastAsia" w:hAnsiTheme="minorEastAsia" w:eastAsiaTheme="minorEastAsia" w:cstheme="minorEastAsia"/>
          <w:color w:val="000000" w:themeColor="text1"/>
          <w:szCs w:val="21"/>
        </w:rPr>
        <w:t>项目管理机构配备：</w:t>
      </w:r>
    </w:p>
    <w:p>
      <w:pPr>
        <w:spacing w:line="480" w:lineRule="exact"/>
        <w:ind w:firstLine="991" w:firstLineChars="472"/>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①拟参加本项目项目组人员一览表；</w:t>
      </w:r>
    </w:p>
    <w:p>
      <w:pPr>
        <w:spacing w:line="480" w:lineRule="exact"/>
        <w:ind w:firstLine="991" w:firstLineChars="472"/>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②拟参加本项目项目组负责人履历表；</w:t>
      </w:r>
    </w:p>
    <w:p>
      <w:pPr>
        <w:spacing w:line="480" w:lineRule="exact"/>
        <w:ind w:firstLine="991" w:firstLineChars="472"/>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③拟参加本项目项目组其他人员履历表。</w:t>
      </w:r>
    </w:p>
    <w:p>
      <w:pPr>
        <w:autoSpaceDE w:val="0"/>
        <w:autoSpaceDN w:val="0"/>
        <w:adjustRightInd w:val="0"/>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3.1.2投标人应按要求密封封装投标文件，资信文件、商务文件合并装订成册，正本一份、副本四份，放入密封袋中（封袋大小、数量由投标人根据需要自行制作）。密封袋包装封面上应注明投标人名称、投标项目名称、项目编号、“开标时启封”字样，并加盖投标人公章。投标文件的正、副本不一致时，以正本为准。</w:t>
      </w:r>
      <w:bookmarkStart w:id="25" w:name="_Toc398107854"/>
    </w:p>
    <w:p>
      <w:pPr>
        <w:pStyle w:val="5"/>
        <w:spacing w:before="0" w:after="0"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3.2 投标报价</w:t>
      </w:r>
      <w:bookmarkEnd w:id="23"/>
      <w:bookmarkEnd w:id="24"/>
      <w:bookmarkEnd w:id="25"/>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3.2.1</w:t>
      </w:r>
      <w:r>
        <w:rPr>
          <w:rFonts w:hint="eastAsia" w:asciiTheme="minorEastAsia" w:hAnsiTheme="minorEastAsia" w:eastAsiaTheme="minorEastAsia" w:cstheme="minorEastAsia"/>
          <w:color w:val="000000" w:themeColor="text1"/>
          <w:szCs w:val="21"/>
        </w:rPr>
        <w:t>投标报价应是招标文件所确定的招标范围及要求的全部工作内容的价格体现，包含为完成本项目所包含的人工费、企业管理费、利润、加班费、劳保费、安全医疗费、办公经费、差旅费、交通费、有形市场交易费、税金等所需的一切费用。</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3.2.2 根据招标文件的投标须知条款的内容由各投标人依照市场行情、自身综合实力、服务能力、管理水平等各项因素自主确定不低于企业成本的投标报价，且不得高于招标人设定的招标控制价。</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允许幅度值投标的，投标报价不得超出招标文件设定的幅度值区间。</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26" w:name="_Toc398107855"/>
      <w:r>
        <w:rPr>
          <w:rFonts w:hint="eastAsia" w:asciiTheme="minorEastAsia" w:hAnsiTheme="minorEastAsia" w:eastAsiaTheme="minorEastAsia" w:cstheme="minorEastAsia"/>
          <w:color w:val="000000" w:themeColor="text1"/>
          <w:sz w:val="21"/>
          <w:szCs w:val="21"/>
        </w:rPr>
        <w:t>3.3 投标有效期</w:t>
      </w:r>
      <w:bookmarkEnd w:id="26"/>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3.3.1 投标有效期从投标人提交投标文件截止之日起计算。在投标人须知前附表规定的投标有效期内，投标人不得要求撤销或修改其投标文件。</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3.3.2 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27" w:name="_Toc152045550"/>
      <w:bookmarkStart w:id="28" w:name="_Toc144974518"/>
      <w:bookmarkStart w:id="29" w:name="_Toc300834971"/>
      <w:bookmarkStart w:id="30" w:name="_Toc247527575"/>
      <w:bookmarkStart w:id="31" w:name="_Toc152042326"/>
      <w:bookmarkStart w:id="32" w:name="_Toc247513974"/>
      <w:bookmarkStart w:id="33" w:name="_Toc398107857"/>
      <w:r>
        <w:rPr>
          <w:rFonts w:hint="eastAsia" w:asciiTheme="minorEastAsia" w:hAnsiTheme="minorEastAsia" w:eastAsiaTheme="minorEastAsia" w:cstheme="minorEastAsia"/>
          <w:color w:val="000000" w:themeColor="text1"/>
          <w:sz w:val="21"/>
          <w:szCs w:val="21"/>
        </w:rPr>
        <w:t>3.4投标保证金</w:t>
      </w:r>
      <w:bookmarkEnd w:id="27"/>
      <w:bookmarkEnd w:id="28"/>
      <w:bookmarkEnd w:id="29"/>
      <w:bookmarkEnd w:id="30"/>
      <w:bookmarkEnd w:id="31"/>
      <w:bookmarkEnd w:id="32"/>
    </w:p>
    <w:p>
      <w:pPr>
        <w:spacing w:line="400" w:lineRule="exact"/>
        <w:ind w:firstLine="420" w:firstLineChars="200"/>
        <w:rPr>
          <w:rFonts w:asciiTheme="minorEastAsia" w:hAnsiTheme="minorEastAsia" w:eastAsiaTheme="minorEastAsia" w:cstheme="minorEastAsia"/>
          <w:color w:val="000000" w:themeColor="text1"/>
          <w:szCs w:val="21"/>
          <w:highlight w:val="white"/>
        </w:rPr>
      </w:pPr>
      <w:r>
        <w:rPr>
          <w:rFonts w:hint="eastAsia" w:asciiTheme="minorEastAsia" w:hAnsiTheme="minorEastAsia" w:eastAsiaTheme="minorEastAsia" w:cstheme="minorEastAsia"/>
          <w:color w:val="000000" w:themeColor="text1"/>
          <w:szCs w:val="21"/>
          <w:highlight w:val="white"/>
        </w:rPr>
        <w:t>3.4.1 投标人应按投标人须知前附表规定的金额和形式从投标企业的法人基本存款账户缴纳</w:t>
      </w:r>
      <w:r>
        <w:rPr>
          <w:rFonts w:hint="eastAsia" w:asciiTheme="minorEastAsia" w:hAnsiTheme="minorEastAsia" w:eastAsiaTheme="minorEastAsia" w:cstheme="minorEastAsia"/>
          <w:color w:val="000000" w:themeColor="text1"/>
          <w:szCs w:val="21"/>
        </w:rPr>
        <w:t>投标保证金</w:t>
      </w:r>
      <w:r>
        <w:rPr>
          <w:rFonts w:hint="eastAsia" w:asciiTheme="minorEastAsia" w:hAnsiTheme="minorEastAsia" w:eastAsiaTheme="minorEastAsia" w:cstheme="minorEastAsia"/>
          <w:color w:val="000000" w:themeColor="text1"/>
          <w:szCs w:val="21"/>
          <w:highlight w:val="white"/>
        </w:rPr>
        <w:t>。</w:t>
      </w:r>
      <w:r>
        <w:rPr>
          <w:rFonts w:hint="eastAsia" w:asciiTheme="minorEastAsia" w:hAnsiTheme="minorEastAsia" w:eastAsiaTheme="minorEastAsia" w:cstheme="minorEastAsia"/>
          <w:color w:val="000000" w:themeColor="text1"/>
          <w:szCs w:val="21"/>
        </w:rPr>
        <w:t>投标保证金</w:t>
      </w:r>
      <w:r>
        <w:rPr>
          <w:rFonts w:hint="eastAsia" w:asciiTheme="minorEastAsia" w:hAnsiTheme="minorEastAsia" w:eastAsiaTheme="minorEastAsia" w:cstheme="minorEastAsia"/>
          <w:color w:val="000000" w:themeColor="text1"/>
          <w:szCs w:val="21"/>
          <w:highlight w:val="white"/>
        </w:rPr>
        <w:t>应当在投标截止时间前进入投标人须知前附表规定的缴纳账户。</w:t>
      </w:r>
      <w:r>
        <w:rPr>
          <w:rFonts w:hint="eastAsia" w:asciiTheme="minorEastAsia" w:hAnsiTheme="minorEastAsia" w:eastAsiaTheme="minorEastAsia" w:cstheme="minorEastAsia"/>
          <w:color w:val="000000" w:themeColor="text1"/>
          <w:szCs w:val="21"/>
        </w:rPr>
        <w:t>投标保证金</w:t>
      </w:r>
      <w:r>
        <w:rPr>
          <w:rFonts w:hint="eastAsia" w:asciiTheme="minorEastAsia" w:hAnsiTheme="minorEastAsia" w:eastAsiaTheme="minorEastAsia" w:cstheme="minorEastAsia"/>
          <w:color w:val="000000" w:themeColor="text1"/>
          <w:szCs w:val="21"/>
          <w:highlight w:val="white"/>
        </w:rPr>
        <w:t>的核查方式见投标人须知前附表。</w:t>
      </w:r>
    </w:p>
    <w:p>
      <w:pPr>
        <w:spacing w:line="400" w:lineRule="exact"/>
        <w:ind w:firstLine="420" w:firstLineChars="200"/>
        <w:rPr>
          <w:rFonts w:asciiTheme="minorEastAsia" w:hAnsiTheme="minorEastAsia" w:eastAsiaTheme="minorEastAsia" w:cstheme="minorEastAsia"/>
          <w:color w:val="000000" w:themeColor="text1"/>
          <w:szCs w:val="21"/>
          <w:highlight w:val="white"/>
        </w:rPr>
      </w:pPr>
      <w:r>
        <w:rPr>
          <w:rFonts w:hint="eastAsia" w:asciiTheme="minorEastAsia" w:hAnsiTheme="minorEastAsia" w:eastAsiaTheme="minorEastAsia" w:cstheme="minorEastAsia"/>
          <w:color w:val="000000" w:themeColor="text1"/>
          <w:szCs w:val="21"/>
          <w:highlight w:val="white"/>
        </w:rPr>
        <w:t>3.4.2 投标人不按本章第3.4.1项要求提交</w:t>
      </w:r>
      <w:r>
        <w:rPr>
          <w:rFonts w:hint="eastAsia" w:asciiTheme="minorEastAsia" w:hAnsiTheme="minorEastAsia" w:eastAsiaTheme="minorEastAsia" w:cstheme="minorEastAsia"/>
          <w:color w:val="000000" w:themeColor="text1"/>
          <w:szCs w:val="21"/>
        </w:rPr>
        <w:t>投标保证金</w:t>
      </w:r>
      <w:r>
        <w:rPr>
          <w:rFonts w:hint="eastAsia" w:asciiTheme="minorEastAsia" w:hAnsiTheme="minorEastAsia" w:eastAsiaTheme="minorEastAsia" w:cstheme="minorEastAsia"/>
          <w:color w:val="000000" w:themeColor="text1"/>
          <w:szCs w:val="21"/>
          <w:highlight w:val="white"/>
        </w:rPr>
        <w:t>的，评标委员会将否决其投标。</w:t>
      </w:r>
    </w:p>
    <w:p>
      <w:pPr>
        <w:spacing w:line="400" w:lineRule="exact"/>
        <w:ind w:firstLine="420" w:firstLineChars="200"/>
        <w:rPr>
          <w:rFonts w:asciiTheme="minorEastAsia" w:hAnsiTheme="minorEastAsia" w:eastAsiaTheme="minorEastAsia" w:cstheme="minorEastAsia"/>
          <w:color w:val="000000" w:themeColor="text1"/>
          <w:szCs w:val="21"/>
          <w:highlight w:val="white"/>
        </w:rPr>
      </w:pPr>
      <w:r>
        <w:rPr>
          <w:rFonts w:hint="eastAsia" w:asciiTheme="minorEastAsia" w:hAnsiTheme="minorEastAsia" w:eastAsiaTheme="minorEastAsia" w:cstheme="minorEastAsia"/>
          <w:color w:val="000000" w:themeColor="text1"/>
          <w:szCs w:val="21"/>
          <w:highlight w:val="white"/>
        </w:rPr>
        <w:t>3.4.3 招标人最迟应当在书面合同签订后5日内向未中标的投标人退还</w:t>
      </w:r>
      <w:r>
        <w:rPr>
          <w:rFonts w:hint="eastAsia" w:asciiTheme="minorEastAsia" w:hAnsiTheme="minorEastAsia" w:eastAsiaTheme="minorEastAsia" w:cstheme="minorEastAsia"/>
          <w:color w:val="000000" w:themeColor="text1"/>
          <w:szCs w:val="21"/>
        </w:rPr>
        <w:t>投标保证金</w:t>
      </w:r>
      <w:r>
        <w:rPr>
          <w:rFonts w:hint="eastAsia" w:asciiTheme="minorEastAsia" w:hAnsiTheme="minorEastAsia" w:eastAsiaTheme="minorEastAsia" w:cstheme="minorEastAsia"/>
          <w:color w:val="000000" w:themeColor="text1"/>
          <w:szCs w:val="21"/>
          <w:highlight w:val="white"/>
        </w:rPr>
        <w:t>。</w:t>
      </w:r>
    </w:p>
    <w:p>
      <w:pPr>
        <w:spacing w:line="400" w:lineRule="exact"/>
        <w:ind w:firstLine="420" w:firstLineChars="200"/>
        <w:rPr>
          <w:rFonts w:asciiTheme="minorEastAsia" w:hAnsiTheme="minorEastAsia" w:eastAsiaTheme="minorEastAsia" w:cstheme="minorEastAsia"/>
          <w:color w:val="000000" w:themeColor="text1"/>
          <w:szCs w:val="21"/>
          <w:highlight w:val="white"/>
        </w:rPr>
      </w:pPr>
      <w:r>
        <w:rPr>
          <w:rFonts w:hint="eastAsia" w:asciiTheme="minorEastAsia" w:hAnsiTheme="minorEastAsia" w:eastAsiaTheme="minorEastAsia" w:cstheme="minorEastAsia"/>
          <w:color w:val="000000" w:themeColor="text1"/>
          <w:szCs w:val="21"/>
          <w:highlight w:val="white"/>
        </w:rPr>
        <w:t>3.4.4 有下列情形之一的，保证金将不予退还：</w:t>
      </w:r>
    </w:p>
    <w:p>
      <w:pPr>
        <w:spacing w:line="400" w:lineRule="exact"/>
        <w:ind w:firstLine="420" w:firstLineChars="200"/>
        <w:rPr>
          <w:rFonts w:asciiTheme="minorEastAsia" w:hAnsiTheme="minorEastAsia" w:eastAsiaTheme="minorEastAsia" w:cstheme="minorEastAsia"/>
          <w:color w:val="000000" w:themeColor="text1"/>
          <w:szCs w:val="21"/>
          <w:highlight w:val="white"/>
        </w:rPr>
      </w:pPr>
      <w:r>
        <w:rPr>
          <w:rFonts w:hint="eastAsia" w:asciiTheme="minorEastAsia" w:hAnsiTheme="minorEastAsia" w:eastAsiaTheme="minorEastAsia" w:cstheme="minorEastAsia"/>
          <w:color w:val="000000" w:themeColor="text1"/>
          <w:szCs w:val="21"/>
          <w:highlight w:val="white"/>
        </w:rPr>
        <w:t>（1）投标截止后投标人撤销投标文件的。</w:t>
      </w:r>
    </w:p>
    <w:p>
      <w:pPr>
        <w:spacing w:line="48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highlight w:val="white"/>
        </w:rPr>
        <w:t>（2）中标人无正当理由不与招标人订立合同；在签订合同时向招标人提出附加条件，或者不按照招标文件要求提交履约保证金的。</w:t>
      </w:r>
    </w:p>
    <w:p>
      <w:pPr>
        <w:pStyle w:val="5"/>
        <w:spacing w:before="0" w:after="0"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3.5 备选投标方案</w:t>
      </w:r>
      <w:bookmarkEnd w:id="33"/>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除投标人须知前附表另有规定外，投标人不得递交备选投标方案。允许投标人递交备选投标方案的，只有第一中标侯选人所递交的备选投标方案方可予以考虑。评标委员会认为第一中标侯选人的备选投标方案优于其按照招标文件要求编制的投标方案的，招标人可以接受该备选投标方案。</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34" w:name="_Toc398107858"/>
      <w:r>
        <w:rPr>
          <w:rFonts w:hint="eastAsia" w:asciiTheme="minorEastAsia" w:hAnsiTheme="minorEastAsia" w:eastAsiaTheme="minorEastAsia" w:cstheme="minorEastAsia"/>
          <w:color w:val="000000" w:themeColor="text1"/>
          <w:sz w:val="21"/>
          <w:szCs w:val="21"/>
        </w:rPr>
        <w:t>3.6 投标文件的编制</w:t>
      </w:r>
      <w:bookmarkEnd w:id="34"/>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bookmarkStart w:id="35" w:name="_Toc398107859"/>
      <w:r>
        <w:rPr>
          <w:rFonts w:hint="eastAsia" w:asciiTheme="minorEastAsia" w:hAnsiTheme="minorEastAsia" w:eastAsiaTheme="minorEastAsia" w:cstheme="minorEastAsia"/>
          <w:color w:val="000000" w:themeColor="text1"/>
          <w:kern w:val="0"/>
          <w:szCs w:val="21"/>
        </w:rPr>
        <w:t>3.6.1 投标文件应按第六章“投标文件格式”的要求进行编写。</w:t>
      </w:r>
      <w:r>
        <w:rPr>
          <w:rFonts w:hint="eastAsia" w:asciiTheme="minorEastAsia" w:hAnsiTheme="minorEastAsia" w:eastAsiaTheme="minorEastAsia" w:cstheme="minorEastAsia"/>
          <w:color w:val="000000" w:themeColor="text1"/>
          <w:szCs w:val="21"/>
          <w:highlight w:val="white"/>
        </w:rPr>
        <w:t>如有必要，可以增加附页，作为投标文件的组成部分。</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3.6.2 投标文件应当对招标文件有关服务期限、投标有效期、质量要求、招标范围等实质性内容作出响应。</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3.6.3</w:t>
      </w:r>
      <w:r>
        <w:rPr>
          <w:rFonts w:hint="eastAsia" w:asciiTheme="minorEastAsia" w:hAnsiTheme="minorEastAsia" w:eastAsiaTheme="minorEastAsia" w:cstheme="minorEastAsia"/>
          <w:color w:val="000000" w:themeColor="text1"/>
          <w:szCs w:val="21"/>
        </w:rPr>
        <w:t>标书封面、投标函、授权委托书（如有）、资信标等材料均须加盖投标单位印章和法定代表人印章（原件除外），所有标书均须加盖骑缝印章（包括投标单位印章和法定代表人印章）。</w:t>
      </w:r>
    </w:p>
    <w:p>
      <w:pPr>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3.6.4投标文件须用不能擦去的黑字书写或打印，其正、副本都应装订成册，并在封面上正确标明“正本”、“副本”字样。</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3.6.5投标文件应无修改和行间插字。投标文件如有修改，须在修改处加盖投标人法定代表人或</w:t>
      </w:r>
      <w:r>
        <w:rPr>
          <w:rFonts w:hint="eastAsia" w:asciiTheme="minorEastAsia" w:hAnsiTheme="minorEastAsia" w:eastAsiaTheme="minorEastAsia" w:cstheme="minorEastAsia"/>
          <w:color w:val="000000" w:themeColor="text1"/>
          <w:szCs w:val="21"/>
        </w:rPr>
        <w:t>其代理人的印章（或签署）。</w:t>
      </w:r>
    </w:p>
    <w:p>
      <w:pPr>
        <w:pStyle w:val="51"/>
        <w:spacing w:line="440" w:lineRule="exact"/>
        <w:ind w:firstLine="420" w:firstLineChars="200"/>
        <w:rPr>
          <w:rFonts w:hint="default" w:eastAsia="新宋体"/>
          <w:highlight w:val="yellow"/>
        </w:rPr>
      </w:pPr>
      <w:r>
        <w:rPr>
          <w:rFonts w:ascii="宋体" w:hAnsi="宋体" w:cs="宋体"/>
          <w:sz w:val="21"/>
          <w:szCs w:val="21"/>
        </w:rPr>
        <w:t>3.6.6《</w:t>
      </w:r>
      <w:r>
        <w:rPr>
          <w:rFonts w:ascii="新宋体" w:hAnsi="新宋体" w:eastAsia="新宋体"/>
          <w:snapToGrid w:val="0"/>
          <w:sz w:val="21"/>
          <w:szCs w:val="21"/>
        </w:rPr>
        <w:t>入库信息诚信承诺书</w:t>
      </w:r>
      <w:r>
        <w:rPr>
          <w:rFonts w:ascii="宋体" w:hAnsi="宋体" w:cs="宋体"/>
          <w:sz w:val="21"/>
          <w:szCs w:val="21"/>
        </w:rPr>
        <w:t>》</w:t>
      </w:r>
      <w:r>
        <w:rPr>
          <w:rFonts w:ascii="新宋体" w:hAnsi="新宋体" w:eastAsia="新宋体"/>
          <w:snapToGrid w:val="0"/>
          <w:sz w:val="21"/>
          <w:szCs w:val="21"/>
        </w:rPr>
        <w:t>、</w:t>
      </w:r>
      <w:r>
        <w:rPr>
          <w:rFonts w:ascii="宋体" w:hAnsi="宋体" w:cs="宋体"/>
          <w:sz w:val="21"/>
          <w:szCs w:val="21"/>
        </w:rPr>
        <w:t>《</w:t>
      </w:r>
      <w:r>
        <w:rPr>
          <w:rFonts w:ascii="新宋体" w:hAnsi="新宋体" w:eastAsia="新宋体"/>
          <w:snapToGrid w:val="0"/>
          <w:sz w:val="21"/>
          <w:szCs w:val="21"/>
        </w:rPr>
        <w:t>投标人的法定代表人针对本工程签字盖章的诚信投标承诺书</w:t>
      </w:r>
      <w:r>
        <w:rPr>
          <w:rFonts w:ascii="宋体" w:hAnsi="宋体" w:cs="宋体"/>
          <w:sz w:val="21"/>
          <w:szCs w:val="21"/>
        </w:rPr>
        <w:t>》</w:t>
      </w:r>
      <w:r>
        <w:rPr>
          <w:rFonts w:ascii="新宋体" w:hAnsi="新宋体" w:eastAsia="新宋体"/>
          <w:snapToGrid w:val="0"/>
          <w:sz w:val="21"/>
          <w:szCs w:val="21"/>
        </w:rPr>
        <w:t>、</w:t>
      </w:r>
      <w:r>
        <w:rPr>
          <w:rFonts w:ascii="宋体" w:hAnsi="宋体" w:cs="宋体"/>
          <w:sz w:val="21"/>
          <w:szCs w:val="21"/>
        </w:rPr>
        <w:t>《</w:t>
      </w:r>
      <w:r>
        <w:rPr>
          <w:rFonts w:ascii="新宋体" w:hAnsi="新宋体" w:eastAsia="新宋体"/>
          <w:snapToGrid w:val="0"/>
          <w:sz w:val="21"/>
          <w:szCs w:val="21"/>
        </w:rPr>
        <w:t>盐城市公共资源交易投标信用承诺书</w:t>
      </w:r>
      <w:r>
        <w:rPr>
          <w:rFonts w:ascii="宋体" w:hAnsi="宋体" w:cs="宋体"/>
          <w:sz w:val="21"/>
          <w:szCs w:val="21"/>
        </w:rPr>
        <w:t>》</w:t>
      </w:r>
      <w:r>
        <w:rPr>
          <w:rFonts w:ascii="新宋体" w:hAnsi="新宋体" w:eastAsia="新宋体"/>
          <w:snapToGrid w:val="0"/>
          <w:sz w:val="21"/>
          <w:szCs w:val="21"/>
        </w:rPr>
        <w:t>、</w:t>
      </w:r>
      <w:r>
        <w:rPr>
          <w:rFonts w:ascii="宋体" w:hAnsi="宋体" w:cs="宋体"/>
          <w:sz w:val="21"/>
          <w:szCs w:val="21"/>
        </w:rPr>
        <w:t>《</w:t>
      </w:r>
      <w:r>
        <w:rPr>
          <w:rFonts w:ascii="新宋体" w:hAnsi="新宋体" w:eastAsia="新宋体"/>
          <w:snapToGrid w:val="0"/>
          <w:sz w:val="21"/>
          <w:szCs w:val="21"/>
        </w:rPr>
        <w:t>项目负责人投标承诺函</w:t>
      </w:r>
      <w:r>
        <w:rPr>
          <w:rFonts w:ascii="宋体" w:hAnsi="宋体" w:cs="宋体"/>
          <w:sz w:val="21"/>
          <w:szCs w:val="21"/>
        </w:rPr>
        <w:t>》</w:t>
      </w:r>
      <w:r>
        <w:rPr>
          <w:rFonts w:ascii="新宋体" w:hAnsi="新宋体" w:eastAsia="新宋体"/>
          <w:snapToGrid w:val="0"/>
          <w:sz w:val="21"/>
          <w:szCs w:val="21"/>
        </w:rPr>
        <w:t>（以上格式</w:t>
      </w:r>
      <w:r>
        <w:rPr>
          <w:rFonts w:ascii="宋体" w:hAnsi="宋体" w:eastAsia="宋体" w:cs="宋体"/>
          <w:sz w:val="21"/>
          <w:szCs w:val="21"/>
        </w:rPr>
        <w:t>编制时应满足招标文件要求</w:t>
      </w:r>
      <w:r>
        <w:rPr>
          <w:rFonts w:ascii="宋体" w:hAnsi="宋体" w:cs="宋体"/>
          <w:sz w:val="21"/>
          <w:szCs w:val="21"/>
        </w:rPr>
        <w:t>）</w:t>
      </w:r>
      <w:r>
        <w:rPr>
          <w:rFonts w:ascii="宋体" w:hAnsi="宋体" w:cs="宋体"/>
          <w:bCs/>
          <w:sz w:val="21"/>
          <w:szCs w:val="21"/>
        </w:rPr>
        <w:t>、</w:t>
      </w:r>
      <w:r>
        <w:rPr>
          <w:rFonts w:ascii="新宋体" w:hAnsi="新宋体" w:eastAsia="新宋体"/>
          <w:snapToGrid w:val="0"/>
          <w:sz w:val="21"/>
          <w:szCs w:val="21"/>
        </w:rPr>
        <w:t>《项目负责人投标承诺函》需要投标项目负责人手动签字确认。</w:t>
      </w:r>
    </w:p>
    <w:p>
      <w:pPr>
        <w:pStyle w:val="5"/>
        <w:spacing w:before="0" w:after="0"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3.7</w:t>
      </w:r>
      <w:bookmarkEnd w:id="35"/>
      <w:bookmarkStart w:id="36" w:name="_Toc398107860"/>
      <w:r>
        <w:rPr>
          <w:rFonts w:hint="eastAsia" w:asciiTheme="minorEastAsia" w:hAnsiTheme="minorEastAsia" w:eastAsiaTheme="minorEastAsia" w:cstheme="minorEastAsia"/>
          <w:color w:val="000000" w:themeColor="text1"/>
          <w:sz w:val="21"/>
          <w:szCs w:val="21"/>
        </w:rPr>
        <w:t>资格审查资料</w:t>
      </w:r>
      <w:bookmarkEnd w:id="36"/>
    </w:p>
    <w:p>
      <w:pPr>
        <w:autoSpaceDE w:val="0"/>
        <w:autoSpaceDN w:val="0"/>
        <w:adjustRightInd w:val="0"/>
        <w:spacing w:line="480" w:lineRule="exac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kern w:val="0"/>
          <w:szCs w:val="21"/>
        </w:rPr>
        <w:t>本项目对投标申请人的资格审查采用资格后审方式。资格审查资料详见3.1.1条。</w:t>
      </w:r>
    </w:p>
    <w:p>
      <w:pPr>
        <w:pStyle w:val="4"/>
        <w:spacing w:before="0" w:after="0" w:line="480" w:lineRule="exact"/>
        <w:rPr>
          <w:rFonts w:asciiTheme="minorEastAsia" w:hAnsiTheme="minorEastAsia" w:eastAsiaTheme="minorEastAsia" w:cstheme="minorEastAsia"/>
          <w:color w:val="000000" w:themeColor="text1"/>
          <w:sz w:val="21"/>
          <w:szCs w:val="21"/>
        </w:rPr>
      </w:pPr>
      <w:bookmarkStart w:id="37" w:name="_Toc398107862"/>
      <w:r>
        <w:rPr>
          <w:rFonts w:hint="eastAsia" w:asciiTheme="minorEastAsia" w:hAnsiTheme="minorEastAsia" w:eastAsiaTheme="minorEastAsia" w:cstheme="minorEastAsia"/>
          <w:color w:val="000000" w:themeColor="text1"/>
          <w:sz w:val="21"/>
          <w:szCs w:val="21"/>
        </w:rPr>
        <w:t>4  投标</w:t>
      </w:r>
      <w:bookmarkEnd w:id="37"/>
    </w:p>
    <w:p>
      <w:pPr>
        <w:pStyle w:val="163"/>
        <w:widowControl/>
        <w:shd w:val="clear" w:color="auto" w:fill="FFFFFF"/>
        <w:spacing w:line="480" w:lineRule="exact"/>
        <w:ind w:firstLine="0" w:firstLineChars="0"/>
        <w:jc w:val="left"/>
        <w:rPr>
          <w:rFonts w:asciiTheme="minorEastAsia" w:hAnsiTheme="minorEastAsia" w:eastAsiaTheme="minorEastAsia" w:cstheme="minorEastAsia"/>
          <w:snapToGrid w:val="0"/>
          <w:color w:val="000000" w:themeColor="text1"/>
          <w:kern w:val="0"/>
          <w:szCs w:val="21"/>
        </w:rPr>
      </w:pPr>
      <w:bookmarkStart w:id="38" w:name="_Toc398107865"/>
      <w:r>
        <w:rPr>
          <w:rFonts w:hint="eastAsia" w:asciiTheme="minorEastAsia" w:hAnsiTheme="minorEastAsia" w:eastAsiaTheme="minorEastAsia" w:cstheme="minorEastAsia"/>
          <w:bCs/>
          <w:color w:val="000000" w:themeColor="text1"/>
          <w:kern w:val="0"/>
          <w:szCs w:val="21"/>
        </w:rPr>
        <w:t>4.1</w:t>
      </w:r>
      <w:r>
        <w:rPr>
          <w:rFonts w:hint="eastAsia" w:asciiTheme="minorEastAsia" w:hAnsiTheme="minorEastAsia" w:eastAsiaTheme="minorEastAsia" w:cstheme="minorEastAsia"/>
          <w:bCs/>
          <w:snapToGrid w:val="0"/>
          <w:color w:val="000000" w:themeColor="text1"/>
          <w:szCs w:val="21"/>
        </w:rPr>
        <w:t>未按本项目招标文件规定要求密封和装订的投标文件，招标人将拒收。</w:t>
      </w:r>
    </w:p>
    <w:p>
      <w:pPr>
        <w:pStyle w:val="5"/>
        <w:spacing w:before="0" w:after="0"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4.2 投标文件的递交</w:t>
      </w:r>
    </w:p>
    <w:p>
      <w:pPr>
        <w:widowControl/>
        <w:shd w:val="clear" w:color="auto" w:fill="FFFFFF"/>
        <w:spacing w:line="480" w:lineRule="exact"/>
        <w:ind w:firstLine="420"/>
        <w:rPr>
          <w:rFonts w:asciiTheme="minorEastAsia" w:hAnsiTheme="minorEastAsia" w:eastAsiaTheme="minorEastAsia" w:cstheme="minorEastAsia"/>
          <w:snapToGrid w:val="0"/>
          <w:color w:val="000000" w:themeColor="text1"/>
          <w:kern w:val="0"/>
          <w:szCs w:val="21"/>
        </w:rPr>
      </w:pPr>
      <w:bookmarkStart w:id="39" w:name="_Toc197770874"/>
      <w:bookmarkEnd w:id="39"/>
      <w:bookmarkStart w:id="40" w:name="_Toc267475062"/>
      <w:bookmarkEnd w:id="40"/>
      <w:bookmarkStart w:id="41" w:name="_Toc263777156"/>
      <w:bookmarkEnd w:id="41"/>
      <w:bookmarkStart w:id="42" w:name="_Toc263403063"/>
      <w:bookmarkEnd w:id="42"/>
      <w:bookmarkStart w:id="43" w:name="_Toc261518394"/>
      <w:bookmarkEnd w:id="43"/>
      <w:bookmarkStart w:id="44" w:name="_Toc273437314"/>
      <w:bookmarkEnd w:id="44"/>
      <w:r>
        <w:rPr>
          <w:rFonts w:hint="eastAsia" w:asciiTheme="minorEastAsia" w:hAnsiTheme="minorEastAsia" w:eastAsiaTheme="minorEastAsia" w:cstheme="minorEastAsia"/>
          <w:snapToGrid w:val="0"/>
          <w:color w:val="000000" w:themeColor="text1"/>
          <w:kern w:val="0"/>
          <w:szCs w:val="21"/>
        </w:rPr>
        <w:t>4.2.1 投标人应在招标文件规定的投标截止时间前完成投标文件的递交。</w:t>
      </w:r>
    </w:p>
    <w:p>
      <w:pPr>
        <w:widowControl/>
        <w:shd w:val="clear" w:color="auto" w:fill="FFFFFF"/>
        <w:spacing w:line="480" w:lineRule="exact"/>
        <w:ind w:firstLine="420"/>
        <w:rPr>
          <w:rFonts w:asciiTheme="minorEastAsia" w:hAnsiTheme="minorEastAsia" w:eastAsiaTheme="minorEastAsia" w:cstheme="minorEastAsia"/>
          <w:snapToGrid w:val="0"/>
          <w:color w:val="000000" w:themeColor="text1"/>
          <w:kern w:val="0"/>
          <w:szCs w:val="21"/>
        </w:rPr>
      </w:pPr>
      <w:r>
        <w:rPr>
          <w:rFonts w:hint="eastAsia" w:asciiTheme="minorEastAsia" w:hAnsiTheme="minorEastAsia" w:eastAsiaTheme="minorEastAsia" w:cstheme="minorEastAsia"/>
          <w:snapToGrid w:val="0"/>
          <w:color w:val="000000" w:themeColor="text1"/>
          <w:kern w:val="0"/>
          <w:szCs w:val="21"/>
        </w:rPr>
        <w:t>4.2.2 投标人递交投标文件的地点：见投标人须知前附表。</w:t>
      </w:r>
    </w:p>
    <w:p>
      <w:pPr>
        <w:widowControl/>
        <w:shd w:val="clear" w:color="auto" w:fill="FFFFFF"/>
        <w:spacing w:line="480" w:lineRule="exact"/>
        <w:ind w:firstLine="420"/>
        <w:rPr>
          <w:rFonts w:asciiTheme="minorEastAsia" w:hAnsiTheme="minorEastAsia" w:eastAsiaTheme="minorEastAsia" w:cstheme="minorEastAsia"/>
          <w:snapToGrid w:val="0"/>
          <w:color w:val="000000" w:themeColor="text1"/>
          <w:kern w:val="0"/>
          <w:szCs w:val="21"/>
        </w:rPr>
      </w:pPr>
      <w:r>
        <w:rPr>
          <w:rFonts w:hint="eastAsia" w:asciiTheme="minorEastAsia" w:hAnsiTheme="minorEastAsia" w:eastAsiaTheme="minorEastAsia" w:cstheme="minorEastAsia"/>
          <w:snapToGrid w:val="0"/>
          <w:color w:val="000000" w:themeColor="text1"/>
          <w:kern w:val="0"/>
          <w:szCs w:val="21"/>
        </w:rPr>
        <w:t>4.2.3 除招标文件另有规定外，投标人所递交的投标文件不予退还。</w:t>
      </w:r>
    </w:p>
    <w:p>
      <w:pPr>
        <w:widowControl/>
        <w:shd w:val="clear" w:color="auto" w:fill="FFFFFF"/>
        <w:spacing w:line="480" w:lineRule="exact"/>
        <w:ind w:firstLine="420"/>
        <w:rPr>
          <w:rFonts w:asciiTheme="minorEastAsia" w:hAnsiTheme="minorEastAsia" w:eastAsiaTheme="minorEastAsia" w:cstheme="minorEastAsia"/>
          <w:snapToGrid w:val="0"/>
          <w:color w:val="000000" w:themeColor="text1"/>
          <w:kern w:val="0"/>
          <w:szCs w:val="21"/>
        </w:rPr>
      </w:pPr>
      <w:r>
        <w:rPr>
          <w:rFonts w:hint="eastAsia" w:asciiTheme="minorEastAsia" w:hAnsiTheme="minorEastAsia" w:eastAsiaTheme="minorEastAsia" w:cstheme="minorEastAsia"/>
          <w:snapToGrid w:val="0"/>
          <w:color w:val="000000" w:themeColor="text1"/>
          <w:kern w:val="0"/>
          <w:szCs w:val="21"/>
        </w:rPr>
        <w:t>4.2.4 有下列情形之一的投标文件拒收并退回：</w:t>
      </w:r>
    </w:p>
    <w:p>
      <w:pPr>
        <w:widowControl/>
        <w:shd w:val="clear" w:color="auto" w:fill="FFFFFF"/>
        <w:spacing w:line="480" w:lineRule="exact"/>
        <w:ind w:firstLine="420"/>
        <w:rPr>
          <w:rFonts w:asciiTheme="minorEastAsia" w:hAnsiTheme="minorEastAsia" w:eastAsiaTheme="minorEastAsia" w:cstheme="minorEastAsia"/>
          <w:snapToGrid w:val="0"/>
          <w:color w:val="000000" w:themeColor="text1"/>
          <w:kern w:val="0"/>
          <w:szCs w:val="21"/>
        </w:rPr>
      </w:pPr>
      <w:r>
        <w:rPr>
          <w:rFonts w:hint="eastAsia" w:asciiTheme="minorEastAsia" w:hAnsiTheme="minorEastAsia" w:eastAsiaTheme="minorEastAsia" w:cstheme="minorEastAsia"/>
          <w:snapToGrid w:val="0"/>
          <w:color w:val="000000" w:themeColor="text1"/>
          <w:kern w:val="0"/>
          <w:szCs w:val="21"/>
        </w:rPr>
        <w:t>1）投标文件逾期送达的或者未送达指定地点的。</w:t>
      </w:r>
    </w:p>
    <w:p>
      <w:pPr>
        <w:autoSpaceDE w:val="0"/>
        <w:autoSpaceDN w:val="0"/>
        <w:adjustRightInd w:val="0"/>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snapToGrid w:val="0"/>
          <w:color w:val="000000" w:themeColor="text1"/>
          <w:kern w:val="0"/>
          <w:szCs w:val="21"/>
        </w:rPr>
        <w:t>2）投标文件未按招标文件规定要求封装或标志的</w:t>
      </w:r>
      <w:r>
        <w:rPr>
          <w:rFonts w:hint="eastAsia" w:asciiTheme="minorEastAsia" w:hAnsiTheme="minorEastAsia" w:eastAsiaTheme="minorEastAsia" w:cstheme="minorEastAsia"/>
          <w:color w:val="000000" w:themeColor="text1"/>
          <w:szCs w:val="21"/>
        </w:rPr>
        <w:t>。</w:t>
      </w:r>
    </w:p>
    <w:p>
      <w:pPr>
        <w:pStyle w:val="5"/>
        <w:spacing w:before="0" w:after="0"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4.3 投标文件的修改与撤回</w:t>
      </w:r>
      <w:bookmarkEnd w:id="38"/>
    </w:p>
    <w:p>
      <w:pPr>
        <w:autoSpaceDE w:val="0"/>
        <w:autoSpaceDN w:val="0"/>
        <w:adjustRightInd w:val="0"/>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4.3.1 在投标人须知前附表规定的投标截止时间前，投标人可以多次修改或撤回已递交的投标文件，最终投标文件以投标截止时间前按规定递交的最后一份投标文件为准。</w:t>
      </w:r>
    </w:p>
    <w:p>
      <w:pPr>
        <w:autoSpaceDE w:val="0"/>
        <w:autoSpaceDN w:val="0"/>
        <w:adjustRightInd w:val="0"/>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4.3.2 修改的投标文件应按照本章第3.6条、第4.2条规定进行编制和递交。</w:t>
      </w:r>
    </w:p>
    <w:p>
      <w:pPr>
        <w:autoSpaceDE w:val="0"/>
        <w:autoSpaceDN w:val="0"/>
        <w:adjustRightInd w:val="0"/>
        <w:spacing w:line="48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4.3.3 投标截止时间之后，在投标有效期内，投标人不得修改或撤回投标文件，否则投标保证金将不予退还。</w:t>
      </w:r>
    </w:p>
    <w:p>
      <w:pPr>
        <w:pStyle w:val="4"/>
        <w:spacing w:before="0" w:after="0" w:line="480" w:lineRule="exact"/>
        <w:rPr>
          <w:rFonts w:asciiTheme="minorEastAsia" w:hAnsiTheme="minorEastAsia" w:eastAsiaTheme="minorEastAsia" w:cstheme="minorEastAsia"/>
          <w:color w:val="000000" w:themeColor="text1"/>
          <w:sz w:val="21"/>
          <w:szCs w:val="21"/>
        </w:rPr>
      </w:pPr>
      <w:bookmarkStart w:id="45" w:name="_Toc398107867"/>
      <w:r>
        <w:rPr>
          <w:rFonts w:hint="eastAsia" w:asciiTheme="minorEastAsia" w:hAnsiTheme="minorEastAsia" w:eastAsiaTheme="minorEastAsia" w:cstheme="minorEastAsia"/>
          <w:color w:val="000000" w:themeColor="text1"/>
          <w:sz w:val="21"/>
          <w:szCs w:val="21"/>
        </w:rPr>
        <w:t>5  开标</w:t>
      </w:r>
      <w:bookmarkEnd w:id="45"/>
    </w:p>
    <w:p>
      <w:pPr>
        <w:pStyle w:val="5"/>
        <w:spacing w:before="0" w:after="0" w:line="480" w:lineRule="exact"/>
        <w:rPr>
          <w:rFonts w:asciiTheme="minorEastAsia" w:hAnsiTheme="minorEastAsia" w:eastAsiaTheme="minorEastAsia" w:cstheme="minorEastAsia"/>
          <w:color w:val="000000" w:themeColor="text1"/>
          <w:sz w:val="21"/>
          <w:szCs w:val="21"/>
        </w:rPr>
      </w:pPr>
      <w:bookmarkStart w:id="46" w:name="_Toc398107868"/>
      <w:r>
        <w:rPr>
          <w:rFonts w:hint="eastAsia" w:asciiTheme="minorEastAsia" w:hAnsiTheme="minorEastAsia" w:eastAsiaTheme="minorEastAsia" w:cstheme="minorEastAsia"/>
          <w:color w:val="000000" w:themeColor="text1"/>
          <w:sz w:val="21"/>
          <w:szCs w:val="21"/>
        </w:rPr>
        <w:t>5.1 开标时间、地点</w:t>
      </w:r>
      <w:bookmarkEnd w:id="46"/>
    </w:p>
    <w:p>
      <w:pPr>
        <w:spacing w:line="440" w:lineRule="exact"/>
        <w:ind w:firstLine="420" w:firstLineChars="200"/>
        <w:rPr>
          <w:rFonts w:ascii="宋体" w:hAnsi="宋体" w:cs="宋体"/>
          <w:b/>
          <w:bCs/>
          <w:szCs w:val="21"/>
          <w:u w:val="single"/>
        </w:rPr>
      </w:pPr>
      <w:r>
        <w:rPr>
          <w:rFonts w:hint="eastAsia" w:asciiTheme="minorEastAsia" w:hAnsiTheme="minorEastAsia" w:eastAsiaTheme="minorEastAsia" w:cstheme="minorEastAsia"/>
          <w:color w:val="000000" w:themeColor="text1"/>
          <w:kern w:val="0"/>
          <w:szCs w:val="21"/>
        </w:rPr>
        <w:t>招标人在投标人须知前附表规定的开标时间和地点公开开标。</w:t>
      </w:r>
      <w:r>
        <w:rPr>
          <w:rFonts w:hint="eastAsia" w:ascii="宋体" w:hAnsi="宋体" w:cs="宋体"/>
          <w:b/>
          <w:bCs/>
          <w:szCs w:val="21"/>
          <w:u w:val="single"/>
        </w:rPr>
        <w:t>开标时，投标人不需出现在开标现场，仅需在任意地点通过 PC端或移动端的“腾讯会议”及相应的配套硬件设备参加开标会议。</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47" w:name="_Toc398107869"/>
      <w:r>
        <w:rPr>
          <w:rFonts w:hint="eastAsia" w:asciiTheme="minorEastAsia" w:hAnsiTheme="minorEastAsia" w:eastAsiaTheme="minorEastAsia" w:cstheme="minorEastAsia"/>
          <w:color w:val="000000" w:themeColor="text1"/>
          <w:sz w:val="21"/>
          <w:szCs w:val="21"/>
        </w:rPr>
        <w:t>5.2 开标程序</w:t>
      </w:r>
      <w:bookmarkEnd w:id="47"/>
    </w:p>
    <w:p>
      <w:pPr>
        <w:spacing w:line="400" w:lineRule="exact"/>
        <w:ind w:firstLine="420"/>
        <w:rPr>
          <w:rFonts w:hint="eastAsia" w:asciiTheme="minorEastAsia" w:hAnsiTheme="minorEastAsia" w:eastAsiaTheme="minorEastAsia" w:cstheme="minorEastAsia"/>
          <w:color w:val="000000" w:themeColor="text1"/>
          <w:szCs w:val="21"/>
          <w:highlight w:val="white"/>
        </w:rPr>
      </w:pPr>
      <w:r>
        <w:rPr>
          <w:rFonts w:hint="eastAsia" w:asciiTheme="minorEastAsia" w:hAnsiTheme="minorEastAsia" w:eastAsiaTheme="minorEastAsia" w:cstheme="minorEastAsia"/>
          <w:color w:val="000000" w:themeColor="text1"/>
          <w:szCs w:val="21"/>
          <w:highlight w:val="white"/>
        </w:rPr>
        <w:t>5.2.1 主持人按下列程序进行开标：</w:t>
      </w:r>
    </w:p>
    <w:p>
      <w:pPr>
        <w:spacing w:line="480" w:lineRule="exact"/>
        <w:ind w:firstLine="420" w:firstLineChars="200"/>
        <w:rPr>
          <w:rFonts w:ascii="宋体" w:hAnsi="宋体"/>
        </w:rPr>
      </w:pPr>
      <w:r>
        <w:rPr>
          <w:rFonts w:hint="eastAsia" w:ascii="宋体" w:hAnsi="宋体"/>
        </w:rPr>
        <w:t>（</w:t>
      </w:r>
      <w:r>
        <w:rPr>
          <w:rFonts w:ascii="宋体" w:hAnsi="宋体"/>
        </w:rPr>
        <w:t>1</w:t>
      </w:r>
      <w:r>
        <w:rPr>
          <w:rFonts w:hint="eastAsia" w:ascii="宋体" w:hAnsi="宋体"/>
        </w:rPr>
        <w:t>）宣布开标纪律；</w:t>
      </w:r>
    </w:p>
    <w:p>
      <w:pPr>
        <w:spacing w:line="480" w:lineRule="exact"/>
        <w:ind w:firstLine="420" w:firstLineChars="200"/>
        <w:rPr>
          <w:rFonts w:ascii="宋体" w:hAnsi="宋体"/>
          <w:kern w:val="0"/>
        </w:rPr>
      </w:pPr>
      <w:r>
        <w:rPr>
          <w:rFonts w:hint="eastAsia" w:ascii="宋体" w:hAnsi="宋体"/>
        </w:rPr>
        <w:t>（</w:t>
      </w:r>
      <w:r>
        <w:rPr>
          <w:rFonts w:ascii="宋体" w:hAnsi="宋体"/>
        </w:rPr>
        <w:t>2</w:t>
      </w:r>
      <w:r>
        <w:rPr>
          <w:rFonts w:hint="eastAsia" w:ascii="宋体" w:hAnsi="宋体"/>
        </w:rPr>
        <w:t>）宣布</w:t>
      </w:r>
      <w:r>
        <w:rPr>
          <w:rFonts w:hint="eastAsia" w:ascii="宋体" w:hAnsi="宋体"/>
          <w:kern w:val="0"/>
        </w:rPr>
        <w:t>招标人、招标代理机构、招投标监管部门出席开标会的有关人员；</w:t>
      </w:r>
    </w:p>
    <w:p>
      <w:pPr>
        <w:spacing w:line="480" w:lineRule="exact"/>
        <w:ind w:firstLine="420" w:firstLineChars="200"/>
        <w:rPr>
          <w:rFonts w:ascii="宋体" w:hAnsi="宋体"/>
        </w:rPr>
      </w:pPr>
      <w:r>
        <w:rPr>
          <w:rFonts w:hint="eastAsia" w:ascii="宋体" w:hAnsi="宋体"/>
          <w:kern w:val="0"/>
        </w:rPr>
        <w:t>（</w:t>
      </w:r>
      <w:r>
        <w:rPr>
          <w:rFonts w:ascii="宋体" w:hAnsi="宋体"/>
          <w:kern w:val="0"/>
        </w:rPr>
        <w:t>3</w:t>
      </w:r>
      <w:r>
        <w:rPr>
          <w:rFonts w:hint="eastAsia" w:ascii="宋体" w:hAnsi="宋体"/>
          <w:kern w:val="0"/>
        </w:rPr>
        <w:t>）公布投标</w:t>
      </w:r>
      <w:r>
        <w:rPr>
          <w:rFonts w:hint="eastAsia" w:ascii="宋体" w:hAnsi="宋体"/>
        </w:rPr>
        <w:t>人数量并检查投标文件的密封情况、公布</w:t>
      </w:r>
      <w:r>
        <w:rPr>
          <w:rFonts w:hint="eastAsia" w:ascii="宋体" w:hAnsi="宋体" w:cs="宋体"/>
        </w:rPr>
        <w:t>投标保证金的递交情况</w:t>
      </w:r>
      <w:r>
        <w:rPr>
          <w:rFonts w:hint="eastAsia" w:ascii="宋体" w:hAnsi="宋体"/>
        </w:rPr>
        <w:t>；</w:t>
      </w:r>
    </w:p>
    <w:p>
      <w:pPr>
        <w:spacing w:line="480" w:lineRule="exact"/>
        <w:ind w:firstLine="420" w:firstLineChars="200"/>
        <w:rPr>
          <w:rFonts w:ascii="宋体" w:hAnsi="宋体"/>
        </w:rPr>
      </w:pPr>
      <w:r>
        <w:rPr>
          <w:rFonts w:hint="eastAsia" w:ascii="宋体" w:hAnsi="宋体"/>
        </w:rPr>
        <w:t>（4）工作人员当众启封有效投标文件及修改文件，宣读投标文件的主要内容；</w:t>
      </w:r>
    </w:p>
    <w:p>
      <w:pPr>
        <w:spacing w:line="480" w:lineRule="exact"/>
        <w:ind w:firstLine="420" w:firstLineChars="200"/>
        <w:rPr>
          <w:rFonts w:ascii="宋体" w:hAnsi="宋体"/>
        </w:rPr>
      </w:pPr>
      <w:r>
        <w:rPr>
          <w:rFonts w:hint="eastAsia" w:ascii="宋体" w:hAnsi="宋体"/>
        </w:rPr>
        <w:t>（5）开标结束。</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highlight w:val="white"/>
        </w:rPr>
        <w:t>5.2.2投标人对开标有异议的，应当在开标现场提出，招标人应当当场作出答复，并作好记录；</w:t>
      </w:r>
      <w:r>
        <w:rPr>
          <w:rFonts w:hint="eastAsia" w:ascii="新宋体" w:hAnsi="新宋体" w:eastAsia="新宋体"/>
          <w:kern w:val="0"/>
          <w:szCs w:val="21"/>
        </w:rPr>
        <w:t>任何单位和个人在开标结束后就开标提出的异议或投诉将不予受理。</w:t>
      </w:r>
    </w:p>
    <w:p>
      <w:pPr>
        <w:pStyle w:val="4"/>
        <w:spacing w:before="0" w:after="0" w:line="480" w:lineRule="exact"/>
        <w:rPr>
          <w:rFonts w:asciiTheme="minorEastAsia" w:hAnsiTheme="minorEastAsia" w:eastAsiaTheme="minorEastAsia" w:cstheme="minorEastAsia"/>
          <w:color w:val="000000" w:themeColor="text1"/>
          <w:sz w:val="21"/>
          <w:szCs w:val="21"/>
        </w:rPr>
      </w:pPr>
      <w:bookmarkStart w:id="48" w:name="_Toc398107870"/>
      <w:r>
        <w:rPr>
          <w:rFonts w:hint="eastAsia" w:asciiTheme="minorEastAsia" w:hAnsiTheme="minorEastAsia" w:eastAsiaTheme="minorEastAsia" w:cstheme="minorEastAsia"/>
          <w:color w:val="000000" w:themeColor="text1"/>
          <w:sz w:val="21"/>
          <w:szCs w:val="21"/>
        </w:rPr>
        <w:t>6  评标</w:t>
      </w:r>
      <w:bookmarkEnd w:id="48"/>
    </w:p>
    <w:p>
      <w:pPr>
        <w:pStyle w:val="5"/>
        <w:spacing w:before="0" w:after="0" w:line="480" w:lineRule="exact"/>
        <w:rPr>
          <w:rFonts w:asciiTheme="minorEastAsia" w:hAnsiTheme="minorEastAsia" w:eastAsiaTheme="minorEastAsia" w:cstheme="minorEastAsia"/>
          <w:color w:val="000000" w:themeColor="text1"/>
          <w:sz w:val="21"/>
          <w:szCs w:val="21"/>
        </w:rPr>
      </w:pPr>
      <w:bookmarkStart w:id="49" w:name="_Toc398107871"/>
      <w:r>
        <w:rPr>
          <w:rFonts w:hint="eastAsia" w:asciiTheme="minorEastAsia" w:hAnsiTheme="minorEastAsia" w:eastAsiaTheme="minorEastAsia" w:cstheme="minorEastAsia"/>
          <w:color w:val="000000" w:themeColor="text1"/>
          <w:sz w:val="21"/>
          <w:szCs w:val="21"/>
        </w:rPr>
        <w:t>6.1 评标委员会</w:t>
      </w:r>
      <w:bookmarkEnd w:id="49"/>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6.1.1 评标由招标人依法组建的评标委员会负责。</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6.1.2 评标委员会设负责人一名，由评标委员会成员内部推举产生。评标委员会负责人与评标委员会其他成员有同等的表决权。</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6.1.3 评标委员会成员有下列情形之一的，应当主动提出回避：</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（1）投标人的主要负责人的近亲属；</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（2）招标项目主管部门或者行政监督部门的人员；</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（3）与投标人有经济利益关系，可能影响对投标公正评审的；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（4）曾因在招标、评标以及其他与招标投标有关活动中从事违法行为而受过行政处罚或刑事处罚的。</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50" w:name="_Toc398107872"/>
      <w:r>
        <w:rPr>
          <w:rFonts w:hint="eastAsia" w:asciiTheme="minorEastAsia" w:hAnsiTheme="minorEastAsia" w:eastAsiaTheme="minorEastAsia" w:cstheme="minorEastAsia"/>
          <w:color w:val="000000" w:themeColor="text1"/>
          <w:sz w:val="21"/>
          <w:szCs w:val="21"/>
        </w:rPr>
        <w:t>6.2 评标原则</w:t>
      </w:r>
      <w:bookmarkEnd w:id="50"/>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评标活动遵循公平、公正、科学和择优的原则。</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51" w:name="_Toc398107873"/>
      <w:r>
        <w:rPr>
          <w:rFonts w:hint="eastAsia" w:asciiTheme="minorEastAsia" w:hAnsiTheme="minorEastAsia" w:eastAsiaTheme="minorEastAsia" w:cstheme="minorEastAsia"/>
          <w:color w:val="000000" w:themeColor="text1"/>
          <w:sz w:val="21"/>
          <w:szCs w:val="21"/>
        </w:rPr>
        <w:t>6.3 评标</w:t>
      </w:r>
      <w:bookmarkEnd w:id="51"/>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评标委员会按照第三章“评标办法”规定的方法、评审因素、标准和程序对投标文件进行评审。招标文件没有规定的方法、评审因素和标准，不作为评标依据。</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评标过程中，除出现《中华人民共和国招标投标法实施条例》第二十三条情形外，评标委员会认为因招标文件 缺陷无法确定中标候选人或中标人的，招标人应当重新组织招标。</w:t>
      </w:r>
    </w:p>
    <w:p>
      <w:pPr>
        <w:pStyle w:val="5"/>
        <w:spacing w:before="0" w:after="0"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6.4 无效标条款</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1、投标文件中的投标函未加盖投标人的公章；</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2、投标文件中的投标函无企业法定代表人（或企业法定代表人委托代理人）印章（或签字）的；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3、如投标函由企业法定代表人委托代理人加盖印章（或签字），企业法定代表人委托代理人没有合法、有效的委托书（原件）的；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4、投标人资格条件不符合国家有关规定或招标文件要求的；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5、投标报价低于成本，或高于招标文件设定的最高投标限价；允许幅度值投标的，投标报价超出招标文件设定的幅度值区间的；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6、同一投标人提交两个及以上不同的投标文件或者投标报价，但招标文件要求提交备选投标的除外；</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7、未按招标文件要求提供投标保证金的；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8、明显不符合技术规范、技术标准的要求的；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9、项目机构的人员配备达不到招标文件规定的最低要求的；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10、投标文件提出的服务范围、服务期、委托代理报酬及支付办法不能满足招标文件要求或招标人不能接受；</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11、不同投标人的投标文件以及投标文件制作过程出现了评标委员会认为不应当雷同的情况的；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12、以他人的名义投标、串通投标、以行贿手段谋取中标或者以其他弄虚作假方式投标的；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13、投标文件组成不符合招标文件要求的；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14、投标函中明确的项目负责人或投标文件中提供的项目负责人证书不一致的；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15、未对招标文件中有关服务期、投标有效期、质量要求、技术标准和要求、招标范围等实质性内容作出响应的；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16、不按评标委员会要求澄清、说明或补正的。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17、出现第二章“投标人须知”第1.4.3项规定的任何一种情形的；</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凡招标文件未明确的无效标条件，评标委员会不得作为判定无效标的依据，评标委员会也不得以不符合招标文件中规定的其他实质性要求作为判定无效标的依据。</w:t>
      </w:r>
    </w:p>
    <w:p>
      <w:pPr>
        <w:pStyle w:val="5"/>
        <w:spacing w:before="0" w:after="0"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6.5串通投标和弄虚作假行为认定</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6.5.1 招标人或者其委托的招标代理机构在招标过程中有下列情形之一的，属于与投标人串通投标：</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（一）招标人或者招标代理机构在开标前开启投标文件并将有关信息直接或者间接泄露给其他投标人；</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(二)招标人或者招标代理机构直接或者间接向投标人泄露标底、评标委员会成员等信息；</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(三)招标人或者招标代理机构明示或者暗示投标人压低或者抬高投标报价；</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(四)招标人或者招标代理机构授意投标人撤换、修改投标文件；</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(五)招标人或者招标代理机构明示或者暗示投标人为特定投标人中标提供方便；</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（六）招标人或者招标代理机构与投标人为谋求特定投标人中标而采取的其他串通行为：</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1、直接或者间接向投标人泄露获取资格预审文件或者通过资格预审的投标申请人，或者已经获取招标文件的潜在投标人的名称、数量的；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2、直接或者间接向投标利害关系人泄露资格审查或者评标情况的；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3、与投标人商定压低或者抬高标价，中标后给予投标人或者招标人额外补偿的；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4、故意损毁、篡改特定投标文件内容，或者在资格预审活动中损毁、篡改特定资格预审申请人提交的资格预审申请文件；</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5、法律、法规、规章规定的其他行为。</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6.5.2 投标人在投标过程中有下列情形之一的，属于投标人相互串通投标：</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(一)投标人之间协商投标报价等投标文件的实质性内容；</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(二)投标人之间约定中标人；</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(三)投标人之间约定部分投标人放弃投标或者中标；</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(四)属于同一集团、协会、商会等组织成员的投标人按照该组织要求协同投标；</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(五)投标人之间为谋取中标或者排斥特定投标人而采取的其他联合行动：</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1、根据相互约定不按照资格预审文件要求提交资格申请文件的；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2、根据相互约定撤回投标的；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3、按照相互约定不实质性响应招标文件的；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4、按照相互约定制定投标方案的；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5、相互约定给予未中标的投标人费用补偿的。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6、法律、法规、规章规定的其他行为。</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6.5.3 投标人在投标过程中有下列情形之一的，视为投标人相互串通投标：</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（一）不同投标人的投标文件由同一单位或者个人编制：</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1、不同投标人的电子投标文件出自同一台电脑；</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2、不同投标人的投标文件的编制者为同一人；</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3、不同投标人的投标文件由同一投标人的附属设备打印、复印的；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(二)不同投标人委托同一单位或者个人办理投标事宜；</w:t>
      </w:r>
    </w:p>
    <w:p>
      <w:pPr>
        <w:spacing w:line="480" w:lineRule="exact"/>
        <w:ind w:firstLine="525" w:firstLineChars="25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(三)不同投标人的投标文件载明的项目管理成员为同一人或同一单位；</w:t>
      </w:r>
    </w:p>
    <w:p>
      <w:pPr>
        <w:spacing w:line="480" w:lineRule="exact"/>
        <w:ind w:firstLine="525" w:firstLineChars="25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(四)不同投标人的投标文件异常一致或者投标报价呈规律性差异；</w:t>
      </w:r>
    </w:p>
    <w:p>
      <w:pPr>
        <w:spacing w:line="480" w:lineRule="exact"/>
        <w:ind w:firstLine="525" w:firstLineChars="25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(五)不同投标人的投标文件相互混装；</w:t>
      </w:r>
    </w:p>
    <w:p>
      <w:pPr>
        <w:spacing w:line="480" w:lineRule="exact"/>
        <w:ind w:firstLine="525" w:firstLineChars="25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(六)不同投标人的投标保证金从同一单位或者个人的账户转出，或者不同投标人的投标保证金虽然经由投标人自己的基本账户转出，但所需资金均是来自同一单位或者个人的账户的。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6.5.4  投标人有下列情形之一的，属于投标人弄虚作假骗取中标的行为：</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（一）以他人名义投标的。具体情形包括：</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1、通过受让或者租借等方式从其他单位获取资格或者资质证书参加投标的；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2、由其他单位或者其他单位负责人在自己编制的投标文件上加盖印章或者签字的；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3、项目负责人或者主要技术人员不是本单位人员的；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4、投标保证金不是从投标人的账户缴纳的；</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5、法律、法规、规章规定的以他人名义投标的其他行为。</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（二）以其他方式弄虚作假的。具体情形包括：</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1、使用伪造、变造的许可证件；</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2、提供虚假的财务状况或者业绩；</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3、提供虚假的项目负责人或者主要技术人员简历、劳动关系证明；</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4、提供虚假的信用状况；</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5、投标文件中有与事实不符的承诺材料；</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6、隐瞒招标文件要求提供的信息，或者提供虚假、引人误解的其他信息；</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7、法律、法规、规章规定的弄虚作假的其他行为。</w:t>
      </w:r>
    </w:p>
    <w:p>
      <w:pPr>
        <w:spacing w:line="480" w:lineRule="exact"/>
        <w:ind w:firstLine="422" w:firstLineChars="200"/>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评标委员会在评标时，发现有上述6.5条款行为的，应当否决其投标，并向有关行政监督部门报告。招标人和投标人存在串通投标行为的，招标无效，应当依法重新招标；招标代理机构有串通投标行为的，招标人应取消其对该项目的招标代理资格，重新选择招标代理机构后重新招标；投标人有串通投标行为或者弄虚作假行为的，其投标无效，已经中标的，中标无效；因投标人串标投标或者弄虚作假行为导致重新招标的，在重新招标时不得再参加本项目投标。</w:t>
      </w:r>
    </w:p>
    <w:p>
      <w:pPr>
        <w:spacing w:line="480" w:lineRule="exact"/>
        <w:ind w:firstLine="310" w:firstLineChars="147"/>
        <w:jc w:val="lef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若投标人被评标委员会以上述6.5条款否决投标的，自否决投标认定之日起3个月内不得参与本区项目投标。投标人同一天参加本区多个项目投标的，只要有一个项目投标文件被以6.5条款否决投标的，本项目即取消其中标资格。</w:t>
      </w:r>
    </w:p>
    <w:p>
      <w:pPr>
        <w:pStyle w:val="4"/>
        <w:spacing w:before="0" w:after="0" w:line="480" w:lineRule="exact"/>
        <w:rPr>
          <w:rFonts w:asciiTheme="minorEastAsia" w:hAnsiTheme="minorEastAsia" w:eastAsiaTheme="minorEastAsia" w:cstheme="minorEastAsia"/>
          <w:color w:val="000000" w:themeColor="text1"/>
          <w:sz w:val="21"/>
          <w:szCs w:val="21"/>
        </w:rPr>
      </w:pPr>
      <w:bookmarkStart w:id="52" w:name="_Toc398107874"/>
      <w:r>
        <w:rPr>
          <w:rFonts w:hint="eastAsia" w:asciiTheme="minorEastAsia" w:hAnsiTheme="minorEastAsia" w:eastAsiaTheme="minorEastAsia" w:cstheme="minorEastAsia"/>
          <w:color w:val="000000" w:themeColor="text1"/>
          <w:sz w:val="21"/>
          <w:szCs w:val="21"/>
        </w:rPr>
        <w:t>7 评标结果公示</w:t>
      </w:r>
      <w:bookmarkEnd w:id="52"/>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7.1 招标人在收到评标报告后在建设工程交易中心及与招标公告相同的发布媒介上对评标结果进行公示。</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7.2 投标人或者其他利害关系人对评标结果有异议的，应当在评标结果公示期间向招标人书面提出异议。招标人自收到书面异议之日起3日内作出答复，并在作出答复前暂停招标投标活动。</w:t>
      </w:r>
    </w:p>
    <w:p>
      <w:pPr>
        <w:pStyle w:val="4"/>
        <w:spacing w:before="0" w:after="0" w:line="480" w:lineRule="exact"/>
        <w:rPr>
          <w:rFonts w:asciiTheme="minorEastAsia" w:hAnsiTheme="minorEastAsia" w:eastAsiaTheme="minorEastAsia" w:cstheme="minorEastAsia"/>
          <w:color w:val="000000" w:themeColor="text1"/>
          <w:sz w:val="21"/>
          <w:szCs w:val="21"/>
        </w:rPr>
      </w:pPr>
      <w:bookmarkStart w:id="53" w:name="_Toc398107875"/>
      <w:r>
        <w:rPr>
          <w:rFonts w:hint="eastAsia" w:asciiTheme="minorEastAsia" w:hAnsiTheme="minorEastAsia" w:eastAsiaTheme="minorEastAsia" w:cstheme="minorEastAsia"/>
          <w:color w:val="000000" w:themeColor="text1"/>
          <w:sz w:val="21"/>
          <w:szCs w:val="21"/>
        </w:rPr>
        <w:t>8  合同授予</w:t>
      </w:r>
      <w:bookmarkEnd w:id="53"/>
    </w:p>
    <w:p>
      <w:pPr>
        <w:pStyle w:val="5"/>
        <w:spacing w:before="0" w:after="0" w:line="480" w:lineRule="exact"/>
        <w:rPr>
          <w:rFonts w:asciiTheme="minorEastAsia" w:hAnsiTheme="minorEastAsia" w:eastAsiaTheme="minorEastAsia" w:cstheme="minorEastAsia"/>
          <w:color w:val="000000" w:themeColor="text1"/>
          <w:sz w:val="21"/>
          <w:szCs w:val="21"/>
        </w:rPr>
      </w:pPr>
      <w:bookmarkStart w:id="54" w:name="_Toc398107876"/>
      <w:r>
        <w:rPr>
          <w:rFonts w:hint="eastAsia" w:asciiTheme="minorEastAsia" w:hAnsiTheme="minorEastAsia" w:eastAsiaTheme="minorEastAsia" w:cstheme="minorEastAsia"/>
          <w:color w:val="000000" w:themeColor="text1"/>
          <w:sz w:val="21"/>
          <w:szCs w:val="21"/>
        </w:rPr>
        <w:t>8.1 定标方式</w:t>
      </w:r>
      <w:bookmarkEnd w:id="54"/>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除投标人须知前附表规定评标委员会直接确定中标人外，招标人依据评标委员会推荐的中标候选人确定中标人。</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国有资金占控股或者主导地位的依法必须进行招投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w:t>
      </w:r>
      <w:r>
        <w:rPr>
          <w:rFonts w:hint="eastAsia" w:ascii="宋体" w:hAnsi="宋体" w:cs="宋体"/>
          <w:szCs w:val="21"/>
        </w:rPr>
        <w:t>本工程直接重新招标，不得确定其他投标人为中标人。</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55" w:name="_Toc398107877"/>
      <w:r>
        <w:rPr>
          <w:rFonts w:hint="eastAsia" w:asciiTheme="minorEastAsia" w:hAnsiTheme="minorEastAsia" w:eastAsiaTheme="minorEastAsia" w:cstheme="minorEastAsia"/>
          <w:color w:val="000000" w:themeColor="text1"/>
          <w:sz w:val="21"/>
          <w:szCs w:val="21"/>
        </w:rPr>
        <w:t xml:space="preserve">8.2 </w:t>
      </w:r>
      <w:bookmarkEnd w:id="55"/>
      <w:r>
        <w:rPr>
          <w:rFonts w:hint="eastAsia" w:asciiTheme="minorEastAsia" w:hAnsiTheme="minorEastAsia" w:eastAsiaTheme="minorEastAsia" w:cstheme="minorEastAsia"/>
          <w:color w:val="000000" w:themeColor="text1"/>
          <w:sz w:val="21"/>
          <w:szCs w:val="21"/>
        </w:rPr>
        <w:t>中标通知</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评标结果公示期间无异议的，招标人以书面形式向中标人发出中标通知书。</w:t>
      </w:r>
    </w:p>
    <w:p>
      <w:pPr>
        <w:snapToGrid w:val="0"/>
        <w:spacing w:line="40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招标人和中标人须在中标结果公示结束3个工作日内按苏价服（2017）177号文规定交纳建设工程交易综合服务费。</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投标人投标报价时应将费用计入投标报价中，但不单列。本项目由投标人缴纳的各项费用，建设单位一律不予贴补给中标单位。</w:t>
      </w:r>
    </w:p>
    <w:p>
      <w:pPr>
        <w:spacing w:line="480" w:lineRule="exact"/>
        <w:ind w:firstLine="420" w:firstLineChars="200"/>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kern w:val="0"/>
          <w:szCs w:val="21"/>
        </w:rPr>
        <w:t>中标人须在中标结果公示结束后2个工作日内领取中标通知书，中标人如未能按照招标文件规定的要求缴纳建设工程交易综合服务费及领取中标通知书，招标人有权取消其中标资格，没收投标保证金，另行选择中标单位。</w:t>
      </w:r>
    </w:p>
    <w:p>
      <w:pPr>
        <w:pStyle w:val="5"/>
        <w:spacing w:before="0" w:after="0"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8.3 履约担保</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8.3.1</w:t>
      </w:r>
      <w:r>
        <w:rPr>
          <w:rFonts w:hint="eastAsia" w:ascii="宋体" w:hAnsi="宋体" w:cs="宋体"/>
          <w:b/>
          <w:bCs/>
          <w:color w:val="000000"/>
          <w:szCs w:val="21"/>
        </w:rPr>
        <w:t>本工程履约保证金为中标价的</w:t>
      </w:r>
      <w:r>
        <w:rPr>
          <w:rFonts w:hint="eastAsia" w:ascii="宋体" w:hAnsi="宋体" w:cs="宋体"/>
          <w:b/>
          <w:bCs/>
          <w:color w:val="000000"/>
          <w:szCs w:val="21"/>
          <w:u w:val="single"/>
        </w:rPr>
        <w:t>10</w:t>
      </w:r>
      <w:r>
        <w:rPr>
          <w:rFonts w:hint="eastAsia" w:ascii="宋体" w:hAnsi="宋体" w:cs="宋体"/>
          <w:b/>
          <w:bCs/>
          <w:color w:val="000000"/>
          <w:szCs w:val="21"/>
        </w:rPr>
        <w:t>%</w:t>
      </w:r>
      <w:r>
        <w:rPr>
          <w:rFonts w:hint="eastAsia" w:asciiTheme="minorEastAsia" w:hAnsiTheme="minorEastAsia" w:eastAsiaTheme="minorEastAsia" w:cstheme="minorEastAsia"/>
          <w:color w:val="000000" w:themeColor="text1"/>
          <w:szCs w:val="21"/>
        </w:rPr>
        <w:t>，在签订合同前，中标人应在接到中标通知书 5日内将履约保证金以现金、履约担保或者投标人基本账户开户行出具的保函、保险公司保险单形式汇转至招标人指定帐户，待所有结算审核工作完成、移交审计资料后无息退还。</w:t>
      </w:r>
    </w:p>
    <w:p>
      <w:pPr>
        <w:pStyle w:val="2"/>
        <w:spacing w:line="480" w:lineRule="exact"/>
        <w:ind w:firstLine="420" w:firstLineChars="200"/>
      </w:pPr>
      <w:r>
        <w:rPr>
          <w:rFonts w:hAnsi="宋体" w:cs="宋体"/>
          <w:color w:val="000000"/>
          <w:szCs w:val="21"/>
        </w:rPr>
        <w:t>根据盐政发〔2020〕57号精神，我市201</w:t>
      </w:r>
      <w:r>
        <w:rPr>
          <w:rFonts w:hint="eastAsia" w:hAnsi="宋体" w:cs="宋体"/>
          <w:color w:val="000000"/>
          <w:szCs w:val="21"/>
        </w:rPr>
        <w:t>9</w:t>
      </w:r>
      <w:r>
        <w:rPr>
          <w:rFonts w:hAnsi="宋体" w:cs="宋体"/>
          <w:color w:val="000000"/>
          <w:szCs w:val="21"/>
        </w:rPr>
        <w:t>年度、20</w:t>
      </w:r>
      <w:r>
        <w:rPr>
          <w:rFonts w:hint="eastAsia" w:hAnsi="宋体" w:cs="宋体"/>
          <w:color w:val="000000"/>
          <w:szCs w:val="21"/>
        </w:rPr>
        <w:t>20</w:t>
      </w:r>
      <w:r>
        <w:rPr>
          <w:rFonts w:hAnsi="宋体" w:cs="宋体"/>
          <w:color w:val="000000"/>
          <w:szCs w:val="21"/>
        </w:rPr>
        <w:t>年度建筑业星级企业</w:t>
      </w:r>
      <w:r>
        <w:rPr>
          <w:rFonts w:hint="eastAsia" w:hAnsi="宋体" w:cs="宋体"/>
          <w:color w:val="000000"/>
          <w:szCs w:val="21"/>
        </w:rPr>
        <w:t>或</w:t>
      </w:r>
      <w:r>
        <w:rPr>
          <w:rFonts w:hAnsi="宋体" w:cs="宋体"/>
          <w:color w:val="000000"/>
          <w:szCs w:val="21"/>
        </w:rPr>
        <w:t>建筑业发展先进企业，在盐城市范围内承接工程中，免缴应由</w:t>
      </w:r>
      <w:r>
        <w:rPr>
          <w:rFonts w:hint="eastAsia" w:hAnsi="宋体" w:cs="宋体"/>
          <w:color w:val="000000"/>
          <w:szCs w:val="21"/>
        </w:rPr>
        <w:t>投标</w:t>
      </w:r>
      <w:r>
        <w:rPr>
          <w:rFonts w:hAnsi="宋体" w:cs="宋体"/>
          <w:color w:val="000000"/>
          <w:szCs w:val="21"/>
        </w:rPr>
        <w:t>企业缴纳的相关保证金。</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8.3.2 中标人不能按本章第8.3.1项要求提交履约担保的，视为放弃中标，其投标保证金不予退还，给招标人造成的损失超过投标保证金数额的，中标人还应当对超过部分予以赔偿。</w:t>
      </w:r>
      <w:bookmarkStart w:id="56" w:name="_Toc398107878"/>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8.4 签订合同</w:t>
      </w:r>
      <w:bookmarkEnd w:id="56"/>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8.4.1</w:t>
      </w:r>
      <w:r>
        <w:rPr>
          <w:rFonts w:hint="eastAsia" w:ascii="宋体" w:hAnsi="宋体" w:cs="宋体"/>
          <w:color w:val="000000"/>
          <w:kern w:val="0"/>
          <w:szCs w:val="21"/>
        </w:rPr>
        <w:t>招标人和中标人应当自中标通知书发出之日起30天内，根据招标文件和中标人的投标文件订立书面合同。中标人无正当理由拒签合同的、</w:t>
      </w:r>
      <w:r>
        <w:rPr>
          <w:rFonts w:hint="eastAsia" w:ascii="宋体" w:hAnsi="宋体" w:cs="宋体"/>
          <w:color w:val="000000"/>
          <w:szCs w:val="21"/>
        </w:rPr>
        <w:t>在签订合同时向招标人提出附加条件或者更改合同实质性内容的，</w:t>
      </w:r>
      <w:r>
        <w:rPr>
          <w:rFonts w:hint="eastAsia" w:ascii="宋体" w:hAnsi="宋体" w:cs="宋体"/>
          <w:color w:val="000000"/>
          <w:kern w:val="0"/>
          <w:szCs w:val="21"/>
        </w:rPr>
        <w:t>招标人可取消其中标资格，其保证金不予退还；给招标人造成的损失超过投标保证金数额的，中标人还应当对超过部分予以赔偿</w:t>
      </w:r>
      <w:r>
        <w:rPr>
          <w:rFonts w:hint="eastAsia" w:asciiTheme="minorEastAsia" w:hAnsiTheme="minorEastAsia" w:eastAsiaTheme="minorEastAsia" w:cstheme="minorEastAsia"/>
          <w:color w:val="000000" w:themeColor="text1"/>
          <w:kern w:val="0"/>
          <w:szCs w:val="21"/>
        </w:rPr>
        <w:t>。</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8.4.2 发出中标通知书后，招标人无正当理由拒签合同的</w:t>
      </w:r>
      <w:r>
        <w:rPr>
          <w:rFonts w:hint="eastAsia" w:asciiTheme="minorEastAsia" w:hAnsiTheme="minorEastAsia" w:eastAsiaTheme="minorEastAsia" w:cstheme="minorEastAsia"/>
          <w:color w:val="000000" w:themeColor="text1"/>
          <w:szCs w:val="21"/>
        </w:rPr>
        <w:t>、在订立合同时向中标人提出附加条件的，给他人造成损失的，依法承担赔偿责任</w:t>
      </w:r>
      <w:r>
        <w:rPr>
          <w:rFonts w:hint="eastAsia" w:asciiTheme="minorEastAsia" w:hAnsiTheme="minorEastAsia" w:eastAsiaTheme="minorEastAsia" w:cstheme="minorEastAsia"/>
          <w:color w:val="000000" w:themeColor="text1"/>
          <w:kern w:val="0"/>
          <w:szCs w:val="21"/>
        </w:rPr>
        <w:t>，招标人向中标人退还投标保证金；给中标人造成损失的，还应当赔偿损失。</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8.4.3 </w:t>
      </w:r>
      <w:r>
        <w:rPr>
          <w:rFonts w:hint="eastAsia" w:asciiTheme="minorEastAsia" w:hAnsiTheme="minorEastAsia" w:eastAsiaTheme="minorEastAsia" w:cstheme="minorEastAsia"/>
          <w:b/>
          <w:color w:val="000000" w:themeColor="text1"/>
          <w:szCs w:val="21"/>
        </w:rPr>
        <w:t>中标人无正当理由不与招标人订立合同，在签订合同时向招标人提出附加条件，或者不按照招标文件要求提交履约保证金的，取消其中标资格，投标保证金不予退还。</w:t>
      </w:r>
      <w:r>
        <w:rPr>
          <w:rFonts w:hint="eastAsia" w:ascii="宋体" w:hAnsi="宋体" w:cs="宋体"/>
          <w:b/>
          <w:color w:val="000000"/>
          <w:szCs w:val="21"/>
        </w:rPr>
        <w:t>对依法必须进行招标的项目的中标人，由有关行政监督部门责令改正，可以处中标项目金额10‰以下的罚款。</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8.4.4招标人和中标人不按照招标文件和中标人的投标文件订立合同，合同的主要条款与招标文件、中标人的投标文件的内容不一致，或者招标人、中标人订立背离合同实质性内容的，由有关行政监督部门责令改正，可以处中标项目金额5‰以上10‰以下的罚款。</w:t>
      </w:r>
    </w:p>
    <w:p>
      <w:pPr>
        <w:pStyle w:val="4"/>
        <w:spacing w:before="0" w:after="0"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  重新招标与不再招标</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依法必须进行招标的项目，提交投标文件的投标人少于三个的，招标人在分析招标失败的原因并采取相应措施后，应当依法重新招标。重新招标后投标人仍少于三个的，按国家有关规定需要履行审批、核准手续且依法必须进行招标的项目，报项目审批、核准部门审批核准后，可以不再进行招标。</w:t>
      </w:r>
    </w:p>
    <w:p>
      <w:pPr>
        <w:spacing w:line="48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依法必须招标的项目评标委员会否决所有投标的，或者评标委员会否决一部分投标后其他有效投标不足三个使得投标明显缺乏竞争，决定否决全部投标的，招标人在分析招标失败的原因并采取相应措施后，直接重新招标。</w:t>
      </w:r>
    </w:p>
    <w:p>
      <w:pPr>
        <w:pStyle w:val="4"/>
        <w:spacing w:before="0" w:after="0" w:line="480" w:lineRule="exact"/>
        <w:rPr>
          <w:rFonts w:asciiTheme="minorEastAsia" w:hAnsiTheme="minorEastAsia" w:eastAsiaTheme="minorEastAsia" w:cstheme="minorEastAsia"/>
          <w:color w:val="000000" w:themeColor="text1"/>
          <w:sz w:val="21"/>
          <w:szCs w:val="21"/>
        </w:rPr>
      </w:pPr>
      <w:bookmarkStart w:id="57" w:name="_Toc398107879"/>
      <w:r>
        <w:rPr>
          <w:rFonts w:hint="eastAsia" w:asciiTheme="minorEastAsia" w:hAnsiTheme="minorEastAsia" w:eastAsiaTheme="minorEastAsia" w:cstheme="minorEastAsia"/>
          <w:color w:val="000000" w:themeColor="text1"/>
          <w:sz w:val="21"/>
          <w:szCs w:val="21"/>
        </w:rPr>
        <w:t>10  纪律和监督</w:t>
      </w:r>
      <w:bookmarkEnd w:id="57"/>
    </w:p>
    <w:p>
      <w:pPr>
        <w:pStyle w:val="5"/>
        <w:spacing w:before="0" w:after="0" w:line="480" w:lineRule="exact"/>
        <w:rPr>
          <w:rFonts w:asciiTheme="minorEastAsia" w:hAnsiTheme="minorEastAsia" w:eastAsiaTheme="minorEastAsia" w:cstheme="minorEastAsia"/>
          <w:color w:val="000000" w:themeColor="text1"/>
          <w:sz w:val="21"/>
          <w:szCs w:val="21"/>
        </w:rPr>
      </w:pPr>
      <w:bookmarkStart w:id="58" w:name="_Toc398107880"/>
      <w:r>
        <w:rPr>
          <w:rFonts w:hint="eastAsia" w:asciiTheme="minorEastAsia" w:hAnsiTheme="minorEastAsia" w:eastAsiaTheme="minorEastAsia" w:cstheme="minorEastAsia"/>
          <w:color w:val="000000" w:themeColor="text1"/>
          <w:sz w:val="21"/>
          <w:szCs w:val="21"/>
        </w:rPr>
        <w:t>10.1 对招标人的纪律要求</w:t>
      </w:r>
      <w:bookmarkEnd w:id="58"/>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招标人不得泄漏招标投标活动中应当保密的情况和资料，不得与投标人串通损害国家利益、社会公共利益或者他人合法权益。</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59" w:name="_Toc398107881"/>
      <w:r>
        <w:rPr>
          <w:rFonts w:hint="eastAsia" w:asciiTheme="minorEastAsia" w:hAnsiTheme="minorEastAsia" w:eastAsiaTheme="minorEastAsia" w:cstheme="minorEastAsia"/>
          <w:color w:val="000000" w:themeColor="text1"/>
          <w:sz w:val="21"/>
          <w:szCs w:val="21"/>
        </w:rPr>
        <w:t>10.2 对投标人的纪律要求</w:t>
      </w:r>
      <w:bookmarkEnd w:id="59"/>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60" w:name="_Toc398107882"/>
      <w:r>
        <w:rPr>
          <w:rFonts w:hint="eastAsia" w:asciiTheme="minorEastAsia" w:hAnsiTheme="minorEastAsia" w:eastAsiaTheme="minorEastAsia" w:cstheme="minorEastAsia"/>
          <w:color w:val="000000" w:themeColor="text1"/>
          <w:sz w:val="21"/>
          <w:szCs w:val="21"/>
        </w:rPr>
        <w:t>10.3 对评标委员会成员的纪律要求</w:t>
      </w:r>
      <w:bookmarkEnd w:id="60"/>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61" w:name="_Toc398107883"/>
      <w:r>
        <w:rPr>
          <w:rFonts w:hint="eastAsia" w:asciiTheme="minorEastAsia" w:hAnsiTheme="minorEastAsia" w:eastAsiaTheme="minorEastAsia" w:cstheme="minorEastAsia"/>
          <w:color w:val="000000" w:themeColor="text1"/>
          <w:sz w:val="21"/>
          <w:szCs w:val="21"/>
        </w:rPr>
        <w:t>10.4 对与评标活动有关的工作人员的纪律要求</w:t>
      </w:r>
      <w:bookmarkEnd w:id="61"/>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spacing w:before="0" w:after="0" w:line="480" w:lineRule="exact"/>
        <w:rPr>
          <w:rFonts w:asciiTheme="minorEastAsia" w:hAnsiTheme="minorEastAsia" w:eastAsiaTheme="minorEastAsia" w:cstheme="minorEastAsia"/>
          <w:color w:val="000000" w:themeColor="text1"/>
          <w:sz w:val="21"/>
          <w:szCs w:val="21"/>
        </w:rPr>
      </w:pPr>
      <w:bookmarkStart w:id="62" w:name="_Toc398107884"/>
      <w:r>
        <w:rPr>
          <w:rFonts w:hint="eastAsia" w:asciiTheme="minorEastAsia" w:hAnsiTheme="minorEastAsia" w:eastAsiaTheme="minorEastAsia" w:cstheme="minorEastAsia"/>
          <w:color w:val="000000" w:themeColor="text1"/>
          <w:sz w:val="21"/>
          <w:szCs w:val="21"/>
        </w:rPr>
        <w:t>10.5 异议与投诉</w:t>
      </w:r>
      <w:bookmarkEnd w:id="62"/>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pPr>
        <w:autoSpaceDE w:val="0"/>
        <w:autoSpaceDN w:val="0"/>
        <w:adjustRightInd w:val="0"/>
        <w:spacing w:line="480" w:lineRule="exact"/>
        <w:ind w:firstLine="422" w:firstLineChars="200"/>
        <w:jc w:val="left"/>
        <w:rPr>
          <w:rFonts w:asciiTheme="minorEastAsia" w:hAnsiTheme="minorEastAsia" w:eastAsiaTheme="minorEastAsia" w:cstheme="minorEastAsia"/>
          <w:b/>
          <w:color w:val="000000" w:themeColor="text1"/>
          <w:kern w:val="0"/>
          <w:szCs w:val="21"/>
        </w:rPr>
      </w:pPr>
      <w:r>
        <w:rPr>
          <w:rFonts w:hint="eastAsia" w:asciiTheme="minorEastAsia" w:hAnsiTheme="minorEastAsia" w:eastAsiaTheme="minorEastAsia" w:cstheme="minorEastAsia"/>
          <w:b/>
          <w:color w:val="000000" w:themeColor="text1"/>
          <w:kern w:val="0"/>
          <w:szCs w:val="21"/>
        </w:rPr>
        <w:t>10.5.1异议</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（1）潜在投标人或者其他利害关系人对招标文件有异议的，应当在投标截止时间10日前提出。</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（2）投标人对开标有异议的，应当在开标现场提出，招标人应当当场作出答复，并制作记录。对开标有异议的，未在开标现场提出并在开标记录表上写明的，以及对超过规定时间提出的异议招标人不予接受。</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（3）投标人或者其他利害关系人对依法必须进行招标的项目的评标结果有异议的，应当在中标候选人公示期间提出。</w:t>
      </w:r>
    </w:p>
    <w:p>
      <w:pPr>
        <w:autoSpaceDE w:val="0"/>
        <w:autoSpaceDN w:val="0"/>
        <w:adjustRightInd w:val="0"/>
        <w:spacing w:line="480" w:lineRule="exact"/>
        <w:ind w:firstLine="422" w:firstLineChars="200"/>
        <w:jc w:val="lef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10.5.2投诉</w:t>
      </w:r>
    </w:p>
    <w:p>
      <w:pPr>
        <w:autoSpaceDE w:val="0"/>
        <w:autoSpaceDN w:val="0"/>
        <w:adjustRightInd w:val="0"/>
        <w:spacing w:line="48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人或者其他利害关系人认为招标投标活动不符合法律、行政法规规定的，可以自知道或者应当知道之日起10日内向有关行政监督部门投诉。投诉应当有明确的请求和必要的证明材料。具体按《盐城市建设工程招标投标活动异议和投诉处理办法》执行。</w:t>
      </w:r>
    </w:p>
    <w:p>
      <w:pPr>
        <w:pStyle w:val="4"/>
        <w:spacing w:before="0" w:after="0" w:line="440" w:lineRule="exact"/>
        <w:ind w:firstLine="420" w:firstLineChars="200"/>
        <w:rPr>
          <w:rFonts w:ascii="宋体" w:hAnsi="宋体" w:eastAsia="宋体" w:cs="宋体"/>
          <w:bCs w:val="0"/>
          <w:color w:val="000000"/>
          <w:kern w:val="0"/>
          <w:sz w:val="21"/>
          <w:szCs w:val="21"/>
        </w:rPr>
      </w:pPr>
      <w:bookmarkStart w:id="63" w:name="_Toc398107885"/>
      <w:r>
        <w:rPr>
          <w:rFonts w:hint="eastAsia" w:ascii="宋体" w:hAnsi="宋体" w:eastAsia="宋体" w:cs="宋体"/>
          <w:color w:val="000000"/>
          <w:sz w:val="21"/>
          <w:szCs w:val="21"/>
        </w:rPr>
        <w:t>11 需要补充的其他内容</w:t>
      </w:r>
      <w:bookmarkEnd w:id="63"/>
    </w:p>
    <w:p>
      <w:pPr>
        <w:pStyle w:val="2"/>
        <w:spacing w:after="0" w:line="440" w:lineRule="exact"/>
        <w:ind w:firstLine="422" w:firstLineChars="200"/>
        <w:rPr>
          <w:rFonts w:ascii="宋体" w:hAnsi="宋体" w:cs="宋体"/>
          <w:b/>
          <w:color w:val="000000"/>
          <w:szCs w:val="21"/>
        </w:rPr>
      </w:pPr>
      <w:r>
        <w:rPr>
          <w:rFonts w:hint="eastAsia" w:ascii="宋体" w:hAnsi="宋体" w:cs="宋体"/>
          <w:b/>
          <w:color w:val="000000"/>
          <w:szCs w:val="21"/>
        </w:rPr>
        <w:t>11.1</w:t>
      </w:r>
      <w:r>
        <w:rPr>
          <w:rFonts w:hint="eastAsia" w:ascii="宋体" w:hAnsi="宋体" w:cs="宋体"/>
          <w:b/>
          <w:color w:val="000000"/>
          <w:spacing w:val="-6"/>
          <w:szCs w:val="21"/>
        </w:rPr>
        <w:t xml:space="preserve">招投标相关单位及个人 </w:t>
      </w:r>
      <w:r>
        <w:rPr>
          <w:rFonts w:hint="eastAsia" w:ascii="宋体" w:hAnsi="宋体" w:cs="宋体"/>
          <w:b/>
          <w:color w:val="000000"/>
          <w:spacing w:val="6"/>
          <w:szCs w:val="21"/>
        </w:rPr>
        <w:t>在招投标活动中存在以下11.1.1以及11.1.2条失信行为的，</w:t>
      </w:r>
      <w:r>
        <w:rPr>
          <w:rFonts w:hint="eastAsia" w:ascii="宋体" w:hAnsi="宋体" w:cs="宋体"/>
          <w:b/>
          <w:color w:val="000000"/>
          <w:spacing w:val="-7"/>
          <w:szCs w:val="21"/>
        </w:rPr>
        <w:t>在“江苏省建设工程招标网”公示期间，</w:t>
      </w:r>
      <w:r>
        <w:rPr>
          <w:rFonts w:hint="eastAsia" w:ascii="宋体" w:hAnsi="宋体" w:cs="宋体"/>
          <w:b/>
          <w:color w:val="000000"/>
          <w:spacing w:val="-1"/>
          <w:szCs w:val="21"/>
        </w:rPr>
        <w:t>本项目的招标人拒绝其投标。</w:t>
      </w:r>
    </w:p>
    <w:p>
      <w:pPr>
        <w:pStyle w:val="2"/>
        <w:spacing w:after="0" w:line="440" w:lineRule="exact"/>
        <w:ind w:firstLine="422" w:firstLineChars="200"/>
        <w:rPr>
          <w:rFonts w:ascii="宋体" w:hAnsi="宋体" w:cs="宋体"/>
          <w:b/>
          <w:color w:val="000000"/>
          <w:szCs w:val="21"/>
        </w:rPr>
      </w:pPr>
      <w:r>
        <w:rPr>
          <w:rFonts w:hint="eastAsia" w:ascii="宋体" w:hAnsi="宋体" w:cs="宋体"/>
          <w:b/>
          <w:color w:val="000000"/>
          <w:szCs w:val="21"/>
        </w:rPr>
        <w:t>11.1.1 招投标各方主体及个人在招投标活动中违反法律法规和规章规定受到行政处罚的，公示不少于3个月。</w:t>
      </w:r>
    </w:p>
    <w:p>
      <w:pPr>
        <w:pStyle w:val="2"/>
        <w:spacing w:after="0" w:line="440" w:lineRule="exact"/>
        <w:ind w:firstLine="422" w:firstLineChars="200"/>
        <w:rPr>
          <w:rFonts w:ascii="宋体" w:hAnsi="宋体" w:cs="宋体"/>
          <w:b/>
          <w:color w:val="000000"/>
          <w:szCs w:val="21"/>
        </w:rPr>
      </w:pPr>
      <w:r>
        <w:rPr>
          <w:rFonts w:hint="eastAsia" w:ascii="宋体" w:hAnsi="宋体" w:cs="宋体"/>
          <w:b/>
          <w:color w:val="000000"/>
          <w:szCs w:val="21"/>
        </w:rPr>
        <w:t>11.1.2</w:t>
      </w:r>
      <w:r>
        <w:rPr>
          <w:rFonts w:hint="eastAsia" w:ascii="宋体" w:hAnsi="宋体" w:cs="宋体"/>
          <w:b/>
          <w:color w:val="000000"/>
          <w:spacing w:val="-9"/>
          <w:szCs w:val="21"/>
        </w:rPr>
        <w:t>投标人在招投标活动中出现如下失信行为，公示1-3个月：</w:t>
      </w:r>
    </w:p>
    <w:p>
      <w:pPr>
        <w:pStyle w:val="2"/>
        <w:spacing w:after="0" w:line="440" w:lineRule="exact"/>
        <w:ind w:firstLine="422" w:firstLineChars="200"/>
        <w:rPr>
          <w:rFonts w:ascii="宋体" w:hAnsi="宋体" w:cs="宋体"/>
          <w:b/>
          <w:color w:val="000000"/>
          <w:szCs w:val="21"/>
        </w:rPr>
      </w:pPr>
      <w:r>
        <w:rPr>
          <w:rFonts w:hint="eastAsia" w:ascii="宋体" w:hAnsi="宋体" w:cs="宋体"/>
          <w:b/>
          <w:color w:val="000000"/>
          <w:szCs w:val="21"/>
        </w:rPr>
        <w:t>（1）除不可抗力的外，资格预审合格的投标人无故不获取</w:t>
      </w:r>
      <w:r>
        <w:rPr>
          <w:rFonts w:hint="eastAsia" w:ascii="宋体" w:hAnsi="宋体" w:cs="宋体"/>
          <w:b/>
          <w:color w:val="000000"/>
          <w:spacing w:val="-1"/>
          <w:szCs w:val="21"/>
        </w:rPr>
        <w:t>招标文件或者获取招标文件后放弃投标</w:t>
      </w:r>
      <w:r>
        <w:rPr>
          <w:rFonts w:hint="eastAsia" w:ascii="宋体" w:hAnsi="宋体" w:cs="宋体"/>
          <w:b/>
          <w:color w:val="000000"/>
          <w:spacing w:val="-145"/>
          <w:szCs w:val="21"/>
        </w:rPr>
        <w:t>，</w:t>
      </w:r>
      <w:r>
        <w:rPr>
          <w:rFonts w:hint="eastAsia" w:ascii="宋体" w:hAnsi="宋体" w:cs="宋体"/>
          <w:b/>
          <w:color w:val="000000"/>
          <w:spacing w:val="-1"/>
          <w:szCs w:val="21"/>
        </w:rPr>
        <w:t>或者投标人在投标截止</w:t>
      </w:r>
      <w:r>
        <w:rPr>
          <w:rFonts w:hint="eastAsia" w:ascii="宋体" w:hAnsi="宋体" w:cs="宋体"/>
          <w:b/>
          <w:color w:val="000000"/>
          <w:szCs w:val="21"/>
        </w:rPr>
        <w:t>后无故撤销投标文件等，公示2个月；</w:t>
      </w:r>
    </w:p>
    <w:p>
      <w:pPr>
        <w:pStyle w:val="2"/>
        <w:spacing w:after="0" w:line="440" w:lineRule="exact"/>
        <w:ind w:firstLine="422" w:firstLineChars="200"/>
        <w:rPr>
          <w:rFonts w:ascii="宋体" w:hAnsi="宋体" w:cs="宋体"/>
          <w:b/>
          <w:color w:val="000000"/>
          <w:szCs w:val="21"/>
        </w:rPr>
      </w:pPr>
      <w:r>
        <w:rPr>
          <w:rFonts w:hint="eastAsia" w:ascii="宋体" w:hAnsi="宋体" w:cs="宋体"/>
          <w:b/>
          <w:color w:val="000000"/>
          <w:szCs w:val="21"/>
        </w:rPr>
        <w:t>（2）递交无竞争力的投标文件的（无竞争力投标是指不以</w:t>
      </w:r>
      <w:r>
        <w:rPr>
          <w:rFonts w:hint="eastAsia" w:ascii="宋体" w:hAnsi="宋体" w:cs="宋体"/>
          <w:b/>
          <w:color w:val="000000"/>
          <w:spacing w:val="-1"/>
          <w:szCs w:val="21"/>
        </w:rPr>
        <w:t>中标为目的的投标</w:t>
      </w:r>
      <w:r>
        <w:rPr>
          <w:rFonts w:hint="eastAsia" w:ascii="宋体" w:hAnsi="宋体" w:cs="宋体"/>
          <w:b/>
          <w:color w:val="000000"/>
          <w:spacing w:val="-153"/>
          <w:szCs w:val="21"/>
        </w:rPr>
        <w:t>，</w:t>
      </w:r>
      <w:r>
        <w:rPr>
          <w:rFonts w:hint="eastAsia" w:ascii="宋体" w:hAnsi="宋体" w:cs="宋体"/>
          <w:b/>
          <w:color w:val="000000"/>
          <w:spacing w:val="-1"/>
          <w:szCs w:val="21"/>
        </w:rPr>
        <w:t>包括投标报价畸高</w:t>
      </w:r>
      <w:r>
        <w:rPr>
          <w:rFonts w:hint="eastAsia" w:ascii="宋体" w:hAnsi="宋体" w:cs="宋体"/>
          <w:b/>
          <w:color w:val="000000"/>
          <w:spacing w:val="-153"/>
          <w:szCs w:val="21"/>
        </w:rPr>
        <w:t>、</w:t>
      </w:r>
      <w:r>
        <w:rPr>
          <w:rFonts w:hint="eastAsia" w:ascii="宋体" w:hAnsi="宋体" w:cs="宋体"/>
          <w:b/>
          <w:color w:val="000000"/>
          <w:spacing w:val="-1"/>
          <w:szCs w:val="21"/>
        </w:rPr>
        <w:t>投标文件故意漏项缺项、 施工组织设计文件不符合篇幅要求</w:t>
      </w:r>
      <w:r>
        <w:rPr>
          <w:rFonts w:hint="eastAsia" w:ascii="宋体" w:hAnsi="宋体" w:cs="宋体"/>
          <w:b/>
          <w:color w:val="000000"/>
          <w:spacing w:val="-146"/>
          <w:szCs w:val="21"/>
        </w:rPr>
        <w:t>、</w:t>
      </w:r>
      <w:r>
        <w:rPr>
          <w:rFonts w:hint="eastAsia" w:ascii="宋体" w:hAnsi="宋体" w:cs="宋体"/>
          <w:b/>
          <w:color w:val="000000"/>
          <w:spacing w:val="-1"/>
          <w:szCs w:val="21"/>
        </w:rPr>
        <w:t>以及故意违反招标文件中已醒目标识的无效投标条款且事先未质疑等情形），公</w:t>
      </w:r>
      <w:r>
        <w:rPr>
          <w:rFonts w:hint="eastAsia" w:ascii="宋体" w:hAnsi="宋体" w:cs="宋体"/>
          <w:b/>
          <w:color w:val="000000"/>
          <w:szCs w:val="21"/>
        </w:rPr>
        <w:t>示</w:t>
      </w:r>
      <w:r>
        <w:rPr>
          <w:rFonts w:hint="eastAsia" w:ascii="宋体" w:hAnsi="宋体" w:cs="宋体"/>
          <w:b/>
          <w:color w:val="000000"/>
          <w:spacing w:val="-1"/>
          <w:szCs w:val="21"/>
        </w:rPr>
        <w:t>1个月；</w:t>
      </w:r>
    </w:p>
    <w:p>
      <w:pPr>
        <w:pStyle w:val="2"/>
        <w:spacing w:after="0" w:line="440" w:lineRule="exact"/>
        <w:ind w:firstLine="398" w:firstLineChars="200"/>
        <w:rPr>
          <w:rFonts w:ascii="宋体" w:hAnsi="宋体" w:cs="宋体"/>
          <w:b/>
          <w:color w:val="000000"/>
          <w:szCs w:val="21"/>
        </w:rPr>
      </w:pPr>
      <w:r>
        <w:rPr>
          <w:rFonts w:hint="eastAsia" w:ascii="宋体" w:hAnsi="宋体" w:cs="宋体"/>
          <w:b/>
          <w:color w:val="000000"/>
          <w:spacing w:val="-6"/>
          <w:szCs w:val="21"/>
        </w:rPr>
        <w:t>（3）企业一年内4次在全省投诉反映情况不属实，缺乏事实</w:t>
      </w:r>
      <w:r>
        <w:rPr>
          <w:rFonts w:hint="eastAsia" w:ascii="宋体" w:hAnsi="宋体" w:cs="宋体"/>
          <w:b/>
          <w:color w:val="000000"/>
          <w:szCs w:val="21"/>
        </w:rPr>
        <w:t>或法律依据的，公示1个月；</w:t>
      </w:r>
    </w:p>
    <w:p>
      <w:pPr>
        <w:pStyle w:val="2"/>
        <w:spacing w:after="0" w:line="440" w:lineRule="exact"/>
        <w:ind w:firstLine="422" w:firstLineChars="200"/>
        <w:rPr>
          <w:rFonts w:ascii="宋体" w:hAnsi="宋体" w:cs="宋体"/>
          <w:b/>
          <w:color w:val="000000"/>
          <w:szCs w:val="21"/>
        </w:rPr>
      </w:pPr>
      <w:r>
        <w:rPr>
          <w:rFonts w:hint="eastAsia" w:ascii="宋体" w:hAnsi="宋体" w:cs="宋体"/>
          <w:b/>
          <w:color w:val="000000"/>
          <w:szCs w:val="21"/>
        </w:rPr>
        <w:t>（4）投诉人故意捏造事实、伪造证明材料的，或者以非法手段取得证明材料等进行恶意投诉的，公示3个月。</w:t>
      </w:r>
    </w:p>
    <w:p>
      <w:pPr>
        <w:widowControl/>
        <w:spacing w:line="440" w:lineRule="exact"/>
        <w:ind w:firstLine="420" w:firstLineChars="200"/>
        <w:jc w:val="left"/>
        <w:rPr>
          <w:rFonts w:ascii="宋体" w:hAnsi="宋体" w:cs="宋体"/>
          <w:color w:val="000000"/>
          <w:szCs w:val="21"/>
        </w:rPr>
      </w:pPr>
      <w:r>
        <w:rPr>
          <w:rFonts w:hint="eastAsia" w:ascii="宋体" w:hAnsi="宋体" w:cs="宋体"/>
          <w:color w:val="000000"/>
          <w:szCs w:val="21"/>
        </w:rPr>
        <w:t>11.2投标人不得存在：近3年内有行贿犯罪行为且被记录，或者法定代表人有行贿犯罪记录且自记录之日起未超过5年的情形。</w:t>
      </w:r>
    </w:p>
    <w:p>
      <w:pPr>
        <w:spacing w:line="440" w:lineRule="exact"/>
        <w:ind w:firstLine="420" w:firstLineChars="200"/>
        <w:rPr>
          <w:rFonts w:ascii="宋体" w:hAnsi="宋体" w:cs="宋体"/>
          <w:color w:val="000000"/>
          <w:kern w:val="0"/>
          <w:szCs w:val="21"/>
        </w:rPr>
      </w:pPr>
      <w:r>
        <w:rPr>
          <w:rFonts w:hint="eastAsia" w:ascii="宋体" w:hAnsi="宋体" w:cs="宋体"/>
          <w:color w:val="000000"/>
          <w:szCs w:val="21"/>
        </w:rPr>
        <w:t>本招标文件未尽事宜，按国家和省法律法规、规章要求处理。</w:t>
      </w:r>
    </w:p>
    <w:p>
      <w:pPr>
        <w:pStyle w:val="3"/>
        <w:spacing w:before="0" w:after="0" w:line="4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rPr>
        <w:br w:type="page"/>
      </w:r>
      <w:bookmarkStart w:id="64" w:name="_Toc398107886"/>
      <w:bookmarkStart w:id="65" w:name="_Toc152042377"/>
      <w:bookmarkStart w:id="66" w:name="_Toc152045600"/>
      <w:bookmarkStart w:id="67" w:name="_Toc179632618"/>
      <w:bookmarkStart w:id="68" w:name="_Toc144974567"/>
      <w:r>
        <w:rPr>
          <w:rFonts w:hint="eastAsia" w:asciiTheme="minorEastAsia" w:hAnsiTheme="minorEastAsia" w:eastAsiaTheme="minorEastAsia" w:cstheme="minorEastAsia"/>
          <w:color w:val="000000" w:themeColor="text1"/>
        </w:rPr>
        <w:t>第三章 评标办法</w:t>
      </w:r>
      <w:bookmarkEnd w:id="64"/>
      <w:bookmarkStart w:id="69" w:name="_Toc152045599"/>
      <w:bookmarkStart w:id="70" w:name="_Toc144974566"/>
      <w:bookmarkStart w:id="71" w:name="_Toc179632617"/>
      <w:bookmarkStart w:id="72" w:name="_Toc152042376"/>
    </w:p>
    <w:bookmarkEnd w:id="69"/>
    <w:bookmarkEnd w:id="70"/>
    <w:bookmarkEnd w:id="71"/>
    <w:bookmarkEnd w:id="72"/>
    <w:p>
      <w:pPr>
        <w:snapToGrid w:val="0"/>
        <w:spacing w:line="459" w:lineRule="atLeast"/>
        <w:jc w:val="center"/>
        <w:rPr>
          <w:rFonts w:asciiTheme="minorEastAsia" w:hAnsiTheme="minorEastAsia" w:eastAsiaTheme="minorEastAsia" w:cstheme="minorEastAsia"/>
          <w:color w:val="000000" w:themeColor="text1"/>
          <w:sz w:val="32"/>
          <w:szCs w:val="32"/>
        </w:rPr>
      </w:pPr>
    </w:p>
    <w:p>
      <w:pPr>
        <w:pStyle w:val="4"/>
        <w:keepNext w:val="0"/>
        <w:keepLines w:val="0"/>
        <w:spacing w:before="0" w:after="0" w:line="360" w:lineRule="auto"/>
        <w:jc w:val="center"/>
        <w:rPr>
          <w:rFonts w:ascii="黑体" w:hAnsi="黑体"/>
          <w:b/>
          <w:snapToGrid w:val="0"/>
          <w:sz w:val="28"/>
          <w:szCs w:val="28"/>
        </w:rPr>
      </w:pPr>
      <w:bookmarkStart w:id="73" w:name="_Toc14413_WPSOffice_Level2"/>
      <w:r>
        <w:rPr>
          <w:rFonts w:hint="eastAsia" w:ascii="黑体" w:hAnsi="黑体"/>
          <w:b/>
          <w:snapToGrid w:val="0"/>
          <w:sz w:val="28"/>
          <w:szCs w:val="28"/>
        </w:rPr>
        <w:t>评标办法前附表</w:t>
      </w:r>
      <w:bookmarkEnd w:id="73"/>
    </w:p>
    <w:tbl>
      <w:tblPr>
        <w:tblStyle w:val="41"/>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316"/>
        <w:gridCol w:w="1735"/>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81" w:type="dxa"/>
            <w:noWrap/>
            <w:vAlign w:val="center"/>
          </w:tcPr>
          <w:p>
            <w:pPr>
              <w:jc w:val="center"/>
              <w:rPr>
                <w:rFonts w:ascii="黑体" w:hAnsi="黑体" w:eastAsia="黑体"/>
                <w:snapToGrid w:val="0"/>
                <w:kern w:val="0"/>
                <w:sz w:val="24"/>
              </w:rPr>
            </w:pPr>
            <w:r>
              <w:rPr>
                <w:rFonts w:hint="eastAsia" w:ascii="黑体" w:hAnsi="黑体" w:eastAsia="黑体"/>
                <w:snapToGrid w:val="0"/>
                <w:kern w:val="0"/>
                <w:sz w:val="24"/>
              </w:rPr>
              <w:t>条款号</w:t>
            </w:r>
          </w:p>
        </w:tc>
        <w:tc>
          <w:tcPr>
            <w:tcW w:w="3051" w:type="dxa"/>
            <w:gridSpan w:val="2"/>
            <w:noWrap/>
            <w:vAlign w:val="center"/>
          </w:tcPr>
          <w:p>
            <w:pPr>
              <w:jc w:val="center"/>
              <w:rPr>
                <w:rFonts w:ascii="黑体" w:hAnsi="黑体" w:eastAsia="黑体"/>
                <w:snapToGrid w:val="0"/>
                <w:kern w:val="0"/>
                <w:sz w:val="24"/>
              </w:rPr>
            </w:pPr>
            <w:r>
              <w:rPr>
                <w:rFonts w:hint="eastAsia" w:ascii="黑体" w:hAnsi="黑体" w:eastAsia="黑体"/>
                <w:snapToGrid w:val="0"/>
                <w:kern w:val="0"/>
                <w:sz w:val="24"/>
              </w:rPr>
              <w:t>评审因素</w:t>
            </w:r>
          </w:p>
        </w:tc>
        <w:tc>
          <w:tcPr>
            <w:tcW w:w="5282" w:type="dxa"/>
            <w:noWrap/>
            <w:vAlign w:val="center"/>
          </w:tcPr>
          <w:p>
            <w:pPr>
              <w:jc w:val="center"/>
              <w:rPr>
                <w:rFonts w:ascii="黑体" w:hAnsi="黑体" w:eastAsia="黑体"/>
                <w:snapToGrid w:val="0"/>
                <w:kern w:val="0"/>
                <w:sz w:val="24"/>
              </w:rPr>
            </w:pPr>
            <w:r>
              <w:rPr>
                <w:rFonts w:hint="eastAsia" w:ascii="黑体" w:hAnsi="黑体" w:eastAsia="黑体"/>
                <w:snapToGrid w:val="0"/>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1" w:type="dxa"/>
            <w:vMerge w:val="restart"/>
            <w:noWrap/>
            <w:vAlign w:val="center"/>
          </w:tcPr>
          <w:p>
            <w:pPr>
              <w:spacing w:line="360" w:lineRule="auto"/>
              <w:jc w:val="center"/>
              <w:rPr>
                <w:rFonts w:ascii="宋体"/>
                <w:snapToGrid w:val="0"/>
                <w:kern w:val="0"/>
                <w:szCs w:val="21"/>
              </w:rPr>
            </w:pPr>
            <w:r>
              <w:rPr>
                <w:rFonts w:ascii="宋体" w:hAnsi="宋体"/>
                <w:snapToGrid w:val="0"/>
                <w:kern w:val="0"/>
                <w:szCs w:val="21"/>
              </w:rPr>
              <w:t>2.1.1</w:t>
            </w:r>
          </w:p>
        </w:tc>
        <w:tc>
          <w:tcPr>
            <w:tcW w:w="1316" w:type="dxa"/>
            <w:vMerge w:val="restart"/>
            <w:noWrap/>
            <w:vAlign w:val="center"/>
          </w:tcPr>
          <w:p>
            <w:pPr>
              <w:spacing w:line="360" w:lineRule="auto"/>
              <w:jc w:val="center"/>
              <w:rPr>
                <w:rFonts w:ascii="宋体"/>
                <w:snapToGrid w:val="0"/>
                <w:kern w:val="0"/>
                <w:szCs w:val="21"/>
              </w:rPr>
            </w:pPr>
            <w:r>
              <w:rPr>
                <w:rFonts w:hint="eastAsia" w:ascii="宋体" w:hAnsi="宋体"/>
                <w:snapToGrid w:val="0"/>
                <w:kern w:val="0"/>
                <w:szCs w:val="21"/>
              </w:rPr>
              <w:t>形式</w:t>
            </w:r>
          </w:p>
          <w:p>
            <w:pPr>
              <w:spacing w:line="360" w:lineRule="auto"/>
              <w:jc w:val="center"/>
              <w:rPr>
                <w:rFonts w:ascii="宋体"/>
                <w:snapToGrid w:val="0"/>
                <w:kern w:val="0"/>
                <w:szCs w:val="21"/>
              </w:rPr>
            </w:pPr>
            <w:r>
              <w:rPr>
                <w:rFonts w:hint="eastAsia" w:ascii="宋体" w:hAnsi="宋体"/>
                <w:snapToGrid w:val="0"/>
                <w:kern w:val="0"/>
                <w:szCs w:val="21"/>
              </w:rPr>
              <w:t>评审</w:t>
            </w:r>
          </w:p>
          <w:p>
            <w:pPr>
              <w:spacing w:line="360" w:lineRule="auto"/>
              <w:jc w:val="center"/>
              <w:rPr>
                <w:rFonts w:ascii="宋体"/>
                <w:snapToGrid w:val="0"/>
                <w:kern w:val="0"/>
                <w:szCs w:val="21"/>
              </w:rPr>
            </w:pPr>
            <w:r>
              <w:rPr>
                <w:rFonts w:hint="eastAsia" w:ascii="宋体" w:hAnsi="宋体"/>
                <w:snapToGrid w:val="0"/>
                <w:kern w:val="0"/>
                <w:szCs w:val="21"/>
              </w:rPr>
              <w:t>标准</w:t>
            </w: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投标人名称</w:t>
            </w:r>
          </w:p>
        </w:tc>
        <w:tc>
          <w:tcPr>
            <w:tcW w:w="5282" w:type="dxa"/>
            <w:noWrap/>
            <w:vAlign w:val="center"/>
          </w:tcPr>
          <w:p>
            <w:pPr>
              <w:rPr>
                <w:rFonts w:ascii="宋体"/>
                <w:snapToGrid w:val="0"/>
                <w:kern w:val="0"/>
                <w:szCs w:val="21"/>
              </w:rPr>
            </w:pPr>
            <w:r>
              <w:rPr>
                <w:rFonts w:hint="eastAsia" w:ascii="宋体" w:hAnsi="宋体"/>
                <w:snapToGrid w:val="0"/>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1" w:type="dxa"/>
            <w:vMerge w:val="continue"/>
            <w:noWrap/>
            <w:vAlign w:val="center"/>
          </w:tcPr>
          <w:p>
            <w:pPr>
              <w:spacing w:line="360" w:lineRule="auto"/>
              <w:jc w:val="center"/>
              <w:rPr>
                <w:rFonts w:ascii="宋体"/>
                <w:snapToGrid w:val="0"/>
                <w:kern w:val="0"/>
                <w:szCs w:val="21"/>
              </w:rPr>
            </w:pPr>
          </w:p>
        </w:tc>
        <w:tc>
          <w:tcPr>
            <w:tcW w:w="1316" w:type="dxa"/>
            <w:vMerge w:val="continue"/>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暗标</w:t>
            </w:r>
          </w:p>
        </w:tc>
        <w:tc>
          <w:tcPr>
            <w:tcW w:w="5282" w:type="dxa"/>
            <w:noWrap/>
            <w:vAlign w:val="center"/>
          </w:tcPr>
          <w:p>
            <w:pPr>
              <w:rPr>
                <w:rFonts w:ascii="宋体"/>
                <w:snapToGrid w:val="0"/>
                <w:kern w:val="0"/>
                <w:szCs w:val="21"/>
              </w:rPr>
            </w:pPr>
            <w:r>
              <w:rPr>
                <w:rFonts w:hint="eastAsia" w:ascii="宋体" w:hAnsi="宋体"/>
                <w:snapToGrid w:val="0"/>
                <w:kern w:val="0"/>
                <w:szCs w:val="21"/>
              </w:rPr>
              <w:t>符合招标文件第二章有关暗标的编制要求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81" w:type="dxa"/>
            <w:vMerge w:val="continue"/>
            <w:noWrap/>
            <w:vAlign w:val="center"/>
          </w:tcPr>
          <w:p>
            <w:pPr>
              <w:spacing w:line="360" w:lineRule="auto"/>
              <w:jc w:val="center"/>
              <w:rPr>
                <w:rFonts w:ascii="宋体"/>
                <w:snapToGrid w:val="0"/>
                <w:kern w:val="0"/>
                <w:szCs w:val="21"/>
              </w:rPr>
            </w:pPr>
          </w:p>
        </w:tc>
        <w:tc>
          <w:tcPr>
            <w:tcW w:w="1316" w:type="dxa"/>
            <w:vMerge w:val="continue"/>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报价唯一</w:t>
            </w:r>
          </w:p>
        </w:tc>
        <w:tc>
          <w:tcPr>
            <w:tcW w:w="5282" w:type="dxa"/>
            <w:noWrap/>
            <w:vAlign w:val="center"/>
          </w:tcPr>
          <w:p>
            <w:pPr>
              <w:rPr>
                <w:rFonts w:ascii="宋体"/>
                <w:snapToGrid w:val="0"/>
                <w:kern w:val="0"/>
                <w:szCs w:val="21"/>
              </w:rPr>
            </w:pPr>
            <w:r>
              <w:rPr>
                <w:rFonts w:hint="eastAsia" w:ascii="宋体" w:hAnsi="宋体"/>
                <w:snapToGrid w:val="0"/>
                <w:kern w:val="0"/>
                <w:szCs w:val="21"/>
              </w:rPr>
              <w:t>只能有一个投标文件及有效报价（招标文件要求提交备选投标的除外）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1" w:type="dxa"/>
            <w:vMerge w:val="restart"/>
            <w:noWrap/>
            <w:vAlign w:val="center"/>
          </w:tcPr>
          <w:p>
            <w:pPr>
              <w:spacing w:line="360" w:lineRule="auto"/>
              <w:jc w:val="center"/>
              <w:rPr>
                <w:rFonts w:ascii="宋体"/>
                <w:snapToGrid w:val="0"/>
                <w:kern w:val="0"/>
                <w:szCs w:val="21"/>
              </w:rPr>
            </w:pPr>
            <w:bookmarkStart w:id="74" w:name="资格后审5"/>
            <w:bookmarkStart w:id="75" w:name="第三章_资格评审标准"/>
            <w:r>
              <w:rPr>
                <w:rFonts w:ascii="宋体" w:hAnsi="宋体"/>
                <w:snapToGrid w:val="0"/>
                <w:kern w:val="0"/>
                <w:szCs w:val="21"/>
              </w:rPr>
              <w:t>2.1.2</w:t>
            </w:r>
          </w:p>
        </w:tc>
        <w:tc>
          <w:tcPr>
            <w:tcW w:w="1316" w:type="dxa"/>
            <w:vMerge w:val="restart"/>
            <w:noWrap/>
            <w:vAlign w:val="center"/>
          </w:tcPr>
          <w:p>
            <w:pPr>
              <w:spacing w:line="360" w:lineRule="auto"/>
              <w:jc w:val="center"/>
              <w:rPr>
                <w:rFonts w:ascii="宋体"/>
                <w:snapToGrid w:val="0"/>
                <w:kern w:val="0"/>
                <w:szCs w:val="21"/>
              </w:rPr>
            </w:pPr>
            <w:r>
              <w:rPr>
                <w:rFonts w:hint="eastAsia" w:ascii="宋体" w:hAnsi="宋体"/>
                <w:snapToGrid w:val="0"/>
                <w:kern w:val="0"/>
                <w:szCs w:val="21"/>
              </w:rPr>
              <w:t>资格</w:t>
            </w:r>
          </w:p>
          <w:p>
            <w:pPr>
              <w:spacing w:line="360" w:lineRule="auto"/>
              <w:jc w:val="center"/>
              <w:rPr>
                <w:rFonts w:ascii="宋体"/>
                <w:snapToGrid w:val="0"/>
                <w:kern w:val="0"/>
                <w:szCs w:val="21"/>
              </w:rPr>
            </w:pPr>
            <w:r>
              <w:rPr>
                <w:rFonts w:hint="eastAsia" w:ascii="宋体" w:hAnsi="宋体"/>
                <w:snapToGrid w:val="0"/>
                <w:kern w:val="0"/>
                <w:szCs w:val="21"/>
              </w:rPr>
              <w:t>评审</w:t>
            </w:r>
          </w:p>
          <w:p>
            <w:pPr>
              <w:spacing w:line="360" w:lineRule="auto"/>
              <w:jc w:val="center"/>
              <w:rPr>
                <w:rFonts w:ascii="宋体"/>
                <w:snapToGrid w:val="0"/>
                <w:kern w:val="0"/>
                <w:szCs w:val="21"/>
              </w:rPr>
            </w:pPr>
            <w:r>
              <w:rPr>
                <w:rFonts w:hint="eastAsia" w:ascii="宋体" w:hAnsi="宋体"/>
                <w:snapToGrid w:val="0"/>
                <w:kern w:val="0"/>
                <w:szCs w:val="21"/>
              </w:rPr>
              <w:t>标准</w:t>
            </w: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营业执照</w:t>
            </w:r>
          </w:p>
        </w:tc>
        <w:tc>
          <w:tcPr>
            <w:tcW w:w="5282" w:type="dxa"/>
            <w:noWrap/>
            <w:vAlign w:val="center"/>
          </w:tcPr>
          <w:p>
            <w:pPr>
              <w:rPr>
                <w:rFonts w:ascii="宋体"/>
                <w:snapToGrid w:val="0"/>
                <w:kern w:val="0"/>
                <w:szCs w:val="21"/>
              </w:rPr>
            </w:pPr>
            <w:r>
              <w:rPr>
                <w:rFonts w:hint="eastAsia" w:ascii="宋体" w:hAnsi="宋体"/>
                <w:snapToGrid w:val="0"/>
                <w:kern w:val="0"/>
                <w:szCs w:val="21"/>
              </w:rPr>
              <w:t>提供营业执照副本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81" w:type="dxa"/>
            <w:vMerge w:val="continue"/>
            <w:tcBorders/>
            <w:noWrap/>
            <w:vAlign w:val="center"/>
          </w:tcPr>
          <w:p>
            <w:pPr>
              <w:spacing w:line="360" w:lineRule="auto"/>
              <w:jc w:val="center"/>
              <w:rPr>
                <w:rFonts w:ascii="宋体"/>
                <w:snapToGrid w:val="0"/>
                <w:kern w:val="0"/>
                <w:szCs w:val="21"/>
              </w:rPr>
            </w:pPr>
          </w:p>
        </w:tc>
        <w:tc>
          <w:tcPr>
            <w:tcW w:w="1316" w:type="dxa"/>
            <w:vMerge w:val="continue"/>
            <w:tcBorders/>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snapToGrid w:val="0"/>
                <w:kern w:val="0"/>
                <w:szCs w:val="21"/>
              </w:rPr>
              <w:t>项目负责人</w:t>
            </w:r>
          </w:p>
        </w:tc>
        <w:tc>
          <w:tcPr>
            <w:tcW w:w="5282" w:type="dxa"/>
            <w:noWrap/>
            <w:vAlign w:val="center"/>
          </w:tcPr>
          <w:p>
            <w:pPr>
              <w:rPr>
                <w:rFonts w:ascii="宋体"/>
                <w:snapToGrid w:val="0"/>
                <w:kern w:val="0"/>
                <w:szCs w:val="21"/>
              </w:rPr>
            </w:pPr>
            <w:r>
              <w:rPr>
                <w:rFonts w:hint="eastAsia" w:ascii="宋体"/>
                <w:snapToGrid w:val="0"/>
                <w:kern w:val="0"/>
                <w:szCs w:val="21"/>
              </w:rPr>
              <w:t>提供</w:t>
            </w:r>
            <w:r>
              <w:rPr>
                <w:rFonts w:hint="eastAsia" w:ascii="宋体" w:hAnsi="宋体"/>
                <w:snapToGrid w:val="0"/>
                <w:kern w:val="0"/>
                <w:szCs w:val="21"/>
              </w:rPr>
              <w:t>符合招标公告要求的注册证书、职称证书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1" w:type="dxa"/>
            <w:vMerge w:val="continue"/>
            <w:tcBorders/>
            <w:noWrap/>
            <w:vAlign w:val="center"/>
          </w:tcPr>
          <w:p>
            <w:pPr>
              <w:spacing w:line="360" w:lineRule="auto"/>
              <w:jc w:val="center"/>
              <w:rPr>
                <w:rFonts w:ascii="宋体"/>
                <w:snapToGrid w:val="0"/>
                <w:kern w:val="0"/>
                <w:szCs w:val="21"/>
              </w:rPr>
            </w:pPr>
          </w:p>
        </w:tc>
        <w:tc>
          <w:tcPr>
            <w:tcW w:w="1316" w:type="dxa"/>
            <w:vMerge w:val="continue"/>
            <w:tcBorders/>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snapToGrid w:val="0"/>
                <w:kern w:val="0"/>
                <w:szCs w:val="21"/>
              </w:rPr>
              <w:t>项目组其他人员</w:t>
            </w:r>
          </w:p>
        </w:tc>
        <w:tc>
          <w:tcPr>
            <w:tcW w:w="5282" w:type="dxa"/>
            <w:noWrap/>
            <w:vAlign w:val="center"/>
          </w:tcPr>
          <w:p>
            <w:pPr>
              <w:rPr>
                <w:rFonts w:ascii="宋体"/>
                <w:snapToGrid w:val="0"/>
                <w:kern w:val="0"/>
                <w:szCs w:val="21"/>
              </w:rPr>
            </w:pPr>
            <w:r>
              <w:rPr>
                <w:rFonts w:hint="eastAsia" w:ascii="宋体"/>
                <w:snapToGrid w:val="0"/>
                <w:kern w:val="0"/>
                <w:szCs w:val="21"/>
              </w:rPr>
              <w:t>提供</w:t>
            </w:r>
            <w:r>
              <w:rPr>
                <w:rFonts w:hint="eastAsia" w:ascii="宋体" w:hAnsi="宋体"/>
                <w:snapToGrid w:val="0"/>
                <w:kern w:val="0"/>
                <w:szCs w:val="21"/>
              </w:rPr>
              <w:t>符合招标公告要求的相关证书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981" w:type="dxa"/>
            <w:vMerge w:val="continue"/>
            <w:tcBorders/>
            <w:noWrap/>
            <w:vAlign w:val="center"/>
          </w:tcPr>
          <w:p>
            <w:pPr>
              <w:spacing w:line="360" w:lineRule="auto"/>
              <w:jc w:val="center"/>
              <w:rPr>
                <w:rFonts w:ascii="宋体"/>
                <w:snapToGrid w:val="0"/>
                <w:kern w:val="0"/>
                <w:szCs w:val="21"/>
              </w:rPr>
            </w:pPr>
          </w:p>
        </w:tc>
        <w:tc>
          <w:tcPr>
            <w:tcW w:w="1316" w:type="dxa"/>
            <w:vMerge w:val="continue"/>
            <w:tcBorders/>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snapToGrid w:val="0"/>
                <w:kern w:val="0"/>
                <w:szCs w:val="21"/>
              </w:rPr>
              <w:t>人员保险</w:t>
            </w:r>
          </w:p>
        </w:tc>
        <w:tc>
          <w:tcPr>
            <w:tcW w:w="5282" w:type="dxa"/>
            <w:noWrap/>
            <w:vAlign w:val="center"/>
          </w:tcPr>
          <w:p>
            <w:pPr>
              <w:rPr>
                <w:rFonts w:ascii="宋体"/>
                <w:snapToGrid w:val="0"/>
                <w:kern w:val="0"/>
                <w:szCs w:val="21"/>
              </w:rPr>
            </w:pPr>
            <w:r>
              <w:rPr>
                <w:rFonts w:hint="eastAsia" w:ascii="宋体" w:hAnsi="宋体"/>
                <w:szCs w:val="21"/>
              </w:rPr>
              <w:t>拟派项目负责人和项目组主要组成人员具有社保部门出具的2021年1月份（含1月份）以来任意连续6个月在该单位参加养老保险缴费清单（注：①以上人员参保证明需单独出具每人一份，注明缴费起止时间且加盖社保部门有效章印；②外市区（盐城市外）投标企业也可提供印有社会保险管理中心参保缴费证明电子专用章的养老保险缴费清单和参保缴费证明查询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1" w:type="dxa"/>
            <w:vMerge w:val="continue"/>
            <w:tcBorders/>
            <w:noWrap/>
            <w:vAlign w:val="center"/>
          </w:tcPr>
          <w:p>
            <w:pPr>
              <w:spacing w:line="360" w:lineRule="auto"/>
              <w:jc w:val="center"/>
              <w:rPr>
                <w:rFonts w:ascii="宋体"/>
                <w:snapToGrid w:val="0"/>
                <w:kern w:val="0"/>
                <w:szCs w:val="21"/>
              </w:rPr>
            </w:pPr>
          </w:p>
        </w:tc>
        <w:tc>
          <w:tcPr>
            <w:tcW w:w="1316" w:type="dxa"/>
            <w:vMerge w:val="continue"/>
            <w:tcBorders/>
            <w:noWrap/>
            <w:vAlign w:val="center"/>
          </w:tcPr>
          <w:p>
            <w:pPr>
              <w:spacing w:line="360" w:lineRule="auto"/>
              <w:jc w:val="center"/>
              <w:rPr>
                <w:rFonts w:ascii="宋体"/>
                <w:snapToGrid w:val="0"/>
                <w:kern w:val="0"/>
                <w:szCs w:val="21"/>
              </w:rPr>
            </w:pPr>
          </w:p>
        </w:tc>
        <w:tc>
          <w:tcPr>
            <w:tcW w:w="1735" w:type="dxa"/>
            <w:noWrap/>
            <w:vAlign w:val="center"/>
          </w:tcPr>
          <w:p>
            <w:pPr>
              <w:jc w:val="center"/>
              <w:rPr>
                <w:rFonts w:hint="eastAsia" w:ascii="宋体" w:eastAsia="宋体"/>
                <w:snapToGrid w:val="0"/>
                <w:kern w:val="0"/>
                <w:szCs w:val="21"/>
                <w:lang w:val="en-US" w:eastAsia="zh-CN"/>
              </w:rPr>
            </w:pPr>
            <w:r>
              <w:rPr>
                <w:rFonts w:hint="eastAsia" w:ascii="宋体"/>
                <w:snapToGrid w:val="0"/>
                <w:kern w:val="0"/>
                <w:szCs w:val="21"/>
                <w:lang w:val="en-US" w:eastAsia="zh-CN"/>
              </w:rPr>
              <w:t>业绩要求</w:t>
            </w:r>
          </w:p>
        </w:tc>
        <w:tc>
          <w:tcPr>
            <w:tcW w:w="5282" w:type="dxa"/>
            <w:noWrap/>
            <w:vAlign w:val="center"/>
          </w:tcPr>
          <w:p>
            <w:pPr>
              <w:rPr>
                <w:rFonts w:hint="eastAsia" w:ascii="宋体" w:hAnsi="宋体"/>
                <w:szCs w:val="21"/>
              </w:rPr>
            </w:pPr>
            <w:r>
              <w:rPr>
                <w:rFonts w:hint="eastAsia" w:asciiTheme="minorEastAsia" w:hAnsiTheme="minorEastAsia" w:eastAsiaTheme="minorEastAsia" w:cstheme="minorEastAsia"/>
                <w:color w:val="000000" w:themeColor="text1"/>
                <w:kern w:val="0"/>
                <w:szCs w:val="21"/>
              </w:rPr>
              <w:t>符合招标公告要求的项目负责人业绩证明材料</w:t>
            </w:r>
          </w:p>
        </w:tc>
      </w:tr>
      <w:bookmarkEnd w:id="74"/>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1" w:type="dxa"/>
            <w:vMerge w:val="restart"/>
            <w:noWrap/>
            <w:vAlign w:val="center"/>
          </w:tcPr>
          <w:p>
            <w:pPr>
              <w:spacing w:line="360" w:lineRule="auto"/>
              <w:jc w:val="center"/>
              <w:rPr>
                <w:rFonts w:ascii="宋体"/>
                <w:snapToGrid w:val="0"/>
                <w:kern w:val="0"/>
                <w:szCs w:val="21"/>
              </w:rPr>
            </w:pPr>
            <w:r>
              <w:rPr>
                <w:rFonts w:ascii="宋体" w:hAnsi="宋体"/>
                <w:snapToGrid w:val="0"/>
                <w:kern w:val="0"/>
                <w:szCs w:val="21"/>
              </w:rPr>
              <w:t>2.1.3</w:t>
            </w:r>
          </w:p>
        </w:tc>
        <w:tc>
          <w:tcPr>
            <w:tcW w:w="1316" w:type="dxa"/>
            <w:vMerge w:val="restart"/>
            <w:noWrap/>
            <w:vAlign w:val="center"/>
          </w:tcPr>
          <w:p>
            <w:pPr>
              <w:spacing w:line="360" w:lineRule="auto"/>
              <w:jc w:val="center"/>
              <w:rPr>
                <w:rFonts w:ascii="宋体"/>
                <w:snapToGrid w:val="0"/>
                <w:kern w:val="0"/>
                <w:szCs w:val="21"/>
              </w:rPr>
            </w:pPr>
            <w:r>
              <w:rPr>
                <w:rFonts w:hint="eastAsia" w:ascii="宋体" w:hAnsi="宋体"/>
                <w:snapToGrid w:val="0"/>
                <w:kern w:val="0"/>
                <w:szCs w:val="21"/>
              </w:rPr>
              <w:t>响应性</w:t>
            </w:r>
          </w:p>
          <w:p>
            <w:pPr>
              <w:spacing w:line="360" w:lineRule="auto"/>
              <w:jc w:val="center"/>
              <w:rPr>
                <w:rFonts w:ascii="宋体"/>
                <w:snapToGrid w:val="0"/>
                <w:kern w:val="0"/>
                <w:szCs w:val="21"/>
              </w:rPr>
            </w:pPr>
            <w:r>
              <w:rPr>
                <w:rFonts w:hint="eastAsia" w:ascii="宋体" w:hAnsi="宋体"/>
                <w:snapToGrid w:val="0"/>
                <w:kern w:val="0"/>
                <w:szCs w:val="21"/>
              </w:rPr>
              <w:t>评审</w:t>
            </w:r>
          </w:p>
          <w:p>
            <w:pPr>
              <w:spacing w:line="360" w:lineRule="auto"/>
              <w:jc w:val="center"/>
              <w:rPr>
                <w:rFonts w:ascii="宋体"/>
                <w:snapToGrid w:val="0"/>
                <w:kern w:val="0"/>
                <w:szCs w:val="21"/>
              </w:rPr>
            </w:pPr>
            <w:r>
              <w:rPr>
                <w:rFonts w:hint="eastAsia" w:ascii="宋体" w:hAnsi="宋体"/>
                <w:snapToGrid w:val="0"/>
                <w:kern w:val="0"/>
                <w:szCs w:val="21"/>
              </w:rPr>
              <w:t>标准</w:t>
            </w: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服务范围</w:t>
            </w:r>
          </w:p>
        </w:tc>
        <w:tc>
          <w:tcPr>
            <w:tcW w:w="5282" w:type="dxa"/>
            <w:noWrap/>
            <w:vAlign w:val="center"/>
          </w:tcPr>
          <w:p>
            <w:pPr>
              <w:rPr>
                <w:rFonts w:ascii="宋体"/>
                <w:snapToGrid w:val="0"/>
                <w:kern w:val="0"/>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1.3.1</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1" w:type="dxa"/>
            <w:vMerge w:val="continue"/>
            <w:noWrap/>
            <w:vAlign w:val="center"/>
          </w:tcPr>
          <w:p>
            <w:pPr>
              <w:spacing w:line="360" w:lineRule="auto"/>
              <w:jc w:val="center"/>
              <w:rPr>
                <w:rFonts w:ascii="宋体"/>
                <w:snapToGrid w:val="0"/>
                <w:kern w:val="0"/>
                <w:szCs w:val="21"/>
              </w:rPr>
            </w:pPr>
          </w:p>
        </w:tc>
        <w:tc>
          <w:tcPr>
            <w:tcW w:w="1316" w:type="dxa"/>
            <w:vMerge w:val="continue"/>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服务期限</w:t>
            </w:r>
          </w:p>
        </w:tc>
        <w:tc>
          <w:tcPr>
            <w:tcW w:w="5282" w:type="dxa"/>
            <w:noWrap/>
            <w:vAlign w:val="center"/>
          </w:tcPr>
          <w:p>
            <w:pPr>
              <w:rPr>
                <w:rFonts w:ascii="宋体"/>
                <w:snapToGrid w:val="0"/>
                <w:kern w:val="0"/>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1.3.2</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1" w:type="dxa"/>
            <w:vMerge w:val="continue"/>
            <w:noWrap/>
            <w:vAlign w:val="center"/>
          </w:tcPr>
          <w:p>
            <w:pPr>
              <w:spacing w:line="360" w:lineRule="auto"/>
              <w:jc w:val="center"/>
              <w:rPr>
                <w:rFonts w:ascii="宋体"/>
                <w:snapToGrid w:val="0"/>
                <w:kern w:val="0"/>
                <w:szCs w:val="21"/>
              </w:rPr>
            </w:pPr>
            <w:bookmarkStart w:id="76" w:name="第三章_投标人资格" w:colFirst="2" w:colLast="4"/>
          </w:p>
        </w:tc>
        <w:tc>
          <w:tcPr>
            <w:tcW w:w="1316" w:type="dxa"/>
            <w:vMerge w:val="continue"/>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投标报价</w:t>
            </w:r>
          </w:p>
        </w:tc>
        <w:tc>
          <w:tcPr>
            <w:tcW w:w="5282" w:type="dxa"/>
            <w:noWrap/>
            <w:vAlign w:val="center"/>
          </w:tcPr>
          <w:p>
            <w:pPr>
              <w:rPr>
                <w:snapToGrid w:val="0"/>
                <w:kern w:val="0"/>
              </w:rPr>
            </w:pPr>
            <w:r>
              <w:rPr>
                <w:snapToGrid w:val="0"/>
                <w:kern w:val="0"/>
              </w:rPr>
              <w:t>1</w:t>
            </w:r>
            <w:r>
              <w:rPr>
                <w:rFonts w:hint="eastAsia"/>
                <w:snapToGrid w:val="0"/>
                <w:kern w:val="0"/>
              </w:rPr>
              <w:t>、不低于成本</w:t>
            </w:r>
          </w:p>
          <w:p>
            <w:pPr>
              <w:rPr>
                <w:rFonts w:ascii="宋体"/>
                <w:snapToGrid w:val="0"/>
                <w:kern w:val="0"/>
                <w:szCs w:val="21"/>
              </w:rPr>
            </w:pPr>
            <w:r>
              <w:rPr>
                <w:rFonts w:ascii="宋体" w:hAnsi="宋体"/>
                <w:snapToGrid w:val="0"/>
                <w:kern w:val="0"/>
                <w:szCs w:val="21"/>
              </w:rPr>
              <w:t>2</w:t>
            </w:r>
            <w:r>
              <w:rPr>
                <w:rFonts w:hint="eastAsia" w:ascii="宋体" w:hAnsi="宋体"/>
                <w:snapToGrid w:val="0"/>
                <w:kern w:val="0"/>
                <w:szCs w:val="21"/>
              </w:rPr>
              <w:t>、不高于招标文件设定的最高投标限价</w:t>
            </w:r>
          </w:p>
        </w:tc>
      </w:tr>
      <w:bookmark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1" w:type="dxa"/>
            <w:vMerge w:val="continue"/>
            <w:noWrap/>
            <w:vAlign w:val="center"/>
          </w:tcPr>
          <w:p>
            <w:pPr>
              <w:spacing w:line="360" w:lineRule="auto"/>
              <w:jc w:val="center"/>
              <w:rPr>
                <w:rFonts w:ascii="宋体"/>
                <w:snapToGrid w:val="0"/>
                <w:kern w:val="0"/>
                <w:szCs w:val="21"/>
              </w:rPr>
            </w:pPr>
          </w:p>
        </w:tc>
        <w:tc>
          <w:tcPr>
            <w:tcW w:w="1316" w:type="dxa"/>
            <w:vMerge w:val="continue"/>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投标有效期</w:t>
            </w:r>
          </w:p>
        </w:tc>
        <w:tc>
          <w:tcPr>
            <w:tcW w:w="5282" w:type="dxa"/>
            <w:noWrap/>
            <w:vAlign w:val="center"/>
          </w:tcPr>
          <w:p>
            <w:pPr>
              <w:rPr>
                <w:rFonts w:ascii="宋体"/>
                <w:snapToGrid w:val="0"/>
                <w:kern w:val="0"/>
                <w:szCs w:val="21"/>
              </w:rPr>
            </w:pPr>
            <w:r>
              <w:rPr>
                <w:rFonts w:hint="eastAsia" w:ascii="宋体" w:hAnsi="宋体"/>
                <w:snapToGrid w:val="0"/>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81" w:type="dxa"/>
            <w:vMerge w:val="continue"/>
            <w:noWrap/>
            <w:vAlign w:val="center"/>
          </w:tcPr>
          <w:p>
            <w:pPr>
              <w:spacing w:line="360" w:lineRule="auto"/>
              <w:jc w:val="center"/>
              <w:rPr>
                <w:rFonts w:ascii="宋体"/>
                <w:snapToGrid w:val="0"/>
                <w:kern w:val="0"/>
                <w:szCs w:val="21"/>
              </w:rPr>
            </w:pPr>
          </w:p>
        </w:tc>
        <w:tc>
          <w:tcPr>
            <w:tcW w:w="1316" w:type="dxa"/>
            <w:vMerge w:val="continue"/>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投标保证金</w:t>
            </w:r>
          </w:p>
        </w:tc>
        <w:tc>
          <w:tcPr>
            <w:tcW w:w="5282" w:type="dxa"/>
            <w:noWrap/>
            <w:vAlign w:val="center"/>
          </w:tcPr>
          <w:p>
            <w:pPr>
              <w:rPr>
                <w:rFonts w:ascii="宋体"/>
                <w:snapToGrid w:val="0"/>
                <w:kern w:val="0"/>
                <w:szCs w:val="21"/>
              </w:rPr>
            </w:pPr>
            <w:r>
              <w:rPr>
                <w:rFonts w:hint="eastAsia" w:ascii="宋体" w:hAnsi="宋体"/>
                <w:snapToGrid w:val="0"/>
                <w:kern w:val="0"/>
                <w:szCs w:val="21"/>
              </w:rPr>
              <w:t>符合第二章</w:t>
            </w:r>
            <w:r>
              <w:rPr>
                <w:rFonts w:hint="eastAsia" w:ascii="宋体"/>
                <w:snapToGrid w:val="0"/>
                <w:kern w:val="0"/>
                <w:szCs w:val="21"/>
              </w:rPr>
              <w:t>“</w:t>
            </w:r>
            <w:r>
              <w:rPr>
                <w:rFonts w:hint="eastAsia" w:ascii="宋体" w:hAnsi="宋体"/>
                <w:snapToGrid w:val="0"/>
                <w:kern w:val="0"/>
                <w:szCs w:val="21"/>
              </w:rPr>
              <w:t>投标人须知</w:t>
            </w:r>
            <w:r>
              <w:rPr>
                <w:rFonts w:hint="eastAsia" w:ascii="宋体"/>
                <w:snapToGrid w:val="0"/>
                <w:kern w:val="0"/>
                <w:szCs w:val="21"/>
              </w:rPr>
              <w:t>”</w:t>
            </w:r>
            <w:r>
              <w:rPr>
                <w:rFonts w:hint="eastAsia" w:ascii="宋体" w:hAnsi="宋体"/>
                <w:snapToGrid w:val="0"/>
                <w:kern w:val="0"/>
                <w:szCs w:val="21"/>
              </w:rPr>
              <w:t>第</w:t>
            </w:r>
            <w:r>
              <w:rPr>
                <w:rFonts w:ascii="宋体" w:hAnsi="宋体"/>
                <w:snapToGrid w:val="0"/>
                <w:kern w:val="0"/>
                <w:szCs w:val="21"/>
              </w:rPr>
              <w:t>3.4.1</w:t>
            </w:r>
            <w:r>
              <w:rPr>
                <w:rFonts w:hint="eastAsia" w:ascii="宋体" w:hAnsi="宋体"/>
                <w:snapToGrid w:val="0"/>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81" w:type="dxa"/>
            <w:vMerge w:val="continue"/>
            <w:noWrap/>
            <w:vAlign w:val="center"/>
          </w:tcPr>
          <w:p>
            <w:pPr>
              <w:spacing w:line="360" w:lineRule="auto"/>
              <w:jc w:val="center"/>
              <w:rPr>
                <w:rFonts w:ascii="宋体"/>
                <w:snapToGrid w:val="0"/>
                <w:kern w:val="0"/>
                <w:szCs w:val="21"/>
              </w:rPr>
            </w:pPr>
          </w:p>
        </w:tc>
        <w:tc>
          <w:tcPr>
            <w:tcW w:w="1316" w:type="dxa"/>
            <w:vMerge w:val="continue"/>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权利义务</w:t>
            </w:r>
          </w:p>
        </w:tc>
        <w:tc>
          <w:tcPr>
            <w:tcW w:w="5282" w:type="dxa"/>
            <w:noWrap/>
            <w:vAlign w:val="center"/>
          </w:tcPr>
          <w:p>
            <w:pPr>
              <w:rPr>
                <w:rFonts w:ascii="宋体"/>
                <w:snapToGrid w:val="0"/>
                <w:kern w:val="0"/>
                <w:szCs w:val="21"/>
              </w:rPr>
            </w:pPr>
            <w:r>
              <w:rPr>
                <w:rFonts w:hint="eastAsia" w:ascii="宋体" w:hAnsi="宋体"/>
                <w:snapToGrid w:val="0"/>
                <w:kern w:val="0"/>
                <w:szCs w:val="21"/>
              </w:rPr>
              <w:t>符合第四章</w:t>
            </w:r>
            <w:r>
              <w:rPr>
                <w:rFonts w:hint="eastAsia" w:ascii="宋体"/>
                <w:snapToGrid w:val="0"/>
                <w:kern w:val="0"/>
                <w:szCs w:val="21"/>
              </w:rPr>
              <w:t>“</w:t>
            </w:r>
            <w:r>
              <w:rPr>
                <w:rFonts w:hint="eastAsia" w:ascii="宋体" w:hAnsi="宋体"/>
                <w:snapToGrid w:val="0"/>
                <w:kern w:val="0"/>
                <w:szCs w:val="21"/>
              </w:rPr>
              <w:t>合同条款及格式</w:t>
            </w:r>
            <w:r>
              <w:rPr>
                <w:rFonts w:hint="eastAsia" w:ascii="宋体"/>
                <w:snapToGrid w:val="0"/>
                <w:kern w:val="0"/>
                <w:szCs w:val="21"/>
              </w:rPr>
              <w:t>”</w:t>
            </w:r>
            <w:r>
              <w:rPr>
                <w:rFonts w:hint="eastAsia" w:ascii="宋体" w:hAnsi="宋体"/>
                <w:snapToGrid w:val="0"/>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81" w:type="dxa"/>
            <w:vMerge w:val="continue"/>
            <w:noWrap/>
            <w:vAlign w:val="center"/>
          </w:tcPr>
          <w:p>
            <w:pPr>
              <w:spacing w:line="360" w:lineRule="auto"/>
              <w:jc w:val="center"/>
              <w:rPr>
                <w:rFonts w:ascii="宋体"/>
                <w:snapToGrid w:val="0"/>
                <w:kern w:val="0"/>
                <w:szCs w:val="21"/>
              </w:rPr>
            </w:pPr>
            <w:bookmarkStart w:id="77" w:name="暗标要求" w:colFirst="2" w:colLast="3"/>
          </w:p>
        </w:tc>
        <w:tc>
          <w:tcPr>
            <w:tcW w:w="1316" w:type="dxa"/>
            <w:vMerge w:val="continue"/>
            <w:noWrap/>
            <w:vAlign w:val="center"/>
          </w:tcPr>
          <w:p>
            <w:pPr>
              <w:spacing w:line="360" w:lineRule="auto"/>
              <w:jc w:val="center"/>
              <w:rPr>
                <w:rFonts w:ascii="宋体"/>
                <w:snapToGrid w:val="0"/>
                <w:kern w:val="0"/>
                <w:szCs w:val="21"/>
              </w:rPr>
            </w:pPr>
          </w:p>
        </w:tc>
        <w:tc>
          <w:tcPr>
            <w:tcW w:w="1735" w:type="dxa"/>
            <w:noWrap/>
            <w:vAlign w:val="center"/>
          </w:tcPr>
          <w:p>
            <w:pPr>
              <w:jc w:val="center"/>
              <w:rPr>
                <w:rFonts w:ascii="宋体"/>
                <w:snapToGrid w:val="0"/>
                <w:kern w:val="0"/>
                <w:szCs w:val="21"/>
              </w:rPr>
            </w:pPr>
            <w:r>
              <w:rPr>
                <w:rFonts w:hint="eastAsia" w:ascii="宋体" w:hAnsi="宋体"/>
                <w:snapToGrid w:val="0"/>
                <w:kern w:val="0"/>
                <w:szCs w:val="21"/>
              </w:rPr>
              <w:t>其他</w:t>
            </w:r>
          </w:p>
        </w:tc>
        <w:tc>
          <w:tcPr>
            <w:tcW w:w="5282" w:type="dxa"/>
            <w:noWrap/>
            <w:vAlign w:val="center"/>
          </w:tcPr>
          <w:p>
            <w:pPr>
              <w:rPr>
                <w:rFonts w:ascii="宋体"/>
                <w:snapToGrid w:val="0"/>
                <w:kern w:val="0"/>
                <w:szCs w:val="21"/>
              </w:rPr>
            </w:pPr>
            <w:r>
              <w:rPr>
                <w:rFonts w:hint="eastAsia" w:ascii="宋体" w:hAnsi="宋体"/>
                <w:snapToGrid w:val="0"/>
                <w:kern w:val="0"/>
                <w:szCs w:val="21"/>
              </w:rPr>
              <w:t>符合本章</w:t>
            </w:r>
            <w:r>
              <w:rPr>
                <w:rFonts w:hint="eastAsia" w:ascii="华文细黑" w:hAnsi="华文细黑"/>
                <w:szCs w:val="21"/>
              </w:rPr>
              <w:t>“评标办法”第</w:t>
            </w:r>
            <w:r>
              <w:rPr>
                <w:rFonts w:ascii="宋体" w:hAnsi="宋体"/>
                <w:szCs w:val="21"/>
              </w:rPr>
              <w:t>3.2.2</w:t>
            </w:r>
            <w:r>
              <w:rPr>
                <w:rFonts w:hint="eastAsia" w:ascii="华文细黑" w:hAnsi="华文细黑"/>
                <w:szCs w:val="21"/>
              </w:rPr>
              <w:t>条所列情形</w:t>
            </w:r>
          </w:p>
        </w:tc>
      </w:tr>
      <w:bookmarkEnd w:id="77"/>
    </w:tbl>
    <w:p>
      <w:pPr>
        <w:rPr>
          <w:vanish/>
        </w:rPr>
      </w:pPr>
      <w:bookmarkStart w:id="78" w:name="第三章_评标办法前附表"/>
    </w:p>
    <w:p>
      <w:r>
        <w:br w:type="page"/>
      </w:r>
    </w:p>
    <w:tbl>
      <w:tblPr>
        <w:tblStyle w:val="4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9" w:type="dxa"/>
            <w:noWrap/>
            <w:vAlign w:val="center"/>
          </w:tcPr>
          <w:p>
            <w:pPr>
              <w:jc w:val="center"/>
              <w:rPr>
                <w:b/>
                <w:sz w:val="28"/>
                <w:szCs w:val="28"/>
              </w:rPr>
            </w:pPr>
            <w:r>
              <w:rPr>
                <w:rFonts w:hint="eastAsia"/>
                <w:b/>
                <w:sz w:val="28"/>
                <w:szCs w:val="28"/>
              </w:rPr>
              <w:t>评分因素</w:t>
            </w:r>
          </w:p>
        </w:tc>
        <w:tc>
          <w:tcPr>
            <w:tcW w:w="7842" w:type="dxa"/>
            <w:noWrap/>
            <w:vAlign w:val="center"/>
          </w:tcPr>
          <w:p>
            <w:pPr>
              <w:jc w:val="center"/>
              <w:rPr>
                <w:b/>
                <w:sz w:val="28"/>
                <w:szCs w:val="28"/>
              </w:rPr>
            </w:pPr>
            <w:r>
              <w:rPr>
                <w:rFonts w:hint="eastAsia"/>
                <w:b/>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9" w:type="dxa"/>
            <w:noWrap/>
            <w:vAlign w:val="center"/>
          </w:tcPr>
          <w:p>
            <w:pPr>
              <w:jc w:val="center"/>
              <w:rPr>
                <w:snapToGrid w:val="0"/>
                <w:szCs w:val="21"/>
              </w:rPr>
            </w:pPr>
            <w:r>
              <w:rPr>
                <w:rFonts w:hint="eastAsia"/>
                <w:snapToGrid w:val="0"/>
                <w:szCs w:val="21"/>
              </w:rPr>
              <w:t>投标报价评分</w:t>
            </w:r>
          </w:p>
          <w:p>
            <w:pPr>
              <w:spacing w:line="360" w:lineRule="auto"/>
              <w:jc w:val="center"/>
              <w:rPr>
                <w:snapToGrid w:val="0"/>
                <w:szCs w:val="21"/>
              </w:rPr>
            </w:pPr>
            <w:r>
              <w:rPr>
                <w:rFonts w:hint="eastAsia"/>
              </w:rPr>
              <w:t>（100</w:t>
            </w:r>
            <w:r>
              <w:rPr>
                <w:rFonts w:hint="eastAsia"/>
                <w:snapToGrid w:val="0"/>
                <w:szCs w:val="21"/>
              </w:rPr>
              <w:t>分</w:t>
            </w:r>
            <w:r>
              <w:rPr>
                <w:rFonts w:hint="eastAsia"/>
              </w:rPr>
              <w:t>）</w:t>
            </w:r>
          </w:p>
        </w:tc>
        <w:tc>
          <w:tcPr>
            <w:tcW w:w="7842" w:type="dxa"/>
            <w:noWrap/>
          </w:tcPr>
          <w:p>
            <w:pPr>
              <w:spacing w:line="400" w:lineRule="exact"/>
              <w:ind w:firstLine="420" w:firstLineChars="200"/>
              <w:jc w:val="left"/>
              <w:rPr>
                <w:rFonts w:ascii="宋体" w:hAnsi="宋体"/>
                <w:color w:val="000000" w:themeColor="text1"/>
              </w:rPr>
            </w:pPr>
            <w:r>
              <w:rPr>
                <w:rFonts w:hint="eastAsia" w:ascii="宋体" w:hAnsi="宋体"/>
                <w:color w:val="000000" w:themeColor="text1"/>
              </w:rPr>
              <w:t>以有效投标文件的评标价算术平均值作为评标基准价。计算算术平均值时，若有效投标文件≥5家，应去掉其中的一个最高报价和一个最低报价。</w:t>
            </w:r>
          </w:p>
          <w:p>
            <w:pPr>
              <w:spacing w:line="400" w:lineRule="exact"/>
              <w:ind w:firstLine="420" w:firstLineChars="200"/>
              <w:jc w:val="left"/>
              <w:rPr>
                <w:rFonts w:ascii="宋体" w:hAnsi="宋体"/>
                <w:color w:val="000000" w:themeColor="text1"/>
              </w:rPr>
            </w:pPr>
            <w:r>
              <w:rPr>
                <w:rFonts w:hint="eastAsia" w:ascii="宋体" w:hAnsi="宋体"/>
                <w:color w:val="000000" w:themeColor="text1"/>
              </w:rPr>
              <w:t>评标价等于评标基准价的得满分100分；偏离评标基准价的，评标价相对评标基准价每上浮1%扣减0.3分，每下浮1%扣减0.15分，偏离不足1%的，按照插入法计算得分。</w:t>
            </w:r>
          </w:p>
          <w:p>
            <w:pPr>
              <w:spacing w:line="400" w:lineRule="exact"/>
              <w:ind w:firstLine="420" w:firstLineChars="200"/>
              <w:jc w:val="left"/>
              <w:rPr>
                <w:rFonts w:ascii="宋体" w:hAnsi="宋体"/>
                <w:color w:val="000000" w:themeColor="text1"/>
              </w:rPr>
            </w:pPr>
            <w:r>
              <w:rPr>
                <w:rFonts w:hint="eastAsia"/>
                <w:snapToGrid w:val="0"/>
                <w:color w:val="000000" w:themeColor="text1"/>
                <w:szCs w:val="21"/>
              </w:rPr>
              <w:t>注：1、评标价高于招标文件设定的最高投标限价的，为无效投标文件。</w:t>
            </w:r>
          </w:p>
          <w:p>
            <w:pPr>
              <w:spacing w:line="400" w:lineRule="exact"/>
              <w:ind w:firstLine="420" w:firstLineChars="200"/>
              <w:jc w:val="left"/>
              <w:rPr>
                <w:snapToGrid w:val="0"/>
                <w:color w:val="000000" w:themeColor="text1"/>
                <w:szCs w:val="21"/>
              </w:rPr>
            </w:pPr>
            <w:r>
              <w:rPr>
                <w:rFonts w:hint="eastAsia"/>
                <w:snapToGrid w:val="0"/>
                <w:color w:val="000000" w:themeColor="text1"/>
                <w:szCs w:val="21"/>
              </w:rPr>
              <w:t>2、评标委员会在评标报告签字后，上述评标基准价不因招投标当事人质疑、投诉、复议以及其他任何情形而改变,但评标过程中的计算错误可作调整。</w:t>
            </w:r>
          </w:p>
          <w:p>
            <w:pPr>
              <w:spacing w:line="400" w:lineRule="exact"/>
              <w:ind w:firstLine="420" w:firstLineChars="200"/>
              <w:jc w:val="left"/>
              <w:rPr>
                <w:rFonts w:hAnsi="宋体" w:cs="宋体"/>
                <w:szCs w:val="22"/>
                <w:lang w:val="zh-CN" w:bidi="zh-CN"/>
              </w:rPr>
            </w:pPr>
            <w:r>
              <w:rPr>
                <w:rFonts w:hint="eastAsia"/>
                <w:snapToGrid w:val="0"/>
                <w:color w:val="000000" w:themeColor="text1"/>
                <w:szCs w:val="21"/>
                <w:lang w:val="zh-CN"/>
              </w:rPr>
              <w:t>3、各投标人评标价</w:t>
            </w:r>
            <w:r>
              <w:rPr>
                <w:rFonts w:hint="eastAsia"/>
                <w:snapToGrid w:val="0"/>
                <w:color w:val="000000" w:themeColor="text1"/>
                <w:szCs w:val="21"/>
              </w:rPr>
              <w:t>=150.3万元×施工阶段全过程造价投标费率+1000万元×工程结算审核投标费率</w:t>
            </w:r>
          </w:p>
        </w:tc>
      </w:tr>
      <w:bookmarkEnd w:id="78"/>
    </w:tbl>
    <w:p>
      <w:pPr>
        <w:snapToGrid w:val="0"/>
        <w:spacing w:line="360" w:lineRule="auto"/>
        <w:ind w:firstLine="211" w:firstLineChars="100"/>
        <w:jc w:val="left"/>
        <w:textAlignment w:val="baseline"/>
        <w:rPr>
          <w:rFonts w:ascii="宋体" w:hAnsi="宋体"/>
          <w:color w:val="000000"/>
          <w:szCs w:val="21"/>
        </w:rPr>
      </w:pPr>
      <w:bookmarkStart w:id="79" w:name="_Toc2456_WPSOffice_Level2"/>
      <w:r>
        <w:rPr>
          <w:rFonts w:ascii="宋体" w:hAnsi="宋体"/>
          <w:b/>
          <w:color w:val="000000"/>
          <w:szCs w:val="21"/>
        </w:rPr>
        <w:t>详细评审</w:t>
      </w:r>
      <w:r>
        <w:rPr>
          <w:rFonts w:hint="eastAsia" w:ascii="宋体" w:hAnsi="宋体"/>
          <w:color w:val="000000"/>
          <w:szCs w:val="21"/>
        </w:rPr>
        <w:br w:type="textWrapping"/>
      </w:r>
      <w:r>
        <w:rPr>
          <w:rFonts w:hint="eastAsia" w:ascii="宋体" w:hAnsi="宋体"/>
          <w:color w:val="000000"/>
          <w:szCs w:val="21"/>
        </w:rPr>
        <w:t xml:space="preserve"> （一）投标报价（满分 100 分） </w:t>
      </w:r>
    </w:p>
    <w:p>
      <w:pPr>
        <w:snapToGrid w:val="0"/>
        <w:spacing w:line="360" w:lineRule="auto"/>
        <w:ind w:firstLine="210" w:firstLineChars="100"/>
        <w:jc w:val="left"/>
        <w:textAlignment w:val="baseline"/>
        <w:rPr>
          <w:rFonts w:ascii="宋体" w:hAnsi="宋体"/>
          <w:color w:val="000000"/>
          <w:szCs w:val="21"/>
        </w:rPr>
      </w:pPr>
      <w:r>
        <w:rPr>
          <w:rFonts w:hint="eastAsia" w:ascii="宋体" w:hAnsi="宋体"/>
          <w:color w:val="000000"/>
          <w:szCs w:val="21"/>
        </w:rPr>
        <w:t>以有效投标文件的评标价算术平均值作为评标基准价。计算算术平均值时，若有效投标文件≥5家，应去掉其中的一个最高报价和一个最低报价。</w:t>
      </w:r>
    </w:p>
    <w:p>
      <w:pPr>
        <w:snapToGrid w:val="0"/>
        <w:spacing w:line="360" w:lineRule="auto"/>
        <w:ind w:firstLine="210" w:firstLineChars="100"/>
        <w:jc w:val="left"/>
        <w:textAlignment w:val="baseline"/>
        <w:rPr>
          <w:rFonts w:ascii="宋体" w:hAnsi="宋体"/>
          <w:color w:val="000000"/>
          <w:szCs w:val="21"/>
        </w:rPr>
      </w:pPr>
      <w:r>
        <w:rPr>
          <w:rFonts w:hint="eastAsia" w:ascii="宋体" w:hAnsi="宋体"/>
          <w:color w:val="000000"/>
          <w:szCs w:val="21"/>
        </w:rPr>
        <w:t>评标价等于评标基准价的得满分100分；偏离评标基准价的，评标价相对评标基准价每上浮1%扣减0.3分，每下浮1%扣减0.15分，偏离不足1%的，按照插入法计算得分。</w:t>
      </w:r>
    </w:p>
    <w:p>
      <w:pPr>
        <w:snapToGrid w:val="0"/>
        <w:spacing w:line="360" w:lineRule="auto"/>
        <w:ind w:firstLine="210" w:firstLineChars="100"/>
        <w:jc w:val="left"/>
        <w:textAlignment w:val="baseline"/>
        <w:rPr>
          <w:rFonts w:ascii="宋体" w:hAnsi="宋体"/>
          <w:color w:val="000000"/>
          <w:szCs w:val="21"/>
        </w:rPr>
      </w:pPr>
      <w:r>
        <w:rPr>
          <w:rFonts w:hint="eastAsia" w:ascii="宋体" w:hAnsi="宋体"/>
          <w:color w:val="000000"/>
          <w:szCs w:val="21"/>
        </w:rPr>
        <w:t>注：1、评标价高于招标文件设定的最高投标限价的，为无效投标文件。</w:t>
      </w:r>
    </w:p>
    <w:p>
      <w:pPr>
        <w:snapToGrid w:val="0"/>
        <w:spacing w:line="360" w:lineRule="auto"/>
        <w:ind w:firstLine="210" w:firstLineChars="100"/>
        <w:jc w:val="left"/>
        <w:textAlignment w:val="baseline"/>
        <w:rPr>
          <w:rFonts w:ascii="宋体" w:hAnsi="宋体"/>
          <w:color w:val="000000"/>
          <w:szCs w:val="21"/>
        </w:rPr>
      </w:pPr>
      <w:r>
        <w:rPr>
          <w:rFonts w:hint="eastAsia" w:ascii="宋体" w:hAnsi="宋体"/>
          <w:color w:val="000000"/>
          <w:szCs w:val="21"/>
        </w:rPr>
        <w:t>2、评标委员会在评标报告签字后，上述评标基准价不因招投标当事人质疑、投诉、复议以及其他任何情形而改变,但评标过程中的计算错误可作调整。</w:t>
      </w:r>
    </w:p>
    <w:p>
      <w:pPr>
        <w:snapToGrid w:val="0"/>
        <w:spacing w:line="360" w:lineRule="auto"/>
        <w:ind w:firstLine="210" w:firstLineChars="100"/>
        <w:jc w:val="left"/>
        <w:textAlignment w:val="baseline"/>
        <w:rPr>
          <w:rFonts w:ascii="宋体" w:hAnsi="宋体"/>
          <w:color w:val="000000"/>
          <w:szCs w:val="21"/>
        </w:rPr>
      </w:pPr>
      <w:r>
        <w:rPr>
          <w:rFonts w:hint="eastAsia" w:ascii="宋体" w:hAnsi="宋体"/>
          <w:color w:val="000000"/>
          <w:szCs w:val="21"/>
        </w:rPr>
        <w:t>3、各投标人评标价=150.3万元×施工阶段全过程造价投标费率+1000万元×工程结算审核投标费率</w:t>
      </w:r>
    </w:p>
    <w:p>
      <w:pPr>
        <w:spacing w:line="360" w:lineRule="auto"/>
        <w:ind w:firstLine="211" w:firstLineChars="100"/>
        <w:jc w:val="left"/>
        <w:rPr>
          <w:rFonts w:ascii="宋体" w:hAnsi="宋体" w:cs="宋体"/>
          <w:color w:val="000000"/>
          <w:szCs w:val="21"/>
        </w:rPr>
      </w:pPr>
      <w:r>
        <w:rPr>
          <w:rFonts w:ascii="宋体" w:hAnsi="宋体"/>
          <w:b/>
          <w:color w:val="000000"/>
          <w:szCs w:val="21"/>
        </w:rPr>
        <w:t>其它</w:t>
      </w:r>
      <w:r>
        <w:rPr>
          <w:rFonts w:hint="eastAsia" w:ascii="宋体" w:hAnsi="宋体"/>
          <w:b/>
          <w:color w:val="000000"/>
          <w:szCs w:val="21"/>
        </w:rPr>
        <w:br w:type="textWrapping"/>
      </w:r>
      <w:r>
        <w:rPr>
          <w:rFonts w:ascii="宋体" w:hAnsi="宋体"/>
          <w:color w:val="000000"/>
          <w:szCs w:val="21"/>
        </w:rPr>
        <w:t>1、本办法未述及的事宜，由评标委员会依据法律法规处置。</w:t>
      </w:r>
      <w:r>
        <w:rPr>
          <w:rFonts w:hint="eastAsia" w:ascii="宋体" w:hAnsi="宋体"/>
          <w:color w:val="000000"/>
          <w:szCs w:val="21"/>
        </w:rPr>
        <w:br w:type="textWrapping"/>
      </w:r>
      <w:r>
        <w:rPr>
          <w:rFonts w:ascii="宋体" w:hAnsi="宋体"/>
          <w:color w:val="000000"/>
          <w:szCs w:val="21"/>
        </w:rPr>
        <w:t>2、不符合法律、法规规定，出现《盐城市市场廉政准入规定（试行）》限制情形的，按照规定予以无效标处置。</w:t>
      </w:r>
      <w:r>
        <w:rPr>
          <w:rFonts w:hint="eastAsia" w:ascii="宋体" w:hAnsi="宋体"/>
          <w:color w:val="000000"/>
          <w:szCs w:val="21"/>
        </w:rPr>
        <w:br w:type="textWrapping"/>
      </w:r>
      <w:r>
        <w:rPr>
          <w:rFonts w:ascii="宋体" w:hAnsi="宋体"/>
          <w:color w:val="000000"/>
          <w:szCs w:val="21"/>
        </w:rPr>
        <w:t>3、经审查为虚假材料的，按无效标书处理。</w:t>
      </w:r>
    </w:p>
    <w:p>
      <w:pPr>
        <w:pStyle w:val="4"/>
        <w:keepNext w:val="0"/>
        <w:keepLines w:val="0"/>
        <w:spacing w:before="0" w:after="0" w:line="360" w:lineRule="auto"/>
        <w:jc w:val="left"/>
        <w:rPr>
          <w:rFonts w:ascii="黑体" w:hAnsi="黑体"/>
          <w:b/>
          <w:snapToGrid w:val="0"/>
          <w:sz w:val="28"/>
          <w:szCs w:val="28"/>
        </w:rPr>
      </w:pPr>
      <w:r>
        <w:rPr>
          <w:rFonts w:hint="eastAsia" w:ascii="宋体" w:hAnsi="宋体" w:cs="宋体"/>
          <w:color w:val="000000"/>
          <w:sz w:val="30"/>
          <w:szCs w:val="30"/>
        </w:rPr>
        <w:br w:type="page"/>
      </w:r>
    </w:p>
    <w:bookmarkEnd w:id="79"/>
    <w:p>
      <w:pPr>
        <w:spacing w:line="480" w:lineRule="exact"/>
        <w:jc w:val="center"/>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二、通用评标规则</w:t>
      </w:r>
    </w:p>
    <w:p>
      <w:pPr>
        <w:snapToGrid w:val="0"/>
        <w:spacing w:line="480" w:lineRule="exact"/>
        <w:ind w:firstLine="657" w:firstLineChars="274"/>
        <w:rPr>
          <w:rFonts w:asciiTheme="minorEastAsia" w:hAnsiTheme="minorEastAsia" w:eastAsiaTheme="minorEastAsia" w:cstheme="minorEastAsia"/>
          <w:color w:val="000000" w:themeColor="text1"/>
          <w:sz w:val="24"/>
        </w:rPr>
      </w:pPr>
    </w:p>
    <w:p>
      <w:pPr>
        <w:snapToGrid w:val="0"/>
        <w:spacing w:line="460" w:lineRule="exact"/>
        <w:ind w:left="120" w:leftChars="57" w:firstLine="470" w:firstLineChars="224"/>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为进一步规范本次招标项目的评标、定标工作，制定本规则。</w:t>
      </w:r>
    </w:p>
    <w:p>
      <w:pPr>
        <w:snapToGrid w:val="0"/>
        <w:spacing w:line="460" w:lineRule="exact"/>
        <w:ind w:left="120" w:leftChars="57" w:firstLine="470" w:firstLineChars="224"/>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一、评标程序：</w:t>
      </w:r>
    </w:p>
    <w:p>
      <w:pPr>
        <w:snapToGrid w:val="0"/>
        <w:spacing w:line="460" w:lineRule="exact"/>
        <w:ind w:left="120" w:leftChars="57" w:firstLine="470" w:firstLineChars="224"/>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资格审查材料、技术标书、商务标书应分别评审，评审后不得更改。</w:t>
      </w:r>
    </w:p>
    <w:p>
      <w:pPr>
        <w:snapToGrid w:val="0"/>
        <w:spacing w:line="460" w:lineRule="exact"/>
        <w:ind w:firstLine="575" w:firstLineChars="274"/>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二、不规范标书：评标审查中有发现投标书或投标人行为属不规范者，评标办法采用合理低价法的，经评标委员会认定后减0.3—2分；</w:t>
      </w:r>
    </w:p>
    <w:p>
      <w:pPr>
        <w:snapToGrid w:val="0"/>
        <w:spacing w:line="460" w:lineRule="exact"/>
        <w:ind w:left="120" w:leftChars="57" w:firstLine="470" w:firstLineChars="224"/>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三、打分：评委应记名打分，打分未记名的和未按招标文件规定的打分办法打分的，一律按无效票处理。技术类评委打分：当评标委员会成员为5人时，取所有评委的有效分值进行计分、汇总；当评标委员会成员多于5人时，按大项在所有成员中去掉一个最高评分和一个最低评分后的算术平均值作为投标人该项得分（有项目负责人陈述及答辩的，取各单位项目实施方案得分与项目负责人陈述及答辨得分之和后，去掉一个最高评分和一个最低评分后的算术平均值作为投标人该项得分）。每大项记分保留三位小数(第四位四舍五入)；总得分保留二位小数(第三位四舍五入)。</w:t>
      </w:r>
    </w:p>
    <w:p>
      <w:pPr>
        <w:snapToGrid w:val="0"/>
        <w:spacing w:line="460" w:lineRule="exact"/>
        <w:ind w:left="120" w:leftChars="57" w:firstLine="470" w:firstLineChars="224"/>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五、得分并列：投标人得分并列的，须明确中标候选人或需对中标候选人排序的，由评标委员会抽签进行排序。</w:t>
      </w:r>
    </w:p>
    <w:p>
      <w:pPr>
        <w:snapToGrid w:val="0"/>
        <w:spacing w:line="460" w:lineRule="exact"/>
        <w:ind w:left="120" w:leftChars="57" w:firstLine="470" w:firstLineChars="224"/>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六、投标文件中有评标委员会认为需要投标人作出必要澄清、说明的，投标人在接到通知后应当在规定的时间前赶到指定地点接受质询。逾期未赶到的，作自动放弃处理。投标人的澄清、说明应当采用书面形式，并不得超出投标文件的范围或者改变投标文件的实质性内容。</w:t>
      </w:r>
    </w:p>
    <w:p>
      <w:pPr>
        <w:snapToGrid w:val="0"/>
        <w:spacing w:line="460" w:lineRule="exact"/>
        <w:ind w:left="120" w:leftChars="57" w:firstLine="470" w:firstLineChars="224"/>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评标委员会不得暗示或者诱导投标人作出澄清、说明，不得接受投标人主动提出的澄清、说明。</w:t>
      </w:r>
    </w:p>
    <w:p>
      <w:pPr>
        <w:snapToGrid w:val="0"/>
        <w:spacing w:line="460" w:lineRule="exact"/>
        <w:ind w:left="120" w:leftChars="57" w:firstLine="470" w:firstLineChars="224"/>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七、争议处理：评标中发生重大情况或重大争议，需要进一步调查了解、协调处理的，现场监督人员报盐城市大丰区行政审批局同意后可暂时休会，待有关问题得到澄清后再行复会。休会期间，所有招投标资料一律封存盐城市大丰区招标采购交易中心档案室，所有与会人员一律不得泄露评标情况。</w:t>
      </w:r>
    </w:p>
    <w:p>
      <w:pPr>
        <w:snapToGrid w:val="0"/>
        <w:spacing w:line="460" w:lineRule="exact"/>
        <w:ind w:left="120" w:leftChars="57" w:firstLine="470" w:firstLineChars="224"/>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八、违法违纪行为：在招投标过程中发生行贿受贿、扰乱招投标活动秩序及其他严重违法违纪行为的，一律取消有关责任人参与招投标活动的资格；已有评审结果的，应宣布评审结果无效。</w:t>
      </w:r>
      <w:bookmarkEnd w:id="65"/>
      <w:bookmarkEnd w:id="66"/>
      <w:bookmarkEnd w:id="67"/>
      <w:bookmarkEnd w:id="68"/>
    </w:p>
    <w:p>
      <w:pPr>
        <w:pStyle w:val="3"/>
        <w:spacing w:line="540" w:lineRule="exact"/>
        <w:jc w:val="center"/>
        <w:rPr>
          <w:rFonts w:asciiTheme="minorEastAsia" w:hAnsiTheme="minorEastAsia" w:eastAsiaTheme="minorEastAsia" w:cstheme="minorEastAsia"/>
          <w:b w:val="0"/>
          <w:color w:val="000000" w:themeColor="text1"/>
          <w:szCs w:val="21"/>
        </w:rPr>
      </w:pPr>
      <w:bookmarkStart w:id="80" w:name="_Toc398107898"/>
      <w:r>
        <w:rPr>
          <w:rFonts w:hint="eastAsia" w:asciiTheme="minorEastAsia" w:hAnsiTheme="minorEastAsia" w:eastAsiaTheme="minorEastAsia" w:cstheme="minorEastAsia"/>
          <w:color w:val="000000" w:themeColor="text1"/>
        </w:rPr>
        <w:br w:type="page"/>
      </w:r>
      <w:bookmarkEnd w:id="80"/>
    </w:p>
    <w:p>
      <w:pPr>
        <w:jc w:val="center"/>
        <w:rPr>
          <w:rFonts w:ascii="黑体" w:eastAsia="黑体"/>
          <w:b/>
          <w:color w:val="000000" w:themeColor="text1"/>
          <w:sz w:val="44"/>
          <w:szCs w:val="44"/>
        </w:rPr>
      </w:pPr>
      <w:bookmarkStart w:id="81" w:name="_Toc398107926"/>
      <w:r>
        <w:rPr>
          <w:rFonts w:hint="eastAsia" w:ascii="黑体" w:eastAsia="黑体"/>
          <w:b/>
          <w:color w:val="000000" w:themeColor="text1"/>
          <w:sz w:val="44"/>
          <w:szCs w:val="44"/>
        </w:rPr>
        <w:t>第四章 合同条款</w:t>
      </w:r>
    </w:p>
    <w:p>
      <w:pPr>
        <w:jc w:val="center"/>
        <w:rPr>
          <w:rFonts w:ascii="黑体" w:eastAsia="黑体"/>
          <w:b/>
          <w:color w:val="000000" w:themeColor="text1"/>
          <w:sz w:val="44"/>
          <w:szCs w:val="44"/>
        </w:rPr>
      </w:pPr>
    </w:p>
    <w:p>
      <w:pPr>
        <w:jc w:val="center"/>
        <w:rPr>
          <w:rFonts w:ascii="黑体" w:eastAsia="黑体"/>
          <w:b/>
          <w:color w:val="000000" w:themeColor="text1"/>
          <w:sz w:val="44"/>
          <w:szCs w:val="44"/>
        </w:rPr>
      </w:pPr>
    </w:p>
    <w:p>
      <w:pPr>
        <w:spacing w:line="440" w:lineRule="exact"/>
        <w:jc w:val="center"/>
        <w:rPr>
          <w:rFonts w:ascii="宋体" w:cs="宋体"/>
          <w:b/>
          <w:bCs/>
          <w:color w:val="000000" w:themeColor="text1"/>
          <w:kern w:val="0"/>
          <w:sz w:val="32"/>
          <w:szCs w:val="32"/>
        </w:rPr>
      </w:pPr>
    </w:p>
    <w:p>
      <w:pPr>
        <w:spacing w:line="600" w:lineRule="exact"/>
        <w:rPr>
          <w:rFonts w:ascii="宋体" w:cs="宋体"/>
          <w:b/>
          <w:color w:val="000000" w:themeColor="text1"/>
          <w:sz w:val="32"/>
          <w:szCs w:val="32"/>
        </w:rPr>
      </w:pPr>
    </w:p>
    <w:p>
      <w:pPr>
        <w:spacing w:line="360" w:lineRule="auto"/>
        <w:jc w:val="center"/>
        <w:rPr>
          <w:rFonts w:ascii="宋体" w:cs="宋体"/>
          <w:b/>
          <w:bCs/>
          <w:color w:val="000000" w:themeColor="text1"/>
          <w:sz w:val="52"/>
          <w:szCs w:val="52"/>
        </w:rPr>
      </w:pPr>
      <w:r>
        <w:rPr>
          <w:rFonts w:hint="eastAsia" w:ascii="宋体" w:hAnsi="宋体" w:cs="宋体"/>
          <w:b/>
          <w:bCs/>
          <w:color w:val="000000" w:themeColor="text1"/>
          <w:sz w:val="52"/>
          <w:szCs w:val="52"/>
        </w:rPr>
        <w:t>建设工程审计合同</w:t>
      </w:r>
    </w:p>
    <w:p>
      <w:pPr>
        <w:spacing w:line="600" w:lineRule="exact"/>
        <w:jc w:val="center"/>
        <w:rPr>
          <w:rFonts w:ascii="宋体" w:cs="宋体"/>
          <w:b/>
          <w:bCs/>
          <w:color w:val="000000" w:themeColor="text1"/>
          <w:sz w:val="52"/>
          <w:szCs w:val="52"/>
        </w:rPr>
      </w:pPr>
      <w:r>
        <w:rPr>
          <w:rFonts w:hint="eastAsia" w:ascii="宋体" w:hAnsi="宋体" w:cs="宋体"/>
          <w:b/>
          <w:bCs/>
          <w:color w:val="000000" w:themeColor="text1"/>
          <w:sz w:val="52"/>
          <w:szCs w:val="52"/>
        </w:rPr>
        <w:t>（示范文本）</w:t>
      </w:r>
    </w:p>
    <w:p>
      <w:pPr>
        <w:spacing w:line="600" w:lineRule="exact"/>
        <w:jc w:val="center"/>
        <w:rPr>
          <w:rFonts w:ascii="宋体" w:cs="宋体"/>
          <w:b/>
          <w:bCs/>
          <w:color w:val="000000" w:themeColor="text1"/>
          <w:sz w:val="52"/>
          <w:szCs w:val="52"/>
        </w:rPr>
      </w:pPr>
    </w:p>
    <w:p>
      <w:pPr>
        <w:spacing w:line="600" w:lineRule="exact"/>
        <w:jc w:val="center"/>
        <w:rPr>
          <w:rFonts w:ascii="宋体" w:cs="宋体"/>
          <w:b/>
          <w:bCs/>
          <w:color w:val="000000" w:themeColor="text1"/>
          <w:sz w:val="52"/>
          <w:szCs w:val="52"/>
        </w:rPr>
      </w:pPr>
    </w:p>
    <w:p>
      <w:pPr>
        <w:spacing w:line="600" w:lineRule="exact"/>
        <w:jc w:val="center"/>
        <w:rPr>
          <w:rFonts w:ascii="宋体" w:cs="宋体"/>
          <w:b/>
          <w:bCs/>
          <w:color w:val="000000" w:themeColor="text1"/>
          <w:sz w:val="52"/>
          <w:szCs w:val="52"/>
        </w:rPr>
      </w:pPr>
    </w:p>
    <w:p>
      <w:pPr>
        <w:spacing w:line="600" w:lineRule="exact"/>
        <w:jc w:val="center"/>
        <w:rPr>
          <w:rFonts w:ascii="宋体" w:cs="宋体"/>
          <w:b/>
          <w:bCs/>
          <w:color w:val="000000" w:themeColor="text1"/>
          <w:sz w:val="52"/>
          <w:szCs w:val="52"/>
        </w:rPr>
      </w:pPr>
    </w:p>
    <w:p>
      <w:pPr>
        <w:spacing w:line="600" w:lineRule="exact"/>
        <w:jc w:val="center"/>
        <w:rPr>
          <w:rFonts w:ascii="宋体" w:cs="宋体"/>
          <w:b/>
          <w:bCs/>
          <w:color w:val="000000" w:themeColor="text1"/>
          <w:sz w:val="52"/>
          <w:szCs w:val="52"/>
        </w:rPr>
      </w:pPr>
    </w:p>
    <w:p>
      <w:pPr>
        <w:spacing w:line="600" w:lineRule="exact"/>
        <w:jc w:val="center"/>
        <w:rPr>
          <w:rFonts w:ascii="宋体" w:cs="宋体"/>
          <w:b/>
          <w:bCs/>
          <w:color w:val="000000" w:themeColor="text1"/>
          <w:sz w:val="52"/>
          <w:szCs w:val="52"/>
        </w:rPr>
      </w:pPr>
    </w:p>
    <w:p>
      <w:pPr>
        <w:spacing w:line="600" w:lineRule="exact"/>
        <w:jc w:val="center"/>
        <w:rPr>
          <w:rFonts w:ascii="宋体" w:cs="宋体"/>
          <w:b/>
          <w:bCs/>
          <w:color w:val="000000" w:themeColor="text1"/>
          <w:sz w:val="52"/>
          <w:szCs w:val="52"/>
        </w:rPr>
      </w:pPr>
    </w:p>
    <w:p>
      <w:pPr>
        <w:spacing w:line="360" w:lineRule="auto"/>
        <w:jc w:val="center"/>
        <w:rPr>
          <w:rFonts w:ascii="宋体" w:cs="宋体"/>
          <w:b/>
          <w:color w:val="000000" w:themeColor="text1"/>
        </w:rPr>
      </w:pPr>
      <w:r>
        <w:rPr>
          <w:rFonts w:hint="eastAsia" w:ascii="宋体" w:hAnsi="宋体" w:cs="宋体"/>
          <w:b/>
          <w:bCs/>
          <w:color w:val="000000" w:themeColor="text1"/>
          <w:sz w:val="32"/>
          <w:szCs w:val="32"/>
        </w:rPr>
        <w:t>住房和城乡建设部</w:t>
      </w:r>
    </w:p>
    <w:p>
      <w:pPr>
        <w:spacing w:line="360" w:lineRule="auto"/>
        <w:jc w:val="center"/>
        <w:rPr>
          <w:rFonts w:ascii="宋体" w:cs="宋体"/>
          <w:b/>
          <w:color w:val="000000" w:themeColor="text1"/>
          <w:sz w:val="32"/>
          <w:szCs w:val="32"/>
        </w:rPr>
      </w:pPr>
      <w:r>
        <w:rPr>
          <w:rFonts w:hint="eastAsia" w:ascii="宋体" w:hAnsi="宋体" w:cs="宋体"/>
          <w:b/>
          <w:color w:val="000000" w:themeColor="text1"/>
          <w:sz w:val="32"/>
          <w:szCs w:val="32"/>
        </w:rPr>
        <w:t xml:space="preserve">                                 制定</w:t>
      </w:r>
    </w:p>
    <w:p>
      <w:pPr>
        <w:spacing w:line="600" w:lineRule="exact"/>
        <w:jc w:val="center"/>
        <w:rPr>
          <w:rFonts w:ascii="宋体" w:cs="宋体"/>
          <w:b/>
          <w:bCs/>
          <w:color w:val="000000" w:themeColor="text1"/>
          <w:sz w:val="32"/>
          <w:szCs w:val="32"/>
        </w:rPr>
      </w:pPr>
      <w:r>
        <w:rPr>
          <w:rFonts w:hint="eastAsia" w:ascii="宋体" w:hAnsi="宋体" w:cs="宋体"/>
          <w:b/>
          <w:bCs/>
          <w:color w:val="000000" w:themeColor="text1"/>
          <w:sz w:val="32"/>
          <w:szCs w:val="32"/>
        </w:rPr>
        <w:t>国家工商行政管理总局</w:t>
      </w:r>
    </w:p>
    <w:p>
      <w:pPr>
        <w:spacing w:line="440" w:lineRule="exact"/>
        <w:jc w:val="center"/>
        <w:rPr>
          <w:rFonts w:ascii="宋体" w:hAnsi="宋体" w:cs="宋体"/>
          <w:b/>
          <w:color w:val="000000"/>
          <w:sz w:val="44"/>
          <w:szCs w:val="44"/>
        </w:rPr>
      </w:pPr>
      <w:r>
        <w:rPr>
          <w:rFonts w:ascii="宋体" w:cs="宋体"/>
          <w:color w:val="000000" w:themeColor="text1"/>
        </w:rPr>
        <w:br w:type="page"/>
      </w:r>
      <w:bookmarkEnd w:id="81"/>
      <w:r>
        <w:rPr>
          <w:rFonts w:hint="eastAsia" w:ascii="宋体" w:hAnsi="宋体" w:cs="宋体"/>
          <w:b/>
          <w:color w:val="000000"/>
          <w:sz w:val="44"/>
          <w:szCs w:val="44"/>
        </w:rPr>
        <w:t>第四章 主要合同条款</w:t>
      </w:r>
    </w:p>
    <w:p>
      <w:pPr>
        <w:spacing w:line="440" w:lineRule="exact"/>
        <w:jc w:val="center"/>
        <w:rPr>
          <w:rFonts w:ascii="宋体" w:hAnsi="宋体" w:cs="宋体"/>
          <w:b/>
          <w:color w:val="000000"/>
          <w:sz w:val="36"/>
          <w:szCs w:val="36"/>
        </w:rPr>
      </w:pPr>
    </w:p>
    <w:p>
      <w:pPr>
        <w:spacing w:line="440" w:lineRule="exact"/>
        <w:rPr>
          <w:rFonts w:ascii="宋体" w:hAnsi="宋体" w:cs="宋体"/>
          <w:color w:val="000000"/>
          <w:sz w:val="28"/>
          <w:szCs w:val="28"/>
          <w:u w:val="single"/>
        </w:rPr>
      </w:pPr>
    </w:p>
    <w:p>
      <w:pPr>
        <w:pStyle w:val="3"/>
        <w:adjustRightInd w:val="0"/>
        <w:snapToGrid w:val="0"/>
        <w:spacing w:before="0" w:after="0" w:line="430" w:lineRule="exact"/>
        <w:jc w:val="center"/>
        <w:rPr>
          <w:sz w:val="30"/>
          <w:szCs w:val="30"/>
        </w:rPr>
      </w:pPr>
      <w:bookmarkStart w:id="82" w:name="_Toc464396166"/>
      <w:bookmarkStart w:id="83" w:name="_Toc464395389"/>
      <w:bookmarkStart w:id="84" w:name="_Toc468905456"/>
      <w:r>
        <w:rPr>
          <w:rFonts w:hint="eastAsia"/>
          <w:sz w:val="30"/>
          <w:szCs w:val="30"/>
        </w:rPr>
        <w:t>第一部分　协议书</w:t>
      </w:r>
      <w:bookmarkEnd w:id="82"/>
      <w:bookmarkEnd w:id="83"/>
      <w:bookmarkEnd w:id="84"/>
    </w:p>
    <w:p>
      <w:pPr>
        <w:pStyle w:val="177"/>
        <w:adjustRightInd w:val="0"/>
        <w:snapToGrid w:val="0"/>
        <w:spacing w:before="0" w:beforeAutospacing="0" w:after="0" w:afterAutospacing="0" w:line="480" w:lineRule="exact"/>
        <w:ind w:firstLine="420" w:firstLineChars="200"/>
        <w:rPr>
          <w:sz w:val="21"/>
        </w:rPr>
      </w:pPr>
      <w:bookmarkStart w:id="85" w:name="7"/>
      <w:r>
        <w:rPr>
          <w:rFonts w:hint="eastAsia"/>
          <w:sz w:val="21"/>
        </w:rPr>
        <w:t xml:space="preserve">委托人（全称）：_ </w:t>
      </w:r>
    </w:p>
    <w:p>
      <w:pPr>
        <w:pStyle w:val="177"/>
        <w:adjustRightInd w:val="0"/>
        <w:snapToGrid w:val="0"/>
        <w:spacing w:before="0" w:beforeAutospacing="0" w:after="0" w:afterAutospacing="0" w:line="480" w:lineRule="exact"/>
        <w:ind w:firstLine="420" w:firstLineChars="200"/>
        <w:rPr>
          <w:sz w:val="21"/>
        </w:rPr>
      </w:pPr>
      <w:r>
        <w:rPr>
          <w:rFonts w:hint="eastAsia"/>
          <w:sz w:val="21"/>
        </w:rPr>
        <w:t xml:space="preserve">咨询人（全称）：_ </w:t>
      </w:r>
    </w:p>
    <w:p>
      <w:pPr>
        <w:pStyle w:val="177"/>
        <w:adjustRightInd w:val="0"/>
        <w:snapToGrid w:val="0"/>
        <w:spacing w:before="0" w:beforeAutospacing="0" w:after="0" w:afterAutospacing="0" w:line="480" w:lineRule="exact"/>
        <w:ind w:firstLine="420" w:firstLineChars="200"/>
        <w:rPr>
          <w:sz w:val="21"/>
        </w:rPr>
      </w:pPr>
      <w:r>
        <w:rPr>
          <w:rFonts w:hint="eastAsia"/>
          <w:sz w:val="21"/>
        </w:rPr>
        <w:t>根据《</w:t>
      </w:r>
      <w:r>
        <w:fldChar w:fldCharType="begin"/>
      </w:r>
      <w:r>
        <w:instrText xml:space="preserve"> HYPERLINK "javascript:SLC(21651,0)" </w:instrText>
      </w:r>
      <w:r>
        <w:fldChar w:fldCharType="separate"/>
      </w:r>
      <w:r>
        <w:rPr>
          <w:rStyle w:val="181"/>
          <w:rFonts w:hint="eastAsia" w:ascii="宋体" w:hAnsi="宋体"/>
          <w:sz w:val="21"/>
        </w:rPr>
        <w:t>中华人民共和国民法典</w:t>
      </w:r>
      <w:r>
        <w:rPr>
          <w:rStyle w:val="181"/>
          <w:rFonts w:hint="eastAsia" w:ascii="宋体" w:hAnsi="宋体"/>
          <w:sz w:val="21"/>
        </w:rPr>
        <w:fldChar w:fldCharType="end"/>
      </w:r>
      <w:r>
        <w:rPr>
          <w:rFonts w:hint="eastAsia"/>
          <w:sz w:val="21"/>
        </w:rPr>
        <w:t>》及其他有关法律、法规，遵循平等、自愿、公平和诚实信用的原则，双方就下述建设工程委托工程造价咨询与其他服务事项协商一致，订立本合同。</w:t>
      </w:r>
    </w:p>
    <w:p>
      <w:pPr>
        <w:adjustRightInd w:val="0"/>
        <w:snapToGrid w:val="0"/>
        <w:spacing w:line="480" w:lineRule="exact"/>
        <w:ind w:firstLine="422" w:firstLineChars="200"/>
        <w:rPr>
          <w:rFonts w:ascii="宋体" w:hAnsi="宋体"/>
          <w:szCs w:val="21"/>
        </w:rPr>
      </w:pPr>
      <w:bookmarkStart w:id="86" w:name="_Toc464396167"/>
      <w:bookmarkStart w:id="87" w:name="_Toc464395390"/>
      <w:bookmarkStart w:id="88" w:name="_Toc468905457"/>
      <w:bookmarkStart w:id="89" w:name="_Toc419045056"/>
      <w:r>
        <w:rPr>
          <w:rStyle w:val="145"/>
          <w:rFonts w:hint="eastAsia" w:ascii="宋体" w:hAnsi="宋体"/>
          <w:sz w:val="21"/>
          <w:szCs w:val="21"/>
        </w:rPr>
        <w:t>一、项目</w:t>
      </w:r>
      <w:r>
        <w:rPr>
          <w:rStyle w:val="145"/>
          <w:rFonts w:ascii="宋体" w:hAnsi="宋体"/>
          <w:sz w:val="21"/>
          <w:szCs w:val="21"/>
        </w:rPr>
        <w:t>概况</w:t>
      </w:r>
      <w:bookmarkEnd w:id="86"/>
      <w:bookmarkEnd w:id="87"/>
      <w:bookmarkEnd w:id="88"/>
    </w:p>
    <w:p>
      <w:pPr>
        <w:adjustRightInd w:val="0"/>
        <w:snapToGrid w:val="0"/>
        <w:spacing w:line="480" w:lineRule="exact"/>
        <w:ind w:firstLine="420" w:firstLineChars="200"/>
        <w:rPr>
          <w:rFonts w:ascii="宋体" w:hAnsi="宋体"/>
          <w:szCs w:val="21"/>
        </w:rPr>
      </w:pPr>
      <w:r>
        <w:rPr>
          <w:rFonts w:hint="eastAsia" w:ascii="宋体" w:hAnsi="宋体"/>
          <w:szCs w:val="21"/>
        </w:rPr>
        <w:t>1.项目名称：</w:t>
      </w:r>
      <w:r>
        <w:rPr>
          <w:rFonts w:hint="eastAsia" w:ascii="宋体" w:hAnsi="宋体"/>
          <w:kern w:val="0"/>
          <w:szCs w:val="21"/>
          <w:u w:val="single"/>
        </w:rPr>
        <w:t>大丰区城镇污水处理设施提标改造工程二期</w:t>
      </w:r>
      <w:r>
        <w:rPr>
          <w:rFonts w:hint="eastAsia" w:ascii="宋体" w:hAnsi="宋体"/>
          <w:kern w:val="0"/>
          <w:szCs w:val="21"/>
          <w:u w:val="single"/>
          <w:lang w:eastAsia="zh-CN"/>
        </w:rPr>
        <w:t>1标段</w:t>
      </w:r>
      <w:r>
        <w:rPr>
          <w:rFonts w:hint="eastAsia" w:ascii="宋体" w:hAnsi="宋体"/>
          <w:kern w:val="0"/>
          <w:szCs w:val="21"/>
          <w:u w:val="single"/>
        </w:rPr>
        <w:t>施工阶段全过程造价咨询服务</w:t>
      </w:r>
      <w:r>
        <w:rPr>
          <w:rFonts w:hint="eastAsia" w:ascii="宋体" w:hAnsi="宋体"/>
          <w:szCs w:val="21"/>
        </w:rPr>
        <w:t>。</w:t>
      </w:r>
    </w:p>
    <w:p>
      <w:pPr>
        <w:adjustRightInd w:val="0"/>
        <w:snapToGrid w:val="0"/>
        <w:spacing w:line="480" w:lineRule="exact"/>
        <w:ind w:firstLine="420" w:firstLineChars="200"/>
        <w:rPr>
          <w:rFonts w:ascii="宋体" w:hAnsi="宋体"/>
          <w:szCs w:val="21"/>
        </w:rPr>
      </w:pPr>
      <w:r>
        <w:rPr>
          <w:rFonts w:hint="eastAsia" w:ascii="宋体" w:hAnsi="宋体"/>
          <w:szCs w:val="21"/>
        </w:rPr>
        <w:t>2.工程地点：</w:t>
      </w:r>
      <w:bookmarkEnd w:id="89"/>
      <w:r>
        <w:rPr>
          <w:rFonts w:hint="eastAsia" w:ascii="宋体" w:hAnsi="宋体"/>
          <w:kern w:val="0"/>
          <w:szCs w:val="21"/>
          <w:u w:val="single"/>
          <w:lang w:eastAsia="zh-CN"/>
        </w:rPr>
        <w:t>西团镇、刘庄镇、白驹镇、草堰镇、小海镇</w:t>
      </w:r>
      <w:r>
        <w:rPr>
          <w:rFonts w:hint="eastAsia" w:ascii="宋体" w:hAnsi="宋体"/>
          <w:szCs w:val="21"/>
        </w:rPr>
        <w:t>。</w:t>
      </w:r>
    </w:p>
    <w:p>
      <w:pPr>
        <w:pStyle w:val="177"/>
        <w:adjustRightInd w:val="0"/>
        <w:snapToGrid w:val="0"/>
        <w:spacing w:before="0" w:beforeAutospacing="0" w:after="0" w:afterAutospacing="0" w:line="480" w:lineRule="exact"/>
        <w:ind w:firstLine="420" w:firstLineChars="200"/>
        <w:rPr>
          <w:kern w:val="2"/>
          <w:sz w:val="21"/>
        </w:rPr>
      </w:pPr>
      <w:r>
        <w:rPr>
          <w:rFonts w:hint="eastAsia"/>
          <w:kern w:val="2"/>
          <w:sz w:val="21"/>
        </w:rPr>
        <w:t>3.</w:t>
      </w:r>
      <w:r>
        <w:rPr>
          <w:rFonts w:hint="eastAsia"/>
          <w:sz w:val="21"/>
        </w:rPr>
        <w:t>建设规模及内容：</w:t>
      </w:r>
    </w:p>
    <w:p>
      <w:pPr>
        <w:pStyle w:val="177"/>
        <w:adjustRightInd w:val="0"/>
        <w:snapToGrid w:val="0"/>
        <w:spacing w:before="0" w:beforeAutospacing="0" w:after="0" w:afterAutospacing="0" w:line="480" w:lineRule="exact"/>
        <w:ind w:firstLine="420" w:firstLineChars="200"/>
        <w:rPr>
          <w:kern w:val="2"/>
          <w:sz w:val="21"/>
        </w:rPr>
      </w:pPr>
      <w:r>
        <w:rPr>
          <w:rFonts w:hint="eastAsia"/>
          <w:kern w:val="2"/>
          <w:sz w:val="21"/>
        </w:rPr>
        <w:t>4.施工合同估算价：</w:t>
      </w:r>
      <w:r>
        <w:rPr>
          <w:rFonts w:hint="eastAsia"/>
          <w:kern w:val="2"/>
          <w:sz w:val="21"/>
          <w:u w:val="single"/>
        </w:rPr>
        <w:t>约20000万元</w:t>
      </w:r>
      <w:r>
        <w:rPr>
          <w:rFonts w:hint="eastAsia"/>
          <w:kern w:val="2"/>
          <w:sz w:val="21"/>
        </w:rPr>
        <w:t>。</w:t>
      </w:r>
    </w:p>
    <w:p>
      <w:pPr>
        <w:pStyle w:val="177"/>
        <w:adjustRightInd w:val="0"/>
        <w:snapToGrid w:val="0"/>
        <w:spacing w:before="0" w:beforeAutospacing="0" w:after="0" w:afterAutospacing="0" w:line="480" w:lineRule="exact"/>
        <w:ind w:firstLine="420" w:firstLineChars="200"/>
        <w:rPr>
          <w:kern w:val="2"/>
          <w:sz w:val="21"/>
        </w:rPr>
      </w:pPr>
      <w:r>
        <w:rPr>
          <w:rFonts w:hint="eastAsia"/>
          <w:kern w:val="2"/>
          <w:sz w:val="21"/>
        </w:rPr>
        <w:t>5.资金来源：</w:t>
      </w:r>
      <w:r>
        <w:rPr>
          <w:rFonts w:hint="eastAsia"/>
          <w:kern w:val="2"/>
          <w:sz w:val="21"/>
          <w:u w:val="single"/>
        </w:rPr>
        <w:t>自筹资金</w:t>
      </w:r>
      <w:r>
        <w:rPr>
          <w:rFonts w:hint="eastAsia"/>
          <w:kern w:val="2"/>
          <w:sz w:val="21"/>
        </w:rPr>
        <w:t>。</w:t>
      </w:r>
    </w:p>
    <w:bookmarkEnd w:id="85"/>
    <w:p>
      <w:pPr>
        <w:adjustRightInd w:val="0"/>
        <w:snapToGrid w:val="0"/>
        <w:spacing w:line="480" w:lineRule="exact"/>
        <w:ind w:firstLine="422" w:firstLineChars="200"/>
        <w:rPr>
          <w:rStyle w:val="145"/>
          <w:rFonts w:ascii="宋体" w:hAnsi="宋体"/>
          <w:sz w:val="21"/>
          <w:szCs w:val="21"/>
        </w:rPr>
      </w:pPr>
      <w:bookmarkStart w:id="90" w:name="_Toc468905458"/>
      <w:bookmarkStart w:id="91" w:name="_Toc464395391"/>
      <w:bookmarkStart w:id="92" w:name="_Toc464396168"/>
      <w:bookmarkStart w:id="93" w:name="_Toc419045059"/>
      <w:r>
        <w:rPr>
          <w:rStyle w:val="145"/>
          <w:rFonts w:hint="eastAsia" w:ascii="宋体" w:hAnsi="宋体"/>
          <w:sz w:val="21"/>
          <w:szCs w:val="21"/>
        </w:rPr>
        <w:t>二、服务范围及工作内容</w:t>
      </w:r>
      <w:bookmarkEnd w:id="90"/>
      <w:bookmarkEnd w:id="91"/>
      <w:bookmarkEnd w:id="92"/>
      <w:bookmarkEnd w:id="93"/>
    </w:p>
    <w:p>
      <w:pPr>
        <w:adjustRightInd w:val="0"/>
        <w:snapToGrid w:val="0"/>
        <w:spacing w:line="480" w:lineRule="exact"/>
        <w:ind w:firstLine="420" w:firstLineChars="200"/>
        <w:rPr>
          <w:rFonts w:ascii="宋体" w:hAnsi="宋体"/>
          <w:kern w:val="0"/>
          <w:szCs w:val="21"/>
          <w:u w:val="single"/>
        </w:rPr>
      </w:pPr>
      <w:r>
        <w:rPr>
          <w:rFonts w:hint="eastAsia" w:ascii="宋体" w:hAnsi="宋体"/>
          <w:szCs w:val="21"/>
        </w:rPr>
        <w:t>双方约定的服务范围及工作内容</w:t>
      </w:r>
      <w:r>
        <w:rPr>
          <w:rFonts w:hint="eastAsia" w:ascii="宋体" w:hAnsi="宋体"/>
          <w:kern w:val="0"/>
          <w:szCs w:val="21"/>
          <w:u w:val="single"/>
        </w:rPr>
        <w:t>大丰区城镇污水处理设施提标改造工程二期</w:t>
      </w:r>
      <w:r>
        <w:rPr>
          <w:rFonts w:hint="eastAsia" w:ascii="宋体" w:hAnsi="宋体"/>
          <w:kern w:val="0"/>
          <w:szCs w:val="21"/>
          <w:u w:val="single"/>
          <w:lang w:eastAsia="zh-CN"/>
        </w:rPr>
        <w:t>1标段</w:t>
      </w:r>
      <w:r>
        <w:rPr>
          <w:rFonts w:hint="eastAsia" w:ascii="宋体" w:hAnsi="宋体"/>
          <w:kern w:val="0"/>
          <w:szCs w:val="21"/>
          <w:u w:val="single"/>
        </w:rPr>
        <w:t>施工阶段全过程造价咨询服务及工程竣工结算服务，并按招标人要求提供完整的咨询报告，配合招标人委托的二审单位部门对本项目的最终审计。</w:t>
      </w:r>
    </w:p>
    <w:p>
      <w:pPr>
        <w:adjustRightInd w:val="0"/>
        <w:snapToGrid w:val="0"/>
        <w:spacing w:line="480" w:lineRule="exact"/>
        <w:ind w:firstLine="422" w:firstLineChars="200"/>
        <w:rPr>
          <w:rStyle w:val="145"/>
          <w:rFonts w:ascii="宋体" w:hAnsi="宋体"/>
          <w:sz w:val="21"/>
          <w:szCs w:val="21"/>
        </w:rPr>
      </w:pPr>
      <w:bookmarkStart w:id="94" w:name="_Toc419045060"/>
      <w:bookmarkStart w:id="95" w:name="_Toc464396169"/>
      <w:bookmarkStart w:id="96" w:name="_Toc468905459"/>
      <w:bookmarkStart w:id="97" w:name="_Toc464395392"/>
      <w:bookmarkStart w:id="98" w:name="9"/>
      <w:r>
        <w:rPr>
          <w:rStyle w:val="145"/>
          <w:rFonts w:hint="eastAsia" w:ascii="宋体" w:hAnsi="宋体"/>
          <w:sz w:val="21"/>
          <w:szCs w:val="21"/>
        </w:rPr>
        <w:t>三、服务期限</w:t>
      </w:r>
      <w:bookmarkEnd w:id="94"/>
      <w:bookmarkEnd w:id="95"/>
      <w:bookmarkEnd w:id="96"/>
      <w:bookmarkEnd w:id="97"/>
    </w:p>
    <w:p>
      <w:pPr>
        <w:adjustRightInd w:val="0"/>
        <w:snapToGrid w:val="0"/>
        <w:spacing w:line="480" w:lineRule="exact"/>
        <w:ind w:firstLine="420" w:firstLineChars="200"/>
      </w:pPr>
      <w:r>
        <w:t>本合同</w:t>
      </w:r>
      <w:r>
        <w:rPr>
          <w:rFonts w:hint="eastAsia"/>
        </w:rPr>
        <w:t>约定</w:t>
      </w:r>
      <w:r>
        <w:t>的建设工程</w:t>
      </w:r>
      <w:r>
        <w:rPr>
          <w:rFonts w:hint="eastAsia"/>
        </w:rPr>
        <w:t>施工阶段全过程造价服务周期</w:t>
      </w:r>
      <w:bookmarkEnd w:id="98"/>
      <w:r>
        <w:rPr>
          <w:rFonts w:hint="eastAsia"/>
        </w:rPr>
        <w:t>：</w:t>
      </w:r>
    </w:p>
    <w:p>
      <w:pPr>
        <w:adjustRightInd w:val="0"/>
        <w:snapToGrid w:val="0"/>
        <w:spacing w:line="480" w:lineRule="exact"/>
        <w:ind w:firstLine="420" w:firstLineChars="200"/>
        <w:rPr>
          <w:rFonts w:cs="Arial"/>
          <w:u w:val="single"/>
        </w:rPr>
      </w:pPr>
      <w:r>
        <w:rPr>
          <w:rFonts w:hint="eastAsia" w:cs="Arial"/>
          <w:u w:val="single"/>
        </w:rPr>
        <w:t>a.进场时间：合同签订后5 个工作日内；</w:t>
      </w:r>
    </w:p>
    <w:p>
      <w:pPr>
        <w:adjustRightInd w:val="0"/>
        <w:snapToGrid w:val="0"/>
        <w:spacing w:line="480" w:lineRule="exact"/>
        <w:ind w:firstLine="420" w:firstLineChars="200"/>
        <w:rPr>
          <w:rFonts w:cs="Arial"/>
          <w:u w:val="single"/>
        </w:rPr>
      </w:pPr>
      <w:r>
        <w:rPr>
          <w:rFonts w:hint="eastAsia" w:cs="Arial"/>
          <w:u w:val="single"/>
        </w:rPr>
        <w:t>b.施工阶段服务结束时间：自施工单位进场之日起至工程结算审计结束，在服务期间定期编制跟踪审计月度、季度、半年度情况报告，最终按招标人要求提交完整的造价咨询报告（造价咨询意见书）。</w:t>
      </w:r>
    </w:p>
    <w:p>
      <w:pPr>
        <w:adjustRightInd w:val="0"/>
        <w:snapToGrid w:val="0"/>
        <w:spacing w:line="480" w:lineRule="exact"/>
        <w:ind w:firstLine="420" w:firstLineChars="200"/>
        <w:rPr>
          <w:rFonts w:hint="eastAsia" w:cs="Arial"/>
          <w:u w:val="single"/>
        </w:rPr>
      </w:pPr>
      <w:r>
        <w:rPr>
          <w:rFonts w:hint="eastAsia" w:cs="Arial"/>
          <w:u w:val="single"/>
        </w:rPr>
        <w:t>c.工程竣工结算审核：施工单位提交竣工结算资料后一个月内。</w:t>
      </w:r>
      <w:bookmarkStart w:id="99" w:name="_Toc419045061"/>
      <w:bookmarkStart w:id="100" w:name="_Toc464395393"/>
      <w:bookmarkStart w:id="101" w:name="_Toc468905460"/>
      <w:bookmarkStart w:id="102" w:name="_Toc464396170"/>
    </w:p>
    <w:p>
      <w:pPr>
        <w:adjustRightInd w:val="0"/>
        <w:snapToGrid w:val="0"/>
        <w:spacing w:line="480" w:lineRule="exact"/>
        <w:ind w:firstLine="422" w:firstLineChars="200"/>
        <w:rPr>
          <w:rStyle w:val="145"/>
          <w:rFonts w:ascii="Times New Roman" w:hAnsi="Times New Roman" w:cs="Arial"/>
          <w:b w:val="0"/>
          <w:bCs w:val="0"/>
          <w:sz w:val="21"/>
          <w:szCs w:val="24"/>
          <w:u w:val="single"/>
        </w:rPr>
      </w:pPr>
      <w:r>
        <w:rPr>
          <w:rStyle w:val="145"/>
          <w:rFonts w:hint="eastAsia" w:ascii="宋体" w:hAnsi="宋体"/>
          <w:sz w:val="21"/>
          <w:szCs w:val="21"/>
        </w:rPr>
        <w:t>四、质量标准</w:t>
      </w:r>
      <w:bookmarkEnd w:id="99"/>
      <w:bookmarkEnd w:id="100"/>
      <w:bookmarkEnd w:id="101"/>
      <w:bookmarkEnd w:id="102"/>
    </w:p>
    <w:p>
      <w:pPr>
        <w:adjustRightInd w:val="0"/>
        <w:snapToGrid w:val="0"/>
        <w:spacing w:line="480" w:lineRule="exact"/>
        <w:ind w:firstLine="420" w:firstLineChars="200"/>
        <w:rPr>
          <w:rFonts w:ascii="宋体" w:hAnsi="宋体"/>
          <w:szCs w:val="21"/>
        </w:rPr>
      </w:pPr>
      <w:r>
        <w:rPr>
          <w:rFonts w:hint="eastAsia" w:ascii="宋体" w:hAnsi="宋体"/>
          <w:szCs w:val="21"/>
        </w:rPr>
        <w:t>工程造价咨询成果文件应符合：</w:t>
      </w:r>
    </w:p>
    <w:p>
      <w:pPr>
        <w:adjustRightInd w:val="0"/>
        <w:snapToGrid w:val="0"/>
        <w:spacing w:line="480" w:lineRule="exact"/>
        <w:ind w:firstLine="420" w:firstLineChars="200"/>
        <w:rPr>
          <w:rFonts w:ascii="宋体" w:hAnsi="宋体"/>
          <w:szCs w:val="21"/>
        </w:rPr>
      </w:pPr>
      <w:r>
        <w:rPr>
          <w:rFonts w:hint="eastAsia" w:ascii="宋体" w:hAnsi="宋体"/>
          <w:szCs w:val="21"/>
          <w:u w:val="single"/>
        </w:rPr>
        <w:t>国家、省、市及行业现行有关规定、标准、规范的要求</w:t>
      </w:r>
      <w:r>
        <w:rPr>
          <w:rFonts w:hint="eastAsia" w:ascii="宋体" w:hAnsi="宋体"/>
          <w:szCs w:val="21"/>
        </w:rPr>
        <w:t>_。</w:t>
      </w:r>
    </w:p>
    <w:p>
      <w:pPr>
        <w:adjustRightInd w:val="0"/>
        <w:snapToGrid w:val="0"/>
        <w:spacing w:line="480" w:lineRule="exact"/>
        <w:ind w:firstLine="422" w:firstLineChars="200"/>
        <w:rPr>
          <w:rStyle w:val="145"/>
          <w:rFonts w:ascii="宋体" w:hAnsi="宋体"/>
          <w:sz w:val="21"/>
          <w:szCs w:val="21"/>
        </w:rPr>
      </w:pPr>
      <w:bookmarkStart w:id="103" w:name="_Toc468905461"/>
      <w:bookmarkStart w:id="104" w:name="_Toc419045062"/>
      <w:bookmarkStart w:id="105" w:name="_Toc464395394"/>
      <w:bookmarkStart w:id="106" w:name="_Toc464396171"/>
      <w:bookmarkStart w:id="107" w:name="12"/>
      <w:r>
        <w:rPr>
          <w:rStyle w:val="145"/>
          <w:rFonts w:hint="eastAsia" w:ascii="宋体" w:hAnsi="宋体"/>
          <w:sz w:val="21"/>
          <w:szCs w:val="21"/>
        </w:rPr>
        <w:t>五、酬金或计取方式</w:t>
      </w:r>
      <w:bookmarkEnd w:id="103"/>
      <w:bookmarkEnd w:id="104"/>
      <w:bookmarkEnd w:id="105"/>
      <w:bookmarkEnd w:id="106"/>
    </w:p>
    <w:p>
      <w:pPr>
        <w:adjustRightInd w:val="0"/>
        <w:snapToGrid w:val="0"/>
        <w:spacing w:line="480" w:lineRule="exact"/>
        <w:ind w:firstLine="420" w:firstLineChars="200"/>
        <w:rPr>
          <w:rFonts w:ascii="宋体" w:hAnsi="宋体"/>
          <w:szCs w:val="21"/>
          <w:u w:val="single"/>
        </w:rPr>
      </w:pPr>
      <w:r>
        <w:rPr>
          <w:rFonts w:hint="eastAsia" w:ascii="宋体" w:hAnsi="宋体"/>
          <w:szCs w:val="21"/>
        </w:rPr>
        <w:t>酬金</w:t>
      </w:r>
      <w:r>
        <w:rPr>
          <w:rFonts w:ascii="宋体" w:hAnsi="宋体"/>
          <w:szCs w:val="21"/>
        </w:rPr>
        <w:t>计取方式</w:t>
      </w:r>
      <w:r>
        <w:rPr>
          <w:rFonts w:hint="eastAsia" w:ascii="宋体" w:hAnsi="宋体"/>
          <w:szCs w:val="21"/>
        </w:rPr>
        <w:t>：</w:t>
      </w:r>
      <w:r>
        <w:rPr>
          <w:rFonts w:hint="eastAsia" w:ascii="宋体" w:hAnsi="宋体" w:cs="宋体"/>
          <w:szCs w:val="21"/>
          <w:u w:val="single"/>
        </w:rPr>
        <w:t>施工阶段全过程造价咨询费</w:t>
      </w:r>
      <w:r>
        <w:rPr>
          <w:rFonts w:hint="eastAsia" w:ascii="宋体" w:hAnsi="宋体"/>
          <w:szCs w:val="21"/>
          <w:u w:val="single"/>
        </w:rPr>
        <w:t>按苏价服【</w:t>
      </w:r>
      <w:r>
        <w:rPr>
          <w:rFonts w:ascii="宋体" w:hAnsi="宋体"/>
          <w:szCs w:val="21"/>
          <w:u w:val="single"/>
        </w:rPr>
        <w:t>2014】383号文件标准</w:t>
      </w:r>
      <w:r>
        <w:rPr>
          <w:rFonts w:hint="eastAsia" w:ascii="宋体" w:hAnsi="宋体"/>
          <w:szCs w:val="21"/>
          <w:u w:val="single"/>
        </w:rPr>
        <w:t>（仅计取基本费和驻场收费）</w:t>
      </w:r>
      <w:r>
        <w:rPr>
          <w:rFonts w:ascii="宋体" w:hAnsi="宋体"/>
          <w:szCs w:val="21"/>
          <w:u w:val="single"/>
        </w:rPr>
        <w:t>的</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计取；</w:t>
      </w:r>
      <w:r>
        <w:rPr>
          <w:rFonts w:hint="eastAsia" w:ascii="宋体" w:hAnsi="宋体" w:cs="宋体"/>
          <w:szCs w:val="21"/>
        </w:rPr>
        <w:t>施工阶段全过程造价咨询费计算基数按最终审定价计算。</w:t>
      </w:r>
    </w:p>
    <w:p>
      <w:pPr>
        <w:adjustRightInd w:val="0"/>
        <w:snapToGrid w:val="0"/>
        <w:spacing w:line="480" w:lineRule="exact"/>
        <w:ind w:firstLine="420" w:firstLineChars="200"/>
        <w:rPr>
          <w:rFonts w:cs="宋体"/>
          <w:kern w:val="0"/>
          <w:szCs w:val="21"/>
        </w:rPr>
      </w:pPr>
      <w:r>
        <w:rPr>
          <w:rFonts w:hint="eastAsia" w:cs="宋体"/>
          <w:kern w:val="0"/>
          <w:szCs w:val="21"/>
          <w:u w:val="single"/>
        </w:rPr>
        <w:t>竣工结算阶段工程结算审核咨询费仅计取效益收费，按核减额的    %计取</w:t>
      </w:r>
      <w:r>
        <w:rPr>
          <w:rFonts w:hint="eastAsia" w:cs="宋体"/>
          <w:kern w:val="0"/>
          <w:szCs w:val="21"/>
        </w:rPr>
        <w:t>。</w:t>
      </w:r>
    </w:p>
    <w:p>
      <w:pPr>
        <w:adjustRightInd w:val="0"/>
        <w:snapToGrid w:val="0"/>
        <w:spacing w:line="480" w:lineRule="exact"/>
        <w:ind w:firstLine="420" w:firstLineChars="200"/>
        <w:rPr>
          <w:rFonts w:cs="宋体"/>
          <w:color w:val="000000"/>
          <w:kern w:val="0"/>
          <w:szCs w:val="21"/>
        </w:rPr>
      </w:pPr>
      <w:r>
        <w:rPr>
          <w:rFonts w:hint="eastAsia" w:ascii="宋体" w:hAnsi="宋体"/>
          <w:bCs/>
          <w:smallCaps/>
          <w:szCs w:val="21"/>
        </w:rPr>
        <w:t>详见附录A。</w:t>
      </w:r>
    </w:p>
    <w:p>
      <w:pPr>
        <w:adjustRightInd w:val="0"/>
        <w:snapToGrid w:val="0"/>
        <w:spacing w:line="480" w:lineRule="exact"/>
        <w:ind w:firstLine="422" w:firstLineChars="200"/>
        <w:rPr>
          <w:rStyle w:val="145"/>
          <w:rFonts w:ascii="宋体" w:hAnsi="宋体"/>
          <w:sz w:val="21"/>
          <w:szCs w:val="21"/>
        </w:rPr>
      </w:pPr>
      <w:bookmarkStart w:id="108" w:name="_Toc464395395"/>
      <w:bookmarkStart w:id="109" w:name="_Toc464396172"/>
      <w:bookmarkStart w:id="110" w:name="_Toc468905462"/>
      <w:bookmarkStart w:id="111" w:name="_Toc419045058"/>
      <w:r>
        <w:rPr>
          <w:rStyle w:val="145"/>
          <w:rFonts w:hint="eastAsia" w:ascii="宋体" w:hAnsi="宋体"/>
          <w:sz w:val="21"/>
          <w:szCs w:val="21"/>
        </w:rPr>
        <w:t>六、合同文件的构成</w:t>
      </w:r>
      <w:bookmarkEnd w:id="108"/>
      <w:bookmarkEnd w:id="109"/>
      <w:bookmarkEnd w:id="110"/>
      <w:bookmarkEnd w:id="111"/>
    </w:p>
    <w:p>
      <w:pPr>
        <w:pStyle w:val="177"/>
        <w:adjustRightInd w:val="0"/>
        <w:snapToGrid w:val="0"/>
        <w:spacing w:before="0" w:beforeAutospacing="0" w:after="0" w:afterAutospacing="0" w:line="480" w:lineRule="exact"/>
        <w:ind w:firstLine="420" w:firstLineChars="200"/>
        <w:rPr>
          <w:sz w:val="21"/>
        </w:rPr>
      </w:pPr>
      <w:r>
        <w:rPr>
          <w:rFonts w:hint="eastAsia"/>
          <w:sz w:val="21"/>
        </w:rPr>
        <w:t>本协议书与下列文件一起构成合同文件:</w:t>
      </w:r>
    </w:p>
    <w:p>
      <w:pPr>
        <w:pStyle w:val="177"/>
        <w:adjustRightInd w:val="0"/>
        <w:snapToGrid w:val="0"/>
        <w:spacing w:before="0" w:beforeAutospacing="0" w:after="0" w:afterAutospacing="0" w:line="480" w:lineRule="exact"/>
        <w:ind w:firstLine="420" w:firstLineChars="200"/>
        <w:rPr>
          <w:sz w:val="21"/>
        </w:rPr>
      </w:pPr>
      <w:r>
        <w:rPr>
          <w:rFonts w:hint="eastAsia"/>
          <w:sz w:val="21"/>
        </w:rPr>
        <w:t>1.中标通知书或委托书；</w:t>
      </w:r>
    </w:p>
    <w:p>
      <w:pPr>
        <w:pStyle w:val="177"/>
        <w:adjustRightInd w:val="0"/>
        <w:snapToGrid w:val="0"/>
        <w:spacing w:before="0" w:beforeAutospacing="0" w:after="0" w:afterAutospacing="0" w:line="480" w:lineRule="exact"/>
        <w:ind w:firstLine="420" w:firstLineChars="200"/>
        <w:rPr>
          <w:sz w:val="21"/>
        </w:rPr>
      </w:pPr>
      <w:r>
        <w:rPr>
          <w:rFonts w:hint="eastAsia"/>
          <w:sz w:val="21"/>
        </w:rPr>
        <w:t>2.投标函及投标函附录或造价咨询服务建议书；</w:t>
      </w:r>
    </w:p>
    <w:p>
      <w:pPr>
        <w:pStyle w:val="177"/>
        <w:adjustRightInd w:val="0"/>
        <w:snapToGrid w:val="0"/>
        <w:spacing w:before="0" w:beforeAutospacing="0" w:after="0" w:afterAutospacing="0" w:line="480" w:lineRule="exact"/>
        <w:ind w:firstLine="420" w:firstLineChars="200"/>
        <w:rPr>
          <w:sz w:val="21"/>
        </w:rPr>
      </w:pPr>
      <w:r>
        <w:rPr>
          <w:rFonts w:hint="eastAsia"/>
          <w:sz w:val="21"/>
        </w:rPr>
        <w:t>3.专用条件及附录；</w:t>
      </w:r>
    </w:p>
    <w:p>
      <w:pPr>
        <w:pStyle w:val="177"/>
        <w:adjustRightInd w:val="0"/>
        <w:snapToGrid w:val="0"/>
        <w:spacing w:before="0" w:beforeAutospacing="0" w:after="0" w:afterAutospacing="0" w:line="480" w:lineRule="exact"/>
        <w:ind w:firstLine="420" w:firstLineChars="200"/>
        <w:rPr>
          <w:sz w:val="21"/>
        </w:rPr>
      </w:pPr>
      <w:r>
        <w:rPr>
          <w:rFonts w:hint="eastAsia"/>
          <w:sz w:val="21"/>
        </w:rPr>
        <w:t>4.通用条件；</w:t>
      </w:r>
    </w:p>
    <w:p>
      <w:pPr>
        <w:pStyle w:val="177"/>
        <w:adjustRightInd w:val="0"/>
        <w:snapToGrid w:val="0"/>
        <w:spacing w:before="0" w:beforeAutospacing="0" w:after="0" w:afterAutospacing="0" w:line="480" w:lineRule="exact"/>
        <w:ind w:firstLine="420" w:firstLineChars="200"/>
        <w:rPr>
          <w:sz w:val="21"/>
        </w:rPr>
      </w:pPr>
      <w:r>
        <w:rPr>
          <w:rFonts w:hint="eastAsia"/>
          <w:sz w:val="21"/>
        </w:rPr>
        <w:t>5.其他合同文件。</w:t>
      </w:r>
    </w:p>
    <w:p>
      <w:pPr>
        <w:pStyle w:val="177"/>
        <w:adjustRightInd w:val="0"/>
        <w:snapToGrid w:val="0"/>
        <w:spacing w:before="0" w:beforeAutospacing="0" w:after="0" w:afterAutospacing="0" w:line="480" w:lineRule="exact"/>
        <w:ind w:firstLine="420" w:firstLineChars="200"/>
        <w:rPr>
          <w:sz w:val="21"/>
        </w:rPr>
      </w:pPr>
      <w:r>
        <w:rPr>
          <w:sz w:val="21"/>
        </w:rPr>
        <w:t>上述各项合同文件包括合同当事人就该项合同文件所作出的补充和修改</w:t>
      </w:r>
      <w:r>
        <w:rPr>
          <w:rFonts w:hint="eastAsia"/>
          <w:sz w:val="21"/>
        </w:rPr>
        <w:t>，</w:t>
      </w:r>
      <w:r>
        <w:rPr>
          <w:sz w:val="21"/>
        </w:rPr>
        <w:t>属于同一类内容的文件，应以最新签署的为准。</w:t>
      </w:r>
    </w:p>
    <w:p>
      <w:pPr>
        <w:pStyle w:val="177"/>
        <w:adjustRightInd w:val="0"/>
        <w:snapToGrid w:val="0"/>
        <w:spacing w:before="0" w:beforeAutospacing="0" w:after="0" w:afterAutospacing="0" w:line="480" w:lineRule="exact"/>
        <w:ind w:firstLine="420" w:firstLineChars="200"/>
        <w:rPr>
          <w:sz w:val="21"/>
        </w:rPr>
      </w:pPr>
      <w:r>
        <w:rPr>
          <w:rFonts w:hint="eastAsia"/>
          <w:sz w:val="21"/>
        </w:rPr>
        <w:t>在合同订立及履行过程中形成的与合同有关的文件（包括补充协议）均构成合同文件的组成部分。</w:t>
      </w:r>
    </w:p>
    <w:p>
      <w:pPr>
        <w:pStyle w:val="38"/>
        <w:snapToGrid w:val="0"/>
        <w:spacing w:before="0" w:after="0" w:line="480" w:lineRule="exact"/>
        <w:ind w:firstLine="420" w:firstLineChars="200"/>
        <w:jc w:val="left"/>
        <w:rPr>
          <w:rStyle w:val="145"/>
          <w:rFonts w:ascii="宋体" w:hAnsi="宋体"/>
          <w:b w:val="0"/>
          <w:sz w:val="21"/>
          <w:szCs w:val="21"/>
        </w:rPr>
      </w:pPr>
      <w:bookmarkStart w:id="112" w:name="_Toc419045057"/>
      <w:bookmarkStart w:id="113" w:name="_Toc468905463"/>
      <w:bookmarkStart w:id="114" w:name="_Toc464396173"/>
      <w:bookmarkStart w:id="115" w:name="_Toc464395396"/>
      <w:r>
        <w:rPr>
          <w:rStyle w:val="145"/>
          <w:rFonts w:hint="eastAsia" w:ascii="宋体" w:hAnsi="宋体"/>
          <w:b w:val="0"/>
          <w:sz w:val="21"/>
          <w:szCs w:val="21"/>
        </w:rPr>
        <w:t>七、</w:t>
      </w:r>
      <w:bookmarkStart w:id="116" w:name="8"/>
      <w:r>
        <w:rPr>
          <w:rStyle w:val="145"/>
          <w:rFonts w:hint="eastAsia" w:ascii="宋体" w:hAnsi="宋体"/>
          <w:b w:val="0"/>
          <w:sz w:val="21"/>
          <w:szCs w:val="21"/>
        </w:rPr>
        <w:t>词语</w:t>
      </w:r>
      <w:bookmarkEnd w:id="112"/>
      <w:r>
        <w:rPr>
          <w:rStyle w:val="145"/>
          <w:rFonts w:hint="eastAsia" w:ascii="宋体" w:hAnsi="宋体"/>
          <w:b w:val="0"/>
          <w:sz w:val="21"/>
          <w:szCs w:val="21"/>
        </w:rPr>
        <w:t>定义</w:t>
      </w:r>
      <w:bookmarkEnd w:id="113"/>
      <w:bookmarkEnd w:id="114"/>
      <w:bookmarkEnd w:id="115"/>
    </w:p>
    <w:p>
      <w:pPr>
        <w:adjustRightInd w:val="0"/>
        <w:snapToGrid w:val="0"/>
        <w:spacing w:line="480" w:lineRule="exact"/>
        <w:ind w:firstLine="420" w:firstLineChars="200"/>
        <w:rPr>
          <w:rFonts w:ascii="宋体" w:hAnsi="宋体"/>
          <w:szCs w:val="21"/>
        </w:rPr>
      </w:pPr>
      <w:r>
        <w:rPr>
          <w:rFonts w:hint="eastAsia" w:ascii="宋体" w:hAnsi="宋体"/>
          <w:szCs w:val="21"/>
        </w:rPr>
        <w:t>协议书中相关词语的含义与通用条件中的定义与解释相同。</w:t>
      </w:r>
      <w:bookmarkEnd w:id="116"/>
    </w:p>
    <w:p>
      <w:pPr>
        <w:pStyle w:val="38"/>
        <w:snapToGrid w:val="0"/>
        <w:spacing w:before="0" w:after="0" w:line="480" w:lineRule="exact"/>
        <w:ind w:firstLine="420" w:firstLineChars="200"/>
        <w:jc w:val="left"/>
        <w:rPr>
          <w:rStyle w:val="145"/>
          <w:rFonts w:ascii="宋体" w:hAnsi="宋体"/>
          <w:b w:val="0"/>
          <w:sz w:val="21"/>
          <w:szCs w:val="21"/>
        </w:rPr>
      </w:pPr>
      <w:bookmarkStart w:id="117" w:name="_Toc468905464"/>
      <w:bookmarkStart w:id="118" w:name="_Toc419045063"/>
      <w:bookmarkStart w:id="119" w:name="_Toc464395397"/>
      <w:bookmarkStart w:id="120" w:name="_Toc464396174"/>
      <w:r>
        <w:rPr>
          <w:rStyle w:val="145"/>
          <w:rFonts w:hint="eastAsia" w:ascii="宋体" w:hAnsi="宋体"/>
          <w:b w:val="0"/>
          <w:sz w:val="21"/>
          <w:szCs w:val="21"/>
        </w:rPr>
        <w:t>八、合同订立</w:t>
      </w:r>
      <w:bookmarkEnd w:id="117"/>
      <w:bookmarkEnd w:id="118"/>
      <w:bookmarkEnd w:id="119"/>
      <w:bookmarkEnd w:id="120"/>
    </w:p>
    <w:p>
      <w:pPr>
        <w:pStyle w:val="177"/>
        <w:adjustRightInd w:val="0"/>
        <w:snapToGrid w:val="0"/>
        <w:spacing w:before="0" w:beforeAutospacing="0" w:after="0" w:afterAutospacing="0" w:line="480" w:lineRule="exact"/>
        <w:ind w:firstLine="420" w:firstLineChars="200"/>
        <w:rPr>
          <w:sz w:val="21"/>
        </w:rPr>
      </w:pPr>
      <w:r>
        <w:rPr>
          <w:rFonts w:hint="eastAsia"/>
          <w:sz w:val="21"/>
        </w:rPr>
        <w:t>1.订立时间：</w:t>
      </w: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p>
      <w:pPr>
        <w:pStyle w:val="177"/>
        <w:adjustRightInd w:val="0"/>
        <w:snapToGrid w:val="0"/>
        <w:spacing w:before="0" w:beforeAutospacing="0" w:after="0" w:afterAutospacing="0" w:line="480" w:lineRule="exact"/>
        <w:ind w:firstLine="420" w:firstLineChars="200"/>
        <w:rPr>
          <w:sz w:val="21"/>
        </w:rPr>
      </w:pPr>
      <w:r>
        <w:rPr>
          <w:rFonts w:hint="eastAsia"/>
          <w:sz w:val="21"/>
        </w:rPr>
        <w:t>2.订立地点：</w:t>
      </w:r>
      <w:r>
        <w:rPr>
          <w:rFonts w:hint="eastAsia"/>
          <w:sz w:val="21"/>
          <w:u w:val="single"/>
        </w:rPr>
        <w:t xml:space="preserve">               </w:t>
      </w:r>
      <w:r>
        <w:rPr>
          <w:rFonts w:hint="eastAsia"/>
          <w:sz w:val="21"/>
        </w:rPr>
        <w:t>。</w:t>
      </w:r>
    </w:p>
    <w:p>
      <w:pPr>
        <w:pStyle w:val="38"/>
        <w:snapToGrid w:val="0"/>
        <w:spacing w:before="0" w:after="0" w:line="480" w:lineRule="exact"/>
        <w:ind w:firstLine="420" w:firstLineChars="200"/>
        <w:jc w:val="left"/>
        <w:rPr>
          <w:rStyle w:val="145"/>
          <w:rFonts w:ascii="宋体" w:hAnsi="宋体"/>
          <w:b w:val="0"/>
          <w:sz w:val="21"/>
          <w:szCs w:val="21"/>
        </w:rPr>
      </w:pPr>
      <w:bookmarkStart w:id="121" w:name="_Toc419045064"/>
      <w:bookmarkStart w:id="122" w:name="_Toc464395398"/>
      <w:bookmarkStart w:id="123" w:name="_Toc468905465"/>
      <w:bookmarkStart w:id="124" w:name="_Toc464396175"/>
      <w:r>
        <w:rPr>
          <w:rStyle w:val="145"/>
          <w:rFonts w:hint="eastAsia" w:ascii="宋体" w:hAnsi="宋体"/>
          <w:b w:val="0"/>
          <w:sz w:val="21"/>
          <w:szCs w:val="21"/>
        </w:rPr>
        <w:t>九、合同生效</w:t>
      </w:r>
      <w:bookmarkEnd w:id="121"/>
      <w:bookmarkEnd w:id="122"/>
      <w:bookmarkEnd w:id="123"/>
      <w:bookmarkEnd w:id="124"/>
    </w:p>
    <w:p>
      <w:pPr>
        <w:pStyle w:val="177"/>
        <w:adjustRightInd w:val="0"/>
        <w:snapToGrid w:val="0"/>
        <w:spacing w:before="0" w:beforeAutospacing="0" w:after="0" w:afterAutospacing="0" w:line="480" w:lineRule="exact"/>
        <w:ind w:firstLine="420" w:firstLineChars="200"/>
        <w:rPr>
          <w:sz w:val="21"/>
        </w:rPr>
      </w:pPr>
      <w:r>
        <w:rPr>
          <w:rFonts w:hint="eastAsia"/>
          <w:sz w:val="21"/>
        </w:rPr>
        <w:t>本合同自</w:t>
      </w:r>
      <w:r>
        <w:rPr>
          <w:rFonts w:hint="eastAsia"/>
          <w:sz w:val="21"/>
          <w:u w:val="single"/>
        </w:rPr>
        <w:t xml:space="preserve">   双方签字、盖章后  </w:t>
      </w:r>
      <w:r>
        <w:rPr>
          <w:rFonts w:hint="eastAsia"/>
          <w:sz w:val="21"/>
        </w:rPr>
        <w:t>生效。</w:t>
      </w:r>
    </w:p>
    <w:p>
      <w:pPr>
        <w:pStyle w:val="38"/>
        <w:snapToGrid w:val="0"/>
        <w:spacing w:before="0" w:after="0" w:line="480" w:lineRule="exact"/>
        <w:ind w:firstLine="420" w:firstLineChars="200"/>
        <w:jc w:val="left"/>
        <w:rPr>
          <w:rStyle w:val="145"/>
          <w:rFonts w:ascii="宋体" w:hAnsi="宋体"/>
          <w:b w:val="0"/>
          <w:sz w:val="21"/>
          <w:szCs w:val="21"/>
        </w:rPr>
      </w:pPr>
      <w:bookmarkStart w:id="125" w:name="_Toc419045065"/>
      <w:bookmarkStart w:id="126" w:name="_Toc468905466"/>
      <w:bookmarkStart w:id="127" w:name="_Toc464395399"/>
      <w:bookmarkStart w:id="128" w:name="_Toc464396176"/>
      <w:r>
        <w:rPr>
          <w:rStyle w:val="145"/>
          <w:rFonts w:hint="eastAsia" w:ascii="宋体" w:hAnsi="宋体"/>
          <w:b w:val="0"/>
          <w:sz w:val="21"/>
          <w:szCs w:val="21"/>
        </w:rPr>
        <w:t>十、合同份数</w:t>
      </w:r>
      <w:bookmarkEnd w:id="125"/>
      <w:bookmarkEnd w:id="126"/>
      <w:bookmarkEnd w:id="127"/>
      <w:bookmarkEnd w:id="128"/>
    </w:p>
    <w:p>
      <w:pPr>
        <w:pStyle w:val="177"/>
        <w:adjustRightInd w:val="0"/>
        <w:snapToGrid w:val="0"/>
        <w:spacing w:before="0" w:beforeAutospacing="0" w:after="0" w:afterAutospacing="0" w:line="480" w:lineRule="exact"/>
        <w:ind w:firstLine="420" w:firstLineChars="200"/>
        <w:rPr>
          <w:sz w:val="21"/>
        </w:rPr>
      </w:pPr>
      <w:r>
        <w:rPr>
          <w:rFonts w:hint="eastAsia"/>
          <w:sz w:val="21"/>
        </w:rPr>
        <w:t>本合同一式</w:t>
      </w:r>
      <w:r>
        <w:rPr>
          <w:rFonts w:hint="eastAsia"/>
          <w:sz w:val="21"/>
          <w:u w:val="single"/>
        </w:rPr>
        <w:t xml:space="preserve">  陆  </w:t>
      </w:r>
      <w:r>
        <w:rPr>
          <w:rFonts w:hint="eastAsia"/>
          <w:sz w:val="21"/>
        </w:rPr>
        <w:t>份，具有同等法律效力，其中委托人执</w:t>
      </w:r>
      <w:r>
        <w:rPr>
          <w:rFonts w:hint="eastAsia"/>
          <w:sz w:val="21"/>
          <w:u w:val="single"/>
        </w:rPr>
        <w:t xml:space="preserve">  叁  </w:t>
      </w:r>
      <w:r>
        <w:rPr>
          <w:rFonts w:hint="eastAsia"/>
          <w:sz w:val="21"/>
        </w:rPr>
        <w:t>份，咨询人执</w:t>
      </w:r>
      <w:r>
        <w:rPr>
          <w:rFonts w:hint="eastAsia"/>
          <w:sz w:val="21"/>
          <w:u w:val="single"/>
        </w:rPr>
        <w:t xml:space="preserve">  叁  </w:t>
      </w:r>
      <w:r>
        <w:rPr>
          <w:rFonts w:hint="eastAsia"/>
          <w:sz w:val="21"/>
        </w:rPr>
        <w:t>份。</w:t>
      </w:r>
    </w:p>
    <w:p>
      <w:pPr>
        <w:pStyle w:val="177"/>
        <w:adjustRightInd w:val="0"/>
        <w:snapToGrid w:val="0"/>
        <w:spacing w:before="0" w:beforeAutospacing="0" w:after="0" w:afterAutospacing="0" w:line="480" w:lineRule="exact"/>
        <w:ind w:firstLine="420" w:firstLineChars="200"/>
        <w:rPr>
          <w:sz w:val="21"/>
        </w:rPr>
      </w:pPr>
    </w:p>
    <w:bookmarkEnd w:id="107"/>
    <w:p>
      <w:pPr>
        <w:pStyle w:val="3"/>
        <w:adjustRightInd w:val="0"/>
        <w:snapToGrid w:val="0"/>
        <w:spacing w:before="0" w:after="0" w:line="430" w:lineRule="exact"/>
        <w:jc w:val="center"/>
        <w:rPr>
          <w:sz w:val="24"/>
          <w:szCs w:val="24"/>
        </w:rPr>
      </w:pPr>
      <w:bookmarkStart w:id="129" w:name="_Toc419045066"/>
      <w:r>
        <w:rPr>
          <w:sz w:val="30"/>
          <w:szCs w:val="30"/>
        </w:rPr>
        <w:br w:type="page"/>
      </w:r>
      <w:bookmarkStart w:id="130" w:name="_Toc464396177"/>
      <w:bookmarkStart w:id="131" w:name="_Toc464395400"/>
      <w:bookmarkStart w:id="132" w:name="_Toc468905467"/>
      <w:r>
        <w:rPr>
          <w:rFonts w:hint="eastAsia"/>
          <w:sz w:val="30"/>
          <w:szCs w:val="30"/>
        </w:rPr>
        <w:t>第二部分　通用条件</w:t>
      </w:r>
      <w:bookmarkEnd w:id="129"/>
      <w:bookmarkEnd w:id="130"/>
      <w:bookmarkEnd w:id="131"/>
      <w:bookmarkEnd w:id="132"/>
    </w:p>
    <w:p>
      <w:pPr>
        <w:pStyle w:val="38"/>
        <w:snapToGrid w:val="0"/>
        <w:spacing w:line="430" w:lineRule="exact"/>
        <w:ind w:firstLine="422" w:firstLineChars="200"/>
        <w:rPr>
          <w:rFonts w:ascii="宋体" w:hAnsi="宋体"/>
          <w:sz w:val="21"/>
          <w:szCs w:val="21"/>
        </w:rPr>
      </w:pPr>
      <w:bookmarkStart w:id="133" w:name="_Toc419045067"/>
      <w:bookmarkStart w:id="134" w:name="_Toc464396178"/>
      <w:bookmarkStart w:id="135" w:name="_Toc464395401"/>
      <w:bookmarkStart w:id="136" w:name="_Toc468905468"/>
      <w:r>
        <w:rPr>
          <w:rFonts w:hint="eastAsia" w:ascii="宋体" w:hAnsi="宋体"/>
          <w:sz w:val="21"/>
          <w:szCs w:val="21"/>
        </w:rPr>
        <w:t>1.词语定义、语言、解释顺序与适用法律</w:t>
      </w:r>
      <w:bookmarkEnd w:id="133"/>
      <w:bookmarkEnd w:id="134"/>
      <w:bookmarkEnd w:id="135"/>
      <w:bookmarkEnd w:id="136"/>
      <w:bookmarkStart w:id="137" w:name="_Toc419045068"/>
    </w:p>
    <w:p>
      <w:pPr>
        <w:pStyle w:val="31"/>
        <w:spacing w:before="0" w:after="0" w:line="480" w:lineRule="exact"/>
        <w:ind w:firstLine="420" w:firstLineChars="200"/>
        <w:jc w:val="both"/>
        <w:rPr>
          <w:rFonts w:ascii="宋体" w:hAnsi="宋体"/>
          <w:b w:val="0"/>
          <w:sz w:val="21"/>
          <w:szCs w:val="21"/>
        </w:rPr>
      </w:pPr>
      <w:bookmarkStart w:id="138" w:name="_Toc464395402"/>
      <w:bookmarkStart w:id="139" w:name="_Toc464396179"/>
      <w:bookmarkStart w:id="140" w:name="_Toc468905469"/>
      <w:r>
        <w:rPr>
          <w:rFonts w:hint="eastAsia" w:ascii="宋体" w:hAnsi="宋体"/>
          <w:b w:val="0"/>
          <w:sz w:val="21"/>
          <w:szCs w:val="21"/>
        </w:rPr>
        <w:t>1.1词语定义</w:t>
      </w:r>
      <w:bookmarkEnd w:id="137"/>
      <w:bookmarkEnd w:id="138"/>
      <w:bookmarkEnd w:id="139"/>
      <w:bookmarkEnd w:id="140"/>
    </w:p>
    <w:p>
      <w:pPr>
        <w:adjustRightInd w:val="0"/>
        <w:snapToGrid w:val="0"/>
        <w:spacing w:line="480" w:lineRule="exact"/>
        <w:ind w:firstLine="420" w:firstLineChars="200"/>
        <w:rPr>
          <w:rFonts w:ascii="宋体" w:hAnsi="宋体"/>
          <w:szCs w:val="21"/>
        </w:rPr>
      </w:pPr>
      <w:r>
        <w:rPr>
          <w:rFonts w:hint="eastAsia" w:ascii="宋体" w:hAnsi="宋体"/>
          <w:szCs w:val="21"/>
        </w:rPr>
        <w:t>组成本合同的全部文件中的下列名词和用语应具有本款所赋予的含义：</w:t>
      </w:r>
    </w:p>
    <w:p>
      <w:pPr>
        <w:pStyle w:val="177"/>
        <w:adjustRightInd w:val="0"/>
        <w:snapToGrid w:val="0"/>
        <w:spacing w:before="0" w:beforeAutospacing="0" w:after="0" w:afterAutospacing="0" w:line="480" w:lineRule="exact"/>
        <w:ind w:firstLine="420" w:firstLineChars="200"/>
        <w:rPr>
          <w:sz w:val="21"/>
        </w:rPr>
      </w:pPr>
      <w:r>
        <w:rPr>
          <w:rFonts w:hint="eastAsia"/>
          <w:sz w:val="21"/>
        </w:rPr>
        <w:t>1.1.1“工程”是指按照本合同约定实施造价咨询与其他服务的建设工程。</w:t>
      </w:r>
    </w:p>
    <w:p>
      <w:pPr>
        <w:pStyle w:val="177"/>
        <w:adjustRightInd w:val="0"/>
        <w:snapToGrid w:val="0"/>
        <w:spacing w:before="0" w:beforeAutospacing="0" w:after="0" w:afterAutospacing="0" w:line="480" w:lineRule="exact"/>
        <w:ind w:firstLine="420" w:firstLineChars="200"/>
        <w:rPr>
          <w:sz w:val="21"/>
        </w:rPr>
      </w:pPr>
      <w:r>
        <w:rPr>
          <w:rFonts w:hint="eastAsia"/>
          <w:sz w:val="21"/>
        </w:rPr>
        <w:t>1.1.2“工程造价”是指工程项目建设过程中预计或实际支出的全部费用。</w:t>
      </w:r>
    </w:p>
    <w:p>
      <w:pPr>
        <w:pStyle w:val="177"/>
        <w:adjustRightInd w:val="0"/>
        <w:snapToGrid w:val="0"/>
        <w:spacing w:before="0" w:beforeAutospacing="0" w:after="0" w:afterAutospacing="0" w:line="480" w:lineRule="exact"/>
        <w:ind w:firstLine="420" w:firstLineChars="200"/>
        <w:rPr>
          <w:sz w:val="21"/>
        </w:rPr>
      </w:pPr>
      <w:r>
        <w:rPr>
          <w:sz w:val="21"/>
        </w:rPr>
        <w:t>1</w:t>
      </w:r>
      <w:r>
        <w:rPr>
          <w:rFonts w:hint="eastAsia"/>
          <w:sz w:val="21"/>
        </w:rPr>
        <w:t>.1.3“委托人”是指本合同中委托造价咨询与其他服务的一方，及其合法的继承人或受让人。</w:t>
      </w:r>
    </w:p>
    <w:p>
      <w:pPr>
        <w:pStyle w:val="177"/>
        <w:adjustRightInd w:val="0"/>
        <w:snapToGrid w:val="0"/>
        <w:spacing w:before="0" w:beforeAutospacing="0" w:after="0" w:afterAutospacing="0" w:line="480" w:lineRule="exact"/>
        <w:ind w:firstLine="420" w:firstLineChars="200"/>
        <w:rPr>
          <w:sz w:val="21"/>
        </w:rPr>
      </w:pPr>
      <w:r>
        <w:rPr>
          <w:rFonts w:hint="eastAsia"/>
          <w:sz w:val="21"/>
        </w:rPr>
        <w:t>1.1.4</w:t>
      </w:r>
      <w:r>
        <w:rPr>
          <w:sz w:val="21"/>
        </w:rPr>
        <w:t>“咨询人”是指</w:t>
      </w:r>
      <w:r>
        <w:rPr>
          <w:rFonts w:hint="eastAsia"/>
          <w:sz w:val="21"/>
        </w:rPr>
        <w:t>本合同中提供造价咨询与其他服务的一方</w:t>
      </w:r>
      <w:r>
        <w:rPr>
          <w:rFonts w:hint="eastAsia"/>
          <w:b/>
          <w:bCs/>
          <w:sz w:val="21"/>
        </w:rPr>
        <w:t>，</w:t>
      </w:r>
      <w:r>
        <w:rPr>
          <w:rFonts w:hint="eastAsia"/>
          <w:sz w:val="21"/>
        </w:rPr>
        <w:t>及其合法的继承人。</w:t>
      </w:r>
    </w:p>
    <w:p>
      <w:pPr>
        <w:pStyle w:val="177"/>
        <w:adjustRightInd w:val="0"/>
        <w:snapToGrid w:val="0"/>
        <w:spacing w:before="0" w:beforeAutospacing="0" w:after="0" w:afterAutospacing="0" w:line="480" w:lineRule="exact"/>
        <w:ind w:firstLine="420" w:firstLineChars="200"/>
        <w:rPr>
          <w:sz w:val="21"/>
        </w:rPr>
      </w:pPr>
      <w:r>
        <w:rPr>
          <w:rFonts w:hint="eastAsia"/>
          <w:sz w:val="21"/>
        </w:rPr>
        <w:t>1.1.5</w:t>
      </w:r>
      <w:r>
        <w:rPr>
          <w:sz w:val="21"/>
        </w:rPr>
        <w:t>“第三人”是指除委托人、咨询人以外与本咨询业务有关的当事人。</w:t>
      </w:r>
    </w:p>
    <w:p>
      <w:pPr>
        <w:pStyle w:val="177"/>
        <w:adjustRightInd w:val="0"/>
        <w:snapToGrid w:val="0"/>
        <w:spacing w:before="0" w:beforeAutospacing="0" w:after="0" w:afterAutospacing="0" w:line="480" w:lineRule="exact"/>
        <w:ind w:firstLine="420" w:firstLineChars="200"/>
        <w:rPr>
          <w:sz w:val="21"/>
        </w:rPr>
      </w:pPr>
      <w:r>
        <w:rPr>
          <w:rFonts w:hint="eastAsia"/>
          <w:sz w:val="21"/>
        </w:rPr>
        <w:t>1.1.6“正常工作”是指本合同订立时通用条件和专用条件中约定的咨询人的工作。</w:t>
      </w:r>
    </w:p>
    <w:p>
      <w:pPr>
        <w:pStyle w:val="177"/>
        <w:adjustRightInd w:val="0"/>
        <w:snapToGrid w:val="0"/>
        <w:spacing w:before="0" w:beforeAutospacing="0" w:after="0" w:afterAutospacing="0" w:line="480" w:lineRule="exact"/>
        <w:ind w:firstLine="420" w:firstLineChars="200"/>
        <w:rPr>
          <w:sz w:val="21"/>
        </w:rPr>
      </w:pPr>
      <w:r>
        <w:rPr>
          <w:rFonts w:hint="eastAsia"/>
          <w:sz w:val="21"/>
        </w:rPr>
        <w:t>1.1.7“附加工作”是指咨询人根据合同条件完成的正常工作以外的工作。</w:t>
      </w:r>
    </w:p>
    <w:p>
      <w:pPr>
        <w:pStyle w:val="177"/>
        <w:adjustRightInd w:val="0"/>
        <w:snapToGrid w:val="0"/>
        <w:spacing w:before="0" w:beforeAutospacing="0" w:after="0" w:afterAutospacing="0" w:line="480" w:lineRule="exact"/>
        <w:ind w:firstLine="420" w:firstLineChars="200"/>
        <w:rPr>
          <w:sz w:val="21"/>
        </w:rPr>
      </w:pPr>
      <w:r>
        <w:rPr>
          <w:rFonts w:hint="eastAsia"/>
          <w:sz w:val="21"/>
        </w:rPr>
        <w:t>1.1.8“项目咨询团队”是指咨询人指派负责履行本合同的团队，其团队成员为本合同的项目咨询人员。</w:t>
      </w:r>
    </w:p>
    <w:p>
      <w:pPr>
        <w:pStyle w:val="177"/>
        <w:adjustRightInd w:val="0"/>
        <w:snapToGrid w:val="0"/>
        <w:spacing w:before="0" w:beforeAutospacing="0" w:after="0" w:afterAutospacing="0" w:line="480" w:lineRule="exact"/>
        <w:ind w:firstLine="420" w:firstLineChars="200"/>
        <w:rPr>
          <w:sz w:val="21"/>
        </w:rPr>
      </w:pPr>
      <w:r>
        <w:rPr>
          <w:rFonts w:hint="eastAsia"/>
          <w:sz w:val="21"/>
        </w:rPr>
        <w:t>1.1.9“项目负责人”是指由咨询人的法定代表人书面授权，在授权范围内负责履行本合同、主持项目咨询团队工作的负责人。</w:t>
      </w:r>
    </w:p>
    <w:p>
      <w:pPr>
        <w:adjustRightInd w:val="0"/>
        <w:snapToGrid w:val="0"/>
        <w:spacing w:line="480" w:lineRule="exact"/>
        <w:ind w:firstLine="420" w:firstLineChars="200"/>
        <w:rPr>
          <w:rFonts w:ascii="宋体" w:hAnsi="宋体"/>
          <w:szCs w:val="21"/>
        </w:rPr>
      </w:pPr>
      <w:r>
        <w:rPr>
          <w:rFonts w:hint="eastAsia" w:ascii="宋体" w:hAnsi="宋体"/>
          <w:szCs w:val="21"/>
        </w:rPr>
        <w:t>1.1.10“委托人代表”是指由委托人的法定代表人书面授权，在授权范围内行使委托人权利的人。</w:t>
      </w:r>
    </w:p>
    <w:p>
      <w:pPr>
        <w:pStyle w:val="177"/>
        <w:adjustRightInd w:val="0"/>
        <w:snapToGrid w:val="0"/>
        <w:spacing w:before="0" w:beforeAutospacing="0" w:after="0" w:afterAutospacing="0" w:line="480" w:lineRule="exact"/>
        <w:ind w:firstLine="420" w:firstLineChars="200"/>
        <w:rPr>
          <w:sz w:val="21"/>
        </w:rPr>
      </w:pPr>
      <w:r>
        <w:rPr>
          <w:rFonts w:hint="eastAsia"/>
          <w:sz w:val="21"/>
        </w:rPr>
        <w:t>1.1.11“酬金”是指咨询人履行本合同义务，委托人按照本合同约定给付咨询人的金额。</w:t>
      </w:r>
    </w:p>
    <w:p>
      <w:pPr>
        <w:pStyle w:val="177"/>
        <w:adjustRightInd w:val="0"/>
        <w:snapToGrid w:val="0"/>
        <w:spacing w:before="0" w:beforeAutospacing="0" w:after="0" w:afterAutospacing="0" w:line="480" w:lineRule="exact"/>
        <w:ind w:firstLine="420" w:firstLineChars="200"/>
        <w:rPr>
          <w:sz w:val="21"/>
        </w:rPr>
      </w:pPr>
      <w:r>
        <w:rPr>
          <w:rFonts w:hint="eastAsia"/>
          <w:sz w:val="21"/>
        </w:rPr>
        <w:t>1.1.12“正常工作酬金”是指在协议书中载明的，咨询人完成正常工作，委托人应给付咨询人的酬金。</w:t>
      </w:r>
    </w:p>
    <w:p>
      <w:pPr>
        <w:pStyle w:val="177"/>
        <w:adjustRightInd w:val="0"/>
        <w:snapToGrid w:val="0"/>
        <w:spacing w:before="0" w:beforeAutospacing="0" w:after="0" w:afterAutospacing="0" w:line="480" w:lineRule="exact"/>
        <w:ind w:firstLine="420" w:firstLineChars="200"/>
        <w:rPr>
          <w:sz w:val="21"/>
        </w:rPr>
      </w:pPr>
      <w:r>
        <w:rPr>
          <w:rFonts w:hint="eastAsia"/>
          <w:sz w:val="21"/>
        </w:rPr>
        <w:t>1.1.13“附加工作酬金”是指咨询人完成附加工作，委托人应给付咨询人的酬金。</w:t>
      </w:r>
    </w:p>
    <w:p>
      <w:pPr>
        <w:adjustRightInd w:val="0"/>
        <w:snapToGrid w:val="0"/>
        <w:spacing w:line="480" w:lineRule="exact"/>
        <w:ind w:firstLine="420" w:firstLineChars="200"/>
        <w:rPr>
          <w:rFonts w:ascii="宋体" w:hAnsi="宋体"/>
          <w:szCs w:val="21"/>
        </w:rPr>
      </w:pPr>
      <w:r>
        <w:rPr>
          <w:rFonts w:hint="eastAsia" w:ascii="宋体" w:hAnsi="宋体"/>
          <w:szCs w:val="21"/>
        </w:rPr>
        <w:t>1.1.14 “书面形式”是指合同书、信件和数据电文（包括电报、电传、传真、电子数据交换和电子邮件）等可以有形地表现所载内容的形式。</w:t>
      </w:r>
    </w:p>
    <w:p>
      <w:pPr>
        <w:adjustRightInd w:val="0"/>
        <w:snapToGrid w:val="0"/>
        <w:spacing w:line="480" w:lineRule="exact"/>
        <w:ind w:firstLine="420" w:firstLineChars="200"/>
        <w:rPr>
          <w:rFonts w:ascii="宋体" w:hAnsi="宋体"/>
          <w:szCs w:val="21"/>
        </w:rPr>
      </w:pPr>
      <w:r>
        <w:rPr>
          <w:rFonts w:hint="eastAsia" w:ascii="宋体" w:hAnsi="宋体"/>
          <w:szCs w:val="21"/>
        </w:rPr>
        <w:t>1.1.15 “不可抗力”是指委托人和咨询人在订立本合同时不可预见，在合同履行过程中不可避免并不能克服的自然灾害和社会性突发事件，如地震、海啸、瘟疫、水灾、骚乱、暴动、战争等情形。</w:t>
      </w:r>
    </w:p>
    <w:p>
      <w:pPr>
        <w:pStyle w:val="31"/>
        <w:adjustRightInd w:val="0"/>
        <w:snapToGrid w:val="0"/>
        <w:spacing w:before="0" w:after="0" w:line="480" w:lineRule="exact"/>
        <w:ind w:firstLine="420" w:firstLineChars="200"/>
        <w:jc w:val="both"/>
        <w:rPr>
          <w:rFonts w:ascii="宋体" w:hAnsi="宋体"/>
          <w:b w:val="0"/>
          <w:sz w:val="21"/>
          <w:szCs w:val="21"/>
        </w:rPr>
      </w:pPr>
      <w:bookmarkStart w:id="141" w:name="_Toc464395403"/>
      <w:bookmarkStart w:id="142" w:name="_Toc419045069"/>
      <w:bookmarkStart w:id="143" w:name="_Toc468905470"/>
      <w:bookmarkStart w:id="144" w:name="_Toc464396180"/>
      <w:r>
        <w:rPr>
          <w:rFonts w:hint="eastAsia" w:ascii="宋体" w:hAnsi="宋体"/>
          <w:b w:val="0"/>
          <w:sz w:val="21"/>
          <w:szCs w:val="21"/>
        </w:rPr>
        <w:t>1.2语言</w:t>
      </w:r>
      <w:bookmarkEnd w:id="141"/>
      <w:bookmarkEnd w:id="142"/>
      <w:bookmarkEnd w:id="143"/>
      <w:bookmarkEnd w:id="144"/>
    </w:p>
    <w:p>
      <w:pPr>
        <w:pStyle w:val="177"/>
        <w:adjustRightInd w:val="0"/>
        <w:snapToGrid w:val="0"/>
        <w:spacing w:before="0" w:beforeAutospacing="0" w:after="0" w:afterAutospacing="0" w:line="480" w:lineRule="exact"/>
        <w:ind w:firstLine="420" w:firstLineChars="200"/>
        <w:rPr>
          <w:sz w:val="21"/>
        </w:rPr>
      </w:pPr>
      <w:r>
        <w:rPr>
          <w:rFonts w:hint="eastAsia"/>
          <w:sz w:val="21"/>
        </w:rPr>
        <w:t>本合同使用中文书写、解释和说明。如专用条件约定使用两种及以上语言文字时，应以中文为准。</w:t>
      </w:r>
    </w:p>
    <w:p>
      <w:pPr>
        <w:pStyle w:val="31"/>
        <w:adjustRightInd w:val="0"/>
        <w:snapToGrid w:val="0"/>
        <w:spacing w:before="0" w:after="0" w:line="480" w:lineRule="exact"/>
        <w:ind w:firstLine="420" w:firstLineChars="200"/>
        <w:jc w:val="both"/>
        <w:rPr>
          <w:rFonts w:ascii="宋体" w:hAnsi="宋体"/>
          <w:b w:val="0"/>
          <w:sz w:val="21"/>
          <w:szCs w:val="21"/>
        </w:rPr>
      </w:pPr>
      <w:bookmarkStart w:id="145" w:name="_Toc419045070"/>
      <w:bookmarkStart w:id="146" w:name="_Toc464396181"/>
      <w:bookmarkStart w:id="147" w:name="_Toc464395404"/>
      <w:bookmarkStart w:id="148" w:name="_Toc468905471"/>
      <w:r>
        <w:rPr>
          <w:rFonts w:hint="eastAsia" w:ascii="宋体" w:hAnsi="宋体"/>
          <w:b w:val="0"/>
          <w:sz w:val="21"/>
          <w:szCs w:val="21"/>
        </w:rPr>
        <w:t>1.3合同文件的优先顺序</w:t>
      </w:r>
      <w:bookmarkEnd w:id="145"/>
      <w:bookmarkEnd w:id="146"/>
      <w:bookmarkEnd w:id="147"/>
      <w:bookmarkEnd w:id="148"/>
    </w:p>
    <w:p>
      <w:pPr>
        <w:pStyle w:val="177"/>
        <w:adjustRightInd w:val="0"/>
        <w:snapToGrid w:val="0"/>
        <w:spacing w:before="0" w:beforeAutospacing="0" w:after="0" w:afterAutospacing="0" w:line="480" w:lineRule="exact"/>
        <w:ind w:firstLine="420" w:firstLineChars="200"/>
        <w:rPr>
          <w:bCs/>
          <w:sz w:val="21"/>
        </w:rPr>
      </w:pPr>
      <w:r>
        <w:rPr>
          <w:rFonts w:hint="eastAsia"/>
          <w:bCs/>
          <w:sz w:val="21"/>
        </w:rPr>
        <w:t>组成本合同的下列文件彼此应能相互解释、互为说明。除专用条件另有约定外，本合同文件的解释顺序如下：</w:t>
      </w:r>
    </w:p>
    <w:p>
      <w:pPr>
        <w:pStyle w:val="177"/>
        <w:adjustRightInd w:val="0"/>
        <w:snapToGrid w:val="0"/>
        <w:spacing w:before="0" w:beforeAutospacing="0" w:after="0" w:afterAutospacing="0" w:line="480" w:lineRule="exact"/>
        <w:ind w:firstLine="420" w:firstLineChars="200"/>
        <w:rPr>
          <w:bCs/>
          <w:sz w:val="21"/>
        </w:rPr>
      </w:pPr>
      <w:r>
        <w:rPr>
          <w:rFonts w:hint="eastAsia"/>
          <w:bCs/>
          <w:sz w:val="21"/>
        </w:rPr>
        <w:t>1.协议书</w:t>
      </w:r>
    </w:p>
    <w:p>
      <w:pPr>
        <w:pStyle w:val="177"/>
        <w:adjustRightInd w:val="0"/>
        <w:snapToGrid w:val="0"/>
        <w:spacing w:before="0" w:beforeAutospacing="0" w:after="0" w:afterAutospacing="0" w:line="480" w:lineRule="exact"/>
        <w:ind w:firstLine="420" w:firstLineChars="200"/>
        <w:rPr>
          <w:bCs/>
          <w:sz w:val="21"/>
        </w:rPr>
      </w:pPr>
      <w:r>
        <w:rPr>
          <w:rFonts w:hint="eastAsia"/>
          <w:bCs/>
          <w:sz w:val="21"/>
        </w:rPr>
        <w:t>2.中标通知书或委托书（如果有）；</w:t>
      </w:r>
    </w:p>
    <w:p>
      <w:pPr>
        <w:pStyle w:val="177"/>
        <w:adjustRightInd w:val="0"/>
        <w:snapToGrid w:val="0"/>
        <w:spacing w:before="0" w:beforeAutospacing="0" w:after="0" w:afterAutospacing="0" w:line="480" w:lineRule="exact"/>
        <w:ind w:firstLine="420" w:firstLineChars="200"/>
        <w:rPr>
          <w:bCs/>
          <w:sz w:val="21"/>
        </w:rPr>
      </w:pPr>
      <w:r>
        <w:rPr>
          <w:rFonts w:hint="eastAsia"/>
          <w:bCs/>
          <w:sz w:val="21"/>
        </w:rPr>
        <w:t>3.专用条件及附录；</w:t>
      </w:r>
    </w:p>
    <w:p>
      <w:pPr>
        <w:pStyle w:val="177"/>
        <w:adjustRightInd w:val="0"/>
        <w:snapToGrid w:val="0"/>
        <w:spacing w:before="0" w:beforeAutospacing="0" w:after="0" w:afterAutospacing="0" w:line="480" w:lineRule="exact"/>
        <w:ind w:firstLine="420" w:firstLineChars="200"/>
        <w:rPr>
          <w:bCs/>
          <w:sz w:val="21"/>
        </w:rPr>
      </w:pPr>
      <w:r>
        <w:rPr>
          <w:rFonts w:hint="eastAsia"/>
          <w:bCs/>
          <w:sz w:val="21"/>
        </w:rPr>
        <w:t>4.通用条件；</w:t>
      </w:r>
    </w:p>
    <w:p>
      <w:pPr>
        <w:pStyle w:val="177"/>
        <w:adjustRightInd w:val="0"/>
        <w:snapToGrid w:val="0"/>
        <w:spacing w:before="0" w:beforeAutospacing="0" w:after="0" w:afterAutospacing="0" w:line="480" w:lineRule="exact"/>
        <w:ind w:firstLine="420" w:firstLineChars="200"/>
        <w:rPr>
          <w:bCs/>
          <w:sz w:val="21"/>
        </w:rPr>
      </w:pPr>
      <w:r>
        <w:rPr>
          <w:rFonts w:hint="eastAsia"/>
          <w:bCs/>
          <w:sz w:val="21"/>
        </w:rPr>
        <w:t>5.投标函及投标函附录或造价咨询服务建议书（如果有）；</w:t>
      </w:r>
    </w:p>
    <w:p>
      <w:pPr>
        <w:adjustRightInd w:val="0"/>
        <w:snapToGrid w:val="0"/>
        <w:spacing w:line="480" w:lineRule="exact"/>
        <w:ind w:firstLine="420" w:firstLineChars="200"/>
        <w:rPr>
          <w:rFonts w:ascii="宋体" w:hAnsi="宋体"/>
          <w:bCs/>
          <w:szCs w:val="21"/>
        </w:rPr>
      </w:pPr>
      <w:r>
        <w:rPr>
          <w:rFonts w:hint="eastAsia" w:ascii="宋体" w:hAnsi="宋体"/>
          <w:bCs/>
          <w:szCs w:val="21"/>
        </w:rPr>
        <w:t>6.其他合同文件。</w:t>
      </w:r>
    </w:p>
    <w:p>
      <w:pPr>
        <w:pStyle w:val="177"/>
        <w:adjustRightInd w:val="0"/>
        <w:snapToGrid w:val="0"/>
        <w:spacing w:before="0" w:beforeAutospacing="0" w:after="0" w:afterAutospacing="0" w:line="480" w:lineRule="exact"/>
        <w:ind w:firstLine="420" w:firstLineChars="200"/>
        <w:rPr>
          <w:bCs/>
          <w:sz w:val="21"/>
        </w:rPr>
      </w:pPr>
      <w:r>
        <w:rPr>
          <w:bCs/>
          <w:sz w:val="21"/>
        </w:rPr>
        <w:t>上述各项合同文件包括合同当事人就该项合同文件所作出的补充和修改</w:t>
      </w:r>
      <w:r>
        <w:rPr>
          <w:rFonts w:hint="eastAsia"/>
          <w:bCs/>
          <w:sz w:val="21"/>
        </w:rPr>
        <w:t>，</w:t>
      </w:r>
      <w:r>
        <w:rPr>
          <w:bCs/>
          <w:sz w:val="21"/>
        </w:rPr>
        <w:t>属于同一类内容的文件，应以最新签署的为准。</w:t>
      </w:r>
    </w:p>
    <w:p>
      <w:pPr>
        <w:adjustRightInd w:val="0"/>
        <w:snapToGrid w:val="0"/>
        <w:spacing w:line="480" w:lineRule="exact"/>
        <w:ind w:firstLine="420" w:firstLineChars="200"/>
        <w:rPr>
          <w:rFonts w:ascii="宋体" w:hAnsi="宋体"/>
          <w:bCs/>
          <w:szCs w:val="21"/>
        </w:rPr>
      </w:pPr>
      <w:r>
        <w:rPr>
          <w:rFonts w:hint="eastAsia" w:ascii="宋体" w:hAnsi="宋体"/>
          <w:bCs/>
          <w:szCs w:val="21"/>
        </w:rPr>
        <w:t>在合同订立及履行过程中形成的与合同有关的文件均构成合同文件的组成部分。</w:t>
      </w:r>
    </w:p>
    <w:p>
      <w:pPr>
        <w:pStyle w:val="31"/>
        <w:adjustRightInd w:val="0"/>
        <w:snapToGrid w:val="0"/>
        <w:spacing w:before="0" w:after="0" w:line="480" w:lineRule="exact"/>
        <w:ind w:firstLine="420" w:firstLineChars="200"/>
        <w:jc w:val="both"/>
        <w:rPr>
          <w:rFonts w:ascii="宋体" w:hAnsi="宋体"/>
          <w:b w:val="0"/>
          <w:sz w:val="21"/>
          <w:szCs w:val="21"/>
        </w:rPr>
      </w:pPr>
      <w:bookmarkStart w:id="149" w:name="_Toc464396182"/>
      <w:bookmarkStart w:id="150" w:name="_Toc419045071"/>
      <w:bookmarkStart w:id="151" w:name="_Toc468905472"/>
      <w:bookmarkStart w:id="152" w:name="_Toc464395405"/>
      <w:r>
        <w:rPr>
          <w:rFonts w:hint="eastAsia" w:ascii="宋体" w:hAnsi="宋体"/>
          <w:b w:val="0"/>
          <w:sz w:val="21"/>
          <w:szCs w:val="21"/>
        </w:rPr>
        <w:t>1.4适用法律</w:t>
      </w:r>
      <w:bookmarkEnd w:id="149"/>
      <w:bookmarkEnd w:id="150"/>
      <w:bookmarkEnd w:id="151"/>
      <w:bookmarkEnd w:id="152"/>
    </w:p>
    <w:p>
      <w:pPr>
        <w:adjustRightInd w:val="0"/>
        <w:snapToGrid w:val="0"/>
        <w:spacing w:line="480" w:lineRule="exact"/>
        <w:ind w:firstLine="420" w:firstLineChars="200"/>
        <w:rPr>
          <w:rFonts w:ascii="宋体" w:hAnsi="宋体"/>
          <w:szCs w:val="21"/>
        </w:rPr>
      </w:pPr>
      <w:r>
        <w:rPr>
          <w:rFonts w:hint="eastAsia" w:ascii="宋体" w:hAnsi="宋体"/>
          <w:szCs w:val="21"/>
        </w:rPr>
        <w:t>本合同适用中华人民共和国法律、行政法规、部门规章以及工程所在地的地方性法规、自治条例、单行条例和地方政府规章等。</w:t>
      </w:r>
    </w:p>
    <w:p>
      <w:pPr>
        <w:adjustRightInd w:val="0"/>
        <w:snapToGrid w:val="0"/>
        <w:spacing w:line="480" w:lineRule="exact"/>
        <w:ind w:firstLine="420" w:firstLineChars="200"/>
        <w:rPr>
          <w:rStyle w:val="145"/>
          <w:rFonts w:ascii="宋体" w:hAnsi="宋体"/>
          <w:sz w:val="21"/>
          <w:szCs w:val="21"/>
        </w:rPr>
      </w:pPr>
      <w:r>
        <w:rPr>
          <w:rFonts w:hint="eastAsia" w:ascii="宋体" w:hAnsi="宋体"/>
          <w:szCs w:val="21"/>
        </w:rPr>
        <w:t>合同当事人可以在专用条件中约定本合同适用的其他规范、规程、定额、技术标准等规范性文件。</w:t>
      </w:r>
    </w:p>
    <w:p>
      <w:pPr>
        <w:pStyle w:val="38"/>
        <w:snapToGrid w:val="0"/>
        <w:spacing w:before="0" w:after="0" w:line="480" w:lineRule="exact"/>
        <w:ind w:firstLine="422" w:firstLineChars="200"/>
        <w:rPr>
          <w:rFonts w:ascii="宋体" w:hAnsi="宋体"/>
          <w:sz w:val="21"/>
          <w:szCs w:val="21"/>
        </w:rPr>
      </w:pPr>
      <w:bookmarkStart w:id="153" w:name="_Toc464395406"/>
      <w:bookmarkStart w:id="154" w:name="_Toc468905473"/>
      <w:bookmarkStart w:id="155" w:name="_Toc464396183"/>
      <w:r>
        <w:rPr>
          <w:rFonts w:hint="eastAsia" w:ascii="宋体" w:hAnsi="宋体"/>
          <w:sz w:val="21"/>
          <w:szCs w:val="21"/>
        </w:rPr>
        <w:t>2.委托人</w:t>
      </w:r>
      <w:r>
        <w:rPr>
          <w:rFonts w:ascii="宋体" w:hAnsi="宋体"/>
          <w:sz w:val="21"/>
          <w:szCs w:val="21"/>
        </w:rPr>
        <w:t>的义务</w:t>
      </w:r>
      <w:bookmarkEnd w:id="153"/>
      <w:bookmarkEnd w:id="154"/>
      <w:bookmarkEnd w:id="155"/>
    </w:p>
    <w:p>
      <w:pPr>
        <w:pStyle w:val="31"/>
        <w:adjustRightInd w:val="0"/>
        <w:snapToGrid w:val="0"/>
        <w:spacing w:before="0" w:after="0" w:line="480" w:lineRule="exact"/>
        <w:ind w:firstLine="420" w:firstLineChars="200"/>
        <w:jc w:val="both"/>
        <w:rPr>
          <w:rFonts w:ascii="宋体" w:hAnsi="宋体"/>
          <w:b w:val="0"/>
          <w:sz w:val="21"/>
          <w:szCs w:val="21"/>
        </w:rPr>
      </w:pPr>
      <w:bookmarkStart w:id="156" w:name="_Toc419045072"/>
      <w:bookmarkStart w:id="157" w:name="_Toc464395407"/>
      <w:bookmarkStart w:id="158" w:name="_Toc468905474"/>
      <w:bookmarkStart w:id="159" w:name="_Toc464396184"/>
      <w:r>
        <w:rPr>
          <w:rFonts w:hint="eastAsia" w:ascii="宋体" w:hAnsi="宋体"/>
          <w:b w:val="0"/>
          <w:sz w:val="21"/>
          <w:szCs w:val="21"/>
        </w:rPr>
        <w:t>2.1提供资料</w:t>
      </w:r>
      <w:bookmarkEnd w:id="156"/>
      <w:bookmarkEnd w:id="157"/>
      <w:bookmarkEnd w:id="158"/>
      <w:bookmarkEnd w:id="159"/>
    </w:p>
    <w:p>
      <w:pPr>
        <w:adjustRightInd w:val="0"/>
        <w:snapToGrid w:val="0"/>
        <w:spacing w:line="480" w:lineRule="exact"/>
        <w:ind w:firstLine="420" w:firstLineChars="200"/>
        <w:rPr>
          <w:rFonts w:ascii="宋体" w:hAnsi="宋体"/>
          <w:szCs w:val="21"/>
        </w:rPr>
      </w:pPr>
      <w:r>
        <w:rPr>
          <w:rFonts w:hint="eastAsia" w:ascii="宋体" w:hAnsi="宋体"/>
          <w:szCs w:val="21"/>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31"/>
        <w:adjustRightInd w:val="0"/>
        <w:snapToGrid w:val="0"/>
        <w:spacing w:before="0" w:after="0" w:line="480" w:lineRule="exact"/>
        <w:ind w:firstLine="420" w:firstLineChars="200"/>
        <w:jc w:val="both"/>
        <w:rPr>
          <w:rFonts w:ascii="宋体" w:hAnsi="宋体"/>
          <w:b w:val="0"/>
          <w:sz w:val="21"/>
          <w:szCs w:val="21"/>
        </w:rPr>
      </w:pPr>
      <w:bookmarkStart w:id="160" w:name="_Toc419045073"/>
      <w:bookmarkStart w:id="161" w:name="_Toc468905475"/>
      <w:bookmarkStart w:id="162" w:name="_Toc464395408"/>
      <w:bookmarkStart w:id="163" w:name="_Toc464396185"/>
      <w:r>
        <w:rPr>
          <w:rFonts w:hint="eastAsia" w:ascii="宋体" w:hAnsi="宋体"/>
          <w:b w:val="0"/>
          <w:sz w:val="21"/>
          <w:szCs w:val="21"/>
        </w:rPr>
        <w:t>2.2提供工作条件</w:t>
      </w:r>
      <w:bookmarkEnd w:id="160"/>
      <w:bookmarkEnd w:id="161"/>
      <w:bookmarkEnd w:id="162"/>
      <w:bookmarkEnd w:id="163"/>
    </w:p>
    <w:p>
      <w:pPr>
        <w:adjustRightInd w:val="0"/>
        <w:snapToGrid w:val="0"/>
        <w:spacing w:line="480" w:lineRule="exact"/>
        <w:ind w:firstLine="420" w:firstLineChars="200"/>
        <w:rPr>
          <w:rFonts w:ascii="宋体" w:hAnsi="宋体"/>
          <w:szCs w:val="21"/>
        </w:rPr>
      </w:pPr>
      <w:r>
        <w:rPr>
          <w:rFonts w:hint="eastAsia" w:ascii="宋体" w:hAnsi="宋体"/>
          <w:szCs w:val="21"/>
        </w:rPr>
        <w:t>委托人应为咨询人完成造价咨询提供必要的条件。</w:t>
      </w:r>
    </w:p>
    <w:p>
      <w:pPr>
        <w:adjustRightInd w:val="0"/>
        <w:snapToGrid w:val="0"/>
        <w:spacing w:line="480" w:lineRule="exact"/>
        <w:ind w:firstLine="420" w:firstLineChars="200"/>
        <w:rPr>
          <w:rFonts w:ascii="宋体" w:hAnsi="宋体"/>
          <w:szCs w:val="21"/>
        </w:rPr>
      </w:pPr>
      <w:r>
        <w:rPr>
          <w:rFonts w:hint="eastAsia" w:ascii="宋体" w:hAnsi="宋体"/>
          <w:szCs w:val="21"/>
        </w:rPr>
        <w:t>2.2.1委托人应负责与本工程造价咨询业务有关的所有外部关系的协调，为咨询人履行本合同提供必要的外部条件。</w:t>
      </w:r>
    </w:p>
    <w:p>
      <w:pPr>
        <w:pStyle w:val="31"/>
        <w:adjustRightInd w:val="0"/>
        <w:snapToGrid w:val="0"/>
        <w:spacing w:before="0" w:after="0" w:line="480" w:lineRule="exact"/>
        <w:ind w:firstLine="420" w:firstLineChars="200"/>
        <w:jc w:val="both"/>
        <w:rPr>
          <w:rFonts w:ascii="宋体" w:hAnsi="宋体"/>
          <w:b w:val="0"/>
          <w:sz w:val="21"/>
          <w:szCs w:val="21"/>
        </w:rPr>
      </w:pPr>
      <w:bookmarkStart w:id="164" w:name="_Toc464396186"/>
      <w:bookmarkStart w:id="165" w:name="_Toc468905476"/>
      <w:bookmarkStart w:id="166" w:name="_Toc464395409"/>
      <w:bookmarkStart w:id="167" w:name="_Toc419045074"/>
      <w:r>
        <w:rPr>
          <w:rFonts w:hint="eastAsia" w:ascii="宋体" w:hAnsi="宋体"/>
          <w:b w:val="0"/>
          <w:sz w:val="21"/>
          <w:szCs w:val="21"/>
        </w:rPr>
        <w:t>2.3合理工作时限</w:t>
      </w:r>
      <w:bookmarkEnd w:id="164"/>
      <w:bookmarkEnd w:id="165"/>
      <w:bookmarkEnd w:id="166"/>
      <w:bookmarkEnd w:id="167"/>
    </w:p>
    <w:p>
      <w:pPr>
        <w:adjustRightInd w:val="0"/>
        <w:snapToGrid w:val="0"/>
        <w:spacing w:line="480" w:lineRule="exact"/>
        <w:ind w:firstLine="420" w:firstLineChars="200"/>
        <w:rPr>
          <w:rFonts w:ascii="宋体" w:hAnsi="宋体"/>
          <w:szCs w:val="21"/>
        </w:rPr>
      </w:pPr>
      <w:r>
        <w:rPr>
          <w:rFonts w:hint="eastAsia" w:ascii="宋体" w:hAnsi="宋体"/>
          <w:szCs w:val="21"/>
        </w:rPr>
        <w:t>委托人应当为咨询人完成其咨询工作，设定合理的工作时限。</w:t>
      </w:r>
    </w:p>
    <w:p>
      <w:pPr>
        <w:pStyle w:val="31"/>
        <w:adjustRightInd w:val="0"/>
        <w:snapToGrid w:val="0"/>
        <w:spacing w:before="0" w:after="0" w:line="480" w:lineRule="exact"/>
        <w:ind w:firstLine="420" w:firstLineChars="200"/>
        <w:jc w:val="both"/>
        <w:rPr>
          <w:rFonts w:ascii="宋体" w:hAnsi="宋体"/>
          <w:b w:val="0"/>
          <w:sz w:val="21"/>
          <w:szCs w:val="21"/>
        </w:rPr>
      </w:pPr>
      <w:bookmarkStart w:id="168" w:name="_Toc419045075"/>
      <w:bookmarkStart w:id="169" w:name="_Toc468905477"/>
      <w:bookmarkStart w:id="170" w:name="_Toc464396187"/>
      <w:bookmarkStart w:id="171" w:name="_Toc464395410"/>
      <w:r>
        <w:rPr>
          <w:rFonts w:hint="eastAsia" w:ascii="宋体" w:hAnsi="宋体"/>
          <w:b w:val="0"/>
          <w:sz w:val="21"/>
          <w:szCs w:val="21"/>
        </w:rPr>
        <w:t>2.4委托人代表</w:t>
      </w:r>
      <w:bookmarkEnd w:id="168"/>
      <w:bookmarkEnd w:id="169"/>
      <w:bookmarkEnd w:id="170"/>
      <w:bookmarkEnd w:id="171"/>
    </w:p>
    <w:p>
      <w:pPr>
        <w:adjustRightInd w:val="0"/>
        <w:snapToGrid w:val="0"/>
        <w:spacing w:line="480" w:lineRule="exact"/>
        <w:ind w:firstLine="420" w:firstLineChars="200"/>
        <w:rPr>
          <w:rFonts w:ascii="宋体" w:hAnsi="宋体"/>
          <w:szCs w:val="21"/>
        </w:rPr>
      </w:pPr>
      <w:r>
        <w:rPr>
          <w:rFonts w:hint="eastAsia" w:ascii="宋体" w:hAnsi="宋体"/>
          <w:szCs w:val="21"/>
        </w:rPr>
        <w:t>委托人应授权一名代表负责本合同的履行。委托人应在双方签订本合同7日内，将委托人代表的姓名和权限范围书面告知咨询人。委托人更换委托人代表时，应提前7日书面通知咨询人。</w:t>
      </w:r>
    </w:p>
    <w:p>
      <w:pPr>
        <w:pStyle w:val="31"/>
        <w:adjustRightInd w:val="0"/>
        <w:snapToGrid w:val="0"/>
        <w:spacing w:before="0" w:after="0" w:line="480" w:lineRule="exact"/>
        <w:ind w:firstLine="420" w:firstLineChars="200"/>
        <w:jc w:val="both"/>
        <w:rPr>
          <w:rFonts w:ascii="宋体" w:hAnsi="宋体"/>
          <w:b w:val="0"/>
          <w:sz w:val="21"/>
          <w:szCs w:val="21"/>
        </w:rPr>
      </w:pPr>
      <w:bookmarkStart w:id="172" w:name="_Toc464395411"/>
      <w:bookmarkStart w:id="173" w:name="_Toc419045076"/>
      <w:bookmarkStart w:id="174" w:name="_Toc468905478"/>
      <w:bookmarkStart w:id="175" w:name="_Toc464396188"/>
      <w:r>
        <w:rPr>
          <w:rFonts w:hint="eastAsia" w:ascii="宋体" w:hAnsi="宋体"/>
          <w:b w:val="0"/>
          <w:sz w:val="21"/>
          <w:szCs w:val="21"/>
        </w:rPr>
        <w:t>2.5答复</w:t>
      </w:r>
      <w:bookmarkEnd w:id="172"/>
      <w:bookmarkEnd w:id="173"/>
      <w:bookmarkEnd w:id="174"/>
      <w:bookmarkEnd w:id="175"/>
    </w:p>
    <w:p>
      <w:pPr>
        <w:adjustRightInd w:val="0"/>
        <w:snapToGrid w:val="0"/>
        <w:spacing w:line="480" w:lineRule="exact"/>
        <w:ind w:firstLine="420" w:firstLineChars="200"/>
        <w:rPr>
          <w:rFonts w:ascii="宋体" w:hAnsi="宋体"/>
          <w:szCs w:val="21"/>
        </w:rPr>
      </w:pPr>
      <w:r>
        <w:rPr>
          <w:rFonts w:hint="eastAsia" w:ascii="宋体" w:hAnsi="宋体"/>
          <w:szCs w:val="21"/>
        </w:rPr>
        <w:t>委托人应当在专用条件约定的时间内就咨询人以书面形式提交并要求做出答复的事宜给予书面答复。逾期未答复的，由此造成的工作延误和损失由委托人承担。</w:t>
      </w:r>
    </w:p>
    <w:p>
      <w:pPr>
        <w:pStyle w:val="31"/>
        <w:adjustRightInd w:val="0"/>
        <w:snapToGrid w:val="0"/>
        <w:spacing w:before="0" w:after="0" w:line="480" w:lineRule="exact"/>
        <w:ind w:firstLine="420" w:firstLineChars="200"/>
        <w:jc w:val="both"/>
        <w:rPr>
          <w:rFonts w:ascii="宋体" w:hAnsi="宋体"/>
          <w:b w:val="0"/>
          <w:sz w:val="21"/>
          <w:szCs w:val="21"/>
        </w:rPr>
      </w:pPr>
      <w:bookmarkStart w:id="176" w:name="_Toc464396189"/>
      <w:bookmarkStart w:id="177" w:name="_Toc419045077"/>
      <w:bookmarkStart w:id="178" w:name="_Toc468905479"/>
      <w:bookmarkStart w:id="179" w:name="_Toc464395412"/>
      <w:r>
        <w:rPr>
          <w:rFonts w:hint="eastAsia" w:ascii="宋体" w:hAnsi="宋体"/>
          <w:b w:val="0"/>
          <w:sz w:val="21"/>
          <w:szCs w:val="21"/>
        </w:rPr>
        <w:t>2.6支付</w:t>
      </w:r>
      <w:bookmarkEnd w:id="176"/>
      <w:bookmarkEnd w:id="177"/>
      <w:bookmarkEnd w:id="178"/>
      <w:bookmarkEnd w:id="179"/>
    </w:p>
    <w:p>
      <w:pPr>
        <w:adjustRightInd w:val="0"/>
        <w:snapToGrid w:val="0"/>
        <w:spacing w:line="480" w:lineRule="exact"/>
        <w:ind w:firstLine="420" w:firstLineChars="200"/>
        <w:rPr>
          <w:rFonts w:ascii="宋体" w:hAnsi="宋体"/>
          <w:szCs w:val="21"/>
        </w:rPr>
      </w:pPr>
      <w:r>
        <w:rPr>
          <w:rFonts w:hint="eastAsia" w:ascii="宋体" w:hAnsi="宋体"/>
          <w:szCs w:val="21"/>
        </w:rPr>
        <w:t>委托人应当按照合同的约定，向咨询人支付酬金。</w:t>
      </w:r>
    </w:p>
    <w:p>
      <w:pPr>
        <w:pStyle w:val="38"/>
        <w:snapToGrid w:val="0"/>
        <w:spacing w:before="0" w:after="0" w:line="480" w:lineRule="exact"/>
        <w:ind w:firstLine="422" w:firstLineChars="200"/>
        <w:rPr>
          <w:rFonts w:ascii="宋体" w:hAnsi="宋体"/>
          <w:sz w:val="21"/>
          <w:szCs w:val="21"/>
        </w:rPr>
      </w:pPr>
      <w:bookmarkStart w:id="180" w:name="_Toc464395413"/>
      <w:bookmarkStart w:id="181" w:name="_Toc464396190"/>
      <w:bookmarkStart w:id="182" w:name="_Toc419045078"/>
      <w:bookmarkStart w:id="183" w:name="_Toc468905480"/>
      <w:r>
        <w:rPr>
          <w:rFonts w:hint="eastAsia" w:ascii="宋体" w:hAnsi="宋体"/>
          <w:sz w:val="21"/>
          <w:szCs w:val="21"/>
        </w:rPr>
        <w:t>3.咨询人的义务</w:t>
      </w:r>
      <w:bookmarkEnd w:id="180"/>
      <w:bookmarkEnd w:id="181"/>
      <w:bookmarkEnd w:id="182"/>
      <w:bookmarkEnd w:id="183"/>
    </w:p>
    <w:p>
      <w:pPr>
        <w:pStyle w:val="31"/>
        <w:adjustRightInd w:val="0"/>
        <w:snapToGrid w:val="0"/>
        <w:spacing w:before="0" w:after="0" w:line="480" w:lineRule="exact"/>
        <w:ind w:firstLine="420" w:firstLineChars="200"/>
        <w:jc w:val="both"/>
        <w:rPr>
          <w:rFonts w:ascii="宋体" w:hAnsi="宋体"/>
          <w:b w:val="0"/>
          <w:sz w:val="21"/>
          <w:szCs w:val="21"/>
        </w:rPr>
      </w:pPr>
      <w:bookmarkStart w:id="184" w:name="_Toc419045080"/>
      <w:bookmarkStart w:id="185" w:name="_Toc464395414"/>
      <w:bookmarkStart w:id="186" w:name="_Toc464396191"/>
      <w:bookmarkStart w:id="187" w:name="_Toc468905481"/>
      <w:bookmarkStart w:id="188" w:name="16"/>
      <w:r>
        <w:rPr>
          <w:rFonts w:hint="eastAsia" w:ascii="宋体" w:hAnsi="宋体"/>
          <w:b w:val="0"/>
          <w:sz w:val="21"/>
          <w:szCs w:val="21"/>
        </w:rPr>
        <w:t>3.1 项目咨询团队及人员</w:t>
      </w:r>
      <w:bookmarkEnd w:id="184"/>
      <w:bookmarkEnd w:id="185"/>
      <w:bookmarkEnd w:id="186"/>
      <w:bookmarkEnd w:id="187"/>
    </w:p>
    <w:p>
      <w:pPr>
        <w:pStyle w:val="177"/>
        <w:adjustRightInd w:val="0"/>
        <w:snapToGrid w:val="0"/>
        <w:spacing w:before="0" w:beforeAutospacing="0" w:after="0" w:afterAutospacing="0" w:line="480" w:lineRule="exact"/>
        <w:ind w:firstLine="420" w:firstLineChars="200"/>
        <w:rPr>
          <w:sz w:val="21"/>
        </w:rPr>
      </w:pPr>
      <w:r>
        <w:rPr>
          <w:rFonts w:hint="eastAsia"/>
          <w:sz w:val="21"/>
        </w:rPr>
        <w:t>3.1.1项目咨询团队的主要人员应具有专用条件约定的资格条件，团队人员的数量应符合专用条件的约定。</w:t>
      </w:r>
    </w:p>
    <w:p>
      <w:pPr>
        <w:pStyle w:val="177"/>
        <w:adjustRightInd w:val="0"/>
        <w:snapToGrid w:val="0"/>
        <w:spacing w:before="0" w:beforeAutospacing="0" w:after="0" w:afterAutospacing="0" w:line="480" w:lineRule="exact"/>
        <w:ind w:firstLine="420" w:firstLineChars="200"/>
        <w:rPr>
          <w:sz w:val="21"/>
        </w:rPr>
      </w:pPr>
      <w:r>
        <w:rPr>
          <w:rFonts w:hint="eastAsia"/>
          <w:sz w:val="21"/>
        </w:rPr>
        <w:t>3.1.2项目负责人</w:t>
      </w:r>
    </w:p>
    <w:p>
      <w:pPr>
        <w:pStyle w:val="177"/>
        <w:adjustRightInd w:val="0"/>
        <w:snapToGrid w:val="0"/>
        <w:spacing w:before="0" w:beforeAutospacing="0" w:after="0" w:afterAutospacing="0" w:line="480" w:lineRule="exact"/>
        <w:ind w:firstLine="420" w:firstLineChars="200"/>
        <w:rPr>
          <w:sz w:val="21"/>
        </w:rPr>
      </w:pPr>
      <w:r>
        <w:rPr>
          <w:rFonts w:hint="eastAsia"/>
          <w:sz w:val="21"/>
        </w:rPr>
        <w:t>咨询人应以书面形式授权一名项目负责人负责履行本合同、主持项目咨询团队工作。采用招标程序签署本合同的，项目负责人应当与投标文件载明的一致。</w:t>
      </w:r>
    </w:p>
    <w:p>
      <w:pPr>
        <w:pStyle w:val="177"/>
        <w:adjustRightInd w:val="0"/>
        <w:snapToGrid w:val="0"/>
        <w:spacing w:before="0" w:beforeAutospacing="0" w:after="0" w:afterAutospacing="0" w:line="480" w:lineRule="exact"/>
        <w:ind w:firstLine="420" w:firstLineChars="200"/>
        <w:rPr>
          <w:sz w:val="21"/>
        </w:rPr>
      </w:pPr>
      <w:r>
        <w:rPr>
          <w:rFonts w:hint="eastAsia"/>
          <w:sz w:val="21"/>
        </w:rPr>
        <w:t>3.1.3在本合同履行过程中，咨询人员应保持相对稳定，以保证咨询工作正常进行。</w:t>
      </w:r>
    </w:p>
    <w:p>
      <w:pPr>
        <w:pStyle w:val="177"/>
        <w:adjustRightInd w:val="0"/>
        <w:snapToGrid w:val="0"/>
        <w:spacing w:before="0" w:beforeAutospacing="0" w:after="0" w:afterAutospacing="0" w:line="480" w:lineRule="exact"/>
        <w:ind w:firstLine="420" w:firstLineChars="200"/>
        <w:rPr>
          <w:sz w:val="21"/>
        </w:rPr>
      </w:pPr>
      <w:r>
        <w:rPr>
          <w:rFonts w:hint="eastAsia"/>
          <w:sz w:val="21"/>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3.1.4咨询人员有下列情形之一，委托人要求咨询人更换的，咨询人应当更换：</w:t>
      </w:r>
    </w:p>
    <w:p>
      <w:pPr>
        <w:pStyle w:val="177"/>
        <w:adjustRightInd w:val="0"/>
        <w:snapToGrid w:val="0"/>
        <w:spacing w:before="0" w:beforeAutospacing="0" w:after="0" w:afterAutospacing="0" w:line="480" w:lineRule="exact"/>
        <w:ind w:firstLine="420" w:firstLineChars="200"/>
        <w:rPr>
          <w:sz w:val="21"/>
        </w:rPr>
      </w:pPr>
      <w:r>
        <w:rPr>
          <w:rFonts w:hint="eastAsia"/>
          <w:sz w:val="21"/>
        </w:rPr>
        <w:t>（1）存在严重过失行为的；</w:t>
      </w:r>
    </w:p>
    <w:p>
      <w:pPr>
        <w:pStyle w:val="177"/>
        <w:adjustRightInd w:val="0"/>
        <w:snapToGrid w:val="0"/>
        <w:spacing w:before="0" w:beforeAutospacing="0" w:after="0" w:afterAutospacing="0" w:line="480" w:lineRule="exact"/>
        <w:ind w:firstLine="420" w:firstLineChars="200"/>
        <w:rPr>
          <w:sz w:val="21"/>
        </w:rPr>
      </w:pPr>
      <w:r>
        <w:rPr>
          <w:rFonts w:hint="eastAsia"/>
          <w:sz w:val="21"/>
        </w:rPr>
        <w:t>（2）存在违法行为不能履行职责的；</w:t>
      </w:r>
    </w:p>
    <w:p>
      <w:pPr>
        <w:pStyle w:val="177"/>
        <w:adjustRightInd w:val="0"/>
        <w:snapToGrid w:val="0"/>
        <w:spacing w:before="0" w:beforeAutospacing="0" w:after="0" w:afterAutospacing="0" w:line="480" w:lineRule="exact"/>
        <w:ind w:firstLine="420" w:firstLineChars="200"/>
        <w:rPr>
          <w:sz w:val="21"/>
        </w:rPr>
      </w:pPr>
      <w:r>
        <w:rPr>
          <w:rFonts w:hint="eastAsia"/>
          <w:sz w:val="21"/>
        </w:rPr>
        <w:t>（3）涉嫌犯罪的；</w:t>
      </w:r>
    </w:p>
    <w:p>
      <w:pPr>
        <w:pStyle w:val="177"/>
        <w:adjustRightInd w:val="0"/>
        <w:snapToGrid w:val="0"/>
        <w:spacing w:before="0" w:beforeAutospacing="0" w:after="0" w:afterAutospacing="0" w:line="480" w:lineRule="exact"/>
        <w:ind w:firstLine="420" w:firstLineChars="200"/>
        <w:rPr>
          <w:sz w:val="21"/>
        </w:rPr>
      </w:pPr>
      <w:r>
        <w:rPr>
          <w:rFonts w:hint="eastAsia"/>
          <w:sz w:val="21"/>
        </w:rPr>
        <w:t>（4）不能胜任岗位职责的；</w:t>
      </w:r>
    </w:p>
    <w:p>
      <w:pPr>
        <w:pStyle w:val="177"/>
        <w:adjustRightInd w:val="0"/>
        <w:snapToGrid w:val="0"/>
        <w:spacing w:before="0" w:beforeAutospacing="0" w:after="0" w:afterAutospacing="0" w:line="480" w:lineRule="exact"/>
        <w:ind w:firstLine="420" w:firstLineChars="200"/>
        <w:rPr>
          <w:sz w:val="21"/>
        </w:rPr>
      </w:pPr>
      <w:r>
        <w:rPr>
          <w:rFonts w:hint="eastAsia"/>
          <w:sz w:val="21"/>
        </w:rPr>
        <w:t>（5）严重违反职业道德的；</w:t>
      </w:r>
    </w:p>
    <w:p>
      <w:pPr>
        <w:pStyle w:val="177"/>
        <w:adjustRightInd w:val="0"/>
        <w:snapToGrid w:val="0"/>
        <w:spacing w:before="0" w:beforeAutospacing="0" w:after="0" w:afterAutospacing="0" w:line="480" w:lineRule="exact"/>
        <w:ind w:firstLine="420" w:firstLineChars="200"/>
        <w:rPr>
          <w:rStyle w:val="78"/>
          <w:rFonts w:ascii="宋体" w:hAnsi="宋体"/>
          <w:b w:val="0"/>
          <w:sz w:val="21"/>
        </w:rPr>
      </w:pPr>
      <w:r>
        <w:rPr>
          <w:rFonts w:hint="eastAsia"/>
          <w:sz w:val="21"/>
        </w:rPr>
        <w:t>（6）专用条件约定的其他情形。</w:t>
      </w:r>
    </w:p>
    <w:p>
      <w:pPr>
        <w:pStyle w:val="31"/>
        <w:adjustRightInd w:val="0"/>
        <w:snapToGrid w:val="0"/>
        <w:spacing w:before="0" w:after="0" w:line="480" w:lineRule="exact"/>
        <w:ind w:firstLine="420" w:firstLineChars="200"/>
        <w:jc w:val="both"/>
        <w:rPr>
          <w:rFonts w:ascii="宋体" w:hAnsi="宋体"/>
          <w:b w:val="0"/>
          <w:sz w:val="21"/>
          <w:szCs w:val="21"/>
        </w:rPr>
      </w:pPr>
      <w:bookmarkStart w:id="189" w:name="_Toc468905482"/>
      <w:bookmarkStart w:id="190" w:name="_Toc464396192"/>
      <w:bookmarkStart w:id="191" w:name="_Toc464395415"/>
      <w:r>
        <w:rPr>
          <w:rFonts w:hint="eastAsia" w:ascii="宋体" w:hAnsi="宋体"/>
          <w:b w:val="0"/>
          <w:sz w:val="21"/>
          <w:szCs w:val="21"/>
        </w:rPr>
        <w:t>3.2 咨询人</w:t>
      </w:r>
      <w:r>
        <w:rPr>
          <w:rFonts w:ascii="宋体" w:hAnsi="宋体"/>
          <w:b w:val="0"/>
          <w:sz w:val="21"/>
          <w:szCs w:val="21"/>
        </w:rPr>
        <w:t>的工作要求</w:t>
      </w:r>
      <w:bookmarkEnd w:id="189"/>
      <w:bookmarkEnd w:id="190"/>
      <w:bookmarkEnd w:id="191"/>
    </w:p>
    <w:p>
      <w:pPr>
        <w:pStyle w:val="177"/>
        <w:adjustRightInd w:val="0"/>
        <w:snapToGrid w:val="0"/>
        <w:spacing w:before="0" w:beforeAutospacing="0" w:after="0" w:afterAutospacing="0" w:line="480" w:lineRule="exact"/>
        <w:ind w:firstLine="420" w:firstLineChars="200"/>
        <w:rPr>
          <w:sz w:val="21"/>
        </w:rPr>
      </w:pPr>
      <w:r>
        <w:rPr>
          <w:rFonts w:hint="eastAsia"/>
          <w:sz w:val="21"/>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177"/>
        <w:adjustRightInd w:val="0"/>
        <w:snapToGrid w:val="0"/>
        <w:spacing w:before="0" w:beforeAutospacing="0" w:after="0" w:afterAutospacing="0" w:line="480" w:lineRule="exact"/>
        <w:ind w:firstLine="420" w:firstLineChars="200"/>
        <w:rPr>
          <w:sz w:val="21"/>
        </w:rPr>
      </w:pPr>
      <w:r>
        <w:rPr>
          <w:rFonts w:hint="eastAsia"/>
          <w:sz w:val="21"/>
        </w:rPr>
        <w:t>3.2.2咨询人应当在专用条件约定的时间内，按照专用条件约定的份数、组成向委托人提交咨询成果文件。</w:t>
      </w:r>
    </w:p>
    <w:p>
      <w:pPr>
        <w:pStyle w:val="177"/>
        <w:adjustRightInd w:val="0"/>
        <w:snapToGrid w:val="0"/>
        <w:spacing w:before="0" w:beforeAutospacing="0" w:after="0" w:afterAutospacing="0" w:line="480" w:lineRule="exact"/>
        <w:ind w:firstLine="420" w:firstLineChars="200"/>
        <w:rPr>
          <w:sz w:val="21"/>
        </w:rPr>
      </w:pPr>
      <w:r>
        <w:rPr>
          <w:rFonts w:hint="eastAsia"/>
          <w:sz w:val="21"/>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177"/>
        <w:adjustRightInd w:val="0"/>
        <w:snapToGrid w:val="0"/>
        <w:spacing w:before="0" w:beforeAutospacing="0" w:after="0" w:afterAutospacing="0" w:line="480" w:lineRule="exact"/>
        <w:ind w:firstLine="420" w:firstLineChars="200"/>
        <w:rPr>
          <w:sz w:val="21"/>
        </w:rPr>
      </w:pPr>
      <w:r>
        <w:rPr>
          <w:rFonts w:hint="eastAsia"/>
          <w:sz w:val="21"/>
        </w:rPr>
        <w:t>3.2.3咨询人提交的工程造价咨询成果文件，除加盖咨询人单位公章、工程造价咨询企业执业印章外，还必须按要求加盖参加咨询工作人员的执业（从业）资格印章。</w:t>
      </w:r>
    </w:p>
    <w:p>
      <w:pPr>
        <w:pStyle w:val="177"/>
        <w:adjustRightInd w:val="0"/>
        <w:snapToGrid w:val="0"/>
        <w:spacing w:before="0" w:beforeAutospacing="0" w:after="0" w:afterAutospacing="0" w:line="480" w:lineRule="exact"/>
        <w:ind w:firstLine="420" w:firstLineChars="200"/>
        <w:rPr>
          <w:sz w:val="21"/>
        </w:rPr>
      </w:pPr>
      <w:r>
        <w:rPr>
          <w:rFonts w:hint="eastAsia"/>
          <w:sz w:val="21"/>
        </w:rPr>
        <w:t>3.2.4咨询人应在专用条件约定的时间内，对委托人以书面形式提出的建议或者异议给予书面答复。</w:t>
      </w:r>
    </w:p>
    <w:p>
      <w:pPr>
        <w:pStyle w:val="177"/>
        <w:adjustRightInd w:val="0"/>
        <w:snapToGrid w:val="0"/>
        <w:spacing w:before="0" w:beforeAutospacing="0" w:after="0" w:afterAutospacing="0" w:line="480" w:lineRule="exact"/>
        <w:ind w:firstLine="420" w:firstLineChars="200"/>
        <w:rPr>
          <w:sz w:val="21"/>
        </w:rPr>
      </w:pPr>
      <w:r>
        <w:rPr>
          <w:rFonts w:hint="eastAsia"/>
          <w:sz w:val="21"/>
        </w:rPr>
        <w:t>3.2.5咨询人从事工程造价咨询活动，应当遵循独立、客观、公正、诚实信用的原则，不得损害社会公共利益和他人的合法权益。</w:t>
      </w:r>
    </w:p>
    <w:p>
      <w:pPr>
        <w:pStyle w:val="177"/>
        <w:adjustRightInd w:val="0"/>
        <w:snapToGrid w:val="0"/>
        <w:spacing w:before="0" w:beforeAutospacing="0" w:after="0" w:afterAutospacing="0" w:line="480" w:lineRule="exact"/>
        <w:ind w:firstLine="420" w:firstLineChars="200"/>
        <w:rPr>
          <w:sz w:val="21"/>
        </w:rPr>
      </w:pPr>
      <w:r>
        <w:rPr>
          <w:rFonts w:hint="eastAsia"/>
          <w:sz w:val="21"/>
        </w:rPr>
        <w:t>3.2.6咨询人承诺按照法律规定及合同约定，完成合同范围内的建设工程造价咨询服务，不转包承接的造价咨询服务业务。</w:t>
      </w:r>
    </w:p>
    <w:p>
      <w:pPr>
        <w:pStyle w:val="31"/>
        <w:adjustRightInd w:val="0"/>
        <w:snapToGrid w:val="0"/>
        <w:spacing w:before="0" w:after="0" w:line="480" w:lineRule="exact"/>
        <w:ind w:firstLine="420" w:firstLineChars="200"/>
        <w:jc w:val="both"/>
        <w:rPr>
          <w:rFonts w:ascii="宋体" w:hAnsi="宋体"/>
          <w:b w:val="0"/>
          <w:sz w:val="21"/>
          <w:szCs w:val="21"/>
        </w:rPr>
      </w:pPr>
      <w:bookmarkStart w:id="192" w:name="_Toc419045081"/>
      <w:bookmarkStart w:id="193" w:name="_Toc464395416"/>
      <w:bookmarkStart w:id="194" w:name="_Toc464396193"/>
      <w:bookmarkStart w:id="195" w:name="_Toc468905483"/>
      <w:r>
        <w:rPr>
          <w:rFonts w:hint="eastAsia" w:ascii="宋体" w:hAnsi="宋体"/>
          <w:b w:val="0"/>
          <w:sz w:val="21"/>
          <w:szCs w:val="21"/>
        </w:rPr>
        <w:t>3.3咨询人的工作依据</w:t>
      </w:r>
      <w:bookmarkEnd w:id="192"/>
      <w:bookmarkEnd w:id="193"/>
      <w:bookmarkEnd w:id="194"/>
      <w:bookmarkEnd w:id="195"/>
    </w:p>
    <w:p>
      <w:pPr>
        <w:pStyle w:val="177"/>
        <w:adjustRightInd w:val="0"/>
        <w:snapToGrid w:val="0"/>
        <w:spacing w:before="0" w:beforeAutospacing="0" w:after="0" w:afterAutospacing="0" w:line="480" w:lineRule="exact"/>
        <w:ind w:firstLine="420" w:firstLineChars="200"/>
        <w:rPr>
          <w:sz w:val="21"/>
        </w:rPr>
      </w:pPr>
      <w:r>
        <w:rPr>
          <w:rFonts w:hint="eastAsia"/>
          <w:sz w:val="21"/>
        </w:rPr>
        <w:t>咨询人应在专用条件内与委托人协商明确履行本合同约定的咨询服务需要适用的技术标准、规范、定额等工作依据，但不得违反国家及工程所在地的强制性标准、规范。</w:t>
      </w:r>
    </w:p>
    <w:p>
      <w:pPr>
        <w:pStyle w:val="177"/>
        <w:adjustRightInd w:val="0"/>
        <w:snapToGrid w:val="0"/>
        <w:spacing w:before="0" w:beforeAutospacing="0" w:after="0" w:afterAutospacing="0" w:line="480" w:lineRule="exact"/>
        <w:ind w:firstLine="420" w:firstLineChars="200"/>
        <w:rPr>
          <w:sz w:val="21"/>
        </w:rPr>
      </w:pPr>
      <w:r>
        <w:rPr>
          <w:rFonts w:hint="eastAsia"/>
          <w:sz w:val="21"/>
        </w:rPr>
        <w:t>咨询人应自行配备本条所述的技术标准、规范、定额等相关资料。必须由委托人提供的资料，应在附录C中载明。需要委托人协助才能获得的资料，委托人应予以协助。</w:t>
      </w:r>
    </w:p>
    <w:p>
      <w:pPr>
        <w:pStyle w:val="31"/>
        <w:adjustRightInd w:val="0"/>
        <w:snapToGrid w:val="0"/>
        <w:spacing w:before="0" w:after="0" w:line="480" w:lineRule="exact"/>
        <w:ind w:firstLine="420" w:firstLineChars="200"/>
        <w:jc w:val="both"/>
        <w:rPr>
          <w:rFonts w:ascii="宋体" w:hAnsi="宋体"/>
          <w:b w:val="0"/>
          <w:sz w:val="21"/>
          <w:szCs w:val="21"/>
        </w:rPr>
      </w:pPr>
      <w:bookmarkStart w:id="196" w:name="_Toc468905484"/>
      <w:bookmarkStart w:id="197" w:name="_Toc464396194"/>
      <w:bookmarkStart w:id="198" w:name="_Toc464395417"/>
      <w:bookmarkStart w:id="199" w:name="_Toc419045082"/>
      <w:r>
        <w:rPr>
          <w:rFonts w:hint="eastAsia" w:ascii="宋体" w:hAnsi="宋体"/>
          <w:b w:val="0"/>
          <w:sz w:val="21"/>
          <w:szCs w:val="21"/>
        </w:rPr>
        <w:t>3.4使用委托人房屋及设备的返还</w:t>
      </w:r>
      <w:bookmarkEnd w:id="196"/>
      <w:bookmarkEnd w:id="197"/>
      <w:bookmarkEnd w:id="198"/>
      <w:bookmarkEnd w:id="199"/>
    </w:p>
    <w:p>
      <w:pPr>
        <w:pStyle w:val="177"/>
        <w:adjustRightInd w:val="0"/>
        <w:snapToGrid w:val="0"/>
        <w:spacing w:before="0" w:beforeAutospacing="0" w:after="0" w:afterAutospacing="0" w:line="480" w:lineRule="exact"/>
        <w:ind w:firstLine="420" w:firstLineChars="200"/>
        <w:rPr>
          <w:sz w:val="21"/>
        </w:rPr>
      </w:pPr>
      <w:r>
        <w:rPr>
          <w:rFonts w:hint="eastAsia"/>
          <w:sz w:val="21"/>
        </w:rPr>
        <w:t>项目咨询人员使用委托人提供的房屋及设备的，咨询人应妥善使用和保管，在本合同终止时将上述房屋及设备按专用条件约定的时间和方式返还委托人。</w:t>
      </w:r>
    </w:p>
    <w:bookmarkEnd w:id="188"/>
    <w:p>
      <w:pPr>
        <w:adjustRightInd w:val="0"/>
        <w:snapToGrid w:val="0"/>
        <w:spacing w:line="480" w:lineRule="exact"/>
        <w:ind w:firstLine="422" w:firstLineChars="200"/>
        <w:rPr>
          <w:rStyle w:val="145"/>
          <w:rFonts w:ascii="宋体" w:hAnsi="宋体"/>
          <w:sz w:val="21"/>
          <w:szCs w:val="21"/>
        </w:rPr>
      </w:pPr>
      <w:bookmarkStart w:id="200" w:name="_Toc419045083"/>
      <w:bookmarkStart w:id="201" w:name="_Toc468905485"/>
      <w:bookmarkStart w:id="202" w:name="_Toc464395418"/>
      <w:bookmarkStart w:id="203" w:name="_Toc464396195"/>
      <w:bookmarkStart w:id="204" w:name="19"/>
      <w:r>
        <w:rPr>
          <w:rStyle w:val="145"/>
          <w:rFonts w:hint="eastAsia" w:ascii="宋体" w:hAnsi="宋体"/>
          <w:sz w:val="21"/>
          <w:szCs w:val="21"/>
        </w:rPr>
        <w:t>4.违约责任</w:t>
      </w:r>
      <w:bookmarkEnd w:id="200"/>
      <w:bookmarkEnd w:id="201"/>
      <w:bookmarkEnd w:id="202"/>
      <w:bookmarkEnd w:id="203"/>
    </w:p>
    <w:p>
      <w:pPr>
        <w:pStyle w:val="31"/>
        <w:adjustRightInd w:val="0"/>
        <w:snapToGrid w:val="0"/>
        <w:spacing w:before="0" w:after="0" w:line="480" w:lineRule="exact"/>
        <w:ind w:firstLine="420" w:firstLineChars="200"/>
        <w:jc w:val="both"/>
        <w:rPr>
          <w:rFonts w:ascii="宋体" w:hAnsi="宋体"/>
          <w:b w:val="0"/>
          <w:sz w:val="21"/>
          <w:szCs w:val="21"/>
        </w:rPr>
      </w:pPr>
      <w:bookmarkStart w:id="205" w:name="_Toc464396196"/>
      <w:bookmarkStart w:id="206" w:name="_Toc464395419"/>
      <w:bookmarkStart w:id="207" w:name="_Toc468905486"/>
      <w:r>
        <w:rPr>
          <w:rFonts w:hint="eastAsia" w:ascii="宋体" w:hAnsi="宋体"/>
          <w:b w:val="0"/>
          <w:sz w:val="21"/>
          <w:szCs w:val="21"/>
        </w:rPr>
        <w:t>4.1委托人的违约责任</w:t>
      </w:r>
      <w:bookmarkEnd w:id="205"/>
      <w:bookmarkEnd w:id="206"/>
      <w:bookmarkEnd w:id="207"/>
    </w:p>
    <w:p>
      <w:pPr>
        <w:pStyle w:val="177"/>
        <w:adjustRightInd w:val="0"/>
        <w:snapToGrid w:val="0"/>
        <w:spacing w:before="0" w:beforeAutospacing="0" w:after="0" w:afterAutospacing="0" w:line="480" w:lineRule="exact"/>
        <w:ind w:firstLine="420" w:firstLineChars="200"/>
        <w:rPr>
          <w:sz w:val="21"/>
        </w:rPr>
      </w:pPr>
      <w:r>
        <w:rPr>
          <w:rFonts w:hint="eastAsia"/>
          <w:sz w:val="21"/>
        </w:rPr>
        <w:t>4.1.1委托人不履行本合同义务或者履行义务不符合本合同约定的，应承担违约责任。双方可</w:t>
      </w:r>
      <w:r>
        <w:rPr>
          <w:sz w:val="21"/>
        </w:rPr>
        <w:t>在专用条件中约定</w:t>
      </w:r>
      <w:r>
        <w:rPr>
          <w:rFonts w:hint="eastAsia"/>
          <w:sz w:val="21"/>
        </w:rPr>
        <w:t>违约金</w:t>
      </w:r>
      <w:r>
        <w:rPr>
          <w:sz w:val="21"/>
        </w:rPr>
        <w:t>的</w:t>
      </w:r>
      <w:r>
        <w:rPr>
          <w:rFonts w:hint="eastAsia"/>
          <w:sz w:val="21"/>
        </w:rPr>
        <w:t>计算及支付</w:t>
      </w:r>
      <w:r>
        <w:rPr>
          <w:sz w:val="21"/>
        </w:rPr>
        <w:t>方法。</w:t>
      </w:r>
    </w:p>
    <w:p>
      <w:pPr>
        <w:pStyle w:val="177"/>
        <w:adjustRightInd w:val="0"/>
        <w:snapToGrid w:val="0"/>
        <w:spacing w:before="0" w:beforeAutospacing="0" w:after="0" w:afterAutospacing="0" w:line="480" w:lineRule="exact"/>
        <w:ind w:firstLine="420" w:firstLineChars="200"/>
        <w:rPr>
          <w:sz w:val="21"/>
        </w:rPr>
      </w:pPr>
      <w:r>
        <w:rPr>
          <w:rFonts w:hint="eastAsia"/>
          <w:sz w:val="21"/>
        </w:rPr>
        <w:t>4.1.2委托人违反本合同约定造成咨询人损失的，委托人应予以赔偿。双方可</w:t>
      </w:r>
      <w:r>
        <w:rPr>
          <w:sz w:val="21"/>
        </w:rPr>
        <w:t>在专用条件中约定赔偿金额的确定</w:t>
      </w:r>
      <w:r>
        <w:rPr>
          <w:rFonts w:hint="eastAsia"/>
          <w:sz w:val="21"/>
        </w:rPr>
        <w:t>及支付</w:t>
      </w:r>
      <w:r>
        <w:rPr>
          <w:sz w:val="21"/>
        </w:rPr>
        <w:t>方法。</w:t>
      </w:r>
    </w:p>
    <w:p>
      <w:pPr>
        <w:pStyle w:val="31"/>
        <w:adjustRightInd w:val="0"/>
        <w:snapToGrid w:val="0"/>
        <w:spacing w:before="0" w:after="0" w:line="480" w:lineRule="exact"/>
        <w:ind w:firstLine="420" w:firstLineChars="200"/>
        <w:jc w:val="both"/>
        <w:rPr>
          <w:rFonts w:ascii="宋体" w:hAnsi="宋体"/>
          <w:b w:val="0"/>
          <w:sz w:val="21"/>
          <w:szCs w:val="21"/>
        </w:rPr>
      </w:pPr>
      <w:bookmarkStart w:id="208" w:name="_Toc468905487"/>
      <w:bookmarkStart w:id="209" w:name="_Toc464396197"/>
      <w:bookmarkStart w:id="210" w:name="_Toc464395420"/>
      <w:bookmarkStart w:id="211" w:name="_Toc419045084"/>
      <w:r>
        <w:rPr>
          <w:rFonts w:hint="eastAsia" w:ascii="宋体" w:hAnsi="宋体"/>
          <w:b w:val="0"/>
          <w:sz w:val="21"/>
          <w:szCs w:val="21"/>
        </w:rPr>
        <w:t>4.2咨询人的违约责任</w:t>
      </w:r>
      <w:bookmarkEnd w:id="208"/>
      <w:bookmarkEnd w:id="209"/>
      <w:bookmarkEnd w:id="210"/>
      <w:bookmarkEnd w:id="211"/>
    </w:p>
    <w:p>
      <w:pPr>
        <w:pStyle w:val="177"/>
        <w:adjustRightInd w:val="0"/>
        <w:snapToGrid w:val="0"/>
        <w:spacing w:before="0" w:beforeAutospacing="0" w:after="0" w:afterAutospacing="0" w:line="480" w:lineRule="exact"/>
        <w:ind w:firstLine="420" w:firstLineChars="200"/>
        <w:rPr>
          <w:sz w:val="21"/>
        </w:rPr>
      </w:pPr>
      <w:r>
        <w:rPr>
          <w:rFonts w:hint="eastAsia"/>
          <w:sz w:val="21"/>
        </w:rPr>
        <w:t>4.2.1咨询人不履行本合同义务或者履行义务不符合本合同约定的，应承担违约责任。双方可</w:t>
      </w:r>
      <w:r>
        <w:rPr>
          <w:sz w:val="21"/>
        </w:rPr>
        <w:t>在专用条件中约定</w:t>
      </w:r>
      <w:r>
        <w:rPr>
          <w:rFonts w:hint="eastAsia"/>
          <w:sz w:val="21"/>
        </w:rPr>
        <w:t>违约金</w:t>
      </w:r>
      <w:r>
        <w:rPr>
          <w:sz w:val="21"/>
        </w:rPr>
        <w:t>的</w:t>
      </w:r>
      <w:r>
        <w:rPr>
          <w:rFonts w:hint="eastAsia"/>
          <w:sz w:val="21"/>
        </w:rPr>
        <w:t>计算及支付</w:t>
      </w:r>
      <w:r>
        <w:rPr>
          <w:sz w:val="21"/>
        </w:rPr>
        <w:t>方法。</w:t>
      </w:r>
    </w:p>
    <w:p>
      <w:pPr>
        <w:pStyle w:val="177"/>
        <w:adjustRightInd w:val="0"/>
        <w:snapToGrid w:val="0"/>
        <w:spacing w:before="0" w:beforeAutospacing="0" w:after="0" w:afterAutospacing="0" w:line="480" w:lineRule="exact"/>
        <w:ind w:firstLine="420" w:firstLineChars="200"/>
        <w:rPr>
          <w:sz w:val="21"/>
        </w:rPr>
      </w:pPr>
      <w:r>
        <w:rPr>
          <w:rFonts w:hint="eastAsia"/>
          <w:sz w:val="21"/>
        </w:rPr>
        <w:t>4.2.2</w:t>
      </w:r>
      <w:r>
        <w:rPr>
          <w:sz w:val="21"/>
        </w:rPr>
        <w:t>因</w:t>
      </w:r>
      <w:r>
        <w:rPr>
          <w:rFonts w:hint="eastAsia"/>
          <w:sz w:val="21"/>
        </w:rPr>
        <w:t>咨询</w:t>
      </w:r>
      <w:r>
        <w:rPr>
          <w:sz w:val="21"/>
        </w:rPr>
        <w:t>人违反本合同约定给委托人造成损失的，</w:t>
      </w:r>
      <w:r>
        <w:rPr>
          <w:rFonts w:hint="eastAsia"/>
          <w:sz w:val="21"/>
        </w:rPr>
        <w:t>咨询</w:t>
      </w:r>
      <w:r>
        <w:rPr>
          <w:sz w:val="21"/>
        </w:rPr>
        <w:t>人应当赔偿委托人损失。</w:t>
      </w:r>
      <w:r>
        <w:rPr>
          <w:rFonts w:hint="eastAsia"/>
          <w:sz w:val="21"/>
        </w:rPr>
        <w:t>双方可</w:t>
      </w:r>
      <w:r>
        <w:rPr>
          <w:sz w:val="21"/>
        </w:rPr>
        <w:t>在专用条件中约定赔偿金额的确定</w:t>
      </w:r>
      <w:r>
        <w:rPr>
          <w:rFonts w:hint="eastAsia"/>
          <w:sz w:val="21"/>
        </w:rPr>
        <w:t>及支付</w:t>
      </w:r>
      <w:r>
        <w:rPr>
          <w:sz w:val="21"/>
        </w:rPr>
        <w:t>方法</w:t>
      </w:r>
      <w:r>
        <w:rPr>
          <w:rFonts w:hint="eastAsia"/>
          <w:sz w:val="21"/>
        </w:rPr>
        <w:t>。</w:t>
      </w:r>
    </w:p>
    <w:p>
      <w:pPr>
        <w:adjustRightInd w:val="0"/>
        <w:snapToGrid w:val="0"/>
        <w:spacing w:line="480" w:lineRule="exact"/>
        <w:ind w:firstLine="422" w:firstLineChars="200"/>
        <w:rPr>
          <w:rStyle w:val="145"/>
          <w:rFonts w:ascii="宋体" w:hAnsi="宋体"/>
          <w:bCs w:val="0"/>
          <w:sz w:val="21"/>
          <w:szCs w:val="21"/>
        </w:rPr>
      </w:pPr>
      <w:bookmarkStart w:id="212" w:name="_Toc464395421"/>
      <w:bookmarkStart w:id="213" w:name="_Toc419045086"/>
      <w:bookmarkStart w:id="214" w:name="_Toc468905488"/>
      <w:bookmarkStart w:id="215" w:name="_Toc464396198"/>
      <w:r>
        <w:rPr>
          <w:rStyle w:val="145"/>
          <w:rFonts w:hint="eastAsia" w:ascii="宋体" w:hAnsi="宋体"/>
          <w:bCs w:val="0"/>
          <w:sz w:val="21"/>
          <w:szCs w:val="21"/>
        </w:rPr>
        <w:t>5.支付</w:t>
      </w:r>
      <w:bookmarkEnd w:id="212"/>
      <w:bookmarkEnd w:id="213"/>
      <w:bookmarkEnd w:id="214"/>
      <w:bookmarkEnd w:id="215"/>
    </w:p>
    <w:p>
      <w:pPr>
        <w:pStyle w:val="31"/>
        <w:adjustRightInd w:val="0"/>
        <w:snapToGrid w:val="0"/>
        <w:spacing w:before="0" w:after="0" w:line="480" w:lineRule="exact"/>
        <w:ind w:firstLine="422" w:firstLineChars="200"/>
        <w:jc w:val="both"/>
        <w:rPr>
          <w:rFonts w:ascii="宋体" w:hAnsi="宋体"/>
          <w:sz w:val="21"/>
          <w:szCs w:val="21"/>
        </w:rPr>
      </w:pPr>
      <w:bookmarkStart w:id="216" w:name="_Toc464395422"/>
      <w:bookmarkStart w:id="217" w:name="_Toc419045087"/>
      <w:bookmarkStart w:id="218" w:name="_Toc468905489"/>
      <w:bookmarkStart w:id="219" w:name="_Toc464396199"/>
      <w:r>
        <w:rPr>
          <w:rStyle w:val="78"/>
          <w:rFonts w:hint="eastAsia" w:ascii="宋体" w:hAnsi="宋体"/>
          <w:b/>
          <w:sz w:val="21"/>
          <w:szCs w:val="21"/>
        </w:rPr>
        <w:t>5.1支</w:t>
      </w:r>
      <w:r>
        <w:rPr>
          <w:rStyle w:val="78"/>
          <w:rFonts w:ascii="宋体" w:hAnsi="宋体"/>
          <w:b/>
          <w:sz w:val="21"/>
          <w:szCs w:val="21"/>
        </w:rPr>
        <w:t>付货币</w:t>
      </w:r>
      <w:bookmarkEnd w:id="216"/>
      <w:bookmarkEnd w:id="217"/>
      <w:bookmarkEnd w:id="218"/>
      <w:bookmarkEnd w:id="219"/>
    </w:p>
    <w:p>
      <w:pPr>
        <w:adjustRightInd w:val="0"/>
        <w:snapToGrid w:val="0"/>
        <w:spacing w:line="480" w:lineRule="exact"/>
        <w:ind w:firstLine="420" w:firstLineChars="200"/>
        <w:rPr>
          <w:rStyle w:val="78"/>
          <w:rFonts w:ascii="宋体" w:hAnsi="宋体"/>
          <w:b w:val="0"/>
          <w:sz w:val="21"/>
          <w:szCs w:val="21"/>
        </w:rPr>
      </w:pPr>
      <w:r>
        <w:rPr>
          <w:rFonts w:ascii="宋体" w:hAnsi="宋体"/>
          <w:szCs w:val="21"/>
        </w:rPr>
        <w:t>除专用条件另有约定外，酬金均以人民币支付。涉及外币支付的，所采用的货币种类和汇率</w:t>
      </w:r>
      <w:r>
        <w:rPr>
          <w:rFonts w:hint="eastAsia" w:ascii="宋体" w:hAnsi="宋体"/>
          <w:szCs w:val="21"/>
        </w:rPr>
        <w:t>等</w:t>
      </w:r>
      <w:r>
        <w:rPr>
          <w:rFonts w:ascii="宋体" w:hAnsi="宋体"/>
          <w:szCs w:val="21"/>
        </w:rPr>
        <w:t>在专用条件中约定。</w:t>
      </w:r>
    </w:p>
    <w:p>
      <w:pPr>
        <w:pStyle w:val="31"/>
        <w:adjustRightInd w:val="0"/>
        <w:snapToGrid w:val="0"/>
        <w:spacing w:before="0" w:after="0" w:line="480" w:lineRule="exact"/>
        <w:ind w:firstLine="420" w:firstLineChars="200"/>
        <w:jc w:val="both"/>
        <w:rPr>
          <w:rFonts w:ascii="宋体" w:hAnsi="宋体"/>
          <w:b w:val="0"/>
          <w:sz w:val="21"/>
          <w:szCs w:val="21"/>
        </w:rPr>
      </w:pPr>
      <w:bookmarkStart w:id="220" w:name="_Toc464396200"/>
      <w:bookmarkStart w:id="221" w:name="_Toc464395423"/>
      <w:bookmarkStart w:id="222" w:name="_Toc468905490"/>
      <w:r>
        <w:rPr>
          <w:rFonts w:hint="eastAsia" w:ascii="宋体" w:hAnsi="宋体"/>
          <w:b w:val="0"/>
          <w:sz w:val="21"/>
          <w:szCs w:val="21"/>
        </w:rPr>
        <w:t>5.2支付</w:t>
      </w:r>
      <w:r>
        <w:rPr>
          <w:rFonts w:ascii="宋体" w:hAnsi="宋体"/>
          <w:b w:val="0"/>
          <w:sz w:val="21"/>
          <w:szCs w:val="21"/>
        </w:rPr>
        <w:t>申请</w:t>
      </w:r>
      <w:bookmarkEnd w:id="220"/>
      <w:bookmarkEnd w:id="221"/>
      <w:bookmarkEnd w:id="222"/>
    </w:p>
    <w:p>
      <w:pPr>
        <w:adjustRightInd w:val="0"/>
        <w:snapToGrid w:val="0"/>
        <w:spacing w:line="480" w:lineRule="exact"/>
        <w:ind w:firstLine="420" w:firstLineChars="200"/>
        <w:rPr>
          <w:rStyle w:val="78"/>
          <w:rFonts w:ascii="宋体" w:hAnsi="宋体"/>
          <w:b w:val="0"/>
          <w:sz w:val="21"/>
          <w:szCs w:val="21"/>
        </w:rPr>
      </w:pPr>
      <w:r>
        <w:rPr>
          <w:rFonts w:hint="eastAsia" w:ascii="宋体" w:hAnsi="宋体"/>
          <w:szCs w:val="21"/>
        </w:rPr>
        <w:t>咨询</w:t>
      </w:r>
      <w:r>
        <w:rPr>
          <w:rFonts w:ascii="宋体" w:hAnsi="宋体"/>
          <w:szCs w:val="21"/>
        </w:rPr>
        <w:t>人应在本合同约定的每次应付款</w:t>
      </w:r>
      <w:r>
        <w:rPr>
          <w:rFonts w:hint="eastAsia" w:ascii="宋体" w:hAnsi="宋体"/>
          <w:szCs w:val="21"/>
        </w:rPr>
        <w:t>日期前</w:t>
      </w:r>
      <w:r>
        <w:rPr>
          <w:rFonts w:ascii="宋体" w:hAnsi="宋体"/>
          <w:szCs w:val="21"/>
        </w:rPr>
        <w:t>，向委托人提交支付申请书</w:t>
      </w:r>
      <w:r>
        <w:rPr>
          <w:rFonts w:hint="eastAsia" w:ascii="宋体" w:hAnsi="宋体"/>
          <w:szCs w:val="21"/>
        </w:rPr>
        <w:t>，支付申请书的提交日期由双方在专用条件中约定</w:t>
      </w:r>
      <w:r>
        <w:rPr>
          <w:rFonts w:ascii="宋体" w:hAnsi="宋体"/>
          <w:szCs w:val="21"/>
        </w:rPr>
        <w:t>。支付申请书应当说明当期应付款总额，并列出当期应支付的款项及其金额。</w:t>
      </w:r>
    </w:p>
    <w:p>
      <w:pPr>
        <w:pStyle w:val="31"/>
        <w:adjustRightInd w:val="0"/>
        <w:snapToGrid w:val="0"/>
        <w:spacing w:before="0" w:after="0" w:line="480" w:lineRule="exact"/>
        <w:ind w:firstLine="420" w:firstLineChars="200"/>
        <w:jc w:val="both"/>
        <w:rPr>
          <w:rFonts w:ascii="宋体" w:hAnsi="宋体"/>
          <w:b w:val="0"/>
          <w:sz w:val="21"/>
          <w:szCs w:val="21"/>
        </w:rPr>
      </w:pPr>
      <w:bookmarkStart w:id="223" w:name="_Toc464396201"/>
      <w:bookmarkStart w:id="224" w:name="_Toc464395424"/>
      <w:bookmarkStart w:id="225" w:name="_Toc468905491"/>
      <w:r>
        <w:rPr>
          <w:rFonts w:hint="eastAsia" w:ascii="宋体" w:hAnsi="宋体"/>
          <w:b w:val="0"/>
          <w:sz w:val="21"/>
          <w:szCs w:val="21"/>
        </w:rPr>
        <w:t>5.3 支付酬金</w:t>
      </w:r>
      <w:bookmarkEnd w:id="223"/>
      <w:bookmarkEnd w:id="224"/>
      <w:bookmarkEnd w:id="225"/>
    </w:p>
    <w:p>
      <w:pPr>
        <w:adjustRightInd w:val="0"/>
        <w:snapToGrid w:val="0"/>
        <w:spacing w:line="480" w:lineRule="exact"/>
        <w:ind w:firstLine="420" w:firstLineChars="200"/>
        <w:rPr>
          <w:rStyle w:val="78"/>
          <w:rFonts w:ascii="宋体" w:hAnsi="宋体" w:cs="宋体"/>
          <w:b w:val="0"/>
          <w:bCs/>
          <w:kern w:val="0"/>
          <w:sz w:val="21"/>
          <w:szCs w:val="21"/>
        </w:rPr>
      </w:pPr>
      <w:r>
        <w:rPr>
          <w:rFonts w:ascii="宋体" w:hAnsi="宋体"/>
          <w:szCs w:val="21"/>
        </w:rPr>
        <w:t>支付酬金包括正常工作酬金、附加工作酬金、合理化建议奖励金额及费用。</w:t>
      </w:r>
    </w:p>
    <w:p>
      <w:pPr>
        <w:pStyle w:val="31"/>
        <w:adjustRightInd w:val="0"/>
        <w:snapToGrid w:val="0"/>
        <w:spacing w:before="0" w:after="0" w:line="480" w:lineRule="exact"/>
        <w:ind w:firstLine="420" w:firstLineChars="200"/>
        <w:jc w:val="both"/>
        <w:rPr>
          <w:rFonts w:ascii="宋体" w:hAnsi="宋体"/>
          <w:b w:val="0"/>
          <w:sz w:val="21"/>
          <w:szCs w:val="21"/>
        </w:rPr>
      </w:pPr>
      <w:bookmarkStart w:id="226" w:name="_Toc468905492"/>
      <w:bookmarkStart w:id="227" w:name="_Toc464395425"/>
      <w:bookmarkStart w:id="228" w:name="_Toc464396202"/>
      <w:r>
        <w:rPr>
          <w:rFonts w:hint="eastAsia" w:ascii="宋体" w:hAnsi="宋体"/>
          <w:b w:val="0"/>
          <w:sz w:val="21"/>
          <w:szCs w:val="21"/>
        </w:rPr>
        <w:t>5.4有异议</w:t>
      </w:r>
      <w:r>
        <w:rPr>
          <w:rFonts w:ascii="宋体" w:hAnsi="宋体"/>
          <w:b w:val="0"/>
          <w:sz w:val="21"/>
          <w:szCs w:val="21"/>
        </w:rPr>
        <w:t>部分的</w:t>
      </w:r>
      <w:r>
        <w:rPr>
          <w:rFonts w:hint="eastAsia" w:ascii="宋体" w:hAnsi="宋体"/>
          <w:b w:val="0"/>
          <w:sz w:val="21"/>
          <w:szCs w:val="21"/>
        </w:rPr>
        <w:t>支付</w:t>
      </w:r>
      <w:bookmarkEnd w:id="226"/>
      <w:bookmarkEnd w:id="227"/>
      <w:bookmarkEnd w:id="228"/>
    </w:p>
    <w:p>
      <w:pPr>
        <w:adjustRightInd w:val="0"/>
        <w:snapToGrid w:val="0"/>
        <w:spacing w:line="480" w:lineRule="exact"/>
        <w:ind w:firstLine="420" w:firstLineChars="200"/>
        <w:rPr>
          <w:rFonts w:ascii="宋体" w:hAnsi="宋体"/>
          <w:szCs w:val="21"/>
        </w:rPr>
      </w:pPr>
      <w:r>
        <w:rPr>
          <w:rFonts w:ascii="宋体" w:hAnsi="宋体"/>
          <w:szCs w:val="21"/>
        </w:rPr>
        <w:t>委托人对</w:t>
      </w:r>
      <w:r>
        <w:rPr>
          <w:rFonts w:hint="eastAsia" w:ascii="宋体" w:hAnsi="宋体"/>
          <w:szCs w:val="21"/>
        </w:rPr>
        <w:t>咨询</w:t>
      </w:r>
      <w:r>
        <w:rPr>
          <w:rFonts w:ascii="宋体" w:hAnsi="宋体"/>
          <w:szCs w:val="21"/>
        </w:rPr>
        <w:t>人提交的支付申请书有异议时，应当在收到</w:t>
      </w:r>
      <w:r>
        <w:rPr>
          <w:rFonts w:hint="eastAsia" w:ascii="宋体" w:hAnsi="宋体"/>
          <w:szCs w:val="21"/>
        </w:rPr>
        <w:t>咨询</w:t>
      </w:r>
      <w:r>
        <w:rPr>
          <w:rFonts w:ascii="宋体" w:hAnsi="宋体"/>
          <w:szCs w:val="21"/>
        </w:rPr>
        <w:t>人提交的支付申请书后7</w:t>
      </w:r>
      <w:r>
        <w:rPr>
          <w:rFonts w:hint="eastAsia" w:ascii="宋体" w:hAnsi="宋体"/>
          <w:szCs w:val="21"/>
        </w:rPr>
        <w:t>日</w:t>
      </w:r>
      <w:r>
        <w:rPr>
          <w:rFonts w:ascii="宋体" w:hAnsi="宋体"/>
          <w:szCs w:val="21"/>
        </w:rPr>
        <w:t>内，以书面形式向</w:t>
      </w:r>
      <w:r>
        <w:rPr>
          <w:rFonts w:hint="eastAsia" w:ascii="宋体" w:hAnsi="宋体"/>
          <w:szCs w:val="21"/>
        </w:rPr>
        <w:t>咨询</w:t>
      </w:r>
      <w:r>
        <w:rPr>
          <w:rFonts w:ascii="宋体" w:hAnsi="宋体"/>
          <w:szCs w:val="21"/>
        </w:rPr>
        <w:t>人发出异议通知。无异议部分的款项应按期支付，有异议部分的款项按第7条约定办理。</w:t>
      </w:r>
    </w:p>
    <w:p>
      <w:pPr>
        <w:adjustRightInd w:val="0"/>
        <w:snapToGrid w:val="0"/>
        <w:spacing w:line="480" w:lineRule="exact"/>
        <w:ind w:firstLine="422" w:firstLineChars="200"/>
        <w:rPr>
          <w:rStyle w:val="145"/>
          <w:rFonts w:ascii="宋体" w:hAnsi="宋体"/>
          <w:sz w:val="21"/>
          <w:szCs w:val="21"/>
        </w:rPr>
      </w:pPr>
      <w:bookmarkStart w:id="229" w:name="_Toc464396203"/>
      <w:bookmarkStart w:id="230" w:name="_Toc468905493"/>
      <w:bookmarkStart w:id="231" w:name="_Toc464395426"/>
      <w:bookmarkStart w:id="232" w:name="_Toc419045088"/>
      <w:r>
        <w:rPr>
          <w:rStyle w:val="145"/>
          <w:rFonts w:hint="eastAsia" w:ascii="宋体" w:hAnsi="宋体"/>
          <w:sz w:val="21"/>
          <w:szCs w:val="21"/>
        </w:rPr>
        <w:t>6.合同变更、解除与终止</w:t>
      </w:r>
      <w:bookmarkEnd w:id="229"/>
      <w:bookmarkEnd w:id="230"/>
      <w:bookmarkEnd w:id="231"/>
      <w:bookmarkEnd w:id="232"/>
    </w:p>
    <w:p>
      <w:pPr>
        <w:adjustRightInd w:val="0"/>
        <w:snapToGrid w:val="0"/>
        <w:spacing w:line="480" w:lineRule="exact"/>
        <w:ind w:firstLine="420" w:firstLineChars="200"/>
        <w:rPr>
          <w:rFonts w:ascii="宋体" w:hAnsi="宋体"/>
          <w:szCs w:val="21"/>
        </w:rPr>
      </w:pPr>
      <w:bookmarkStart w:id="233" w:name="_Toc468905494"/>
      <w:bookmarkStart w:id="234" w:name="_Toc464395427"/>
      <w:bookmarkStart w:id="235" w:name="_Toc419045089"/>
      <w:bookmarkStart w:id="236" w:name="_Toc464396204"/>
      <w:r>
        <w:rPr>
          <w:rStyle w:val="78"/>
          <w:rFonts w:hint="eastAsia" w:ascii="宋体" w:hAnsi="宋体"/>
          <w:b w:val="0"/>
          <w:sz w:val="21"/>
          <w:szCs w:val="21"/>
        </w:rPr>
        <w:t>6.1合同</w:t>
      </w:r>
      <w:r>
        <w:rPr>
          <w:rStyle w:val="78"/>
          <w:rFonts w:ascii="宋体" w:hAnsi="宋体"/>
          <w:b w:val="0"/>
          <w:sz w:val="21"/>
          <w:szCs w:val="21"/>
        </w:rPr>
        <w:t>变更</w:t>
      </w:r>
      <w:bookmarkEnd w:id="233"/>
      <w:bookmarkEnd w:id="234"/>
      <w:bookmarkEnd w:id="235"/>
      <w:bookmarkEnd w:id="236"/>
    </w:p>
    <w:p>
      <w:pPr>
        <w:adjustRightInd w:val="0"/>
        <w:snapToGrid w:val="0"/>
        <w:spacing w:line="480" w:lineRule="exact"/>
        <w:ind w:firstLine="420" w:firstLineChars="200"/>
        <w:rPr>
          <w:rFonts w:ascii="宋体" w:hAnsi="宋体"/>
          <w:szCs w:val="21"/>
        </w:rPr>
      </w:pPr>
      <w:r>
        <w:rPr>
          <w:rFonts w:ascii="宋体" w:hAnsi="宋体"/>
          <w:szCs w:val="21"/>
        </w:rPr>
        <w:t>6.</w:t>
      </w:r>
      <w:r>
        <w:rPr>
          <w:rFonts w:hint="eastAsia" w:ascii="宋体" w:hAnsi="宋体"/>
          <w:szCs w:val="21"/>
        </w:rPr>
        <w:t>1</w:t>
      </w:r>
      <w:r>
        <w:rPr>
          <w:rFonts w:ascii="宋体" w:hAnsi="宋体"/>
          <w:szCs w:val="21"/>
        </w:rPr>
        <w:t>.1 任何一方</w:t>
      </w:r>
      <w:r>
        <w:rPr>
          <w:rFonts w:hint="eastAsia" w:ascii="宋体" w:hAnsi="宋体"/>
          <w:szCs w:val="21"/>
        </w:rPr>
        <w:t>以书面形式</w:t>
      </w:r>
      <w:r>
        <w:rPr>
          <w:rFonts w:ascii="宋体" w:hAnsi="宋体"/>
          <w:szCs w:val="21"/>
        </w:rPr>
        <w:t>提出变更请求时，双方经协商一致后可进行变更。</w:t>
      </w:r>
    </w:p>
    <w:p>
      <w:pPr>
        <w:adjustRightInd w:val="0"/>
        <w:snapToGrid w:val="0"/>
        <w:spacing w:line="480" w:lineRule="exact"/>
        <w:ind w:firstLine="420" w:firstLineChars="200"/>
        <w:rPr>
          <w:rFonts w:ascii="宋体" w:hAnsi="宋体"/>
          <w:szCs w:val="21"/>
        </w:rPr>
      </w:pPr>
      <w:r>
        <w:rPr>
          <w:rFonts w:ascii="宋体" w:hAnsi="宋体"/>
          <w:szCs w:val="21"/>
        </w:rPr>
        <w:t>6.</w:t>
      </w:r>
      <w:r>
        <w:rPr>
          <w:rFonts w:hint="eastAsia" w:ascii="宋体" w:hAnsi="宋体"/>
          <w:szCs w:val="21"/>
        </w:rPr>
        <w:t>1</w:t>
      </w:r>
      <w:r>
        <w:rPr>
          <w:rFonts w:ascii="宋体" w:hAnsi="宋体"/>
          <w:szCs w:val="21"/>
        </w:rPr>
        <w:t>.2除不可抗力外，因非</w:t>
      </w:r>
      <w:r>
        <w:rPr>
          <w:rFonts w:hint="eastAsia" w:ascii="宋体" w:hAnsi="宋体"/>
          <w:szCs w:val="21"/>
        </w:rPr>
        <w:t>咨询</w:t>
      </w:r>
      <w:r>
        <w:rPr>
          <w:rFonts w:ascii="宋体" w:hAnsi="宋体"/>
          <w:szCs w:val="21"/>
        </w:rPr>
        <w:t>人原因导致</w:t>
      </w:r>
      <w:r>
        <w:rPr>
          <w:rFonts w:hint="eastAsia" w:ascii="宋体" w:hAnsi="宋体"/>
          <w:szCs w:val="21"/>
        </w:rPr>
        <w:t>咨询</w:t>
      </w:r>
      <w:r>
        <w:rPr>
          <w:rFonts w:ascii="宋体" w:hAnsi="宋体"/>
          <w:szCs w:val="21"/>
        </w:rPr>
        <w:t>人履行合同期限延长、内容增加时，</w:t>
      </w:r>
      <w:r>
        <w:rPr>
          <w:rFonts w:hint="eastAsia" w:ascii="宋体" w:hAnsi="宋体"/>
          <w:szCs w:val="21"/>
        </w:rPr>
        <w:t>咨询</w:t>
      </w:r>
      <w:r>
        <w:rPr>
          <w:rFonts w:ascii="宋体" w:hAnsi="宋体"/>
          <w:szCs w:val="21"/>
        </w:rPr>
        <w:t>人应当将此情况与可能产生的影响及时通知委托人。增加的工作时间</w:t>
      </w:r>
      <w:r>
        <w:rPr>
          <w:rFonts w:hint="eastAsia" w:ascii="宋体" w:hAnsi="宋体"/>
          <w:szCs w:val="21"/>
        </w:rPr>
        <w:t>或</w:t>
      </w:r>
      <w:r>
        <w:rPr>
          <w:rFonts w:ascii="宋体" w:hAnsi="宋体"/>
          <w:szCs w:val="21"/>
        </w:rPr>
        <w:t>工作内容应视为附加工作。</w:t>
      </w:r>
      <w:r>
        <w:rPr>
          <w:rFonts w:hint="eastAsia" w:ascii="宋体" w:hAnsi="宋体"/>
          <w:szCs w:val="21"/>
        </w:rPr>
        <w:t>附加工作酬金的确定方法由双方根据委托的服务范围及工作内容在专用条件中约定。</w:t>
      </w:r>
    </w:p>
    <w:p>
      <w:pPr>
        <w:adjustRightInd w:val="0"/>
        <w:snapToGrid w:val="0"/>
        <w:spacing w:line="480" w:lineRule="exact"/>
        <w:ind w:firstLine="420" w:firstLineChars="200"/>
        <w:rPr>
          <w:rFonts w:ascii="宋体" w:hAnsi="宋体"/>
          <w:szCs w:val="21"/>
        </w:rPr>
      </w:pPr>
      <w:r>
        <w:rPr>
          <w:rFonts w:ascii="宋体" w:hAnsi="宋体"/>
          <w:szCs w:val="21"/>
        </w:rPr>
        <w:t>6.</w:t>
      </w:r>
      <w:r>
        <w:rPr>
          <w:rFonts w:hint="eastAsia" w:ascii="宋体" w:hAnsi="宋体"/>
          <w:szCs w:val="21"/>
        </w:rPr>
        <w:t>1</w:t>
      </w:r>
      <w:r>
        <w:rPr>
          <w:rFonts w:ascii="宋体" w:hAnsi="宋体"/>
          <w:szCs w:val="21"/>
        </w:rPr>
        <w:t>.</w:t>
      </w:r>
      <w:r>
        <w:rPr>
          <w:rFonts w:hint="eastAsia" w:ascii="宋体" w:hAnsi="宋体"/>
          <w:szCs w:val="21"/>
        </w:rPr>
        <w:t>3</w:t>
      </w:r>
      <w:r>
        <w:rPr>
          <w:rFonts w:ascii="宋体" w:hAnsi="宋体"/>
          <w:szCs w:val="21"/>
        </w:rPr>
        <w:t>合同</w:t>
      </w:r>
      <w:r>
        <w:rPr>
          <w:rFonts w:hint="eastAsia" w:ascii="宋体" w:hAnsi="宋体"/>
          <w:szCs w:val="21"/>
        </w:rPr>
        <w:t>履行过程中</w:t>
      </w:r>
      <w:r>
        <w:rPr>
          <w:rFonts w:ascii="宋体" w:hAnsi="宋体"/>
          <w:szCs w:val="21"/>
        </w:rPr>
        <w:t>，遇有与工程相关的法律法规、</w:t>
      </w:r>
      <w:r>
        <w:rPr>
          <w:rFonts w:hint="eastAsia" w:ascii="宋体" w:hAnsi="宋体"/>
          <w:szCs w:val="21"/>
        </w:rPr>
        <w:t>强制性</w:t>
      </w:r>
      <w:r>
        <w:rPr>
          <w:rFonts w:ascii="宋体" w:hAnsi="宋体"/>
          <w:szCs w:val="21"/>
        </w:rPr>
        <w:t>标准颁布或修订的，双方应遵照执行。</w:t>
      </w:r>
      <w:r>
        <w:rPr>
          <w:rFonts w:hint="eastAsia" w:ascii="宋体" w:hAnsi="宋体"/>
          <w:szCs w:val="21"/>
        </w:rPr>
        <w:t>非强制性标准、规范、定额等发生变化的，双方协商确定执行依据。</w:t>
      </w:r>
      <w:r>
        <w:rPr>
          <w:rFonts w:ascii="宋体" w:hAnsi="宋体"/>
          <w:szCs w:val="21"/>
        </w:rPr>
        <w:t>由此引起</w:t>
      </w:r>
      <w:r>
        <w:rPr>
          <w:rFonts w:hint="eastAsia" w:ascii="宋体" w:hAnsi="宋体"/>
          <w:szCs w:val="21"/>
        </w:rPr>
        <w:t>造价咨询</w:t>
      </w:r>
      <w:r>
        <w:rPr>
          <w:rFonts w:ascii="宋体" w:hAnsi="宋体"/>
          <w:szCs w:val="21"/>
        </w:rPr>
        <w:t>的</w:t>
      </w:r>
      <w:r>
        <w:rPr>
          <w:rFonts w:hint="eastAsia" w:ascii="宋体" w:hAnsi="宋体"/>
          <w:szCs w:val="21"/>
        </w:rPr>
        <w:t>服务</w:t>
      </w:r>
      <w:r>
        <w:rPr>
          <w:rFonts w:ascii="宋体" w:hAnsi="宋体"/>
          <w:szCs w:val="21"/>
        </w:rPr>
        <w:t>范围</w:t>
      </w:r>
      <w:r>
        <w:rPr>
          <w:rFonts w:hint="eastAsia" w:ascii="宋体" w:hAnsi="宋体"/>
          <w:szCs w:val="21"/>
        </w:rPr>
        <w:t>及内容</w:t>
      </w:r>
      <w:r>
        <w:rPr>
          <w:rFonts w:ascii="宋体" w:hAnsi="宋体"/>
          <w:szCs w:val="21"/>
        </w:rPr>
        <w:t>、</w:t>
      </w:r>
      <w:r>
        <w:rPr>
          <w:rFonts w:hint="eastAsia" w:ascii="宋体" w:hAnsi="宋体"/>
          <w:szCs w:val="21"/>
        </w:rPr>
        <w:t>服务期限</w:t>
      </w:r>
      <w:r>
        <w:rPr>
          <w:rFonts w:ascii="宋体" w:hAnsi="宋体"/>
          <w:szCs w:val="21"/>
        </w:rPr>
        <w:t>、酬金变化的，双方应通过协商</w:t>
      </w:r>
      <w:r>
        <w:rPr>
          <w:rFonts w:hint="eastAsia" w:ascii="宋体" w:hAnsi="宋体"/>
          <w:szCs w:val="21"/>
        </w:rPr>
        <w:t>确定</w:t>
      </w:r>
      <w:r>
        <w:rPr>
          <w:rFonts w:ascii="宋体" w:hAnsi="宋体"/>
          <w:szCs w:val="21"/>
        </w:rPr>
        <w:t>。</w:t>
      </w:r>
    </w:p>
    <w:p>
      <w:pPr>
        <w:adjustRightInd w:val="0"/>
        <w:snapToGrid w:val="0"/>
        <w:spacing w:line="480" w:lineRule="exact"/>
        <w:ind w:firstLine="420" w:firstLineChars="200"/>
        <w:rPr>
          <w:rFonts w:ascii="宋体" w:hAnsi="宋体"/>
          <w:b/>
          <w:bCs/>
          <w:szCs w:val="21"/>
        </w:rPr>
      </w:pPr>
      <w:r>
        <w:rPr>
          <w:rFonts w:ascii="宋体" w:hAnsi="宋体"/>
          <w:szCs w:val="21"/>
        </w:rPr>
        <w:t>6.</w:t>
      </w:r>
      <w:r>
        <w:rPr>
          <w:rFonts w:hint="eastAsia" w:ascii="宋体" w:hAnsi="宋体"/>
          <w:szCs w:val="21"/>
        </w:rPr>
        <w:t>1</w:t>
      </w:r>
      <w:r>
        <w:rPr>
          <w:rFonts w:ascii="宋体" w:hAnsi="宋体"/>
          <w:szCs w:val="21"/>
        </w:rPr>
        <w:t>.</w:t>
      </w:r>
      <w:r>
        <w:rPr>
          <w:rFonts w:hint="eastAsia" w:ascii="宋体" w:hAnsi="宋体"/>
          <w:szCs w:val="21"/>
        </w:rPr>
        <w:t>4</w:t>
      </w:r>
      <w:r>
        <w:rPr>
          <w:rFonts w:ascii="宋体" w:hAnsi="宋体"/>
          <w:szCs w:val="21"/>
        </w:rPr>
        <w:t xml:space="preserve"> 因工程规模、</w:t>
      </w:r>
      <w:r>
        <w:rPr>
          <w:rFonts w:hint="eastAsia" w:ascii="宋体" w:hAnsi="宋体"/>
          <w:szCs w:val="21"/>
        </w:rPr>
        <w:t>服务</w:t>
      </w:r>
      <w:r>
        <w:rPr>
          <w:rFonts w:ascii="宋体" w:hAnsi="宋体"/>
          <w:szCs w:val="21"/>
        </w:rPr>
        <w:t>范围</w:t>
      </w:r>
      <w:r>
        <w:rPr>
          <w:rFonts w:hint="eastAsia" w:ascii="宋体" w:hAnsi="宋体"/>
          <w:szCs w:val="21"/>
        </w:rPr>
        <w:t>及工作内容</w:t>
      </w:r>
      <w:r>
        <w:rPr>
          <w:rFonts w:ascii="宋体" w:hAnsi="宋体"/>
          <w:szCs w:val="21"/>
        </w:rPr>
        <w:t>的变化</w:t>
      </w:r>
      <w:r>
        <w:rPr>
          <w:rFonts w:hint="eastAsia" w:ascii="宋体" w:hAnsi="宋体"/>
          <w:szCs w:val="21"/>
        </w:rPr>
        <w:t>等</w:t>
      </w:r>
      <w:r>
        <w:rPr>
          <w:rFonts w:ascii="宋体" w:hAnsi="宋体"/>
          <w:szCs w:val="21"/>
        </w:rPr>
        <w:t>导致</w:t>
      </w:r>
      <w:r>
        <w:rPr>
          <w:rFonts w:hint="eastAsia" w:ascii="宋体" w:hAnsi="宋体"/>
          <w:szCs w:val="21"/>
        </w:rPr>
        <w:t>咨询</w:t>
      </w:r>
      <w:r>
        <w:rPr>
          <w:rFonts w:ascii="宋体" w:hAnsi="宋体"/>
          <w:szCs w:val="21"/>
        </w:rPr>
        <w:t>人的工作量</w:t>
      </w:r>
      <w:r>
        <w:rPr>
          <w:rFonts w:hint="eastAsia" w:ascii="宋体" w:hAnsi="宋体"/>
          <w:szCs w:val="21"/>
        </w:rPr>
        <w:t>增减</w:t>
      </w:r>
      <w:r>
        <w:rPr>
          <w:rFonts w:ascii="宋体" w:hAnsi="宋体"/>
          <w:szCs w:val="21"/>
        </w:rPr>
        <w:t>时，</w:t>
      </w:r>
      <w:r>
        <w:rPr>
          <w:rFonts w:hint="eastAsia" w:ascii="宋体" w:hAnsi="宋体"/>
          <w:szCs w:val="21"/>
        </w:rPr>
        <w:t>服务</w:t>
      </w:r>
      <w:r>
        <w:rPr>
          <w:rFonts w:ascii="宋体" w:hAnsi="宋体"/>
          <w:szCs w:val="21"/>
        </w:rPr>
        <w:t>酬金应作相应调整</w:t>
      </w:r>
      <w:r>
        <w:rPr>
          <w:rFonts w:hint="eastAsia" w:ascii="宋体" w:hAnsi="宋体"/>
          <w:szCs w:val="21"/>
        </w:rPr>
        <w:t>，</w:t>
      </w:r>
      <w:r>
        <w:rPr>
          <w:rFonts w:ascii="宋体" w:hAnsi="宋体"/>
          <w:szCs w:val="21"/>
        </w:rPr>
        <w:t>调整方法</w:t>
      </w:r>
      <w:r>
        <w:rPr>
          <w:rFonts w:hint="eastAsia" w:ascii="宋体" w:hAnsi="宋体"/>
          <w:szCs w:val="21"/>
        </w:rPr>
        <w:t>由双方在专用条件中约定。</w:t>
      </w:r>
    </w:p>
    <w:p>
      <w:pPr>
        <w:adjustRightInd w:val="0"/>
        <w:snapToGrid w:val="0"/>
        <w:spacing w:line="480" w:lineRule="exact"/>
        <w:ind w:firstLine="420" w:firstLineChars="200"/>
        <w:rPr>
          <w:rStyle w:val="78"/>
          <w:rFonts w:ascii="宋体" w:hAnsi="宋体"/>
          <w:b w:val="0"/>
          <w:sz w:val="21"/>
          <w:szCs w:val="21"/>
        </w:rPr>
      </w:pPr>
      <w:bookmarkStart w:id="237" w:name="_Toc419045090"/>
      <w:bookmarkStart w:id="238" w:name="_Toc464396205"/>
      <w:bookmarkStart w:id="239" w:name="_Toc464395428"/>
      <w:bookmarkStart w:id="240" w:name="_Toc468905495"/>
      <w:r>
        <w:rPr>
          <w:rStyle w:val="78"/>
          <w:rFonts w:hint="eastAsia" w:ascii="宋体" w:hAnsi="宋体"/>
          <w:b w:val="0"/>
          <w:bCs/>
          <w:sz w:val="21"/>
          <w:szCs w:val="21"/>
        </w:rPr>
        <w:t>6.2合同</w:t>
      </w:r>
      <w:r>
        <w:rPr>
          <w:rStyle w:val="78"/>
          <w:rFonts w:ascii="宋体" w:hAnsi="宋体"/>
          <w:b w:val="0"/>
          <w:sz w:val="21"/>
          <w:szCs w:val="21"/>
        </w:rPr>
        <w:t>解除</w:t>
      </w:r>
      <w:bookmarkEnd w:id="237"/>
      <w:bookmarkEnd w:id="238"/>
      <w:bookmarkEnd w:id="239"/>
      <w:bookmarkEnd w:id="240"/>
    </w:p>
    <w:p>
      <w:pPr>
        <w:adjustRightInd w:val="0"/>
        <w:snapToGrid w:val="0"/>
        <w:spacing w:line="48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2.1 委托人与咨询人协商一致，可以解除合同。</w:t>
      </w:r>
    </w:p>
    <w:p>
      <w:pPr>
        <w:adjustRightInd w:val="0"/>
        <w:snapToGrid w:val="0"/>
        <w:spacing w:line="480" w:lineRule="exact"/>
        <w:ind w:firstLine="420" w:firstLineChars="200"/>
        <w:rPr>
          <w:rFonts w:ascii="宋体" w:hAnsi="宋体"/>
          <w:szCs w:val="21"/>
        </w:rPr>
      </w:pPr>
      <w:r>
        <w:rPr>
          <w:rFonts w:hint="eastAsia" w:ascii="宋体" w:hAnsi="宋体"/>
          <w:szCs w:val="21"/>
        </w:rPr>
        <w:t>6</w:t>
      </w:r>
      <w:r>
        <w:rPr>
          <w:rFonts w:ascii="宋体" w:hAnsi="宋体"/>
          <w:szCs w:val="21"/>
        </w:rPr>
        <w:t>.2</w:t>
      </w:r>
      <w:r>
        <w:rPr>
          <w:rFonts w:hint="eastAsia" w:ascii="宋体" w:hAnsi="宋体"/>
          <w:szCs w:val="21"/>
        </w:rPr>
        <w:t>.2 有下列情形之一的，合同当事人一方或双方可以解除合同：</w:t>
      </w:r>
    </w:p>
    <w:p>
      <w:pPr>
        <w:adjustRightInd w:val="0"/>
        <w:snapToGrid w:val="0"/>
        <w:spacing w:line="480" w:lineRule="exact"/>
        <w:ind w:firstLine="420" w:firstLineChars="200"/>
        <w:rPr>
          <w:rFonts w:ascii="宋体" w:hAnsi="宋体"/>
          <w:szCs w:val="21"/>
        </w:rPr>
      </w:pPr>
      <w:r>
        <w:rPr>
          <w:rFonts w:hint="eastAsia" w:ascii="宋体" w:hAnsi="宋体"/>
          <w:szCs w:val="21"/>
        </w:rPr>
        <w:t>（1）咨询人将本合同约定的工程造价咨询服务工作全部或部分转包给他人，委托人可以解除合同；</w:t>
      </w:r>
    </w:p>
    <w:p>
      <w:pPr>
        <w:adjustRightInd w:val="0"/>
        <w:snapToGrid w:val="0"/>
        <w:spacing w:line="480" w:lineRule="exact"/>
        <w:ind w:firstLine="420" w:firstLineChars="200"/>
        <w:rPr>
          <w:rFonts w:ascii="宋体" w:hAnsi="宋体"/>
          <w:szCs w:val="21"/>
        </w:rPr>
      </w:pPr>
      <w:r>
        <w:rPr>
          <w:rFonts w:hint="eastAsia" w:ascii="宋体" w:hAnsi="宋体"/>
          <w:szCs w:val="21"/>
        </w:rPr>
        <w:t>（2）咨询人提供的造价咨询服务不符合合同约定的要求，经委托人催告仍不能达到合同约定要求的，委托人可以解除合同；</w:t>
      </w:r>
    </w:p>
    <w:p>
      <w:pPr>
        <w:adjustRightInd w:val="0"/>
        <w:snapToGrid w:val="0"/>
        <w:spacing w:line="480" w:lineRule="exact"/>
        <w:ind w:firstLine="420" w:firstLineChars="200"/>
        <w:rPr>
          <w:rFonts w:ascii="宋体" w:hAnsi="宋体"/>
          <w:szCs w:val="21"/>
        </w:rPr>
      </w:pPr>
      <w:r>
        <w:rPr>
          <w:rFonts w:hint="eastAsia" w:ascii="宋体" w:hAnsi="宋体"/>
          <w:szCs w:val="21"/>
        </w:rPr>
        <w:t>（3）委托人未按合同约定支付服务酬金，经咨询人催告后，在28天内仍未支付的，咨询人可以解除合同；</w:t>
      </w:r>
    </w:p>
    <w:p>
      <w:pPr>
        <w:adjustRightInd w:val="0"/>
        <w:snapToGrid w:val="0"/>
        <w:spacing w:line="480" w:lineRule="exact"/>
        <w:ind w:firstLine="420" w:firstLineChars="200"/>
        <w:rPr>
          <w:rFonts w:ascii="宋体" w:hAnsi="宋体"/>
          <w:szCs w:val="21"/>
        </w:rPr>
      </w:pPr>
      <w:r>
        <w:rPr>
          <w:rFonts w:hint="eastAsia" w:ascii="宋体" w:hAnsi="宋体"/>
          <w:szCs w:val="21"/>
        </w:rPr>
        <w:t>（4）因不可抗力致使合同无法履行；</w:t>
      </w:r>
    </w:p>
    <w:p>
      <w:pPr>
        <w:adjustRightInd w:val="0"/>
        <w:snapToGrid w:val="0"/>
        <w:spacing w:line="480" w:lineRule="exact"/>
        <w:ind w:firstLine="420" w:firstLineChars="200"/>
        <w:rPr>
          <w:rFonts w:ascii="宋体" w:hAnsi="宋体"/>
          <w:szCs w:val="21"/>
        </w:rPr>
      </w:pPr>
      <w:r>
        <w:rPr>
          <w:rFonts w:hint="eastAsia" w:ascii="宋体" w:hAnsi="宋体"/>
          <w:szCs w:val="21"/>
        </w:rPr>
        <w:t>（5）因一方违约致使合同无法实际履行或实际履行已无必要。</w:t>
      </w:r>
    </w:p>
    <w:p>
      <w:pPr>
        <w:adjustRightInd w:val="0"/>
        <w:snapToGrid w:val="0"/>
        <w:spacing w:line="480" w:lineRule="exact"/>
        <w:ind w:firstLine="420" w:firstLineChars="200"/>
        <w:rPr>
          <w:rFonts w:ascii="宋体" w:hAnsi="宋体"/>
          <w:szCs w:val="21"/>
        </w:rPr>
      </w:pPr>
      <w:r>
        <w:rPr>
          <w:rFonts w:hint="eastAsia" w:ascii="宋体" w:hAnsi="宋体"/>
          <w:szCs w:val="21"/>
        </w:rPr>
        <w:t>除上述情形外，双方可以根据委托的服务范围及工作内容，在专用条件中约定解除合同的其他条件。</w:t>
      </w:r>
    </w:p>
    <w:p>
      <w:pPr>
        <w:adjustRightInd w:val="0"/>
        <w:snapToGrid w:val="0"/>
        <w:spacing w:line="48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2.3 任何一方提出解除合同的，应提前30天书面通知对方。</w:t>
      </w:r>
    </w:p>
    <w:p>
      <w:pPr>
        <w:adjustRightInd w:val="0"/>
        <w:snapToGrid w:val="0"/>
        <w:spacing w:line="480" w:lineRule="exact"/>
        <w:ind w:firstLine="420" w:firstLineChars="200"/>
        <w:rPr>
          <w:rFonts w:ascii="宋体" w:hAnsi="宋体"/>
          <w:szCs w:val="21"/>
        </w:rPr>
      </w:pPr>
      <w:r>
        <w:rPr>
          <w:rFonts w:hint="eastAsia" w:ascii="宋体" w:hAnsi="宋体"/>
          <w:szCs w:val="21"/>
        </w:rPr>
        <w:t>6.2.4合同解除后，委托人应按照合同约定向咨询人支付已完成部分的咨询服务酬金。</w:t>
      </w:r>
    </w:p>
    <w:p>
      <w:pPr>
        <w:adjustRightInd w:val="0"/>
        <w:snapToGrid w:val="0"/>
        <w:spacing w:line="480" w:lineRule="exact"/>
        <w:ind w:firstLine="420" w:firstLineChars="200"/>
        <w:rPr>
          <w:rFonts w:ascii="宋体" w:hAnsi="宋体"/>
          <w:szCs w:val="21"/>
        </w:rPr>
      </w:pPr>
      <w:r>
        <w:rPr>
          <w:rFonts w:hint="eastAsia" w:ascii="宋体" w:hAnsi="宋体"/>
          <w:szCs w:val="21"/>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adjustRightInd w:val="0"/>
        <w:snapToGrid w:val="0"/>
        <w:spacing w:line="480" w:lineRule="exact"/>
        <w:ind w:firstLine="420" w:firstLineChars="200"/>
        <w:rPr>
          <w:rFonts w:ascii="宋体" w:hAnsi="宋体"/>
          <w:smallCaps/>
          <w:szCs w:val="21"/>
        </w:rPr>
      </w:pPr>
      <w:r>
        <w:rPr>
          <w:rFonts w:hint="eastAsia" w:ascii="宋体" w:hAnsi="宋体"/>
          <w:szCs w:val="21"/>
        </w:rPr>
        <w:t>6.2.5</w:t>
      </w:r>
      <w:r>
        <w:rPr>
          <w:rFonts w:ascii="宋体" w:hAnsi="宋体"/>
          <w:szCs w:val="21"/>
        </w:rPr>
        <w:t>本合同解除后，本合同约定的有关结算、争议解决方式的条</w:t>
      </w:r>
      <w:r>
        <w:rPr>
          <w:rFonts w:hint="eastAsia" w:ascii="宋体" w:hAnsi="宋体"/>
          <w:szCs w:val="21"/>
        </w:rPr>
        <w:t>款</w:t>
      </w:r>
      <w:r>
        <w:rPr>
          <w:rFonts w:ascii="宋体" w:hAnsi="宋体"/>
          <w:szCs w:val="21"/>
        </w:rPr>
        <w:t>仍然有效。</w:t>
      </w:r>
    </w:p>
    <w:p>
      <w:pPr>
        <w:adjustRightInd w:val="0"/>
        <w:snapToGrid w:val="0"/>
        <w:spacing w:line="480" w:lineRule="exact"/>
        <w:ind w:firstLine="420" w:firstLineChars="200"/>
        <w:rPr>
          <w:rFonts w:ascii="宋体" w:hAnsi="宋体"/>
          <w:b/>
          <w:bCs/>
          <w:smallCaps/>
          <w:szCs w:val="21"/>
        </w:rPr>
      </w:pPr>
      <w:bookmarkStart w:id="241" w:name="_Toc464395429"/>
      <w:bookmarkStart w:id="242" w:name="_Toc464396206"/>
      <w:bookmarkStart w:id="243" w:name="_Toc468905496"/>
      <w:r>
        <w:rPr>
          <w:rStyle w:val="78"/>
          <w:rFonts w:hint="eastAsia" w:ascii="宋体" w:hAnsi="宋体"/>
          <w:b w:val="0"/>
          <w:sz w:val="21"/>
          <w:szCs w:val="21"/>
        </w:rPr>
        <w:t>6.</w:t>
      </w:r>
      <w:r>
        <w:rPr>
          <w:rStyle w:val="78"/>
          <w:rFonts w:ascii="宋体" w:hAnsi="宋体"/>
          <w:b w:val="0"/>
          <w:sz w:val="21"/>
          <w:szCs w:val="21"/>
        </w:rPr>
        <w:t xml:space="preserve">3 </w:t>
      </w:r>
      <w:r>
        <w:rPr>
          <w:rStyle w:val="78"/>
          <w:rFonts w:hint="eastAsia" w:ascii="宋体" w:hAnsi="宋体"/>
          <w:b w:val="0"/>
          <w:sz w:val="21"/>
          <w:szCs w:val="21"/>
        </w:rPr>
        <w:t>合同终止</w:t>
      </w:r>
      <w:bookmarkEnd w:id="241"/>
      <w:bookmarkEnd w:id="242"/>
      <w:bookmarkEnd w:id="243"/>
    </w:p>
    <w:p>
      <w:pPr>
        <w:adjustRightInd w:val="0"/>
        <w:snapToGrid w:val="0"/>
        <w:spacing w:line="480" w:lineRule="exact"/>
        <w:ind w:firstLine="420" w:firstLineChars="200"/>
        <w:rPr>
          <w:rFonts w:ascii="宋体" w:hAnsi="宋体"/>
          <w:szCs w:val="21"/>
        </w:rPr>
      </w:pPr>
      <w:r>
        <w:rPr>
          <w:rFonts w:hint="eastAsia" w:ascii="宋体" w:hAnsi="宋体"/>
          <w:bCs/>
          <w:smallCaps/>
          <w:szCs w:val="21"/>
        </w:rPr>
        <w:t>除合同解除外，以下条</w:t>
      </w:r>
      <w:r>
        <w:rPr>
          <w:rFonts w:ascii="宋体" w:hAnsi="宋体"/>
          <w:szCs w:val="21"/>
        </w:rPr>
        <w:t>件全部满足时，本合同终止：</w:t>
      </w:r>
    </w:p>
    <w:p>
      <w:pPr>
        <w:adjustRightInd w:val="0"/>
        <w:snapToGrid w:val="0"/>
        <w:spacing w:line="480" w:lineRule="exact"/>
        <w:ind w:firstLine="420" w:firstLineChars="200"/>
        <w:rPr>
          <w:rFonts w:ascii="宋体" w:hAnsi="宋体"/>
          <w:szCs w:val="21"/>
        </w:rPr>
      </w:pPr>
      <w:r>
        <w:rPr>
          <w:rFonts w:ascii="宋体" w:hAnsi="宋体"/>
          <w:szCs w:val="21"/>
        </w:rPr>
        <w:t>（1）</w:t>
      </w:r>
      <w:r>
        <w:rPr>
          <w:rFonts w:hint="eastAsia" w:ascii="宋体" w:hAnsi="宋体"/>
          <w:szCs w:val="21"/>
        </w:rPr>
        <w:t>咨询</w:t>
      </w:r>
      <w:r>
        <w:rPr>
          <w:rFonts w:ascii="宋体" w:hAnsi="宋体"/>
          <w:szCs w:val="21"/>
        </w:rPr>
        <w:t>人完成本合同约定的全部工作；</w:t>
      </w:r>
    </w:p>
    <w:p>
      <w:pPr>
        <w:adjustRightInd w:val="0"/>
        <w:snapToGrid w:val="0"/>
        <w:spacing w:line="480" w:lineRule="exact"/>
        <w:ind w:firstLine="420" w:firstLineChars="200"/>
        <w:rPr>
          <w:rFonts w:ascii="宋体" w:hAnsi="宋体"/>
          <w:szCs w:val="21"/>
        </w:rPr>
      </w:pPr>
      <w:r>
        <w:rPr>
          <w:rFonts w:ascii="宋体" w:hAnsi="宋体"/>
          <w:szCs w:val="21"/>
        </w:rPr>
        <w:t>（2）委托人与</w:t>
      </w:r>
      <w:r>
        <w:rPr>
          <w:rFonts w:hint="eastAsia" w:ascii="宋体" w:hAnsi="宋体"/>
          <w:szCs w:val="21"/>
        </w:rPr>
        <w:t>咨询</w:t>
      </w:r>
      <w:r>
        <w:rPr>
          <w:rFonts w:ascii="宋体" w:hAnsi="宋体"/>
          <w:szCs w:val="21"/>
        </w:rPr>
        <w:t>人结清并支付酬金</w:t>
      </w:r>
      <w:r>
        <w:rPr>
          <w:rFonts w:hint="eastAsia" w:ascii="宋体" w:hAnsi="宋体"/>
          <w:szCs w:val="21"/>
        </w:rPr>
        <w:t>；</w:t>
      </w:r>
    </w:p>
    <w:p>
      <w:pPr>
        <w:adjustRightInd w:val="0"/>
        <w:snapToGrid w:val="0"/>
        <w:spacing w:line="480" w:lineRule="exact"/>
        <w:ind w:firstLine="420" w:firstLineChars="200"/>
        <w:rPr>
          <w:rFonts w:ascii="宋体" w:hAnsi="宋体"/>
          <w:szCs w:val="21"/>
        </w:rPr>
      </w:pPr>
      <w:r>
        <w:rPr>
          <w:rFonts w:hint="eastAsia" w:ascii="宋体" w:hAnsi="宋体"/>
          <w:szCs w:val="21"/>
        </w:rPr>
        <w:t>（3）咨询人将委托人提供的资料交还。</w:t>
      </w:r>
    </w:p>
    <w:p>
      <w:pPr>
        <w:pStyle w:val="38"/>
        <w:snapToGrid w:val="0"/>
        <w:spacing w:before="0" w:after="0" w:line="480" w:lineRule="exact"/>
        <w:ind w:firstLine="422" w:firstLineChars="200"/>
        <w:rPr>
          <w:rFonts w:ascii="宋体" w:hAnsi="宋体"/>
          <w:sz w:val="21"/>
          <w:szCs w:val="21"/>
        </w:rPr>
      </w:pPr>
      <w:bookmarkStart w:id="244" w:name="_Toc464396207"/>
      <w:bookmarkStart w:id="245" w:name="_Toc419045091"/>
      <w:bookmarkStart w:id="246" w:name="_Toc464395430"/>
      <w:bookmarkStart w:id="247" w:name="_Toc468905497"/>
      <w:r>
        <w:rPr>
          <w:rFonts w:hint="eastAsia" w:ascii="宋体" w:hAnsi="宋体"/>
          <w:sz w:val="21"/>
          <w:szCs w:val="21"/>
        </w:rPr>
        <w:t>7.争议解决</w:t>
      </w:r>
      <w:bookmarkEnd w:id="204"/>
      <w:bookmarkEnd w:id="244"/>
      <w:bookmarkEnd w:id="245"/>
      <w:bookmarkEnd w:id="246"/>
      <w:bookmarkEnd w:id="247"/>
    </w:p>
    <w:p>
      <w:pPr>
        <w:pStyle w:val="177"/>
        <w:adjustRightInd w:val="0"/>
        <w:snapToGrid w:val="0"/>
        <w:spacing w:before="0" w:beforeAutospacing="0" w:after="0" w:afterAutospacing="0" w:line="480" w:lineRule="exact"/>
        <w:ind w:firstLine="420" w:firstLineChars="200"/>
        <w:rPr>
          <w:sz w:val="21"/>
        </w:rPr>
      </w:pPr>
      <w:bookmarkStart w:id="248" w:name="_Toc464395431"/>
      <w:bookmarkStart w:id="249" w:name="_Toc419045092"/>
      <w:bookmarkStart w:id="250" w:name="_Toc468905498"/>
      <w:bookmarkStart w:id="251" w:name="_Toc464396208"/>
      <w:r>
        <w:rPr>
          <w:rStyle w:val="78"/>
          <w:rFonts w:ascii="宋体" w:hAnsi="宋体"/>
          <w:b w:val="0"/>
          <w:smallCaps/>
          <w:sz w:val="21"/>
        </w:rPr>
        <w:t>7.1协商</w:t>
      </w:r>
      <w:bookmarkEnd w:id="248"/>
      <w:bookmarkEnd w:id="249"/>
      <w:bookmarkEnd w:id="250"/>
      <w:bookmarkEnd w:id="251"/>
    </w:p>
    <w:p>
      <w:pPr>
        <w:pStyle w:val="177"/>
        <w:adjustRightInd w:val="0"/>
        <w:snapToGrid w:val="0"/>
        <w:spacing w:before="0" w:beforeAutospacing="0" w:after="0" w:afterAutospacing="0" w:line="480" w:lineRule="exact"/>
        <w:ind w:firstLine="420" w:firstLineChars="200"/>
        <w:rPr>
          <w:sz w:val="21"/>
        </w:rPr>
      </w:pPr>
      <w:r>
        <w:rPr>
          <w:sz w:val="21"/>
        </w:rPr>
        <w:t>双方应本着诚</w:t>
      </w:r>
      <w:r>
        <w:rPr>
          <w:rFonts w:hint="eastAsia"/>
          <w:sz w:val="21"/>
        </w:rPr>
        <w:t>实</w:t>
      </w:r>
      <w:r>
        <w:rPr>
          <w:sz w:val="21"/>
        </w:rPr>
        <w:t>信</w:t>
      </w:r>
      <w:r>
        <w:rPr>
          <w:rFonts w:hint="eastAsia"/>
          <w:sz w:val="21"/>
        </w:rPr>
        <w:t>用的</w:t>
      </w:r>
      <w:r>
        <w:rPr>
          <w:sz w:val="21"/>
        </w:rPr>
        <w:t>原则协商解决</w:t>
      </w:r>
      <w:r>
        <w:rPr>
          <w:rFonts w:hint="eastAsia"/>
          <w:sz w:val="21"/>
        </w:rPr>
        <w:t>本合同履行过程中发生</w:t>
      </w:r>
      <w:r>
        <w:rPr>
          <w:sz w:val="21"/>
        </w:rPr>
        <w:t>的争议。</w:t>
      </w:r>
      <w:bookmarkStart w:id="252" w:name="37"/>
    </w:p>
    <w:p>
      <w:pPr>
        <w:pStyle w:val="177"/>
        <w:adjustRightInd w:val="0"/>
        <w:snapToGrid w:val="0"/>
        <w:spacing w:before="0" w:beforeAutospacing="0" w:after="0" w:afterAutospacing="0" w:line="480" w:lineRule="exact"/>
        <w:ind w:firstLine="420" w:firstLineChars="200"/>
        <w:rPr>
          <w:sz w:val="21"/>
        </w:rPr>
      </w:pPr>
      <w:bookmarkStart w:id="253" w:name="_Toc464396209"/>
      <w:bookmarkStart w:id="254" w:name="_Toc419045093"/>
      <w:bookmarkStart w:id="255" w:name="_Toc468905499"/>
      <w:bookmarkStart w:id="256" w:name="_Toc464395432"/>
      <w:r>
        <w:rPr>
          <w:rStyle w:val="78"/>
          <w:rFonts w:ascii="宋体" w:hAnsi="宋体"/>
          <w:b w:val="0"/>
          <w:smallCaps/>
          <w:sz w:val="21"/>
        </w:rPr>
        <w:t>7.2</w:t>
      </w:r>
      <w:bookmarkEnd w:id="252"/>
      <w:r>
        <w:rPr>
          <w:rStyle w:val="78"/>
          <w:rFonts w:ascii="宋体" w:hAnsi="宋体"/>
          <w:b w:val="0"/>
          <w:smallCaps/>
          <w:sz w:val="21"/>
        </w:rPr>
        <w:t>调解</w:t>
      </w:r>
      <w:bookmarkEnd w:id="253"/>
      <w:bookmarkEnd w:id="254"/>
      <w:bookmarkEnd w:id="255"/>
      <w:bookmarkEnd w:id="256"/>
    </w:p>
    <w:p>
      <w:pPr>
        <w:pStyle w:val="177"/>
        <w:adjustRightInd w:val="0"/>
        <w:snapToGrid w:val="0"/>
        <w:spacing w:before="0" w:beforeAutospacing="0" w:after="0" w:afterAutospacing="0" w:line="480" w:lineRule="exact"/>
        <w:ind w:firstLine="420" w:firstLineChars="200"/>
        <w:rPr>
          <w:b/>
          <w:bCs/>
          <w:sz w:val="21"/>
        </w:rPr>
      </w:pPr>
      <w:r>
        <w:rPr>
          <w:sz w:val="21"/>
        </w:rPr>
        <w:t>如果双方不能在14</w:t>
      </w:r>
      <w:r>
        <w:rPr>
          <w:rFonts w:hint="eastAsia"/>
          <w:sz w:val="21"/>
        </w:rPr>
        <w:t>日</w:t>
      </w:r>
      <w:r>
        <w:rPr>
          <w:sz w:val="21"/>
        </w:rPr>
        <w:t>内或双方商定的其他时间内解决本合同争议，可以将其提交给专用条件约定的或事后达成协议的调解人进行调解。</w:t>
      </w:r>
    </w:p>
    <w:p>
      <w:pPr>
        <w:adjustRightInd w:val="0"/>
        <w:snapToGrid w:val="0"/>
        <w:spacing w:line="480" w:lineRule="exact"/>
        <w:ind w:firstLine="420" w:firstLineChars="200"/>
        <w:rPr>
          <w:rFonts w:ascii="宋体" w:hAnsi="宋体"/>
          <w:szCs w:val="21"/>
        </w:rPr>
      </w:pPr>
      <w:bookmarkStart w:id="257" w:name="38"/>
      <w:bookmarkStart w:id="258" w:name="_Toc464396210"/>
      <w:bookmarkStart w:id="259" w:name="_Toc468905500"/>
      <w:bookmarkStart w:id="260" w:name="_Toc464395433"/>
      <w:bookmarkStart w:id="261" w:name="_Toc419045094"/>
      <w:r>
        <w:rPr>
          <w:rStyle w:val="78"/>
          <w:rFonts w:ascii="宋体" w:hAnsi="宋体" w:cs="宋体"/>
          <w:b w:val="0"/>
          <w:smallCaps/>
          <w:sz w:val="21"/>
          <w:szCs w:val="21"/>
        </w:rPr>
        <w:t>7.</w:t>
      </w:r>
      <w:bookmarkEnd w:id="257"/>
      <w:r>
        <w:rPr>
          <w:rStyle w:val="78"/>
          <w:rFonts w:ascii="宋体" w:hAnsi="宋体" w:cs="宋体"/>
          <w:b w:val="0"/>
          <w:smallCaps/>
          <w:sz w:val="21"/>
          <w:szCs w:val="21"/>
        </w:rPr>
        <w:t>3仲裁或诉讼</w:t>
      </w:r>
      <w:bookmarkEnd w:id="258"/>
      <w:bookmarkEnd w:id="259"/>
      <w:bookmarkEnd w:id="260"/>
      <w:bookmarkEnd w:id="261"/>
    </w:p>
    <w:p>
      <w:pPr>
        <w:adjustRightInd w:val="0"/>
        <w:snapToGrid w:val="0"/>
        <w:spacing w:line="480" w:lineRule="exact"/>
        <w:ind w:firstLine="420" w:firstLineChars="200"/>
        <w:rPr>
          <w:rFonts w:ascii="宋体" w:hAnsi="宋体"/>
          <w:szCs w:val="21"/>
        </w:rPr>
      </w:pPr>
      <w:r>
        <w:rPr>
          <w:rFonts w:ascii="宋体" w:hAnsi="宋体"/>
          <w:szCs w:val="21"/>
        </w:rPr>
        <w:t>双方均有权不经调解直接向专用条件约定的仲裁机构申请仲裁或向有管辖权的人民法院提起诉讼。</w:t>
      </w:r>
    </w:p>
    <w:p>
      <w:pPr>
        <w:adjustRightInd w:val="0"/>
        <w:snapToGrid w:val="0"/>
        <w:spacing w:line="480" w:lineRule="exact"/>
        <w:ind w:firstLine="422" w:firstLineChars="200"/>
        <w:rPr>
          <w:rStyle w:val="145"/>
          <w:rFonts w:ascii="宋体" w:hAnsi="宋体"/>
          <w:sz w:val="21"/>
          <w:szCs w:val="21"/>
        </w:rPr>
      </w:pPr>
      <w:bookmarkStart w:id="262" w:name="_Toc419045095"/>
      <w:bookmarkStart w:id="263" w:name="_Toc468905501"/>
      <w:bookmarkStart w:id="264" w:name="_Toc464395434"/>
      <w:bookmarkStart w:id="265" w:name="_Toc464396211"/>
      <w:r>
        <w:rPr>
          <w:rStyle w:val="145"/>
          <w:rFonts w:hint="eastAsia" w:ascii="宋体" w:hAnsi="宋体"/>
          <w:sz w:val="21"/>
          <w:szCs w:val="21"/>
        </w:rPr>
        <w:t>8.其他</w:t>
      </w:r>
      <w:bookmarkEnd w:id="262"/>
      <w:bookmarkEnd w:id="263"/>
      <w:bookmarkEnd w:id="264"/>
      <w:bookmarkEnd w:id="265"/>
    </w:p>
    <w:p>
      <w:pPr>
        <w:pStyle w:val="31"/>
        <w:adjustRightInd w:val="0"/>
        <w:snapToGrid w:val="0"/>
        <w:spacing w:before="0" w:after="0" w:line="480" w:lineRule="exact"/>
        <w:ind w:firstLine="420" w:firstLineChars="200"/>
        <w:jc w:val="both"/>
        <w:rPr>
          <w:rFonts w:ascii="宋体" w:hAnsi="宋体"/>
          <w:b w:val="0"/>
          <w:sz w:val="21"/>
          <w:szCs w:val="21"/>
        </w:rPr>
      </w:pPr>
      <w:bookmarkStart w:id="266" w:name="39"/>
      <w:bookmarkStart w:id="267" w:name="_Toc464396212"/>
      <w:bookmarkStart w:id="268" w:name="_Toc468905502"/>
      <w:bookmarkStart w:id="269" w:name="_Toc464395435"/>
      <w:bookmarkStart w:id="270" w:name="_Toc419045096"/>
      <w:r>
        <w:rPr>
          <w:rFonts w:hint="eastAsia" w:ascii="宋体" w:hAnsi="宋体"/>
          <w:b w:val="0"/>
          <w:smallCaps/>
          <w:sz w:val="21"/>
          <w:szCs w:val="21"/>
        </w:rPr>
        <w:t>8.1</w:t>
      </w:r>
      <w:bookmarkEnd w:id="266"/>
      <w:r>
        <w:rPr>
          <w:rFonts w:ascii="宋体" w:hAnsi="宋体"/>
          <w:b w:val="0"/>
          <w:sz w:val="21"/>
          <w:szCs w:val="21"/>
        </w:rPr>
        <w:t>考察</w:t>
      </w:r>
      <w:r>
        <w:rPr>
          <w:rFonts w:hint="eastAsia" w:ascii="宋体" w:hAnsi="宋体"/>
          <w:b w:val="0"/>
          <w:sz w:val="21"/>
          <w:szCs w:val="21"/>
        </w:rPr>
        <w:t>及相关</w:t>
      </w:r>
      <w:r>
        <w:rPr>
          <w:rFonts w:ascii="宋体" w:hAnsi="宋体"/>
          <w:b w:val="0"/>
          <w:sz w:val="21"/>
          <w:szCs w:val="21"/>
        </w:rPr>
        <w:t>费用</w:t>
      </w:r>
      <w:bookmarkEnd w:id="267"/>
      <w:bookmarkEnd w:id="268"/>
      <w:bookmarkEnd w:id="269"/>
      <w:bookmarkEnd w:id="270"/>
    </w:p>
    <w:p>
      <w:pPr>
        <w:adjustRightInd w:val="0"/>
        <w:snapToGrid w:val="0"/>
        <w:spacing w:line="480" w:lineRule="exact"/>
        <w:ind w:firstLine="420" w:firstLineChars="200"/>
        <w:rPr>
          <w:rStyle w:val="78"/>
          <w:rFonts w:ascii="宋体" w:hAnsi="宋体"/>
          <w:b w:val="0"/>
          <w:sz w:val="21"/>
          <w:szCs w:val="21"/>
        </w:rPr>
      </w:pPr>
      <w:r>
        <w:rPr>
          <w:rFonts w:hint="eastAsia" w:ascii="宋体" w:hAnsi="宋体"/>
          <w:szCs w:val="21"/>
        </w:rPr>
        <w:t>除专用条件另有约定外，咨询人经委托人同意进行考察发生的费用由委托人审核后另行支付。差旅费及相关费用的承担由双方在专用条件中约定。</w:t>
      </w:r>
    </w:p>
    <w:p>
      <w:pPr>
        <w:pStyle w:val="31"/>
        <w:adjustRightInd w:val="0"/>
        <w:snapToGrid w:val="0"/>
        <w:spacing w:before="0" w:after="0" w:line="480" w:lineRule="exact"/>
        <w:ind w:firstLine="420" w:firstLineChars="200"/>
        <w:jc w:val="both"/>
        <w:rPr>
          <w:rFonts w:ascii="宋体" w:hAnsi="宋体"/>
          <w:b w:val="0"/>
          <w:sz w:val="21"/>
          <w:szCs w:val="21"/>
        </w:rPr>
      </w:pPr>
      <w:bookmarkStart w:id="271" w:name="_Toc468905503"/>
      <w:bookmarkStart w:id="272" w:name="_Toc464395436"/>
      <w:bookmarkStart w:id="273" w:name="_Toc464396213"/>
      <w:r>
        <w:rPr>
          <w:rFonts w:hint="eastAsia" w:ascii="宋体" w:hAnsi="宋体"/>
          <w:b w:val="0"/>
          <w:sz w:val="21"/>
          <w:szCs w:val="21"/>
        </w:rPr>
        <w:t>8.2奖励</w:t>
      </w:r>
      <w:bookmarkEnd w:id="271"/>
      <w:bookmarkEnd w:id="272"/>
      <w:bookmarkEnd w:id="273"/>
    </w:p>
    <w:p>
      <w:pPr>
        <w:adjustRightInd w:val="0"/>
        <w:snapToGrid w:val="0"/>
        <w:spacing w:line="480" w:lineRule="exact"/>
        <w:ind w:firstLine="420" w:firstLineChars="200"/>
        <w:rPr>
          <w:rStyle w:val="78"/>
          <w:rFonts w:ascii="宋体" w:hAnsi="宋体"/>
          <w:b w:val="0"/>
          <w:sz w:val="21"/>
          <w:szCs w:val="21"/>
        </w:rPr>
      </w:pPr>
      <w:r>
        <w:rPr>
          <w:rFonts w:hint="eastAsia" w:ascii="宋体" w:hAnsi="宋体"/>
          <w:szCs w:val="21"/>
        </w:rPr>
        <w:t>对于咨询</w:t>
      </w:r>
      <w:r>
        <w:rPr>
          <w:rFonts w:ascii="宋体" w:hAnsi="宋体"/>
          <w:szCs w:val="21"/>
        </w:rPr>
        <w:t>人在服务过程中提出合理化建议，使委托人获得效益的，双方在专用条件中约定奖励金额的确定方法。奖励金额在合理化建议被采纳后，与最近一期的正常工作酬金同期支付。</w:t>
      </w:r>
    </w:p>
    <w:p>
      <w:pPr>
        <w:pStyle w:val="31"/>
        <w:adjustRightInd w:val="0"/>
        <w:snapToGrid w:val="0"/>
        <w:spacing w:before="0" w:after="0" w:line="480" w:lineRule="exact"/>
        <w:ind w:firstLine="420" w:firstLineChars="200"/>
        <w:jc w:val="both"/>
        <w:rPr>
          <w:rFonts w:ascii="宋体" w:hAnsi="宋体"/>
          <w:b w:val="0"/>
          <w:sz w:val="21"/>
          <w:szCs w:val="21"/>
        </w:rPr>
      </w:pPr>
      <w:bookmarkStart w:id="274" w:name="_Toc464395437"/>
      <w:bookmarkStart w:id="275" w:name="_Toc468905504"/>
      <w:bookmarkStart w:id="276" w:name="_Toc464396214"/>
      <w:r>
        <w:rPr>
          <w:rFonts w:hint="eastAsia" w:ascii="宋体" w:hAnsi="宋体"/>
          <w:b w:val="0"/>
          <w:sz w:val="21"/>
          <w:szCs w:val="21"/>
        </w:rPr>
        <w:t>8.3保密</w:t>
      </w:r>
      <w:bookmarkEnd w:id="274"/>
      <w:bookmarkEnd w:id="275"/>
      <w:bookmarkEnd w:id="276"/>
    </w:p>
    <w:p>
      <w:pPr>
        <w:adjustRightInd w:val="0"/>
        <w:snapToGrid w:val="0"/>
        <w:spacing w:line="480" w:lineRule="exact"/>
        <w:ind w:firstLine="420" w:firstLineChars="200"/>
        <w:rPr>
          <w:rFonts w:ascii="宋体" w:hAnsi="宋体"/>
          <w:szCs w:val="21"/>
        </w:rPr>
      </w:pPr>
      <w:r>
        <w:rPr>
          <w:rFonts w:hint="eastAsia" w:ascii="宋体" w:hAnsi="宋体"/>
          <w:szCs w:val="21"/>
        </w:rPr>
        <w:t>在本合同履行期间或专用条件约定的期限内，</w:t>
      </w:r>
      <w:r>
        <w:rPr>
          <w:rFonts w:ascii="宋体" w:hAnsi="宋体"/>
          <w:szCs w:val="21"/>
        </w:rPr>
        <w:t>双方不得泄露对方申明的保密资料，亦不得泄露与实施工程有关的第三</w:t>
      </w:r>
      <w:r>
        <w:rPr>
          <w:rFonts w:hint="eastAsia" w:ascii="宋体" w:hAnsi="宋体"/>
          <w:szCs w:val="21"/>
        </w:rPr>
        <w:t>人</w:t>
      </w:r>
      <w:r>
        <w:rPr>
          <w:rFonts w:ascii="宋体" w:hAnsi="宋体"/>
          <w:szCs w:val="21"/>
        </w:rPr>
        <w:t>所提供的保密资料</w:t>
      </w:r>
      <w:r>
        <w:rPr>
          <w:rFonts w:hint="eastAsia" w:ascii="宋体" w:hAnsi="宋体"/>
          <w:szCs w:val="21"/>
        </w:rPr>
        <w:t>。</w:t>
      </w:r>
      <w:r>
        <w:rPr>
          <w:rFonts w:ascii="宋体" w:hAnsi="宋体"/>
          <w:szCs w:val="21"/>
        </w:rPr>
        <w:t>保密事项在专用条件中约定。</w:t>
      </w:r>
    </w:p>
    <w:p>
      <w:pPr>
        <w:adjustRightInd w:val="0"/>
        <w:snapToGrid w:val="0"/>
        <w:spacing w:line="480" w:lineRule="exact"/>
        <w:ind w:firstLine="420" w:firstLineChars="200"/>
        <w:rPr>
          <w:rFonts w:ascii="宋体" w:hAnsi="宋体"/>
          <w:szCs w:val="21"/>
        </w:rPr>
      </w:pPr>
      <w:bookmarkStart w:id="277" w:name="_Toc419045097"/>
      <w:bookmarkStart w:id="278" w:name="_Toc464396215"/>
      <w:bookmarkStart w:id="279" w:name="_Toc464395438"/>
      <w:bookmarkStart w:id="280" w:name="_Toc468905505"/>
      <w:r>
        <w:rPr>
          <w:rStyle w:val="78"/>
          <w:rFonts w:hint="eastAsia" w:ascii="宋体" w:hAnsi="宋体"/>
          <w:b w:val="0"/>
          <w:sz w:val="21"/>
          <w:szCs w:val="21"/>
        </w:rPr>
        <w:t>8.4</w:t>
      </w:r>
      <w:bookmarkEnd w:id="277"/>
      <w:r>
        <w:rPr>
          <w:rStyle w:val="78"/>
          <w:rFonts w:hint="eastAsia" w:ascii="宋体" w:hAnsi="宋体"/>
          <w:b w:val="0"/>
          <w:sz w:val="21"/>
          <w:szCs w:val="21"/>
        </w:rPr>
        <w:t>联络</w:t>
      </w:r>
      <w:bookmarkEnd w:id="278"/>
      <w:bookmarkEnd w:id="279"/>
      <w:bookmarkEnd w:id="280"/>
    </w:p>
    <w:p>
      <w:pPr>
        <w:adjustRightInd w:val="0"/>
        <w:snapToGrid w:val="0"/>
        <w:spacing w:line="480" w:lineRule="exact"/>
        <w:ind w:firstLine="420" w:firstLineChars="200"/>
        <w:rPr>
          <w:rFonts w:ascii="宋体" w:hAnsi="宋体"/>
          <w:szCs w:val="21"/>
        </w:rPr>
      </w:pPr>
      <w:r>
        <w:rPr>
          <w:rFonts w:hint="eastAsia" w:ascii="宋体" w:hAnsi="宋体"/>
          <w:szCs w:val="21"/>
        </w:rPr>
        <w:t>8.4.1与合同有关的通知、指示、要求、决定等，均应采用书面形式，并应在专用条件约定的期限内送达接收人和送达地点。</w:t>
      </w:r>
    </w:p>
    <w:p>
      <w:pPr>
        <w:adjustRightInd w:val="0"/>
        <w:snapToGrid w:val="0"/>
        <w:spacing w:line="480" w:lineRule="exact"/>
        <w:ind w:firstLine="420" w:firstLineChars="200"/>
        <w:rPr>
          <w:rFonts w:ascii="宋体" w:hAnsi="宋体"/>
          <w:szCs w:val="21"/>
        </w:rPr>
      </w:pPr>
      <w:r>
        <w:rPr>
          <w:rFonts w:hint="eastAsia" w:ascii="宋体" w:hAnsi="宋体"/>
          <w:szCs w:val="21"/>
        </w:rPr>
        <w:t>8.4.2委托人和咨询人应在专用条件中约定各自的送达接收人、送达地点、电子邮箱。任何一方指定的接收人或送达地点或电子邮箱发生变动的，应提前3天以书面形式通知对方，否则视为未发生变动。</w:t>
      </w:r>
    </w:p>
    <w:p>
      <w:pPr>
        <w:tabs>
          <w:tab w:val="left" w:pos="5085"/>
        </w:tabs>
        <w:adjustRightInd w:val="0"/>
        <w:snapToGrid w:val="0"/>
        <w:spacing w:line="480" w:lineRule="exact"/>
        <w:ind w:firstLine="420" w:firstLineChars="200"/>
        <w:rPr>
          <w:rStyle w:val="78"/>
          <w:rFonts w:ascii="宋体" w:hAnsi="宋体" w:cs="宋体"/>
          <w:b w:val="0"/>
          <w:bCs/>
          <w:kern w:val="0"/>
          <w:sz w:val="21"/>
          <w:szCs w:val="21"/>
        </w:rPr>
      </w:pPr>
      <w:r>
        <w:rPr>
          <w:rFonts w:hint="eastAsia" w:ascii="宋体" w:hAnsi="宋体"/>
          <w:szCs w:val="21"/>
        </w:rPr>
        <w:t>8.4.3委托人和咨询人应当及时签收另一方送达至送达地点和指定接收人的往来函件，如确有充分证据证明一方无正当理由拒不签收的，视为认可往来函件的内容。</w:t>
      </w:r>
    </w:p>
    <w:p>
      <w:pPr>
        <w:pStyle w:val="31"/>
        <w:adjustRightInd w:val="0"/>
        <w:snapToGrid w:val="0"/>
        <w:spacing w:before="0" w:after="0" w:line="480" w:lineRule="exact"/>
        <w:ind w:firstLine="420" w:firstLineChars="200"/>
        <w:jc w:val="both"/>
        <w:rPr>
          <w:rFonts w:ascii="宋体" w:hAnsi="宋体"/>
          <w:b w:val="0"/>
          <w:sz w:val="21"/>
          <w:szCs w:val="21"/>
        </w:rPr>
      </w:pPr>
      <w:bookmarkStart w:id="281" w:name="_Toc464395439"/>
      <w:bookmarkStart w:id="282" w:name="_Toc464396216"/>
      <w:bookmarkStart w:id="283" w:name="_Toc468905506"/>
      <w:r>
        <w:rPr>
          <w:rFonts w:hint="eastAsia" w:ascii="宋体" w:hAnsi="宋体"/>
          <w:b w:val="0"/>
          <w:sz w:val="21"/>
          <w:szCs w:val="21"/>
        </w:rPr>
        <w:t>8.5知识产权</w:t>
      </w:r>
      <w:bookmarkEnd w:id="281"/>
      <w:bookmarkEnd w:id="282"/>
      <w:bookmarkEnd w:id="283"/>
    </w:p>
    <w:p>
      <w:pPr>
        <w:adjustRightInd w:val="0"/>
        <w:snapToGrid w:val="0"/>
        <w:spacing w:line="480" w:lineRule="exact"/>
        <w:ind w:firstLine="420" w:firstLineChars="200"/>
        <w:rPr>
          <w:rFonts w:ascii="宋体" w:hAnsi="宋体"/>
          <w:szCs w:val="21"/>
        </w:rPr>
      </w:pPr>
      <w:r>
        <w:rPr>
          <w:rFonts w:hint="eastAsia" w:ascii="宋体" w:hAnsi="宋体"/>
          <w:szCs w:val="21"/>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adjustRightInd w:val="0"/>
        <w:snapToGrid w:val="0"/>
        <w:spacing w:line="480" w:lineRule="exact"/>
        <w:ind w:firstLine="420" w:firstLineChars="200"/>
        <w:rPr>
          <w:rFonts w:ascii="宋体" w:hAnsi="宋体"/>
          <w:szCs w:val="21"/>
        </w:rPr>
      </w:pPr>
      <w:r>
        <w:rPr>
          <w:rFonts w:hint="eastAsia" w:ascii="宋体" w:hAnsi="宋体"/>
          <w:szCs w:val="21"/>
        </w:rPr>
        <w:t>除专用条件另有约定外，</w:t>
      </w:r>
      <w:r>
        <w:rPr>
          <w:rFonts w:ascii="宋体" w:hAnsi="宋体"/>
          <w:szCs w:val="21"/>
        </w:rPr>
        <w:t>咨询人为履行本合同约定而编制的</w:t>
      </w:r>
      <w:r>
        <w:rPr>
          <w:rFonts w:hint="eastAsia" w:ascii="宋体" w:hAnsi="宋体"/>
          <w:szCs w:val="21"/>
        </w:rPr>
        <w:t>成果</w:t>
      </w:r>
      <w:r>
        <w:rPr>
          <w:rFonts w:ascii="宋体" w:hAnsi="宋体"/>
          <w:szCs w:val="21"/>
        </w:rPr>
        <w:t>文件</w:t>
      </w:r>
      <w:r>
        <w:rPr>
          <w:rFonts w:hint="eastAsia" w:ascii="宋体" w:hAnsi="宋体"/>
          <w:szCs w:val="21"/>
        </w:rPr>
        <w:t>，其</w:t>
      </w:r>
      <w:r>
        <w:rPr>
          <w:rFonts w:ascii="宋体" w:hAnsi="宋体"/>
          <w:szCs w:val="21"/>
        </w:rPr>
        <w:t>著作权属于</w:t>
      </w:r>
      <w:r>
        <w:rPr>
          <w:rFonts w:hint="eastAsia" w:ascii="宋体" w:hAnsi="宋体"/>
          <w:szCs w:val="21"/>
        </w:rPr>
        <w:t>咨询</w:t>
      </w:r>
      <w:r>
        <w:rPr>
          <w:rFonts w:ascii="宋体" w:hAnsi="宋体"/>
          <w:szCs w:val="21"/>
        </w:rPr>
        <w:t>人。</w:t>
      </w:r>
      <w:r>
        <w:rPr>
          <w:rFonts w:hint="eastAsia" w:ascii="宋体" w:hAnsi="宋体"/>
          <w:szCs w:val="21"/>
        </w:rPr>
        <w:t>委托</w:t>
      </w:r>
      <w:r>
        <w:rPr>
          <w:rFonts w:ascii="宋体" w:hAnsi="宋体"/>
          <w:szCs w:val="21"/>
        </w:rPr>
        <w:t>人可</w:t>
      </w:r>
      <w:r>
        <w:rPr>
          <w:rFonts w:hint="eastAsia" w:ascii="宋体" w:hAnsi="宋体"/>
          <w:szCs w:val="21"/>
        </w:rPr>
        <w:t>以为实现合同</w:t>
      </w:r>
      <w:r>
        <w:rPr>
          <w:rFonts w:ascii="宋体" w:hAnsi="宋体"/>
          <w:szCs w:val="21"/>
        </w:rPr>
        <w:t>目的而复制、使用此类文件，但不能</w:t>
      </w:r>
      <w:r>
        <w:rPr>
          <w:rFonts w:hint="eastAsia" w:ascii="宋体" w:hAnsi="宋体"/>
          <w:szCs w:val="21"/>
        </w:rPr>
        <w:t>擅自修改或</w:t>
      </w:r>
      <w:r>
        <w:rPr>
          <w:rFonts w:ascii="宋体" w:hAnsi="宋体"/>
          <w:szCs w:val="21"/>
        </w:rPr>
        <w:t>用于与</w:t>
      </w:r>
      <w:r>
        <w:rPr>
          <w:rFonts w:hint="eastAsia" w:ascii="宋体" w:hAnsi="宋体"/>
          <w:szCs w:val="21"/>
        </w:rPr>
        <w:t>本</w:t>
      </w:r>
      <w:r>
        <w:rPr>
          <w:rFonts w:ascii="宋体" w:hAnsi="宋体"/>
          <w:szCs w:val="21"/>
        </w:rPr>
        <w:t>合同无关的其他事项。未经</w:t>
      </w:r>
      <w:r>
        <w:rPr>
          <w:rFonts w:hint="eastAsia" w:ascii="宋体" w:hAnsi="宋体"/>
          <w:szCs w:val="21"/>
        </w:rPr>
        <w:t>咨询</w:t>
      </w:r>
      <w:r>
        <w:rPr>
          <w:rFonts w:ascii="宋体" w:hAnsi="宋体"/>
          <w:szCs w:val="21"/>
        </w:rPr>
        <w:t>人书面同意，</w:t>
      </w:r>
      <w:r>
        <w:rPr>
          <w:rFonts w:hint="eastAsia" w:ascii="宋体" w:hAnsi="宋体"/>
          <w:szCs w:val="21"/>
        </w:rPr>
        <w:t>委托</w:t>
      </w:r>
      <w:r>
        <w:rPr>
          <w:rFonts w:ascii="宋体" w:hAnsi="宋体"/>
          <w:szCs w:val="21"/>
        </w:rPr>
        <w:t>人不得为了</w:t>
      </w:r>
      <w:r>
        <w:rPr>
          <w:rFonts w:hint="eastAsia" w:ascii="宋体" w:hAnsi="宋体"/>
          <w:szCs w:val="21"/>
        </w:rPr>
        <w:t>本</w:t>
      </w:r>
      <w:r>
        <w:rPr>
          <w:rFonts w:ascii="宋体" w:hAnsi="宋体"/>
          <w:szCs w:val="21"/>
        </w:rPr>
        <w:t>合同以外的目的而复制</w:t>
      </w:r>
      <w:r>
        <w:rPr>
          <w:rFonts w:hint="eastAsia" w:ascii="宋体" w:hAnsi="宋体"/>
          <w:szCs w:val="21"/>
        </w:rPr>
        <w:t>或者以其他方式</w:t>
      </w:r>
      <w:r>
        <w:rPr>
          <w:rFonts w:ascii="宋体" w:hAnsi="宋体"/>
          <w:szCs w:val="21"/>
        </w:rPr>
        <w:t>使用上述文件或将之提供给任何第三方。</w:t>
      </w:r>
    </w:p>
    <w:p>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双方</w:t>
      </w:r>
      <w:r>
        <w:rPr>
          <w:rFonts w:ascii="宋体" w:hAnsi="宋体"/>
          <w:szCs w:val="21"/>
        </w:rPr>
        <w:t>保证在履行</w:t>
      </w:r>
      <w:r>
        <w:rPr>
          <w:rFonts w:hint="eastAsia" w:ascii="宋体" w:hAnsi="宋体"/>
          <w:szCs w:val="21"/>
        </w:rPr>
        <w:t>本</w:t>
      </w:r>
      <w:r>
        <w:rPr>
          <w:rFonts w:ascii="宋体" w:hAnsi="宋体"/>
          <w:szCs w:val="21"/>
        </w:rPr>
        <w:t>合同过程中不侵犯对方及第三方的知识产权。</w:t>
      </w:r>
      <w:r>
        <w:rPr>
          <w:rFonts w:hint="eastAsia" w:ascii="宋体" w:hAnsi="宋体"/>
          <w:szCs w:val="21"/>
        </w:rPr>
        <w:t>因咨询人</w:t>
      </w:r>
      <w:r>
        <w:rPr>
          <w:rFonts w:ascii="宋体" w:hAnsi="宋体"/>
          <w:szCs w:val="21"/>
        </w:rPr>
        <w:t>侵犯他人知识产权所引起的责任，由</w:t>
      </w:r>
      <w:r>
        <w:rPr>
          <w:rFonts w:hint="eastAsia" w:ascii="宋体" w:hAnsi="宋体"/>
          <w:szCs w:val="21"/>
        </w:rPr>
        <w:t>咨询</w:t>
      </w:r>
      <w:r>
        <w:rPr>
          <w:rFonts w:ascii="宋体" w:hAnsi="宋体"/>
          <w:szCs w:val="21"/>
        </w:rPr>
        <w:t>人承担；因</w:t>
      </w:r>
      <w:r>
        <w:rPr>
          <w:rFonts w:hint="eastAsia" w:ascii="宋体" w:hAnsi="宋体"/>
          <w:szCs w:val="21"/>
        </w:rPr>
        <w:t>委托</w:t>
      </w:r>
      <w:r>
        <w:rPr>
          <w:rFonts w:ascii="宋体" w:hAnsi="宋体"/>
          <w:szCs w:val="21"/>
        </w:rPr>
        <w:t>人提供的</w:t>
      </w:r>
      <w:r>
        <w:rPr>
          <w:rFonts w:hint="eastAsia" w:ascii="宋体" w:hAnsi="宋体"/>
          <w:szCs w:val="21"/>
        </w:rPr>
        <w:t>基础资料</w:t>
      </w:r>
      <w:r>
        <w:rPr>
          <w:rFonts w:ascii="宋体" w:hAnsi="宋体"/>
          <w:szCs w:val="21"/>
        </w:rPr>
        <w:t>导致侵权的，由</w:t>
      </w:r>
      <w:r>
        <w:rPr>
          <w:rFonts w:hint="eastAsia" w:ascii="宋体" w:hAnsi="宋体"/>
          <w:szCs w:val="21"/>
        </w:rPr>
        <w:t>委托</w:t>
      </w:r>
      <w:r>
        <w:rPr>
          <w:rFonts w:ascii="宋体" w:hAnsi="宋体"/>
          <w:szCs w:val="21"/>
        </w:rPr>
        <w:t>人承担责任。</w:t>
      </w:r>
    </w:p>
    <w:p>
      <w:pPr>
        <w:adjustRightInd w:val="0"/>
        <w:snapToGrid w:val="0"/>
        <w:spacing w:line="480" w:lineRule="exact"/>
        <w:ind w:firstLine="420" w:firstLineChars="200"/>
        <w:rPr>
          <w:rFonts w:ascii="宋体" w:hAnsi="宋体"/>
          <w:szCs w:val="21"/>
        </w:rPr>
      </w:pPr>
      <w:r>
        <w:rPr>
          <w:rFonts w:hint="eastAsia" w:ascii="宋体" w:hAnsi="宋体"/>
          <w:szCs w:val="21"/>
        </w:rPr>
        <w:t>除专用条件另有约定外，双方均有权在履行本合同保密义务并且不损害对方利益的情况下，将履行本合同形成的有关成果文件用于企业宣传、申报奖项以及接受上级主管部门的检查。</w:t>
      </w:r>
      <w:bookmarkStart w:id="284" w:name="_Toc464395440"/>
      <w:bookmarkStart w:id="285" w:name="_Toc419045098"/>
      <w:bookmarkStart w:id="286" w:name="_Toc464396217"/>
    </w:p>
    <w:p>
      <w:pPr>
        <w:pStyle w:val="3"/>
        <w:adjustRightInd w:val="0"/>
        <w:snapToGrid w:val="0"/>
        <w:spacing w:before="0" w:after="0" w:line="430" w:lineRule="exact"/>
        <w:jc w:val="center"/>
        <w:rPr>
          <w:sz w:val="30"/>
          <w:szCs w:val="30"/>
        </w:rPr>
      </w:pPr>
      <w:r>
        <w:rPr>
          <w:sz w:val="30"/>
          <w:szCs w:val="30"/>
        </w:rPr>
        <w:br w:type="page"/>
      </w:r>
      <w:bookmarkStart w:id="287" w:name="_Toc468905507"/>
      <w:r>
        <w:rPr>
          <w:rFonts w:hint="eastAsia"/>
          <w:sz w:val="30"/>
          <w:szCs w:val="30"/>
        </w:rPr>
        <w:t>第三部分　专用条件</w:t>
      </w:r>
      <w:bookmarkEnd w:id="284"/>
      <w:bookmarkEnd w:id="285"/>
      <w:bookmarkEnd w:id="286"/>
      <w:bookmarkEnd w:id="287"/>
      <w:bookmarkStart w:id="288" w:name="_Toc419045099"/>
    </w:p>
    <w:p>
      <w:pPr>
        <w:pStyle w:val="38"/>
        <w:spacing w:before="0" w:after="0" w:line="480" w:lineRule="exact"/>
        <w:ind w:firstLine="422" w:firstLineChars="200"/>
        <w:jc w:val="both"/>
        <w:rPr>
          <w:rFonts w:ascii="宋体" w:hAnsi="宋体"/>
          <w:sz w:val="21"/>
          <w:szCs w:val="21"/>
        </w:rPr>
      </w:pPr>
      <w:bookmarkStart w:id="289" w:name="_Toc468905508"/>
    </w:p>
    <w:p>
      <w:pPr>
        <w:pStyle w:val="38"/>
        <w:spacing w:before="0" w:after="0" w:line="480" w:lineRule="exact"/>
        <w:ind w:firstLine="422" w:firstLineChars="200"/>
        <w:jc w:val="both"/>
        <w:rPr>
          <w:rFonts w:ascii="宋体" w:hAnsi="宋体"/>
          <w:sz w:val="21"/>
          <w:szCs w:val="21"/>
        </w:rPr>
      </w:pPr>
      <w:r>
        <w:rPr>
          <w:rFonts w:hint="eastAsia" w:ascii="宋体" w:hAnsi="宋体"/>
          <w:sz w:val="21"/>
          <w:szCs w:val="21"/>
        </w:rPr>
        <w:t>1.词语定义、语言、解释顺序与适用法律</w:t>
      </w:r>
      <w:bookmarkEnd w:id="288"/>
      <w:bookmarkEnd w:id="289"/>
    </w:p>
    <w:p>
      <w:pPr>
        <w:spacing w:line="480" w:lineRule="exact"/>
        <w:ind w:firstLine="420" w:firstLineChars="200"/>
        <w:rPr>
          <w:rFonts w:ascii="宋体" w:hAnsi="宋体"/>
          <w:szCs w:val="21"/>
        </w:rPr>
      </w:pPr>
      <w:bookmarkStart w:id="290" w:name="_Toc464396218"/>
      <w:bookmarkStart w:id="291" w:name="_Toc419045101"/>
      <w:bookmarkStart w:id="292" w:name="_Toc468905509"/>
      <w:bookmarkStart w:id="293" w:name="_Toc464395441"/>
      <w:r>
        <w:rPr>
          <w:rStyle w:val="78"/>
          <w:rFonts w:hint="eastAsia" w:ascii="宋体" w:hAnsi="宋体"/>
          <w:b w:val="0"/>
          <w:sz w:val="21"/>
          <w:szCs w:val="21"/>
        </w:rPr>
        <w:t>1.1 语言</w:t>
      </w:r>
      <w:bookmarkEnd w:id="290"/>
      <w:bookmarkEnd w:id="291"/>
      <w:bookmarkEnd w:id="292"/>
      <w:bookmarkEnd w:id="293"/>
    </w:p>
    <w:p>
      <w:pPr>
        <w:spacing w:line="480" w:lineRule="exact"/>
        <w:ind w:firstLine="420" w:firstLineChars="200"/>
        <w:rPr>
          <w:rStyle w:val="78"/>
          <w:rFonts w:ascii="宋体" w:hAnsi="宋体"/>
          <w:b w:val="0"/>
          <w:sz w:val="21"/>
          <w:szCs w:val="21"/>
        </w:rPr>
      </w:pPr>
      <w:r>
        <w:rPr>
          <w:rFonts w:hint="eastAsia" w:ascii="宋体" w:hAnsi="宋体"/>
          <w:szCs w:val="21"/>
        </w:rPr>
        <w:t>本合同文件除使用中文外，还可用</w:t>
      </w:r>
      <w:r>
        <w:rPr>
          <w:rFonts w:hint="eastAsia" w:ascii="宋体" w:hAnsi="宋体"/>
          <w:szCs w:val="21"/>
          <w:u w:val="single"/>
        </w:rPr>
        <w:t xml:space="preserve">     /      </w:t>
      </w:r>
      <w:r>
        <w:rPr>
          <w:rFonts w:hint="eastAsia" w:ascii="宋体" w:hAnsi="宋体"/>
          <w:szCs w:val="21"/>
        </w:rPr>
        <w:t>。</w:t>
      </w:r>
    </w:p>
    <w:p>
      <w:pPr>
        <w:pStyle w:val="31"/>
        <w:spacing w:before="0" w:after="0" w:line="480" w:lineRule="exact"/>
        <w:ind w:firstLine="420" w:firstLineChars="200"/>
        <w:jc w:val="both"/>
        <w:outlineLvl w:val="9"/>
        <w:rPr>
          <w:rFonts w:ascii="宋体" w:hAnsi="宋体"/>
          <w:b w:val="0"/>
          <w:sz w:val="21"/>
          <w:szCs w:val="21"/>
        </w:rPr>
      </w:pPr>
      <w:bookmarkStart w:id="294" w:name="_Toc464396219"/>
      <w:bookmarkStart w:id="295" w:name="_Toc464395442"/>
      <w:bookmarkStart w:id="296" w:name="_Toc468905510"/>
      <w:r>
        <w:rPr>
          <w:rFonts w:hint="eastAsia" w:ascii="宋体" w:hAnsi="宋体"/>
          <w:b w:val="0"/>
          <w:sz w:val="21"/>
          <w:szCs w:val="21"/>
        </w:rPr>
        <w:t>1.2合同</w:t>
      </w:r>
      <w:r>
        <w:rPr>
          <w:rFonts w:ascii="宋体" w:hAnsi="宋体"/>
          <w:b w:val="0"/>
          <w:sz w:val="21"/>
          <w:szCs w:val="21"/>
        </w:rPr>
        <w:t>文件的</w:t>
      </w:r>
      <w:r>
        <w:rPr>
          <w:rFonts w:hint="eastAsia" w:ascii="宋体" w:hAnsi="宋体"/>
          <w:b w:val="0"/>
          <w:sz w:val="21"/>
          <w:szCs w:val="21"/>
        </w:rPr>
        <w:t>优先</w:t>
      </w:r>
      <w:r>
        <w:rPr>
          <w:rFonts w:ascii="宋体" w:hAnsi="宋体"/>
          <w:b w:val="0"/>
          <w:sz w:val="21"/>
          <w:szCs w:val="21"/>
        </w:rPr>
        <w:t>顺序</w:t>
      </w:r>
      <w:bookmarkEnd w:id="294"/>
      <w:bookmarkEnd w:id="295"/>
      <w:bookmarkEnd w:id="296"/>
    </w:p>
    <w:p>
      <w:pPr>
        <w:spacing w:line="480" w:lineRule="exact"/>
        <w:ind w:firstLine="420" w:firstLineChars="200"/>
        <w:rPr>
          <w:rFonts w:ascii="宋体" w:hAnsi="宋体"/>
          <w:szCs w:val="21"/>
        </w:rPr>
      </w:pPr>
      <w:r>
        <w:rPr>
          <w:rFonts w:hint="eastAsia" w:ascii="宋体" w:hAnsi="宋体"/>
          <w:szCs w:val="21"/>
        </w:rPr>
        <w:t>本合同文件的解释顺序为：</w:t>
      </w:r>
      <w:r>
        <w:rPr>
          <w:rFonts w:hint="eastAsia" w:ascii="宋体" w:hAnsi="宋体"/>
          <w:szCs w:val="21"/>
          <w:u w:val="single"/>
        </w:rPr>
        <w:t xml:space="preserve">详见通用条款1.3 </w:t>
      </w:r>
      <w:r>
        <w:rPr>
          <w:rFonts w:hint="eastAsia" w:ascii="宋体" w:hAnsi="宋体"/>
          <w:szCs w:val="21"/>
        </w:rPr>
        <w:t>。</w:t>
      </w:r>
    </w:p>
    <w:p>
      <w:pPr>
        <w:spacing w:line="480" w:lineRule="exact"/>
        <w:ind w:firstLine="420" w:firstLineChars="200"/>
        <w:rPr>
          <w:rStyle w:val="78"/>
          <w:rFonts w:ascii="宋体" w:hAnsi="宋体"/>
          <w:b w:val="0"/>
          <w:sz w:val="21"/>
          <w:szCs w:val="21"/>
        </w:rPr>
      </w:pPr>
      <w:bookmarkStart w:id="297" w:name="_Toc419045102"/>
      <w:bookmarkStart w:id="298" w:name="_Toc464395443"/>
      <w:bookmarkStart w:id="299" w:name="_Toc468905511"/>
      <w:bookmarkStart w:id="300" w:name="_Toc464396220"/>
      <w:r>
        <w:rPr>
          <w:rStyle w:val="78"/>
          <w:rFonts w:hint="eastAsia" w:ascii="宋体" w:hAnsi="宋体"/>
          <w:b w:val="0"/>
          <w:sz w:val="21"/>
          <w:szCs w:val="21"/>
        </w:rPr>
        <w:t>1.3适用法律</w:t>
      </w:r>
      <w:bookmarkEnd w:id="297"/>
      <w:bookmarkEnd w:id="298"/>
      <w:bookmarkEnd w:id="299"/>
      <w:bookmarkEnd w:id="300"/>
    </w:p>
    <w:p>
      <w:pPr>
        <w:spacing w:line="480" w:lineRule="exact"/>
        <w:ind w:firstLine="420" w:firstLineChars="200"/>
        <w:rPr>
          <w:rFonts w:ascii="宋体" w:hAnsi="宋体"/>
          <w:szCs w:val="21"/>
        </w:rPr>
      </w:pPr>
      <w:r>
        <w:rPr>
          <w:rFonts w:hint="eastAsia" w:ascii="宋体" w:hAnsi="宋体"/>
          <w:szCs w:val="21"/>
        </w:rPr>
        <w:t>本合同适用的其他规范性文件包括:</w:t>
      </w:r>
      <w:r>
        <w:rPr>
          <w:rFonts w:hint="eastAsia" w:ascii="宋体" w:hAnsi="宋体" w:cs="Arial"/>
          <w:szCs w:val="21"/>
          <w:u w:val="single"/>
        </w:rPr>
        <w:t>民法典、施工承发包合同、本项目施工图纸、招标文件（含工程量清单）、《建设工程工程量清单计价规范》（GB50500-2013）及其9本工程量计算规范、</w:t>
      </w:r>
      <w:r>
        <w:rPr>
          <w:rFonts w:ascii="宋体" w:hAnsi="宋体" w:cs="Arial"/>
          <w:szCs w:val="21"/>
          <w:u w:val="single"/>
        </w:rPr>
        <w:t>2014年</w:t>
      </w:r>
      <w:r>
        <w:rPr>
          <w:rFonts w:hint="eastAsia" w:ascii="宋体" w:hAnsi="宋体" w:cs="Arial"/>
          <w:szCs w:val="21"/>
          <w:u w:val="single"/>
        </w:rPr>
        <w:t>江苏省相关专业计价定额及其相应费用定额</w:t>
      </w:r>
      <w:r>
        <w:rPr>
          <w:rFonts w:hint="eastAsia" w:ascii="宋体" w:hAnsi="宋体"/>
          <w:szCs w:val="21"/>
          <w:u w:val="single"/>
        </w:rPr>
        <w:t>等</w:t>
      </w:r>
      <w:r>
        <w:rPr>
          <w:rFonts w:hint="eastAsia" w:ascii="宋体" w:hAnsi="宋体" w:cs="Arial"/>
          <w:szCs w:val="21"/>
          <w:u w:val="single"/>
        </w:rPr>
        <w:t>国家、省、市相关最新文件规定</w:t>
      </w:r>
      <w:r>
        <w:rPr>
          <w:rFonts w:ascii="宋体" w:hAnsi="宋体" w:cs="Arial"/>
          <w:szCs w:val="21"/>
          <w:u w:val="single"/>
        </w:rPr>
        <w:t>。</w:t>
      </w:r>
    </w:p>
    <w:p>
      <w:pPr>
        <w:pStyle w:val="38"/>
        <w:spacing w:before="0" w:after="0" w:line="480" w:lineRule="exact"/>
        <w:ind w:firstLine="422" w:firstLineChars="200"/>
        <w:jc w:val="both"/>
        <w:rPr>
          <w:rFonts w:ascii="宋体" w:hAnsi="宋体"/>
          <w:sz w:val="21"/>
          <w:szCs w:val="21"/>
        </w:rPr>
      </w:pPr>
      <w:bookmarkStart w:id="301" w:name="_Toc419045103"/>
      <w:bookmarkStart w:id="302" w:name="_Toc464395444"/>
      <w:bookmarkStart w:id="303" w:name="_Toc464396221"/>
      <w:bookmarkStart w:id="304" w:name="_Toc468905512"/>
      <w:r>
        <w:rPr>
          <w:rFonts w:hint="eastAsia" w:ascii="宋体" w:hAnsi="宋体"/>
          <w:sz w:val="21"/>
          <w:szCs w:val="21"/>
        </w:rPr>
        <w:t>2.委托人的义务</w:t>
      </w:r>
      <w:bookmarkEnd w:id="301"/>
      <w:bookmarkEnd w:id="302"/>
      <w:bookmarkEnd w:id="303"/>
      <w:bookmarkEnd w:id="304"/>
    </w:p>
    <w:p>
      <w:pPr>
        <w:spacing w:line="480" w:lineRule="exact"/>
        <w:ind w:firstLine="420" w:firstLineChars="200"/>
        <w:rPr>
          <w:rStyle w:val="78"/>
          <w:rFonts w:ascii="宋体" w:hAnsi="宋体"/>
          <w:b w:val="0"/>
          <w:sz w:val="21"/>
          <w:szCs w:val="21"/>
        </w:rPr>
      </w:pPr>
      <w:bookmarkStart w:id="305" w:name="_Toc464396222"/>
      <w:bookmarkStart w:id="306" w:name="_Toc464395445"/>
      <w:bookmarkStart w:id="307" w:name="_Toc419045104"/>
      <w:bookmarkStart w:id="308" w:name="_Toc468905513"/>
      <w:r>
        <w:rPr>
          <w:rStyle w:val="78"/>
          <w:rFonts w:hint="eastAsia" w:ascii="宋体" w:hAnsi="宋体"/>
          <w:b w:val="0"/>
          <w:sz w:val="21"/>
          <w:szCs w:val="21"/>
        </w:rPr>
        <w:t>2.1提供资料</w:t>
      </w:r>
      <w:bookmarkEnd w:id="305"/>
      <w:bookmarkEnd w:id="306"/>
      <w:bookmarkEnd w:id="307"/>
      <w:bookmarkEnd w:id="308"/>
    </w:p>
    <w:p>
      <w:pPr>
        <w:spacing w:line="480" w:lineRule="exact"/>
        <w:ind w:firstLine="420" w:firstLineChars="200"/>
        <w:rPr>
          <w:rFonts w:ascii="宋体" w:hAnsi="宋体"/>
          <w:szCs w:val="21"/>
        </w:rPr>
      </w:pPr>
      <w:r>
        <w:rPr>
          <w:rFonts w:hint="eastAsia" w:ascii="宋体" w:hAnsi="宋体"/>
          <w:szCs w:val="21"/>
        </w:rPr>
        <w:t>委托人按照附录C约定无偿向咨询人提供与本合同咨询业务有关资料的时间为：</w:t>
      </w:r>
      <w:r>
        <w:rPr>
          <w:rFonts w:hint="eastAsia" w:ascii="宋体" w:hAnsi="宋体"/>
          <w:szCs w:val="21"/>
          <w:u w:val="single"/>
        </w:rPr>
        <w:t xml:space="preserve"> 详见附录C </w:t>
      </w:r>
      <w:r>
        <w:rPr>
          <w:rFonts w:hint="eastAsia" w:ascii="宋体" w:hAnsi="宋体"/>
          <w:szCs w:val="21"/>
        </w:rPr>
        <w:t>。</w:t>
      </w:r>
    </w:p>
    <w:p>
      <w:pPr>
        <w:spacing w:line="480" w:lineRule="exact"/>
        <w:ind w:firstLine="420" w:firstLineChars="200"/>
        <w:rPr>
          <w:rStyle w:val="78"/>
          <w:rFonts w:ascii="宋体" w:hAnsi="宋体"/>
          <w:b w:val="0"/>
          <w:sz w:val="21"/>
          <w:szCs w:val="21"/>
        </w:rPr>
      </w:pPr>
      <w:bookmarkStart w:id="309" w:name="_Toc464396223"/>
      <w:bookmarkStart w:id="310" w:name="_Toc419045105"/>
      <w:bookmarkStart w:id="311" w:name="_Toc464395446"/>
      <w:bookmarkStart w:id="312" w:name="_Toc468905514"/>
      <w:r>
        <w:rPr>
          <w:rStyle w:val="78"/>
          <w:rFonts w:hint="eastAsia" w:ascii="宋体" w:hAnsi="宋体"/>
          <w:b w:val="0"/>
          <w:sz w:val="21"/>
          <w:szCs w:val="21"/>
        </w:rPr>
        <w:t>2.2提供工作条件</w:t>
      </w:r>
      <w:bookmarkEnd w:id="309"/>
      <w:bookmarkEnd w:id="310"/>
      <w:bookmarkEnd w:id="311"/>
      <w:bookmarkEnd w:id="312"/>
    </w:p>
    <w:p>
      <w:pPr>
        <w:spacing w:line="480" w:lineRule="exact"/>
        <w:ind w:firstLine="420" w:firstLineChars="200"/>
        <w:rPr>
          <w:rFonts w:ascii="宋体" w:hAnsi="宋体"/>
          <w:szCs w:val="21"/>
        </w:rPr>
      </w:pPr>
      <w:r>
        <w:rPr>
          <w:rFonts w:hint="eastAsia" w:ascii="宋体" w:hAnsi="宋体"/>
          <w:szCs w:val="21"/>
        </w:rPr>
        <w:t>2.2.1委托人应为咨询人完成造价咨询提供必要的条件。</w:t>
      </w:r>
    </w:p>
    <w:p>
      <w:pPr>
        <w:spacing w:line="480" w:lineRule="exact"/>
        <w:ind w:firstLine="420" w:firstLineChars="200"/>
        <w:rPr>
          <w:rFonts w:ascii="宋体" w:hAnsi="宋体"/>
          <w:szCs w:val="21"/>
        </w:rPr>
      </w:pPr>
      <w:bookmarkStart w:id="313" w:name="_Toc468905515"/>
      <w:bookmarkStart w:id="314" w:name="_Toc464395447"/>
      <w:bookmarkStart w:id="315" w:name="_Toc464396224"/>
      <w:bookmarkStart w:id="316" w:name="_Toc419045106"/>
      <w:r>
        <w:rPr>
          <w:rStyle w:val="78"/>
          <w:rFonts w:hint="eastAsia" w:ascii="宋体" w:hAnsi="宋体"/>
          <w:b w:val="0"/>
          <w:sz w:val="21"/>
          <w:szCs w:val="21"/>
        </w:rPr>
        <w:t>2.3委托人代表</w:t>
      </w:r>
      <w:bookmarkEnd w:id="313"/>
      <w:bookmarkEnd w:id="314"/>
      <w:bookmarkEnd w:id="315"/>
      <w:bookmarkEnd w:id="316"/>
    </w:p>
    <w:p>
      <w:pPr>
        <w:spacing w:line="480" w:lineRule="exact"/>
        <w:ind w:firstLine="420" w:firstLineChars="200"/>
        <w:rPr>
          <w:rStyle w:val="78"/>
          <w:rFonts w:ascii="宋体" w:hAnsi="宋体" w:cs="宋体"/>
          <w:b w:val="0"/>
          <w:bCs/>
          <w:kern w:val="0"/>
          <w:sz w:val="21"/>
          <w:szCs w:val="21"/>
        </w:rPr>
      </w:pPr>
      <w:r>
        <w:rPr>
          <w:rFonts w:hint="eastAsia" w:ascii="宋体" w:hAnsi="宋体"/>
          <w:szCs w:val="21"/>
        </w:rPr>
        <w:t>委托人代表为：</w:t>
      </w:r>
      <w:r>
        <w:rPr>
          <w:rFonts w:ascii="宋体" w:hAnsi="宋体"/>
          <w:szCs w:val="21"/>
          <w:u w:val="single"/>
        </w:rPr>
        <w:t>（联系方式：）</w:t>
      </w:r>
      <w:r>
        <w:rPr>
          <w:rFonts w:hint="eastAsia" w:ascii="宋体" w:hAnsi="宋体"/>
          <w:szCs w:val="21"/>
        </w:rPr>
        <w:t>，其权限范围：</w:t>
      </w:r>
      <w:r>
        <w:rPr>
          <w:rFonts w:hint="eastAsia" w:ascii="宋体" w:hAnsi="宋体"/>
          <w:szCs w:val="21"/>
          <w:u w:val="single"/>
        </w:rPr>
        <w:t xml:space="preserve">负责本合同的履行  </w:t>
      </w:r>
      <w:r>
        <w:rPr>
          <w:rFonts w:hint="eastAsia" w:ascii="宋体" w:hAnsi="宋体"/>
          <w:szCs w:val="21"/>
        </w:rPr>
        <w:t>。</w:t>
      </w:r>
    </w:p>
    <w:p>
      <w:pPr>
        <w:pStyle w:val="31"/>
        <w:spacing w:before="0" w:after="0" w:line="480" w:lineRule="exact"/>
        <w:ind w:firstLine="420" w:firstLineChars="200"/>
        <w:jc w:val="both"/>
        <w:rPr>
          <w:rFonts w:ascii="宋体" w:hAnsi="宋体"/>
          <w:b w:val="0"/>
          <w:sz w:val="21"/>
          <w:szCs w:val="21"/>
        </w:rPr>
      </w:pPr>
      <w:bookmarkStart w:id="317" w:name="_Toc468905516"/>
      <w:bookmarkStart w:id="318" w:name="_Toc464396225"/>
      <w:bookmarkStart w:id="319" w:name="_Toc464395448"/>
      <w:r>
        <w:rPr>
          <w:rFonts w:hint="eastAsia" w:ascii="宋体" w:hAnsi="宋体"/>
          <w:b w:val="0"/>
          <w:sz w:val="21"/>
          <w:szCs w:val="21"/>
        </w:rPr>
        <w:t>2.4答复</w:t>
      </w:r>
      <w:bookmarkEnd w:id="317"/>
      <w:bookmarkEnd w:id="318"/>
      <w:bookmarkEnd w:id="319"/>
    </w:p>
    <w:p>
      <w:pPr>
        <w:spacing w:line="480" w:lineRule="exact"/>
        <w:ind w:firstLine="420" w:firstLineChars="200"/>
        <w:rPr>
          <w:rFonts w:ascii="宋体" w:hAnsi="宋体"/>
          <w:szCs w:val="21"/>
        </w:rPr>
      </w:pPr>
      <w:r>
        <w:rPr>
          <w:rFonts w:hint="eastAsia" w:ascii="宋体" w:hAnsi="宋体"/>
          <w:szCs w:val="21"/>
        </w:rPr>
        <w:t>委托人同意在</w:t>
      </w:r>
      <w:r>
        <w:rPr>
          <w:rFonts w:hint="eastAsia" w:ascii="宋体" w:hAnsi="宋体"/>
          <w:szCs w:val="21"/>
          <w:u w:val="single"/>
        </w:rPr>
        <w:t xml:space="preserve">  7  </w:t>
      </w:r>
      <w:r>
        <w:rPr>
          <w:rFonts w:hint="eastAsia" w:ascii="宋体" w:hAnsi="宋体"/>
          <w:szCs w:val="21"/>
        </w:rPr>
        <w:t>日内，对咨询人书面提交并要求做出决定的事宜给予书面答复。逾期未答复的，视为委托人认可。</w:t>
      </w:r>
    </w:p>
    <w:p>
      <w:pPr>
        <w:pStyle w:val="38"/>
        <w:spacing w:before="0" w:after="0" w:line="480" w:lineRule="exact"/>
        <w:ind w:firstLine="422" w:firstLineChars="200"/>
        <w:jc w:val="both"/>
        <w:rPr>
          <w:rFonts w:ascii="宋体" w:hAnsi="宋体"/>
          <w:sz w:val="21"/>
          <w:szCs w:val="21"/>
        </w:rPr>
      </w:pPr>
      <w:bookmarkStart w:id="320" w:name="_Toc468905517"/>
      <w:bookmarkStart w:id="321" w:name="_Toc464395449"/>
      <w:bookmarkStart w:id="322" w:name="_Toc419045107"/>
      <w:bookmarkStart w:id="323" w:name="_Toc464396226"/>
      <w:r>
        <w:rPr>
          <w:rFonts w:hint="eastAsia" w:ascii="宋体" w:hAnsi="宋体"/>
          <w:sz w:val="21"/>
          <w:szCs w:val="21"/>
        </w:rPr>
        <w:t>3.咨询人的义务</w:t>
      </w:r>
      <w:bookmarkEnd w:id="320"/>
      <w:bookmarkEnd w:id="321"/>
      <w:bookmarkEnd w:id="322"/>
      <w:bookmarkEnd w:id="323"/>
    </w:p>
    <w:p>
      <w:pPr>
        <w:pStyle w:val="31"/>
        <w:spacing w:before="0" w:after="0" w:line="480" w:lineRule="exact"/>
        <w:ind w:firstLine="420" w:firstLineChars="200"/>
        <w:jc w:val="both"/>
        <w:rPr>
          <w:rFonts w:ascii="宋体" w:hAnsi="宋体"/>
          <w:b w:val="0"/>
          <w:sz w:val="21"/>
          <w:szCs w:val="21"/>
        </w:rPr>
      </w:pPr>
      <w:bookmarkStart w:id="324" w:name="_Toc464395450"/>
      <w:bookmarkStart w:id="325" w:name="_Toc464396227"/>
      <w:bookmarkStart w:id="326" w:name="_Toc419045109"/>
      <w:bookmarkStart w:id="327" w:name="_Toc468905518"/>
      <w:r>
        <w:rPr>
          <w:rFonts w:hint="eastAsia" w:ascii="宋体" w:hAnsi="宋体"/>
          <w:b w:val="0"/>
          <w:sz w:val="21"/>
          <w:szCs w:val="21"/>
        </w:rPr>
        <w:t>3.1项目咨询团队及人员</w:t>
      </w:r>
      <w:bookmarkEnd w:id="324"/>
      <w:bookmarkEnd w:id="325"/>
      <w:bookmarkEnd w:id="326"/>
      <w:bookmarkEnd w:id="327"/>
    </w:p>
    <w:p>
      <w:pPr>
        <w:spacing w:line="480" w:lineRule="exact"/>
        <w:ind w:firstLine="420" w:firstLineChars="200"/>
        <w:rPr>
          <w:rFonts w:ascii="宋体" w:hAnsi="宋体"/>
          <w:szCs w:val="21"/>
        </w:rPr>
      </w:pPr>
      <w:r>
        <w:rPr>
          <w:rFonts w:hint="eastAsia" w:ascii="宋体" w:hAnsi="宋体"/>
          <w:szCs w:val="21"/>
        </w:rPr>
        <w:t>3.1.1项目咨询团队的主要人员应具有资格条件，团队人员的数量。</w:t>
      </w:r>
    </w:p>
    <w:p>
      <w:pPr>
        <w:spacing w:line="480" w:lineRule="exact"/>
        <w:ind w:firstLine="420" w:firstLineChars="200"/>
        <w:rPr>
          <w:rFonts w:ascii="宋体" w:hAnsi="宋体"/>
          <w:szCs w:val="21"/>
          <w:u w:val="single"/>
        </w:rPr>
      </w:pPr>
      <w:r>
        <w:rPr>
          <w:rFonts w:hint="eastAsia" w:ascii="宋体" w:hAnsi="宋体"/>
          <w:szCs w:val="21"/>
        </w:rPr>
        <w:t>3.1.2项目负责人为：</w:t>
      </w:r>
      <w:r>
        <w:rPr>
          <w:rFonts w:ascii="宋体" w:hAnsi="宋体"/>
          <w:szCs w:val="21"/>
          <w:u w:val="single"/>
        </w:rPr>
        <w:t>（联系方式：）</w:t>
      </w:r>
      <w:r>
        <w:rPr>
          <w:rFonts w:hint="eastAsia" w:ascii="宋体" w:hAnsi="宋体"/>
          <w:szCs w:val="21"/>
        </w:rPr>
        <w:t>，项目负责人为履行本合同的权限为：</w:t>
      </w:r>
      <w:r>
        <w:rPr>
          <w:rFonts w:hint="eastAsia" w:ascii="宋体" w:hAnsi="宋体"/>
          <w:szCs w:val="21"/>
          <w:u w:val="single"/>
        </w:rPr>
        <w:t>负责履行本合同、主持项目咨询团队工作。</w:t>
      </w:r>
    </w:p>
    <w:p>
      <w:pPr>
        <w:spacing w:line="480" w:lineRule="exact"/>
        <w:ind w:firstLine="420" w:firstLineChars="200"/>
        <w:rPr>
          <w:rFonts w:ascii="宋体" w:hAnsi="宋体"/>
          <w:szCs w:val="21"/>
        </w:rPr>
      </w:pPr>
      <w:r>
        <w:rPr>
          <w:rFonts w:hint="eastAsia" w:ascii="宋体" w:hAnsi="宋体"/>
          <w:szCs w:val="21"/>
        </w:rPr>
        <w:t>3.1.3咨询人更换项目咨询团队其他咨询人员的约定：</w:t>
      </w:r>
      <w:r>
        <w:rPr>
          <w:rFonts w:hint="eastAsia" w:ascii="宋体" w:hAnsi="宋体"/>
          <w:szCs w:val="21"/>
          <w:u w:val="single"/>
        </w:rPr>
        <w:t>详见通用条款3.1。</w:t>
      </w:r>
    </w:p>
    <w:p>
      <w:pPr>
        <w:spacing w:line="480" w:lineRule="exact"/>
        <w:ind w:firstLine="420" w:firstLineChars="200"/>
        <w:rPr>
          <w:rFonts w:ascii="宋体" w:hAnsi="宋体"/>
          <w:szCs w:val="21"/>
        </w:rPr>
      </w:pPr>
      <w:r>
        <w:rPr>
          <w:rFonts w:hint="eastAsia" w:ascii="宋体" w:hAnsi="宋体"/>
          <w:szCs w:val="21"/>
        </w:rPr>
        <w:t>3.1.4委托人要求更换咨询人员的情形还包括：</w:t>
      </w:r>
      <w:r>
        <w:rPr>
          <w:rFonts w:hint="eastAsia" w:ascii="宋体" w:hAnsi="宋体"/>
          <w:szCs w:val="21"/>
          <w:u w:val="single"/>
        </w:rPr>
        <w:t xml:space="preserve">     /    </w:t>
      </w:r>
      <w:r>
        <w:rPr>
          <w:rFonts w:hint="eastAsia" w:ascii="宋体" w:hAnsi="宋体"/>
          <w:szCs w:val="21"/>
        </w:rPr>
        <w:t>。</w:t>
      </w:r>
    </w:p>
    <w:p>
      <w:pPr>
        <w:pStyle w:val="31"/>
        <w:spacing w:before="0" w:after="0" w:line="480" w:lineRule="exact"/>
        <w:ind w:firstLine="420" w:firstLineChars="200"/>
        <w:jc w:val="both"/>
        <w:rPr>
          <w:rFonts w:ascii="宋体" w:hAnsi="宋体"/>
          <w:b w:val="0"/>
          <w:sz w:val="21"/>
          <w:szCs w:val="21"/>
        </w:rPr>
      </w:pPr>
      <w:bookmarkStart w:id="328" w:name="_Toc464395451"/>
      <w:bookmarkStart w:id="329" w:name="_Toc468905519"/>
      <w:bookmarkStart w:id="330" w:name="_Toc419045110"/>
      <w:bookmarkStart w:id="331" w:name="_Toc464396228"/>
      <w:r>
        <w:rPr>
          <w:rFonts w:hint="eastAsia" w:ascii="宋体" w:hAnsi="宋体"/>
          <w:b w:val="0"/>
          <w:sz w:val="21"/>
          <w:szCs w:val="21"/>
        </w:rPr>
        <w:t>3.2咨询人的工作要求</w:t>
      </w:r>
      <w:bookmarkEnd w:id="328"/>
      <w:bookmarkEnd w:id="329"/>
      <w:bookmarkEnd w:id="330"/>
      <w:bookmarkEnd w:id="331"/>
    </w:p>
    <w:p>
      <w:pPr>
        <w:spacing w:line="480" w:lineRule="exact"/>
        <w:ind w:firstLine="420" w:firstLineChars="200"/>
        <w:rPr>
          <w:rFonts w:ascii="宋体" w:hAnsi="宋体"/>
          <w:szCs w:val="21"/>
        </w:rPr>
      </w:pPr>
      <w:r>
        <w:rPr>
          <w:rFonts w:hint="eastAsia" w:ascii="宋体" w:hAnsi="宋体"/>
          <w:szCs w:val="21"/>
        </w:rPr>
        <w:t>3.2.1咨询人向委托人提供有关资料的时间：</w:t>
      </w:r>
      <w:r>
        <w:rPr>
          <w:rFonts w:hint="eastAsia" w:ascii="宋体" w:hAnsi="宋体"/>
          <w:szCs w:val="21"/>
          <w:u w:val="single"/>
        </w:rPr>
        <w:t>详见附录B</w:t>
      </w:r>
      <w:r>
        <w:rPr>
          <w:rFonts w:hint="eastAsia" w:ascii="宋体" w:hAnsi="宋体"/>
          <w:szCs w:val="21"/>
        </w:rPr>
        <w:t>。咨询人向委托人提供的资料还包括：</w:t>
      </w:r>
      <w:r>
        <w:rPr>
          <w:rFonts w:hint="eastAsia" w:ascii="宋体" w:hAnsi="宋体"/>
          <w:szCs w:val="21"/>
          <w:u w:val="single"/>
        </w:rPr>
        <w:t xml:space="preserve">    /    </w:t>
      </w:r>
      <w:r>
        <w:rPr>
          <w:rFonts w:hint="eastAsia" w:ascii="宋体" w:hAnsi="宋体"/>
          <w:szCs w:val="21"/>
        </w:rPr>
        <w:t>。</w:t>
      </w:r>
    </w:p>
    <w:p>
      <w:pPr>
        <w:spacing w:line="480" w:lineRule="exact"/>
        <w:ind w:firstLine="420" w:firstLineChars="200"/>
        <w:rPr>
          <w:rFonts w:ascii="宋体" w:hAnsi="宋体"/>
          <w:szCs w:val="21"/>
        </w:rPr>
      </w:pPr>
      <w:r>
        <w:rPr>
          <w:rFonts w:hint="eastAsia" w:ascii="宋体" w:hAnsi="宋体"/>
          <w:szCs w:val="21"/>
        </w:rPr>
        <w:t>3.2.2咨询人向委托人提供咨询成果文件的名称、组成、时间、份数：</w:t>
      </w:r>
      <w:r>
        <w:rPr>
          <w:rFonts w:hint="eastAsia" w:ascii="宋体" w:hAnsi="宋体"/>
          <w:szCs w:val="21"/>
          <w:u w:val="single"/>
        </w:rPr>
        <w:t xml:space="preserve">  详见附录B</w:t>
      </w:r>
      <w:r>
        <w:rPr>
          <w:rFonts w:hint="eastAsia" w:ascii="宋体" w:hAnsi="宋体"/>
          <w:szCs w:val="21"/>
        </w:rPr>
        <w:t>。</w:t>
      </w:r>
    </w:p>
    <w:p>
      <w:pPr>
        <w:spacing w:line="480" w:lineRule="exact"/>
        <w:ind w:firstLine="420" w:firstLineChars="200"/>
        <w:rPr>
          <w:rFonts w:ascii="宋体" w:hAnsi="宋体"/>
          <w:szCs w:val="21"/>
          <w:u w:val="single"/>
        </w:rPr>
      </w:pPr>
      <w:r>
        <w:rPr>
          <w:rFonts w:hint="eastAsia" w:ascii="宋体" w:hAnsi="宋体"/>
          <w:szCs w:val="21"/>
        </w:rPr>
        <w:t>（1）委托人要求的工程造价咨询成果质量标准：</w:t>
      </w:r>
    </w:p>
    <w:p>
      <w:pPr>
        <w:spacing w:line="420" w:lineRule="exact"/>
        <w:ind w:firstLine="525" w:firstLineChars="250"/>
        <w:rPr>
          <w:rFonts w:cs="Arial"/>
          <w:u w:val="single"/>
        </w:rPr>
      </w:pPr>
      <w:r>
        <w:rPr>
          <w:rFonts w:hint="eastAsia" w:cs="Arial"/>
          <w:u w:val="single"/>
        </w:rPr>
        <w:t>符合中价协［2008］013 号《关于印发工程造价咨询成果文件质量检查暂行办法的通知》等</w:t>
      </w:r>
      <w:r>
        <w:rPr>
          <w:rFonts w:hint="eastAsia" w:ascii="宋体" w:hAnsi="宋体"/>
          <w:szCs w:val="21"/>
          <w:u w:val="single"/>
        </w:rPr>
        <w:t>国家、省、市及行业现行有关规定、标准、规范的要</w:t>
      </w:r>
      <w:r>
        <w:rPr>
          <w:rFonts w:hint="eastAsia" w:cs="Arial"/>
          <w:u w:val="single"/>
        </w:rPr>
        <w:t>求。结算审核总价必须符合国家及地方现行有关规定，乙方咨询报告成果与</w:t>
      </w:r>
      <w:r>
        <w:rPr>
          <w:rFonts w:hint="eastAsia"/>
          <w:u w:val="single"/>
        </w:rPr>
        <w:t>发包人委托的二审</w:t>
      </w:r>
      <w:r>
        <w:rPr>
          <w:rFonts w:hint="eastAsia" w:cs="Arial"/>
          <w:u w:val="single"/>
        </w:rPr>
        <w:t>最终审定价相比，偏差率绝对值在0.8%（不含0.8%）以内视为合格。</w:t>
      </w:r>
    </w:p>
    <w:p>
      <w:pPr>
        <w:spacing w:line="480" w:lineRule="exact"/>
        <w:ind w:firstLine="420" w:firstLineChars="200"/>
        <w:rPr>
          <w:rFonts w:ascii="宋体" w:hAnsi="宋体"/>
          <w:szCs w:val="21"/>
        </w:rPr>
      </w:pPr>
      <w:r>
        <w:rPr>
          <w:rFonts w:hint="eastAsia" w:ascii="宋体" w:hAnsi="宋体"/>
          <w:szCs w:val="21"/>
        </w:rPr>
        <w:t>（2）受托人提交的工程造价咨询成果文件，除加盖受托人单位公章、工程造价咨询企业执业印章外，还必须按要求加盖参加咨询工作人员的执业（从业）资格印章。</w:t>
      </w:r>
    </w:p>
    <w:p>
      <w:pPr>
        <w:spacing w:line="480" w:lineRule="exact"/>
        <w:ind w:firstLine="420" w:firstLineChars="200"/>
        <w:rPr>
          <w:rFonts w:ascii="宋体" w:hAnsi="宋体"/>
          <w:szCs w:val="21"/>
        </w:rPr>
      </w:pPr>
      <w:r>
        <w:rPr>
          <w:rFonts w:hint="eastAsia" w:ascii="宋体" w:hAnsi="宋体"/>
          <w:szCs w:val="21"/>
        </w:rPr>
        <w:t>3.2.4咨询人应在收到委托人以书面形式提出的建议或者异议后</w:t>
      </w:r>
      <w:r>
        <w:rPr>
          <w:rFonts w:hint="eastAsia" w:ascii="宋体" w:hAnsi="宋体"/>
          <w:szCs w:val="21"/>
          <w:u w:val="single"/>
        </w:rPr>
        <w:t xml:space="preserve">  3  </w:t>
      </w:r>
      <w:r>
        <w:rPr>
          <w:rFonts w:hint="eastAsia" w:ascii="宋体" w:hAnsi="宋体"/>
          <w:szCs w:val="21"/>
        </w:rPr>
        <w:t>日内给予书面答复。</w:t>
      </w:r>
    </w:p>
    <w:p>
      <w:pPr>
        <w:pStyle w:val="31"/>
        <w:spacing w:before="0" w:after="0" w:line="480" w:lineRule="exact"/>
        <w:ind w:firstLine="420" w:firstLineChars="200"/>
        <w:jc w:val="both"/>
        <w:rPr>
          <w:rFonts w:ascii="宋体" w:hAnsi="宋体"/>
          <w:b w:val="0"/>
          <w:sz w:val="21"/>
          <w:szCs w:val="21"/>
        </w:rPr>
      </w:pPr>
      <w:bookmarkStart w:id="332" w:name="_Toc464395452"/>
      <w:bookmarkStart w:id="333" w:name="_Toc419045111"/>
      <w:bookmarkStart w:id="334" w:name="_Toc464396229"/>
      <w:bookmarkStart w:id="335" w:name="_Toc468905520"/>
      <w:r>
        <w:rPr>
          <w:rFonts w:hint="eastAsia" w:ascii="宋体" w:hAnsi="宋体"/>
          <w:b w:val="0"/>
          <w:sz w:val="21"/>
          <w:szCs w:val="21"/>
        </w:rPr>
        <w:t>3.3咨询人的工作依据</w:t>
      </w:r>
      <w:bookmarkEnd w:id="332"/>
      <w:bookmarkEnd w:id="333"/>
      <w:bookmarkEnd w:id="334"/>
      <w:bookmarkEnd w:id="335"/>
    </w:p>
    <w:p>
      <w:pPr>
        <w:spacing w:line="480" w:lineRule="exact"/>
        <w:ind w:firstLine="420" w:firstLineChars="200"/>
        <w:rPr>
          <w:rFonts w:ascii="宋体" w:hAnsi="宋体"/>
          <w:szCs w:val="21"/>
        </w:rPr>
      </w:pPr>
      <w:r>
        <w:rPr>
          <w:rFonts w:hint="eastAsia" w:ascii="宋体" w:hAnsi="宋体"/>
          <w:szCs w:val="21"/>
        </w:rPr>
        <w:t>经双方协商，本合同约定的造价咨询服务适用的技术标准、规范、定额等工作依据为：</w:t>
      </w:r>
      <w:r>
        <w:rPr>
          <w:rFonts w:hint="eastAsia" w:ascii="宋体" w:hAnsi="宋体"/>
          <w:szCs w:val="21"/>
          <w:u w:val="single"/>
        </w:rPr>
        <w:t>包括但不限于</w:t>
      </w:r>
      <w:r>
        <w:rPr>
          <w:rFonts w:hint="eastAsia" w:ascii="宋体" w:hAnsi="宋体" w:cs="Arial"/>
          <w:szCs w:val="21"/>
          <w:u w:val="single"/>
        </w:rPr>
        <w:t>按照施工图纸、各专业工程招标文件（含工程量清单）、《建设工程工程量清单计价规范》（GB50500-2013）、《通用安装工程工程量计算规范》（GB50856-2013）、《房屋建筑与装饰工程工程量计算规范》（GB50854-2013）、《通用安装工程工程量计算规范》（GB50856-2013）、《市政工程工程量计算规范》（GB50857-2013）、《园林绿化工程工程量计算规范》（GB50858-2013）、《江苏省建筑与装饰工程计价定额》（2014版）、《江苏省安装工程计价定额》（2014版），《江苏省市政工程计价定额》（2014版）、2007年《江苏省仿古建筑与园林工程计价表》、《江苏省建设工程费用定额》（2014年）及苏建价[2016]154号《江苏省建设工程费用定额》（2014年）&lt;营改增后调整内容“一般计税方法”&gt;、国家、省、市相关最新文件规定</w:t>
      </w:r>
      <w:r>
        <w:rPr>
          <w:rFonts w:ascii="宋体" w:hAnsi="宋体" w:cs="Arial"/>
          <w:szCs w:val="21"/>
          <w:u w:val="single"/>
        </w:rPr>
        <w:t>。</w:t>
      </w:r>
    </w:p>
    <w:p>
      <w:pPr>
        <w:pStyle w:val="38"/>
        <w:spacing w:before="0" w:after="0" w:line="480" w:lineRule="exact"/>
        <w:ind w:firstLine="422" w:firstLineChars="200"/>
        <w:jc w:val="both"/>
        <w:rPr>
          <w:rFonts w:ascii="宋体" w:hAnsi="宋体"/>
          <w:sz w:val="21"/>
          <w:szCs w:val="21"/>
        </w:rPr>
      </w:pPr>
      <w:bookmarkStart w:id="336" w:name="_Toc468905522"/>
      <w:bookmarkStart w:id="337" w:name="_Toc464395454"/>
      <w:bookmarkStart w:id="338" w:name="_Toc464396231"/>
      <w:bookmarkStart w:id="339" w:name="_Toc419045113"/>
      <w:r>
        <w:rPr>
          <w:rFonts w:hint="eastAsia" w:ascii="宋体" w:hAnsi="宋体"/>
          <w:sz w:val="21"/>
          <w:szCs w:val="21"/>
        </w:rPr>
        <w:t>4.违约责任</w:t>
      </w:r>
      <w:bookmarkEnd w:id="336"/>
      <w:bookmarkEnd w:id="337"/>
      <w:bookmarkEnd w:id="338"/>
      <w:bookmarkEnd w:id="339"/>
    </w:p>
    <w:p>
      <w:pPr>
        <w:pStyle w:val="31"/>
        <w:spacing w:before="0" w:after="0" w:line="480" w:lineRule="exact"/>
        <w:ind w:firstLine="422" w:firstLineChars="200"/>
        <w:jc w:val="both"/>
        <w:rPr>
          <w:rFonts w:ascii="宋体" w:hAnsi="宋体"/>
          <w:sz w:val="21"/>
          <w:szCs w:val="21"/>
        </w:rPr>
      </w:pPr>
      <w:bookmarkStart w:id="340" w:name="_Toc464396232"/>
      <w:bookmarkStart w:id="341" w:name="_Toc468905523"/>
      <w:bookmarkStart w:id="342" w:name="_Toc464395455"/>
      <w:r>
        <w:rPr>
          <w:rStyle w:val="78"/>
          <w:rFonts w:hint="eastAsia" w:ascii="宋体" w:hAnsi="宋体"/>
          <w:b/>
          <w:sz w:val="21"/>
          <w:szCs w:val="21"/>
        </w:rPr>
        <w:t>4.1委托人的违约责任</w:t>
      </w:r>
      <w:bookmarkEnd w:id="340"/>
      <w:bookmarkEnd w:id="341"/>
      <w:bookmarkEnd w:id="342"/>
    </w:p>
    <w:p>
      <w:pPr>
        <w:spacing w:line="480" w:lineRule="exact"/>
        <w:ind w:firstLine="420" w:firstLineChars="200"/>
        <w:rPr>
          <w:rFonts w:ascii="宋体" w:hAnsi="宋体"/>
          <w:szCs w:val="21"/>
        </w:rPr>
      </w:pPr>
      <w:r>
        <w:rPr>
          <w:rFonts w:hint="eastAsia" w:ascii="宋体" w:hAnsi="宋体"/>
          <w:szCs w:val="21"/>
        </w:rPr>
        <w:t>4.1.1委托人违约金的计算及支付方法：</w:t>
      </w:r>
      <w:r>
        <w:rPr>
          <w:rFonts w:hint="eastAsia" w:ascii="宋体" w:hAnsi="宋体"/>
          <w:szCs w:val="21"/>
          <w:u w:val="single"/>
        </w:rPr>
        <w:t xml:space="preserve">详见通用条款4.1 </w:t>
      </w:r>
      <w:r>
        <w:rPr>
          <w:rFonts w:hint="eastAsia" w:ascii="宋体" w:hAnsi="宋体"/>
          <w:szCs w:val="21"/>
        </w:rPr>
        <w:t>。</w:t>
      </w:r>
    </w:p>
    <w:p>
      <w:pPr>
        <w:spacing w:line="480" w:lineRule="exact"/>
        <w:ind w:firstLine="420" w:firstLineChars="200"/>
        <w:rPr>
          <w:rFonts w:ascii="宋体" w:hAnsi="宋体"/>
          <w:szCs w:val="21"/>
        </w:rPr>
      </w:pPr>
      <w:r>
        <w:rPr>
          <w:rFonts w:hint="eastAsia" w:ascii="宋体" w:hAnsi="宋体"/>
          <w:szCs w:val="21"/>
        </w:rPr>
        <w:t>4.1.2委托人赔偿金额按下列方法确定并支付：</w:t>
      </w:r>
      <w:r>
        <w:rPr>
          <w:rFonts w:hint="eastAsia" w:ascii="宋体" w:hAnsi="宋体"/>
          <w:szCs w:val="21"/>
          <w:u w:val="single"/>
        </w:rPr>
        <w:t>详见通用条款4.1</w:t>
      </w:r>
      <w:r>
        <w:rPr>
          <w:rFonts w:hint="eastAsia" w:ascii="宋体" w:hAnsi="宋体"/>
          <w:szCs w:val="21"/>
        </w:rPr>
        <w:t>。</w:t>
      </w:r>
    </w:p>
    <w:p>
      <w:pPr>
        <w:spacing w:line="480" w:lineRule="exact"/>
        <w:ind w:firstLine="420" w:firstLineChars="200"/>
        <w:rPr>
          <w:rFonts w:ascii="宋体" w:hAnsi="宋体"/>
          <w:szCs w:val="21"/>
        </w:rPr>
      </w:pPr>
      <w:r>
        <w:rPr>
          <w:rFonts w:hint="eastAsia" w:ascii="宋体" w:hAnsi="宋体"/>
          <w:szCs w:val="21"/>
        </w:rPr>
        <w:t>4.1.3 委托人逾期付款利息按下列方法计算并支付：</w:t>
      </w:r>
      <w:r>
        <w:rPr>
          <w:rFonts w:hint="eastAsia" w:ascii="宋体" w:hAnsi="宋体"/>
          <w:szCs w:val="21"/>
          <w:u w:val="single"/>
        </w:rPr>
        <w:t>/</w:t>
      </w:r>
      <w:r>
        <w:rPr>
          <w:rFonts w:hint="eastAsia" w:ascii="宋体" w:hAnsi="宋体"/>
          <w:szCs w:val="21"/>
        </w:rPr>
        <w:t>。</w:t>
      </w:r>
    </w:p>
    <w:p>
      <w:pPr>
        <w:pStyle w:val="31"/>
        <w:spacing w:before="0" w:after="0" w:line="480" w:lineRule="exact"/>
        <w:ind w:firstLine="420" w:firstLineChars="200"/>
        <w:jc w:val="both"/>
        <w:rPr>
          <w:rFonts w:ascii="宋体" w:hAnsi="宋体"/>
          <w:b w:val="0"/>
          <w:sz w:val="21"/>
          <w:szCs w:val="21"/>
        </w:rPr>
      </w:pPr>
      <w:bookmarkStart w:id="343" w:name="_Toc464395456"/>
      <w:bookmarkStart w:id="344" w:name="_Toc464396233"/>
      <w:bookmarkStart w:id="345" w:name="_Toc468905524"/>
      <w:bookmarkStart w:id="346" w:name="_Toc419045114"/>
      <w:r>
        <w:rPr>
          <w:rFonts w:hint="eastAsia" w:ascii="宋体" w:hAnsi="宋体"/>
          <w:b w:val="0"/>
          <w:sz w:val="21"/>
          <w:szCs w:val="21"/>
        </w:rPr>
        <w:t>4.2咨询人</w:t>
      </w:r>
      <w:r>
        <w:rPr>
          <w:rFonts w:ascii="宋体" w:hAnsi="宋体"/>
          <w:b w:val="0"/>
          <w:sz w:val="21"/>
          <w:szCs w:val="21"/>
        </w:rPr>
        <w:t>的违约责任</w:t>
      </w:r>
      <w:bookmarkEnd w:id="343"/>
      <w:bookmarkEnd w:id="344"/>
      <w:bookmarkEnd w:id="345"/>
    </w:p>
    <w:bookmarkEnd w:id="346"/>
    <w:p>
      <w:pPr>
        <w:spacing w:line="480" w:lineRule="exact"/>
        <w:ind w:firstLine="420" w:firstLineChars="200"/>
        <w:rPr>
          <w:rFonts w:ascii="宋体" w:hAnsi="宋体"/>
          <w:szCs w:val="21"/>
        </w:rPr>
      </w:pPr>
      <w:r>
        <w:rPr>
          <w:rFonts w:hint="eastAsia" w:ascii="宋体" w:hAnsi="宋体"/>
          <w:szCs w:val="21"/>
        </w:rPr>
        <w:t>4.2.1咨询人违约金的计算及支付方法：</w:t>
      </w:r>
      <w:r>
        <w:rPr>
          <w:rFonts w:hint="eastAsia" w:ascii="宋体" w:hAnsi="宋体"/>
          <w:szCs w:val="21"/>
          <w:u w:val="single"/>
        </w:rPr>
        <w:t xml:space="preserve"> / </w:t>
      </w:r>
      <w:r>
        <w:rPr>
          <w:rFonts w:hint="eastAsia" w:ascii="宋体" w:hAnsi="宋体"/>
          <w:szCs w:val="21"/>
        </w:rPr>
        <w:t>。</w:t>
      </w:r>
    </w:p>
    <w:p>
      <w:pPr>
        <w:pStyle w:val="177"/>
        <w:adjustRightInd w:val="0"/>
        <w:snapToGrid w:val="0"/>
        <w:spacing w:before="0" w:beforeAutospacing="0" w:after="0" w:afterAutospacing="0" w:line="480" w:lineRule="exact"/>
        <w:ind w:firstLine="420" w:firstLineChars="200"/>
        <w:rPr>
          <w:sz w:val="21"/>
        </w:rPr>
      </w:pPr>
      <w:r>
        <w:rPr>
          <w:rFonts w:hint="eastAsia"/>
          <w:sz w:val="21"/>
        </w:rPr>
        <w:t>4.2.2 咨询人赔偿金额按下列方法确定并支付：</w:t>
      </w:r>
    </w:p>
    <w:p>
      <w:pPr>
        <w:tabs>
          <w:tab w:val="left" w:pos="6264"/>
        </w:tabs>
        <w:snapToGrid w:val="0"/>
        <w:spacing w:line="480" w:lineRule="exact"/>
        <w:ind w:firstLine="420" w:firstLineChars="200"/>
        <w:jc w:val="left"/>
        <w:rPr>
          <w:u w:val="single"/>
        </w:rPr>
      </w:pPr>
      <w:r>
        <w:rPr>
          <w:rFonts w:hint="eastAsia"/>
          <w:u w:val="single"/>
        </w:rPr>
        <w:t>（1）乙方咨询报告成果与发包人委托的二审最终审定价相比，偏差率（建设单位定价材料除外，余同）绝对值在0.8%以内的（不含0.8%），按合同价结算。</w:t>
      </w:r>
    </w:p>
    <w:p>
      <w:pPr>
        <w:tabs>
          <w:tab w:val="left" w:pos="6264"/>
        </w:tabs>
        <w:snapToGrid w:val="0"/>
        <w:spacing w:line="480" w:lineRule="exact"/>
        <w:ind w:firstLine="420" w:firstLineChars="200"/>
        <w:jc w:val="left"/>
        <w:rPr>
          <w:u w:val="single"/>
        </w:rPr>
      </w:pPr>
      <w:r>
        <w:rPr>
          <w:rFonts w:hint="eastAsia"/>
          <w:u w:val="single"/>
        </w:rPr>
        <w:t>（2）乙方咨询报告成果与发包人委托的二审最终审定价相比，偏差率绝对值在0.8%-1.5%之间的（含0.8%、不含1.5%），结算审核费用按70%计算；</w:t>
      </w:r>
    </w:p>
    <w:p>
      <w:pPr>
        <w:spacing w:line="420" w:lineRule="exact"/>
        <w:ind w:firstLine="420" w:firstLineChars="200"/>
        <w:rPr>
          <w:u w:val="single"/>
        </w:rPr>
      </w:pPr>
      <w:r>
        <w:rPr>
          <w:rFonts w:hint="eastAsia"/>
          <w:u w:val="single"/>
        </w:rPr>
        <w:t>（3）乙方咨询报告成果与发包人委托的二审最终审定价相比，偏差率绝对值在1.5%-2%之间的（含1.5%、不含2%），结算审核费用按50%计算；</w:t>
      </w:r>
    </w:p>
    <w:p>
      <w:pPr>
        <w:spacing w:line="420" w:lineRule="exact"/>
        <w:ind w:firstLine="420" w:firstLineChars="200"/>
      </w:pPr>
      <w:r>
        <w:rPr>
          <w:rFonts w:hint="eastAsia"/>
          <w:u w:val="single"/>
        </w:rPr>
        <w:t>乙方咨询报告成果与发包人委托的二审最终审定价相比，偏差率绝对值大于2%（含2%）的，扣除全部结算审核费用（非乙方原因除外）。</w:t>
      </w:r>
    </w:p>
    <w:p>
      <w:pPr>
        <w:pStyle w:val="38"/>
        <w:spacing w:before="0" w:after="0" w:line="480" w:lineRule="exact"/>
        <w:ind w:firstLine="422" w:firstLineChars="200"/>
        <w:jc w:val="both"/>
        <w:rPr>
          <w:rFonts w:ascii="宋体" w:hAnsi="宋体"/>
          <w:sz w:val="21"/>
          <w:szCs w:val="21"/>
        </w:rPr>
      </w:pPr>
      <w:bookmarkStart w:id="347" w:name="_Toc419045115"/>
      <w:bookmarkStart w:id="348" w:name="_Toc468905525"/>
      <w:bookmarkStart w:id="349" w:name="_Toc464395457"/>
      <w:bookmarkStart w:id="350" w:name="_Toc464396234"/>
      <w:r>
        <w:rPr>
          <w:rFonts w:hint="eastAsia" w:ascii="宋体" w:hAnsi="宋体"/>
          <w:sz w:val="21"/>
          <w:szCs w:val="21"/>
        </w:rPr>
        <w:t>5.支付</w:t>
      </w:r>
      <w:bookmarkEnd w:id="347"/>
      <w:bookmarkEnd w:id="348"/>
      <w:bookmarkEnd w:id="349"/>
      <w:bookmarkEnd w:id="350"/>
    </w:p>
    <w:p>
      <w:pPr>
        <w:spacing w:line="480" w:lineRule="exact"/>
        <w:ind w:firstLine="420" w:firstLineChars="200"/>
        <w:rPr>
          <w:rStyle w:val="78"/>
          <w:rFonts w:ascii="宋体" w:hAnsi="宋体"/>
          <w:b w:val="0"/>
          <w:sz w:val="21"/>
          <w:szCs w:val="21"/>
        </w:rPr>
      </w:pPr>
      <w:bookmarkStart w:id="351" w:name="_Toc468905526"/>
      <w:bookmarkStart w:id="352" w:name="_Toc464396235"/>
      <w:bookmarkStart w:id="353" w:name="_Toc464395458"/>
      <w:bookmarkStart w:id="354" w:name="_Toc419045116"/>
      <w:r>
        <w:rPr>
          <w:rStyle w:val="78"/>
          <w:rFonts w:hint="eastAsia" w:ascii="宋体" w:hAnsi="宋体"/>
          <w:b w:val="0"/>
          <w:sz w:val="21"/>
          <w:szCs w:val="21"/>
        </w:rPr>
        <w:t>5.1支付货币</w:t>
      </w:r>
      <w:bookmarkEnd w:id="351"/>
      <w:bookmarkEnd w:id="352"/>
      <w:bookmarkEnd w:id="353"/>
      <w:bookmarkEnd w:id="354"/>
    </w:p>
    <w:p>
      <w:pPr>
        <w:spacing w:line="480" w:lineRule="exact"/>
        <w:ind w:firstLine="420" w:firstLineChars="200"/>
        <w:rPr>
          <w:rFonts w:ascii="宋体" w:hAnsi="宋体"/>
          <w:szCs w:val="21"/>
        </w:rPr>
      </w:pPr>
      <w:r>
        <w:rPr>
          <w:rFonts w:hint="eastAsia" w:ascii="宋体" w:hAnsi="宋体"/>
          <w:szCs w:val="21"/>
        </w:rPr>
        <w:t>币种为：</w:t>
      </w:r>
      <w:r>
        <w:rPr>
          <w:rFonts w:hint="eastAsia" w:ascii="宋体" w:hAnsi="宋体"/>
          <w:szCs w:val="21"/>
          <w:u w:val="single"/>
        </w:rPr>
        <w:t xml:space="preserve"> 人民币  </w:t>
      </w:r>
      <w:r>
        <w:rPr>
          <w:rFonts w:hint="eastAsia" w:ascii="宋体" w:hAnsi="宋体"/>
          <w:szCs w:val="21"/>
        </w:rPr>
        <w:t>，汇率为：</w:t>
      </w:r>
      <w:r>
        <w:rPr>
          <w:rFonts w:hint="eastAsia" w:ascii="宋体" w:hAnsi="宋体"/>
          <w:szCs w:val="21"/>
          <w:u w:val="single"/>
        </w:rPr>
        <w:t xml:space="preserve">     /     </w:t>
      </w:r>
      <w:r>
        <w:rPr>
          <w:rFonts w:hint="eastAsia" w:ascii="宋体" w:hAnsi="宋体"/>
          <w:szCs w:val="21"/>
        </w:rPr>
        <w:t>，其他约定：</w:t>
      </w:r>
      <w:r>
        <w:rPr>
          <w:rFonts w:hint="eastAsia" w:ascii="宋体" w:hAnsi="宋体"/>
          <w:szCs w:val="21"/>
          <w:u w:val="single"/>
        </w:rPr>
        <w:t xml:space="preserve">     /     </w:t>
      </w:r>
      <w:r>
        <w:rPr>
          <w:rFonts w:hint="eastAsia" w:ascii="宋体" w:hAnsi="宋体"/>
          <w:szCs w:val="21"/>
        </w:rPr>
        <w:t>。</w:t>
      </w:r>
    </w:p>
    <w:p>
      <w:pPr>
        <w:spacing w:line="480" w:lineRule="exact"/>
        <w:ind w:firstLine="420" w:firstLineChars="200"/>
        <w:rPr>
          <w:rStyle w:val="78"/>
          <w:rFonts w:ascii="宋体" w:hAnsi="宋体"/>
          <w:b w:val="0"/>
          <w:sz w:val="21"/>
          <w:szCs w:val="21"/>
        </w:rPr>
      </w:pPr>
      <w:bookmarkStart w:id="355" w:name="_Toc468905527"/>
      <w:bookmarkStart w:id="356" w:name="_Toc464396236"/>
      <w:bookmarkStart w:id="357" w:name="_Toc419045117"/>
      <w:bookmarkStart w:id="358" w:name="_Toc464395459"/>
      <w:r>
        <w:rPr>
          <w:rStyle w:val="78"/>
          <w:rFonts w:hint="eastAsia" w:ascii="宋体" w:hAnsi="宋体"/>
          <w:b w:val="0"/>
          <w:sz w:val="21"/>
          <w:szCs w:val="21"/>
        </w:rPr>
        <w:t>5.2 支付申请</w:t>
      </w:r>
      <w:bookmarkEnd w:id="355"/>
      <w:bookmarkEnd w:id="356"/>
      <w:bookmarkEnd w:id="357"/>
      <w:bookmarkEnd w:id="358"/>
    </w:p>
    <w:p>
      <w:pPr>
        <w:spacing w:line="480" w:lineRule="exact"/>
        <w:ind w:firstLine="420" w:firstLineChars="200"/>
        <w:rPr>
          <w:rFonts w:ascii="宋体" w:hAnsi="宋体"/>
          <w:szCs w:val="21"/>
        </w:rPr>
      </w:pPr>
      <w:r>
        <w:rPr>
          <w:rFonts w:hint="eastAsia" w:ascii="宋体" w:hAnsi="宋体"/>
          <w:szCs w:val="21"/>
        </w:rPr>
        <w:t>咨询</w:t>
      </w:r>
      <w:r>
        <w:rPr>
          <w:rFonts w:ascii="宋体" w:hAnsi="宋体"/>
          <w:szCs w:val="21"/>
        </w:rPr>
        <w:t>人应在本合同约定的每次应付款</w:t>
      </w:r>
      <w:r>
        <w:rPr>
          <w:rFonts w:hint="eastAsia" w:ascii="宋体" w:hAnsi="宋体"/>
          <w:szCs w:val="21"/>
        </w:rPr>
        <w:t>日期</w:t>
      </w:r>
      <w:r>
        <w:rPr>
          <w:rFonts w:hint="eastAsia" w:ascii="宋体" w:hAnsi="宋体"/>
          <w:szCs w:val="21"/>
          <w:u w:val="single"/>
        </w:rPr>
        <w:t xml:space="preserve">   7  </w:t>
      </w:r>
      <w:r>
        <w:rPr>
          <w:rFonts w:hint="eastAsia" w:ascii="宋体" w:hAnsi="宋体"/>
          <w:szCs w:val="21"/>
        </w:rPr>
        <w:t>日前</w:t>
      </w:r>
      <w:r>
        <w:rPr>
          <w:rFonts w:ascii="宋体" w:hAnsi="宋体"/>
          <w:szCs w:val="21"/>
        </w:rPr>
        <w:t>，向委托人提交支付申请书。</w:t>
      </w:r>
    </w:p>
    <w:p>
      <w:pPr>
        <w:spacing w:line="480" w:lineRule="exact"/>
        <w:ind w:firstLine="420" w:firstLineChars="200"/>
        <w:rPr>
          <w:rStyle w:val="78"/>
          <w:rFonts w:ascii="宋体" w:hAnsi="宋体"/>
          <w:b w:val="0"/>
          <w:sz w:val="21"/>
          <w:szCs w:val="21"/>
        </w:rPr>
      </w:pPr>
      <w:bookmarkStart w:id="359" w:name="_Toc464395460"/>
      <w:bookmarkStart w:id="360" w:name="_Toc468905528"/>
      <w:bookmarkStart w:id="361" w:name="_Toc464396237"/>
      <w:bookmarkStart w:id="362" w:name="_Toc419045118"/>
      <w:r>
        <w:rPr>
          <w:rStyle w:val="78"/>
          <w:rFonts w:hint="eastAsia" w:ascii="宋体" w:hAnsi="宋体"/>
          <w:b w:val="0"/>
          <w:sz w:val="21"/>
          <w:szCs w:val="21"/>
        </w:rPr>
        <w:t>5.3支付酬金</w:t>
      </w:r>
      <w:bookmarkEnd w:id="359"/>
      <w:bookmarkEnd w:id="360"/>
      <w:bookmarkEnd w:id="361"/>
      <w:bookmarkEnd w:id="362"/>
    </w:p>
    <w:p>
      <w:pPr>
        <w:spacing w:line="480" w:lineRule="exact"/>
        <w:ind w:firstLine="420" w:firstLineChars="200"/>
        <w:rPr>
          <w:rFonts w:ascii="宋体" w:hAnsi="宋体"/>
          <w:color w:val="000000" w:themeColor="text1"/>
          <w:szCs w:val="21"/>
          <w:u w:val="single"/>
        </w:rPr>
      </w:pPr>
      <w:bookmarkStart w:id="363" w:name="_Toc464395461"/>
      <w:bookmarkStart w:id="364" w:name="_Toc419045119"/>
      <w:bookmarkStart w:id="365" w:name="_Toc464396238"/>
      <w:bookmarkStart w:id="366" w:name="_Toc468905529"/>
      <w:r>
        <w:rPr>
          <w:rFonts w:hint="eastAsia" w:ascii="宋体" w:hAnsi="宋体"/>
          <w:color w:val="000000" w:themeColor="text1"/>
          <w:szCs w:val="21"/>
          <w:u w:val="single"/>
        </w:rPr>
        <w:t>设暂定施工阶段全过程造价咨询费用为X，最终施工阶段全过程造价咨询费用为Y，工程竣工结算初审服务咨询费用为Z，总酬金为T（T=Y+Z）。</w:t>
      </w:r>
    </w:p>
    <w:p>
      <w:pPr>
        <w:spacing w:line="480" w:lineRule="exact"/>
        <w:ind w:firstLine="420" w:firstLineChars="200"/>
        <w:rPr>
          <w:rFonts w:ascii="宋体" w:hAnsi="宋体"/>
          <w:color w:val="000000" w:themeColor="text1"/>
          <w:szCs w:val="21"/>
          <w:u w:val="single"/>
        </w:rPr>
      </w:pPr>
      <w:r>
        <w:rPr>
          <w:rFonts w:hint="eastAsia" w:ascii="宋体" w:hAnsi="宋体"/>
          <w:color w:val="000000" w:themeColor="text1"/>
          <w:szCs w:val="21"/>
          <w:u w:val="single"/>
        </w:rPr>
        <w:t>本项目无预付款，按村实施，分段施工，单项工程竣工验收合格后付至单项工程造价咨询费用（以施工额2亿元为基数同比例分摊X值）的50%，施工单位提交竣工结算资料后一个月内乙方提交一审报告后付至X值的70%，经发包人委托的二审结束后付至T值的95%，二审结束满一年后结清余款。</w:t>
      </w:r>
    </w:p>
    <w:p>
      <w:pPr>
        <w:spacing w:line="420" w:lineRule="exact"/>
        <w:ind w:firstLine="420" w:firstLineChars="200"/>
        <w:jc w:val="left"/>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X值为150.3万元×中标费率</w:t>
      </w:r>
    </w:p>
    <w:p>
      <w:pPr>
        <w:spacing w:line="420" w:lineRule="exact"/>
        <w:ind w:firstLine="420" w:firstLineChars="200"/>
        <w:jc w:val="left"/>
        <w:rPr>
          <w:rFonts w:ascii="宋体" w:hAnsi="宋体" w:cs="宋体"/>
          <w:color w:val="000000" w:themeColor="text1"/>
          <w:szCs w:val="21"/>
        </w:rPr>
      </w:pPr>
      <w:r>
        <w:rPr>
          <w:rFonts w:hint="eastAsia" w:ascii="宋体" w:hAnsi="宋体" w:cs="宋体"/>
          <w:snapToGrid w:val="0"/>
          <w:color w:val="000000" w:themeColor="text1"/>
          <w:kern w:val="0"/>
          <w:szCs w:val="21"/>
        </w:rPr>
        <w:t>Y值为最终施工阶段全过程造价咨询费用：</w:t>
      </w:r>
      <w:r>
        <w:rPr>
          <w:rFonts w:hint="eastAsia" w:ascii="宋体" w:hAnsi="宋体" w:cs="宋体"/>
          <w:color w:val="000000" w:themeColor="text1"/>
          <w:szCs w:val="21"/>
        </w:rPr>
        <w:t>按苏价服【2014】383号文件标准（只计取基本收费、驻场收费）</w:t>
      </w:r>
      <w:r>
        <w:rPr>
          <w:rFonts w:hint="eastAsia" w:ascii="宋体" w:hAnsi="宋体" w:cs="宋体"/>
          <w:snapToGrid w:val="0"/>
          <w:color w:val="000000" w:themeColor="text1"/>
          <w:kern w:val="0"/>
          <w:szCs w:val="21"/>
        </w:rPr>
        <w:t>×施工阶段全过程造价中标费率，</w:t>
      </w:r>
      <w:r>
        <w:rPr>
          <w:rFonts w:hint="eastAsia" w:ascii="宋体" w:hAnsi="宋体" w:cs="宋体"/>
          <w:color w:val="000000" w:themeColor="text1"/>
          <w:szCs w:val="21"/>
        </w:rPr>
        <w:t>施工阶段全过程造价咨询费计算基数按最终审定价计算。</w:t>
      </w:r>
    </w:p>
    <w:p>
      <w:pPr>
        <w:spacing w:line="430" w:lineRule="exact"/>
        <w:ind w:firstLine="420" w:firstLineChars="200"/>
        <w:textAlignment w:val="baseline"/>
        <w:rPr>
          <w:color w:val="000000" w:themeColor="text1"/>
          <w:szCs w:val="21"/>
        </w:rPr>
      </w:pPr>
      <w:r>
        <w:rPr>
          <w:rFonts w:hint="eastAsia" w:ascii="宋体" w:hAnsi="宋体" w:cs="宋体"/>
          <w:snapToGrid w:val="0"/>
          <w:color w:val="000000" w:themeColor="text1"/>
          <w:kern w:val="0"/>
          <w:szCs w:val="21"/>
        </w:rPr>
        <w:t>Z值为工程竣工结算初审服务咨询费用：</w:t>
      </w:r>
      <w:r>
        <w:rPr>
          <w:rFonts w:hint="eastAsia" w:ascii="宋体" w:hAnsi="宋体" w:cs="宋体"/>
          <w:color w:val="000000" w:themeColor="text1"/>
          <w:szCs w:val="21"/>
        </w:rPr>
        <w:t>按苏价服【2014】383号文件标准（只计取效益收费）×</w:t>
      </w:r>
      <w:r>
        <w:rPr>
          <w:rFonts w:hint="eastAsia" w:ascii="宋体" w:hAnsi="宋体" w:cs="宋体"/>
          <w:snapToGrid w:val="0"/>
          <w:color w:val="000000" w:themeColor="text1"/>
          <w:kern w:val="0"/>
          <w:szCs w:val="21"/>
        </w:rPr>
        <w:t>工程竣工结算初审服务咨询费用</w:t>
      </w:r>
      <w:r>
        <w:rPr>
          <w:rFonts w:hint="eastAsia" w:ascii="宋体" w:hAnsi="宋体" w:cs="宋体"/>
          <w:color w:val="000000" w:themeColor="text1"/>
          <w:szCs w:val="21"/>
        </w:rPr>
        <w:t>中标费率。</w:t>
      </w:r>
    </w:p>
    <w:p>
      <w:pPr>
        <w:pStyle w:val="38"/>
        <w:spacing w:before="0" w:after="0" w:line="480" w:lineRule="exact"/>
        <w:ind w:firstLine="422" w:firstLineChars="200"/>
        <w:jc w:val="both"/>
        <w:rPr>
          <w:rFonts w:ascii="宋体" w:hAnsi="宋体"/>
          <w:sz w:val="21"/>
          <w:szCs w:val="21"/>
        </w:rPr>
      </w:pPr>
      <w:r>
        <w:rPr>
          <w:rFonts w:hint="eastAsia" w:ascii="宋体" w:hAnsi="宋体"/>
          <w:sz w:val="21"/>
          <w:szCs w:val="21"/>
        </w:rPr>
        <w:t>6.合同变更、解除与终止</w:t>
      </w:r>
      <w:bookmarkEnd w:id="363"/>
      <w:bookmarkEnd w:id="364"/>
      <w:bookmarkEnd w:id="365"/>
      <w:bookmarkEnd w:id="366"/>
    </w:p>
    <w:p>
      <w:pPr>
        <w:spacing w:line="480" w:lineRule="exact"/>
        <w:ind w:firstLine="420" w:firstLineChars="200"/>
        <w:rPr>
          <w:rFonts w:ascii="宋体" w:hAnsi="宋体"/>
          <w:szCs w:val="21"/>
        </w:rPr>
      </w:pPr>
      <w:bookmarkStart w:id="367" w:name="_Toc464396239"/>
      <w:bookmarkStart w:id="368" w:name="_Toc464395462"/>
      <w:bookmarkStart w:id="369" w:name="_Toc468905530"/>
      <w:bookmarkStart w:id="370" w:name="_Toc419045120"/>
      <w:r>
        <w:rPr>
          <w:rStyle w:val="78"/>
          <w:rFonts w:hint="eastAsia" w:ascii="宋体" w:hAnsi="宋体"/>
          <w:b w:val="0"/>
          <w:sz w:val="21"/>
          <w:szCs w:val="21"/>
        </w:rPr>
        <w:t>6.1合同变更</w:t>
      </w:r>
      <w:bookmarkEnd w:id="367"/>
      <w:bookmarkEnd w:id="368"/>
      <w:bookmarkEnd w:id="369"/>
      <w:bookmarkEnd w:id="370"/>
    </w:p>
    <w:p>
      <w:pPr>
        <w:spacing w:line="480" w:lineRule="exact"/>
        <w:ind w:firstLine="420" w:firstLineChars="200"/>
        <w:rPr>
          <w:rFonts w:ascii="宋体" w:hAnsi="宋体"/>
          <w:szCs w:val="21"/>
        </w:rPr>
      </w:pPr>
      <w:r>
        <w:rPr>
          <w:rFonts w:hint="eastAsia" w:ascii="宋体" w:hAnsi="宋体"/>
          <w:szCs w:val="21"/>
        </w:rPr>
        <w:t>6.1.2</w:t>
      </w:r>
      <w:r>
        <w:rPr>
          <w:rFonts w:ascii="宋体" w:hAnsi="宋体"/>
          <w:szCs w:val="21"/>
        </w:rPr>
        <w:t>除不可抗力外，因非</w:t>
      </w:r>
      <w:r>
        <w:rPr>
          <w:rFonts w:hint="eastAsia" w:ascii="宋体" w:hAnsi="宋体"/>
          <w:szCs w:val="21"/>
        </w:rPr>
        <w:t>咨询</w:t>
      </w:r>
      <w:r>
        <w:rPr>
          <w:rFonts w:ascii="宋体" w:hAnsi="宋体"/>
          <w:szCs w:val="21"/>
        </w:rPr>
        <w:t>人原因导致</w:t>
      </w:r>
      <w:r>
        <w:rPr>
          <w:rFonts w:hint="eastAsia" w:ascii="宋体" w:hAnsi="宋体"/>
          <w:szCs w:val="21"/>
        </w:rPr>
        <w:t>咨询</w:t>
      </w:r>
      <w:r>
        <w:rPr>
          <w:rFonts w:ascii="宋体" w:hAnsi="宋体"/>
          <w:szCs w:val="21"/>
        </w:rPr>
        <w:t>人履行合同期限延长、内容增加时，</w:t>
      </w:r>
      <w:r>
        <w:rPr>
          <w:rFonts w:hint="eastAsia" w:ascii="宋体" w:hAnsi="宋体"/>
          <w:szCs w:val="21"/>
        </w:rPr>
        <w:t xml:space="preserve">不予调整 。 </w:t>
      </w:r>
    </w:p>
    <w:p>
      <w:pPr>
        <w:spacing w:line="480" w:lineRule="exact"/>
        <w:ind w:firstLine="420" w:firstLineChars="200"/>
        <w:rPr>
          <w:rFonts w:ascii="宋体" w:hAnsi="宋体"/>
          <w:szCs w:val="21"/>
        </w:rPr>
      </w:pPr>
      <w:r>
        <w:rPr>
          <w:rFonts w:hint="eastAsia" w:ascii="宋体" w:hAnsi="宋体"/>
          <w:szCs w:val="21"/>
        </w:rPr>
        <w:t>6.1.4因工程规模、服务范围及内容的变化等导致咨询人的工作量增减时，服务酬金的调整方法：</w:t>
      </w:r>
      <w:r>
        <w:rPr>
          <w:rFonts w:ascii="宋体" w:hAnsi="宋体"/>
          <w:szCs w:val="21"/>
          <w:u w:val="single"/>
        </w:rPr>
        <w:t>按苏价服[2014]383号文</w:t>
      </w:r>
      <w:r>
        <w:rPr>
          <w:rFonts w:hint="eastAsia" w:ascii="宋体" w:hAnsi="宋体"/>
          <w:szCs w:val="21"/>
          <w:u w:val="single"/>
        </w:rPr>
        <w:t>的标准及中标费率调整</w:t>
      </w:r>
      <w:r>
        <w:rPr>
          <w:rFonts w:hint="eastAsia" w:ascii="宋体" w:hAnsi="宋体"/>
          <w:szCs w:val="21"/>
        </w:rPr>
        <w:t>。</w:t>
      </w:r>
    </w:p>
    <w:p>
      <w:pPr>
        <w:pStyle w:val="31"/>
        <w:spacing w:before="0" w:after="0" w:line="480" w:lineRule="exact"/>
        <w:ind w:firstLine="420" w:firstLineChars="200"/>
        <w:jc w:val="both"/>
        <w:rPr>
          <w:rFonts w:ascii="宋体" w:hAnsi="宋体"/>
          <w:b w:val="0"/>
          <w:sz w:val="21"/>
          <w:szCs w:val="21"/>
        </w:rPr>
      </w:pPr>
      <w:bookmarkStart w:id="371" w:name="_Toc464395463"/>
      <w:bookmarkStart w:id="372" w:name="_Toc468905531"/>
      <w:bookmarkStart w:id="373" w:name="_Toc464396240"/>
      <w:r>
        <w:rPr>
          <w:rFonts w:hint="eastAsia" w:ascii="宋体" w:hAnsi="宋体"/>
          <w:b w:val="0"/>
          <w:sz w:val="21"/>
          <w:szCs w:val="21"/>
        </w:rPr>
        <w:t>6.2合同解除</w:t>
      </w:r>
      <w:bookmarkEnd w:id="371"/>
      <w:bookmarkEnd w:id="372"/>
      <w:bookmarkEnd w:id="373"/>
    </w:p>
    <w:p>
      <w:pPr>
        <w:spacing w:line="480" w:lineRule="exact"/>
        <w:ind w:firstLine="420" w:firstLineChars="200"/>
        <w:rPr>
          <w:rFonts w:ascii="宋体" w:hAnsi="宋体"/>
          <w:szCs w:val="21"/>
        </w:rPr>
      </w:pPr>
      <w:r>
        <w:rPr>
          <w:rFonts w:hint="eastAsia" w:ascii="宋体" w:hAnsi="宋体"/>
          <w:szCs w:val="21"/>
        </w:rPr>
        <w:t>6.2.2双方约定解除合同的条件还包括：</w:t>
      </w:r>
      <w:r>
        <w:rPr>
          <w:rFonts w:hint="eastAsia" w:ascii="宋体" w:hAnsi="宋体"/>
          <w:szCs w:val="21"/>
          <w:u w:val="single"/>
        </w:rPr>
        <w:t xml:space="preserve">       /        </w:t>
      </w:r>
      <w:r>
        <w:rPr>
          <w:rFonts w:hint="eastAsia" w:ascii="宋体" w:hAnsi="宋体"/>
          <w:szCs w:val="21"/>
        </w:rPr>
        <w:t xml:space="preserve">。 </w:t>
      </w:r>
    </w:p>
    <w:p>
      <w:pPr>
        <w:spacing w:line="480" w:lineRule="exact"/>
        <w:ind w:firstLine="420" w:firstLineChars="200"/>
        <w:rPr>
          <w:rFonts w:ascii="宋体" w:hAnsi="宋体"/>
          <w:szCs w:val="21"/>
        </w:rPr>
      </w:pPr>
      <w:r>
        <w:rPr>
          <w:rFonts w:hint="eastAsia" w:ascii="宋体" w:hAnsi="宋体"/>
          <w:szCs w:val="21"/>
        </w:rPr>
        <w:t>6.2.4因不可抗力导致的合同解除，双方约定损失的分担如下：___</w:t>
      </w:r>
      <w:r>
        <w:rPr>
          <w:rFonts w:hint="eastAsia" w:ascii="宋体" w:hAnsi="宋体"/>
          <w:szCs w:val="21"/>
          <w:u w:val="single"/>
        </w:rPr>
        <w:t xml:space="preserve">/      </w:t>
      </w:r>
      <w:r>
        <w:rPr>
          <w:rFonts w:hint="eastAsia" w:ascii="宋体" w:hAnsi="宋体"/>
          <w:szCs w:val="21"/>
        </w:rPr>
        <w:t>。</w:t>
      </w:r>
    </w:p>
    <w:p>
      <w:pPr>
        <w:pStyle w:val="38"/>
        <w:spacing w:before="0" w:after="0" w:line="480" w:lineRule="exact"/>
        <w:ind w:firstLine="422" w:firstLineChars="200"/>
        <w:jc w:val="both"/>
        <w:rPr>
          <w:rFonts w:ascii="宋体" w:hAnsi="宋体"/>
          <w:sz w:val="21"/>
          <w:szCs w:val="21"/>
        </w:rPr>
      </w:pPr>
      <w:bookmarkStart w:id="374" w:name="_Toc464395464"/>
      <w:bookmarkStart w:id="375" w:name="_Toc419045121"/>
      <w:bookmarkStart w:id="376" w:name="_Toc468905532"/>
      <w:bookmarkStart w:id="377" w:name="_Toc464396241"/>
      <w:r>
        <w:rPr>
          <w:rFonts w:hint="eastAsia" w:ascii="宋体" w:hAnsi="宋体"/>
          <w:sz w:val="21"/>
          <w:szCs w:val="21"/>
        </w:rPr>
        <w:t>7.争议解决</w:t>
      </w:r>
      <w:bookmarkEnd w:id="374"/>
      <w:bookmarkEnd w:id="375"/>
      <w:bookmarkEnd w:id="376"/>
      <w:bookmarkEnd w:id="377"/>
    </w:p>
    <w:p>
      <w:pPr>
        <w:spacing w:line="480" w:lineRule="exact"/>
        <w:ind w:firstLine="420" w:firstLineChars="200"/>
        <w:rPr>
          <w:rFonts w:ascii="宋体" w:hAnsi="宋体"/>
          <w:szCs w:val="21"/>
        </w:rPr>
      </w:pPr>
      <w:bookmarkStart w:id="378" w:name="_Toc464395465"/>
      <w:bookmarkStart w:id="379" w:name="_Toc468905533"/>
      <w:bookmarkStart w:id="380" w:name="_Toc464396242"/>
      <w:bookmarkStart w:id="381" w:name="_Toc419045122"/>
      <w:r>
        <w:rPr>
          <w:rStyle w:val="78"/>
          <w:rFonts w:hint="eastAsia" w:ascii="宋体" w:hAnsi="宋体"/>
          <w:b w:val="0"/>
          <w:sz w:val="21"/>
          <w:szCs w:val="21"/>
        </w:rPr>
        <w:t>7.1调解</w:t>
      </w:r>
      <w:bookmarkEnd w:id="378"/>
      <w:bookmarkEnd w:id="379"/>
      <w:bookmarkEnd w:id="380"/>
      <w:bookmarkEnd w:id="381"/>
    </w:p>
    <w:p>
      <w:pPr>
        <w:spacing w:line="480" w:lineRule="exact"/>
        <w:ind w:firstLine="420" w:firstLineChars="200"/>
        <w:rPr>
          <w:rStyle w:val="78"/>
          <w:rFonts w:ascii="宋体" w:hAnsi="宋体"/>
          <w:b w:val="0"/>
          <w:bCs/>
          <w:kern w:val="0"/>
          <w:sz w:val="21"/>
          <w:szCs w:val="21"/>
        </w:rPr>
      </w:pPr>
      <w:r>
        <w:rPr>
          <w:rFonts w:hint="eastAsia" w:ascii="宋体" w:hAnsi="宋体"/>
          <w:szCs w:val="21"/>
        </w:rPr>
        <w:t>如果双方不能在</w:t>
      </w:r>
      <w:r>
        <w:rPr>
          <w:rFonts w:hint="eastAsia" w:ascii="宋体" w:hAnsi="宋体"/>
          <w:szCs w:val="21"/>
          <w:u w:val="single"/>
        </w:rPr>
        <w:t xml:space="preserve">   14  </w:t>
      </w:r>
      <w:r>
        <w:rPr>
          <w:rFonts w:ascii="宋体" w:hAnsi="宋体"/>
          <w:szCs w:val="21"/>
        </w:rPr>
        <w:t>日内解决本合同争议，可以将其提交</w:t>
      </w:r>
      <w:r>
        <w:rPr>
          <w:rFonts w:hint="eastAsia" w:ascii="宋体" w:hAnsi="宋体"/>
          <w:szCs w:val="21"/>
          <w:u w:val="single"/>
        </w:rPr>
        <w:t xml:space="preserve"> 有关职能部门</w:t>
      </w:r>
      <w:r>
        <w:rPr>
          <w:rFonts w:hint="eastAsia" w:ascii="宋体" w:hAnsi="宋体"/>
          <w:szCs w:val="21"/>
        </w:rPr>
        <w:t>进行调解。</w:t>
      </w:r>
    </w:p>
    <w:p>
      <w:pPr>
        <w:pStyle w:val="31"/>
        <w:spacing w:before="0" w:after="0" w:line="480" w:lineRule="exact"/>
        <w:ind w:firstLine="420" w:firstLineChars="200"/>
        <w:jc w:val="both"/>
        <w:rPr>
          <w:rFonts w:ascii="宋体" w:hAnsi="宋体"/>
          <w:b w:val="0"/>
          <w:sz w:val="21"/>
          <w:szCs w:val="21"/>
        </w:rPr>
      </w:pPr>
      <w:bookmarkStart w:id="382" w:name="_Toc464395466"/>
      <w:bookmarkStart w:id="383" w:name="_Toc464396243"/>
      <w:bookmarkStart w:id="384" w:name="_Toc468905534"/>
      <w:r>
        <w:rPr>
          <w:rFonts w:hint="eastAsia" w:ascii="宋体" w:hAnsi="宋体"/>
          <w:b w:val="0"/>
          <w:sz w:val="21"/>
          <w:szCs w:val="21"/>
        </w:rPr>
        <w:t>7.2仲裁</w:t>
      </w:r>
      <w:r>
        <w:rPr>
          <w:rFonts w:ascii="宋体" w:hAnsi="宋体"/>
          <w:b w:val="0"/>
          <w:sz w:val="21"/>
          <w:szCs w:val="21"/>
        </w:rPr>
        <w:t>或诉讼</w:t>
      </w:r>
      <w:bookmarkEnd w:id="382"/>
      <w:bookmarkEnd w:id="383"/>
      <w:bookmarkEnd w:id="384"/>
    </w:p>
    <w:p>
      <w:pPr>
        <w:spacing w:line="480" w:lineRule="exact"/>
        <w:ind w:firstLine="420" w:firstLineChars="200"/>
        <w:rPr>
          <w:rFonts w:ascii="宋体" w:hAnsi="宋体"/>
          <w:szCs w:val="21"/>
        </w:rPr>
      </w:pPr>
      <w:r>
        <w:rPr>
          <w:rFonts w:hint="eastAsia" w:ascii="宋体" w:hAnsi="宋体"/>
          <w:szCs w:val="21"/>
        </w:rPr>
        <w:t>合同争议的最终解决方式为下列第</w:t>
      </w:r>
      <w:r>
        <w:rPr>
          <w:rFonts w:hint="eastAsia" w:ascii="宋体" w:hAnsi="宋体"/>
          <w:szCs w:val="21"/>
          <w:u w:val="single"/>
        </w:rPr>
        <w:t xml:space="preserve">    （2）   </w:t>
      </w:r>
      <w:r>
        <w:rPr>
          <w:rFonts w:hint="eastAsia" w:ascii="宋体" w:hAnsi="宋体"/>
          <w:szCs w:val="21"/>
        </w:rPr>
        <w:t>种方式：</w:t>
      </w:r>
    </w:p>
    <w:p>
      <w:pPr>
        <w:spacing w:line="480" w:lineRule="exact"/>
        <w:ind w:firstLine="420" w:firstLineChars="200"/>
        <w:rPr>
          <w:rFonts w:ascii="宋体" w:hAnsi="宋体"/>
          <w:szCs w:val="21"/>
        </w:rPr>
      </w:pPr>
      <w:r>
        <w:rPr>
          <w:rFonts w:hint="eastAsia" w:ascii="宋体" w:hAnsi="宋体"/>
          <w:szCs w:val="21"/>
        </w:rPr>
        <w:t>（1）提请</w:t>
      </w:r>
      <w:r>
        <w:rPr>
          <w:rFonts w:hint="eastAsia" w:ascii="宋体" w:hAnsi="宋体"/>
          <w:szCs w:val="21"/>
          <w:u w:val="single"/>
        </w:rPr>
        <w:t xml:space="preserve">     /    </w:t>
      </w:r>
      <w:r>
        <w:rPr>
          <w:rFonts w:hint="eastAsia" w:ascii="宋体" w:hAnsi="宋体"/>
          <w:szCs w:val="21"/>
        </w:rPr>
        <w:t>仲裁委员会进行仲裁。</w:t>
      </w:r>
    </w:p>
    <w:p>
      <w:pPr>
        <w:spacing w:line="480" w:lineRule="exact"/>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委托人所在地</w:t>
      </w:r>
      <w:r>
        <w:rPr>
          <w:rFonts w:hint="eastAsia" w:ascii="宋体" w:hAnsi="宋体"/>
          <w:szCs w:val="21"/>
        </w:rPr>
        <w:t>___ 人民法院提起诉讼。</w:t>
      </w:r>
    </w:p>
    <w:p>
      <w:pPr>
        <w:spacing w:line="480" w:lineRule="exact"/>
        <w:ind w:firstLine="422" w:firstLineChars="200"/>
        <w:rPr>
          <w:rStyle w:val="78"/>
          <w:rFonts w:ascii="宋体" w:hAnsi="宋体"/>
          <w:b w:val="0"/>
          <w:sz w:val="21"/>
          <w:szCs w:val="21"/>
        </w:rPr>
      </w:pPr>
      <w:bookmarkStart w:id="385" w:name="_Toc419045123"/>
      <w:bookmarkStart w:id="386" w:name="_Toc464395467"/>
      <w:bookmarkStart w:id="387" w:name="_Toc464396244"/>
      <w:bookmarkStart w:id="388" w:name="_Toc468905535"/>
      <w:r>
        <w:rPr>
          <w:rStyle w:val="145"/>
          <w:rFonts w:hint="eastAsia" w:ascii="宋体" w:hAnsi="宋体"/>
          <w:sz w:val="21"/>
          <w:szCs w:val="21"/>
        </w:rPr>
        <w:t>8.其他</w:t>
      </w:r>
      <w:bookmarkEnd w:id="385"/>
      <w:bookmarkEnd w:id="386"/>
      <w:bookmarkEnd w:id="387"/>
      <w:bookmarkEnd w:id="388"/>
    </w:p>
    <w:p>
      <w:pPr>
        <w:pStyle w:val="31"/>
        <w:spacing w:before="0" w:after="0" w:line="480" w:lineRule="exact"/>
        <w:ind w:firstLine="420" w:firstLineChars="200"/>
        <w:jc w:val="both"/>
        <w:rPr>
          <w:rFonts w:ascii="宋体" w:hAnsi="宋体"/>
          <w:b w:val="0"/>
          <w:sz w:val="21"/>
          <w:szCs w:val="21"/>
        </w:rPr>
      </w:pPr>
      <w:bookmarkStart w:id="389" w:name="_Toc468905536"/>
      <w:bookmarkStart w:id="390" w:name="_Toc464395468"/>
      <w:bookmarkStart w:id="391" w:name="_Toc464396245"/>
      <w:r>
        <w:rPr>
          <w:rFonts w:hint="eastAsia" w:ascii="宋体" w:hAnsi="宋体"/>
          <w:b w:val="0"/>
          <w:sz w:val="21"/>
          <w:szCs w:val="21"/>
        </w:rPr>
        <w:t>8.1考察</w:t>
      </w:r>
      <w:r>
        <w:rPr>
          <w:rFonts w:ascii="宋体" w:hAnsi="宋体"/>
          <w:b w:val="0"/>
          <w:sz w:val="21"/>
          <w:szCs w:val="21"/>
        </w:rPr>
        <w:t>及相关费用</w:t>
      </w:r>
      <w:bookmarkEnd w:id="389"/>
      <w:bookmarkEnd w:id="390"/>
      <w:bookmarkEnd w:id="391"/>
    </w:p>
    <w:p>
      <w:pPr>
        <w:spacing w:line="480" w:lineRule="exact"/>
        <w:ind w:firstLine="420" w:firstLineChars="200"/>
        <w:rPr>
          <w:rFonts w:ascii="宋体" w:hAnsi="宋体"/>
          <w:szCs w:val="21"/>
        </w:rPr>
      </w:pPr>
      <w:r>
        <w:rPr>
          <w:rFonts w:hint="eastAsia" w:ascii="宋体" w:hAnsi="宋体"/>
          <w:szCs w:val="21"/>
        </w:rPr>
        <w:t>咨询人经委托人同意进行考察发生的费用由</w:t>
      </w:r>
      <w:r>
        <w:rPr>
          <w:rFonts w:hint="eastAsia" w:ascii="宋体" w:hAnsi="宋体"/>
          <w:szCs w:val="21"/>
          <w:u w:val="single"/>
        </w:rPr>
        <w:t xml:space="preserve">    委托人    </w:t>
      </w:r>
      <w:r>
        <w:rPr>
          <w:rFonts w:hint="eastAsia" w:ascii="宋体" w:hAnsi="宋体"/>
          <w:szCs w:val="21"/>
        </w:rPr>
        <w:t>支付。</w:t>
      </w:r>
    </w:p>
    <w:p>
      <w:pPr>
        <w:spacing w:line="480" w:lineRule="exact"/>
        <w:ind w:firstLine="420" w:firstLineChars="200"/>
        <w:rPr>
          <w:rStyle w:val="78"/>
          <w:rFonts w:ascii="宋体" w:hAnsi="宋体"/>
          <w:b w:val="0"/>
          <w:sz w:val="21"/>
          <w:szCs w:val="21"/>
        </w:rPr>
      </w:pPr>
      <w:r>
        <w:rPr>
          <w:rFonts w:hint="eastAsia" w:ascii="宋体" w:hAnsi="宋体"/>
          <w:szCs w:val="21"/>
        </w:rPr>
        <w:t>差旅费及相关费用的支付：</w:t>
      </w:r>
      <w:r>
        <w:rPr>
          <w:rFonts w:hint="eastAsia" w:ascii="宋体" w:hAnsi="宋体"/>
          <w:szCs w:val="21"/>
          <w:u w:val="single"/>
        </w:rPr>
        <w:t xml:space="preserve">  由委托人承担  </w:t>
      </w:r>
      <w:r>
        <w:rPr>
          <w:rFonts w:hint="eastAsia" w:ascii="宋体" w:hAnsi="宋体"/>
          <w:szCs w:val="21"/>
        </w:rPr>
        <w:t xml:space="preserve">。 </w:t>
      </w:r>
    </w:p>
    <w:p>
      <w:pPr>
        <w:pStyle w:val="31"/>
        <w:spacing w:before="0" w:after="0" w:line="480" w:lineRule="exact"/>
        <w:ind w:firstLine="420" w:firstLineChars="200"/>
        <w:jc w:val="both"/>
        <w:rPr>
          <w:rFonts w:ascii="宋体" w:hAnsi="宋体"/>
          <w:b w:val="0"/>
          <w:sz w:val="21"/>
          <w:szCs w:val="21"/>
        </w:rPr>
      </w:pPr>
      <w:bookmarkStart w:id="392" w:name="_Toc464395469"/>
      <w:bookmarkStart w:id="393" w:name="_Toc464396246"/>
      <w:bookmarkStart w:id="394" w:name="_Toc468905537"/>
      <w:r>
        <w:rPr>
          <w:rFonts w:hint="eastAsia" w:ascii="宋体" w:hAnsi="宋体"/>
          <w:b w:val="0"/>
          <w:sz w:val="21"/>
          <w:szCs w:val="21"/>
        </w:rPr>
        <w:t>8.2奖励</w:t>
      </w:r>
      <w:bookmarkEnd w:id="392"/>
      <w:bookmarkEnd w:id="393"/>
      <w:bookmarkEnd w:id="394"/>
    </w:p>
    <w:p>
      <w:pPr>
        <w:spacing w:line="480" w:lineRule="exact"/>
        <w:ind w:firstLine="420" w:firstLineChars="200"/>
        <w:rPr>
          <w:rStyle w:val="78"/>
          <w:rFonts w:ascii="宋体" w:hAnsi="宋体"/>
          <w:b w:val="0"/>
          <w:sz w:val="21"/>
          <w:szCs w:val="21"/>
        </w:rPr>
      </w:pPr>
      <w:r>
        <w:rPr>
          <w:rFonts w:hint="eastAsia" w:ascii="宋体" w:hAnsi="宋体"/>
          <w:szCs w:val="21"/>
        </w:rPr>
        <w:t>合理化建议的奖励金额按下列方法确定：</w:t>
      </w:r>
      <w:r>
        <w:rPr>
          <w:rFonts w:hint="eastAsia" w:ascii="宋体" w:hAnsi="宋体"/>
          <w:szCs w:val="21"/>
          <w:u w:val="single"/>
        </w:rPr>
        <w:t xml:space="preserve">      /             </w:t>
      </w:r>
      <w:r>
        <w:rPr>
          <w:rFonts w:hint="eastAsia" w:ascii="宋体" w:hAnsi="宋体"/>
          <w:szCs w:val="21"/>
        </w:rPr>
        <w:t xml:space="preserve">。 </w:t>
      </w:r>
    </w:p>
    <w:p>
      <w:pPr>
        <w:pStyle w:val="31"/>
        <w:spacing w:before="0" w:after="0" w:line="480" w:lineRule="exact"/>
        <w:ind w:firstLine="420" w:firstLineChars="200"/>
        <w:jc w:val="both"/>
        <w:rPr>
          <w:rFonts w:ascii="宋体" w:hAnsi="宋体"/>
          <w:b w:val="0"/>
          <w:sz w:val="21"/>
          <w:szCs w:val="21"/>
        </w:rPr>
      </w:pPr>
      <w:bookmarkStart w:id="395" w:name="_Toc464395470"/>
      <w:bookmarkStart w:id="396" w:name="_Toc464396247"/>
      <w:bookmarkStart w:id="397" w:name="_Toc468905538"/>
      <w:r>
        <w:rPr>
          <w:rFonts w:hint="eastAsia" w:ascii="宋体" w:hAnsi="宋体"/>
          <w:b w:val="0"/>
          <w:sz w:val="21"/>
          <w:szCs w:val="21"/>
        </w:rPr>
        <w:t>8.3保密</w:t>
      </w:r>
      <w:bookmarkEnd w:id="395"/>
      <w:bookmarkEnd w:id="396"/>
      <w:bookmarkEnd w:id="397"/>
    </w:p>
    <w:p>
      <w:pPr>
        <w:spacing w:line="480" w:lineRule="exact"/>
        <w:ind w:firstLine="420" w:firstLineChars="200"/>
        <w:rPr>
          <w:rFonts w:ascii="宋体" w:hAnsi="宋体"/>
          <w:szCs w:val="21"/>
        </w:rPr>
      </w:pPr>
      <w:r>
        <w:rPr>
          <w:rFonts w:hint="eastAsia" w:ascii="宋体" w:hAnsi="宋体"/>
          <w:szCs w:val="21"/>
        </w:rPr>
        <w:t>委托人申明的保密事项和期限</w:t>
      </w:r>
      <w:r>
        <w:rPr>
          <w:rFonts w:hint="eastAsia" w:ascii="宋体" w:hAnsi="宋体"/>
          <w:szCs w:val="21"/>
          <w:u w:val="single"/>
        </w:rPr>
        <w:t xml:space="preserve">      /                            </w:t>
      </w:r>
      <w:r>
        <w:rPr>
          <w:rFonts w:hint="eastAsia" w:ascii="宋体" w:hAnsi="宋体"/>
          <w:szCs w:val="21"/>
        </w:rPr>
        <w:t>。</w:t>
      </w:r>
    </w:p>
    <w:p>
      <w:pPr>
        <w:spacing w:line="480" w:lineRule="exact"/>
        <w:ind w:firstLine="420" w:firstLineChars="200"/>
        <w:rPr>
          <w:rFonts w:ascii="宋体" w:hAnsi="宋体"/>
          <w:szCs w:val="21"/>
        </w:rPr>
      </w:pPr>
      <w:r>
        <w:rPr>
          <w:rFonts w:hint="eastAsia" w:ascii="宋体" w:hAnsi="宋体"/>
          <w:szCs w:val="21"/>
        </w:rPr>
        <w:t>咨询人申明的保密事项和期限</w:t>
      </w:r>
      <w:r>
        <w:rPr>
          <w:rFonts w:hint="eastAsia" w:ascii="宋体" w:hAnsi="宋体"/>
          <w:szCs w:val="21"/>
          <w:u w:val="single"/>
        </w:rPr>
        <w:t xml:space="preserve">      /                            </w:t>
      </w:r>
      <w:r>
        <w:rPr>
          <w:rFonts w:hint="eastAsia" w:ascii="宋体" w:hAnsi="宋体"/>
          <w:szCs w:val="21"/>
        </w:rPr>
        <w:t>。</w:t>
      </w:r>
    </w:p>
    <w:p>
      <w:pPr>
        <w:spacing w:line="480" w:lineRule="exact"/>
        <w:ind w:firstLine="420" w:firstLineChars="200"/>
        <w:rPr>
          <w:rFonts w:ascii="宋体" w:hAnsi="宋体"/>
          <w:szCs w:val="21"/>
        </w:rPr>
      </w:pPr>
      <w:r>
        <w:rPr>
          <w:rFonts w:hint="eastAsia" w:ascii="宋体" w:hAnsi="宋体"/>
          <w:szCs w:val="21"/>
        </w:rPr>
        <w:t>第三人申明的保密事项和期限</w:t>
      </w:r>
      <w:r>
        <w:rPr>
          <w:rFonts w:hint="eastAsia" w:ascii="宋体" w:hAnsi="宋体"/>
          <w:szCs w:val="21"/>
          <w:u w:val="single"/>
        </w:rPr>
        <w:t xml:space="preserve">      /                            </w:t>
      </w:r>
      <w:r>
        <w:rPr>
          <w:rFonts w:hint="eastAsia" w:ascii="宋体" w:hAnsi="宋体"/>
          <w:szCs w:val="21"/>
        </w:rPr>
        <w:t>。</w:t>
      </w:r>
    </w:p>
    <w:p>
      <w:pPr>
        <w:spacing w:line="480" w:lineRule="exact"/>
        <w:ind w:firstLine="420" w:firstLineChars="200"/>
        <w:rPr>
          <w:rFonts w:ascii="宋体" w:hAnsi="宋体"/>
          <w:bCs/>
          <w:kern w:val="28"/>
          <w:szCs w:val="21"/>
        </w:rPr>
      </w:pPr>
      <w:bookmarkStart w:id="398" w:name="_Toc464396248"/>
      <w:bookmarkStart w:id="399" w:name="_Toc464395471"/>
      <w:bookmarkStart w:id="400" w:name="_Toc468905539"/>
      <w:r>
        <w:rPr>
          <w:rStyle w:val="78"/>
          <w:rFonts w:hint="eastAsia" w:ascii="宋体" w:hAnsi="宋体"/>
          <w:b w:val="0"/>
          <w:sz w:val="21"/>
          <w:szCs w:val="21"/>
        </w:rPr>
        <w:t>8.4联络</w:t>
      </w:r>
      <w:bookmarkEnd w:id="398"/>
      <w:bookmarkEnd w:id="399"/>
      <w:bookmarkEnd w:id="400"/>
    </w:p>
    <w:p>
      <w:pPr>
        <w:spacing w:line="480" w:lineRule="exact"/>
        <w:ind w:firstLine="420" w:firstLineChars="200"/>
        <w:rPr>
          <w:rFonts w:ascii="宋体" w:hAnsi="宋体"/>
          <w:szCs w:val="21"/>
        </w:rPr>
      </w:pPr>
      <w:r>
        <w:rPr>
          <w:rFonts w:hint="eastAsia" w:ascii="宋体" w:hAnsi="宋体"/>
          <w:szCs w:val="21"/>
        </w:rPr>
        <w:t>8.4.1任何一方与合同有关的通知、指示、要求、决定等，均应在</w:t>
      </w:r>
      <w:r>
        <w:rPr>
          <w:rFonts w:hint="eastAsia" w:ascii="宋体" w:hAnsi="宋体"/>
          <w:szCs w:val="21"/>
          <w:u w:val="single"/>
        </w:rPr>
        <w:t xml:space="preserve">  7</w:t>
      </w:r>
      <w:r>
        <w:rPr>
          <w:rFonts w:hint="eastAsia" w:ascii="宋体" w:hAnsi="宋体"/>
          <w:szCs w:val="21"/>
        </w:rPr>
        <w:t>_日内送达对方指定的接收人和送达地点。</w:t>
      </w:r>
    </w:p>
    <w:p>
      <w:pPr>
        <w:spacing w:line="480" w:lineRule="exact"/>
        <w:ind w:firstLine="420" w:firstLineChars="200"/>
        <w:rPr>
          <w:rFonts w:ascii="宋体" w:hAnsi="宋体"/>
          <w:szCs w:val="21"/>
        </w:rPr>
      </w:pPr>
      <w:r>
        <w:rPr>
          <w:rFonts w:hint="eastAsia" w:ascii="宋体" w:hAnsi="宋体"/>
          <w:szCs w:val="21"/>
        </w:rPr>
        <w:t>8.4.2委托人指定的送达接收人：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，送达地点：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w:t>
      </w:r>
    </w:p>
    <w:p>
      <w:pPr>
        <w:spacing w:line="480" w:lineRule="exact"/>
        <w:ind w:firstLine="420" w:firstLineChars="200"/>
        <w:rPr>
          <w:rFonts w:ascii="宋体" w:hAnsi="宋体"/>
          <w:szCs w:val="21"/>
        </w:rPr>
      </w:pPr>
      <w:r>
        <w:rPr>
          <w:rFonts w:hint="eastAsia" w:ascii="宋体" w:hAnsi="宋体"/>
          <w:szCs w:val="21"/>
        </w:rPr>
        <w:t>8.4.3咨询人指定的送达接收人：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，送达地点：</w:t>
      </w:r>
      <w:r>
        <w:rPr>
          <w:rFonts w:hint="eastAsia" w:ascii="宋体" w:hAnsi="宋体"/>
          <w:szCs w:val="21"/>
          <w:u w:val="single"/>
          <w:lang w:val="en-US" w:eastAsia="zh-CN"/>
        </w:rPr>
        <w:t xml:space="preserve">  </w:t>
      </w: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w:t>
      </w:r>
    </w:p>
    <w:p>
      <w:pPr>
        <w:spacing w:line="480" w:lineRule="exact"/>
        <w:ind w:firstLine="420" w:firstLineChars="200"/>
        <w:rPr>
          <w:rStyle w:val="78"/>
          <w:rFonts w:ascii="宋体" w:hAnsi="宋体"/>
          <w:b w:val="0"/>
          <w:sz w:val="21"/>
          <w:szCs w:val="21"/>
        </w:rPr>
      </w:pPr>
      <w:bookmarkStart w:id="401" w:name="_Toc468905540"/>
      <w:bookmarkStart w:id="402" w:name="_Toc464396249"/>
      <w:bookmarkStart w:id="403" w:name="_Toc464395472"/>
      <w:bookmarkStart w:id="404" w:name="_Toc419045124"/>
      <w:r>
        <w:rPr>
          <w:rStyle w:val="78"/>
          <w:rFonts w:hint="eastAsia" w:ascii="宋体" w:hAnsi="宋体"/>
          <w:b w:val="0"/>
          <w:sz w:val="21"/>
          <w:szCs w:val="21"/>
        </w:rPr>
        <w:t>8.5知识产权</w:t>
      </w:r>
      <w:bookmarkEnd w:id="401"/>
      <w:bookmarkEnd w:id="402"/>
      <w:bookmarkEnd w:id="403"/>
      <w:bookmarkEnd w:id="404"/>
    </w:p>
    <w:p>
      <w:pPr>
        <w:spacing w:line="480" w:lineRule="exact"/>
        <w:ind w:firstLine="420" w:firstLineChars="200"/>
        <w:rPr>
          <w:rFonts w:ascii="宋体" w:hAnsi="宋体"/>
          <w:szCs w:val="21"/>
        </w:rPr>
      </w:pPr>
      <w:r>
        <w:rPr>
          <w:rFonts w:hint="eastAsia" w:ascii="宋体" w:hAnsi="宋体"/>
          <w:szCs w:val="21"/>
        </w:rPr>
        <w:t>委托人提供给咨询人的图纸、委托人为实施工程自行编制或委托编制的技术规范以及反映委托人要求的或其他类似性质文件的著作权属于</w:t>
      </w:r>
      <w:r>
        <w:rPr>
          <w:rFonts w:hint="eastAsia" w:ascii="宋体" w:hAnsi="宋体"/>
          <w:szCs w:val="21"/>
          <w:u w:val="single"/>
        </w:rPr>
        <w:t xml:space="preserve">  委托人  </w:t>
      </w:r>
      <w:r>
        <w:rPr>
          <w:rFonts w:hint="eastAsia" w:ascii="宋体" w:hAnsi="宋体"/>
          <w:szCs w:val="21"/>
        </w:rPr>
        <w:t>。</w:t>
      </w:r>
    </w:p>
    <w:p>
      <w:pPr>
        <w:spacing w:line="480" w:lineRule="exact"/>
        <w:ind w:firstLine="420" w:firstLineChars="200"/>
        <w:rPr>
          <w:rFonts w:ascii="宋体" w:hAnsi="宋体"/>
          <w:szCs w:val="21"/>
        </w:rPr>
      </w:pPr>
      <w:r>
        <w:rPr>
          <w:rFonts w:ascii="宋体" w:hAnsi="宋体"/>
          <w:szCs w:val="21"/>
        </w:rPr>
        <w:t>咨询人为履行本合同约定而编制的</w:t>
      </w:r>
      <w:r>
        <w:rPr>
          <w:rFonts w:hint="eastAsia" w:ascii="宋体" w:hAnsi="宋体"/>
          <w:szCs w:val="21"/>
        </w:rPr>
        <w:t>成果</w:t>
      </w:r>
      <w:r>
        <w:rPr>
          <w:rFonts w:ascii="宋体" w:hAnsi="宋体"/>
          <w:szCs w:val="21"/>
        </w:rPr>
        <w:t>文件</w:t>
      </w:r>
      <w:r>
        <w:rPr>
          <w:rFonts w:hint="eastAsia" w:ascii="宋体" w:hAnsi="宋体"/>
          <w:szCs w:val="21"/>
        </w:rPr>
        <w:t>，其</w:t>
      </w:r>
      <w:r>
        <w:rPr>
          <w:rFonts w:ascii="宋体" w:hAnsi="宋体"/>
          <w:szCs w:val="21"/>
        </w:rPr>
        <w:t>著作权属于</w:t>
      </w:r>
      <w:r>
        <w:rPr>
          <w:rFonts w:hint="eastAsia" w:ascii="宋体" w:hAnsi="宋体"/>
          <w:szCs w:val="21"/>
          <w:u w:val="single"/>
        </w:rPr>
        <w:t xml:space="preserve">  咨询人  </w:t>
      </w:r>
      <w:r>
        <w:rPr>
          <w:rFonts w:ascii="宋体" w:hAnsi="宋体"/>
          <w:szCs w:val="21"/>
        </w:rPr>
        <w:t>。</w:t>
      </w:r>
    </w:p>
    <w:p>
      <w:pPr>
        <w:spacing w:line="480" w:lineRule="exact"/>
        <w:ind w:firstLine="420" w:firstLineChars="200"/>
        <w:rPr>
          <w:rFonts w:ascii="宋体" w:hAnsi="宋体"/>
          <w:szCs w:val="21"/>
          <w:u w:val="single"/>
        </w:rPr>
      </w:pPr>
      <w:r>
        <w:rPr>
          <w:rFonts w:hint="eastAsia" w:ascii="宋体" w:hAnsi="宋体"/>
          <w:szCs w:val="21"/>
        </w:rPr>
        <w:t>双方将履行本合同形成的有关成果文件用于企业宣传、申报奖项以及接受上级主管部门的检查须遵守以下约定：</w:t>
      </w:r>
      <w:bookmarkStart w:id="405" w:name="_Toc419045125"/>
      <w:r>
        <w:rPr>
          <w:rFonts w:hint="eastAsia" w:ascii="宋体" w:hAnsi="宋体"/>
          <w:szCs w:val="21"/>
          <w:u w:val="single"/>
        </w:rPr>
        <w:t xml:space="preserve">             /               </w:t>
      </w:r>
      <w:r>
        <w:rPr>
          <w:rFonts w:hint="eastAsia" w:ascii="宋体" w:hAnsi="宋体"/>
          <w:szCs w:val="21"/>
        </w:rPr>
        <w:t>。</w:t>
      </w:r>
    </w:p>
    <w:p>
      <w:pPr>
        <w:spacing w:line="480" w:lineRule="exact"/>
        <w:ind w:firstLine="422" w:firstLineChars="200"/>
        <w:rPr>
          <w:rFonts w:ascii="宋体" w:hAnsi="宋体"/>
          <w:szCs w:val="21"/>
        </w:rPr>
      </w:pPr>
      <w:bookmarkStart w:id="406" w:name="_Toc468905541"/>
      <w:bookmarkStart w:id="407" w:name="_Toc464396250"/>
      <w:bookmarkStart w:id="408" w:name="_Toc464395473"/>
      <w:r>
        <w:rPr>
          <w:rStyle w:val="145"/>
          <w:rFonts w:hint="eastAsia" w:ascii="宋体" w:hAnsi="宋体"/>
          <w:sz w:val="21"/>
          <w:szCs w:val="21"/>
        </w:rPr>
        <w:t>9.补充条款</w:t>
      </w:r>
      <w:bookmarkEnd w:id="405"/>
      <w:bookmarkEnd w:id="406"/>
      <w:bookmarkEnd w:id="407"/>
      <w:bookmarkEnd w:id="408"/>
    </w:p>
    <w:p>
      <w:pPr>
        <w:spacing w:line="480" w:lineRule="exact"/>
        <w:ind w:firstLine="420" w:firstLineChars="200"/>
        <w:rPr>
          <w:rFonts w:ascii="宋体" w:hAnsi="宋体"/>
          <w:szCs w:val="21"/>
        </w:rPr>
      </w:pPr>
      <w:r>
        <w:rPr>
          <w:rFonts w:hint="eastAsia" w:ascii="宋体" w:hAnsi="宋体"/>
          <w:szCs w:val="21"/>
          <w:u w:val="single"/>
        </w:rPr>
        <w:t xml:space="preserve"> 9.1咨询人不得串通监理单位、施工单位、委托方现场代表欺瞒委托方或建设主管部门，一经发现，委托方有权终止合同，咨询人无条件退场。</w:t>
      </w:r>
    </w:p>
    <w:p>
      <w:pPr>
        <w:spacing w:line="480" w:lineRule="exact"/>
        <w:ind w:firstLine="422" w:firstLineChars="200"/>
        <w:rPr>
          <w:rFonts w:ascii="宋体" w:hAnsi="宋体"/>
          <w:b/>
          <w:bCs/>
          <w:color w:val="FF0000"/>
          <w:szCs w:val="21"/>
          <w:u w:val="single"/>
        </w:rPr>
        <w:sectPr>
          <w:footerReference r:id="rId5" w:type="first"/>
          <w:footerReference r:id="rId4" w:type="default"/>
          <w:pgSz w:w="11906" w:h="16838"/>
          <w:pgMar w:top="1701" w:right="1361" w:bottom="1701" w:left="1361" w:header="851" w:footer="992" w:gutter="0"/>
          <w:pgNumType w:start="1"/>
          <w:cols w:space="720" w:num="1"/>
          <w:docGrid w:linePitch="312" w:charSpace="0"/>
        </w:sectPr>
      </w:pPr>
    </w:p>
    <w:p>
      <w:pPr>
        <w:pStyle w:val="3"/>
        <w:spacing w:before="0" w:after="0"/>
        <w:jc w:val="center"/>
        <w:rPr>
          <w:sz w:val="24"/>
          <w:szCs w:val="24"/>
        </w:rPr>
      </w:pPr>
      <w:bookmarkStart w:id="409" w:name="_Toc468905542"/>
      <w:bookmarkStart w:id="410" w:name="_Toc419045126"/>
      <w:bookmarkStart w:id="411" w:name="_Toc464395474"/>
      <w:bookmarkStart w:id="412" w:name="_Toc464396251"/>
      <w:r>
        <w:rPr>
          <w:rFonts w:hint="eastAsia"/>
          <w:sz w:val="24"/>
          <w:szCs w:val="24"/>
        </w:rPr>
        <w:t>附录A 服务范围及工作内容、酬金一览表</w:t>
      </w:r>
      <w:bookmarkEnd w:id="409"/>
      <w:bookmarkEnd w:id="410"/>
      <w:bookmarkEnd w:id="411"/>
      <w:bookmarkEnd w:id="412"/>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2780"/>
        <w:gridCol w:w="3191"/>
        <w:gridCol w:w="359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86" w:type="dxa"/>
            <w:vMerge w:val="restart"/>
            <w:noWrap/>
            <w:vAlign w:val="center"/>
          </w:tcPr>
          <w:p>
            <w:pPr>
              <w:pStyle w:val="36"/>
              <w:widowControl w:val="0"/>
              <w:spacing w:line="360" w:lineRule="auto"/>
              <w:jc w:val="center"/>
              <w:rPr>
                <w:b/>
              </w:rPr>
            </w:pPr>
            <w:r>
              <w:rPr>
                <w:rFonts w:hint="eastAsia"/>
                <w:b/>
              </w:rPr>
              <w:t>服务阶段</w:t>
            </w:r>
          </w:p>
        </w:tc>
        <w:tc>
          <w:tcPr>
            <w:tcW w:w="5971" w:type="dxa"/>
            <w:gridSpan w:val="2"/>
            <w:noWrap/>
            <w:vAlign w:val="center"/>
          </w:tcPr>
          <w:p>
            <w:pPr>
              <w:pStyle w:val="36"/>
              <w:widowControl w:val="0"/>
              <w:spacing w:line="360" w:lineRule="auto"/>
              <w:jc w:val="center"/>
              <w:rPr>
                <w:b/>
              </w:rPr>
            </w:pPr>
            <w:r>
              <w:rPr>
                <w:rFonts w:hint="eastAsia"/>
                <w:b/>
              </w:rPr>
              <w:t>服务范围及工作内容</w:t>
            </w:r>
          </w:p>
        </w:tc>
        <w:tc>
          <w:tcPr>
            <w:tcW w:w="3593" w:type="dxa"/>
            <w:vMerge w:val="restart"/>
            <w:noWrap/>
            <w:vAlign w:val="center"/>
          </w:tcPr>
          <w:p>
            <w:pPr>
              <w:pStyle w:val="36"/>
              <w:widowControl w:val="0"/>
              <w:adjustRightInd w:val="0"/>
              <w:snapToGrid w:val="0"/>
              <w:spacing w:line="360" w:lineRule="auto"/>
              <w:jc w:val="center"/>
              <w:rPr>
                <w:b/>
              </w:rPr>
            </w:pPr>
            <w:r>
              <w:rPr>
                <w:rFonts w:hint="eastAsia"/>
                <w:b/>
              </w:rPr>
              <w:t>酬金或计取方式</w:t>
            </w:r>
          </w:p>
        </w:tc>
        <w:tc>
          <w:tcPr>
            <w:tcW w:w="1523" w:type="dxa"/>
            <w:vMerge w:val="restart"/>
            <w:noWrap/>
            <w:vAlign w:val="center"/>
          </w:tcPr>
          <w:p>
            <w:pPr>
              <w:pStyle w:val="36"/>
              <w:widowControl w:val="0"/>
              <w:spacing w:line="360" w:lineRule="auto"/>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86" w:type="dxa"/>
            <w:vMerge w:val="continue"/>
            <w:noWrap/>
            <w:vAlign w:val="center"/>
          </w:tcPr>
          <w:p>
            <w:pPr>
              <w:pStyle w:val="36"/>
              <w:widowControl w:val="0"/>
              <w:spacing w:line="360" w:lineRule="auto"/>
              <w:jc w:val="center"/>
            </w:pPr>
          </w:p>
        </w:tc>
        <w:tc>
          <w:tcPr>
            <w:tcW w:w="2780" w:type="dxa"/>
            <w:noWrap/>
            <w:vAlign w:val="center"/>
          </w:tcPr>
          <w:p>
            <w:pPr>
              <w:pStyle w:val="36"/>
              <w:widowControl w:val="0"/>
              <w:spacing w:line="360" w:lineRule="auto"/>
              <w:jc w:val="center"/>
              <w:rPr>
                <w:b/>
              </w:rPr>
            </w:pPr>
            <w:r>
              <w:rPr>
                <w:rFonts w:hint="eastAsia"/>
                <w:b/>
              </w:rPr>
              <w:t>服务范围</w:t>
            </w:r>
          </w:p>
        </w:tc>
        <w:tc>
          <w:tcPr>
            <w:tcW w:w="3191" w:type="dxa"/>
            <w:noWrap/>
            <w:vAlign w:val="center"/>
          </w:tcPr>
          <w:p>
            <w:pPr>
              <w:pStyle w:val="36"/>
              <w:widowControl w:val="0"/>
              <w:spacing w:line="360" w:lineRule="auto"/>
              <w:jc w:val="center"/>
              <w:rPr>
                <w:b/>
              </w:rPr>
            </w:pPr>
            <w:r>
              <w:rPr>
                <w:rFonts w:hint="eastAsia"/>
                <w:b/>
              </w:rPr>
              <w:t>工作内容</w:t>
            </w:r>
          </w:p>
        </w:tc>
        <w:tc>
          <w:tcPr>
            <w:tcW w:w="3593" w:type="dxa"/>
            <w:vMerge w:val="continue"/>
            <w:noWrap/>
          </w:tcPr>
          <w:p>
            <w:pPr>
              <w:pStyle w:val="36"/>
              <w:widowControl w:val="0"/>
              <w:spacing w:line="360" w:lineRule="auto"/>
              <w:jc w:val="center"/>
            </w:pPr>
          </w:p>
        </w:tc>
        <w:tc>
          <w:tcPr>
            <w:tcW w:w="1523" w:type="dxa"/>
            <w:vMerge w:val="continue"/>
            <w:noWrap/>
          </w:tcPr>
          <w:p>
            <w:pPr>
              <w:pStyle w:val="36"/>
              <w:widowControl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86" w:type="dxa"/>
            <w:vMerge w:val="restart"/>
            <w:noWrap/>
            <w:vAlign w:val="center"/>
          </w:tcPr>
          <w:p>
            <w:pPr>
              <w:spacing w:line="360" w:lineRule="auto"/>
              <w:jc w:val="center"/>
            </w:pPr>
            <w:r>
              <w:rPr>
                <w:rFonts w:hint="eastAsia"/>
              </w:rPr>
              <w:t>实施阶段</w:t>
            </w:r>
          </w:p>
        </w:tc>
        <w:tc>
          <w:tcPr>
            <w:tcW w:w="2780" w:type="dxa"/>
            <w:noWrap/>
            <w:vAlign w:val="center"/>
          </w:tcPr>
          <w:p>
            <w:pPr>
              <w:spacing w:line="360" w:lineRule="auto"/>
              <w:jc w:val="center"/>
            </w:pPr>
            <w:r>
              <w:rPr>
                <w:rFonts w:hint="eastAsia"/>
              </w:rPr>
              <w:t>工程计量与价款支付</w:t>
            </w:r>
          </w:p>
        </w:tc>
        <w:tc>
          <w:tcPr>
            <w:tcW w:w="3191" w:type="dxa"/>
            <w:noWrap/>
            <w:vAlign w:val="center"/>
          </w:tcPr>
          <w:p>
            <w:pPr>
              <w:spacing w:line="360" w:lineRule="auto"/>
            </w:pPr>
            <w:r>
              <w:rPr>
                <w:b/>
                <w:bdr w:val="single" w:color="auto" w:sz="4" w:space="0"/>
              </w:rPr>
              <w:t>√</w:t>
            </w:r>
            <w:r>
              <w:rPr>
                <w:rFonts w:hint="eastAsia"/>
              </w:rPr>
              <w:t>审核</w:t>
            </w:r>
          </w:p>
        </w:tc>
        <w:tc>
          <w:tcPr>
            <w:tcW w:w="3593" w:type="dxa"/>
            <w:vMerge w:val="restart"/>
            <w:noWrap/>
            <w:vAlign w:val="center"/>
          </w:tcPr>
          <w:p>
            <w:pPr>
              <w:spacing w:line="360" w:lineRule="auto"/>
            </w:pPr>
          </w:p>
        </w:tc>
        <w:tc>
          <w:tcPr>
            <w:tcW w:w="1523" w:type="dxa"/>
            <w:vMerge w:val="restart"/>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86" w:type="dxa"/>
            <w:vMerge w:val="continue"/>
            <w:noWrap/>
            <w:vAlign w:val="center"/>
          </w:tcPr>
          <w:p>
            <w:pPr>
              <w:spacing w:line="360" w:lineRule="auto"/>
              <w:jc w:val="center"/>
            </w:pPr>
          </w:p>
        </w:tc>
        <w:tc>
          <w:tcPr>
            <w:tcW w:w="2780" w:type="dxa"/>
            <w:noWrap/>
            <w:vAlign w:val="center"/>
          </w:tcPr>
          <w:p>
            <w:pPr>
              <w:spacing w:line="360" w:lineRule="auto"/>
              <w:jc w:val="center"/>
            </w:pPr>
            <w:r>
              <w:rPr>
                <w:rFonts w:hint="eastAsia"/>
              </w:rPr>
              <w:t>设计变更方案、隐蔽工程</w:t>
            </w:r>
          </w:p>
        </w:tc>
        <w:tc>
          <w:tcPr>
            <w:tcW w:w="3191" w:type="dxa"/>
            <w:noWrap/>
            <w:vAlign w:val="center"/>
          </w:tcPr>
          <w:p>
            <w:pPr>
              <w:spacing w:line="360" w:lineRule="auto"/>
            </w:pPr>
            <w:r>
              <w:rPr>
                <w:b/>
                <w:bdr w:val="single" w:color="auto" w:sz="4" w:space="0"/>
              </w:rPr>
              <w:t>√</w:t>
            </w:r>
            <w:r>
              <w:rPr>
                <w:rFonts w:hint="eastAsia"/>
              </w:rPr>
              <w:t>测算、比选</w:t>
            </w:r>
          </w:p>
        </w:tc>
        <w:tc>
          <w:tcPr>
            <w:tcW w:w="3593" w:type="dxa"/>
            <w:vMerge w:val="continue"/>
            <w:noWrap/>
            <w:vAlign w:val="center"/>
          </w:tcPr>
          <w:p>
            <w:pPr>
              <w:spacing w:line="360" w:lineRule="auto"/>
              <w:rPr>
                <w:u w:val="single"/>
              </w:rPr>
            </w:pPr>
          </w:p>
        </w:tc>
        <w:tc>
          <w:tcPr>
            <w:tcW w:w="1523" w:type="dxa"/>
            <w:vMerge w:val="continue"/>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86" w:type="dxa"/>
            <w:vMerge w:val="continue"/>
            <w:noWrap/>
            <w:vAlign w:val="center"/>
          </w:tcPr>
          <w:p>
            <w:pPr>
              <w:spacing w:line="360" w:lineRule="auto"/>
              <w:jc w:val="center"/>
            </w:pPr>
          </w:p>
        </w:tc>
        <w:tc>
          <w:tcPr>
            <w:tcW w:w="2780" w:type="dxa"/>
            <w:noWrap/>
            <w:vAlign w:val="center"/>
          </w:tcPr>
          <w:p>
            <w:pPr>
              <w:spacing w:line="360" w:lineRule="auto"/>
              <w:jc w:val="center"/>
            </w:pPr>
            <w:r>
              <w:rPr>
                <w:rFonts w:hint="eastAsia"/>
              </w:rPr>
              <w:t>工程变更、索赔、签证</w:t>
            </w:r>
          </w:p>
        </w:tc>
        <w:tc>
          <w:tcPr>
            <w:tcW w:w="3191" w:type="dxa"/>
            <w:noWrap/>
            <w:vAlign w:val="center"/>
          </w:tcPr>
          <w:p>
            <w:pPr>
              <w:spacing w:line="360" w:lineRule="auto"/>
            </w:pPr>
            <w:r>
              <w:rPr>
                <w:b/>
                <w:bdr w:val="single" w:color="auto" w:sz="4" w:space="0"/>
              </w:rPr>
              <w:t>√</w:t>
            </w:r>
            <w:r>
              <w:rPr>
                <w:rFonts w:hint="eastAsia"/>
              </w:rPr>
              <w:t>审核</w:t>
            </w:r>
          </w:p>
        </w:tc>
        <w:tc>
          <w:tcPr>
            <w:tcW w:w="3593" w:type="dxa"/>
            <w:vMerge w:val="continue"/>
            <w:noWrap/>
            <w:vAlign w:val="center"/>
          </w:tcPr>
          <w:p>
            <w:pPr>
              <w:spacing w:line="360" w:lineRule="auto"/>
              <w:rPr>
                <w:u w:val="single"/>
              </w:rPr>
            </w:pPr>
          </w:p>
        </w:tc>
        <w:tc>
          <w:tcPr>
            <w:tcW w:w="1523" w:type="dxa"/>
            <w:vMerge w:val="continue"/>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586" w:type="dxa"/>
            <w:vMerge w:val="continue"/>
            <w:noWrap/>
            <w:vAlign w:val="center"/>
          </w:tcPr>
          <w:p>
            <w:pPr>
              <w:spacing w:line="360" w:lineRule="auto"/>
              <w:jc w:val="center"/>
            </w:pPr>
          </w:p>
        </w:tc>
        <w:tc>
          <w:tcPr>
            <w:tcW w:w="2780" w:type="dxa"/>
            <w:noWrap/>
            <w:vAlign w:val="center"/>
          </w:tcPr>
          <w:p>
            <w:pPr>
              <w:spacing w:line="360" w:lineRule="auto"/>
              <w:jc w:val="center"/>
            </w:pPr>
            <w:r>
              <w:rPr>
                <w:rFonts w:hint="eastAsia"/>
              </w:rPr>
              <w:t>材料、设备询价</w:t>
            </w:r>
          </w:p>
        </w:tc>
        <w:tc>
          <w:tcPr>
            <w:tcW w:w="3191" w:type="dxa"/>
            <w:noWrap/>
            <w:vAlign w:val="center"/>
          </w:tcPr>
          <w:p>
            <w:pPr>
              <w:spacing w:line="360" w:lineRule="auto"/>
            </w:pPr>
            <w:r>
              <w:rPr>
                <w:b/>
                <w:bdr w:val="single" w:color="auto" w:sz="4" w:space="0"/>
              </w:rPr>
              <w:t>√</w:t>
            </w:r>
            <w:r>
              <w:rPr>
                <w:rFonts w:hint="eastAsia"/>
              </w:rPr>
              <w:t>参与相关单位组织的询价活动</w:t>
            </w:r>
          </w:p>
        </w:tc>
        <w:tc>
          <w:tcPr>
            <w:tcW w:w="3593" w:type="dxa"/>
            <w:vMerge w:val="continue"/>
            <w:noWrap/>
            <w:vAlign w:val="center"/>
          </w:tcPr>
          <w:p>
            <w:pPr>
              <w:spacing w:line="360" w:lineRule="auto"/>
              <w:rPr>
                <w:u w:val="single"/>
              </w:rPr>
            </w:pPr>
          </w:p>
        </w:tc>
        <w:tc>
          <w:tcPr>
            <w:tcW w:w="1523" w:type="dxa"/>
            <w:vMerge w:val="continue"/>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86" w:type="dxa"/>
            <w:noWrap/>
            <w:vAlign w:val="center"/>
          </w:tcPr>
          <w:p>
            <w:pPr>
              <w:spacing w:line="360" w:lineRule="auto"/>
              <w:jc w:val="center"/>
            </w:pPr>
            <w:r>
              <w:rPr>
                <w:rFonts w:hint="eastAsia"/>
              </w:rPr>
              <w:t>竣工阶段</w:t>
            </w:r>
          </w:p>
        </w:tc>
        <w:tc>
          <w:tcPr>
            <w:tcW w:w="2780" w:type="dxa"/>
            <w:noWrap/>
            <w:vAlign w:val="center"/>
          </w:tcPr>
          <w:p>
            <w:pPr>
              <w:spacing w:line="360" w:lineRule="auto"/>
              <w:jc w:val="center"/>
            </w:pPr>
            <w:r>
              <w:rPr>
                <w:rFonts w:hint="eastAsia"/>
              </w:rPr>
              <w:t>工程竣工结算初审服务</w:t>
            </w:r>
          </w:p>
        </w:tc>
        <w:tc>
          <w:tcPr>
            <w:tcW w:w="3191" w:type="dxa"/>
            <w:noWrap/>
            <w:vAlign w:val="center"/>
          </w:tcPr>
          <w:p>
            <w:r>
              <w:rPr>
                <w:rFonts w:hint="eastAsia"/>
              </w:rPr>
              <w:t>按招标人要求提供完整的咨询报告，配合</w:t>
            </w:r>
            <w:r>
              <w:rPr>
                <w:rFonts w:hint="eastAsia" w:ascii="宋体" w:hAnsi="宋体" w:cs="宋体"/>
                <w:szCs w:val="21"/>
              </w:rPr>
              <w:t>招标人委托的二审单位</w:t>
            </w:r>
            <w:r>
              <w:rPr>
                <w:rFonts w:hint="eastAsia"/>
              </w:rPr>
              <w:t>对本项目的最终审计。</w:t>
            </w:r>
          </w:p>
        </w:tc>
        <w:tc>
          <w:tcPr>
            <w:tcW w:w="3593" w:type="dxa"/>
            <w:noWrap/>
            <w:vAlign w:val="center"/>
          </w:tcPr>
          <w:p>
            <w:pPr>
              <w:spacing w:line="360" w:lineRule="auto"/>
            </w:pPr>
          </w:p>
        </w:tc>
        <w:tc>
          <w:tcPr>
            <w:tcW w:w="1523"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86" w:type="dxa"/>
            <w:noWrap/>
            <w:vAlign w:val="center"/>
          </w:tcPr>
          <w:p>
            <w:pPr>
              <w:spacing w:line="360" w:lineRule="auto"/>
              <w:jc w:val="center"/>
            </w:pPr>
            <w:r>
              <w:rPr>
                <w:rFonts w:hint="eastAsia"/>
              </w:rPr>
              <w:t>其他</w:t>
            </w:r>
          </w:p>
        </w:tc>
        <w:tc>
          <w:tcPr>
            <w:tcW w:w="2780" w:type="dxa"/>
            <w:noWrap/>
            <w:vAlign w:val="center"/>
          </w:tcPr>
          <w:p>
            <w:pPr>
              <w:spacing w:line="360" w:lineRule="auto"/>
              <w:jc w:val="center"/>
            </w:pPr>
          </w:p>
        </w:tc>
        <w:tc>
          <w:tcPr>
            <w:tcW w:w="3191" w:type="dxa"/>
            <w:noWrap/>
            <w:vAlign w:val="center"/>
          </w:tcPr>
          <w:p>
            <w:pPr>
              <w:spacing w:line="360" w:lineRule="auto"/>
              <w:rPr>
                <w:b/>
                <w:bdr w:val="single" w:color="auto" w:sz="4" w:space="0"/>
              </w:rPr>
            </w:pPr>
          </w:p>
        </w:tc>
        <w:tc>
          <w:tcPr>
            <w:tcW w:w="3593" w:type="dxa"/>
            <w:noWrap/>
            <w:vAlign w:val="center"/>
          </w:tcPr>
          <w:p>
            <w:pPr>
              <w:spacing w:line="360" w:lineRule="auto"/>
            </w:pPr>
          </w:p>
        </w:tc>
        <w:tc>
          <w:tcPr>
            <w:tcW w:w="1523" w:type="dxa"/>
            <w:noWrap/>
            <w:vAlign w:val="center"/>
          </w:tcPr>
          <w:p>
            <w:pPr>
              <w:spacing w:line="360" w:lineRule="auto"/>
              <w:jc w:val="center"/>
            </w:pPr>
          </w:p>
        </w:tc>
      </w:tr>
    </w:tbl>
    <w:p>
      <w:pPr>
        <w:spacing w:line="480" w:lineRule="auto"/>
        <w:ind w:firstLine="630" w:firstLineChars="300"/>
        <w:jc w:val="left"/>
        <w:outlineLvl w:val="3"/>
        <w:rPr>
          <w:rFonts w:ascii="宋体" w:hAnsi="宋体"/>
        </w:rPr>
        <w:sectPr>
          <w:pgSz w:w="16838" w:h="11906" w:orient="landscape"/>
          <w:pgMar w:top="1803" w:right="1440" w:bottom="1803" w:left="1440" w:header="851" w:footer="992" w:gutter="0"/>
          <w:cols w:space="720" w:num="1"/>
          <w:docGrid w:linePitch="312" w:charSpace="0"/>
        </w:sectPr>
      </w:pPr>
    </w:p>
    <w:p>
      <w:pPr>
        <w:spacing w:line="400" w:lineRule="exact"/>
        <w:ind w:firstLine="630" w:firstLineChars="300"/>
        <w:jc w:val="left"/>
        <w:outlineLvl w:val="3"/>
        <w:rPr>
          <w:rFonts w:ascii="宋体" w:hAnsi="宋体"/>
        </w:rPr>
      </w:pPr>
      <w:r>
        <w:rPr>
          <w:rFonts w:hint="eastAsia" w:ascii="宋体" w:hAnsi="宋体"/>
        </w:rPr>
        <w:t>1、对该工程施工过程跟踪审计：</w:t>
      </w:r>
    </w:p>
    <w:p>
      <w:pPr>
        <w:spacing w:line="400" w:lineRule="exact"/>
        <w:ind w:firstLine="630" w:firstLineChars="300"/>
        <w:jc w:val="left"/>
        <w:outlineLvl w:val="3"/>
        <w:rPr>
          <w:rFonts w:ascii="宋体" w:hAnsi="宋体"/>
        </w:rPr>
      </w:pPr>
      <w:bookmarkStart w:id="437" w:name="_GoBack"/>
      <w:bookmarkEnd w:id="437"/>
      <w:r>
        <w:rPr>
          <w:rFonts w:hint="eastAsia" w:ascii="宋体" w:hAnsi="宋体"/>
        </w:rPr>
        <w:t>（1）根据对施工合同和实际施工的跟踪审计情况，编制跟踪审计月报、季报、半年报。</w:t>
      </w:r>
    </w:p>
    <w:p>
      <w:pPr>
        <w:spacing w:line="400" w:lineRule="exact"/>
        <w:ind w:firstLine="630" w:firstLineChars="300"/>
        <w:jc w:val="left"/>
        <w:outlineLvl w:val="3"/>
        <w:rPr>
          <w:rFonts w:ascii="宋体" w:hAnsi="宋体"/>
        </w:rPr>
      </w:pPr>
      <w:r>
        <w:rPr>
          <w:rFonts w:hint="eastAsia" w:ascii="宋体" w:hAnsi="宋体"/>
        </w:rPr>
        <w:t>（2）参与合同谈判，对涉及工程价款的有关条款负责把关。</w:t>
      </w:r>
    </w:p>
    <w:p>
      <w:pPr>
        <w:spacing w:line="400" w:lineRule="exact"/>
        <w:ind w:firstLine="630" w:firstLineChars="300"/>
        <w:jc w:val="left"/>
        <w:outlineLvl w:val="3"/>
        <w:rPr>
          <w:rFonts w:ascii="宋体" w:hAnsi="宋体"/>
        </w:rPr>
      </w:pPr>
      <w:r>
        <w:rPr>
          <w:rFonts w:hint="eastAsia" w:ascii="宋体" w:hAnsi="宋体"/>
        </w:rPr>
        <w:t>（3）参加施工图会审、定期参加工程例会及检查隐蔽工程，对变更、签证的合理性提出意见，及时审核各项变更和签证，出具各项审核意见。</w:t>
      </w:r>
    </w:p>
    <w:p>
      <w:pPr>
        <w:spacing w:line="400" w:lineRule="exact"/>
        <w:ind w:firstLine="630" w:firstLineChars="300"/>
        <w:jc w:val="left"/>
        <w:outlineLvl w:val="3"/>
        <w:rPr>
          <w:rFonts w:ascii="宋体" w:hAnsi="宋体"/>
        </w:rPr>
      </w:pPr>
      <w:r>
        <w:rPr>
          <w:rFonts w:hint="eastAsia" w:ascii="宋体" w:hAnsi="宋体"/>
        </w:rPr>
        <w:t>（4）提供有关材料、设备价格的咨询服务，以及其他有关工程造价信息政策、法规等系列咨询服务，提出设备、材料价格咨询意见。根据招标人对质量档次及性能方面的总体要求，对特殊材料（设备）进行市场调研，向招标人推荐不少于三个质量、档次、性能和价格相当的品牌供招标人决策等。</w:t>
      </w:r>
    </w:p>
    <w:p>
      <w:pPr>
        <w:spacing w:line="400" w:lineRule="exact"/>
        <w:ind w:firstLine="630" w:firstLineChars="300"/>
        <w:jc w:val="left"/>
        <w:outlineLvl w:val="3"/>
        <w:rPr>
          <w:rFonts w:ascii="宋体" w:hAnsi="宋体"/>
        </w:rPr>
      </w:pPr>
      <w:r>
        <w:rPr>
          <w:rFonts w:hint="eastAsia" w:ascii="宋体" w:hAnsi="宋体"/>
        </w:rPr>
        <w:t>（5）审查工程款进度款项，出具工程款支付意见，控制工程价款的结算，确保工程款不超额支付。</w:t>
      </w:r>
    </w:p>
    <w:p>
      <w:pPr>
        <w:spacing w:line="400" w:lineRule="exact"/>
        <w:ind w:firstLine="630" w:firstLineChars="300"/>
        <w:jc w:val="left"/>
        <w:outlineLvl w:val="3"/>
        <w:rPr>
          <w:rFonts w:ascii="宋体" w:hAnsi="宋体"/>
        </w:rPr>
      </w:pPr>
      <w:r>
        <w:rPr>
          <w:rFonts w:hint="eastAsia" w:ascii="宋体" w:hAnsi="宋体"/>
        </w:rPr>
        <w:t>（6）掌握工程实施的动态情况，并进行动态分析；根据项目建设进展情况，提出造价控制和降低造价的合理化建议。</w:t>
      </w:r>
    </w:p>
    <w:p>
      <w:pPr>
        <w:spacing w:line="400" w:lineRule="exact"/>
        <w:ind w:firstLine="630" w:firstLineChars="300"/>
        <w:jc w:val="left"/>
        <w:outlineLvl w:val="3"/>
        <w:rPr>
          <w:rFonts w:ascii="宋体" w:hAnsi="宋体"/>
        </w:rPr>
      </w:pPr>
      <w:r>
        <w:rPr>
          <w:rFonts w:hint="eastAsia" w:ascii="宋体" w:hAnsi="宋体"/>
        </w:rPr>
        <w:t>（7）审核材料及设备款的支付情况。重点审核：材料、设备招标合同，材料、设备检验报告和监理签发的验收报告，供货质量保证书，已收到材料、设备的数量与进货要求是否一致，发票金额与合同价的核对，确保款项支付的真实性、准确性。</w:t>
      </w:r>
    </w:p>
    <w:p>
      <w:pPr>
        <w:spacing w:line="400" w:lineRule="exact"/>
        <w:ind w:firstLine="630" w:firstLineChars="300"/>
        <w:jc w:val="left"/>
        <w:outlineLvl w:val="3"/>
        <w:rPr>
          <w:rFonts w:ascii="宋体" w:hAnsi="宋体"/>
        </w:rPr>
      </w:pPr>
      <w:r>
        <w:rPr>
          <w:rFonts w:hint="eastAsia" w:ascii="宋体" w:hAnsi="宋体"/>
        </w:rPr>
        <w:t>（8）及时分析评价变更、索赔内容，提供预防措施及处理意见。</w:t>
      </w:r>
    </w:p>
    <w:p>
      <w:pPr>
        <w:spacing w:line="400" w:lineRule="exact"/>
        <w:ind w:firstLine="630" w:firstLineChars="300"/>
        <w:jc w:val="left"/>
        <w:outlineLvl w:val="3"/>
        <w:rPr>
          <w:rFonts w:ascii="宋体" w:hAnsi="宋体"/>
        </w:rPr>
      </w:pPr>
      <w:r>
        <w:rPr>
          <w:rFonts w:hint="eastAsia" w:ascii="宋体" w:hAnsi="宋体"/>
        </w:rPr>
        <w:t>（9）根据业主需要现场处理紧急问题。</w:t>
      </w:r>
    </w:p>
    <w:p>
      <w:pPr>
        <w:spacing w:line="400" w:lineRule="exact"/>
        <w:ind w:firstLine="630" w:firstLineChars="300"/>
        <w:jc w:val="left"/>
        <w:outlineLvl w:val="3"/>
      </w:pPr>
      <w:r>
        <w:rPr>
          <w:rFonts w:hint="eastAsia" w:ascii="宋体" w:hAnsi="宋体"/>
        </w:rPr>
        <w:t>2、工程竣工验收合格后按招标人要求提交完整的工程竣工结算初审咨询成果文件</w:t>
      </w:r>
      <w:r>
        <w:rPr>
          <w:rFonts w:hint="eastAsia"/>
        </w:rPr>
        <w:t>，配合政府部门对本项目的最终审计。</w:t>
      </w:r>
    </w:p>
    <w:p>
      <w:pPr>
        <w:spacing w:line="400" w:lineRule="exact"/>
        <w:ind w:firstLine="630" w:firstLineChars="300"/>
        <w:jc w:val="left"/>
        <w:outlineLvl w:val="3"/>
        <w:rPr>
          <w:rFonts w:ascii="宋体"/>
          <w:b/>
          <w:bCs/>
          <w:sz w:val="24"/>
        </w:rPr>
        <w:sectPr>
          <w:pgSz w:w="16838" w:h="11906" w:orient="landscape"/>
          <w:pgMar w:top="1803" w:right="1440" w:bottom="1803" w:left="1440" w:header="851" w:footer="992" w:gutter="0"/>
          <w:cols w:space="720" w:num="1"/>
          <w:docGrid w:linePitch="312" w:charSpace="0"/>
        </w:sectPr>
      </w:pPr>
      <w:r>
        <w:rPr>
          <w:rFonts w:hint="eastAsia"/>
        </w:rPr>
        <w:t>3、驻场服务：各镇（街道、区）常驻现场的跟踪审计人员每天不少于2人。未经招标人允许，投标文件中所有人员均不得调换。确有特殊原因需请假，必须征得建设单位项目负责人同意，并履行书面请假手续。施工期间必须确保在岗位率达98％以上，委托人将不定时对现场人员在岗情况进行抽查，否则按以下标准计违约金：项目负责人每天处以2000元的违约金，项目部其他人员每人每天处以1000元的违约金，上述违约金从到期应支付的咨询服务酬金中扣回（中标人例行请假制度经招标人允许的情况除外）</w:t>
      </w:r>
      <w:r>
        <w:rPr>
          <w:rFonts w:hint="eastAsia" w:ascii="宋体" w:hAnsi="宋体"/>
          <w:szCs w:val="21"/>
        </w:rPr>
        <w:t>，除按上述规定计取违约金外，委托人保留单方面解除合同的权利。</w:t>
      </w:r>
      <w:r>
        <w:rPr>
          <w:rFonts w:hint="eastAsia" w:ascii="宋体" w:cs="宋体"/>
          <w:kern w:val="0"/>
          <w:szCs w:val="21"/>
        </w:rPr>
        <w:t>如因造价服务人员无故不到场而被罚款达</w:t>
      </w:r>
      <w:r>
        <w:rPr>
          <w:rFonts w:ascii="宋体" w:cs="宋体"/>
          <w:kern w:val="0"/>
          <w:szCs w:val="21"/>
        </w:rPr>
        <w:t xml:space="preserve">5 </w:t>
      </w:r>
      <w:r>
        <w:rPr>
          <w:rFonts w:hint="eastAsia" w:ascii="宋体" w:cs="宋体"/>
          <w:kern w:val="0"/>
          <w:szCs w:val="21"/>
        </w:rPr>
        <w:t>人次或因</w:t>
      </w:r>
      <w:r>
        <w:rPr>
          <w:rFonts w:hint="eastAsia" w:ascii="宋体" w:cs="宋体"/>
          <w:color w:val="000000"/>
          <w:kern w:val="0"/>
          <w:szCs w:val="21"/>
        </w:rPr>
        <w:t>中标人原因被委托人要求更换造价咨询服务人员的，扣减总服务酬金的</w:t>
      </w:r>
      <w:r>
        <w:rPr>
          <w:rFonts w:ascii="宋体" w:cs="宋体"/>
          <w:color w:val="000000"/>
          <w:kern w:val="0"/>
          <w:szCs w:val="21"/>
        </w:rPr>
        <w:t>5%</w:t>
      </w:r>
      <w:r>
        <w:rPr>
          <w:rFonts w:hint="eastAsia" w:ascii="宋体" w:cs="宋体"/>
          <w:color w:val="000000"/>
          <w:kern w:val="0"/>
          <w:szCs w:val="21"/>
        </w:rPr>
        <w:t>；严重时将终止合同，并保留进一步追究中标人责任的权利。若擅自离岗连续达7天以上的，经发包人提出仍未改正的，发包人有权终止合同，因此给发包人造成损失的，发包人将依法追偿。</w:t>
      </w:r>
    </w:p>
    <w:p>
      <w:pPr>
        <w:pStyle w:val="3"/>
        <w:spacing w:before="0" w:after="0"/>
        <w:jc w:val="center"/>
        <w:rPr>
          <w:sz w:val="24"/>
          <w:szCs w:val="24"/>
        </w:rPr>
      </w:pPr>
      <w:bookmarkStart w:id="413" w:name="_Toc464396252"/>
      <w:bookmarkStart w:id="414" w:name="_Toc422322558"/>
      <w:bookmarkStart w:id="415" w:name="_Toc464395475"/>
      <w:bookmarkStart w:id="416" w:name="_Toc468905543"/>
      <w:bookmarkStart w:id="417" w:name="_Toc419045127"/>
      <w:bookmarkStart w:id="418" w:name="_Toc419045128"/>
      <w:r>
        <w:rPr>
          <w:rFonts w:hint="eastAsia"/>
          <w:sz w:val="24"/>
          <w:szCs w:val="24"/>
        </w:rPr>
        <w:t>附录B 咨询人提交成果文件一览表</w:t>
      </w:r>
      <w:bookmarkEnd w:id="413"/>
      <w:bookmarkEnd w:id="414"/>
      <w:bookmarkEnd w:id="415"/>
      <w:bookmarkEnd w:id="416"/>
      <w:bookmarkEnd w:id="417"/>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2126"/>
        <w:gridCol w:w="4253"/>
        <w:gridCol w:w="1842"/>
        <w:gridCol w:w="1043"/>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3" w:type="dxa"/>
            <w:noWrap/>
            <w:vAlign w:val="center"/>
          </w:tcPr>
          <w:p>
            <w:pPr>
              <w:spacing w:line="360" w:lineRule="auto"/>
              <w:jc w:val="center"/>
              <w:rPr>
                <w:b/>
                <w:bCs/>
              </w:rPr>
            </w:pPr>
            <w:r>
              <w:rPr>
                <w:rFonts w:hint="eastAsia"/>
                <w:b/>
                <w:bCs/>
              </w:rPr>
              <w:t>服务阶段</w:t>
            </w:r>
          </w:p>
        </w:tc>
        <w:tc>
          <w:tcPr>
            <w:tcW w:w="2126" w:type="dxa"/>
            <w:noWrap/>
            <w:vAlign w:val="center"/>
          </w:tcPr>
          <w:p>
            <w:pPr>
              <w:spacing w:line="360" w:lineRule="auto"/>
              <w:jc w:val="center"/>
              <w:rPr>
                <w:b/>
                <w:bCs/>
              </w:rPr>
            </w:pPr>
            <w:r>
              <w:rPr>
                <w:rFonts w:hint="eastAsia"/>
                <w:b/>
                <w:bCs/>
              </w:rPr>
              <w:t>成果文件名称</w:t>
            </w:r>
          </w:p>
        </w:tc>
        <w:tc>
          <w:tcPr>
            <w:tcW w:w="4253" w:type="dxa"/>
            <w:noWrap/>
            <w:vAlign w:val="center"/>
          </w:tcPr>
          <w:p>
            <w:pPr>
              <w:spacing w:line="360" w:lineRule="auto"/>
              <w:jc w:val="center"/>
              <w:rPr>
                <w:b/>
                <w:bCs/>
              </w:rPr>
            </w:pPr>
            <w:r>
              <w:rPr>
                <w:rFonts w:hint="eastAsia"/>
                <w:b/>
                <w:bCs/>
              </w:rPr>
              <w:t>成果文件组成</w:t>
            </w:r>
          </w:p>
        </w:tc>
        <w:tc>
          <w:tcPr>
            <w:tcW w:w="1842" w:type="dxa"/>
            <w:noWrap/>
            <w:vAlign w:val="center"/>
          </w:tcPr>
          <w:p>
            <w:pPr>
              <w:spacing w:line="360" w:lineRule="auto"/>
              <w:jc w:val="center"/>
              <w:rPr>
                <w:b/>
                <w:bCs/>
              </w:rPr>
            </w:pPr>
            <w:r>
              <w:rPr>
                <w:rFonts w:hint="eastAsia"/>
                <w:b/>
                <w:bCs/>
              </w:rPr>
              <w:t>提交时间</w:t>
            </w:r>
          </w:p>
        </w:tc>
        <w:tc>
          <w:tcPr>
            <w:tcW w:w="1043" w:type="dxa"/>
            <w:noWrap/>
            <w:vAlign w:val="center"/>
          </w:tcPr>
          <w:p>
            <w:pPr>
              <w:spacing w:line="360" w:lineRule="auto"/>
              <w:jc w:val="center"/>
              <w:rPr>
                <w:b/>
                <w:bCs/>
              </w:rPr>
            </w:pPr>
            <w:r>
              <w:rPr>
                <w:rFonts w:hint="eastAsia"/>
                <w:b/>
                <w:bCs/>
              </w:rPr>
              <w:t>份数</w:t>
            </w:r>
          </w:p>
        </w:tc>
        <w:tc>
          <w:tcPr>
            <w:tcW w:w="2517" w:type="dxa"/>
            <w:noWrap/>
            <w:vAlign w:val="center"/>
          </w:tcPr>
          <w:p>
            <w:pPr>
              <w:spacing w:line="360" w:lineRule="auto"/>
              <w:jc w:val="center"/>
              <w:rPr>
                <w:b/>
                <w:bCs/>
              </w:rPr>
            </w:pPr>
            <w:r>
              <w:rPr>
                <w:rFonts w:hint="eastAsia"/>
                <w:b/>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793" w:type="dxa"/>
            <w:vMerge w:val="restart"/>
            <w:noWrap/>
            <w:vAlign w:val="center"/>
          </w:tcPr>
          <w:p>
            <w:pPr>
              <w:spacing w:line="360" w:lineRule="auto"/>
              <w:jc w:val="center"/>
            </w:pPr>
            <w:r>
              <w:rPr>
                <w:rFonts w:hint="eastAsia"/>
              </w:rPr>
              <w:t>实施阶段</w:t>
            </w:r>
          </w:p>
        </w:tc>
        <w:tc>
          <w:tcPr>
            <w:tcW w:w="2126" w:type="dxa"/>
            <w:noWrap/>
            <w:vAlign w:val="center"/>
          </w:tcPr>
          <w:p>
            <w:pPr>
              <w:spacing w:line="360" w:lineRule="auto"/>
              <w:jc w:val="center"/>
            </w:pPr>
            <w:r>
              <w:rPr>
                <w:rFonts w:hint="eastAsia"/>
              </w:rPr>
              <w:t>工程计量与价款支付审核报告</w:t>
            </w:r>
          </w:p>
        </w:tc>
        <w:tc>
          <w:tcPr>
            <w:tcW w:w="4253" w:type="dxa"/>
            <w:noWrap/>
            <w:vAlign w:val="center"/>
          </w:tcPr>
          <w:p>
            <w:pPr>
              <w:spacing w:line="360" w:lineRule="auto"/>
              <w:jc w:val="center"/>
            </w:pPr>
            <w:r>
              <w:rPr>
                <w:rFonts w:hint="eastAsia"/>
              </w:rPr>
              <w:t>工程计量原始数据、工程款支付审核书</w:t>
            </w:r>
          </w:p>
        </w:tc>
        <w:tc>
          <w:tcPr>
            <w:tcW w:w="1842" w:type="dxa"/>
            <w:noWrap/>
            <w:vAlign w:val="center"/>
          </w:tcPr>
          <w:p>
            <w:pPr>
              <w:spacing w:line="360" w:lineRule="auto"/>
              <w:jc w:val="center"/>
            </w:pPr>
            <w:r>
              <w:rPr>
                <w:rFonts w:hint="eastAsia"/>
              </w:rPr>
              <w:t>根据委托工作量确定</w:t>
            </w:r>
          </w:p>
        </w:tc>
        <w:tc>
          <w:tcPr>
            <w:tcW w:w="1043" w:type="dxa"/>
            <w:noWrap/>
            <w:vAlign w:val="center"/>
          </w:tcPr>
          <w:p>
            <w:pPr>
              <w:spacing w:line="360" w:lineRule="auto"/>
              <w:jc w:val="center"/>
            </w:pPr>
            <w:r>
              <w:rPr>
                <w:rFonts w:hint="eastAsia"/>
              </w:rPr>
              <w:t>2 份/次</w:t>
            </w:r>
          </w:p>
        </w:tc>
        <w:tc>
          <w:tcPr>
            <w:tcW w:w="2517" w:type="dxa"/>
            <w:vMerge w:val="restart"/>
            <w:noWrap/>
            <w:vAlign w:val="center"/>
          </w:tcPr>
          <w:p>
            <w:pPr>
              <w:spacing w:line="360" w:lineRule="auto"/>
            </w:pPr>
            <w:r>
              <w:rPr>
                <w:rFonts w:hint="eastAsia"/>
              </w:rPr>
              <w:t>符合现行国家及行业有关规定、标准、规范的要求</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793" w:type="dxa"/>
            <w:vMerge w:val="continue"/>
            <w:noWrap/>
            <w:vAlign w:val="center"/>
          </w:tcPr>
          <w:p>
            <w:pPr>
              <w:spacing w:line="360" w:lineRule="auto"/>
              <w:jc w:val="center"/>
            </w:pPr>
          </w:p>
        </w:tc>
        <w:tc>
          <w:tcPr>
            <w:tcW w:w="2126" w:type="dxa"/>
            <w:noWrap/>
            <w:vAlign w:val="center"/>
          </w:tcPr>
          <w:p>
            <w:pPr>
              <w:spacing w:line="360" w:lineRule="auto"/>
              <w:jc w:val="center"/>
            </w:pPr>
            <w:r>
              <w:rPr>
                <w:rFonts w:hint="eastAsia"/>
              </w:rPr>
              <w:t>设计变更方案比选报告、隐蔽工程测算书</w:t>
            </w:r>
          </w:p>
        </w:tc>
        <w:tc>
          <w:tcPr>
            <w:tcW w:w="4253" w:type="dxa"/>
            <w:noWrap/>
            <w:vAlign w:val="center"/>
          </w:tcPr>
          <w:p>
            <w:pPr>
              <w:spacing w:line="360" w:lineRule="auto"/>
              <w:jc w:val="center"/>
            </w:pPr>
            <w:r>
              <w:rPr>
                <w:rFonts w:hint="eastAsia"/>
              </w:rPr>
              <w:t>设计变更方案、隐蔽工程测算书</w:t>
            </w:r>
          </w:p>
        </w:tc>
        <w:tc>
          <w:tcPr>
            <w:tcW w:w="1842" w:type="dxa"/>
            <w:noWrap/>
            <w:vAlign w:val="center"/>
          </w:tcPr>
          <w:p>
            <w:pPr>
              <w:spacing w:line="360" w:lineRule="auto"/>
              <w:jc w:val="center"/>
            </w:pPr>
            <w:r>
              <w:rPr>
                <w:rFonts w:hint="eastAsia"/>
              </w:rPr>
              <w:t>根据委托工作量确定</w:t>
            </w:r>
          </w:p>
        </w:tc>
        <w:tc>
          <w:tcPr>
            <w:tcW w:w="1043" w:type="dxa"/>
            <w:noWrap/>
            <w:vAlign w:val="center"/>
          </w:tcPr>
          <w:p>
            <w:pPr>
              <w:spacing w:line="360" w:lineRule="auto"/>
              <w:jc w:val="center"/>
            </w:pPr>
            <w:r>
              <w:rPr>
                <w:rFonts w:hint="eastAsia"/>
              </w:rPr>
              <w:t>2份/次</w:t>
            </w:r>
          </w:p>
        </w:tc>
        <w:tc>
          <w:tcPr>
            <w:tcW w:w="2517" w:type="dxa"/>
            <w:vMerge w:val="continue"/>
            <w:noWrap/>
            <w:vAlign w:val="center"/>
          </w:tcPr>
          <w:p>
            <w:pPr>
              <w:spacing w:line="360" w:lineRule="auto"/>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793" w:type="dxa"/>
            <w:vMerge w:val="continue"/>
            <w:noWrap/>
            <w:vAlign w:val="center"/>
          </w:tcPr>
          <w:p>
            <w:pPr>
              <w:spacing w:line="360" w:lineRule="auto"/>
              <w:jc w:val="center"/>
            </w:pPr>
          </w:p>
        </w:tc>
        <w:tc>
          <w:tcPr>
            <w:tcW w:w="2126" w:type="dxa"/>
            <w:noWrap/>
            <w:vAlign w:val="center"/>
          </w:tcPr>
          <w:p>
            <w:pPr>
              <w:spacing w:line="360" w:lineRule="auto"/>
              <w:jc w:val="center"/>
            </w:pPr>
            <w:r>
              <w:rPr>
                <w:rFonts w:hint="eastAsia"/>
              </w:rPr>
              <w:t>工程变更、索赔、签证单</w:t>
            </w:r>
          </w:p>
        </w:tc>
        <w:tc>
          <w:tcPr>
            <w:tcW w:w="4253" w:type="dxa"/>
            <w:noWrap/>
            <w:vAlign w:val="center"/>
          </w:tcPr>
          <w:p>
            <w:pPr>
              <w:spacing w:line="360" w:lineRule="auto"/>
              <w:jc w:val="center"/>
            </w:pPr>
            <w:r>
              <w:rPr>
                <w:rFonts w:hint="eastAsia"/>
              </w:rPr>
              <w:t>审核后的变更、索赔、签证单</w:t>
            </w:r>
          </w:p>
        </w:tc>
        <w:tc>
          <w:tcPr>
            <w:tcW w:w="1842" w:type="dxa"/>
            <w:noWrap/>
            <w:vAlign w:val="center"/>
          </w:tcPr>
          <w:p>
            <w:pPr>
              <w:spacing w:line="360" w:lineRule="auto"/>
              <w:jc w:val="center"/>
            </w:pPr>
            <w:r>
              <w:rPr>
                <w:rFonts w:hint="eastAsia"/>
              </w:rPr>
              <w:t>根据委托工作量确定</w:t>
            </w:r>
          </w:p>
        </w:tc>
        <w:tc>
          <w:tcPr>
            <w:tcW w:w="1043" w:type="dxa"/>
            <w:noWrap/>
            <w:vAlign w:val="center"/>
          </w:tcPr>
          <w:p>
            <w:pPr>
              <w:spacing w:line="360" w:lineRule="auto"/>
              <w:jc w:val="center"/>
            </w:pPr>
            <w:r>
              <w:rPr>
                <w:rFonts w:hint="eastAsia"/>
              </w:rPr>
              <w:t>4份/次</w:t>
            </w:r>
          </w:p>
        </w:tc>
        <w:tc>
          <w:tcPr>
            <w:tcW w:w="2517" w:type="dxa"/>
            <w:vMerge w:val="continue"/>
            <w:noWrap/>
            <w:vAlign w:val="center"/>
          </w:tcPr>
          <w:p>
            <w:pPr>
              <w:spacing w:line="360" w:lineRule="auto"/>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793" w:type="dxa"/>
            <w:vMerge w:val="continue"/>
            <w:noWrap/>
            <w:vAlign w:val="center"/>
          </w:tcPr>
          <w:p>
            <w:pPr>
              <w:spacing w:line="360" w:lineRule="auto"/>
              <w:jc w:val="center"/>
            </w:pPr>
          </w:p>
        </w:tc>
        <w:tc>
          <w:tcPr>
            <w:tcW w:w="2126" w:type="dxa"/>
            <w:noWrap/>
            <w:vAlign w:val="center"/>
          </w:tcPr>
          <w:p>
            <w:pPr>
              <w:spacing w:line="360" w:lineRule="auto"/>
              <w:jc w:val="center"/>
            </w:pPr>
            <w:r>
              <w:rPr>
                <w:rFonts w:hint="eastAsia"/>
              </w:rPr>
              <w:t>材料、设备询价</w:t>
            </w:r>
          </w:p>
        </w:tc>
        <w:tc>
          <w:tcPr>
            <w:tcW w:w="4253" w:type="dxa"/>
            <w:noWrap/>
            <w:vAlign w:val="center"/>
          </w:tcPr>
          <w:p>
            <w:pPr>
              <w:spacing w:line="360" w:lineRule="auto"/>
              <w:jc w:val="center"/>
            </w:pPr>
            <w:r>
              <w:rPr>
                <w:rFonts w:hint="eastAsia"/>
              </w:rPr>
              <w:t>询价报告</w:t>
            </w:r>
          </w:p>
        </w:tc>
        <w:tc>
          <w:tcPr>
            <w:tcW w:w="1842" w:type="dxa"/>
            <w:noWrap/>
            <w:vAlign w:val="center"/>
          </w:tcPr>
          <w:p>
            <w:pPr>
              <w:spacing w:line="360" w:lineRule="auto"/>
              <w:jc w:val="center"/>
            </w:pPr>
            <w:r>
              <w:rPr>
                <w:rFonts w:hint="eastAsia"/>
              </w:rPr>
              <w:t>根据委托工作量确定</w:t>
            </w:r>
          </w:p>
        </w:tc>
        <w:tc>
          <w:tcPr>
            <w:tcW w:w="1043" w:type="dxa"/>
            <w:noWrap/>
            <w:vAlign w:val="center"/>
          </w:tcPr>
          <w:p>
            <w:pPr>
              <w:spacing w:line="360" w:lineRule="auto"/>
              <w:jc w:val="center"/>
            </w:pPr>
            <w:r>
              <w:rPr>
                <w:rFonts w:hint="eastAsia"/>
              </w:rPr>
              <w:t>4份/次</w:t>
            </w:r>
          </w:p>
        </w:tc>
        <w:tc>
          <w:tcPr>
            <w:tcW w:w="2517" w:type="dxa"/>
            <w:vMerge w:val="continue"/>
            <w:noWrap/>
            <w:vAlign w:val="center"/>
          </w:tcPr>
          <w:p>
            <w:pPr>
              <w:spacing w:line="360" w:lineRule="auto"/>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793" w:type="dxa"/>
            <w:noWrap/>
            <w:vAlign w:val="center"/>
          </w:tcPr>
          <w:p>
            <w:pPr>
              <w:spacing w:line="360" w:lineRule="auto"/>
              <w:jc w:val="center"/>
            </w:pPr>
            <w:r>
              <w:rPr>
                <w:rFonts w:hint="eastAsia"/>
              </w:rPr>
              <w:t>竣工阶段</w:t>
            </w:r>
          </w:p>
        </w:tc>
        <w:tc>
          <w:tcPr>
            <w:tcW w:w="2126" w:type="dxa"/>
            <w:noWrap/>
            <w:vAlign w:val="center"/>
          </w:tcPr>
          <w:p>
            <w:pPr>
              <w:spacing w:line="360" w:lineRule="auto"/>
              <w:jc w:val="center"/>
            </w:pPr>
            <w:r>
              <w:rPr>
                <w:rFonts w:hint="eastAsia" w:ascii="宋体" w:hAnsi="宋体"/>
              </w:rPr>
              <w:t>造价咨询报告</w:t>
            </w:r>
          </w:p>
        </w:tc>
        <w:tc>
          <w:tcPr>
            <w:tcW w:w="4253" w:type="dxa"/>
            <w:noWrap/>
            <w:vAlign w:val="center"/>
          </w:tcPr>
          <w:p>
            <w:pPr>
              <w:spacing w:line="360" w:lineRule="auto"/>
              <w:jc w:val="center"/>
            </w:pPr>
            <w:r>
              <w:rPr>
                <w:rFonts w:hint="eastAsia"/>
              </w:rPr>
              <w:t>审核报告书、工程结算审定单、结算审核书</w:t>
            </w:r>
          </w:p>
        </w:tc>
        <w:tc>
          <w:tcPr>
            <w:tcW w:w="1842" w:type="dxa"/>
            <w:noWrap/>
            <w:vAlign w:val="center"/>
          </w:tcPr>
          <w:p>
            <w:pPr>
              <w:spacing w:line="360" w:lineRule="auto"/>
              <w:jc w:val="center"/>
            </w:pPr>
            <w:r>
              <w:rPr>
                <w:rFonts w:hint="eastAsia"/>
              </w:rPr>
              <w:t>根据委托工作量确定</w:t>
            </w:r>
          </w:p>
        </w:tc>
        <w:tc>
          <w:tcPr>
            <w:tcW w:w="1043" w:type="dxa"/>
            <w:noWrap/>
            <w:vAlign w:val="center"/>
          </w:tcPr>
          <w:p>
            <w:pPr>
              <w:spacing w:line="360" w:lineRule="auto"/>
              <w:jc w:val="center"/>
            </w:pPr>
            <w:r>
              <w:rPr>
                <w:rFonts w:hint="eastAsia"/>
              </w:rPr>
              <w:t>2份/次</w:t>
            </w:r>
          </w:p>
        </w:tc>
        <w:tc>
          <w:tcPr>
            <w:tcW w:w="2517" w:type="dxa"/>
            <w:vMerge w:val="continue"/>
            <w:noWrap/>
            <w:vAlign w:val="center"/>
          </w:tcPr>
          <w:p>
            <w:pPr>
              <w:spacing w:line="360" w:lineRule="auto"/>
              <w:rPr>
                <w:rFonts w:ascii="楷体_GB2312" w:eastAsia="楷体_GB2312"/>
                <w:szCs w:val="21"/>
              </w:rPr>
            </w:pPr>
          </w:p>
        </w:tc>
      </w:tr>
    </w:tbl>
    <w:p>
      <w:pPr>
        <w:spacing w:line="360" w:lineRule="auto"/>
        <w:rPr>
          <w:b/>
        </w:rPr>
        <w:sectPr>
          <w:pgSz w:w="16838" w:h="11906" w:orient="landscape"/>
          <w:pgMar w:top="1803" w:right="1440" w:bottom="1803" w:left="1440" w:header="851" w:footer="992" w:gutter="0"/>
          <w:cols w:space="720" w:num="1"/>
          <w:docGrid w:linePitch="312" w:charSpace="0"/>
        </w:sectPr>
      </w:pPr>
    </w:p>
    <w:p>
      <w:pPr>
        <w:pStyle w:val="3"/>
        <w:spacing w:before="0" w:after="0"/>
        <w:jc w:val="center"/>
        <w:rPr>
          <w:sz w:val="24"/>
          <w:szCs w:val="24"/>
        </w:rPr>
      </w:pPr>
      <w:bookmarkStart w:id="419" w:name="_Toc464395476"/>
      <w:bookmarkStart w:id="420" w:name="_Toc468905544"/>
      <w:bookmarkStart w:id="421" w:name="_Toc464396253"/>
      <w:r>
        <w:rPr>
          <w:sz w:val="24"/>
          <w:szCs w:val="24"/>
        </w:rPr>
        <w:t>附录</w:t>
      </w:r>
      <w:r>
        <w:rPr>
          <w:rFonts w:hint="eastAsia"/>
          <w:sz w:val="24"/>
          <w:szCs w:val="24"/>
        </w:rPr>
        <w:t>C</w:t>
      </w:r>
      <w:r>
        <w:rPr>
          <w:sz w:val="24"/>
          <w:szCs w:val="24"/>
        </w:rPr>
        <w:t>　委托人提供</w:t>
      </w:r>
      <w:r>
        <w:rPr>
          <w:rFonts w:hint="eastAsia"/>
          <w:sz w:val="24"/>
          <w:szCs w:val="24"/>
        </w:rPr>
        <w:t>资料一览表</w:t>
      </w:r>
      <w:bookmarkEnd w:id="418"/>
      <w:bookmarkEnd w:id="419"/>
      <w:bookmarkEnd w:id="420"/>
      <w:bookmarkEnd w:id="421"/>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864"/>
        <w:gridCol w:w="1702"/>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noWrap/>
            <w:vAlign w:val="center"/>
          </w:tcPr>
          <w:p>
            <w:pPr>
              <w:pStyle w:val="36"/>
              <w:widowControl w:val="0"/>
              <w:jc w:val="center"/>
              <w:rPr>
                <w:b/>
                <w:sz w:val="21"/>
                <w:szCs w:val="21"/>
              </w:rPr>
            </w:pPr>
            <w:r>
              <w:rPr>
                <w:rFonts w:hint="eastAsia"/>
                <w:b/>
                <w:sz w:val="21"/>
                <w:szCs w:val="21"/>
              </w:rPr>
              <w:t>名称</w:t>
            </w:r>
          </w:p>
        </w:tc>
        <w:tc>
          <w:tcPr>
            <w:tcW w:w="864" w:type="dxa"/>
            <w:noWrap/>
            <w:vAlign w:val="center"/>
          </w:tcPr>
          <w:p>
            <w:pPr>
              <w:pStyle w:val="36"/>
              <w:widowControl w:val="0"/>
              <w:jc w:val="center"/>
              <w:rPr>
                <w:b/>
                <w:sz w:val="21"/>
                <w:szCs w:val="21"/>
              </w:rPr>
            </w:pPr>
            <w:r>
              <w:rPr>
                <w:rFonts w:hint="eastAsia"/>
                <w:b/>
                <w:sz w:val="21"/>
                <w:szCs w:val="21"/>
              </w:rPr>
              <w:t>份数</w:t>
            </w:r>
          </w:p>
        </w:tc>
        <w:tc>
          <w:tcPr>
            <w:tcW w:w="1702" w:type="dxa"/>
            <w:noWrap/>
            <w:vAlign w:val="center"/>
          </w:tcPr>
          <w:p>
            <w:pPr>
              <w:pStyle w:val="36"/>
              <w:widowControl w:val="0"/>
              <w:jc w:val="center"/>
              <w:rPr>
                <w:b/>
                <w:sz w:val="21"/>
                <w:szCs w:val="21"/>
              </w:rPr>
            </w:pPr>
            <w:r>
              <w:rPr>
                <w:rFonts w:hint="eastAsia"/>
                <w:b/>
                <w:sz w:val="21"/>
                <w:szCs w:val="21"/>
              </w:rPr>
              <w:t>提供时间</w:t>
            </w:r>
          </w:p>
        </w:tc>
        <w:tc>
          <w:tcPr>
            <w:tcW w:w="2731" w:type="dxa"/>
            <w:noWrap/>
            <w:vAlign w:val="center"/>
          </w:tcPr>
          <w:p>
            <w:pPr>
              <w:pStyle w:val="36"/>
              <w:widowControl w:val="0"/>
              <w:jc w:val="center"/>
              <w:rPr>
                <w:b/>
                <w:sz w:val="21"/>
                <w:szCs w:val="21"/>
              </w:rPr>
            </w:pPr>
            <w:r>
              <w:rPr>
                <w:rFonts w:hint="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78" w:type="dxa"/>
            <w:gridSpan w:val="4"/>
            <w:noWrap/>
            <w:vAlign w:val="center"/>
          </w:tcPr>
          <w:p>
            <w:pPr>
              <w:rPr>
                <w:szCs w:val="21"/>
              </w:rPr>
            </w:pPr>
            <w:r>
              <w:rPr>
                <w:rFonts w:hint="eastAsia"/>
                <w:szCs w:val="21"/>
              </w:rPr>
              <w:t>一、实施阶段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81" w:type="dxa"/>
            <w:noWrap/>
            <w:vAlign w:val="center"/>
          </w:tcPr>
          <w:p>
            <w:pPr>
              <w:pStyle w:val="36"/>
              <w:widowControl w:val="0"/>
              <w:jc w:val="center"/>
              <w:rPr>
                <w:sz w:val="21"/>
                <w:szCs w:val="21"/>
              </w:rPr>
            </w:pPr>
            <w:r>
              <w:rPr>
                <w:rFonts w:hint="eastAsia"/>
                <w:sz w:val="21"/>
                <w:szCs w:val="21"/>
              </w:rPr>
              <w:t>地质勘探报告</w:t>
            </w:r>
          </w:p>
        </w:tc>
        <w:tc>
          <w:tcPr>
            <w:tcW w:w="864" w:type="dxa"/>
            <w:noWrap/>
            <w:vAlign w:val="center"/>
          </w:tcPr>
          <w:p>
            <w:pPr>
              <w:pStyle w:val="36"/>
              <w:widowControl w:val="0"/>
              <w:jc w:val="center"/>
              <w:rPr>
                <w:sz w:val="21"/>
                <w:szCs w:val="21"/>
              </w:rPr>
            </w:pPr>
            <w:r>
              <w:rPr>
                <w:rFonts w:hint="eastAsia"/>
                <w:sz w:val="21"/>
                <w:szCs w:val="21"/>
              </w:rPr>
              <w:t>1</w:t>
            </w:r>
          </w:p>
        </w:tc>
        <w:tc>
          <w:tcPr>
            <w:tcW w:w="1702" w:type="dxa"/>
            <w:noWrap/>
            <w:vAlign w:val="center"/>
          </w:tcPr>
          <w:p>
            <w:pPr>
              <w:pStyle w:val="36"/>
              <w:widowControl w:val="0"/>
              <w:jc w:val="center"/>
              <w:rPr>
                <w:sz w:val="21"/>
                <w:szCs w:val="21"/>
              </w:rPr>
            </w:pPr>
            <w:r>
              <w:rPr>
                <w:rFonts w:hint="eastAsia"/>
                <w:sz w:val="21"/>
                <w:szCs w:val="21"/>
              </w:rPr>
              <w:t>开工前</w:t>
            </w:r>
          </w:p>
        </w:tc>
        <w:tc>
          <w:tcPr>
            <w:tcW w:w="2731" w:type="dxa"/>
            <w:noWrap/>
            <w:vAlign w:val="center"/>
          </w:tcPr>
          <w:p>
            <w:pPr>
              <w:spacing w:line="360" w:lineRule="auto"/>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81" w:type="dxa"/>
            <w:noWrap/>
            <w:vAlign w:val="center"/>
          </w:tcPr>
          <w:p>
            <w:pPr>
              <w:pStyle w:val="36"/>
              <w:widowControl w:val="0"/>
              <w:jc w:val="center"/>
              <w:rPr>
                <w:sz w:val="21"/>
                <w:szCs w:val="21"/>
              </w:rPr>
            </w:pPr>
            <w:r>
              <w:rPr>
                <w:rFonts w:hint="eastAsia"/>
                <w:sz w:val="21"/>
                <w:szCs w:val="21"/>
              </w:rPr>
              <w:t>施工图纸</w:t>
            </w:r>
          </w:p>
        </w:tc>
        <w:tc>
          <w:tcPr>
            <w:tcW w:w="864" w:type="dxa"/>
            <w:noWrap/>
            <w:vAlign w:val="center"/>
          </w:tcPr>
          <w:p>
            <w:pPr>
              <w:jc w:val="center"/>
              <w:rPr>
                <w:szCs w:val="21"/>
              </w:rPr>
            </w:pPr>
            <w:r>
              <w:rPr>
                <w:rFonts w:hint="eastAsia"/>
                <w:szCs w:val="21"/>
              </w:rPr>
              <w:t>1</w:t>
            </w:r>
          </w:p>
        </w:tc>
        <w:tc>
          <w:tcPr>
            <w:tcW w:w="1702" w:type="dxa"/>
            <w:noWrap/>
            <w:vAlign w:val="center"/>
          </w:tcPr>
          <w:p>
            <w:pPr>
              <w:jc w:val="center"/>
              <w:rPr>
                <w:szCs w:val="21"/>
              </w:rPr>
            </w:pPr>
            <w:r>
              <w:rPr>
                <w:rFonts w:hint="eastAsia"/>
                <w:szCs w:val="21"/>
              </w:rPr>
              <w:t>开工前</w:t>
            </w:r>
          </w:p>
        </w:tc>
        <w:tc>
          <w:tcPr>
            <w:tcW w:w="2731" w:type="dxa"/>
            <w:noWrap/>
            <w:vAlign w:val="center"/>
          </w:tcPr>
          <w:p>
            <w:pPr>
              <w:spacing w:line="360" w:lineRule="auto"/>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81" w:type="dxa"/>
            <w:noWrap/>
            <w:vAlign w:val="center"/>
          </w:tcPr>
          <w:p>
            <w:pPr>
              <w:pStyle w:val="36"/>
              <w:widowControl w:val="0"/>
              <w:jc w:val="center"/>
              <w:rPr>
                <w:sz w:val="21"/>
                <w:szCs w:val="21"/>
              </w:rPr>
            </w:pPr>
            <w:r>
              <w:rPr>
                <w:rFonts w:hint="eastAsia"/>
                <w:sz w:val="21"/>
                <w:szCs w:val="21"/>
              </w:rPr>
              <w:t>招、投标资料</w:t>
            </w:r>
          </w:p>
        </w:tc>
        <w:tc>
          <w:tcPr>
            <w:tcW w:w="864" w:type="dxa"/>
            <w:noWrap/>
            <w:vAlign w:val="center"/>
          </w:tcPr>
          <w:p>
            <w:pPr>
              <w:jc w:val="center"/>
              <w:rPr>
                <w:szCs w:val="21"/>
              </w:rPr>
            </w:pPr>
            <w:r>
              <w:rPr>
                <w:rFonts w:hint="eastAsia"/>
                <w:szCs w:val="21"/>
              </w:rPr>
              <w:t>1</w:t>
            </w:r>
          </w:p>
        </w:tc>
        <w:tc>
          <w:tcPr>
            <w:tcW w:w="1702" w:type="dxa"/>
            <w:noWrap/>
            <w:vAlign w:val="center"/>
          </w:tcPr>
          <w:p>
            <w:pPr>
              <w:jc w:val="center"/>
              <w:rPr>
                <w:szCs w:val="21"/>
              </w:rPr>
            </w:pPr>
            <w:r>
              <w:rPr>
                <w:rFonts w:hint="eastAsia"/>
                <w:szCs w:val="21"/>
              </w:rPr>
              <w:t>开工前</w:t>
            </w:r>
          </w:p>
        </w:tc>
        <w:tc>
          <w:tcPr>
            <w:tcW w:w="2731" w:type="dxa"/>
            <w:noWrap/>
            <w:vAlign w:val="center"/>
          </w:tcPr>
          <w:p>
            <w:pPr>
              <w:spacing w:line="360" w:lineRule="auto"/>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81" w:type="dxa"/>
            <w:noWrap/>
            <w:vAlign w:val="center"/>
          </w:tcPr>
          <w:p>
            <w:pPr>
              <w:pStyle w:val="36"/>
              <w:widowControl w:val="0"/>
              <w:jc w:val="center"/>
              <w:rPr>
                <w:sz w:val="21"/>
                <w:szCs w:val="21"/>
              </w:rPr>
            </w:pPr>
            <w:r>
              <w:rPr>
                <w:rFonts w:hint="eastAsia"/>
                <w:sz w:val="21"/>
                <w:szCs w:val="21"/>
              </w:rPr>
              <w:t>施工合同</w:t>
            </w:r>
          </w:p>
        </w:tc>
        <w:tc>
          <w:tcPr>
            <w:tcW w:w="864" w:type="dxa"/>
            <w:noWrap/>
            <w:vAlign w:val="center"/>
          </w:tcPr>
          <w:p>
            <w:pPr>
              <w:jc w:val="center"/>
              <w:rPr>
                <w:szCs w:val="21"/>
              </w:rPr>
            </w:pPr>
            <w:r>
              <w:rPr>
                <w:rFonts w:hint="eastAsia"/>
                <w:szCs w:val="21"/>
              </w:rPr>
              <w:t>1</w:t>
            </w:r>
          </w:p>
        </w:tc>
        <w:tc>
          <w:tcPr>
            <w:tcW w:w="1702" w:type="dxa"/>
            <w:noWrap/>
            <w:vAlign w:val="center"/>
          </w:tcPr>
          <w:p>
            <w:pPr>
              <w:jc w:val="center"/>
              <w:rPr>
                <w:szCs w:val="21"/>
              </w:rPr>
            </w:pPr>
            <w:r>
              <w:rPr>
                <w:rFonts w:hint="eastAsia"/>
                <w:szCs w:val="21"/>
              </w:rPr>
              <w:t>开工前</w:t>
            </w:r>
          </w:p>
        </w:tc>
        <w:tc>
          <w:tcPr>
            <w:tcW w:w="2731" w:type="dxa"/>
            <w:noWrap/>
            <w:vAlign w:val="center"/>
          </w:tcPr>
          <w:p>
            <w:pPr>
              <w:spacing w:line="360" w:lineRule="auto"/>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8" w:type="dxa"/>
            <w:gridSpan w:val="4"/>
            <w:noWrap/>
            <w:vAlign w:val="center"/>
          </w:tcPr>
          <w:p>
            <w:pPr>
              <w:rPr>
                <w:rFonts w:ascii="楷体_GB2312" w:eastAsia="楷体_GB2312"/>
                <w:szCs w:val="21"/>
              </w:rPr>
            </w:pPr>
            <w:bookmarkStart w:id="422" w:name="_Toc419045129"/>
            <w:r>
              <w:rPr>
                <w:rFonts w:hint="eastAsia"/>
                <w:szCs w:val="21"/>
              </w:rPr>
              <w:t>二、竣工阶段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81" w:type="dxa"/>
            <w:noWrap/>
            <w:vAlign w:val="center"/>
          </w:tcPr>
          <w:p>
            <w:pPr>
              <w:pStyle w:val="36"/>
              <w:widowControl w:val="0"/>
              <w:jc w:val="center"/>
              <w:rPr>
                <w:sz w:val="21"/>
                <w:szCs w:val="21"/>
              </w:rPr>
            </w:pPr>
            <w:r>
              <w:rPr>
                <w:rFonts w:hint="eastAsia"/>
                <w:sz w:val="21"/>
                <w:szCs w:val="21"/>
              </w:rPr>
              <w:t>施工图纸、设计变更</w:t>
            </w:r>
          </w:p>
        </w:tc>
        <w:tc>
          <w:tcPr>
            <w:tcW w:w="864" w:type="dxa"/>
            <w:noWrap/>
            <w:vAlign w:val="center"/>
          </w:tcPr>
          <w:p>
            <w:pPr>
              <w:jc w:val="center"/>
              <w:rPr>
                <w:szCs w:val="21"/>
              </w:rPr>
            </w:pPr>
            <w:r>
              <w:rPr>
                <w:rFonts w:hint="eastAsia"/>
                <w:szCs w:val="21"/>
              </w:rPr>
              <w:t>1</w:t>
            </w:r>
          </w:p>
        </w:tc>
        <w:tc>
          <w:tcPr>
            <w:tcW w:w="1702" w:type="dxa"/>
            <w:noWrap/>
            <w:vAlign w:val="center"/>
          </w:tcPr>
          <w:p>
            <w:pPr>
              <w:jc w:val="center"/>
              <w:rPr>
                <w:szCs w:val="21"/>
              </w:rPr>
            </w:pPr>
            <w:r>
              <w:rPr>
                <w:rFonts w:hint="eastAsia"/>
                <w:szCs w:val="21"/>
              </w:rPr>
              <w:t>视委托项目具体时间确定</w:t>
            </w:r>
          </w:p>
        </w:tc>
        <w:tc>
          <w:tcPr>
            <w:tcW w:w="2731" w:type="dxa"/>
            <w:noWrap/>
            <w:vAlign w:val="center"/>
          </w:tcPr>
          <w:p>
            <w:pPr>
              <w:jc w:val="center"/>
              <w:rPr>
                <w:szCs w:val="21"/>
              </w:rPr>
            </w:pPr>
            <w:r>
              <w:rPr>
                <w:rFonts w:hint="eastAsia"/>
                <w:szCs w:val="21"/>
              </w:rPr>
              <w:t>需提供纸质书面资料和电子档各一份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81" w:type="dxa"/>
            <w:noWrap/>
            <w:vAlign w:val="center"/>
          </w:tcPr>
          <w:p>
            <w:pPr>
              <w:pStyle w:val="36"/>
              <w:widowControl w:val="0"/>
              <w:jc w:val="center"/>
              <w:rPr>
                <w:sz w:val="21"/>
                <w:szCs w:val="21"/>
              </w:rPr>
            </w:pPr>
            <w:r>
              <w:rPr>
                <w:rFonts w:hint="eastAsia"/>
                <w:sz w:val="21"/>
                <w:szCs w:val="21"/>
              </w:rPr>
              <w:t>招、投标资料（含工程量清单）</w:t>
            </w:r>
          </w:p>
        </w:tc>
        <w:tc>
          <w:tcPr>
            <w:tcW w:w="864" w:type="dxa"/>
            <w:noWrap/>
            <w:vAlign w:val="center"/>
          </w:tcPr>
          <w:p>
            <w:pPr>
              <w:jc w:val="center"/>
              <w:rPr>
                <w:szCs w:val="21"/>
              </w:rPr>
            </w:pPr>
            <w:r>
              <w:rPr>
                <w:rFonts w:hint="eastAsia"/>
                <w:szCs w:val="21"/>
              </w:rPr>
              <w:t>1</w:t>
            </w:r>
          </w:p>
        </w:tc>
        <w:tc>
          <w:tcPr>
            <w:tcW w:w="1702" w:type="dxa"/>
            <w:noWrap/>
            <w:vAlign w:val="center"/>
          </w:tcPr>
          <w:p>
            <w:pPr>
              <w:jc w:val="center"/>
              <w:rPr>
                <w:szCs w:val="21"/>
              </w:rPr>
            </w:pPr>
            <w:r>
              <w:rPr>
                <w:rFonts w:hint="eastAsia"/>
                <w:szCs w:val="21"/>
              </w:rPr>
              <w:t>视委托项目具体时间确定</w:t>
            </w:r>
          </w:p>
        </w:tc>
        <w:tc>
          <w:tcPr>
            <w:tcW w:w="2731" w:type="dxa"/>
            <w:noWrap/>
            <w:vAlign w:val="center"/>
          </w:tcPr>
          <w:p>
            <w:pPr>
              <w:jc w:val="center"/>
              <w:rPr>
                <w:szCs w:val="21"/>
              </w:rPr>
            </w:pPr>
            <w:r>
              <w:rPr>
                <w:rFonts w:hint="eastAsia"/>
                <w:szCs w:val="21"/>
              </w:rPr>
              <w:t>需提供纸质书面资料和电子档各一份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81" w:type="dxa"/>
            <w:noWrap/>
            <w:vAlign w:val="center"/>
          </w:tcPr>
          <w:p>
            <w:pPr>
              <w:pStyle w:val="36"/>
              <w:widowControl w:val="0"/>
              <w:jc w:val="center"/>
              <w:rPr>
                <w:sz w:val="21"/>
                <w:szCs w:val="21"/>
              </w:rPr>
            </w:pPr>
            <w:r>
              <w:rPr>
                <w:rFonts w:hint="eastAsia"/>
                <w:sz w:val="21"/>
                <w:szCs w:val="21"/>
              </w:rPr>
              <w:t>施工合同（含各专业分包合同、补充协议等）、竣工验收证明</w:t>
            </w:r>
          </w:p>
        </w:tc>
        <w:tc>
          <w:tcPr>
            <w:tcW w:w="864" w:type="dxa"/>
            <w:noWrap/>
            <w:vAlign w:val="center"/>
          </w:tcPr>
          <w:p>
            <w:pPr>
              <w:jc w:val="center"/>
              <w:rPr>
                <w:szCs w:val="21"/>
              </w:rPr>
            </w:pPr>
            <w:r>
              <w:rPr>
                <w:rFonts w:hint="eastAsia"/>
                <w:szCs w:val="21"/>
              </w:rPr>
              <w:t>1</w:t>
            </w:r>
          </w:p>
        </w:tc>
        <w:tc>
          <w:tcPr>
            <w:tcW w:w="1702" w:type="dxa"/>
            <w:noWrap/>
            <w:vAlign w:val="center"/>
          </w:tcPr>
          <w:p>
            <w:pPr>
              <w:jc w:val="center"/>
              <w:rPr>
                <w:szCs w:val="21"/>
              </w:rPr>
            </w:pPr>
            <w:r>
              <w:rPr>
                <w:rFonts w:hint="eastAsia"/>
                <w:szCs w:val="21"/>
              </w:rPr>
              <w:t>视委托项目具体时间确定</w:t>
            </w:r>
          </w:p>
        </w:tc>
        <w:tc>
          <w:tcPr>
            <w:tcW w:w="2731" w:type="dxa"/>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81" w:type="dxa"/>
            <w:noWrap/>
            <w:vAlign w:val="center"/>
          </w:tcPr>
          <w:p>
            <w:pPr>
              <w:pStyle w:val="36"/>
              <w:widowControl w:val="0"/>
              <w:jc w:val="center"/>
              <w:rPr>
                <w:sz w:val="21"/>
                <w:szCs w:val="21"/>
              </w:rPr>
            </w:pPr>
            <w:r>
              <w:rPr>
                <w:rFonts w:hint="eastAsia"/>
                <w:sz w:val="21"/>
                <w:szCs w:val="21"/>
              </w:rPr>
              <w:t>报审结算书</w:t>
            </w:r>
          </w:p>
        </w:tc>
        <w:tc>
          <w:tcPr>
            <w:tcW w:w="864" w:type="dxa"/>
            <w:noWrap/>
            <w:vAlign w:val="center"/>
          </w:tcPr>
          <w:p>
            <w:pPr>
              <w:jc w:val="center"/>
              <w:rPr>
                <w:szCs w:val="21"/>
              </w:rPr>
            </w:pPr>
            <w:r>
              <w:rPr>
                <w:rFonts w:hint="eastAsia"/>
                <w:szCs w:val="21"/>
              </w:rPr>
              <w:t>1</w:t>
            </w:r>
          </w:p>
        </w:tc>
        <w:tc>
          <w:tcPr>
            <w:tcW w:w="1702" w:type="dxa"/>
            <w:noWrap/>
            <w:vAlign w:val="center"/>
          </w:tcPr>
          <w:p>
            <w:pPr>
              <w:jc w:val="center"/>
              <w:rPr>
                <w:szCs w:val="21"/>
              </w:rPr>
            </w:pPr>
            <w:r>
              <w:rPr>
                <w:rFonts w:hint="eastAsia"/>
                <w:szCs w:val="21"/>
              </w:rPr>
              <w:t>视委托项目具体时间确定</w:t>
            </w:r>
          </w:p>
        </w:tc>
        <w:tc>
          <w:tcPr>
            <w:tcW w:w="2731" w:type="dxa"/>
            <w:noWrap/>
            <w:vAlign w:val="center"/>
          </w:tcPr>
          <w:p>
            <w:pPr>
              <w:jc w:val="center"/>
              <w:rPr>
                <w:szCs w:val="21"/>
              </w:rPr>
            </w:pPr>
            <w:r>
              <w:rPr>
                <w:rFonts w:hint="eastAsia"/>
                <w:szCs w:val="21"/>
              </w:rPr>
              <w:t>需提供纸质书面资料和电子档各一份，且需盖施工、编制单位公章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81" w:type="dxa"/>
            <w:noWrap/>
            <w:vAlign w:val="center"/>
          </w:tcPr>
          <w:p>
            <w:pPr>
              <w:pStyle w:val="36"/>
              <w:widowControl w:val="0"/>
              <w:jc w:val="center"/>
              <w:rPr>
                <w:sz w:val="21"/>
                <w:szCs w:val="21"/>
              </w:rPr>
            </w:pPr>
            <w:r>
              <w:rPr>
                <w:rFonts w:hint="eastAsia"/>
                <w:sz w:val="21"/>
                <w:szCs w:val="21"/>
              </w:rPr>
              <w:t>工程联系、签证、变更单及会议纪要等</w:t>
            </w:r>
          </w:p>
        </w:tc>
        <w:tc>
          <w:tcPr>
            <w:tcW w:w="864" w:type="dxa"/>
            <w:noWrap/>
            <w:vAlign w:val="center"/>
          </w:tcPr>
          <w:p>
            <w:pPr>
              <w:jc w:val="center"/>
              <w:rPr>
                <w:szCs w:val="21"/>
              </w:rPr>
            </w:pPr>
            <w:r>
              <w:rPr>
                <w:rFonts w:hint="eastAsia"/>
                <w:szCs w:val="21"/>
              </w:rPr>
              <w:t>1</w:t>
            </w:r>
          </w:p>
        </w:tc>
        <w:tc>
          <w:tcPr>
            <w:tcW w:w="1702" w:type="dxa"/>
            <w:noWrap/>
            <w:vAlign w:val="center"/>
          </w:tcPr>
          <w:p>
            <w:pPr>
              <w:jc w:val="center"/>
              <w:rPr>
                <w:szCs w:val="21"/>
              </w:rPr>
            </w:pPr>
            <w:r>
              <w:rPr>
                <w:rFonts w:hint="eastAsia"/>
                <w:szCs w:val="21"/>
              </w:rPr>
              <w:t>视委托项目具体时间确定</w:t>
            </w:r>
          </w:p>
        </w:tc>
        <w:tc>
          <w:tcPr>
            <w:tcW w:w="2731" w:type="dxa"/>
            <w:noWrap/>
            <w:vAlign w:val="center"/>
          </w:tcPr>
          <w:p>
            <w:pPr>
              <w:jc w:val="center"/>
              <w:rPr>
                <w:szCs w:val="21"/>
              </w:rPr>
            </w:pPr>
            <w:r>
              <w:rPr>
                <w:rFonts w:hint="eastAsia"/>
                <w:szCs w:val="21"/>
              </w:rPr>
              <w:t>如有须全部提供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81" w:type="dxa"/>
            <w:noWrap/>
            <w:vAlign w:val="center"/>
          </w:tcPr>
          <w:p>
            <w:pPr>
              <w:pStyle w:val="36"/>
              <w:widowControl w:val="0"/>
              <w:jc w:val="center"/>
              <w:rPr>
                <w:sz w:val="21"/>
                <w:szCs w:val="21"/>
              </w:rPr>
            </w:pPr>
            <w:r>
              <w:rPr>
                <w:rFonts w:hint="eastAsia"/>
                <w:sz w:val="21"/>
                <w:szCs w:val="21"/>
              </w:rPr>
              <w:t>与工程造价有关的隐蔽工程资料</w:t>
            </w:r>
          </w:p>
        </w:tc>
        <w:tc>
          <w:tcPr>
            <w:tcW w:w="864" w:type="dxa"/>
            <w:noWrap/>
            <w:vAlign w:val="center"/>
          </w:tcPr>
          <w:p>
            <w:pPr>
              <w:jc w:val="center"/>
              <w:rPr>
                <w:szCs w:val="21"/>
              </w:rPr>
            </w:pPr>
            <w:r>
              <w:rPr>
                <w:rFonts w:hint="eastAsia"/>
                <w:szCs w:val="21"/>
              </w:rPr>
              <w:t>1</w:t>
            </w:r>
          </w:p>
        </w:tc>
        <w:tc>
          <w:tcPr>
            <w:tcW w:w="1702" w:type="dxa"/>
            <w:noWrap/>
            <w:vAlign w:val="center"/>
          </w:tcPr>
          <w:p>
            <w:pPr>
              <w:jc w:val="center"/>
              <w:rPr>
                <w:szCs w:val="21"/>
              </w:rPr>
            </w:pPr>
            <w:r>
              <w:rPr>
                <w:rFonts w:hint="eastAsia"/>
                <w:szCs w:val="21"/>
              </w:rPr>
              <w:t>视委托项目具体时间确定</w:t>
            </w:r>
          </w:p>
        </w:tc>
        <w:tc>
          <w:tcPr>
            <w:tcW w:w="2731" w:type="dxa"/>
            <w:noWrap/>
            <w:vAlign w:val="center"/>
          </w:tcPr>
          <w:p>
            <w:pPr>
              <w:jc w:val="center"/>
              <w:rPr>
                <w:szCs w:val="21"/>
              </w:rPr>
            </w:pPr>
            <w:r>
              <w:rPr>
                <w:rFonts w:hint="eastAsia"/>
                <w:szCs w:val="21"/>
              </w:rPr>
              <w:t>如有须全部提供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81" w:type="dxa"/>
            <w:noWrap/>
            <w:vAlign w:val="center"/>
          </w:tcPr>
          <w:p>
            <w:pPr>
              <w:pStyle w:val="36"/>
              <w:widowControl w:val="0"/>
              <w:jc w:val="center"/>
              <w:rPr>
                <w:sz w:val="21"/>
                <w:szCs w:val="21"/>
              </w:rPr>
            </w:pPr>
            <w:r>
              <w:rPr>
                <w:rFonts w:hint="eastAsia"/>
                <w:sz w:val="21"/>
                <w:szCs w:val="21"/>
              </w:rPr>
              <w:t>其他有关工程造价调整的有效证明文件</w:t>
            </w:r>
          </w:p>
        </w:tc>
        <w:tc>
          <w:tcPr>
            <w:tcW w:w="864" w:type="dxa"/>
            <w:noWrap/>
            <w:vAlign w:val="center"/>
          </w:tcPr>
          <w:p>
            <w:pPr>
              <w:jc w:val="center"/>
              <w:rPr>
                <w:szCs w:val="21"/>
              </w:rPr>
            </w:pPr>
            <w:r>
              <w:rPr>
                <w:rFonts w:hint="eastAsia"/>
                <w:szCs w:val="21"/>
              </w:rPr>
              <w:t>1</w:t>
            </w:r>
          </w:p>
        </w:tc>
        <w:tc>
          <w:tcPr>
            <w:tcW w:w="1702" w:type="dxa"/>
            <w:noWrap/>
            <w:vAlign w:val="center"/>
          </w:tcPr>
          <w:p>
            <w:pPr>
              <w:jc w:val="center"/>
              <w:rPr>
                <w:szCs w:val="21"/>
              </w:rPr>
            </w:pPr>
            <w:r>
              <w:rPr>
                <w:rFonts w:hint="eastAsia"/>
                <w:szCs w:val="21"/>
              </w:rPr>
              <w:t>视委托项目具体时间确定</w:t>
            </w:r>
          </w:p>
        </w:tc>
        <w:tc>
          <w:tcPr>
            <w:tcW w:w="2731" w:type="dxa"/>
            <w:noWrap/>
            <w:vAlign w:val="center"/>
          </w:tcPr>
          <w:p>
            <w:pPr>
              <w:jc w:val="center"/>
              <w:rPr>
                <w:szCs w:val="21"/>
              </w:rPr>
            </w:pPr>
            <w:r>
              <w:rPr>
                <w:rFonts w:hint="eastAsia"/>
                <w:szCs w:val="21"/>
              </w:rPr>
              <w:t>如有须全部提供</w:t>
            </w:r>
          </w:p>
        </w:tc>
      </w:tr>
    </w:tbl>
    <w:p>
      <w:pPr>
        <w:pStyle w:val="3"/>
        <w:spacing w:before="0" w:after="0"/>
        <w:jc w:val="center"/>
        <w:rPr>
          <w:sz w:val="24"/>
          <w:szCs w:val="24"/>
        </w:rPr>
        <w:sectPr>
          <w:pgSz w:w="11906" w:h="16838"/>
          <w:pgMar w:top="1440" w:right="1803" w:bottom="1440" w:left="1803" w:header="851" w:footer="992" w:gutter="0"/>
          <w:cols w:space="720" w:num="1"/>
          <w:docGrid w:linePitch="312" w:charSpace="0"/>
        </w:sectPr>
      </w:pPr>
    </w:p>
    <w:bookmarkEnd w:id="422"/>
    <w:p>
      <w:pPr>
        <w:pStyle w:val="3"/>
        <w:spacing w:before="0" w:after="0"/>
        <w:jc w:val="center"/>
        <w:rPr>
          <w:sz w:val="24"/>
          <w:szCs w:val="24"/>
        </w:rPr>
      </w:pPr>
      <w:bookmarkStart w:id="423" w:name="_Toc464395477"/>
      <w:bookmarkStart w:id="424" w:name="_Toc468802551"/>
      <w:bookmarkStart w:id="425" w:name="_Toc464396254"/>
      <w:bookmarkStart w:id="426" w:name="_Toc468905545"/>
      <w:bookmarkStart w:id="427" w:name="_Toc464403278"/>
      <w:r>
        <w:rPr>
          <w:rFonts w:hint="eastAsia"/>
          <w:sz w:val="24"/>
          <w:szCs w:val="24"/>
        </w:rPr>
        <w:t xml:space="preserve">附录D </w:t>
      </w:r>
      <w:r>
        <w:rPr>
          <w:sz w:val="24"/>
          <w:szCs w:val="24"/>
        </w:rPr>
        <w:t>委托人提供房屋</w:t>
      </w:r>
      <w:r>
        <w:rPr>
          <w:rFonts w:hint="eastAsia"/>
          <w:sz w:val="24"/>
          <w:szCs w:val="24"/>
        </w:rPr>
        <w:t>及设备一览表</w:t>
      </w:r>
      <w:bookmarkEnd w:id="423"/>
      <w:bookmarkEnd w:id="424"/>
      <w:bookmarkEnd w:id="425"/>
      <w:bookmarkEnd w:id="426"/>
      <w:bookmarkEnd w:id="427"/>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980"/>
        <w:gridCol w:w="236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noWrap/>
            <w:vAlign w:val="center"/>
          </w:tcPr>
          <w:p>
            <w:pPr>
              <w:pStyle w:val="36"/>
              <w:widowControl w:val="0"/>
              <w:spacing w:line="360" w:lineRule="auto"/>
              <w:jc w:val="center"/>
              <w:rPr>
                <w:b/>
              </w:rPr>
            </w:pPr>
            <w:r>
              <w:rPr>
                <w:rFonts w:hint="eastAsia"/>
                <w:b/>
              </w:rPr>
              <w:t>名称</w:t>
            </w:r>
          </w:p>
        </w:tc>
        <w:tc>
          <w:tcPr>
            <w:tcW w:w="980" w:type="dxa"/>
            <w:noWrap/>
            <w:vAlign w:val="center"/>
          </w:tcPr>
          <w:p>
            <w:pPr>
              <w:pStyle w:val="36"/>
              <w:widowControl w:val="0"/>
              <w:spacing w:line="360" w:lineRule="auto"/>
              <w:jc w:val="center"/>
              <w:rPr>
                <w:b/>
              </w:rPr>
            </w:pPr>
            <w:r>
              <w:rPr>
                <w:rFonts w:hint="eastAsia"/>
                <w:b/>
              </w:rPr>
              <w:t>数量</w:t>
            </w:r>
          </w:p>
        </w:tc>
        <w:tc>
          <w:tcPr>
            <w:tcW w:w="2368" w:type="dxa"/>
            <w:noWrap/>
            <w:vAlign w:val="center"/>
          </w:tcPr>
          <w:p>
            <w:pPr>
              <w:pStyle w:val="36"/>
              <w:widowControl w:val="0"/>
              <w:spacing w:line="360" w:lineRule="auto"/>
              <w:jc w:val="center"/>
              <w:rPr>
                <w:b/>
              </w:rPr>
            </w:pPr>
            <w:r>
              <w:rPr>
                <w:rFonts w:hint="eastAsia"/>
                <w:b/>
              </w:rPr>
              <w:t>面积、型号及规格</w:t>
            </w:r>
          </w:p>
        </w:tc>
        <w:tc>
          <w:tcPr>
            <w:tcW w:w="2148" w:type="dxa"/>
            <w:noWrap/>
            <w:vAlign w:val="center"/>
          </w:tcPr>
          <w:p>
            <w:pPr>
              <w:pStyle w:val="36"/>
              <w:widowControl w:val="0"/>
              <w:spacing w:line="360" w:lineRule="auto"/>
              <w:jc w:val="center"/>
              <w:rPr>
                <w:b/>
              </w:rPr>
            </w:pPr>
            <w:r>
              <w:rPr>
                <w:rFonts w:hint="eastAsia"/>
                <w:b/>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11" w:type="dxa"/>
            <w:gridSpan w:val="4"/>
            <w:tcBorders>
              <w:tr2bl w:val="single" w:color="auto" w:sz="4" w:space="0"/>
            </w:tcBorders>
            <w:noWrap/>
            <w:vAlign w:val="center"/>
          </w:tcPr>
          <w:p>
            <w:pPr>
              <w:spacing w:line="360" w:lineRule="auto"/>
            </w:pPr>
            <w:r>
              <w:rPr>
                <w:rFonts w:hint="eastAsia"/>
              </w:rPr>
              <w:t>　</w:t>
            </w:r>
          </w:p>
          <w:p>
            <w:pPr>
              <w:spacing w:line="360" w:lineRule="auto"/>
            </w:pPr>
            <w:r>
              <w:rPr>
                <w:rFonts w:hint="eastAsia"/>
              </w:rPr>
              <w:t>　</w:t>
            </w:r>
          </w:p>
          <w:p>
            <w:pPr>
              <w:spacing w:line="360" w:lineRule="auto"/>
            </w:pPr>
            <w:r>
              <w:rPr>
                <w:rFonts w:hint="eastAsia"/>
              </w:rPr>
              <w:t>　</w:t>
            </w:r>
          </w:p>
        </w:tc>
      </w:tr>
    </w:tbl>
    <w:p>
      <w:pPr>
        <w:spacing w:line="480" w:lineRule="exact"/>
        <w:jc w:val="center"/>
        <w:rPr>
          <w:rFonts w:ascii="宋体" w:hAnsi="宋体"/>
          <w:b/>
          <w:sz w:val="28"/>
        </w:rPr>
      </w:pPr>
      <w:r>
        <w:rPr>
          <w:rFonts w:ascii="Calibri" w:hAnsi="Calibri"/>
          <w:szCs w:val="21"/>
        </w:rPr>
        <w:br w:type="page"/>
      </w:r>
      <w:r>
        <w:rPr>
          <w:rFonts w:hint="eastAsia" w:ascii="宋体" w:hAnsi="宋体"/>
          <w:b/>
          <w:sz w:val="28"/>
        </w:rPr>
        <w:t>第五章技术资料</w:t>
      </w:r>
    </w:p>
    <w:p>
      <w:pPr>
        <w:spacing w:line="480" w:lineRule="exact"/>
        <w:rPr>
          <w:rFonts w:ascii="宋体" w:hAnsi="宋体"/>
          <w:b/>
        </w:rPr>
      </w:pPr>
    </w:p>
    <w:p>
      <w:pPr>
        <w:spacing w:line="480" w:lineRule="exact"/>
        <w:rPr>
          <w:rFonts w:ascii="宋体" w:hAnsi="宋体"/>
          <w:b/>
        </w:rPr>
      </w:pPr>
      <w:r>
        <w:rPr>
          <w:rFonts w:hint="eastAsia" w:ascii="宋体" w:hAnsi="宋体"/>
          <w:b/>
        </w:rPr>
        <w:t>一、本项目采用的技术规范（但不限于）</w:t>
      </w:r>
    </w:p>
    <w:p>
      <w:pPr>
        <w:spacing w:line="480" w:lineRule="exact"/>
        <w:ind w:firstLine="420" w:firstLineChars="200"/>
        <w:rPr>
          <w:rFonts w:ascii="宋体" w:hAnsi="宋体"/>
          <w:b/>
        </w:rPr>
      </w:pPr>
      <w:r>
        <w:rPr>
          <w:rFonts w:hint="eastAsia" w:ascii="宋体" w:hAnsi="宋体"/>
          <w:u w:val="single"/>
        </w:rPr>
        <w:t>《中华人民共和国建筑法》、《中华人民共和国民法典》、《中华人民共和国招投标法》、《中华人民共和国招标投标法实施条例》、《工程建设项目施工招标投标办法》（国家计委等七部委局令</w:t>
      </w:r>
      <w:r>
        <w:rPr>
          <w:rFonts w:ascii="宋体" w:hAnsi="宋体"/>
          <w:u w:val="single"/>
        </w:rPr>
        <w:t>30</w:t>
      </w:r>
      <w:r>
        <w:rPr>
          <w:rFonts w:hint="eastAsia" w:ascii="宋体" w:hAnsi="宋体"/>
          <w:u w:val="single"/>
        </w:rPr>
        <w:t>号）、《房屋建筑和市政基础设施工程施工招标投标管理办法》（建设部第</w:t>
      </w:r>
      <w:r>
        <w:rPr>
          <w:rFonts w:ascii="宋体" w:hAnsi="宋体"/>
          <w:u w:val="single"/>
        </w:rPr>
        <w:t>89</w:t>
      </w:r>
      <w:r>
        <w:rPr>
          <w:rFonts w:hint="eastAsia" w:ascii="宋体" w:hAnsi="宋体"/>
          <w:u w:val="single"/>
        </w:rPr>
        <w:t>号令）等现行法律法规文件</w:t>
      </w:r>
    </w:p>
    <w:p>
      <w:pPr>
        <w:spacing w:line="480" w:lineRule="exact"/>
        <w:jc w:val="center"/>
        <w:rPr>
          <w:rFonts w:ascii="宋体" w:hAnsi="宋体"/>
        </w:rPr>
      </w:pPr>
    </w:p>
    <w:p>
      <w:pPr>
        <w:jc w:val="center"/>
        <w:rPr>
          <w:rFonts w:asciiTheme="minorEastAsia" w:hAnsiTheme="minorEastAsia" w:eastAsiaTheme="minorEastAsia" w:cstheme="minorEastAsia"/>
          <w:color w:val="000000" w:themeColor="text1"/>
          <w:szCs w:val="21"/>
        </w:rPr>
      </w:pPr>
    </w:p>
    <w:p>
      <w:pPr>
        <w:jc w:val="center"/>
        <w:rPr>
          <w:rFonts w:asciiTheme="minorEastAsia" w:hAnsiTheme="minorEastAsia" w:eastAsiaTheme="minorEastAsia" w:cstheme="minorEastAsia"/>
          <w:color w:val="000000" w:themeColor="text1"/>
          <w:kern w:val="0"/>
          <w:szCs w:val="21"/>
        </w:rPr>
      </w:pPr>
    </w:p>
    <w:p>
      <w:pPr>
        <w:widowControl/>
        <w:jc w:val="left"/>
        <w:rPr>
          <w:rFonts w:asciiTheme="minorEastAsia" w:hAnsiTheme="minorEastAsia" w:eastAsiaTheme="minorEastAsia" w:cstheme="minorEastAsia"/>
          <w:color w:val="000000" w:themeColor="text1"/>
          <w:kern w:val="0"/>
          <w:szCs w:val="21"/>
        </w:rPr>
      </w:pPr>
      <w:r>
        <w:rPr>
          <w:rFonts w:asciiTheme="minorEastAsia" w:hAnsiTheme="minorEastAsia" w:eastAsiaTheme="minorEastAsia" w:cstheme="minorEastAsia"/>
          <w:color w:val="000000" w:themeColor="text1"/>
          <w:kern w:val="0"/>
          <w:szCs w:val="21"/>
        </w:rPr>
        <w:br w:type="page"/>
      </w:r>
    </w:p>
    <w:p>
      <w:pPr>
        <w:pStyle w:val="3"/>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第六章投标文件格式</w:t>
      </w:r>
    </w:p>
    <w:p>
      <w:pPr>
        <w:jc w:val="center"/>
        <w:rPr>
          <w:rFonts w:asciiTheme="minorEastAsia" w:hAnsiTheme="minorEastAsia" w:eastAsiaTheme="minorEastAsia" w:cstheme="minorEastAsia"/>
          <w:color w:val="000000" w:themeColor="text1"/>
          <w:kern w:val="0"/>
          <w:szCs w:val="21"/>
        </w:rPr>
      </w:pPr>
    </w:p>
    <w:p>
      <w:pPr>
        <w:jc w:val="center"/>
        <w:rPr>
          <w:rFonts w:asciiTheme="minorEastAsia" w:hAnsiTheme="minorEastAsia" w:eastAsiaTheme="minorEastAsia" w:cstheme="minorEastAsia"/>
          <w:color w:val="000000" w:themeColor="text1"/>
          <w:kern w:val="0"/>
          <w:szCs w:val="21"/>
        </w:rPr>
      </w:pPr>
    </w:p>
    <w:p>
      <w:pPr>
        <w:jc w:val="center"/>
        <w:rPr>
          <w:rFonts w:asciiTheme="minorEastAsia" w:hAnsiTheme="minorEastAsia" w:eastAsiaTheme="minorEastAsia" w:cstheme="minorEastAsia"/>
          <w:color w:val="000000" w:themeColor="text1"/>
          <w:kern w:val="0"/>
          <w:szCs w:val="21"/>
        </w:rPr>
      </w:pPr>
    </w:p>
    <w:p>
      <w:pPr>
        <w:jc w:val="center"/>
        <w:rPr>
          <w:rFonts w:asciiTheme="minorEastAsia" w:hAnsiTheme="minorEastAsia" w:eastAsiaTheme="minorEastAsia" w:cstheme="minorEastAsia"/>
          <w:color w:val="000000" w:themeColor="text1"/>
          <w:kern w:val="0"/>
          <w:szCs w:val="21"/>
        </w:rPr>
      </w:pPr>
    </w:p>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pStyle w:val="4"/>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bookmarkStart w:id="428" w:name="_Toc398107927"/>
      <w:r>
        <w:rPr>
          <w:rFonts w:hint="eastAsia" w:asciiTheme="minorEastAsia" w:hAnsiTheme="minorEastAsia" w:eastAsiaTheme="minorEastAsia" w:cstheme="minorEastAsia"/>
          <w:color w:val="000000" w:themeColor="text1"/>
        </w:rPr>
        <w:t>1. 投标文件封面、目录</w:t>
      </w:r>
      <w:bookmarkEnd w:id="428"/>
    </w:p>
    <w:p>
      <w:pPr>
        <w:snapToGrid w:val="0"/>
        <w:spacing w:beforeLines="50" w:after="50" w:line="480" w:lineRule="exact"/>
        <w:outlineLvl w:val="1"/>
        <w:rPr>
          <w:rFonts w:asciiTheme="minorEastAsia" w:hAnsiTheme="minorEastAsia" w:eastAsiaTheme="minorEastAsia" w:cstheme="minorEastAsia"/>
          <w:b/>
          <w:bCs/>
          <w:color w:val="000000" w:themeColor="text1"/>
          <w:szCs w:val="21"/>
        </w:rPr>
      </w:pPr>
      <w:bookmarkStart w:id="429" w:name="_Toc398107929"/>
      <w:r>
        <w:rPr>
          <w:rFonts w:hint="eastAsia" w:asciiTheme="minorEastAsia" w:hAnsiTheme="minorEastAsia" w:eastAsiaTheme="minorEastAsia" w:cstheme="minorEastAsia"/>
          <w:b/>
          <w:bCs/>
          <w:color w:val="000000" w:themeColor="text1"/>
          <w:szCs w:val="21"/>
        </w:rPr>
        <w:t>1.1投标文件外层包装封面格式</w:t>
      </w:r>
    </w:p>
    <w:p>
      <w:pPr>
        <w:snapToGrid w:val="0"/>
        <w:spacing w:beforeLines="50" w:after="50" w:line="480" w:lineRule="exact"/>
        <w:jc w:val="center"/>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投标文件</w:t>
      </w:r>
    </w:p>
    <w:p>
      <w:pPr>
        <w:snapToGrid w:val="0"/>
        <w:spacing w:beforeLines="50" w:after="50" w:line="440" w:lineRule="exact"/>
        <w:ind w:firstLine="420" w:firstLineChars="200"/>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项目名称：</w:t>
      </w:r>
    </w:p>
    <w:p>
      <w:pPr>
        <w:snapToGrid w:val="0"/>
        <w:spacing w:beforeLines="50" w:after="50" w:line="440" w:lineRule="exact"/>
        <w:ind w:firstLine="420" w:firstLineChars="200"/>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标书内容：资信文件、商务文件</w:t>
      </w:r>
    </w:p>
    <w:p>
      <w:pPr>
        <w:snapToGrid w:val="0"/>
        <w:spacing w:beforeLines="50" w:after="50" w:line="440" w:lineRule="exact"/>
        <w:ind w:firstLine="420" w:firstLineChars="200"/>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项目编号：</w:t>
      </w:r>
    </w:p>
    <w:p>
      <w:pPr>
        <w:pStyle w:val="13"/>
        <w:snapToGrid w:val="0"/>
        <w:spacing w:before="50" w:after="50" w:line="440" w:lineRule="exact"/>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投标人名称：</w:t>
      </w:r>
    </w:p>
    <w:p>
      <w:pPr>
        <w:pStyle w:val="13"/>
        <w:snapToGrid w:val="0"/>
        <w:spacing w:before="50" w:after="50" w:line="440" w:lineRule="exact"/>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color w:val="000000" w:themeColor="text1"/>
          <w:szCs w:val="21"/>
        </w:rPr>
        <w:t>在2021年   月   日  时  分之前不得启封</w:t>
      </w:r>
    </w:p>
    <w:p>
      <w:pPr>
        <w:snapToGrid w:val="0"/>
        <w:spacing w:beforeLines="50" w:after="50" w:line="480" w:lineRule="exact"/>
        <w:ind w:firstLine="645"/>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年  月  日</w:t>
      </w:r>
    </w:p>
    <w:p>
      <w:pPr>
        <w:pStyle w:val="22"/>
        <w:tabs>
          <w:tab w:val="left" w:pos="2472"/>
        </w:tabs>
        <w:snapToGrid w:val="0"/>
        <w:spacing w:line="480" w:lineRule="exact"/>
        <w:rPr>
          <w:rFonts w:asciiTheme="minorEastAsia" w:hAnsiTheme="minorEastAsia" w:eastAsiaTheme="minorEastAsia" w:cstheme="minorEastAsia"/>
          <w:b/>
          <w:color w:val="000000" w:themeColor="text1"/>
          <w:sz w:val="21"/>
          <w:szCs w:val="21"/>
        </w:rPr>
      </w:pPr>
    </w:p>
    <w:p>
      <w:pPr>
        <w:pStyle w:val="22"/>
        <w:tabs>
          <w:tab w:val="left" w:pos="2472"/>
        </w:tabs>
        <w:snapToGrid w:val="0"/>
        <w:spacing w:line="480" w:lineRule="exact"/>
        <w:rPr>
          <w:rFonts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1.2、投标文件封面格式</w:t>
      </w:r>
    </w:p>
    <w:p>
      <w:pPr>
        <w:pStyle w:val="22"/>
        <w:tabs>
          <w:tab w:val="left" w:pos="2472"/>
        </w:tabs>
        <w:snapToGrid w:val="0"/>
        <w:spacing w:line="48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本（填正或副）</w:t>
      </w:r>
    </w:p>
    <w:p>
      <w:pPr>
        <w:pStyle w:val="22"/>
        <w:tabs>
          <w:tab w:val="left" w:pos="2472"/>
        </w:tabs>
        <w:snapToGrid w:val="0"/>
        <w:spacing w:line="480" w:lineRule="exact"/>
        <w:rPr>
          <w:rFonts w:asciiTheme="minorEastAsia" w:hAnsiTheme="minorEastAsia" w:eastAsiaTheme="minorEastAsia" w:cstheme="minorEastAsia"/>
          <w:color w:val="000000" w:themeColor="text1"/>
          <w:sz w:val="21"/>
          <w:szCs w:val="21"/>
        </w:rPr>
      </w:pPr>
    </w:p>
    <w:p>
      <w:pPr>
        <w:snapToGrid w:val="0"/>
        <w:spacing w:beforeLines="50" w:after="50" w:line="480" w:lineRule="exact"/>
        <w:rPr>
          <w:rFonts w:asciiTheme="minorEastAsia" w:hAnsiTheme="minorEastAsia" w:eastAsiaTheme="minorEastAsia" w:cstheme="minorEastAsia"/>
          <w:bCs/>
          <w:color w:val="000000" w:themeColor="text1"/>
          <w:szCs w:val="21"/>
        </w:rPr>
      </w:pPr>
    </w:p>
    <w:p>
      <w:pPr>
        <w:snapToGrid w:val="0"/>
        <w:spacing w:beforeLines="50" w:after="50" w:line="400" w:lineRule="exact"/>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项目名称：</w:t>
      </w:r>
    </w:p>
    <w:p>
      <w:pPr>
        <w:snapToGrid w:val="0"/>
        <w:spacing w:beforeLines="50" w:after="50" w:line="400" w:lineRule="exact"/>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标书内容：资信文件、商务文件</w:t>
      </w:r>
    </w:p>
    <w:p>
      <w:pPr>
        <w:snapToGrid w:val="0"/>
        <w:spacing w:beforeLines="50" w:after="50" w:line="400" w:lineRule="exact"/>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项目编号：</w:t>
      </w:r>
    </w:p>
    <w:p>
      <w:pPr>
        <w:snapToGrid w:val="0"/>
        <w:spacing w:beforeLines="50" w:after="5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投标人名称：（盖法人章）</w:t>
      </w:r>
    </w:p>
    <w:p>
      <w:pPr>
        <w:snapToGrid w:val="0"/>
        <w:spacing w:beforeLines="50" w:after="5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法定代理人或委托代理人：（签字或盖章）</w:t>
      </w:r>
    </w:p>
    <w:p>
      <w:pPr>
        <w:snapToGrid w:val="0"/>
        <w:spacing w:beforeLines="50" w:after="5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日期： 年 月 日</w:t>
      </w:r>
    </w:p>
    <w:p>
      <w:pPr>
        <w:snapToGrid w:val="0"/>
        <w:spacing w:beforeLines="50" w:after="50" w:line="400" w:lineRule="exact"/>
        <w:rPr>
          <w:rFonts w:asciiTheme="minorEastAsia" w:hAnsiTheme="minorEastAsia" w:eastAsiaTheme="minorEastAsia" w:cstheme="minorEastAsia"/>
          <w:color w:val="000000" w:themeColor="text1"/>
          <w:szCs w:val="21"/>
        </w:rPr>
      </w:pPr>
    </w:p>
    <w:p>
      <w:pPr>
        <w:snapToGrid w:val="0"/>
        <w:spacing w:beforeLines="50" w:after="50" w:line="480" w:lineRule="exac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1.3目录</w:t>
      </w:r>
    </w:p>
    <w:p>
      <w:pPr>
        <w:snapToGrid w:val="0"/>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（1）参照投标文件的组成及评分标准，特别须参考评分标准顺序，目录清晰可评，若凌乱造成的评标影响，后果自负。</w:t>
      </w:r>
    </w:p>
    <w:p>
      <w:pPr>
        <w:snapToGrid w:val="0"/>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注：本招标文件内的格式仅供参考，可自制，但不得缺项。</w:t>
      </w:r>
    </w:p>
    <w:p>
      <w:pPr>
        <w:pStyle w:val="22"/>
        <w:tabs>
          <w:tab w:val="left" w:pos="2472"/>
        </w:tabs>
        <w:snapToGrid w:val="0"/>
        <w:spacing w:line="480" w:lineRule="exact"/>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24"/>
        </w:rPr>
        <w:br w:type="page"/>
      </w:r>
      <w:bookmarkEnd w:id="429"/>
      <w:bookmarkStart w:id="430" w:name="_Toc398107930"/>
      <w:r>
        <w:rPr>
          <w:rFonts w:hint="eastAsia" w:asciiTheme="minorEastAsia" w:hAnsiTheme="minorEastAsia" w:eastAsiaTheme="minorEastAsia" w:cstheme="minorEastAsia"/>
          <w:color w:val="000000" w:themeColor="text1"/>
          <w:sz w:val="32"/>
          <w:szCs w:val="32"/>
        </w:rPr>
        <w:t>2. 投标函</w:t>
      </w:r>
      <w:bookmarkEnd w:id="430"/>
    </w:p>
    <w:p>
      <w:pPr>
        <w:jc w:val="center"/>
        <w:rPr>
          <w:rFonts w:ascii="宋体" w:hAnsi="宋体"/>
          <w:b/>
          <w:kern w:val="0"/>
          <w:sz w:val="32"/>
        </w:rPr>
      </w:pPr>
      <w:bookmarkStart w:id="431" w:name="_Toc398107931"/>
      <w:r>
        <w:rPr>
          <w:rFonts w:hint="eastAsia" w:ascii="宋体" w:hAnsi="宋体"/>
          <w:b/>
          <w:kern w:val="0"/>
          <w:sz w:val="32"/>
        </w:rPr>
        <w:t>投标函</w:t>
      </w:r>
    </w:p>
    <w:p>
      <w:pPr>
        <w:spacing w:line="440" w:lineRule="exact"/>
        <w:rPr>
          <w:rFonts w:ascii="宋体" w:hAnsi="宋体"/>
          <w:szCs w:val="21"/>
          <w:u w:val="single"/>
        </w:rPr>
      </w:pPr>
    </w:p>
    <w:p>
      <w:pPr>
        <w:spacing w:line="440" w:lineRule="exact"/>
        <w:rPr>
          <w:rFonts w:ascii="宋体" w:hAnsi="宋体"/>
          <w:szCs w:val="21"/>
          <w:u w:val="single"/>
        </w:rPr>
      </w:pPr>
    </w:p>
    <w:p>
      <w:pPr>
        <w:spacing w:line="440" w:lineRule="exact"/>
        <w:rPr>
          <w:rFonts w:ascii="宋体" w:hAnsi="宋体"/>
          <w:szCs w:val="21"/>
        </w:rPr>
      </w:pPr>
      <w:r>
        <w:rPr>
          <w:rFonts w:hint="eastAsia" w:ascii="宋体" w:hAnsi="宋体"/>
          <w:szCs w:val="21"/>
        </w:rPr>
        <w:t>（招标人名称）：</w:t>
      </w:r>
    </w:p>
    <w:p>
      <w:pPr>
        <w:adjustRightInd w:val="0"/>
        <w:snapToGrid w:val="0"/>
        <w:spacing w:line="480" w:lineRule="exact"/>
        <w:ind w:firstLine="420" w:firstLineChars="200"/>
        <w:rPr>
          <w:rFonts w:ascii="宋体" w:hAnsi="宋体"/>
          <w:szCs w:val="21"/>
          <w:u w:val="single"/>
        </w:rPr>
      </w:pPr>
      <w:r>
        <w:rPr>
          <w:rFonts w:ascii="宋体" w:hAnsi="宋体"/>
          <w:szCs w:val="21"/>
        </w:rPr>
        <w:t>1</w:t>
      </w:r>
      <w:r>
        <w:rPr>
          <w:rFonts w:hint="eastAsia" w:ascii="宋体" w:hAnsi="宋体"/>
          <w:szCs w:val="21"/>
        </w:rPr>
        <w:t>、</w:t>
      </w:r>
      <w:r>
        <w:rPr>
          <w:rFonts w:hint="eastAsia" w:ascii="宋体" w:hAnsi="宋体"/>
          <w:kern w:val="0"/>
          <w:szCs w:val="21"/>
        </w:rPr>
        <w:t>根据已收到的招标文件，我单位经考察和研究招标文件后，我单位经考察和研究招标文件后，</w:t>
      </w:r>
      <w:r>
        <w:rPr>
          <w:rFonts w:hint="eastAsia" w:ascii="宋体" w:hAnsi="宋体" w:cs="宋体"/>
          <w:szCs w:val="21"/>
          <w:u w:val="single"/>
        </w:rPr>
        <w:t>施工阶段全过程造价咨询费愿</w:t>
      </w:r>
      <w:r>
        <w:rPr>
          <w:rFonts w:hint="eastAsia" w:ascii="宋体" w:hAnsi="宋体"/>
          <w:szCs w:val="21"/>
          <w:u w:val="single"/>
        </w:rPr>
        <w:t>按苏价服【</w:t>
      </w:r>
      <w:r>
        <w:rPr>
          <w:rFonts w:ascii="宋体" w:hAnsi="宋体"/>
          <w:szCs w:val="21"/>
          <w:u w:val="single"/>
        </w:rPr>
        <w:t>2014】383号文件标准</w:t>
      </w:r>
      <w:r>
        <w:rPr>
          <w:rFonts w:hint="eastAsia" w:ascii="宋体" w:hAnsi="宋体"/>
          <w:szCs w:val="21"/>
          <w:u w:val="single"/>
        </w:rPr>
        <w:t>（仅计取基本费和驻场收费）</w:t>
      </w:r>
      <w:r>
        <w:rPr>
          <w:rFonts w:ascii="宋体" w:hAnsi="宋体"/>
          <w:szCs w:val="21"/>
          <w:u w:val="single"/>
        </w:rPr>
        <w:t>的</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计取</w:t>
      </w:r>
      <w:r>
        <w:rPr>
          <w:rFonts w:hint="eastAsia" w:cs="宋体"/>
          <w:kern w:val="0"/>
          <w:szCs w:val="21"/>
          <w:u w:val="single"/>
        </w:rPr>
        <w:t>服务酬</w:t>
      </w:r>
      <w:r>
        <w:rPr>
          <w:rFonts w:hint="eastAsia" w:ascii="宋体" w:hAnsi="宋体" w:cs="宋体"/>
          <w:szCs w:val="21"/>
          <w:u w:val="single"/>
        </w:rPr>
        <w:t>金（施工阶段全过程造价咨询费计算基数按最终审定价计算）</w:t>
      </w:r>
      <w:r>
        <w:rPr>
          <w:rFonts w:hint="eastAsia" w:ascii="宋体" w:hAnsi="宋体"/>
          <w:szCs w:val="21"/>
          <w:u w:val="single"/>
        </w:rPr>
        <w:t>；</w:t>
      </w:r>
      <w:r>
        <w:rPr>
          <w:rFonts w:hint="eastAsia" w:cs="宋体"/>
          <w:kern w:val="0"/>
          <w:szCs w:val="21"/>
          <w:u w:val="single"/>
        </w:rPr>
        <w:t>竣工结算阶段工程结算审核咨询费仅计取效益收费，愿按核减额的    %计取服务酬金</w:t>
      </w:r>
      <w:r>
        <w:rPr>
          <w:rFonts w:hint="eastAsia" w:cs="宋体"/>
          <w:kern w:val="0"/>
          <w:szCs w:val="21"/>
        </w:rPr>
        <w:t>。</w:t>
      </w:r>
      <w:r>
        <w:rPr>
          <w:rFonts w:hint="eastAsia" w:ascii="宋体" w:hAnsi="宋体"/>
          <w:kern w:val="0"/>
          <w:szCs w:val="21"/>
        </w:rPr>
        <w:t>并按招标文件的要求承包本次招标范围内的全部工作内容。</w:t>
      </w:r>
    </w:p>
    <w:p>
      <w:pPr>
        <w:spacing w:line="440" w:lineRule="exact"/>
        <w:ind w:firstLine="420" w:firstLineChars="200"/>
        <w:rPr>
          <w:rFonts w:ascii="宋体" w:hAnsi="宋体"/>
          <w:szCs w:val="21"/>
        </w:rPr>
      </w:pPr>
      <w:r>
        <w:rPr>
          <w:rFonts w:ascii="宋体" w:hAnsi="宋体"/>
          <w:kern w:val="0"/>
          <w:szCs w:val="21"/>
        </w:rPr>
        <w:t>2</w:t>
      </w:r>
      <w:r>
        <w:rPr>
          <w:rFonts w:hint="eastAsia" w:ascii="宋体" w:hAnsi="宋体"/>
          <w:kern w:val="0"/>
          <w:szCs w:val="21"/>
        </w:rPr>
        <w:t>、</w:t>
      </w:r>
      <w:r>
        <w:rPr>
          <w:rFonts w:hint="eastAsia" w:ascii="宋体" w:hAnsi="宋体"/>
          <w:szCs w:val="21"/>
        </w:rPr>
        <w:t>拟投入本项目的项目负责人为：</w:t>
      </w:r>
      <w:r>
        <w:rPr>
          <w:rFonts w:hint="eastAsia" w:ascii="宋体" w:hAnsi="宋体"/>
          <w:szCs w:val="21"/>
          <w:u w:val="single"/>
        </w:rPr>
        <w:t xml:space="preserve">           </w:t>
      </w:r>
      <w:r>
        <w:rPr>
          <w:rFonts w:hint="eastAsia" w:ascii="宋体" w:hAnsi="宋体"/>
          <w:szCs w:val="21"/>
        </w:rPr>
        <w:t>，造价工程师执业资格证号：</w:t>
      </w:r>
      <w:r>
        <w:rPr>
          <w:rFonts w:hint="eastAsia" w:ascii="宋体" w:hAnsi="宋体"/>
          <w:szCs w:val="21"/>
          <w:u w:val="single"/>
        </w:rPr>
        <w:t xml:space="preserve">           </w:t>
      </w:r>
      <w:r>
        <w:rPr>
          <w:rFonts w:hint="eastAsia" w:ascii="宋体" w:hAnsi="宋体"/>
          <w:szCs w:val="21"/>
        </w:rPr>
        <w:t>。</w:t>
      </w:r>
    </w:p>
    <w:p>
      <w:pPr>
        <w:spacing w:line="440" w:lineRule="exact"/>
        <w:ind w:firstLine="420" w:firstLineChars="200"/>
        <w:rPr>
          <w:rFonts w:ascii="宋体" w:hAnsi="宋体"/>
          <w:szCs w:val="21"/>
        </w:rPr>
      </w:pPr>
      <w:r>
        <w:rPr>
          <w:rFonts w:hint="eastAsia" w:cs="Arial"/>
          <w:szCs w:val="21"/>
        </w:rPr>
        <w:t>3、我单位承诺：</w:t>
      </w:r>
      <w:r>
        <w:rPr>
          <w:rFonts w:hint="eastAsia" w:cs="Arial"/>
          <w:szCs w:val="21"/>
          <w:u w:val="single"/>
        </w:rPr>
        <w:t>结算审核总价保证符合国家及地方现行有关规定，我方出具的咨询报告成果与招标人委托的二审最终审定价相比，偏差率绝对值在0.8%（不含0.8%）以内视为合格。</w:t>
      </w:r>
    </w:p>
    <w:p>
      <w:pPr>
        <w:spacing w:line="440" w:lineRule="exact"/>
        <w:ind w:firstLine="420" w:firstLineChars="200"/>
        <w:rPr>
          <w:rFonts w:ascii="宋体" w:hAnsi="宋体"/>
          <w:szCs w:val="21"/>
        </w:rPr>
      </w:pPr>
      <w:r>
        <w:rPr>
          <w:rFonts w:ascii="宋体" w:hAnsi="宋体"/>
          <w:kern w:val="0"/>
          <w:szCs w:val="21"/>
        </w:rPr>
        <w:t>3</w:t>
      </w:r>
      <w:r>
        <w:rPr>
          <w:rFonts w:hint="eastAsia" w:ascii="宋体" w:hAnsi="宋体"/>
          <w:kern w:val="0"/>
          <w:szCs w:val="21"/>
        </w:rPr>
        <w:t>、我单位承诺：在投标有效期内不修改、撤销投标文件。</w:t>
      </w:r>
    </w:p>
    <w:p>
      <w:pPr>
        <w:pStyle w:val="22"/>
        <w:spacing w:line="460" w:lineRule="exact"/>
        <w:ind w:firstLine="420" w:firstLineChars="200"/>
        <w:rPr>
          <w:rFonts w:hAnsi="宋体"/>
          <w:sz w:val="21"/>
          <w:szCs w:val="21"/>
        </w:rPr>
      </w:pPr>
      <w:r>
        <w:rPr>
          <w:rFonts w:hAnsi="宋体"/>
          <w:sz w:val="21"/>
          <w:szCs w:val="21"/>
        </w:rPr>
        <w:t>4</w:t>
      </w:r>
      <w:r>
        <w:rPr>
          <w:rFonts w:hint="eastAsia" w:hAnsi="宋体"/>
          <w:sz w:val="21"/>
          <w:szCs w:val="21"/>
        </w:rPr>
        <w:t>、我单位承诺：本公司具有独立订立合同的能力；未处于被责令停业、投标资格被取消或者财产被接管、冻结和破产状态；企业没有因骗取中标或者严重违约以及发生重大工程质量、安全生产事故等违法违规问题，被国家、省级有关部门及盐城市级（含区、县、市）有关部门暂停投标资格并在暂停期内。</w:t>
      </w:r>
    </w:p>
    <w:p>
      <w:pPr>
        <w:pStyle w:val="22"/>
        <w:spacing w:line="460" w:lineRule="exact"/>
        <w:ind w:firstLine="420" w:firstLineChars="200"/>
        <w:rPr>
          <w:rFonts w:hAnsi="宋体"/>
          <w:sz w:val="21"/>
          <w:szCs w:val="21"/>
        </w:rPr>
      </w:pPr>
      <w:r>
        <w:rPr>
          <w:rFonts w:hAnsi="宋体"/>
          <w:sz w:val="21"/>
          <w:szCs w:val="21"/>
        </w:rPr>
        <w:t>5</w:t>
      </w:r>
      <w:r>
        <w:rPr>
          <w:rFonts w:hint="eastAsia" w:hAnsi="宋体"/>
          <w:sz w:val="21"/>
          <w:szCs w:val="21"/>
        </w:rPr>
        <w:t>、我单位承诺：本次投标文件中提供的所有资格审查材料均真实有效。</w:t>
      </w:r>
    </w:p>
    <w:p>
      <w:pPr>
        <w:pStyle w:val="22"/>
        <w:spacing w:line="460" w:lineRule="exact"/>
        <w:ind w:firstLine="420" w:firstLineChars="200"/>
        <w:rPr>
          <w:rFonts w:hAnsi="宋体"/>
          <w:sz w:val="21"/>
          <w:szCs w:val="21"/>
        </w:rPr>
      </w:pPr>
      <w:r>
        <w:rPr>
          <w:rFonts w:hAnsi="宋体"/>
          <w:sz w:val="21"/>
          <w:szCs w:val="21"/>
        </w:rPr>
        <w:t>6</w:t>
      </w:r>
      <w:r>
        <w:rPr>
          <w:rFonts w:hint="eastAsia" w:hAnsi="宋体"/>
          <w:sz w:val="21"/>
          <w:szCs w:val="21"/>
        </w:rPr>
        <w:t>、我单位同意本投标函在招标文件规定的提交投标文件截止时间后，在招标文件规定的投标有效期期满前对我方具有约束力，且随时准备接受你方发出的中标通知书。</w:t>
      </w:r>
    </w:p>
    <w:p>
      <w:pPr>
        <w:pStyle w:val="22"/>
        <w:spacing w:line="460" w:lineRule="exact"/>
        <w:ind w:firstLine="420" w:firstLineChars="200"/>
        <w:rPr>
          <w:rFonts w:hAnsi="宋体"/>
          <w:sz w:val="21"/>
          <w:szCs w:val="21"/>
        </w:rPr>
      </w:pPr>
      <w:r>
        <w:rPr>
          <w:rFonts w:hAnsi="宋体"/>
          <w:sz w:val="21"/>
          <w:szCs w:val="21"/>
        </w:rPr>
        <w:t>7</w:t>
      </w:r>
      <w:r>
        <w:rPr>
          <w:rFonts w:hint="eastAsia" w:hAnsi="宋体"/>
          <w:sz w:val="21"/>
          <w:szCs w:val="21"/>
        </w:rPr>
        <w:t>、在签署合同协议书之前，你单位的中标通知书连同本投标函，对双方具有约束力。</w:t>
      </w:r>
    </w:p>
    <w:p>
      <w:pPr>
        <w:autoSpaceDE w:val="0"/>
        <w:autoSpaceDN w:val="0"/>
        <w:adjustRightInd w:val="0"/>
        <w:spacing w:line="360" w:lineRule="auto"/>
        <w:ind w:firstLine="420" w:firstLineChars="200"/>
        <w:jc w:val="left"/>
        <w:rPr>
          <w:rFonts w:ascii="宋体" w:hAnsi="宋体"/>
          <w:kern w:val="0"/>
          <w:szCs w:val="21"/>
        </w:rPr>
      </w:pPr>
    </w:p>
    <w:p>
      <w:pPr>
        <w:autoSpaceDE w:val="0"/>
        <w:autoSpaceDN w:val="0"/>
        <w:adjustRightInd w:val="0"/>
        <w:spacing w:line="360" w:lineRule="auto"/>
        <w:ind w:firstLine="420" w:firstLineChars="200"/>
        <w:jc w:val="left"/>
        <w:rPr>
          <w:rFonts w:ascii="宋体" w:hAnsi="宋体"/>
          <w:kern w:val="0"/>
          <w:szCs w:val="21"/>
        </w:rPr>
      </w:pPr>
    </w:p>
    <w:p>
      <w:pPr>
        <w:autoSpaceDE w:val="0"/>
        <w:autoSpaceDN w:val="0"/>
        <w:adjustRightInd w:val="0"/>
        <w:spacing w:line="360" w:lineRule="auto"/>
        <w:ind w:firstLine="420" w:firstLineChars="200"/>
        <w:jc w:val="left"/>
        <w:rPr>
          <w:rFonts w:ascii="宋体" w:hAnsi="宋体"/>
          <w:kern w:val="0"/>
          <w:szCs w:val="21"/>
        </w:rPr>
      </w:pPr>
    </w:p>
    <w:p>
      <w:pPr>
        <w:autoSpaceDE w:val="0"/>
        <w:autoSpaceDN w:val="0"/>
        <w:adjustRightInd w:val="0"/>
        <w:ind w:firstLine="2108" w:firstLineChars="1004"/>
        <w:rPr>
          <w:rFonts w:ascii="宋体" w:hAnsi="宋体"/>
          <w:kern w:val="0"/>
          <w:szCs w:val="21"/>
        </w:rPr>
      </w:pPr>
      <w:r>
        <w:rPr>
          <w:rFonts w:hint="eastAsia" w:ascii="宋体" w:hAnsi="宋体"/>
          <w:kern w:val="0"/>
          <w:szCs w:val="21"/>
        </w:rPr>
        <w:t>投标人（盖章）：</w:t>
      </w:r>
    </w:p>
    <w:p>
      <w:pPr>
        <w:autoSpaceDE w:val="0"/>
        <w:autoSpaceDN w:val="0"/>
        <w:adjustRightInd w:val="0"/>
        <w:ind w:firstLine="2108" w:firstLineChars="1004"/>
        <w:rPr>
          <w:rFonts w:ascii="宋体" w:hAnsi="宋体"/>
          <w:kern w:val="0"/>
          <w:szCs w:val="21"/>
        </w:rPr>
      </w:pPr>
    </w:p>
    <w:p>
      <w:pPr>
        <w:autoSpaceDE w:val="0"/>
        <w:autoSpaceDN w:val="0"/>
        <w:adjustRightInd w:val="0"/>
        <w:ind w:firstLine="2108" w:firstLineChars="1004"/>
        <w:rPr>
          <w:rFonts w:ascii="宋体" w:hAnsi="宋体"/>
          <w:kern w:val="0"/>
          <w:szCs w:val="21"/>
        </w:rPr>
      </w:pPr>
    </w:p>
    <w:p>
      <w:pPr>
        <w:autoSpaceDE w:val="0"/>
        <w:autoSpaceDN w:val="0"/>
        <w:adjustRightInd w:val="0"/>
        <w:ind w:firstLine="2108" w:firstLineChars="1004"/>
        <w:rPr>
          <w:rFonts w:ascii="宋体" w:hAnsi="宋体"/>
          <w:kern w:val="0"/>
          <w:szCs w:val="21"/>
        </w:rPr>
      </w:pPr>
      <w:r>
        <w:rPr>
          <w:rFonts w:hint="eastAsia" w:ascii="宋体" w:hAnsi="宋体"/>
          <w:kern w:val="0"/>
          <w:szCs w:val="21"/>
        </w:rPr>
        <w:t>法定代表人或其委托代理人（签字或印章）：</w:t>
      </w:r>
    </w:p>
    <w:p>
      <w:pPr>
        <w:autoSpaceDE w:val="0"/>
        <w:autoSpaceDN w:val="0"/>
        <w:adjustRightInd w:val="0"/>
        <w:ind w:firstLine="2108" w:firstLineChars="1004"/>
        <w:rPr>
          <w:rFonts w:ascii="宋体" w:hAnsi="宋体"/>
          <w:kern w:val="0"/>
          <w:szCs w:val="21"/>
        </w:rPr>
      </w:pPr>
    </w:p>
    <w:p>
      <w:pPr>
        <w:autoSpaceDE w:val="0"/>
        <w:autoSpaceDN w:val="0"/>
        <w:adjustRightInd w:val="0"/>
        <w:ind w:firstLine="2108" w:firstLineChars="1004"/>
        <w:rPr>
          <w:rFonts w:ascii="宋体" w:hAnsi="宋体"/>
          <w:kern w:val="0"/>
          <w:szCs w:val="21"/>
        </w:rPr>
      </w:pPr>
    </w:p>
    <w:p>
      <w:pPr>
        <w:autoSpaceDE w:val="0"/>
        <w:autoSpaceDN w:val="0"/>
        <w:adjustRightInd w:val="0"/>
        <w:ind w:firstLine="2108" w:firstLineChars="1004"/>
        <w:rPr>
          <w:rFonts w:ascii="宋体" w:hAnsi="宋体"/>
          <w:kern w:val="0"/>
          <w:szCs w:val="21"/>
        </w:rPr>
      </w:pPr>
      <w:r>
        <w:rPr>
          <w:rFonts w:hint="eastAsia" w:ascii="宋体" w:hAnsi="宋体"/>
          <w:kern w:val="0"/>
          <w:szCs w:val="21"/>
        </w:rPr>
        <w:t>日期：年月日</w:t>
      </w:r>
    </w:p>
    <w:p>
      <w:pPr>
        <w:rPr>
          <w:rFonts w:asciiTheme="minorEastAsia" w:hAnsiTheme="minorEastAsia" w:eastAsiaTheme="minorEastAsia" w:cstheme="minorEastAsia"/>
          <w:bCs/>
          <w:color w:val="000000" w:themeColor="text1"/>
          <w:sz w:val="32"/>
          <w:szCs w:val="32"/>
        </w:rPr>
      </w:pPr>
      <w:r>
        <w:rPr>
          <w:rFonts w:hint="eastAsia" w:asciiTheme="minorEastAsia" w:hAnsiTheme="minorEastAsia" w:eastAsiaTheme="minorEastAsia" w:cstheme="minorEastAsia"/>
          <w:bCs/>
          <w:color w:val="000000" w:themeColor="text1"/>
          <w:sz w:val="32"/>
          <w:szCs w:val="32"/>
        </w:rPr>
        <w:t>3. 法定代表人身份证明</w:t>
      </w:r>
      <w:bookmarkEnd w:id="431"/>
    </w:p>
    <w:p>
      <w:pPr>
        <w:autoSpaceDE w:val="0"/>
        <w:autoSpaceDN w:val="0"/>
        <w:adjustRightInd w:val="0"/>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jc w:val="center"/>
        <w:rPr>
          <w:rFonts w:asciiTheme="minorEastAsia" w:hAnsiTheme="minorEastAsia" w:eastAsiaTheme="minorEastAsia" w:cstheme="minorEastAsia"/>
          <w:color w:val="000000" w:themeColor="text1"/>
          <w:kern w:val="0"/>
          <w:sz w:val="32"/>
          <w:szCs w:val="32"/>
        </w:rPr>
      </w:pPr>
      <w:r>
        <w:rPr>
          <w:rFonts w:hint="eastAsia" w:asciiTheme="minorEastAsia" w:hAnsiTheme="minorEastAsia" w:eastAsiaTheme="minorEastAsia" w:cstheme="minorEastAsia"/>
          <w:color w:val="000000" w:themeColor="text1"/>
          <w:kern w:val="0"/>
          <w:sz w:val="32"/>
          <w:szCs w:val="32"/>
        </w:rPr>
        <w:t>法定代表人身份证明</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u w:val="single"/>
        </w:rPr>
      </w:pPr>
      <w:r>
        <w:rPr>
          <w:rFonts w:hint="eastAsia" w:asciiTheme="minorEastAsia" w:hAnsiTheme="minorEastAsia" w:eastAsiaTheme="minorEastAsia" w:cstheme="minorEastAsia"/>
          <w:color w:val="000000" w:themeColor="text1"/>
          <w:kern w:val="0"/>
          <w:szCs w:val="21"/>
        </w:rPr>
        <w:t>投 标 人：</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单位性质：</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地    址：</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成立时间：    年   月   日</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经营期限：</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姓    名：     性  别：</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年    龄：     职  务：</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系</w:t>
      </w:r>
      <w:r>
        <w:rPr>
          <w:rFonts w:hint="eastAsia" w:asciiTheme="minorEastAsia" w:hAnsiTheme="minorEastAsia" w:eastAsiaTheme="minorEastAsia" w:cstheme="minorEastAsia"/>
          <w:color w:val="000000" w:themeColor="text1"/>
          <w:kern w:val="0"/>
          <w:szCs w:val="21"/>
          <w:u w:val="single"/>
        </w:rPr>
        <w:t>（投标人名称）</w:t>
      </w:r>
      <w:r>
        <w:rPr>
          <w:rFonts w:hint="eastAsia" w:asciiTheme="minorEastAsia" w:hAnsiTheme="minorEastAsia" w:eastAsiaTheme="minorEastAsia" w:cstheme="minorEastAsia"/>
          <w:color w:val="000000" w:themeColor="text1"/>
          <w:kern w:val="0"/>
          <w:szCs w:val="21"/>
        </w:rPr>
        <w:t>的法定代表人。</w:t>
      </w:r>
    </w:p>
    <w:p>
      <w:pPr>
        <w:autoSpaceDE w:val="0"/>
        <w:autoSpaceDN w:val="0"/>
        <w:adjustRightInd w:val="0"/>
        <w:spacing w:line="360" w:lineRule="auto"/>
        <w:ind w:firstLine="840" w:firstLineChars="4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特此证明。</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1995" w:firstLineChars="95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投标人：（盖单位章）</w:t>
      </w:r>
    </w:p>
    <w:p>
      <w:pPr>
        <w:autoSpaceDE w:val="0"/>
        <w:autoSpaceDN w:val="0"/>
        <w:adjustRightInd w:val="0"/>
        <w:spacing w:line="360" w:lineRule="auto"/>
        <w:ind w:firstLine="1995" w:firstLineChars="95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3150" w:firstLineChars="15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年  月  日</w:t>
      </w:r>
    </w:p>
    <w:p>
      <w:pPr>
        <w:pStyle w:val="4"/>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bookmarkStart w:id="432" w:name="_Toc398107932"/>
      <w:r>
        <w:rPr>
          <w:rFonts w:hint="eastAsia" w:asciiTheme="minorEastAsia" w:hAnsiTheme="minorEastAsia" w:eastAsiaTheme="minorEastAsia" w:cstheme="minorEastAsia"/>
          <w:color w:val="000000" w:themeColor="text1"/>
        </w:rPr>
        <w:t>4. 授权委托书</w:t>
      </w:r>
      <w:bookmarkEnd w:id="432"/>
    </w:p>
    <w:p>
      <w:pPr>
        <w:autoSpaceDE w:val="0"/>
        <w:autoSpaceDN w:val="0"/>
        <w:adjustRightInd w:val="0"/>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jc w:val="center"/>
        <w:rPr>
          <w:rFonts w:asciiTheme="minorEastAsia" w:hAnsiTheme="minorEastAsia" w:eastAsiaTheme="minorEastAsia" w:cstheme="minorEastAsia"/>
          <w:color w:val="000000" w:themeColor="text1"/>
          <w:kern w:val="0"/>
          <w:sz w:val="32"/>
          <w:szCs w:val="32"/>
        </w:rPr>
      </w:pPr>
      <w:r>
        <w:rPr>
          <w:rFonts w:hint="eastAsia" w:asciiTheme="minorEastAsia" w:hAnsiTheme="minorEastAsia" w:eastAsiaTheme="minorEastAsia" w:cstheme="minorEastAsia"/>
          <w:color w:val="000000" w:themeColor="text1"/>
          <w:kern w:val="0"/>
          <w:sz w:val="32"/>
          <w:szCs w:val="32"/>
        </w:rPr>
        <w:t>授权委托书</w:t>
      </w:r>
    </w:p>
    <w:p>
      <w:pPr>
        <w:autoSpaceDE w:val="0"/>
        <w:autoSpaceDN w:val="0"/>
        <w:adjustRightInd w:val="0"/>
        <w:spacing w:line="360" w:lineRule="auto"/>
        <w:jc w:val="center"/>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本人</w:t>
      </w:r>
      <w:r>
        <w:rPr>
          <w:rFonts w:hint="eastAsia" w:asciiTheme="minorEastAsia" w:hAnsiTheme="minorEastAsia" w:eastAsiaTheme="minorEastAsia" w:cstheme="minorEastAsia"/>
          <w:color w:val="000000" w:themeColor="text1"/>
          <w:kern w:val="0"/>
          <w:szCs w:val="21"/>
          <w:u w:val="single"/>
        </w:rPr>
        <w:t>（姓名）</w:t>
      </w:r>
      <w:r>
        <w:rPr>
          <w:rFonts w:hint="eastAsia" w:asciiTheme="minorEastAsia" w:hAnsiTheme="minorEastAsia" w:eastAsiaTheme="minorEastAsia" w:cstheme="minorEastAsia"/>
          <w:color w:val="000000" w:themeColor="text1"/>
          <w:kern w:val="0"/>
          <w:szCs w:val="21"/>
        </w:rPr>
        <w:t>系</w:t>
      </w:r>
      <w:r>
        <w:rPr>
          <w:rFonts w:hint="eastAsia" w:asciiTheme="minorEastAsia" w:hAnsiTheme="minorEastAsia" w:eastAsiaTheme="minorEastAsia" w:cstheme="minorEastAsia"/>
          <w:color w:val="000000" w:themeColor="text1"/>
          <w:kern w:val="0"/>
          <w:szCs w:val="21"/>
          <w:u w:val="single"/>
        </w:rPr>
        <w:t>（投标人名称）</w:t>
      </w:r>
      <w:r>
        <w:rPr>
          <w:rFonts w:hint="eastAsia" w:asciiTheme="minorEastAsia" w:hAnsiTheme="minorEastAsia" w:eastAsiaTheme="minorEastAsia" w:cstheme="minorEastAsia"/>
          <w:color w:val="000000" w:themeColor="text1"/>
          <w:kern w:val="0"/>
          <w:szCs w:val="21"/>
        </w:rPr>
        <w:t>的法定代表人，现委托</w:t>
      </w:r>
      <w:r>
        <w:rPr>
          <w:rFonts w:hint="eastAsia" w:asciiTheme="minorEastAsia" w:hAnsiTheme="minorEastAsia" w:eastAsiaTheme="minorEastAsia" w:cstheme="minorEastAsia"/>
          <w:color w:val="000000" w:themeColor="text1"/>
          <w:kern w:val="0"/>
          <w:szCs w:val="21"/>
          <w:u w:val="single"/>
        </w:rPr>
        <w:t>（姓名）</w:t>
      </w:r>
      <w:r>
        <w:rPr>
          <w:rFonts w:hint="eastAsia" w:asciiTheme="minorEastAsia" w:hAnsiTheme="minorEastAsia" w:eastAsiaTheme="minorEastAsia" w:cstheme="minorEastAsia"/>
          <w:color w:val="000000" w:themeColor="text1"/>
          <w:kern w:val="0"/>
          <w:szCs w:val="21"/>
        </w:rPr>
        <w:t>为我方代理人。代理人根据授权，以我方名义签署、澄清、说明、补正、递交、撤回、修改</w:t>
      </w:r>
      <w:r>
        <w:rPr>
          <w:rFonts w:hint="eastAsia" w:asciiTheme="minorEastAsia" w:hAnsiTheme="minorEastAsia" w:eastAsiaTheme="minorEastAsia" w:cstheme="minorEastAsia"/>
          <w:color w:val="000000" w:themeColor="text1"/>
          <w:kern w:val="0"/>
          <w:szCs w:val="21"/>
          <w:u w:val="single"/>
        </w:rPr>
        <w:t>（项目名称）</w:t>
      </w:r>
      <w:r>
        <w:rPr>
          <w:rFonts w:hint="eastAsia" w:asciiTheme="minorEastAsia" w:hAnsiTheme="minorEastAsia" w:eastAsiaTheme="minorEastAsia" w:cstheme="minorEastAsia"/>
          <w:color w:val="000000" w:themeColor="text1"/>
          <w:kern w:val="0"/>
          <w:szCs w:val="21"/>
        </w:rPr>
        <w:t>投标文件、签订合同和处理有关事宜，其法律后果由我方承担。</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委托期限：</w:t>
      </w:r>
      <w:r>
        <w:rPr>
          <w:rFonts w:hint="eastAsia" w:asciiTheme="minorEastAsia" w:hAnsiTheme="minorEastAsia" w:eastAsiaTheme="minorEastAsia" w:cstheme="minorEastAsia"/>
          <w:color w:val="000000" w:themeColor="text1"/>
          <w:kern w:val="0"/>
          <w:szCs w:val="21"/>
          <w:u w:val="single"/>
        </w:rPr>
        <w:t xml:space="preserve">          </w:t>
      </w:r>
      <w:r>
        <w:rPr>
          <w:rFonts w:hint="eastAsia" w:asciiTheme="minorEastAsia" w:hAnsiTheme="minorEastAsia" w:eastAsiaTheme="minorEastAsia" w:cstheme="minorEastAsia"/>
          <w:color w:val="000000" w:themeColor="text1"/>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代理人无转委托权。</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附：法定代表人身份证明</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投标人：（盖单位章）</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法定代表人：（签字）</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u w:val="single"/>
        </w:rPr>
      </w:pPr>
      <w:r>
        <w:rPr>
          <w:rFonts w:hint="eastAsia" w:asciiTheme="minorEastAsia" w:hAnsiTheme="minorEastAsia" w:eastAsiaTheme="minorEastAsia" w:cstheme="minorEastAsia"/>
          <w:color w:val="000000" w:themeColor="text1"/>
          <w:kern w:val="0"/>
          <w:szCs w:val="21"/>
        </w:rPr>
        <w:t>身份证号码：</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委托代理人：（签字）</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u w:val="single"/>
        </w:rPr>
      </w:pPr>
      <w:r>
        <w:rPr>
          <w:rFonts w:hint="eastAsia" w:asciiTheme="minorEastAsia" w:hAnsiTheme="minorEastAsia" w:eastAsiaTheme="minorEastAsia" w:cstheme="minorEastAsia"/>
          <w:color w:val="000000" w:themeColor="text1"/>
          <w:kern w:val="0"/>
          <w:szCs w:val="21"/>
        </w:rPr>
        <w:t>身份证号码：</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rPr>
      </w:pPr>
    </w:p>
    <w:p>
      <w:pPr>
        <w:autoSpaceDE w:val="0"/>
        <w:autoSpaceDN w:val="0"/>
        <w:adjustRightInd w:val="0"/>
        <w:spacing w:line="360" w:lineRule="auto"/>
        <w:ind w:firstLine="3255" w:firstLineChars="1550"/>
        <w:jc w:val="left"/>
        <w:rPr>
          <w:rFonts w:asciiTheme="minorEastAsia" w:hAnsiTheme="minorEastAsia" w:eastAsiaTheme="minorEastAsia" w:cstheme="minorEastAsia"/>
          <w:color w:val="000000" w:themeColor="text1"/>
          <w:kern w:val="0"/>
          <w:szCs w:val="21"/>
          <w:u w:val="single"/>
        </w:rPr>
      </w:pPr>
    </w:p>
    <w:p>
      <w:pPr>
        <w:autoSpaceDE w:val="0"/>
        <w:autoSpaceDN w:val="0"/>
        <w:adjustRightInd w:val="0"/>
        <w:spacing w:line="360" w:lineRule="auto"/>
        <w:ind w:firstLine="3255" w:firstLineChars="155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年  月  日</w:t>
      </w:r>
    </w:p>
    <w:p>
      <w:pPr>
        <w:pStyle w:val="4"/>
        <w:rPr>
          <w:rFonts w:asciiTheme="minorEastAsia" w:hAnsiTheme="minorEastAsia" w:eastAsiaTheme="minorEastAsia" w:cstheme="minorEastAsia"/>
          <w:color w:val="000000" w:themeColor="text1"/>
          <w:kern w:val="0"/>
          <w:szCs w:val="21"/>
        </w:rPr>
        <w:sectPr>
          <w:footerReference r:id="rId6" w:type="default"/>
          <w:pgSz w:w="11906" w:h="16838"/>
          <w:pgMar w:top="1418" w:right="1418" w:bottom="1418" w:left="1418" w:header="851" w:footer="992" w:gutter="0"/>
          <w:cols w:space="720" w:num="1"/>
          <w:docGrid w:type="lines" w:linePitch="312" w:charSpace="0"/>
        </w:sectPr>
      </w:pPr>
      <w:r>
        <w:rPr>
          <w:rFonts w:hint="eastAsia" w:asciiTheme="minorEastAsia" w:hAnsiTheme="minorEastAsia" w:eastAsiaTheme="minorEastAsia" w:cstheme="minorEastAsia"/>
          <w:color w:val="000000" w:themeColor="text1"/>
          <w:kern w:val="0"/>
          <w:szCs w:val="21"/>
        </w:rPr>
        <w:br w:type="page"/>
      </w:r>
    </w:p>
    <w:p>
      <w:pPr>
        <w:keepNext/>
        <w:keepLines/>
        <w:shd w:val="clear" w:color="auto" w:fill="FFFFFF"/>
        <w:snapToGrid w:val="0"/>
        <w:spacing w:before="120" w:after="120" w:line="416" w:lineRule="auto"/>
        <w:outlineLvl w:val="1"/>
        <w:rPr>
          <w:rFonts w:ascii="Arial" w:hAnsi="Arial" w:eastAsia="黑体"/>
          <w:bCs/>
          <w:color w:val="000000"/>
          <w:sz w:val="32"/>
          <w:szCs w:val="32"/>
        </w:rPr>
      </w:pPr>
      <w:r>
        <w:rPr>
          <w:rFonts w:hint="eastAsia" w:ascii="黑体" w:hAnsi="黑体" w:eastAsia="黑体"/>
          <w:bCs/>
          <w:color w:val="000000"/>
          <w:sz w:val="32"/>
          <w:szCs w:val="32"/>
        </w:rPr>
        <w:t>5、法定代表人申明</w:t>
      </w:r>
    </w:p>
    <w:p>
      <w:pPr>
        <w:jc w:val="center"/>
        <w:rPr>
          <w:b/>
          <w:color w:val="000000"/>
          <w:sz w:val="36"/>
          <w:szCs w:val="36"/>
        </w:rPr>
      </w:pPr>
      <w:r>
        <w:rPr>
          <w:rFonts w:hint="eastAsia"/>
          <w:b/>
          <w:color w:val="000000"/>
          <w:sz w:val="36"/>
          <w:szCs w:val="36"/>
        </w:rPr>
        <w:t>法定代表人申明</w:t>
      </w:r>
    </w:p>
    <w:p>
      <w:pPr>
        <w:shd w:val="clear" w:color="auto" w:fill="FFFFFF"/>
        <w:snapToGrid w:val="0"/>
        <w:spacing w:before="100" w:beforeAutospacing="1" w:after="100" w:afterAutospacing="1"/>
        <w:ind w:firstLine="562" w:firstLineChars="200"/>
        <w:rPr>
          <w:color w:val="000000"/>
        </w:rPr>
      </w:pPr>
      <w:r>
        <w:rPr>
          <w:rFonts w:hint="eastAsia" w:ascii="新宋体" w:hAnsi="新宋体" w:eastAsia="新宋体"/>
          <w:b/>
          <w:bCs/>
          <w:color w:val="000000"/>
          <w:sz w:val="28"/>
          <w:szCs w:val="28"/>
        </w:rPr>
        <w:t>本人(法定代表人)，身份证号码：郑重声明：</w:t>
      </w:r>
      <w:r>
        <w:rPr>
          <w:rFonts w:hint="eastAsia" w:ascii="新宋体" w:hAnsi="新宋体" w:eastAsia="新宋体"/>
          <w:color w:val="000000"/>
          <w:sz w:val="28"/>
          <w:szCs w:val="28"/>
        </w:rPr>
        <w:t>本企业此次投标文件及附件材料的全部数据、内容均是真实的，同样我在此所做的声明也是真实有效的。我知道虚假的声明与资料是严重的违法行为，此次投标文件提供的资料如有虚假，本企业愿接受建设行政主管部门及其他有关部门依法给予的处罚。</w:t>
      </w:r>
    </w:p>
    <w:p>
      <w:pPr>
        <w:shd w:val="clear" w:color="auto" w:fill="FFFFFF"/>
        <w:snapToGrid w:val="0"/>
        <w:spacing w:before="100" w:beforeAutospacing="1" w:after="100" w:afterAutospacing="1"/>
        <w:ind w:firstLine="549"/>
        <w:rPr>
          <w:color w:val="000000"/>
        </w:rPr>
      </w:pPr>
      <w:r>
        <w:rPr>
          <w:rFonts w:hint="eastAsia" w:ascii="新宋体" w:hAnsi="新宋体" w:eastAsia="新宋体"/>
          <w:color w:val="000000"/>
          <w:sz w:val="28"/>
          <w:szCs w:val="28"/>
        </w:rPr>
        <w:t xml:space="preserve">公 章：  </w:t>
      </w:r>
    </w:p>
    <w:p>
      <w:pPr>
        <w:shd w:val="clear" w:color="auto" w:fill="FFFFFF"/>
        <w:snapToGrid w:val="0"/>
        <w:spacing w:before="100" w:beforeAutospacing="1" w:after="100" w:afterAutospacing="1"/>
        <w:ind w:firstLine="549"/>
        <w:rPr>
          <w:color w:val="000000"/>
        </w:rPr>
      </w:pPr>
      <w:r>
        <w:rPr>
          <w:rFonts w:hint="eastAsia" w:ascii="新宋体" w:hAnsi="新宋体" w:eastAsia="新宋体"/>
          <w:color w:val="000000"/>
          <w:sz w:val="28"/>
          <w:szCs w:val="28"/>
        </w:rPr>
        <w:t>企业法定代表人签名：</w:t>
      </w:r>
    </w:p>
    <w:p>
      <w:pPr>
        <w:pStyle w:val="4"/>
        <w:ind w:firstLine="560" w:firstLineChars="200"/>
        <w:rPr>
          <w:rFonts w:asciiTheme="minorEastAsia" w:hAnsiTheme="minorEastAsia" w:eastAsiaTheme="minorEastAsia" w:cstheme="minorEastAsia"/>
          <w:color w:val="000000" w:themeColor="text1"/>
        </w:rPr>
        <w:sectPr>
          <w:pgSz w:w="11906" w:h="16838"/>
          <w:pgMar w:top="1418" w:right="1418" w:bottom="1418" w:left="1418" w:header="851" w:footer="992" w:gutter="0"/>
          <w:cols w:space="720" w:num="1"/>
          <w:docGrid w:type="lines" w:linePitch="312" w:charSpace="0"/>
        </w:sectPr>
      </w:pPr>
      <w:r>
        <w:rPr>
          <w:rFonts w:hint="eastAsia" w:ascii="新宋体" w:hAnsi="新宋体" w:eastAsia="新宋体"/>
          <w:color w:val="000000"/>
          <w:sz w:val="28"/>
          <w:szCs w:val="28"/>
        </w:rPr>
        <w:t>年   月  日</w:t>
      </w:r>
    </w:p>
    <w:p>
      <w:pPr>
        <w:pStyle w:val="4"/>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 项目负责人委任书</w:t>
      </w:r>
    </w:p>
    <w:p>
      <w:pPr>
        <w:spacing w:line="846" w:lineRule="atLeast"/>
        <w:ind w:firstLine="160" w:firstLineChars="50"/>
        <w:jc w:val="center"/>
        <w:rPr>
          <w:rFonts w:asciiTheme="minorEastAsia" w:hAnsiTheme="minorEastAsia" w:eastAsiaTheme="minorEastAsia" w:cstheme="minorEastAsia"/>
          <w:color w:val="000000" w:themeColor="text1"/>
          <w:kern w:val="0"/>
          <w:sz w:val="32"/>
          <w:szCs w:val="32"/>
        </w:rPr>
      </w:pPr>
      <w:r>
        <w:rPr>
          <w:rFonts w:hint="eastAsia" w:asciiTheme="minorEastAsia" w:hAnsiTheme="minorEastAsia" w:eastAsiaTheme="minorEastAsia" w:cstheme="minorEastAsia"/>
          <w:color w:val="000000" w:themeColor="text1"/>
          <w:kern w:val="0"/>
          <w:sz w:val="32"/>
          <w:szCs w:val="32"/>
        </w:rPr>
        <w:t>项目负责人委任书</w:t>
      </w:r>
    </w:p>
    <w:p>
      <w:pPr>
        <w:spacing w:line="457" w:lineRule="atLeast"/>
        <w:jc w:val="center"/>
        <w:rPr>
          <w:rFonts w:asciiTheme="minorEastAsia" w:hAnsiTheme="minorEastAsia" w:eastAsiaTheme="minorEastAsia" w:cstheme="minorEastAsia"/>
          <w:b/>
          <w:color w:val="000000" w:themeColor="text1"/>
          <w:sz w:val="24"/>
        </w:rPr>
      </w:pPr>
    </w:p>
    <w:p>
      <w:pPr>
        <w:spacing w:line="793" w:lineRule="atLeast"/>
        <w:rPr>
          <w:rFonts w:asciiTheme="minorEastAsia" w:hAnsiTheme="minorEastAsia" w:eastAsiaTheme="minorEastAsia" w:cstheme="minorEastAsia"/>
          <w:color w:val="000000" w:themeColor="text1"/>
          <w:spacing w:val="7"/>
          <w:szCs w:val="21"/>
          <w:u w:val="single"/>
        </w:rPr>
      </w:pPr>
      <w:r>
        <w:rPr>
          <w:rFonts w:hint="eastAsia" w:asciiTheme="minorEastAsia" w:hAnsiTheme="minorEastAsia" w:eastAsiaTheme="minorEastAsia" w:cstheme="minorEastAsia"/>
          <w:color w:val="000000" w:themeColor="text1"/>
          <w:spacing w:val="7"/>
          <w:szCs w:val="21"/>
        </w:rPr>
        <w:t>致：</w:t>
      </w:r>
      <w:r>
        <w:rPr>
          <w:rFonts w:hint="eastAsia" w:asciiTheme="minorEastAsia" w:hAnsiTheme="minorEastAsia" w:eastAsiaTheme="minorEastAsia" w:cstheme="minorEastAsia"/>
          <w:color w:val="000000" w:themeColor="text1"/>
          <w:spacing w:val="7"/>
          <w:szCs w:val="21"/>
          <w:u w:val="single"/>
        </w:rPr>
        <w:t>（招标人名称）</w:t>
      </w:r>
    </w:p>
    <w:p>
      <w:pPr>
        <w:spacing w:line="793" w:lineRule="atLeast"/>
        <w:ind w:firstLine="560"/>
        <w:rPr>
          <w:rFonts w:asciiTheme="minorEastAsia" w:hAnsiTheme="minorEastAsia" w:eastAsiaTheme="minorEastAsia" w:cstheme="minorEastAsia"/>
          <w:color w:val="000000" w:themeColor="text1"/>
          <w:spacing w:val="7"/>
          <w:szCs w:val="21"/>
        </w:rPr>
      </w:pPr>
      <w:r>
        <w:rPr>
          <w:rFonts w:hint="eastAsia" w:asciiTheme="minorEastAsia" w:hAnsiTheme="minorEastAsia" w:eastAsiaTheme="minorEastAsia" w:cstheme="minorEastAsia"/>
          <w:color w:val="000000" w:themeColor="text1"/>
          <w:spacing w:val="7"/>
          <w:szCs w:val="21"/>
          <w:u w:val="single"/>
        </w:rPr>
        <w:t>（投标人全称）</w:t>
      </w:r>
      <w:r>
        <w:rPr>
          <w:rFonts w:hint="eastAsia" w:asciiTheme="minorEastAsia" w:hAnsiTheme="minorEastAsia" w:eastAsiaTheme="minorEastAsia" w:cstheme="minorEastAsia"/>
          <w:color w:val="000000" w:themeColor="text1"/>
          <w:spacing w:val="7"/>
          <w:szCs w:val="21"/>
        </w:rPr>
        <w:t>法定代表人</w:t>
      </w:r>
      <w:r>
        <w:rPr>
          <w:rFonts w:hint="eastAsia" w:asciiTheme="minorEastAsia" w:hAnsiTheme="minorEastAsia" w:eastAsiaTheme="minorEastAsia" w:cstheme="minorEastAsia"/>
          <w:color w:val="000000" w:themeColor="text1"/>
          <w:spacing w:val="7"/>
          <w:szCs w:val="21"/>
          <w:u w:val="single"/>
        </w:rPr>
        <w:t>（职务、姓名）</w:t>
      </w:r>
      <w:r>
        <w:rPr>
          <w:rFonts w:hint="eastAsia" w:asciiTheme="minorEastAsia" w:hAnsiTheme="minorEastAsia" w:eastAsiaTheme="minorEastAsia" w:cstheme="minorEastAsia"/>
          <w:color w:val="000000" w:themeColor="text1"/>
          <w:spacing w:val="7"/>
          <w:szCs w:val="21"/>
        </w:rPr>
        <w:t>代表本单位委任</w:t>
      </w:r>
      <w:r>
        <w:rPr>
          <w:rFonts w:hint="eastAsia" w:asciiTheme="minorEastAsia" w:hAnsiTheme="minorEastAsia" w:eastAsiaTheme="minorEastAsia" w:cstheme="minorEastAsia"/>
          <w:color w:val="000000" w:themeColor="text1"/>
          <w:spacing w:val="7"/>
          <w:szCs w:val="21"/>
          <w:u w:val="single"/>
        </w:rPr>
        <w:t>（在本单位职务、姓名）</w:t>
      </w:r>
      <w:r>
        <w:rPr>
          <w:rFonts w:hint="eastAsia" w:asciiTheme="minorEastAsia" w:hAnsiTheme="minorEastAsia" w:eastAsiaTheme="minorEastAsia" w:cstheme="minorEastAsia"/>
          <w:color w:val="000000" w:themeColor="text1"/>
          <w:spacing w:val="7"/>
          <w:szCs w:val="21"/>
        </w:rPr>
        <w:t>为</w:t>
      </w:r>
      <w:r>
        <w:rPr>
          <w:rFonts w:hint="eastAsia" w:asciiTheme="minorEastAsia" w:hAnsiTheme="minorEastAsia" w:eastAsiaTheme="minorEastAsia" w:cstheme="minorEastAsia"/>
          <w:color w:val="000000" w:themeColor="text1"/>
          <w:spacing w:val="7"/>
          <w:szCs w:val="21"/>
          <w:u w:val="single"/>
        </w:rPr>
        <w:t>（合同工程名称）</w:t>
      </w:r>
      <w:r>
        <w:rPr>
          <w:rFonts w:hint="eastAsia" w:asciiTheme="minorEastAsia" w:hAnsiTheme="minorEastAsia" w:eastAsiaTheme="minorEastAsia" w:cstheme="minorEastAsia"/>
          <w:color w:val="000000" w:themeColor="text1"/>
          <w:spacing w:val="7"/>
          <w:szCs w:val="21"/>
        </w:rPr>
        <w:t>的项目负责人。凡本合同执行中的有关工程招标代理、造价咨询服务等方面工作，由</w:t>
      </w:r>
      <w:r>
        <w:rPr>
          <w:rFonts w:hint="eastAsia" w:asciiTheme="minorEastAsia" w:hAnsiTheme="minorEastAsia" w:eastAsiaTheme="minorEastAsia" w:cstheme="minorEastAsia"/>
          <w:color w:val="000000" w:themeColor="text1"/>
          <w:spacing w:val="7"/>
          <w:szCs w:val="21"/>
          <w:u w:val="single"/>
        </w:rPr>
        <w:t>（姓名）</w:t>
      </w:r>
      <w:r>
        <w:rPr>
          <w:rFonts w:hint="eastAsia" w:asciiTheme="minorEastAsia" w:hAnsiTheme="minorEastAsia" w:eastAsiaTheme="minorEastAsia" w:cstheme="minorEastAsia"/>
          <w:color w:val="000000" w:themeColor="text1"/>
          <w:spacing w:val="7"/>
          <w:szCs w:val="21"/>
        </w:rPr>
        <w:t>代表本单位全面负责。</w:t>
      </w:r>
    </w:p>
    <w:p>
      <w:pPr>
        <w:spacing w:line="645" w:lineRule="atLeast"/>
        <w:ind w:firstLine="560"/>
        <w:rPr>
          <w:rFonts w:asciiTheme="minorEastAsia" w:hAnsiTheme="minorEastAsia" w:eastAsiaTheme="minorEastAsia" w:cstheme="minorEastAsia"/>
          <w:color w:val="000000" w:themeColor="text1"/>
          <w:szCs w:val="21"/>
        </w:rPr>
      </w:pPr>
    </w:p>
    <w:p>
      <w:pPr>
        <w:spacing w:line="645" w:lineRule="atLeast"/>
        <w:ind w:firstLine="560"/>
        <w:rPr>
          <w:rFonts w:asciiTheme="minorEastAsia" w:hAnsiTheme="minorEastAsia" w:eastAsiaTheme="minorEastAsia" w:cstheme="minorEastAsia"/>
          <w:color w:val="000000" w:themeColor="text1"/>
          <w:sz w:val="24"/>
        </w:rPr>
      </w:pPr>
    </w:p>
    <w:p>
      <w:pPr>
        <w:spacing w:line="645" w:lineRule="atLeast"/>
        <w:ind w:firstLine="560"/>
        <w:rPr>
          <w:rFonts w:asciiTheme="minorEastAsia" w:hAnsiTheme="minorEastAsia" w:eastAsiaTheme="minorEastAsia" w:cstheme="minorEastAsia"/>
          <w:color w:val="000000" w:themeColor="text1"/>
          <w:sz w:val="24"/>
        </w:rPr>
      </w:pPr>
    </w:p>
    <w:p>
      <w:pPr>
        <w:spacing w:line="645" w:lineRule="atLeast"/>
        <w:ind w:firstLine="560"/>
        <w:rPr>
          <w:rFonts w:asciiTheme="minorEastAsia" w:hAnsiTheme="minorEastAsia" w:eastAsiaTheme="minorEastAsia" w:cstheme="minorEastAsia"/>
          <w:color w:val="000000" w:themeColor="text1"/>
          <w:sz w:val="24"/>
        </w:rPr>
      </w:pPr>
    </w:p>
    <w:p>
      <w:pPr>
        <w:spacing w:line="645" w:lineRule="atLeast"/>
        <w:ind w:firstLine="560"/>
        <w:rPr>
          <w:rFonts w:asciiTheme="minorEastAsia" w:hAnsiTheme="minorEastAsia" w:eastAsiaTheme="minorEastAsia" w:cstheme="minorEastAsia"/>
          <w:color w:val="000000" w:themeColor="text1"/>
          <w:sz w:val="24"/>
        </w:rPr>
      </w:pPr>
    </w:p>
    <w:p>
      <w:pPr>
        <w:spacing w:line="645" w:lineRule="atLeast"/>
        <w:ind w:firstLine="5447"/>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rPr>
        <w:t>投标人：</w:t>
      </w:r>
      <w:r>
        <w:rPr>
          <w:rFonts w:hint="eastAsia" w:asciiTheme="minorEastAsia" w:hAnsiTheme="minorEastAsia" w:eastAsiaTheme="minorEastAsia" w:cstheme="minorEastAsia"/>
          <w:color w:val="000000" w:themeColor="text1"/>
          <w:szCs w:val="21"/>
          <w:u w:val="single"/>
        </w:rPr>
        <w:t>（全称）（盖章）</w:t>
      </w:r>
    </w:p>
    <w:p>
      <w:pPr>
        <w:spacing w:line="645" w:lineRule="atLeast"/>
        <w:ind w:firstLine="5447"/>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rPr>
        <w:t>法定代表人：</w:t>
      </w:r>
      <w:r>
        <w:rPr>
          <w:rFonts w:hint="eastAsia" w:asciiTheme="minorEastAsia" w:hAnsiTheme="minorEastAsia" w:eastAsiaTheme="minorEastAsia" w:cstheme="minorEastAsia"/>
          <w:color w:val="000000" w:themeColor="text1"/>
          <w:szCs w:val="21"/>
          <w:u w:val="single"/>
        </w:rPr>
        <w:t>（签字及盖章）</w:t>
      </w:r>
    </w:p>
    <w:p>
      <w:pPr>
        <w:spacing w:line="645" w:lineRule="atLeast"/>
        <w:ind w:firstLine="6720" w:firstLineChars="3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年  月  日</w:t>
      </w:r>
    </w:p>
    <w:p>
      <w:pPr>
        <w:spacing w:line="645" w:lineRule="atLeast"/>
        <w:ind w:firstLine="5447"/>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tabs>
          <w:tab w:val="left" w:pos="6264"/>
        </w:tabs>
        <w:snapToGrid w:val="0"/>
        <w:spacing w:line="374" w:lineRule="atLeast"/>
        <w:ind w:firstLine="623"/>
        <w:rPr>
          <w:rFonts w:asciiTheme="minorEastAsia" w:hAnsiTheme="minorEastAsia" w:eastAsiaTheme="minorEastAsia" w:cstheme="minorEastAsia"/>
          <w:color w:val="000000" w:themeColor="text1"/>
        </w:rPr>
      </w:pPr>
    </w:p>
    <w:p>
      <w:pPr>
        <w:tabs>
          <w:tab w:val="left" w:pos="6264"/>
        </w:tabs>
        <w:snapToGrid w:val="0"/>
        <w:spacing w:line="374" w:lineRule="atLeast"/>
        <w:ind w:firstLine="623"/>
        <w:rPr>
          <w:rFonts w:asciiTheme="minorEastAsia" w:hAnsiTheme="minorEastAsia" w:eastAsiaTheme="minorEastAsia" w:cstheme="minorEastAsia"/>
          <w:color w:val="000000" w:themeColor="text1"/>
        </w:rPr>
      </w:pPr>
    </w:p>
    <w:p>
      <w:pPr>
        <w:tabs>
          <w:tab w:val="left" w:pos="6264"/>
        </w:tabs>
        <w:snapToGrid w:val="0"/>
        <w:spacing w:line="374" w:lineRule="atLeast"/>
        <w:ind w:firstLine="623"/>
        <w:rPr>
          <w:rFonts w:asciiTheme="minorEastAsia" w:hAnsiTheme="minorEastAsia" w:eastAsiaTheme="minorEastAsia" w:cstheme="minorEastAsia"/>
          <w:color w:val="000000" w:themeColor="text1"/>
        </w:rPr>
      </w:pPr>
    </w:p>
    <w:p>
      <w:pPr>
        <w:tabs>
          <w:tab w:val="left" w:pos="6264"/>
        </w:tabs>
        <w:snapToGrid w:val="0"/>
        <w:spacing w:line="374" w:lineRule="atLeast"/>
        <w:ind w:firstLine="623"/>
        <w:rPr>
          <w:rFonts w:asciiTheme="minorEastAsia" w:hAnsiTheme="minorEastAsia" w:eastAsiaTheme="minorEastAsia" w:cstheme="minorEastAsia"/>
          <w:color w:val="000000" w:themeColor="text1"/>
        </w:rPr>
      </w:pPr>
    </w:p>
    <w:p>
      <w:pPr>
        <w:tabs>
          <w:tab w:val="left" w:pos="6264"/>
        </w:tabs>
        <w:snapToGrid w:val="0"/>
        <w:spacing w:line="374" w:lineRule="atLeast"/>
        <w:ind w:firstLine="623"/>
        <w:rPr>
          <w:rFonts w:asciiTheme="minorEastAsia" w:hAnsiTheme="minorEastAsia" w:eastAsiaTheme="minorEastAsia" w:cstheme="minorEastAsia"/>
          <w:color w:val="000000" w:themeColor="text1"/>
        </w:rPr>
      </w:pPr>
    </w:p>
    <w:p>
      <w:pPr>
        <w:tabs>
          <w:tab w:val="left" w:pos="6264"/>
        </w:tabs>
        <w:snapToGrid w:val="0"/>
        <w:spacing w:line="374" w:lineRule="atLeast"/>
        <w:ind w:firstLine="623"/>
        <w:rPr>
          <w:rFonts w:asciiTheme="minorEastAsia" w:hAnsiTheme="minorEastAsia" w:eastAsiaTheme="minorEastAsia" w:cstheme="minorEastAsia"/>
          <w:color w:val="000000" w:themeColor="text1"/>
        </w:rPr>
      </w:pPr>
    </w:p>
    <w:p>
      <w:pPr>
        <w:pStyle w:val="4"/>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br w:type="page"/>
      </w:r>
      <w:r>
        <w:rPr>
          <w:rFonts w:hint="eastAsia" w:asciiTheme="minorEastAsia" w:hAnsiTheme="minorEastAsia" w:eastAsiaTheme="minorEastAsia" w:cstheme="minorEastAsia"/>
          <w:color w:val="000000" w:themeColor="text1"/>
        </w:rPr>
        <w:t>7. 投标人资料真实性承诺书</w:t>
      </w:r>
    </w:p>
    <w:p>
      <w:pPr>
        <w:spacing w:line="846" w:lineRule="atLeast"/>
        <w:jc w:val="center"/>
        <w:rPr>
          <w:rFonts w:asciiTheme="minorEastAsia" w:hAnsiTheme="minorEastAsia" w:eastAsiaTheme="minorEastAsia" w:cstheme="minorEastAsia"/>
          <w:color w:val="000000" w:themeColor="text1"/>
          <w:kern w:val="0"/>
          <w:sz w:val="32"/>
          <w:szCs w:val="32"/>
        </w:rPr>
      </w:pPr>
      <w:r>
        <w:rPr>
          <w:rFonts w:hint="eastAsia" w:asciiTheme="minorEastAsia" w:hAnsiTheme="minorEastAsia" w:eastAsiaTheme="minorEastAsia" w:cstheme="minorEastAsia"/>
          <w:color w:val="000000" w:themeColor="text1"/>
          <w:kern w:val="0"/>
          <w:sz w:val="32"/>
          <w:szCs w:val="32"/>
        </w:rPr>
        <w:t>投标人资料真实性承诺书</w:t>
      </w:r>
    </w:p>
    <w:p>
      <w:pPr>
        <w:spacing w:line="600" w:lineRule="atLeast"/>
        <w:jc w:val="center"/>
        <w:rPr>
          <w:rFonts w:asciiTheme="minorEastAsia" w:hAnsiTheme="minorEastAsia" w:eastAsiaTheme="minorEastAsia" w:cstheme="minorEastAsia"/>
          <w:b/>
          <w:color w:val="000000" w:themeColor="text1"/>
          <w:sz w:val="24"/>
        </w:rPr>
      </w:pPr>
    </w:p>
    <w:p>
      <w:pPr>
        <w:spacing w:line="500" w:lineRule="exact"/>
        <w:jc w:val="left"/>
        <w:textAlignment w:val="baseline"/>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u w:val="single"/>
        </w:rPr>
        <w:t>（招标人全称）：</w:t>
      </w:r>
    </w:p>
    <w:p>
      <w:pPr>
        <w:spacing w:line="500" w:lineRule="exact"/>
        <w:ind w:firstLine="560"/>
        <w:jc w:val="left"/>
        <w:textAlignment w:val="baseline"/>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本人以</w:t>
      </w:r>
      <w:r>
        <w:rPr>
          <w:rFonts w:hint="eastAsia" w:asciiTheme="minorEastAsia" w:hAnsiTheme="minorEastAsia" w:eastAsiaTheme="minorEastAsia" w:cstheme="minorEastAsia"/>
          <w:color w:val="000000" w:themeColor="text1"/>
          <w:szCs w:val="21"/>
          <w:u w:val="single"/>
        </w:rPr>
        <w:t>（投标人全称）</w:t>
      </w:r>
      <w:r>
        <w:rPr>
          <w:rFonts w:hint="eastAsia" w:asciiTheme="minorEastAsia" w:hAnsiTheme="minorEastAsia" w:eastAsiaTheme="minorEastAsia" w:cstheme="minorEastAsia"/>
          <w:color w:val="000000" w:themeColor="text1"/>
          <w:szCs w:val="21"/>
        </w:rPr>
        <w:t>法定代表人的资格，郑重承诺：</w:t>
      </w:r>
    </w:p>
    <w:p>
      <w:pPr>
        <w:spacing w:line="500" w:lineRule="exact"/>
        <w:ind w:firstLine="560"/>
        <w:textAlignment w:val="baseline"/>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1、本企业此次参加</w:t>
      </w:r>
      <w:r>
        <w:rPr>
          <w:rFonts w:hint="eastAsia" w:asciiTheme="minorEastAsia" w:hAnsiTheme="minorEastAsia" w:eastAsiaTheme="minorEastAsia" w:cstheme="minorEastAsia"/>
          <w:color w:val="000000" w:themeColor="text1"/>
          <w:szCs w:val="21"/>
          <w:u w:val="single"/>
        </w:rPr>
        <w:t>（招标项目名称）</w:t>
      </w:r>
      <w:r>
        <w:rPr>
          <w:rFonts w:hint="eastAsia" w:asciiTheme="minorEastAsia" w:hAnsiTheme="minorEastAsia" w:eastAsiaTheme="minorEastAsia" w:cstheme="minorEastAsia"/>
          <w:color w:val="000000" w:themeColor="text1"/>
          <w:szCs w:val="21"/>
        </w:rPr>
        <w:t>投标所提交的所有资料都是真实的；本企业拟投入到本项目的项目负责人及管理人员（包括备选人员）等均为本企业正式职工，依法参加社会保险，缴纳社会保险费。如有虚假，本企业愿意接受招标人作出的取消投标、中标资格的决定，同时愿意接受建设行政主管部门依法作出的其它处罚决定。</w:t>
      </w:r>
    </w:p>
    <w:p>
      <w:pPr>
        <w:spacing w:line="500" w:lineRule="exact"/>
        <w:ind w:firstLine="560"/>
        <w:jc w:val="left"/>
        <w:textAlignment w:val="baseline"/>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如果本企业中标，将按投标文件中承诺的项目组人员与招标人签订工程招标代理服务合同（协议），绝不更换。若投标文件中正选和备选管理人员确实无法投入合同，招标人可按拒绝签订合同处理。在合同履行管理中，如发现本企业擅自更换项目组人员，可按不履行工程招标代理服务合同作出处理。</w:t>
      </w:r>
    </w:p>
    <w:p>
      <w:pPr>
        <w:spacing w:line="500" w:lineRule="exact"/>
        <w:ind w:firstLine="560"/>
        <w:jc w:val="left"/>
        <w:textAlignment w:val="baseline"/>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如本企业有上述违规行为，招标人作出处理的同时可报有关建设行政主管部门信息系统备案。</w:t>
      </w:r>
    </w:p>
    <w:p>
      <w:pPr>
        <w:spacing w:line="500" w:lineRule="exact"/>
        <w:ind w:firstLine="560"/>
        <w:jc w:val="left"/>
        <w:textAlignment w:val="baseline"/>
        <w:rPr>
          <w:rFonts w:asciiTheme="minorEastAsia" w:hAnsiTheme="minorEastAsia" w:eastAsiaTheme="minorEastAsia" w:cstheme="minorEastAsia"/>
          <w:color w:val="000000" w:themeColor="text1"/>
          <w:szCs w:val="21"/>
        </w:rPr>
      </w:pPr>
    </w:p>
    <w:p>
      <w:pPr>
        <w:spacing w:line="500" w:lineRule="exact"/>
        <w:ind w:firstLine="560"/>
        <w:jc w:val="left"/>
        <w:textAlignment w:val="baseline"/>
        <w:rPr>
          <w:rFonts w:asciiTheme="minorEastAsia" w:hAnsiTheme="minorEastAsia" w:eastAsiaTheme="minorEastAsia" w:cstheme="minorEastAsia"/>
          <w:color w:val="000000" w:themeColor="text1"/>
          <w:szCs w:val="21"/>
        </w:rPr>
      </w:pPr>
    </w:p>
    <w:p>
      <w:pPr>
        <w:spacing w:line="881" w:lineRule="atLeast"/>
        <w:ind w:firstLine="5844"/>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投标人（公章）：</w:t>
      </w:r>
    </w:p>
    <w:p>
      <w:pPr>
        <w:spacing w:line="881" w:lineRule="atLeast"/>
        <w:ind w:firstLine="5844"/>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法定代表人（盖章）：</w:t>
      </w:r>
    </w:p>
    <w:p>
      <w:pPr>
        <w:tabs>
          <w:tab w:val="left" w:pos="6264"/>
        </w:tabs>
        <w:snapToGrid w:val="0"/>
        <w:spacing w:line="453" w:lineRule="atLeast"/>
        <w:ind w:firstLine="623"/>
        <w:jc w:val="center"/>
        <w:rPr>
          <w:rFonts w:asciiTheme="minorEastAsia" w:hAnsiTheme="minorEastAsia" w:eastAsiaTheme="minorEastAsia" w:cstheme="minorEastAsia"/>
          <w:color w:val="000000" w:themeColor="text1"/>
          <w:szCs w:val="21"/>
        </w:rPr>
      </w:pPr>
    </w:p>
    <w:p>
      <w:pPr>
        <w:tabs>
          <w:tab w:val="left" w:pos="6264"/>
        </w:tabs>
        <w:snapToGrid w:val="0"/>
        <w:spacing w:line="453" w:lineRule="atLeast"/>
        <w:ind w:firstLine="623"/>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年   月  日</w:t>
      </w:r>
    </w:p>
    <w:p>
      <w:pPr>
        <w:autoSpaceDE w:val="0"/>
        <w:autoSpaceDN w:val="0"/>
        <w:adjustRightInd w:val="0"/>
        <w:spacing w:line="360" w:lineRule="auto"/>
        <w:ind w:firstLine="3255" w:firstLineChars="1550"/>
        <w:jc w:val="left"/>
        <w:rPr>
          <w:rFonts w:asciiTheme="minorEastAsia" w:hAnsiTheme="minorEastAsia" w:eastAsiaTheme="minorEastAsia" w:cstheme="minorEastAsia"/>
          <w:color w:val="000000" w:themeColor="text1"/>
          <w:kern w:val="0"/>
          <w:szCs w:val="21"/>
        </w:rPr>
      </w:pPr>
    </w:p>
    <w:p>
      <w:pPr>
        <w:pStyle w:val="4"/>
        <w:spacing w:line="360" w:lineRule="auto"/>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rPr>
        <w:br w:type="page"/>
      </w:r>
      <w:bookmarkStart w:id="433" w:name="_Toc398107934"/>
      <w:r>
        <w:rPr>
          <w:rFonts w:hint="eastAsia" w:asciiTheme="minorEastAsia" w:hAnsiTheme="minorEastAsia" w:eastAsiaTheme="minorEastAsia" w:cstheme="minorEastAsia"/>
          <w:color w:val="000000" w:themeColor="text1"/>
        </w:rPr>
        <w:t>8.投标人基本情况表</w:t>
      </w:r>
      <w:bookmarkEnd w:id="433"/>
    </w:p>
    <w:tbl>
      <w:tblPr>
        <w:tblStyle w:val="41"/>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197"/>
        <w:gridCol w:w="1183"/>
        <w:gridCol w:w="669"/>
        <w:gridCol w:w="815"/>
        <w:gridCol w:w="1132"/>
        <w:gridCol w:w="178"/>
        <w:gridCol w:w="50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投标人名称</w:t>
            </w:r>
          </w:p>
        </w:tc>
        <w:tc>
          <w:tcPr>
            <w:tcW w:w="6906" w:type="dxa"/>
            <w:gridSpan w:val="8"/>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注册地址</w:t>
            </w:r>
          </w:p>
        </w:tc>
        <w:tc>
          <w:tcPr>
            <w:tcW w:w="3864" w:type="dxa"/>
            <w:gridSpan w:val="4"/>
            <w:vAlign w:val="center"/>
          </w:tcPr>
          <w:p>
            <w:pPr>
              <w:jc w:val="center"/>
              <w:rPr>
                <w:rFonts w:asciiTheme="minorEastAsia" w:hAnsiTheme="minorEastAsia" w:eastAsiaTheme="minorEastAsia" w:cstheme="minorEastAsia"/>
                <w:color w:val="000000" w:themeColor="text1"/>
                <w:szCs w:val="21"/>
              </w:rPr>
            </w:pPr>
          </w:p>
        </w:tc>
        <w:tc>
          <w:tcPr>
            <w:tcW w:w="1132"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邮政编码</w:t>
            </w:r>
          </w:p>
        </w:tc>
        <w:tc>
          <w:tcPr>
            <w:tcW w:w="1910" w:type="dxa"/>
            <w:gridSpan w:val="3"/>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8" w:type="dxa"/>
            <w:vMerge w:val="restart"/>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联系方式</w:t>
            </w:r>
          </w:p>
        </w:tc>
        <w:tc>
          <w:tcPr>
            <w:tcW w:w="1197"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联系人</w:t>
            </w:r>
          </w:p>
        </w:tc>
        <w:tc>
          <w:tcPr>
            <w:tcW w:w="2667" w:type="dxa"/>
            <w:gridSpan w:val="3"/>
            <w:vAlign w:val="center"/>
          </w:tcPr>
          <w:p>
            <w:pPr>
              <w:jc w:val="center"/>
              <w:rPr>
                <w:rFonts w:asciiTheme="minorEastAsia" w:hAnsiTheme="minorEastAsia" w:eastAsiaTheme="minorEastAsia" w:cstheme="minorEastAsia"/>
                <w:color w:val="000000" w:themeColor="text1"/>
                <w:szCs w:val="21"/>
              </w:rPr>
            </w:pPr>
          </w:p>
        </w:tc>
        <w:tc>
          <w:tcPr>
            <w:tcW w:w="1132"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电话</w:t>
            </w:r>
          </w:p>
        </w:tc>
        <w:tc>
          <w:tcPr>
            <w:tcW w:w="1910" w:type="dxa"/>
            <w:gridSpan w:val="3"/>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8" w:type="dxa"/>
            <w:vMerge w:val="continue"/>
            <w:vAlign w:val="center"/>
          </w:tcPr>
          <w:p>
            <w:pPr>
              <w:jc w:val="center"/>
              <w:rPr>
                <w:rFonts w:asciiTheme="minorEastAsia" w:hAnsiTheme="minorEastAsia" w:eastAsiaTheme="minorEastAsia" w:cstheme="minorEastAsia"/>
                <w:color w:val="000000" w:themeColor="text1"/>
                <w:szCs w:val="21"/>
              </w:rPr>
            </w:pPr>
          </w:p>
        </w:tc>
        <w:tc>
          <w:tcPr>
            <w:tcW w:w="1197"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传真</w:t>
            </w:r>
          </w:p>
        </w:tc>
        <w:tc>
          <w:tcPr>
            <w:tcW w:w="2667" w:type="dxa"/>
            <w:gridSpan w:val="3"/>
            <w:vAlign w:val="center"/>
          </w:tcPr>
          <w:p>
            <w:pPr>
              <w:jc w:val="center"/>
              <w:rPr>
                <w:rFonts w:asciiTheme="minorEastAsia" w:hAnsiTheme="minorEastAsia" w:eastAsiaTheme="minorEastAsia" w:cstheme="minorEastAsia"/>
                <w:color w:val="000000" w:themeColor="text1"/>
                <w:szCs w:val="21"/>
              </w:rPr>
            </w:pPr>
          </w:p>
        </w:tc>
        <w:tc>
          <w:tcPr>
            <w:tcW w:w="1132"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网址</w:t>
            </w:r>
          </w:p>
        </w:tc>
        <w:tc>
          <w:tcPr>
            <w:tcW w:w="1910" w:type="dxa"/>
            <w:gridSpan w:val="3"/>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法定代表人</w:t>
            </w:r>
          </w:p>
        </w:tc>
        <w:tc>
          <w:tcPr>
            <w:tcW w:w="1197"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姓名</w:t>
            </w:r>
          </w:p>
        </w:tc>
        <w:tc>
          <w:tcPr>
            <w:tcW w:w="1183" w:type="dxa"/>
            <w:vAlign w:val="center"/>
          </w:tcPr>
          <w:p>
            <w:pPr>
              <w:jc w:val="center"/>
              <w:rPr>
                <w:rFonts w:asciiTheme="minorEastAsia" w:hAnsiTheme="minorEastAsia" w:eastAsiaTheme="minorEastAsia" w:cstheme="minorEastAsia"/>
                <w:color w:val="000000" w:themeColor="text1"/>
                <w:szCs w:val="21"/>
              </w:rPr>
            </w:pPr>
          </w:p>
        </w:tc>
        <w:tc>
          <w:tcPr>
            <w:tcW w:w="1484" w:type="dxa"/>
            <w:gridSpan w:val="2"/>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技术职称</w:t>
            </w:r>
          </w:p>
        </w:tc>
        <w:tc>
          <w:tcPr>
            <w:tcW w:w="1132" w:type="dxa"/>
            <w:vAlign w:val="center"/>
          </w:tcPr>
          <w:p>
            <w:pPr>
              <w:jc w:val="center"/>
              <w:rPr>
                <w:rFonts w:asciiTheme="minorEastAsia" w:hAnsiTheme="minorEastAsia" w:eastAsiaTheme="minorEastAsia" w:cstheme="minorEastAsia"/>
                <w:color w:val="000000" w:themeColor="text1"/>
                <w:szCs w:val="21"/>
              </w:rPr>
            </w:pPr>
          </w:p>
        </w:tc>
        <w:tc>
          <w:tcPr>
            <w:tcW w:w="678" w:type="dxa"/>
            <w:gridSpan w:val="2"/>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电话</w:t>
            </w:r>
          </w:p>
        </w:tc>
        <w:tc>
          <w:tcPr>
            <w:tcW w:w="1232" w:type="dxa"/>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技术负责人</w:t>
            </w:r>
          </w:p>
        </w:tc>
        <w:tc>
          <w:tcPr>
            <w:tcW w:w="1197"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姓名</w:t>
            </w:r>
          </w:p>
        </w:tc>
        <w:tc>
          <w:tcPr>
            <w:tcW w:w="1183" w:type="dxa"/>
            <w:vAlign w:val="center"/>
          </w:tcPr>
          <w:p>
            <w:pPr>
              <w:jc w:val="center"/>
              <w:rPr>
                <w:rFonts w:asciiTheme="minorEastAsia" w:hAnsiTheme="minorEastAsia" w:eastAsiaTheme="minorEastAsia" w:cstheme="minorEastAsia"/>
                <w:color w:val="000000" w:themeColor="text1"/>
                <w:szCs w:val="21"/>
              </w:rPr>
            </w:pPr>
          </w:p>
        </w:tc>
        <w:tc>
          <w:tcPr>
            <w:tcW w:w="1484" w:type="dxa"/>
            <w:gridSpan w:val="2"/>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技术职称</w:t>
            </w:r>
          </w:p>
        </w:tc>
        <w:tc>
          <w:tcPr>
            <w:tcW w:w="1132" w:type="dxa"/>
            <w:vAlign w:val="center"/>
          </w:tcPr>
          <w:p>
            <w:pPr>
              <w:jc w:val="center"/>
              <w:rPr>
                <w:rFonts w:asciiTheme="minorEastAsia" w:hAnsiTheme="minorEastAsia" w:eastAsiaTheme="minorEastAsia" w:cstheme="minorEastAsia"/>
                <w:color w:val="000000" w:themeColor="text1"/>
                <w:szCs w:val="21"/>
              </w:rPr>
            </w:pPr>
          </w:p>
        </w:tc>
        <w:tc>
          <w:tcPr>
            <w:tcW w:w="678" w:type="dxa"/>
            <w:gridSpan w:val="2"/>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电话</w:t>
            </w:r>
          </w:p>
        </w:tc>
        <w:tc>
          <w:tcPr>
            <w:tcW w:w="1232" w:type="dxa"/>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成立时间</w:t>
            </w:r>
          </w:p>
        </w:tc>
        <w:tc>
          <w:tcPr>
            <w:tcW w:w="2380" w:type="dxa"/>
            <w:gridSpan w:val="2"/>
            <w:vAlign w:val="center"/>
          </w:tcPr>
          <w:p>
            <w:pPr>
              <w:jc w:val="center"/>
              <w:rPr>
                <w:rFonts w:asciiTheme="minorEastAsia" w:hAnsiTheme="minorEastAsia" w:eastAsiaTheme="minorEastAsia" w:cstheme="minorEastAsia"/>
                <w:color w:val="000000" w:themeColor="text1"/>
                <w:szCs w:val="21"/>
              </w:rPr>
            </w:pPr>
          </w:p>
        </w:tc>
        <w:tc>
          <w:tcPr>
            <w:tcW w:w="4526" w:type="dxa"/>
            <w:gridSpan w:val="6"/>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企业资质等级</w:t>
            </w:r>
          </w:p>
        </w:tc>
        <w:tc>
          <w:tcPr>
            <w:tcW w:w="2380" w:type="dxa"/>
            <w:gridSpan w:val="2"/>
            <w:vAlign w:val="center"/>
          </w:tcPr>
          <w:p>
            <w:pPr>
              <w:jc w:val="center"/>
              <w:rPr>
                <w:rFonts w:asciiTheme="minorEastAsia" w:hAnsiTheme="minorEastAsia" w:eastAsiaTheme="minorEastAsia" w:cstheme="minorEastAsia"/>
                <w:color w:val="000000" w:themeColor="text1"/>
                <w:szCs w:val="21"/>
              </w:rPr>
            </w:pPr>
          </w:p>
        </w:tc>
        <w:tc>
          <w:tcPr>
            <w:tcW w:w="669" w:type="dxa"/>
            <w:vMerge w:val="restart"/>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其中</w:t>
            </w:r>
          </w:p>
        </w:tc>
        <w:tc>
          <w:tcPr>
            <w:tcW w:w="2125" w:type="dxa"/>
            <w:gridSpan w:val="3"/>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国家注册造价工程师</w:t>
            </w:r>
          </w:p>
        </w:tc>
        <w:tc>
          <w:tcPr>
            <w:tcW w:w="1732" w:type="dxa"/>
            <w:gridSpan w:val="2"/>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营业执照号</w:t>
            </w:r>
          </w:p>
        </w:tc>
        <w:tc>
          <w:tcPr>
            <w:tcW w:w="2380" w:type="dxa"/>
            <w:gridSpan w:val="2"/>
            <w:vAlign w:val="center"/>
          </w:tcPr>
          <w:p>
            <w:pPr>
              <w:jc w:val="center"/>
              <w:rPr>
                <w:rFonts w:asciiTheme="minorEastAsia" w:hAnsiTheme="minorEastAsia" w:eastAsiaTheme="minorEastAsia" w:cstheme="minorEastAsia"/>
                <w:color w:val="000000" w:themeColor="text1"/>
                <w:szCs w:val="21"/>
              </w:rPr>
            </w:pPr>
          </w:p>
        </w:tc>
        <w:tc>
          <w:tcPr>
            <w:tcW w:w="669" w:type="dxa"/>
            <w:vMerge w:val="continue"/>
            <w:vAlign w:val="center"/>
          </w:tcPr>
          <w:p>
            <w:pPr>
              <w:jc w:val="center"/>
              <w:rPr>
                <w:rFonts w:asciiTheme="minorEastAsia" w:hAnsiTheme="minorEastAsia" w:eastAsiaTheme="minorEastAsia" w:cstheme="minorEastAsia"/>
                <w:color w:val="000000" w:themeColor="text1"/>
                <w:szCs w:val="21"/>
              </w:rPr>
            </w:pPr>
          </w:p>
        </w:tc>
        <w:tc>
          <w:tcPr>
            <w:tcW w:w="2125" w:type="dxa"/>
            <w:gridSpan w:val="3"/>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造价编审人员</w:t>
            </w:r>
          </w:p>
        </w:tc>
        <w:tc>
          <w:tcPr>
            <w:tcW w:w="1732" w:type="dxa"/>
            <w:gridSpan w:val="2"/>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注册资金</w:t>
            </w:r>
          </w:p>
        </w:tc>
        <w:tc>
          <w:tcPr>
            <w:tcW w:w="2380" w:type="dxa"/>
            <w:gridSpan w:val="2"/>
            <w:vAlign w:val="center"/>
          </w:tcPr>
          <w:p>
            <w:pPr>
              <w:jc w:val="center"/>
              <w:rPr>
                <w:rFonts w:asciiTheme="minorEastAsia" w:hAnsiTheme="minorEastAsia" w:eastAsiaTheme="minorEastAsia" w:cstheme="minorEastAsia"/>
                <w:color w:val="000000" w:themeColor="text1"/>
                <w:szCs w:val="21"/>
              </w:rPr>
            </w:pPr>
          </w:p>
        </w:tc>
        <w:tc>
          <w:tcPr>
            <w:tcW w:w="669" w:type="dxa"/>
            <w:vMerge w:val="continue"/>
            <w:vAlign w:val="center"/>
          </w:tcPr>
          <w:p>
            <w:pPr>
              <w:jc w:val="center"/>
              <w:rPr>
                <w:rFonts w:asciiTheme="minorEastAsia" w:hAnsiTheme="minorEastAsia" w:eastAsiaTheme="minorEastAsia" w:cstheme="minorEastAsia"/>
                <w:color w:val="000000" w:themeColor="text1"/>
                <w:szCs w:val="21"/>
              </w:rPr>
            </w:pPr>
          </w:p>
        </w:tc>
        <w:tc>
          <w:tcPr>
            <w:tcW w:w="2125" w:type="dxa"/>
            <w:gridSpan w:val="3"/>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高级职称人员</w:t>
            </w:r>
          </w:p>
        </w:tc>
        <w:tc>
          <w:tcPr>
            <w:tcW w:w="1732" w:type="dxa"/>
            <w:gridSpan w:val="2"/>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开户银行</w:t>
            </w:r>
          </w:p>
        </w:tc>
        <w:tc>
          <w:tcPr>
            <w:tcW w:w="2380" w:type="dxa"/>
            <w:gridSpan w:val="2"/>
            <w:vAlign w:val="center"/>
          </w:tcPr>
          <w:p>
            <w:pPr>
              <w:jc w:val="center"/>
              <w:rPr>
                <w:rFonts w:asciiTheme="minorEastAsia" w:hAnsiTheme="minorEastAsia" w:eastAsiaTheme="minorEastAsia" w:cstheme="minorEastAsia"/>
                <w:color w:val="000000" w:themeColor="text1"/>
                <w:szCs w:val="21"/>
              </w:rPr>
            </w:pPr>
          </w:p>
        </w:tc>
        <w:tc>
          <w:tcPr>
            <w:tcW w:w="669" w:type="dxa"/>
            <w:vMerge w:val="continue"/>
            <w:vAlign w:val="center"/>
          </w:tcPr>
          <w:p>
            <w:pPr>
              <w:jc w:val="center"/>
              <w:rPr>
                <w:rFonts w:asciiTheme="minorEastAsia" w:hAnsiTheme="minorEastAsia" w:eastAsiaTheme="minorEastAsia" w:cstheme="minorEastAsia"/>
                <w:color w:val="000000" w:themeColor="text1"/>
                <w:szCs w:val="21"/>
              </w:rPr>
            </w:pPr>
          </w:p>
        </w:tc>
        <w:tc>
          <w:tcPr>
            <w:tcW w:w="2125" w:type="dxa"/>
            <w:gridSpan w:val="3"/>
            <w:vMerge w:val="restart"/>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中级职称人员</w:t>
            </w:r>
          </w:p>
        </w:tc>
        <w:tc>
          <w:tcPr>
            <w:tcW w:w="1732" w:type="dxa"/>
            <w:gridSpan w:val="2"/>
            <w:vMerge w:val="restart"/>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账号</w:t>
            </w:r>
          </w:p>
        </w:tc>
        <w:tc>
          <w:tcPr>
            <w:tcW w:w="2380" w:type="dxa"/>
            <w:gridSpan w:val="2"/>
            <w:vAlign w:val="center"/>
          </w:tcPr>
          <w:p>
            <w:pPr>
              <w:jc w:val="center"/>
              <w:rPr>
                <w:rFonts w:asciiTheme="minorEastAsia" w:hAnsiTheme="minorEastAsia" w:eastAsiaTheme="minorEastAsia" w:cstheme="minorEastAsia"/>
                <w:color w:val="000000" w:themeColor="text1"/>
                <w:szCs w:val="21"/>
              </w:rPr>
            </w:pPr>
          </w:p>
        </w:tc>
        <w:tc>
          <w:tcPr>
            <w:tcW w:w="669" w:type="dxa"/>
            <w:vMerge w:val="continue"/>
            <w:vAlign w:val="center"/>
          </w:tcPr>
          <w:p>
            <w:pPr>
              <w:jc w:val="center"/>
              <w:rPr>
                <w:rFonts w:asciiTheme="minorEastAsia" w:hAnsiTheme="minorEastAsia" w:eastAsiaTheme="minorEastAsia" w:cstheme="minorEastAsia"/>
                <w:color w:val="000000" w:themeColor="text1"/>
                <w:szCs w:val="21"/>
              </w:rPr>
            </w:pPr>
          </w:p>
        </w:tc>
        <w:tc>
          <w:tcPr>
            <w:tcW w:w="2125" w:type="dxa"/>
            <w:gridSpan w:val="3"/>
            <w:vMerge w:val="continue"/>
            <w:vAlign w:val="center"/>
          </w:tcPr>
          <w:p>
            <w:pPr>
              <w:jc w:val="center"/>
              <w:rPr>
                <w:rFonts w:asciiTheme="minorEastAsia" w:hAnsiTheme="minorEastAsia" w:eastAsiaTheme="minorEastAsia" w:cstheme="minorEastAsia"/>
                <w:color w:val="000000" w:themeColor="text1"/>
                <w:szCs w:val="21"/>
              </w:rPr>
            </w:pPr>
          </w:p>
        </w:tc>
        <w:tc>
          <w:tcPr>
            <w:tcW w:w="1732" w:type="dxa"/>
            <w:gridSpan w:val="2"/>
            <w:vMerge w:val="continue"/>
            <w:vAlign w:val="center"/>
          </w:tcPr>
          <w:p>
            <w:pPr>
              <w:jc w:val="cente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经营范围</w:t>
            </w:r>
          </w:p>
        </w:tc>
        <w:tc>
          <w:tcPr>
            <w:tcW w:w="6906" w:type="dxa"/>
            <w:gridSpan w:val="8"/>
            <w:vAlign w:val="center"/>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508" w:type="dxa"/>
            <w:vAlign w:val="center"/>
          </w:tcPr>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备注</w:t>
            </w:r>
          </w:p>
        </w:tc>
        <w:tc>
          <w:tcPr>
            <w:tcW w:w="6906" w:type="dxa"/>
            <w:gridSpan w:val="8"/>
            <w:vAlign w:val="center"/>
          </w:tcPr>
          <w:p>
            <w:pPr>
              <w:ind w:firstLine="420" w:firstLineChars="200"/>
              <w:jc w:val="center"/>
              <w:rPr>
                <w:rFonts w:asciiTheme="minorEastAsia" w:hAnsiTheme="minorEastAsia" w:eastAsiaTheme="minorEastAsia" w:cstheme="minorEastAsia"/>
                <w:color w:val="000000" w:themeColor="text1"/>
                <w:szCs w:val="21"/>
              </w:rPr>
            </w:pPr>
          </w:p>
        </w:tc>
      </w:tr>
    </w:tbl>
    <w:p>
      <w:pPr>
        <w:rPr>
          <w:rFonts w:asciiTheme="minorEastAsia" w:hAnsiTheme="minorEastAsia" w:eastAsiaTheme="minorEastAsia" w:cstheme="minorEastAsia"/>
          <w:color w:val="000000" w:themeColor="text1"/>
          <w:kern w:val="0"/>
          <w:szCs w:val="21"/>
        </w:rPr>
      </w:pPr>
    </w:p>
    <w:p>
      <w:pPr>
        <w:rPr>
          <w:rFonts w:asciiTheme="minorEastAsia" w:hAnsiTheme="minorEastAsia" w:eastAsiaTheme="minorEastAsia" w:cstheme="minorEastAsia"/>
          <w:color w:val="000000" w:themeColor="text1"/>
          <w:kern w:val="0"/>
          <w:szCs w:val="21"/>
        </w:rPr>
      </w:pPr>
    </w:p>
    <w:p>
      <w:pPr>
        <w:pStyle w:val="4"/>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bookmarkStart w:id="434" w:name="_Toc398107935"/>
      <w:r>
        <w:rPr>
          <w:rFonts w:hint="eastAsia" w:asciiTheme="minorEastAsia" w:hAnsiTheme="minorEastAsia" w:eastAsiaTheme="minorEastAsia" w:cstheme="minorEastAsia"/>
          <w:color w:val="000000" w:themeColor="text1"/>
        </w:rPr>
        <w:t>9.人员配备</w:t>
      </w:r>
      <w:bookmarkEnd w:id="434"/>
    </w:p>
    <w:p>
      <w:pPr>
        <w:keepNext/>
        <w:keepLines/>
        <w:spacing w:before="20" w:after="20" w:line="416" w:lineRule="auto"/>
        <w:outlineLvl w:val="2"/>
        <w:rPr>
          <w:rFonts w:eastAsia="黑体"/>
          <w:bCs/>
          <w:color w:val="000000"/>
          <w:kern w:val="0"/>
          <w:sz w:val="24"/>
          <w:szCs w:val="32"/>
        </w:rPr>
      </w:pPr>
      <w:bookmarkStart w:id="435" w:name="_Toc398107936"/>
      <w:r>
        <w:rPr>
          <w:rFonts w:hint="eastAsia" w:eastAsia="黑体"/>
          <w:bCs/>
          <w:color w:val="000000"/>
          <w:kern w:val="0"/>
          <w:sz w:val="24"/>
          <w:szCs w:val="32"/>
        </w:rPr>
        <w:t>9.1拟选派项目组机构人员一览表</w:t>
      </w:r>
      <w:bookmarkEnd w:id="435"/>
    </w:p>
    <w:p>
      <w:pPr>
        <w:jc w:val="center"/>
        <w:rPr>
          <w:color w:val="000000"/>
          <w:sz w:val="32"/>
          <w:szCs w:val="32"/>
        </w:rPr>
      </w:pPr>
      <w:r>
        <w:rPr>
          <w:rFonts w:hint="eastAsia"/>
          <w:color w:val="000000"/>
          <w:sz w:val="32"/>
          <w:szCs w:val="32"/>
        </w:rPr>
        <w:t>我单位承诺拟选派本工程项目组机构人员一览表如下：</w:t>
      </w:r>
    </w:p>
    <w:p>
      <w:pPr>
        <w:rPr>
          <w:color w:val="000000"/>
        </w:rPr>
      </w:pPr>
    </w:p>
    <w:tbl>
      <w:tblPr>
        <w:tblStyle w:val="41"/>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4"/>
        <w:gridCol w:w="1301"/>
        <w:gridCol w:w="724"/>
        <w:gridCol w:w="724"/>
        <w:gridCol w:w="719"/>
        <w:gridCol w:w="995"/>
        <w:gridCol w:w="1240"/>
        <w:gridCol w:w="869"/>
        <w:gridCol w:w="869"/>
        <w:gridCol w:w="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519" w:type="pct"/>
            <w:vMerge w:val="restart"/>
            <w:vAlign w:val="center"/>
          </w:tcPr>
          <w:p>
            <w:pPr>
              <w:jc w:val="center"/>
              <w:rPr>
                <w:rFonts w:ascii="宋体" w:hAnsi="宋体" w:cs="宋体"/>
                <w:color w:val="000000"/>
                <w:szCs w:val="21"/>
              </w:rPr>
            </w:pPr>
            <w:r>
              <w:rPr>
                <w:rFonts w:hint="eastAsia" w:ascii="宋体" w:hAnsi="宋体" w:cs="宋体"/>
                <w:color w:val="000000"/>
                <w:szCs w:val="21"/>
              </w:rPr>
              <w:t>拟任岗位</w:t>
            </w:r>
          </w:p>
        </w:tc>
        <w:tc>
          <w:tcPr>
            <w:tcW w:w="701" w:type="pct"/>
            <w:vMerge w:val="restart"/>
            <w:vAlign w:val="center"/>
          </w:tcPr>
          <w:p>
            <w:pPr>
              <w:jc w:val="center"/>
              <w:rPr>
                <w:rFonts w:ascii="宋体" w:hAnsi="宋体" w:cs="宋体"/>
                <w:color w:val="000000"/>
                <w:szCs w:val="21"/>
              </w:rPr>
            </w:pPr>
            <w:r>
              <w:rPr>
                <w:rFonts w:hint="eastAsia" w:ascii="宋体" w:hAnsi="宋体" w:cs="宋体"/>
                <w:color w:val="000000"/>
                <w:szCs w:val="21"/>
              </w:rPr>
              <w:t>镇（街道、区）</w:t>
            </w:r>
          </w:p>
        </w:tc>
        <w:tc>
          <w:tcPr>
            <w:tcW w:w="390" w:type="pct"/>
            <w:vMerge w:val="restart"/>
            <w:vAlign w:val="center"/>
          </w:tcPr>
          <w:p>
            <w:pPr>
              <w:jc w:val="center"/>
              <w:rPr>
                <w:rFonts w:ascii="宋体" w:hAnsi="宋体" w:cs="宋体"/>
                <w:color w:val="000000"/>
                <w:szCs w:val="21"/>
              </w:rPr>
            </w:pPr>
            <w:r>
              <w:rPr>
                <w:rFonts w:hint="eastAsia" w:ascii="宋体" w:hAnsi="宋体" w:cs="宋体"/>
                <w:color w:val="000000"/>
                <w:szCs w:val="21"/>
              </w:rPr>
              <w:t>姓名</w:t>
            </w:r>
          </w:p>
        </w:tc>
        <w:tc>
          <w:tcPr>
            <w:tcW w:w="390" w:type="pct"/>
            <w:vMerge w:val="restart"/>
            <w:vAlign w:val="center"/>
          </w:tcPr>
          <w:p>
            <w:pPr>
              <w:jc w:val="center"/>
              <w:rPr>
                <w:rFonts w:ascii="宋体" w:hAnsi="宋体" w:cs="宋体"/>
                <w:color w:val="000000"/>
                <w:szCs w:val="21"/>
              </w:rPr>
            </w:pPr>
            <w:r>
              <w:rPr>
                <w:rFonts w:hint="eastAsia" w:ascii="宋体" w:hAnsi="宋体" w:cs="宋体"/>
                <w:color w:val="000000"/>
                <w:szCs w:val="21"/>
              </w:rPr>
              <w:t>年龄</w:t>
            </w:r>
          </w:p>
        </w:tc>
        <w:tc>
          <w:tcPr>
            <w:tcW w:w="387" w:type="pct"/>
            <w:vMerge w:val="restart"/>
            <w:vAlign w:val="center"/>
          </w:tcPr>
          <w:p>
            <w:pPr>
              <w:jc w:val="center"/>
              <w:rPr>
                <w:rFonts w:ascii="宋体" w:hAnsi="宋体" w:cs="宋体"/>
                <w:color w:val="000000"/>
                <w:szCs w:val="21"/>
              </w:rPr>
            </w:pPr>
            <w:r>
              <w:rPr>
                <w:rFonts w:hint="eastAsia" w:ascii="宋体" w:hAnsi="宋体" w:cs="宋体"/>
                <w:color w:val="000000"/>
                <w:szCs w:val="21"/>
              </w:rPr>
              <w:t>职称</w:t>
            </w:r>
          </w:p>
        </w:tc>
        <w:tc>
          <w:tcPr>
            <w:tcW w:w="536" w:type="pct"/>
            <w:vMerge w:val="restart"/>
            <w:vAlign w:val="center"/>
          </w:tcPr>
          <w:p>
            <w:pPr>
              <w:jc w:val="center"/>
              <w:rPr>
                <w:rFonts w:ascii="宋体" w:hAnsi="宋体" w:cs="宋体"/>
                <w:color w:val="000000"/>
                <w:szCs w:val="21"/>
              </w:rPr>
            </w:pPr>
            <w:r>
              <w:rPr>
                <w:rFonts w:hint="eastAsia" w:ascii="宋体" w:hAnsi="宋体" w:cs="宋体"/>
                <w:color w:val="000000"/>
                <w:szCs w:val="21"/>
              </w:rPr>
              <w:t>从事监理工作年限</w:t>
            </w:r>
          </w:p>
        </w:tc>
        <w:tc>
          <w:tcPr>
            <w:tcW w:w="2075" w:type="pct"/>
            <w:gridSpan w:val="4"/>
            <w:vAlign w:val="center"/>
          </w:tcPr>
          <w:p>
            <w:pPr>
              <w:jc w:val="center"/>
              <w:rPr>
                <w:rFonts w:ascii="宋体" w:hAnsi="宋体" w:cs="宋体"/>
                <w:color w:val="000000"/>
                <w:szCs w:val="21"/>
              </w:rPr>
            </w:pPr>
            <w:r>
              <w:rPr>
                <w:rFonts w:hint="eastAsia" w:ascii="宋体" w:hAnsi="宋体" w:cs="宋体"/>
                <w:color w:val="000000"/>
                <w:szCs w:val="21"/>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519" w:type="pct"/>
            <w:vMerge w:val="continue"/>
            <w:vAlign w:val="center"/>
          </w:tcPr>
          <w:p>
            <w:pPr>
              <w:jc w:val="center"/>
              <w:rPr>
                <w:rFonts w:ascii="宋体" w:hAnsi="宋体" w:cs="宋体"/>
                <w:color w:val="000000"/>
                <w:szCs w:val="21"/>
              </w:rPr>
            </w:pPr>
          </w:p>
        </w:tc>
        <w:tc>
          <w:tcPr>
            <w:tcW w:w="701" w:type="pct"/>
            <w:vMerge w:val="continue"/>
          </w:tcPr>
          <w:p>
            <w:pPr>
              <w:jc w:val="center"/>
              <w:rPr>
                <w:rFonts w:ascii="宋体" w:hAnsi="宋体" w:cs="宋体"/>
                <w:color w:val="000000"/>
                <w:szCs w:val="21"/>
              </w:rPr>
            </w:pPr>
          </w:p>
        </w:tc>
        <w:tc>
          <w:tcPr>
            <w:tcW w:w="390" w:type="pct"/>
            <w:vMerge w:val="continue"/>
            <w:vAlign w:val="center"/>
          </w:tcPr>
          <w:p>
            <w:pPr>
              <w:jc w:val="center"/>
              <w:rPr>
                <w:rFonts w:ascii="宋体" w:hAnsi="宋体" w:cs="宋体"/>
                <w:color w:val="000000"/>
                <w:szCs w:val="21"/>
              </w:rPr>
            </w:pPr>
          </w:p>
        </w:tc>
        <w:tc>
          <w:tcPr>
            <w:tcW w:w="390" w:type="pct"/>
            <w:vMerge w:val="continue"/>
            <w:vAlign w:val="center"/>
          </w:tcPr>
          <w:p>
            <w:pPr>
              <w:jc w:val="center"/>
              <w:rPr>
                <w:rFonts w:ascii="宋体" w:hAnsi="宋体" w:cs="宋体"/>
                <w:color w:val="000000"/>
                <w:szCs w:val="21"/>
              </w:rPr>
            </w:pPr>
          </w:p>
        </w:tc>
        <w:tc>
          <w:tcPr>
            <w:tcW w:w="387" w:type="pct"/>
            <w:vMerge w:val="continue"/>
            <w:vAlign w:val="center"/>
          </w:tcPr>
          <w:p>
            <w:pPr>
              <w:jc w:val="center"/>
              <w:rPr>
                <w:rFonts w:ascii="宋体" w:hAnsi="宋体" w:cs="宋体"/>
                <w:color w:val="000000"/>
                <w:szCs w:val="21"/>
              </w:rPr>
            </w:pPr>
          </w:p>
        </w:tc>
        <w:tc>
          <w:tcPr>
            <w:tcW w:w="536" w:type="pct"/>
            <w:vMerge w:val="continue"/>
            <w:vAlign w:val="center"/>
          </w:tcPr>
          <w:p>
            <w:pPr>
              <w:jc w:val="center"/>
              <w:rPr>
                <w:rFonts w:ascii="宋体" w:hAnsi="宋体" w:cs="宋体"/>
                <w:color w:val="000000"/>
                <w:szCs w:val="21"/>
              </w:rPr>
            </w:pPr>
          </w:p>
        </w:tc>
        <w:tc>
          <w:tcPr>
            <w:tcW w:w="668" w:type="pct"/>
            <w:vAlign w:val="center"/>
          </w:tcPr>
          <w:p>
            <w:pPr>
              <w:jc w:val="center"/>
              <w:rPr>
                <w:rFonts w:ascii="宋体" w:hAnsi="宋体" w:cs="宋体"/>
                <w:color w:val="000000"/>
                <w:szCs w:val="21"/>
              </w:rPr>
            </w:pPr>
            <w:r>
              <w:rPr>
                <w:rFonts w:hint="eastAsia" w:ascii="宋体" w:hAnsi="宋体" w:cs="宋体"/>
                <w:color w:val="000000"/>
                <w:szCs w:val="21"/>
              </w:rPr>
              <w:t>证书名称</w:t>
            </w:r>
          </w:p>
        </w:tc>
        <w:tc>
          <w:tcPr>
            <w:tcW w:w="468" w:type="pct"/>
            <w:vAlign w:val="center"/>
          </w:tcPr>
          <w:p>
            <w:pPr>
              <w:jc w:val="center"/>
              <w:rPr>
                <w:rFonts w:ascii="宋体" w:hAnsi="宋体" w:cs="宋体"/>
                <w:color w:val="000000"/>
                <w:szCs w:val="21"/>
              </w:rPr>
            </w:pPr>
            <w:r>
              <w:rPr>
                <w:rFonts w:hint="eastAsia" w:ascii="宋体" w:hAnsi="宋体" w:cs="宋体"/>
                <w:color w:val="000000"/>
                <w:szCs w:val="21"/>
              </w:rPr>
              <w:t>级别</w:t>
            </w:r>
          </w:p>
        </w:tc>
        <w:tc>
          <w:tcPr>
            <w:tcW w:w="468" w:type="pct"/>
            <w:vAlign w:val="center"/>
          </w:tcPr>
          <w:p>
            <w:pPr>
              <w:jc w:val="center"/>
              <w:rPr>
                <w:rFonts w:ascii="宋体" w:hAnsi="宋体" w:cs="宋体"/>
                <w:color w:val="000000"/>
                <w:szCs w:val="21"/>
              </w:rPr>
            </w:pPr>
            <w:r>
              <w:rPr>
                <w:rFonts w:hint="eastAsia" w:ascii="宋体" w:hAnsi="宋体" w:cs="宋体"/>
                <w:color w:val="000000"/>
                <w:szCs w:val="21"/>
              </w:rPr>
              <w:t>证号</w:t>
            </w:r>
          </w:p>
        </w:tc>
        <w:tc>
          <w:tcPr>
            <w:tcW w:w="470" w:type="pct"/>
            <w:vAlign w:val="center"/>
          </w:tcPr>
          <w:p>
            <w:pPr>
              <w:jc w:val="center"/>
              <w:rPr>
                <w:rFonts w:ascii="宋体" w:hAnsi="宋体" w:cs="宋体"/>
                <w:color w:val="000000"/>
                <w:szCs w:val="21"/>
              </w:rPr>
            </w:pPr>
            <w:r>
              <w:rPr>
                <w:rFonts w:hint="eastAsia" w:ascii="宋体" w:hAnsi="宋体" w:cs="宋体"/>
                <w:color w:val="000000"/>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519" w:type="pct"/>
            <w:vAlign w:val="center"/>
          </w:tcPr>
          <w:p>
            <w:pPr>
              <w:jc w:val="center"/>
              <w:rPr>
                <w:rFonts w:ascii="宋体" w:hAnsi="宋体" w:cs="宋体"/>
                <w:color w:val="000000"/>
                <w:szCs w:val="21"/>
              </w:rPr>
            </w:pPr>
            <w:r>
              <w:rPr>
                <w:rFonts w:hint="eastAsia" w:asciiTheme="minorEastAsia" w:hAnsiTheme="minorEastAsia" w:eastAsiaTheme="minorEastAsia" w:cstheme="minorEastAsia"/>
                <w:color w:val="000000" w:themeColor="text1"/>
                <w:kern w:val="0"/>
                <w:szCs w:val="21"/>
              </w:rPr>
              <w:t>项目负责人</w:t>
            </w:r>
          </w:p>
        </w:tc>
        <w:tc>
          <w:tcPr>
            <w:tcW w:w="701" w:type="pct"/>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1标段</w:t>
            </w:r>
          </w:p>
        </w:tc>
        <w:tc>
          <w:tcPr>
            <w:tcW w:w="390" w:type="pct"/>
            <w:vAlign w:val="center"/>
          </w:tcPr>
          <w:p>
            <w:pPr>
              <w:jc w:val="center"/>
              <w:rPr>
                <w:rFonts w:ascii="宋体" w:hAnsi="宋体" w:cs="宋体"/>
                <w:color w:val="000000"/>
                <w:szCs w:val="21"/>
              </w:rPr>
            </w:pPr>
          </w:p>
        </w:tc>
        <w:tc>
          <w:tcPr>
            <w:tcW w:w="390" w:type="pct"/>
            <w:vAlign w:val="center"/>
          </w:tcPr>
          <w:p>
            <w:pPr>
              <w:jc w:val="center"/>
              <w:rPr>
                <w:rFonts w:ascii="宋体" w:hAnsi="宋体" w:cs="宋体"/>
                <w:color w:val="000000"/>
                <w:szCs w:val="21"/>
              </w:rPr>
            </w:pPr>
          </w:p>
        </w:tc>
        <w:tc>
          <w:tcPr>
            <w:tcW w:w="387" w:type="pct"/>
            <w:vAlign w:val="center"/>
          </w:tcPr>
          <w:p>
            <w:pPr>
              <w:jc w:val="center"/>
              <w:rPr>
                <w:rFonts w:ascii="宋体" w:hAnsi="宋体" w:cs="宋体"/>
                <w:color w:val="000000"/>
                <w:szCs w:val="21"/>
              </w:rPr>
            </w:pPr>
          </w:p>
        </w:tc>
        <w:tc>
          <w:tcPr>
            <w:tcW w:w="536" w:type="pct"/>
            <w:vAlign w:val="center"/>
          </w:tcPr>
          <w:p>
            <w:pPr>
              <w:jc w:val="center"/>
              <w:rPr>
                <w:rFonts w:ascii="宋体" w:hAnsi="宋体" w:cs="宋体"/>
                <w:color w:val="000000"/>
                <w:szCs w:val="21"/>
              </w:rPr>
            </w:pPr>
          </w:p>
        </w:tc>
        <w:tc>
          <w:tcPr>
            <w:tcW w:w="668" w:type="pct"/>
            <w:vAlign w:val="center"/>
          </w:tcPr>
          <w:p>
            <w:pPr>
              <w:jc w:val="center"/>
              <w:rPr>
                <w:rFonts w:ascii="宋体" w:hAnsi="宋体" w:cs="宋体"/>
                <w:color w:val="000000"/>
                <w:szCs w:val="21"/>
              </w:rPr>
            </w:pPr>
          </w:p>
        </w:tc>
        <w:tc>
          <w:tcPr>
            <w:tcW w:w="468" w:type="pct"/>
            <w:vAlign w:val="center"/>
          </w:tcPr>
          <w:p>
            <w:pPr>
              <w:jc w:val="center"/>
              <w:rPr>
                <w:rFonts w:ascii="宋体" w:hAnsi="宋体" w:cs="宋体"/>
                <w:color w:val="000000"/>
                <w:szCs w:val="21"/>
              </w:rPr>
            </w:pPr>
          </w:p>
        </w:tc>
        <w:tc>
          <w:tcPr>
            <w:tcW w:w="468" w:type="pct"/>
            <w:vAlign w:val="center"/>
          </w:tcPr>
          <w:p>
            <w:pPr>
              <w:jc w:val="center"/>
              <w:rPr>
                <w:rFonts w:ascii="宋体" w:hAnsi="宋体" w:cs="宋体"/>
                <w:color w:val="000000"/>
                <w:szCs w:val="21"/>
              </w:rPr>
            </w:pPr>
          </w:p>
        </w:tc>
        <w:tc>
          <w:tcPr>
            <w:tcW w:w="470" w:type="pct"/>
            <w:vAlign w:val="center"/>
          </w:tcPr>
          <w:p>
            <w:pPr>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519" w:type="pct"/>
            <w:vMerge w:val="restart"/>
            <w:vAlign w:val="center"/>
          </w:tcPr>
          <w:p>
            <w:pPr>
              <w:jc w:val="center"/>
              <w:rPr>
                <w:rFonts w:ascii="宋体" w:hAnsi="宋体" w:cs="宋体" w:eastAsiaTheme="minorEastAsia"/>
                <w:color w:val="000000"/>
                <w:szCs w:val="21"/>
              </w:rPr>
            </w:pPr>
            <w:r>
              <w:rPr>
                <w:rFonts w:hint="eastAsia" w:asciiTheme="minorEastAsia" w:hAnsiTheme="minorEastAsia" w:eastAsiaTheme="minorEastAsia" w:cstheme="minorEastAsia"/>
                <w:color w:val="000000" w:themeColor="text1"/>
                <w:kern w:val="0"/>
                <w:szCs w:val="21"/>
              </w:rPr>
              <w:t>项目组成员</w:t>
            </w:r>
          </w:p>
        </w:tc>
        <w:tc>
          <w:tcPr>
            <w:tcW w:w="1301" w:type="dxa"/>
            <w:vAlign w:val="center"/>
          </w:tcPr>
          <w:p>
            <w:pPr>
              <w:jc w:val="center"/>
              <w:rPr>
                <w:rFonts w:ascii="宋体" w:hAnsi="宋体" w:cs="宋体"/>
                <w:color w:val="000000"/>
                <w:szCs w:val="21"/>
              </w:rPr>
            </w:pPr>
            <w:r>
              <w:rPr>
                <w:rFonts w:hint="eastAsia" w:ascii="宋体" w:hAnsi="宋体" w:cs="宋体"/>
                <w:color w:val="000000" w:themeColor="text1"/>
                <w:szCs w:val="21"/>
                <w:lang w:val="zh-CN"/>
              </w:rPr>
              <w:t>南阳镇</w:t>
            </w:r>
          </w:p>
        </w:tc>
        <w:tc>
          <w:tcPr>
            <w:tcW w:w="390" w:type="pct"/>
            <w:tcBorders>
              <w:bottom w:val="single" w:color="auto" w:sz="4" w:space="0"/>
            </w:tcBorders>
            <w:vAlign w:val="center"/>
          </w:tcPr>
          <w:p>
            <w:pPr>
              <w:jc w:val="center"/>
              <w:rPr>
                <w:rFonts w:ascii="宋体" w:hAnsi="宋体" w:cs="宋体"/>
                <w:color w:val="000000"/>
                <w:szCs w:val="21"/>
              </w:rPr>
            </w:pPr>
          </w:p>
        </w:tc>
        <w:tc>
          <w:tcPr>
            <w:tcW w:w="390" w:type="pct"/>
            <w:tcBorders>
              <w:bottom w:val="single" w:color="auto" w:sz="4" w:space="0"/>
            </w:tcBorders>
            <w:vAlign w:val="center"/>
          </w:tcPr>
          <w:p>
            <w:pPr>
              <w:jc w:val="center"/>
              <w:rPr>
                <w:rFonts w:ascii="宋体" w:hAnsi="宋体" w:cs="宋体"/>
                <w:color w:val="000000"/>
                <w:szCs w:val="21"/>
              </w:rPr>
            </w:pPr>
          </w:p>
        </w:tc>
        <w:tc>
          <w:tcPr>
            <w:tcW w:w="387" w:type="pct"/>
            <w:tcBorders>
              <w:bottom w:val="single" w:color="auto" w:sz="4" w:space="0"/>
            </w:tcBorders>
            <w:vAlign w:val="center"/>
          </w:tcPr>
          <w:p>
            <w:pPr>
              <w:jc w:val="center"/>
              <w:rPr>
                <w:rFonts w:ascii="宋体" w:hAnsi="宋体" w:cs="宋体"/>
                <w:color w:val="000000"/>
                <w:szCs w:val="21"/>
              </w:rPr>
            </w:pPr>
          </w:p>
        </w:tc>
        <w:tc>
          <w:tcPr>
            <w:tcW w:w="536" w:type="pct"/>
            <w:tcBorders>
              <w:bottom w:val="single" w:color="auto" w:sz="4" w:space="0"/>
            </w:tcBorders>
            <w:vAlign w:val="center"/>
          </w:tcPr>
          <w:p>
            <w:pPr>
              <w:jc w:val="center"/>
              <w:rPr>
                <w:rFonts w:ascii="宋体" w:hAnsi="宋体" w:cs="宋体"/>
                <w:color w:val="000000"/>
                <w:szCs w:val="21"/>
              </w:rPr>
            </w:pPr>
          </w:p>
        </w:tc>
        <w:tc>
          <w:tcPr>
            <w:tcW w:w="668" w:type="pct"/>
            <w:tcBorders>
              <w:bottom w:val="single" w:color="auto" w:sz="4" w:space="0"/>
            </w:tcBorders>
            <w:vAlign w:val="center"/>
          </w:tcPr>
          <w:p>
            <w:pPr>
              <w:jc w:val="center"/>
              <w:rPr>
                <w:rFonts w:ascii="宋体" w:hAnsi="宋体" w:cs="宋体"/>
                <w:color w:val="000000"/>
                <w:szCs w:val="21"/>
              </w:rPr>
            </w:pPr>
          </w:p>
        </w:tc>
        <w:tc>
          <w:tcPr>
            <w:tcW w:w="468" w:type="pct"/>
            <w:tcBorders>
              <w:bottom w:val="single" w:color="auto" w:sz="4" w:space="0"/>
            </w:tcBorders>
            <w:vAlign w:val="center"/>
          </w:tcPr>
          <w:p>
            <w:pPr>
              <w:jc w:val="center"/>
              <w:rPr>
                <w:rFonts w:ascii="宋体" w:hAnsi="宋体" w:cs="宋体"/>
                <w:color w:val="000000"/>
                <w:szCs w:val="21"/>
              </w:rPr>
            </w:pPr>
          </w:p>
        </w:tc>
        <w:tc>
          <w:tcPr>
            <w:tcW w:w="468" w:type="pct"/>
            <w:tcBorders>
              <w:bottom w:val="single" w:color="auto" w:sz="4" w:space="0"/>
            </w:tcBorders>
            <w:vAlign w:val="center"/>
          </w:tcPr>
          <w:p>
            <w:pPr>
              <w:jc w:val="center"/>
              <w:rPr>
                <w:rFonts w:ascii="宋体" w:hAnsi="宋体" w:cs="宋体"/>
                <w:color w:val="000000"/>
                <w:szCs w:val="21"/>
              </w:rPr>
            </w:pPr>
          </w:p>
        </w:tc>
        <w:tc>
          <w:tcPr>
            <w:tcW w:w="470" w:type="pct"/>
            <w:tcBorders>
              <w:bottom w:val="single" w:color="auto" w:sz="4" w:space="0"/>
            </w:tcBorders>
            <w:vAlign w:val="center"/>
          </w:tcPr>
          <w:p>
            <w:pPr>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519" w:type="pct"/>
            <w:vMerge w:val="continue"/>
            <w:vAlign w:val="center"/>
          </w:tcPr>
          <w:p>
            <w:pPr>
              <w:jc w:val="center"/>
              <w:rPr>
                <w:rFonts w:ascii="宋体" w:hAnsi="宋体" w:cs="宋体"/>
                <w:color w:val="000000"/>
                <w:szCs w:val="21"/>
              </w:rPr>
            </w:pPr>
          </w:p>
        </w:tc>
        <w:tc>
          <w:tcPr>
            <w:tcW w:w="1301" w:type="dxa"/>
            <w:vAlign w:val="center"/>
          </w:tcPr>
          <w:p>
            <w:pPr>
              <w:jc w:val="center"/>
              <w:rPr>
                <w:rFonts w:ascii="宋体" w:hAnsi="宋体" w:cs="宋体"/>
                <w:color w:val="000000"/>
                <w:szCs w:val="21"/>
              </w:rPr>
            </w:pPr>
            <w:r>
              <w:rPr>
                <w:rFonts w:hint="eastAsia" w:ascii="宋体" w:hAnsi="宋体" w:cs="宋体"/>
                <w:color w:val="000000" w:themeColor="text1"/>
                <w:szCs w:val="21"/>
                <w:lang w:val="zh-CN"/>
              </w:rPr>
              <w:t>万盈镇</w:t>
            </w:r>
          </w:p>
        </w:tc>
        <w:tc>
          <w:tcPr>
            <w:tcW w:w="390" w:type="pct"/>
            <w:tcBorders>
              <w:top w:val="single" w:color="auto" w:sz="4" w:space="0"/>
              <w:bottom w:val="single" w:color="auto" w:sz="4" w:space="0"/>
            </w:tcBorders>
            <w:vAlign w:val="center"/>
          </w:tcPr>
          <w:p>
            <w:pPr>
              <w:jc w:val="center"/>
              <w:rPr>
                <w:rFonts w:ascii="宋体" w:hAnsi="宋体" w:cs="宋体"/>
                <w:color w:val="000000"/>
                <w:szCs w:val="21"/>
              </w:rPr>
            </w:pPr>
          </w:p>
        </w:tc>
        <w:tc>
          <w:tcPr>
            <w:tcW w:w="390" w:type="pct"/>
            <w:tcBorders>
              <w:top w:val="single" w:color="auto" w:sz="4" w:space="0"/>
              <w:bottom w:val="single" w:color="auto" w:sz="4" w:space="0"/>
            </w:tcBorders>
            <w:vAlign w:val="center"/>
          </w:tcPr>
          <w:p>
            <w:pPr>
              <w:jc w:val="center"/>
              <w:rPr>
                <w:rFonts w:ascii="宋体" w:hAnsi="宋体" w:cs="宋体"/>
                <w:color w:val="000000"/>
                <w:szCs w:val="21"/>
              </w:rPr>
            </w:pPr>
          </w:p>
        </w:tc>
        <w:tc>
          <w:tcPr>
            <w:tcW w:w="387" w:type="pct"/>
            <w:tcBorders>
              <w:top w:val="single" w:color="auto" w:sz="4" w:space="0"/>
              <w:bottom w:val="single" w:color="auto" w:sz="4" w:space="0"/>
            </w:tcBorders>
            <w:vAlign w:val="center"/>
          </w:tcPr>
          <w:p>
            <w:pPr>
              <w:jc w:val="center"/>
              <w:rPr>
                <w:rFonts w:ascii="宋体" w:hAnsi="宋体" w:cs="宋体"/>
                <w:color w:val="000000"/>
                <w:szCs w:val="21"/>
              </w:rPr>
            </w:pPr>
          </w:p>
        </w:tc>
        <w:tc>
          <w:tcPr>
            <w:tcW w:w="536" w:type="pct"/>
            <w:tcBorders>
              <w:top w:val="single" w:color="auto" w:sz="4" w:space="0"/>
              <w:bottom w:val="single" w:color="auto" w:sz="4" w:space="0"/>
            </w:tcBorders>
            <w:vAlign w:val="center"/>
          </w:tcPr>
          <w:p>
            <w:pPr>
              <w:jc w:val="center"/>
              <w:rPr>
                <w:rFonts w:ascii="宋体" w:hAnsi="宋体" w:cs="宋体"/>
                <w:color w:val="000000"/>
                <w:szCs w:val="21"/>
              </w:rPr>
            </w:pPr>
          </w:p>
        </w:tc>
        <w:tc>
          <w:tcPr>
            <w:tcW w:w="668" w:type="pct"/>
            <w:tcBorders>
              <w:top w:val="single" w:color="auto" w:sz="4" w:space="0"/>
              <w:bottom w:val="single" w:color="auto" w:sz="4" w:space="0"/>
            </w:tcBorders>
            <w:vAlign w:val="center"/>
          </w:tcPr>
          <w:p>
            <w:pPr>
              <w:jc w:val="center"/>
              <w:rPr>
                <w:rFonts w:ascii="宋体" w:hAnsi="宋体" w:cs="宋体"/>
                <w:color w:val="000000"/>
                <w:szCs w:val="21"/>
              </w:rPr>
            </w:pPr>
          </w:p>
        </w:tc>
        <w:tc>
          <w:tcPr>
            <w:tcW w:w="468" w:type="pct"/>
            <w:tcBorders>
              <w:top w:val="single" w:color="auto" w:sz="4" w:space="0"/>
              <w:bottom w:val="single" w:color="auto" w:sz="4" w:space="0"/>
            </w:tcBorders>
            <w:vAlign w:val="center"/>
          </w:tcPr>
          <w:p>
            <w:pPr>
              <w:jc w:val="center"/>
              <w:rPr>
                <w:rFonts w:ascii="宋体" w:hAnsi="宋体" w:cs="宋体"/>
                <w:color w:val="000000"/>
                <w:szCs w:val="21"/>
              </w:rPr>
            </w:pPr>
          </w:p>
        </w:tc>
        <w:tc>
          <w:tcPr>
            <w:tcW w:w="468" w:type="pct"/>
            <w:tcBorders>
              <w:top w:val="single" w:color="auto" w:sz="4" w:space="0"/>
              <w:bottom w:val="single" w:color="auto" w:sz="4" w:space="0"/>
            </w:tcBorders>
            <w:vAlign w:val="center"/>
          </w:tcPr>
          <w:p>
            <w:pPr>
              <w:jc w:val="center"/>
              <w:rPr>
                <w:rFonts w:ascii="宋体" w:hAnsi="宋体" w:cs="宋体"/>
                <w:color w:val="000000"/>
                <w:szCs w:val="21"/>
              </w:rPr>
            </w:pPr>
          </w:p>
        </w:tc>
        <w:tc>
          <w:tcPr>
            <w:tcW w:w="470" w:type="pct"/>
            <w:tcBorders>
              <w:top w:val="single" w:color="auto" w:sz="4" w:space="0"/>
              <w:bottom w:val="single" w:color="auto" w:sz="4" w:space="0"/>
            </w:tcBorders>
            <w:vAlign w:val="center"/>
          </w:tcPr>
          <w:p>
            <w:pPr>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519" w:type="pct"/>
            <w:vMerge w:val="continue"/>
            <w:vAlign w:val="center"/>
          </w:tcPr>
          <w:p>
            <w:pPr>
              <w:jc w:val="center"/>
              <w:rPr>
                <w:rFonts w:ascii="宋体" w:hAnsi="宋体" w:cs="宋体"/>
                <w:color w:val="000000"/>
                <w:szCs w:val="21"/>
              </w:rPr>
            </w:pPr>
          </w:p>
        </w:tc>
        <w:tc>
          <w:tcPr>
            <w:tcW w:w="1301" w:type="dxa"/>
            <w:vAlign w:val="center"/>
          </w:tcPr>
          <w:p>
            <w:pPr>
              <w:jc w:val="center"/>
              <w:rPr>
                <w:rFonts w:ascii="宋体" w:hAnsi="宋体" w:cs="宋体"/>
                <w:color w:val="000000"/>
                <w:szCs w:val="21"/>
              </w:rPr>
            </w:pPr>
            <w:r>
              <w:rPr>
                <w:rFonts w:hint="eastAsia" w:ascii="宋体" w:hAnsi="宋体" w:cs="宋体"/>
                <w:color w:val="000000" w:themeColor="text1"/>
                <w:szCs w:val="21"/>
                <w:lang w:val="zh-CN"/>
              </w:rPr>
              <w:t>草庙镇</w:t>
            </w:r>
          </w:p>
        </w:tc>
        <w:tc>
          <w:tcPr>
            <w:tcW w:w="390" w:type="pct"/>
            <w:tcBorders>
              <w:top w:val="single" w:color="auto" w:sz="4" w:space="0"/>
              <w:bottom w:val="single" w:color="auto" w:sz="4" w:space="0"/>
            </w:tcBorders>
            <w:vAlign w:val="center"/>
          </w:tcPr>
          <w:p>
            <w:pPr>
              <w:jc w:val="center"/>
              <w:rPr>
                <w:rFonts w:ascii="宋体" w:hAnsi="宋体" w:cs="宋体"/>
                <w:color w:val="000000"/>
                <w:szCs w:val="21"/>
              </w:rPr>
            </w:pPr>
          </w:p>
        </w:tc>
        <w:tc>
          <w:tcPr>
            <w:tcW w:w="390" w:type="pct"/>
            <w:tcBorders>
              <w:top w:val="single" w:color="auto" w:sz="4" w:space="0"/>
              <w:bottom w:val="single" w:color="auto" w:sz="4" w:space="0"/>
            </w:tcBorders>
            <w:vAlign w:val="center"/>
          </w:tcPr>
          <w:p>
            <w:pPr>
              <w:jc w:val="center"/>
              <w:rPr>
                <w:rFonts w:ascii="宋体" w:hAnsi="宋体" w:cs="宋体"/>
                <w:color w:val="000000"/>
                <w:szCs w:val="21"/>
              </w:rPr>
            </w:pPr>
          </w:p>
        </w:tc>
        <w:tc>
          <w:tcPr>
            <w:tcW w:w="387" w:type="pct"/>
            <w:tcBorders>
              <w:top w:val="single" w:color="auto" w:sz="4" w:space="0"/>
              <w:bottom w:val="single" w:color="auto" w:sz="4" w:space="0"/>
            </w:tcBorders>
            <w:vAlign w:val="center"/>
          </w:tcPr>
          <w:p>
            <w:pPr>
              <w:jc w:val="center"/>
              <w:rPr>
                <w:rFonts w:ascii="宋体" w:hAnsi="宋体" w:cs="宋体"/>
                <w:color w:val="000000"/>
                <w:szCs w:val="21"/>
              </w:rPr>
            </w:pPr>
          </w:p>
        </w:tc>
        <w:tc>
          <w:tcPr>
            <w:tcW w:w="536" w:type="pct"/>
            <w:tcBorders>
              <w:top w:val="single" w:color="auto" w:sz="4" w:space="0"/>
              <w:bottom w:val="single" w:color="auto" w:sz="4" w:space="0"/>
            </w:tcBorders>
            <w:vAlign w:val="center"/>
          </w:tcPr>
          <w:p>
            <w:pPr>
              <w:jc w:val="center"/>
              <w:rPr>
                <w:rFonts w:ascii="宋体" w:hAnsi="宋体" w:cs="宋体"/>
                <w:color w:val="000000"/>
                <w:szCs w:val="21"/>
              </w:rPr>
            </w:pPr>
          </w:p>
        </w:tc>
        <w:tc>
          <w:tcPr>
            <w:tcW w:w="668" w:type="pct"/>
            <w:tcBorders>
              <w:top w:val="single" w:color="auto" w:sz="4" w:space="0"/>
              <w:bottom w:val="single" w:color="auto" w:sz="4" w:space="0"/>
            </w:tcBorders>
            <w:vAlign w:val="center"/>
          </w:tcPr>
          <w:p>
            <w:pPr>
              <w:jc w:val="center"/>
              <w:rPr>
                <w:rFonts w:ascii="宋体" w:hAnsi="宋体" w:cs="宋体"/>
                <w:color w:val="000000"/>
                <w:szCs w:val="21"/>
              </w:rPr>
            </w:pPr>
          </w:p>
        </w:tc>
        <w:tc>
          <w:tcPr>
            <w:tcW w:w="468" w:type="pct"/>
            <w:tcBorders>
              <w:top w:val="single" w:color="auto" w:sz="4" w:space="0"/>
              <w:bottom w:val="single" w:color="auto" w:sz="4" w:space="0"/>
            </w:tcBorders>
            <w:vAlign w:val="center"/>
          </w:tcPr>
          <w:p>
            <w:pPr>
              <w:jc w:val="center"/>
              <w:rPr>
                <w:rFonts w:ascii="宋体" w:hAnsi="宋体" w:cs="宋体"/>
                <w:color w:val="000000"/>
                <w:szCs w:val="21"/>
              </w:rPr>
            </w:pPr>
          </w:p>
        </w:tc>
        <w:tc>
          <w:tcPr>
            <w:tcW w:w="468" w:type="pct"/>
            <w:tcBorders>
              <w:top w:val="single" w:color="auto" w:sz="4" w:space="0"/>
              <w:bottom w:val="single" w:color="auto" w:sz="4" w:space="0"/>
            </w:tcBorders>
            <w:vAlign w:val="center"/>
          </w:tcPr>
          <w:p>
            <w:pPr>
              <w:jc w:val="center"/>
              <w:rPr>
                <w:rFonts w:ascii="宋体" w:hAnsi="宋体" w:cs="宋体"/>
                <w:color w:val="000000"/>
                <w:szCs w:val="21"/>
              </w:rPr>
            </w:pPr>
          </w:p>
        </w:tc>
        <w:tc>
          <w:tcPr>
            <w:tcW w:w="470" w:type="pct"/>
            <w:tcBorders>
              <w:top w:val="single" w:color="auto" w:sz="4" w:space="0"/>
              <w:bottom w:val="single" w:color="auto" w:sz="4" w:space="0"/>
            </w:tcBorders>
            <w:vAlign w:val="center"/>
          </w:tcPr>
          <w:p>
            <w:pPr>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519" w:type="pct"/>
            <w:vMerge w:val="continue"/>
            <w:vAlign w:val="center"/>
          </w:tcPr>
          <w:p>
            <w:pPr>
              <w:jc w:val="center"/>
              <w:rPr>
                <w:rFonts w:ascii="宋体" w:hAnsi="宋体" w:cs="宋体"/>
                <w:color w:val="000000"/>
                <w:szCs w:val="21"/>
              </w:rPr>
            </w:pPr>
          </w:p>
        </w:tc>
        <w:tc>
          <w:tcPr>
            <w:tcW w:w="1301" w:type="dxa"/>
            <w:vAlign w:val="center"/>
          </w:tcPr>
          <w:p>
            <w:pPr>
              <w:jc w:val="center"/>
              <w:rPr>
                <w:rFonts w:ascii="宋体" w:hAnsi="宋体" w:cs="宋体"/>
                <w:color w:val="000000"/>
                <w:szCs w:val="21"/>
              </w:rPr>
            </w:pPr>
            <w:r>
              <w:rPr>
                <w:rFonts w:hint="eastAsia" w:ascii="宋体" w:hAnsi="宋体" w:cs="宋体"/>
                <w:color w:val="000000" w:themeColor="text1"/>
                <w:szCs w:val="21"/>
                <w:lang w:val="zh-CN"/>
              </w:rPr>
              <w:t>大桥镇</w:t>
            </w:r>
          </w:p>
        </w:tc>
        <w:tc>
          <w:tcPr>
            <w:tcW w:w="390" w:type="pct"/>
            <w:tcBorders>
              <w:top w:val="single" w:color="auto" w:sz="4" w:space="0"/>
              <w:bottom w:val="single" w:color="auto" w:sz="4" w:space="0"/>
            </w:tcBorders>
            <w:vAlign w:val="center"/>
          </w:tcPr>
          <w:p>
            <w:pPr>
              <w:jc w:val="center"/>
              <w:rPr>
                <w:rFonts w:ascii="宋体" w:hAnsi="宋体" w:cs="宋体"/>
                <w:color w:val="000000"/>
                <w:szCs w:val="21"/>
              </w:rPr>
            </w:pPr>
          </w:p>
        </w:tc>
        <w:tc>
          <w:tcPr>
            <w:tcW w:w="390" w:type="pct"/>
            <w:tcBorders>
              <w:top w:val="single" w:color="auto" w:sz="4" w:space="0"/>
              <w:bottom w:val="single" w:color="auto" w:sz="4" w:space="0"/>
            </w:tcBorders>
            <w:vAlign w:val="center"/>
          </w:tcPr>
          <w:p>
            <w:pPr>
              <w:jc w:val="center"/>
              <w:rPr>
                <w:rFonts w:ascii="宋体" w:hAnsi="宋体" w:cs="宋体"/>
                <w:color w:val="000000"/>
                <w:szCs w:val="21"/>
              </w:rPr>
            </w:pPr>
          </w:p>
        </w:tc>
        <w:tc>
          <w:tcPr>
            <w:tcW w:w="387" w:type="pct"/>
            <w:tcBorders>
              <w:top w:val="single" w:color="auto" w:sz="4" w:space="0"/>
              <w:bottom w:val="single" w:color="auto" w:sz="4" w:space="0"/>
            </w:tcBorders>
            <w:vAlign w:val="center"/>
          </w:tcPr>
          <w:p>
            <w:pPr>
              <w:jc w:val="center"/>
              <w:rPr>
                <w:rFonts w:ascii="宋体" w:hAnsi="宋体" w:cs="宋体"/>
                <w:color w:val="000000"/>
                <w:szCs w:val="21"/>
              </w:rPr>
            </w:pPr>
          </w:p>
        </w:tc>
        <w:tc>
          <w:tcPr>
            <w:tcW w:w="536" w:type="pct"/>
            <w:tcBorders>
              <w:top w:val="single" w:color="auto" w:sz="4" w:space="0"/>
              <w:bottom w:val="single" w:color="auto" w:sz="4" w:space="0"/>
            </w:tcBorders>
            <w:vAlign w:val="center"/>
          </w:tcPr>
          <w:p>
            <w:pPr>
              <w:jc w:val="center"/>
              <w:rPr>
                <w:rFonts w:ascii="宋体" w:hAnsi="宋体" w:cs="宋体"/>
                <w:color w:val="000000"/>
                <w:szCs w:val="21"/>
              </w:rPr>
            </w:pPr>
          </w:p>
        </w:tc>
        <w:tc>
          <w:tcPr>
            <w:tcW w:w="668" w:type="pct"/>
            <w:tcBorders>
              <w:top w:val="single" w:color="auto" w:sz="4" w:space="0"/>
              <w:bottom w:val="single" w:color="auto" w:sz="4" w:space="0"/>
            </w:tcBorders>
            <w:vAlign w:val="center"/>
          </w:tcPr>
          <w:p>
            <w:pPr>
              <w:jc w:val="center"/>
              <w:rPr>
                <w:rFonts w:ascii="宋体" w:hAnsi="宋体" w:cs="宋体"/>
                <w:color w:val="000000"/>
                <w:szCs w:val="21"/>
              </w:rPr>
            </w:pPr>
          </w:p>
        </w:tc>
        <w:tc>
          <w:tcPr>
            <w:tcW w:w="468" w:type="pct"/>
            <w:tcBorders>
              <w:top w:val="single" w:color="auto" w:sz="4" w:space="0"/>
              <w:bottom w:val="single" w:color="auto" w:sz="4" w:space="0"/>
            </w:tcBorders>
            <w:vAlign w:val="center"/>
          </w:tcPr>
          <w:p>
            <w:pPr>
              <w:jc w:val="center"/>
              <w:rPr>
                <w:rFonts w:ascii="宋体" w:hAnsi="宋体" w:cs="宋体"/>
                <w:color w:val="000000"/>
                <w:szCs w:val="21"/>
              </w:rPr>
            </w:pPr>
          </w:p>
        </w:tc>
        <w:tc>
          <w:tcPr>
            <w:tcW w:w="468" w:type="pct"/>
            <w:tcBorders>
              <w:top w:val="single" w:color="auto" w:sz="4" w:space="0"/>
              <w:bottom w:val="single" w:color="auto" w:sz="4" w:space="0"/>
            </w:tcBorders>
            <w:vAlign w:val="center"/>
          </w:tcPr>
          <w:p>
            <w:pPr>
              <w:jc w:val="center"/>
              <w:rPr>
                <w:rFonts w:ascii="宋体" w:hAnsi="宋体" w:cs="宋体"/>
                <w:color w:val="000000"/>
                <w:szCs w:val="21"/>
              </w:rPr>
            </w:pPr>
          </w:p>
        </w:tc>
        <w:tc>
          <w:tcPr>
            <w:tcW w:w="470" w:type="pct"/>
            <w:tcBorders>
              <w:top w:val="single" w:color="auto" w:sz="4" w:space="0"/>
              <w:bottom w:val="single" w:color="auto" w:sz="4" w:space="0"/>
            </w:tcBorders>
            <w:vAlign w:val="center"/>
          </w:tcPr>
          <w:p>
            <w:pPr>
              <w:jc w:val="center"/>
              <w:rPr>
                <w:rFonts w:ascii="宋体" w:hAnsi="宋体" w:cs="宋体"/>
                <w:color w:val="000000"/>
                <w:szCs w:val="21"/>
              </w:rPr>
            </w:pPr>
          </w:p>
        </w:tc>
      </w:tr>
    </w:tbl>
    <w:p>
      <w:pPr>
        <w:jc w:val="center"/>
        <w:rPr>
          <w:rFonts w:ascii="宋体" w:hAnsi="宋体" w:cs="宋体"/>
          <w:b/>
          <w:color w:val="000000"/>
          <w:kern w:val="0"/>
          <w:szCs w:val="21"/>
        </w:rPr>
      </w:pPr>
    </w:p>
    <w:p>
      <w:pPr>
        <w:jc w:val="center"/>
        <w:rPr>
          <w:rFonts w:ascii="宋体" w:hAnsi="宋体" w:cs="宋体"/>
          <w:b/>
          <w:color w:val="000000"/>
          <w:kern w:val="0"/>
          <w:szCs w:val="21"/>
        </w:rPr>
      </w:pPr>
      <w:r>
        <w:rPr>
          <w:rFonts w:hint="eastAsia" w:ascii="宋体" w:hAnsi="宋体" w:cs="宋体"/>
          <w:b/>
          <w:color w:val="000000"/>
          <w:kern w:val="0"/>
          <w:szCs w:val="21"/>
        </w:rPr>
        <w:t>并不仅限于此表，根据工程需要合理配备人员，每个镇（街道、区）不少于2名跟踪审计人员。</w:t>
      </w:r>
    </w:p>
    <w:p>
      <w:pPr>
        <w:rPr>
          <w:rFonts w:ascii="宋体" w:hAnsi="宋体" w:cs="宋体"/>
          <w:b/>
          <w:color w:val="000000"/>
          <w:kern w:val="0"/>
          <w:szCs w:val="21"/>
        </w:rPr>
      </w:pPr>
      <w:r>
        <w:rPr>
          <w:rFonts w:hint="eastAsia" w:ascii="宋体" w:hAnsi="宋体" w:cs="宋体"/>
          <w:b/>
          <w:color w:val="000000"/>
          <w:kern w:val="0"/>
          <w:szCs w:val="21"/>
        </w:rPr>
        <w:br w:type="page"/>
      </w:r>
    </w:p>
    <w:p>
      <w:pPr>
        <w:rPr>
          <w:rFonts w:eastAsia="黑体"/>
          <w:bCs/>
          <w:color w:val="000000"/>
          <w:kern w:val="0"/>
          <w:sz w:val="24"/>
          <w:szCs w:val="32"/>
        </w:rPr>
      </w:pPr>
      <w:bookmarkStart w:id="436" w:name="_Toc398107937"/>
      <w:r>
        <w:rPr>
          <w:rFonts w:hint="eastAsia" w:eastAsia="黑体"/>
          <w:bCs/>
          <w:color w:val="000000"/>
          <w:kern w:val="0"/>
          <w:sz w:val="24"/>
          <w:szCs w:val="32"/>
        </w:rPr>
        <w:t>9.2 拟选派项目组机构人员简历表（含附件）</w:t>
      </w:r>
      <w:bookmarkEnd w:id="436"/>
    </w:p>
    <w:p>
      <w:pPr>
        <w:jc w:val="center"/>
        <w:rPr>
          <w:color w:val="000000"/>
          <w:sz w:val="32"/>
          <w:szCs w:val="32"/>
        </w:rPr>
      </w:pPr>
      <w:r>
        <w:rPr>
          <w:rFonts w:hint="eastAsia"/>
          <w:color w:val="000000"/>
          <w:sz w:val="32"/>
          <w:szCs w:val="32"/>
        </w:rPr>
        <w:t>我单位承诺拟选派本工程项目组机构人员简历表如下：</w:t>
      </w:r>
    </w:p>
    <w:p>
      <w:pPr>
        <w:rPr>
          <w:color w:val="000000"/>
        </w:rPr>
      </w:pP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602"/>
        <w:gridCol w:w="992"/>
        <w:gridCol w:w="1369"/>
        <w:gridCol w:w="243"/>
        <w:gridCol w:w="1261"/>
        <w:gridCol w:w="1437"/>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09" w:type="dxa"/>
            <w:vAlign w:val="center"/>
          </w:tcPr>
          <w:p>
            <w:pPr>
              <w:jc w:val="center"/>
              <w:rPr>
                <w:rFonts w:ascii="宋体" w:hAnsi="宋体" w:cs="宋体"/>
                <w:color w:val="000000"/>
                <w:szCs w:val="21"/>
              </w:rPr>
            </w:pPr>
            <w:r>
              <w:rPr>
                <w:rFonts w:hint="eastAsia" w:ascii="宋体" w:hAnsi="宋体" w:cs="宋体"/>
                <w:color w:val="000000"/>
                <w:szCs w:val="21"/>
              </w:rPr>
              <w:t>姓名</w:t>
            </w:r>
          </w:p>
        </w:tc>
        <w:tc>
          <w:tcPr>
            <w:tcW w:w="1602" w:type="dxa"/>
            <w:vAlign w:val="center"/>
          </w:tcPr>
          <w:p>
            <w:pPr>
              <w:jc w:val="center"/>
              <w:rPr>
                <w:rFonts w:ascii="宋体" w:hAnsi="宋体" w:cs="宋体"/>
                <w:color w:val="000000"/>
                <w:szCs w:val="21"/>
              </w:rPr>
            </w:pPr>
          </w:p>
        </w:tc>
        <w:tc>
          <w:tcPr>
            <w:tcW w:w="992" w:type="dxa"/>
            <w:vAlign w:val="center"/>
          </w:tcPr>
          <w:p>
            <w:pPr>
              <w:jc w:val="center"/>
              <w:rPr>
                <w:rFonts w:ascii="宋体" w:hAnsi="宋体" w:cs="宋体"/>
                <w:color w:val="000000"/>
                <w:szCs w:val="21"/>
              </w:rPr>
            </w:pPr>
            <w:r>
              <w:rPr>
                <w:rFonts w:hint="eastAsia" w:ascii="宋体" w:hAnsi="宋体" w:cs="宋体"/>
                <w:color w:val="000000"/>
                <w:szCs w:val="21"/>
              </w:rPr>
              <w:t>性别</w:t>
            </w:r>
          </w:p>
        </w:tc>
        <w:tc>
          <w:tcPr>
            <w:tcW w:w="1369" w:type="dxa"/>
            <w:vAlign w:val="center"/>
          </w:tcPr>
          <w:p>
            <w:pPr>
              <w:jc w:val="center"/>
              <w:rPr>
                <w:rFonts w:ascii="宋体" w:hAnsi="宋体" w:cs="宋体"/>
                <w:color w:val="000000"/>
                <w:szCs w:val="21"/>
              </w:rPr>
            </w:pPr>
          </w:p>
        </w:tc>
        <w:tc>
          <w:tcPr>
            <w:tcW w:w="1504" w:type="dxa"/>
            <w:gridSpan w:val="2"/>
            <w:vAlign w:val="center"/>
          </w:tcPr>
          <w:p>
            <w:pPr>
              <w:jc w:val="center"/>
              <w:rPr>
                <w:rFonts w:ascii="宋体" w:hAnsi="宋体" w:cs="宋体"/>
                <w:color w:val="000000"/>
                <w:szCs w:val="21"/>
              </w:rPr>
            </w:pPr>
            <w:r>
              <w:rPr>
                <w:rFonts w:hint="eastAsia" w:ascii="宋体" w:hAnsi="宋体" w:cs="宋体"/>
                <w:color w:val="000000"/>
                <w:szCs w:val="21"/>
              </w:rPr>
              <w:t>职称</w:t>
            </w:r>
          </w:p>
        </w:tc>
        <w:tc>
          <w:tcPr>
            <w:tcW w:w="2786" w:type="dxa"/>
            <w:gridSpan w:val="2"/>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09" w:type="dxa"/>
            <w:vAlign w:val="center"/>
          </w:tcPr>
          <w:p>
            <w:pPr>
              <w:jc w:val="center"/>
              <w:rPr>
                <w:rFonts w:ascii="宋体" w:hAnsi="宋体" w:cs="宋体"/>
                <w:color w:val="000000"/>
                <w:szCs w:val="21"/>
              </w:rPr>
            </w:pPr>
            <w:r>
              <w:rPr>
                <w:rFonts w:hint="eastAsia" w:ascii="宋体" w:hAnsi="宋体" w:cs="宋体"/>
                <w:color w:val="000000"/>
                <w:szCs w:val="21"/>
              </w:rPr>
              <w:t>职务</w:t>
            </w:r>
          </w:p>
        </w:tc>
        <w:tc>
          <w:tcPr>
            <w:tcW w:w="1602" w:type="dxa"/>
            <w:vAlign w:val="center"/>
          </w:tcPr>
          <w:p>
            <w:pPr>
              <w:jc w:val="center"/>
              <w:rPr>
                <w:rFonts w:ascii="宋体" w:hAnsi="宋体" w:cs="宋体"/>
                <w:color w:val="000000"/>
                <w:szCs w:val="21"/>
              </w:rPr>
            </w:pPr>
          </w:p>
        </w:tc>
        <w:tc>
          <w:tcPr>
            <w:tcW w:w="992" w:type="dxa"/>
            <w:vAlign w:val="center"/>
          </w:tcPr>
          <w:p>
            <w:pPr>
              <w:jc w:val="center"/>
              <w:rPr>
                <w:rFonts w:ascii="宋体" w:hAnsi="宋体" w:cs="宋体"/>
                <w:color w:val="000000"/>
                <w:szCs w:val="21"/>
              </w:rPr>
            </w:pPr>
            <w:r>
              <w:rPr>
                <w:rFonts w:hint="eastAsia" w:ascii="宋体" w:hAnsi="宋体" w:cs="宋体"/>
                <w:color w:val="000000"/>
                <w:szCs w:val="21"/>
              </w:rPr>
              <w:t>年龄</w:t>
            </w:r>
          </w:p>
        </w:tc>
        <w:tc>
          <w:tcPr>
            <w:tcW w:w="1369" w:type="dxa"/>
            <w:vAlign w:val="center"/>
          </w:tcPr>
          <w:p>
            <w:pPr>
              <w:jc w:val="center"/>
              <w:rPr>
                <w:rFonts w:ascii="宋体" w:hAnsi="宋体" w:cs="宋体"/>
                <w:color w:val="000000"/>
                <w:szCs w:val="21"/>
              </w:rPr>
            </w:pPr>
          </w:p>
        </w:tc>
        <w:tc>
          <w:tcPr>
            <w:tcW w:w="1504" w:type="dxa"/>
            <w:gridSpan w:val="2"/>
            <w:vAlign w:val="center"/>
          </w:tcPr>
          <w:p>
            <w:pPr>
              <w:jc w:val="center"/>
              <w:rPr>
                <w:rFonts w:ascii="宋体" w:hAnsi="宋体" w:cs="宋体"/>
                <w:color w:val="000000"/>
                <w:szCs w:val="21"/>
              </w:rPr>
            </w:pPr>
            <w:r>
              <w:rPr>
                <w:rFonts w:hint="eastAsia" w:ascii="宋体" w:hAnsi="宋体" w:cs="宋体"/>
                <w:color w:val="000000"/>
                <w:szCs w:val="21"/>
              </w:rPr>
              <w:t>学历及专业</w:t>
            </w:r>
          </w:p>
        </w:tc>
        <w:tc>
          <w:tcPr>
            <w:tcW w:w="2786" w:type="dxa"/>
            <w:gridSpan w:val="2"/>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09" w:type="dxa"/>
            <w:vAlign w:val="center"/>
          </w:tcPr>
          <w:p>
            <w:pPr>
              <w:jc w:val="center"/>
              <w:rPr>
                <w:rFonts w:ascii="宋体" w:hAnsi="宋体" w:cs="宋体"/>
                <w:color w:val="000000"/>
                <w:szCs w:val="21"/>
              </w:rPr>
            </w:pPr>
            <w:r>
              <w:rPr>
                <w:rFonts w:hint="eastAsia" w:ascii="宋体" w:hAnsi="宋体" w:cs="宋体"/>
                <w:color w:val="000000"/>
                <w:szCs w:val="21"/>
              </w:rPr>
              <w:t>注册证号</w:t>
            </w:r>
          </w:p>
        </w:tc>
        <w:tc>
          <w:tcPr>
            <w:tcW w:w="2594" w:type="dxa"/>
            <w:gridSpan w:val="2"/>
            <w:vAlign w:val="center"/>
          </w:tcPr>
          <w:p>
            <w:pPr>
              <w:jc w:val="center"/>
              <w:rPr>
                <w:rFonts w:ascii="宋体" w:hAnsi="宋体" w:cs="宋体"/>
                <w:color w:val="000000"/>
                <w:szCs w:val="21"/>
              </w:rPr>
            </w:pPr>
          </w:p>
        </w:tc>
        <w:tc>
          <w:tcPr>
            <w:tcW w:w="2873" w:type="dxa"/>
            <w:gridSpan w:val="3"/>
            <w:vAlign w:val="center"/>
          </w:tcPr>
          <w:p>
            <w:pPr>
              <w:jc w:val="center"/>
              <w:rPr>
                <w:rFonts w:ascii="宋体" w:hAnsi="宋体" w:cs="宋体"/>
                <w:color w:val="000000"/>
                <w:szCs w:val="21"/>
              </w:rPr>
            </w:pPr>
            <w:r>
              <w:rPr>
                <w:rFonts w:hint="eastAsia" w:ascii="宋体" w:hAnsi="宋体" w:cs="宋体"/>
                <w:color w:val="000000"/>
                <w:szCs w:val="21"/>
              </w:rPr>
              <w:t>从事工程造价年限</w:t>
            </w:r>
          </w:p>
        </w:tc>
        <w:tc>
          <w:tcPr>
            <w:tcW w:w="2786" w:type="dxa"/>
            <w:gridSpan w:val="2"/>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09" w:type="dxa"/>
            <w:vAlign w:val="center"/>
          </w:tcPr>
          <w:p>
            <w:pPr>
              <w:jc w:val="center"/>
              <w:rPr>
                <w:rFonts w:ascii="宋体" w:hAnsi="宋体" w:cs="宋体"/>
                <w:color w:val="000000"/>
                <w:szCs w:val="21"/>
              </w:rPr>
            </w:pPr>
            <w:r>
              <w:rPr>
                <w:rFonts w:hint="eastAsia" w:ascii="宋体" w:hAnsi="宋体" w:cs="宋体"/>
                <w:color w:val="000000"/>
                <w:szCs w:val="21"/>
              </w:rPr>
              <w:t>专业</w:t>
            </w:r>
          </w:p>
        </w:tc>
        <w:tc>
          <w:tcPr>
            <w:tcW w:w="2594" w:type="dxa"/>
            <w:gridSpan w:val="2"/>
            <w:vAlign w:val="center"/>
          </w:tcPr>
          <w:p>
            <w:pPr>
              <w:jc w:val="center"/>
              <w:rPr>
                <w:rFonts w:ascii="宋体" w:hAnsi="宋体" w:cs="宋体"/>
                <w:color w:val="000000"/>
                <w:szCs w:val="21"/>
              </w:rPr>
            </w:pPr>
          </w:p>
        </w:tc>
        <w:tc>
          <w:tcPr>
            <w:tcW w:w="2873" w:type="dxa"/>
            <w:gridSpan w:val="3"/>
            <w:vAlign w:val="center"/>
          </w:tcPr>
          <w:p>
            <w:pPr>
              <w:jc w:val="center"/>
              <w:rPr>
                <w:rFonts w:ascii="宋体" w:hAnsi="宋体" w:cs="宋体"/>
                <w:color w:val="000000"/>
                <w:szCs w:val="21"/>
              </w:rPr>
            </w:pPr>
            <w:r>
              <w:rPr>
                <w:rFonts w:hint="eastAsia" w:ascii="宋体" w:hAnsi="宋体" w:cs="宋体"/>
                <w:color w:val="000000"/>
                <w:szCs w:val="21"/>
              </w:rPr>
              <w:t>在本项目中拟任职务</w:t>
            </w:r>
          </w:p>
        </w:tc>
        <w:tc>
          <w:tcPr>
            <w:tcW w:w="2786" w:type="dxa"/>
            <w:gridSpan w:val="2"/>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962" w:type="dxa"/>
            <w:gridSpan w:val="8"/>
            <w:vAlign w:val="center"/>
          </w:tcPr>
          <w:p>
            <w:pPr>
              <w:jc w:val="center"/>
              <w:rPr>
                <w:rFonts w:ascii="宋体" w:hAnsi="宋体" w:cs="宋体"/>
                <w:color w:val="000000"/>
                <w:szCs w:val="21"/>
              </w:rPr>
            </w:pPr>
            <w:r>
              <w:rPr>
                <w:rFonts w:hint="eastAsia" w:ascii="宋体" w:hAnsi="宋体" w:cs="宋体"/>
                <w:color w:val="000000"/>
                <w:szCs w:val="21"/>
              </w:rPr>
              <w:t>已完成监理项目情况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vAlign w:val="center"/>
          </w:tcPr>
          <w:p>
            <w:pPr>
              <w:jc w:val="center"/>
              <w:rPr>
                <w:rFonts w:ascii="宋体" w:hAnsi="宋体" w:cs="宋体"/>
                <w:color w:val="000000"/>
                <w:szCs w:val="21"/>
              </w:rPr>
            </w:pPr>
            <w:r>
              <w:rPr>
                <w:rFonts w:hint="eastAsia" w:ascii="宋体" w:hAnsi="宋体" w:cs="宋体"/>
                <w:color w:val="000000"/>
                <w:szCs w:val="21"/>
              </w:rPr>
              <w:t>建设单位</w:t>
            </w:r>
          </w:p>
        </w:tc>
        <w:tc>
          <w:tcPr>
            <w:tcW w:w="1602"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992" w:type="dxa"/>
            <w:vAlign w:val="center"/>
          </w:tcPr>
          <w:p>
            <w:pPr>
              <w:jc w:val="center"/>
              <w:rPr>
                <w:rFonts w:ascii="宋体" w:hAnsi="宋体" w:cs="宋体"/>
                <w:color w:val="000000"/>
                <w:szCs w:val="21"/>
              </w:rPr>
            </w:pPr>
            <w:r>
              <w:rPr>
                <w:rFonts w:hint="eastAsia" w:ascii="宋体" w:hAnsi="宋体" w:cs="宋体"/>
                <w:color w:val="000000"/>
                <w:szCs w:val="21"/>
              </w:rPr>
              <w:t>建设</w:t>
            </w:r>
          </w:p>
          <w:p>
            <w:pPr>
              <w:jc w:val="center"/>
              <w:rPr>
                <w:rFonts w:ascii="宋体" w:hAnsi="宋体" w:cs="宋体"/>
                <w:color w:val="000000"/>
                <w:szCs w:val="21"/>
              </w:rPr>
            </w:pPr>
            <w:r>
              <w:rPr>
                <w:rFonts w:hint="eastAsia" w:ascii="宋体" w:hAnsi="宋体" w:cs="宋体"/>
                <w:color w:val="000000"/>
                <w:szCs w:val="21"/>
              </w:rPr>
              <w:t>规模</w:t>
            </w:r>
          </w:p>
        </w:tc>
        <w:tc>
          <w:tcPr>
            <w:tcW w:w="1612" w:type="dxa"/>
            <w:gridSpan w:val="2"/>
            <w:vAlign w:val="center"/>
          </w:tcPr>
          <w:p>
            <w:pPr>
              <w:jc w:val="center"/>
              <w:rPr>
                <w:rFonts w:ascii="宋体" w:hAnsi="宋体" w:cs="宋体"/>
                <w:color w:val="000000"/>
                <w:szCs w:val="21"/>
              </w:rPr>
            </w:pPr>
            <w:r>
              <w:rPr>
                <w:rFonts w:hint="eastAsia" w:ascii="宋体" w:hAnsi="宋体" w:cs="宋体"/>
                <w:color w:val="000000"/>
                <w:szCs w:val="21"/>
              </w:rPr>
              <w:t>开、竣工时间</w:t>
            </w:r>
          </w:p>
        </w:tc>
        <w:tc>
          <w:tcPr>
            <w:tcW w:w="1261" w:type="dxa"/>
            <w:vAlign w:val="center"/>
          </w:tcPr>
          <w:p>
            <w:pPr>
              <w:jc w:val="center"/>
              <w:rPr>
                <w:rFonts w:ascii="宋体" w:hAnsi="宋体" w:cs="宋体"/>
                <w:color w:val="000000"/>
                <w:szCs w:val="21"/>
              </w:rPr>
            </w:pPr>
            <w:r>
              <w:rPr>
                <w:rFonts w:hint="eastAsia" w:ascii="宋体" w:hAnsi="宋体" w:cs="宋体"/>
                <w:color w:val="000000"/>
                <w:szCs w:val="21"/>
              </w:rPr>
              <w:t>合同质量标准</w:t>
            </w:r>
          </w:p>
        </w:tc>
        <w:tc>
          <w:tcPr>
            <w:tcW w:w="1437" w:type="dxa"/>
            <w:vAlign w:val="center"/>
          </w:tcPr>
          <w:p>
            <w:pPr>
              <w:jc w:val="center"/>
              <w:rPr>
                <w:rFonts w:ascii="宋体" w:hAnsi="宋体" w:cs="宋体"/>
                <w:color w:val="000000"/>
                <w:szCs w:val="21"/>
              </w:rPr>
            </w:pPr>
            <w:r>
              <w:rPr>
                <w:rFonts w:hint="eastAsia" w:ascii="宋体" w:hAnsi="宋体" w:cs="宋体"/>
                <w:color w:val="000000"/>
                <w:szCs w:val="21"/>
              </w:rPr>
              <w:t>质量评定</w:t>
            </w:r>
          </w:p>
          <w:p>
            <w:pPr>
              <w:jc w:val="center"/>
              <w:rPr>
                <w:rFonts w:ascii="宋体" w:hAnsi="宋体" w:cs="宋体"/>
                <w:color w:val="000000"/>
                <w:szCs w:val="21"/>
              </w:rPr>
            </w:pPr>
            <w:r>
              <w:rPr>
                <w:rFonts w:hint="eastAsia" w:ascii="宋体" w:hAnsi="宋体" w:cs="宋体"/>
                <w:color w:val="000000"/>
                <w:szCs w:val="21"/>
              </w:rPr>
              <w:t>等级</w:t>
            </w:r>
          </w:p>
        </w:tc>
        <w:tc>
          <w:tcPr>
            <w:tcW w:w="1349" w:type="dxa"/>
            <w:vAlign w:val="center"/>
          </w:tcPr>
          <w:p>
            <w:pPr>
              <w:jc w:val="center"/>
              <w:rPr>
                <w:rFonts w:ascii="宋体" w:hAnsi="宋体" w:cs="宋体"/>
                <w:color w:val="000000"/>
                <w:szCs w:val="21"/>
              </w:rPr>
            </w:pPr>
            <w:r>
              <w:rPr>
                <w:rFonts w:hint="eastAsia" w:ascii="宋体" w:hAnsi="宋体" w:cs="宋体"/>
                <w:color w:val="000000"/>
                <w:szCs w:val="21"/>
              </w:rPr>
              <w:t>担任</w:t>
            </w:r>
          </w:p>
          <w:p>
            <w:pPr>
              <w:jc w:val="center"/>
              <w:rPr>
                <w:rFonts w:ascii="宋体" w:hAnsi="宋体" w:cs="宋体"/>
                <w:color w:val="000000"/>
                <w:szCs w:val="21"/>
              </w:rPr>
            </w:pPr>
            <w:r>
              <w:rPr>
                <w:rFonts w:hint="eastAsia" w:ascii="宋体" w:hAnsi="宋体" w:cs="宋体"/>
                <w:color w:val="00000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Pr>
          <w:p>
            <w:pPr>
              <w:rPr>
                <w:rFonts w:ascii="宋体" w:hAnsi="宋体" w:cs="宋体"/>
                <w:color w:val="000000"/>
                <w:szCs w:val="21"/>
              </w:rPr>
            </w:pPr>
          </w:p>
        </w:tc>
        <w:tc>
          <w:tcPr>
            <w:tcW w:w="1602" w:type="dxa"/>
          </w:tcPr>
          <w:p>
            <w:pPr>
              <w:rPr>
                <w:rFonts w:ascii="宋体" w:hAnsi="宋体" w:cs="宋体"/>
                <w:color w:val="000000"/>
                <w:szCs w:val="21"/>
              </w:rPr>
            </w:pPr>
          </w:p>
        </w:tc>
        <w:tc>
          <w:tcPr>
            <w:tcW w:w="992" w:type="dxa"/>
          </w:tcPr>
          <w:p>
            <w:pPr>
              <w:rPr>
                <w:rFonts w:ascii="宋体" w:hAnsi="宋体" w:cs="宋体"/>
                <w:color w:val="000000"/>
                <w:szCs w:val="21"/>
              </w:rPr>
            </w:pPr>
          </w:p>
        </w:tc>
        <w:tc>
          <w:tcPr>
            <w:tcW w:w="1612" w:type="dxa"/>
            <w:gridSpan w:val="2"/>
          </w:tcPr>
          <w:p>
            <w:pPr>
              <w:rPr>
                <w:rFonts w:ascii="宋体" w:hAnsi="宋体" w:cs="宋体"/>
                <w:color w:val="000000"/>
                <w:szCs w:val="21"/>
              </w:rPr>
            </w:pPr>
          </w:p>
        </w:tc>
        <w:tc>
          <w:tcPr>
            <w:tcW w:w="1261" w:type="dxa"/>
          </w:tcPr>
          <w:p>
            <w:pPr>
              <w:rPr>
                <w:rFonts w:ascii="宋体" w:hAnsi="宋体" w:cs="宋体"/>
                <w:color w:val="000000"/>
                <w:szCs w:val="21"/>
              </w:rPr>
            </w:pPr>
          </w:p>
        </w:tc>
        <w:tc>
          <w:tcPr>
            <w:tcW w:w="1437" w:type="dxa"/>
          </w:tcPr>
          <w:p>
            <w:pPr>
              <w:rPr>
                <w:rFonts w:ascii="宋体" w:hAnsi="宋体" w:cs="宋体"/>
                <w:color w:val="000000"/>
                <w:szCs w:val="21"/>
              </w:rPr>
            </w:pPr>
          </w:p>
        </w:tc>
        <w:tc>
          <w:tcPr>
            <w:tcW w:w="1349" w:type="dxa"/>
          </w:tcPr>
          <w:p>
            <w:pPr>
              <w:rPr>
                <w:rFonts w:ascii="宋体" w:hAnsi="宋体" w:cs="宋体"/>
                <w:color w:val="000000"/>
                <w:szCs w:val="21"/>
              </w:rPr>
            </w:pPr>
          </w:p>
        </w:tc>
      </w:tr>
    </w:tbl>
    <w:p>
      <w:pPr>
        <w:jc w:val="center"/>
        <w:rPr>
          <w:rFonts w:ascii="宋体" w:hAnsi="宋体" w:cs="宋体"/>
          <w:b/>
          <w:color w:val="000000"/>
          <w:kern w:val="0"/>
          <w:szCs w:val="21"/>
        </w:rPr>
      </w:pPr>
      <w:r>
        <w:rPr>
          <w:rFonts w:hint="eastAsia" w:ascii="宋体" w:hAnsi="宋体" w:cs="宋体"/>
          <w:b/>
          <w:color w:val="000000"/>
          <w:kern w:val="0"/>
          <w:szCs w:val="21"/>
        </w:rPr>
        <w:t>并不仅限于此表，满足工程需要。</w:t>
      </w:r>
    </w:p>
    <w:p>
      <w:pPr>
        <w:pStyle w:val="2"/>
        <w:rPr>
          <w:rFonts w:asciiTheme="minorEastAsia" w:hAnsiTheme="minorEastAsia" w:eastAsiaTheme="minorEastAsia" w:cstheme="minorEastAsia"/>
          <w:color w:val="000000" w:themeColor="text1"/>
          <w:sz w:val="22"/>
          <w:szCs w:val="22"/>
        </w:rPr>
        <w:sectPr>
          <w:pgSz w:w="11906" w:h="16838"/>
          <w:pgMar w:top="1418" w:right="1418" w:bottom="1418" w:left="1418" w:header="851" w:footer="992" w:gutter="0"/>
          <w:cols w:space="720" w:num="1"/>
          <w:docGrid w:type="lines" w:linePitch="312" w:charSpace="0"/>
        </w:sectPr>
      </w:pPr>
      <w:r>
        <w:rPr>
          <w:rFonts w:ascii="Arial" w:hAnsi="Arial" w:eastAsia="黑体"/>
          <w:bCs/>
          <w:color w:val="000000"/>
          <w:sz w:val="32"/>
          <w:szCs w:val="32"/>
        </w:rPr>
        <w:br w:type="page"/>
      </w:r>
    </w:p>
    <w:p>
      <w:pPr>
        <w:keepNext/>
        <w:keepLines/>
        <w:spacing w:before="120" w:after="120" w:line="416" w:lineRule="auto"/>
        <w:jc w:val="center"/>
        <w:outlineLvl w:val="1"/>
        <w:rPr>
          <w:rFonts w:ascii="Arial" w:hAnsi="Arial" w:eastAsia="黑体"/>
          <w:bCs/>
          <w:color w:val="000000"/>
          <w:sz w:val="32"/>
          <w:szCs w:val="32"/>
        </w:rPr>
      </w:pPr>
      <w:r>
        <w:rPr>
          <w:rFonts w:hint="eastAsia" w:ascii="Arial" w:hAnsi="Arial" w:eastAsia="黑体"/>
          <w:bCs/>
          <w:color w:val="000000"/>
          <w:sz w:val="32"/>
          <w:szCs w:val="32"/>
        </w:rPr>
        <w:t>投标承诺书</w:t>
      </w:r>
    </w:p>
    <w:p>
      <w:pPr>
        <w:jc w:val="center"/>
        <w:rPr>
          <w:rFonts w:ascii="黑体" w:hAnsi="黑体" w:eastAsia="黑体"/>
          <w:b/>
          <w:color w:val="000000"/>
          <w:sz w:val="28"/>
          <w:szCs w:val="28"/>
        </w:rPr>
      </w:pPr>
      <w:r>
        <w:rPr>
          <w:rFonts w:hint="eastAsia" w:ascii="黑体" w:hAnsi="黑体" w:eastAsia="黑体"/>
          <w:b/>
          <w:color w:val="000000"/>
          <w:sz w:val="28"/>
          <w:szCs w:val="28"/>
        </w:rPr>
        <w:t>入库信息诚信承诺书</w:t>
      </w:r>
    </w:p>
    <w:p>
      <w:pPr>
        <w:spacing w:line="400" w:lineRule="exact"/>
        <w:ind w:firstLine="411" w:firstLineChars="196"/>
        <w:rPr>
          <w:rFonts w:ascii="新宋体" w:hAnsi="新宋体" w:eastAsia="新宋体"/>
          <w:color w:val="000000"/>
        </w:rPr>
      </w:pPr>
      <w:r>
        <w:rPr>
          <w:rFonts w:hint="eastAsia" w:ascii="新宋体" w:hAnsi="新宋体" w:eastAsia="新宋体"/>
          <w:color w:val="000000"/>
        </w:rPr>
        <w:t>为维护市场公平竞争，营造诚实守信的招投标交易环境，我单位自愿加入 “盐城市公共资源交易平台主体信息库”（诚信库），自愿将本单位相关信息予以登记并对外发布，信息库（诚信库）发布的相关信息均经我单位确认无误，对此郑重承诺如下：</w:t>
      </w:r>
    </w:p>
    <w:p>
      <w:pPr>
        <w:spacing w:line="400" w:lineRule="exact"/>
        <w:ind w:firstLine="420" w:firstLineChars="200"/>
        <w:rPr>
          <w:rFonts w:ascii="新宋体" w:hAnsi="新宋体" w:eastAsia="新宋体"/>
          <w:color w:val="000000"/>
        </w:rPr>
      </w:pPr>
      <w:r>
        <w:rPr>
          <w:rFonts w:hint="eastAsia" w:ascii="新宋体" w:hAnsi="新宋体" w:eastAsia="新宋体"/>
          <w:color w:val="000000"/>
        </w:rPr>
        <w:t>一、我单位提交并在信息库（诚信库）发布的相关信息均真实有效，提交的材料无任何伪造、修改、虚假成份，材料所述内容均为本单位真实拥有。若违反本承诺一经查实，本单位自愿退出所有在盐城市招标投标平台上正在进行的投标项目并被取消会员资格，自愿接受禁止1-3年内进入盐城市招标市场的处罚。同时作为失信行为推送至相关网站，进行联合惩戒。</w:t>
      </w:r>
    </w:p>
    <w:p>
      <w:pPr>
        <w:spacing w:line="400" w:lineRule="exact"/>
        <w:ind w:firstLine="420" w:firstLineChars="200"/>
        <w:rPr>
          <w:rFonts w:ascii="新宋体" w:hAnsi="新宋体" w:eastAsia="新宋体"/>
          <w:color w:val="000000"/>
        </w:rPr>
      </w:pPr>
      <w:r>
        <w:rPr>
          <w:rFonts w:hint="eastAsia" w:ascii="新宋体" w:hAnsi="新宋体" w:eastAsia="新宋体"/>
          <w:color w:val="000000"/>
        </w:rPr>
        <w:t>二、我单位在参加投标过程中严格遵守各项廉政制度，如有违反自愿按规定接受处罚。</w:t>
      </w:r>
    </w:p>
    <w:p>
      <w:pPr>
        <w:spacing w:line="400" w:lineRule="exact"/>
        <w:ind w:firstLine="420" w:firstLineChars="200"/>
        <w:rPr>
          <w:rFonts w:ascii="新宋体" w:hAnsi="新宋体" w:eastAsia="新宋体"/>
          <w:color w:val="000000"/>
        </w:rPr>
      </w:pPr>
      <w:r>
        <w:rPr>
          <w:rFonts w:hint="eastAsia" w:ascii="新宋体" w:hAnsi="新宋体" w:eastAsia="新宋体"/>
          <w:color w:val="000000"/>
        </w:rPr>
        <w:t>三、我单位知晓盐城市有关部门不再对信息库（诚信库）内容进行审核把关，有关信息一经提交确认，将无法修改撤回，有关信息若有虚假，无论是否作废，均作为对我单位的处罚依据，我单位保证审慎提交。</w:t>
      </w:r>
    </w:p>
    <w:p>
      <w:pPr>
        <w:spacing w:line="400" w:lineRule="exact"/>
        <w:ind w:firstLine="420" w:firstLineChars="200"/>
        <w:rPr>
          <w:rFonts w:ascii="新宋体" w:hAnsi="新宋体" w:eastAsia="新宋体"/>
          <w:color w:val="000000"/>
        </w:rPr>
      </w:pPr>
      <w:r>
        <w:rPr>
          <w:rFonts w:hint="eastAsia" w:ascii="新宋体" w:hAnsi="新宋体" w:eastAsia="新宋体"/>
          <w:color w:val="000000"/>
        </w:rPr>
        <w:t>四、我单位保证认真、及时维护和更新信息库（诚信库）中与我单位有关的内容，保证用于投标的有关资料，关键信息齐全、清晰可辨、且是与原件一致的最新版本，若使用带有二维码电子证照投标，保证扫描二维码能正确读取有关数据且与系统查询一致，投标时严格按照招标文件约定从信息库（诚信库）勾选有关资料，如有违反，我单位对评标委员会作出的废标结论无异议。将自愿承担由此造成的一切不良后果。</w:t>
      </w:r>
    </w:p>
    <w:p>
      <w:pPr>
        <w:spacing w:line="400" w:lineRule="exact"/>
        <w:ind w:firstLine="411" w:firstLineChars="196"/>
        <w:rPr>
          <w:rFonts w:ascii="新宋体" w:hAnsi="新宋体" w:eastAsia="新宋体"/>
          <w:color w:val="000000"/>
        </w:rPr>
      </w:pPr>
    </w:p>
    <w:p>
      <w:pPr>
        <w:spacing w:line="360" w:lineRule="exact"/>
        <w:ind w:firstLine="2406" w:firstLineChars="1146"/>
        <w:rPr>
          <w:rFonts w:ascii="新宋体" w:hAnsi="新宋体" w:eastAsia="新宋体"/>
          <w:color w:val="000000"/>
        </w:rPr>
      </w:pPr>
      <w:r>
        <w:rPr>
          <w:rFonts w:hint="eastAsia" w:ascii="新宋体" w:hAnsi="新宋体" w:eastAsia="新宋体"/>
          <w:color w:val="000000"/>
        </w:rPr>
        <w:t>承诺人法定名称（法人公章）：</w:t>
      </w:r>
    </w:p>
    <w:p>
      <w:pPr>
        <w:spacing w:line="360" w:lineRule="exact"/>
        <w:rPr>
          <w:rFonts w:ascii="新宋体" w:hAnsi="新宋体" w:eastAsia="新宋体"/>
          <w:color w:val="000000"/>
        </w:rPr>
      </w:pPr>
    </w:p>
    <w:p>
      <w:pPr>
        <w:spacing w:line="360" w:lineRule="exact"/>
        <w:ind w:firstLine="411" w:firstLineChars="196"/>
        <w:rPr>
          <w:rFonts w:ascii="新宋体" w:hAnsi="新宋体" w:eastAsia="新宋体"/>
          <w:color w:val="000000"/>
        </w:rPr>
      </w:pPr>
      <w:r>
        <w:rPr>
          <w:rFonts w:hint="eastAsia" w:ascii="新宋体" w:hAnsi="新宋体" w:eastAsia="新宋体"/>
          <w:color w:val="000000"/>
        </w:rPr>
        <w:t xml:space="preserve">                   统一社会信用代码：                 </w:t>
      </w:r>
    </w:p>
    <w:p>
      <w:pPr>
        <w:spacing w:line="360" w:lineRule="exact"/>
        <w:ind w:firstLine="411" w:firstLineChars="196"/>
        <w:rPr>
          <w:rFonts w:ascii="新宋体" w:hAnsi="新宋体" w:eastAsia="新宋体"/>
          <w:color w:val="000000"/>
        </w:rPr>
      </w:pPr>
    </w:p>
    <w:p>
      <w:pPr>
        <w:spacing w:line="360" w:lineRule="exact"/>
        <w:ind w:firstLine="411" w:firstLineChars="196"/>
        <w:rPr>
          <w:rFonts w:ascii="新宋体" w:hAnsi="新宋体" w:eastAsia="新宋体"/>
          <w:color w:val="000000"/>
        </w:rPr>
      </w:pPr>
      <w:r>
        <w:rPr>
          <w:rFonts w:hint="eastAsia" w:ascii="新宋体" w:hAnsi="新宋体" w:eastAsia="新宋体"/>
          <w:color w:val="000000"/>
        </w:rPr>
        <w:t xml:space="preserve">                   承诺人法定代表人（签字或盖章）：</w:t>
      </w:r>
    </w:p>
    <w:p>
      <w:pPr>
        <w:spacing w:line="360" w:lineRule="exact"/>
        <w:rPr>
          <w:rFonts w:ascii="新宋体" w:hAnsi="新宋体" w:eastAsia="新宋体"/>
          <w:color w:val="000000"/>
        </w:rPr>
      </w:pPr>
    </w:p>
    <w:p>
      <w:pPr>
        <w:spacing w:line="360" w:lineRule="exact"/>
        <w:ind w:firstLine="411" w:firstLineChars="196"/>
        <w:rPr>
          <w:rFonts w:ascii="新宋体" w:hAnsi="新宋体" w:eastAsia="新宋体"/>
          <w:color w:val="000000"/>
        </w:rPr>
      </w:pPr>
      <w:r>
        <w:rPr>
          <w:rFonts w:hint="eastAsia" w:ascii="新宋体" w:hAnsi="新宋体" w:eastAsia="新宋体"/>
          <w:color w:val="000000"/>
        </w:rPr>
        <w:t xml:space="preserve">                                               年    月    日</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520" w:lineRule="exact"/>
        <w:rPr>
          <w:rFonts w:ascii="黑体" w:hAnsi="黑体" w:eastAsia="黑体"/>
          <w:b/>
          <w:color w:val="000000"/>
          <w:sz w:val="28"/>
          <w:szCs w:val="28"/>
        </w:rPr>
      </w:pPr>
    </w:p>
    <w:p>
      <w:pPr>
        <w:spacing w:line="520" w:lineRule="exact"/>
        <w:jc w:val="center"/>
        <w:rPr>
          <w:rFonts w:ascii="黑体" w:hAnsi="黑体" w:eastAsia="黑体"/>
          <w:b/>
          <w:color w:val="000000"/>
          <w:sz w:val="28"/>
          <w:szCs w:val="28"/>
        </w:rPr>
      </w:pPr>
      <w:r>
        <w:rPr>
          <w:rFonts w:hint="eastAsia" w:ascii="黑体" w:hAnsi="黑体" w:eastAsia="黑体"/>
          <w:b/>
          <w:color w:val="000000"/>
          <w:sz w:val="28"/>
          <w:szCs w:val="28"/>
        </w:rPr>
        <w:t>法定代表人诚信投标承诺书</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本人以企业法定代表人的身份郑重承诺：</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一、将遵循公开、公正和诚实信用的原则参加项目的投标;</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二、保证我公司盐城市公共资源交易中心诚信库和本次投标文件中所提供的一切材料都是真实、有效、合法的；如有投诉经查实，自愿接受以弄虚作假骗取中标进行处罚；</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三、保证我公司用于本次投标的项目负责人无在建工程，保证项目负责人及代理人均为本单位的正式职工，</w:t>
      </w:r>
      <w:r>
        <w:rPr>
          <w:color w:val="000000"/>
        </w:rPr>
        <w:t>并确保均已按本招标文件约定的要求在本单位缴纳养老保险</w:t>
      </w:r>
      <w:r>
        <w:rPr>
          <w:rFonts w:hint="eastAsia" w:ascii="新宋体" w:hAnsi="新宋体" w:eastAsia="新宋体"/>
          <w:color w:val="000000"/>
        </w:rPr>
        <w:t>。如有投诉经查实，自愿接受以弄虚作假骗取中标进行处罚；</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四、不出借、转让资质证书，不让他人挂靠投标，不以他人名义投标或者以其他方式弄虚作假，骗取中标；</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五、不与其他人相互串通投标报价，不排挤其他投标人的公平竞争、损害招标人的合法权益；不与招标人、招标代理机构或其他投标人串通投标，损害国家利益、社会公共利益或者他人的合法权益；</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六、严格遵守开标现场纪律，服从监管人员管理；</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七、保证中标后不存在转包、违法分包及挂靠等违法行为；</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八、保证中标之后，按照投标文件承诺派驻管理人员及投入机械设备；</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九、如在投标过程和公示期间发生异议、投诉行为，保证按照《关于进一步规范建设工程招标投标投诉（异议）处理的通知》（盐建招投〔2016〕1号）要求进行，不捏造事实恶意投诉（异议），不借投诉（异议）之名进行敲诈勒索，不以非法手段获取相关证据材料。如有投诉（异议），投诉书形式要件合法、有效，内容符合有关规定。不一诉多投、不越级投诉。如投诉（异议）不实，给他人造成的损失的，应承担赔偿责任的，我同意招标人在我公司投标保证金中直接扣减相应数额，不足部分补足。</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十、若对本次投标有投诉（异议），我保证由我投标时授权的代理人全权处理投诉（异议）事项，不再另行委托他人处理，如若违背，招标人或监管机构有权拒绝受理我公司投诉（异议）事项。</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 xml:space="preserve"> 以上内容我已仔细阅读，本公司若有违反以上承诺内容、或其他弄虚作假，骗取中标的行为，自愿依法接受取消投标、中标资格、计失信行为录入不良行为记录系统、没收投标保证金等有关处理。</w:t>
      </w:r>
    </w:p>
    <w:p>
      <w:pPr>
        <w:spacing w:line="440" w:lineRule="exact"/>
        <w:ind w:firstLine="420" w:firstLineChars="200"/>
        <w:rPr>
          <w:rFonts w:ascii="新宋体" w:hAnsi="新宋体" w:eastAsia="新宋体"/>
          <w:color w:val="000000"/>
        </w:rPr>
      </w:pPr>
      <w:r>
        <w:rPr>
          <w:rFonts w:hint="eastAsia" w:ascii="新宋体" w:hAnsi="新宋体" w:eastAsia="新宋体"/>
          <w:color w:val="000000"/>
        </w:rPr>
        <w:t xml:space="preserve">                                               投标单位（公章）：</w:t>
      </w:r>
    </w:p>
    <w:p>
      <w:pPr>
        <w:spacing w:line="440" w:lineRule="exact"/>
        <w:ind w:firstLine="4515" w:firstLineChars="2150"/>
        <w:rPr>
          <w:rFonts w:ascii="新宋体" w:hAnsi="新宋体" w:eastAsia="新宋体"/>
          <w:color w:val="000000"/>
        </w:rPr>
      </w:pPr>
      <w:r>
        <w:rPr>
          <w:rFonts w:hint="eastAsia" w:ascii="新宋体" w:hAnsi="新宋体" w:eastAsia="新宋体"/>
          <w:color w:val="000000"/>
        </w:rPr>
        <w:t>法定代表人（签字或盖章）：</w:t>
      </w:r>
    </w:p>
    <w:p>
      <w:pPr>
        <w:spacing w:line="520" w:lineRule="exact"/>
        <w:ind w:firstLine="6090" w:firstLineChars="2900"/>
        <w:rPr>
          <w:rFonts w:ascii="新宋体" w:hAnsi="新宋体" w:eastAsia="新宋体"/>
          <w:color w:val="000000"/>
        </w:rPr>
      </w:pPr>
      <w:r>
        <w:rPr>
          <w:rFonts w:hint="eastAsia" w:ascii="新宋体" w:hAnsi="新宋体" w:eastAsia="新宋体"/>
          <w:color w:val="000000"/>
        </w:rPr>
        <w:t>年    月     日</w:t>
      </w:r>
    </w:p>
    <w:p>
      <w:pPr>
        <w:rPr>
          <w:color w:val="000000"/>
        </w:rPr>
      </w:pPr>
    </w:p>
    <w:p>
      <w:pPr>
        <w:rPr>
          <w:color w:val="000000"/>
        </w:rPr>
      </w:pPr>
    </w:p>
    <w:p>
      <w:pPr>
        <w:spacing w:line="520" w:lineRule="exact"/>
        <w:ind w:firstLine="562" w:firstLineChars="200"/>
        <w:jc w:val="center"/>
        <w:rPr>
          <w:rFonts w:ascii="黑体" w:hAnsi="黑体" w:eastAsia="黑体"/>
          <w:b/>
          <w:color w:val="000000"/>
          <w:sz w:val="28"/>
          <w:szCs w:val="28"/>
        </w:rPr>
      </w:pPr>
      <w:r>
        <w:rPr>
          <w:rFonts w:hint="eastAsia" w:ascii="黑体" w:hAnsi="黑体" w:eastAsia="黑体"/>
          <w:b/>
          <w:color w:val="000000"/>
          <w:sz w:val="28"/>
          <w:szCs w:val="28"/>
        </w:rPr>
        <w:t>盐城市公共资源交易投标信用承诺书</w:t>
      </w:r>
    </w:p>
    <w:p>
      <w:pPr>
        <w:spacing w:line="520" w:lineRule="exact"/>
        <w:ind w:firstLine="562" w:firstLineChars="200"/>
        <w:jc w:val="center"/>
        <w:rPr>
          <w:rFonts w:ascii="黑体" w:hAnsi="黑体" w:eastAsia="黑体"/>
          <w:b/>
          <w:color w:val="000000"/>
          <w:sz w:val="28"/>
          <w:szCs w:val="28"/>
        </w:rPr>
      </w:pPr>
      <w:r>
        <w:rPr>
          <w:rFonts w:hint="eastAsia" w:ascii="黑体" w:hAnsi="黑体" w:eastAsia="黑体"/>
          <w:b/>
          <w:color w:val="000000"/>
          <w:sz w:val="28"/>
          <w:szCs w:val="28"/>
        </w:rPr>
        <w:t>（样本）</w:t>
      </w:r>
    </w:p>
    <w:p>
      <w:pPr>
        <w:spacing w:line="300" w:lineRule="auto"/>
        <w:ind w:firstLine="420" w:firstLineChars="200"/>
        <w:jc w:val="left"/>
        <w:rPr>
          <w:rFonts w:ascii="新宋体" w:hAnsi="新宋体" w:eastAsia="新宋体"/>
          <w:color w:val="000000"/>
        </w:rPr>
      </w:pPr>
      <w:r>
        <w:rPr>
          <w:rFonts w:hint="eastAsia" w:ascii="新宋体" w:hAnsi="新宋体" w:eastAsia="新宋体"/>
          <w:color w:val="000000"/>
        </w:rPr>
        <w:t>为营造公开、公平、公正的公共资源交易环境，树立诚信守法的投标人形象，本人代表本单位作出以下承诺：</w:t>
      </w:r>
    </w:p>
    <w:p>
      <w:pPr>
        <w:spacing w:line="300" w:lineRule="auto"/>
        <w:ind w:firstLine="420" w:firstLineChars="200"/>
        <w:jc w:val="left"/>
        <w:rPr>
          <w:rFonts w:ascii="新宋体" w:hAnsi="新宋体" w:eastAsia="新宋体"/>
          <w:color w:val="000000"/>
        </w:rPr>
      </w:pPr>
      <w:r>
        <w:rPr>
          <w:rFonts w:hint="eastAsia" w:ascii="新宋体" w:hAnsi="新宋体" w:eastAsia="新宋体"/>
          <w:color w:val="000000"/>
        </w:rPr>
        <w:t>一、本单位对所提交的单位基本信息、单位负责人、项目负责人、技术负责人、从业资质和资格、业绩、财务状况、信誉等所有资料，均合法、真实、准确、有效，无任何伪造、修改、虚假成分；</w:t>
      </w:r>
    </w:p>
    <w:p>
      <w:pPr>
        <w:spacing w:line="300" w:lineRule="auto"/>
        <w:ind w:firstLine="420" w:firstLineChars="200"/>
        <w:jc w:val="left"/>
        <w:rPr>
          <w:rFonts w:ascii="新宋体" w:hAnsi="新宋体" w:eastAsia="新宋体"/>
          <w:color w:val="000000"/>
        </w:rPr>
      </w:pPr>
      <w:r>
        <w:rPr>
          <w:rFonts w:hint="eastAsia" w:ascii="新宋体" w:hAnsi="新宋体" w:eastAsia="新宋体"/>
          <w:color w:val="000000"/>
        </w:rPr>
        <w:t>二、严格依照国家和省、市关于招标投标等方面的法律、法规、规章、规范性文件，参加公共资源交易招标投标活动；积极履行社会责任，促进廉政建设；</w:t>
      </w:r>
    </w:p>
    <w:p>
      <w:pPr>
        <w:spacing w:line="300" w:lineRule="auto"/>
        <w:ind w:firstLine="420" w:firstLineChars="200"/>
        <w:jc w:val="left"/>
        <w:rPr>
          <w:rFonts w:ascii="新宋体" w:hAnsi="新宋体" w:eastAsia="新宋体"/>
          <w:color w:val="000000"/>
        </w:rPr>
      </w:pPr>
      <w:r>
        <w:rPr>
          <w:rFonts w:hint="eastAsia" w:ascii="新宋体" w:hAnsi="新宋体" w:eastAsia="新宋体"/>
          <w:color w:val="000000"/>
        </w:rPr>
        <w:t>三、严格遵守即时信息公示规定，及时更新公共资源交易中心主体信息库中信息；</w:t>
      </w:r>
    </w:p>
    <w:p>
      <w:pPr>
        <w:spacing w:line="300" w:lineRule="auto"/>
        <w:ind w:firstLine="420" w:firstLineChars="200"/>
        <w:jc w:val="left"/>
        <w:rPr>
          <w:rFonts w:ascii="新宋体" w:hAnsi="新宋体" w:eastAsia="新宋体"/>
          <w:color w:val="000000"/>
        </w:rPr>
      </w:pPr>
      <w:r>
        <w:rPr>
          <w:rFonts w:hint="eastAsia" w:ascii="新宋体" w:hAnsi="新宋体" w:eastAsia="新宋体"/>
          <w:color w:val="000000"/>
        </w:rPr>
        <w:t>四、自我约束、自我管理，守合同、重信用，不参与围标串标、弄虚作假、骗取中标、干扰评标、违约毁约、恶意投诉等行为，主动维护公共资源交易招标投标的良好秩序；</w:t>
      </w:r>
    </w:p>
    <w:p>
      <w:pPr>
        <w:spacing w:line="300" w:lineRule="auto"/>
        <w:ind w:firstLine="420" w:firstLineChars="200"/>
        <w:jc w:val="left"/>
        <w:rPr>
          <w:rFonts w:ascii="新宋体" w:hAnsi="新宋体" w:eastAsia="新宋体"/>
          <w:color w:val="000000"/>
        </w:rPr>
      </w:pPr>
      <w:r>
        <w:rPr>
          <w:rFonts w:hint="eastAsia" w:ascii="新宋体" w:hAnsi="新宋体" w:eastAsia="新宋体"/>
          <w:color w:val="000000"/>
        </w:rPr>
        <w:t>五、自觉接受政府部门、行业组织、社会公众、新闻舆论等监督；</w:t>
      </w:r>
    </w:p>
    <w:p>
      <w:pPr>
        <w:spacing w:line="300" w:lineRule="auto"/>
        <w:ind w:firstLine="420" w:firstLineChars="200"/>
        <w:jc w:val="left"/>
        <w:rPr>
          <w:rFonts w:ascii="新宋体" w:hAnsi="新宋体" w:eastAsia="新宋体"/>
          <w:color w:val="000000"/>
        </w:rPr>
      </w:pPr>
      <w:r>
        <w:rPr>
          <w:rFonts w:hint="eastAsia" w:ascii="新宋体" w:hAnsi="新宋体" w:eastAsia="新宋体"/>
          <w:color w:val="000000"/>
        </w:rPr>
        <w:t>六、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300" w:lineRule="auto"/>
        <w:ind w:firstLine="420" w:firstLineChars="200"/>
        <w:jc w:val="left"/>
        <w:rPr>
          <w:rFonts w:ascii="新宋体" w:hAnsi="新宋体" w:eastAsia="新宋体"/>
          <w:color w:val="000000"/>
        </w:rPr>
      </w:pPr>
      <w:r>
        <w:rPr>
          <w:rFonts w:hint="eastAsia" w:ascii="新宋体" w:hAnsi="新宋体" w:eastAsia="新宋体"/>
          <w:color w:val="000000"/>
        </w:rPr>
        <w:t>七、上述承诺已向本单位员工作了宣传教育。</w:t>
      </w:r>
    </w:p>
    <w:p>
      <w:pPr>
        <w:rPr>
          <w:rFonts w:ascii="宋体" w:hAnsi="Courier New"/>
          <w:color w:val="000000"/>
          <w:szCs w:val="21"/>
        </w:rPr>
      </w:pPr>
    </w:p>
    <w:p>
      <w:pPr>
        <w:ind w:left="3780" w:right="840" w:firstLine="420" w:firstLineChars="200"/>
        <w:jc w:val="left"/>
        <w:rPr>
          <w:rFonts w:ascii="新宋体" w:hAnsi="新宋体" w:eastAsia="新宋体"/>
          <w:color w:val="000000"/>
        </w:rPr>
      </w:pPr>
      <w:r>
        <w:rPr>
          <w:rFonts w:hint="eastAsia" w:ascii="新宋体" w:hAnsi="新宋体" w:eastAsia="新宋体"/>
          <w:color w:val="000000"/>
        </w:rPr>
        <w:t>法定代表人签名：</w:t>
      </w:r>
    </w:p>
    <w:p>
      <w:pPr>
        <w:jc w:val="left"/>
        <w:rPr>
          <w:rFonts w:ascii="新宋体" w:hAnsi="新宋体" w:eastAsia="新宋体"/>
          <w:color w:val="000000"/>
        </w:rPr>
      </w:pPr>
    </w:p>
    <w:p>
      <w:pPr>
        <w:ind w:left="3780" w:right="420" w:firstLine="420" w:firstLineChars="200"/>
        <w:jc w:val="left"/>
        <w:rPr>
          <w:rFonts w:ascii="新宋体" w:hAnsi="新宋体" w:eastAsia="新宋体"/>
          <w:color w:val="000000"/>
        </w:rPr>
      </w:pPr>
      <w:r>
        <w:rPr>
          <w:rFonts w:hint="eastAsia" w:ascii="新宋体" w:hAnsi="新宋体" w:eastAsia="新宋体"/>
          <w:color w:val="000000"/>
        </w:rPr>
        <w:t>企业名称（盖章）：</w:t>
      </w:r>
    </w:p>
    <w:p>
      <w:pPr>
        <w:ind w:left="3780" w:right="420" w:firstLine="420" w:firstLineChars="200"/>
        <w:jc w:val="left"/>
        <w:rPr>
          <w:rFonts w:ascii="新宋体" w:hAnsi="新宋体" w:eastAsia="新宋体"/>
          <w:color w:val="000000"/>
        </w:rPr>
      </w:pPr>
    </w:p>
    <w:p>
      <w:pPr>
        <w:ind w:firstLine="420" w:firstLineChars="200"/>
        <w:jc w:val="right"/>
        <w:rPr>
          <w:rFonts w:ascii="新宋体" w:hAnsi="新宋体" w:eastAsia="新宋体"/>
          <w:color w:val="000000"/>
        </w:rPr>
      </w:pPr>
      <w:r>
        <w:rPr>
          <w:rFonts w:hint="eastAsia" w:ascii="新宋体" w:hAnsi="新宋体" w:eastAsia="新宋体"/>
          <w:color w:val="000000"/>
        </w:rPr>
        <w:t>年月日</w:t>
      </w:r>
    </w:p>
    <w:p>
      <w:pPr>
        <w:rPr>
          <w:color w:val="000000"/>
        </w:rPr>
      </w:pPr>
    </w:p>
    <w:p>
      <w:pPr>
        <w:rPr>
          <w:color w:val="000000"/>
        </w:rPr>
      </w:pPr>
    </w:p>
    <w:p>
      <w:pPr>
        <w:rPr>
          <w:color w:val="000000"/>
        </w:rPr>
      </w:pPr>
    </w:p>
    <w:p>
      <w:pPr>
        <w:jc w:val="center"/>
        <w:rPr>
          <w:rFonts w:ascii="黑体" w:hAnsi="黑体" w:eastAsia="黑体"/>
          <w:b/>
          <w:color w:val="000000"/>
          <w:sz w:val="28"/>
          <w:szCs w:val="28"/>
        </w:rPr>
      </w:pPr>
    </w:p>
    <w:p>
      <w:pPr>
        <w:jc w:val="center"/>
        <w:rPr>
          <w:rFonts w:ascii="黑体" w:hAnsi="黑体" w:eastAsia="黑体"/>
          <w:b/>
          <w:color w:val="000000"/>
          <w:sz w:val="28"/>
          <w:szCs w:val="28"/>
        </w:rPr>
      </w:pPr>
    </w:p>
    <w:p>
      <w:pPr>
        <w:jc w:val="center"/>
        <w:rPr>
          <w:rFonts w:ascii="黑体" w:hAnsi="黑体" w:eastAsia="黑体"/>
          <w:b/>
          <w:color w:val="000000"/>
          <w:sz w:val="28"/>
          <w:szCs w:val="28"/>
        </w:rPr>
      </w:pPr>
    </w:p>
    <w:p>
      <w:pPr>
        <w:jc w:val="center"/>
        <w:rPr>
          <w:rFonts w:ascii="黑体" w:hAnsi="黑体" w:eastAsia="黑体"/>
          <w:b/>
          <w:color w:val="000000"/>
          <w:sz w:val="28"/>
          <w:szCs w:val="28"/>
        </w:rPr>
      </w:pPr>
    </w:p>
    <w:p>
      <w:pPr>
        <w:jc w:val="center"/>
        <w:rPr>
          <w:rFonts w:ascii="黑体" w:hAnsi="黑体" w:eastAsia="黑体"/>
          <w:b/>
          <w:color w:val="000000"/>
          <w:sz w:val="28"/>
          <w:szCs w:val="28"/>
        </w:rPr>
      </w:pPr>
    </w:p>
    <w:p>
      <w:pPr>
        <w:jc w:val="center"/>
        <w:rPr>
          <w:rFonts w:ascii="黑体" w:hAnsi="黑体" w:eastAsia="黑体"/>
          <w:b/>
          <w:color w:val="000000"/>
          <w:sz w:val="28"/>
          <w:szCs w:val="28"/>
        </w:rPr>
      </w:pPr>
    </w:p>
    <w:p>
      <w:pPr>
        <w:jc w:val="center"/>
        <w:rPr>
          <w:rFonts w:ascii="黑体" w:hAnsi="黑体" w:eastAsia="黑体"/>
          <w:b/>
          <w:color w:val="000000"/>
          <w:sz w:val="28"/>
          <w:szCs w:val="28"/>
        </w:rPr>
      </w:pPr>
    </w:p>
    <w:p>
      <w:pPr>
        <w:jc w:val="center"/>
        <w:rPr>
          <w:rFonts w:ascii="黑体" w:hAnsi="黑体" w:eastAsia="黑体"/>
          <w:b/>
          <w:color w:val="000000"/>
          <w:sz w:val="28"/>
          <w:szCs w:val="28"/>
        </w:rPr>
      </w:pPr>
      <w:r>
        <w:rPr>
          <w:rFonts w:hint="eastAsia" w:ascii="黑体" w:hAnsi="黑体" w:eastAsia="黑体"/>
          <w:b/>
          <w:color w:val="000000"/>
          <w:sz w:val="28"/>
          <w:szCs w:val="28"/>
        </w:rPr>
        <w:t>项目负责人投标承诺函</w:t>
      </w:r>
    </w:p>
    <w:p>
      <w:pPr>
        <w:spacing w:line="640" w:lineRule="exact"/>
        <w:ind w:firstLine="420" w:firstLineChars="200"/>
        <w:jc w:val="left"/>
        <w:rPr>
          <w:rFonts w:ascii="宋体" w:hAnsi="宋体" w:cs="宋体"/>
          <w:color w:val="000000"/>
          <w:szCs w:val="21"/>
        </w:rPr>
      </w:pPr>
      <w:r>
        <w:rPr>
          <w:rFonts w:hint="eastAsia" w:ascii="宋体" w:hAnsi="宋体" w:cs="宋体"/>
          <w:color w:val="000000"/>
          <w:szCs w:val="21"/>
        </w:rPr>
        <w:t>本人（姓名）系</w:t>
      </w:r>
      <w:r>
        <w:rPr>
          <w:rFonts w:hint="eastAsia" w:ascii="宋体" w:hAnsi="宋体" w:cs="宋体"/>
          <w:color w:val="000000"/>
          <w:szCs w:val="21"/>
          <w:u w:val="single"/>
        </w:rPr>
        <w:t>（</w:t>
      </w:r>
      <w:r>
        <w:rPr>
          <w:rFonts w:hint="eastAsia" w:ascii="宋体" w:hAnsi="宋体" w:cs="宋体"/>
          <w:color w:val="000000"/>
          <w:szCs w:val="21"/>
        </w:rPr>
        <w:t>投标人名称）参与（项目名称+标段名称）标段投标的</w:t>
      </w:r>
      <w:r>
        <w:rPr>
          <w:rFonts w:hint="eastAsia" w:ascii="宋体" w:cs="宋体"/>
          <w:color w:val="000000"/>
          <w:szCs w:val="21"/>
        </w:rPr>
        <w:t>项目负责人</w:t>
      </w:r>
      <w:r>
        <w:rPr>
          <w:rFonts w:hint="eastAsia" w:ascii="宋体" w:hAnsi="宋体" w:cs="宋体"/>
          <w:color w:val="000000"/>
          <w:szCs w:val="21"/>
        </w:rPr>
        <w:t>，我承诺本次投标截止前本人</w:t>
      </w:r>
      <w:r>
        <w:rPr>
          <w:rFonts w:ascii="宋体" w:hAnsi="宋体" w:cs="宋体"/>
          <w:color w:val="000000"/>
          <w:szCs w:val="21"/>
        </w:rPr>
        <w:t>无在建工程、</w:t>
      </w:r>
      <w:r>
        <w:rPr>
          <w:rFonts w:hint="eastAsia" w:ascii="宋体" w:hAnsi="宋体" w:cs="宋体"/>
          <w:color w:val="000000"/>
          <w:szCs w:val="21"/>
        </w:rPr>
        <w:t>无行贿犯罪行为记录，不存在在</w:t>
      </w:r>
      <w:r>
        <w:rPr>
          <w:rFonts w:ascii="宋体" w:hAnsi="宋体" w:cs="宋体"/>
          <w:color w:val="000000"/>
          <w:szCs w:val="21"/>
        </w:rPr>
        <w:t>两个或者两个以上单位受聘或者执业</w:t>
      </w:r>
      <w:r>
        <w:rPr>
          <w:rFonts w:hint="eastAsia" w:ascii="宋体" w:hAnsi="宋体" w:cs="宋体"/>
          <w:color w:val="000000"/>
          <w:szCs w:val="21"/>
        </w:rPr>
        <w:t>情形，本人身体状况健康，具备项目经理正常履约能力，若我单位中标，本人正常在岗履职，不随意更换项目负责人，否则接受除按招标文件及相关规定接受经济处罚外，还将作为盐城市建设工程领域招投标及标后履约不良行为记录进黑名单限制一定时期作为项目负责人投标资格。</w:t>
      </w:r>
    </w:p>
    <w:p>
      <w:pPr>
        <w:spacing w:line="440" w:lineRule="exact"/>
        <w:ind w:firstLine="1995" w:firstLineChars="950"/>
        <w:rPr>
          <w:color w:val="000000"/>
          <w:szCs w:val="21"/>
        </w:rPr>
      </w:pPr>
    </w:p>
    <w:p>
      <w:pPr>
        <w:spacing w:line="440" w:lineRule="exact"/>
        <w:ind w:firstLine="1995" w:firstLineChars="950"/>
        <w:rPr>
          <w:color w:val="000000"/>
          <w:szCs w:val="21"/>
        </w:rPr>
      </w:pPr>
    </w:p>
    <w:p>
      <w:pPr>
        <w:spacing w:line="440" w:lineRule="exact"/>
        <w:ind w:firstLine="1995" w:firstLineChars="950"/>
        <w:rPr>
          <w:color w:val="000000"/>
          <w:szCs w:val="21"/>
        </w:rPr>
      </w:pPr>
    </w:p>
    <w:p>
      <w:pPr>
        <w:spacing w:line="440" w:lineRule="exact"/>
        <w:rPr>
          <w:color w:val="000000"/>
          <w:szCs w:val="21"/>
        </w:rPr>
      </w:pPr>
    </w:p>
    <w:p>
      <w:pPr>
        <w:spacing w:line="440" w:lineRule="exact"/>
        <w:ind w:firstLine="3150" w:firstLineChars="1500"/>
        <w:jc w:val="left"/>
        <w:rPr>
          <w:rFonts w:ascii="宋体" w:hAnsi="宋体" w:cs="宋体"/>
          <w:color w:val="000000"/>
          <w:szCs w:val="21"/>
        </w:rPr>
      </w:pPr>
      <w:r>
        <w:rPr>
          <w:rFonts w:hint="eastAsia" w:ascii="宋体" w:hAnsi="宋体" w:cs="宋体"/>
          <w:color w:val="000000"/>
          <w:szCs w:val="21"/>
        </w:rPr>
        <w:t>项目负责人：（签字）</w:t>
      </w:r>
    </w:p>
    <w:p>
      <w:pPr>
        <w:spacing w:line="440" w:lineRule="exact"/>
        <w:rPr>
          <w:rFonts w:ascii="宋体" w:hAnsi="宋体" w:cs="宋体"/>
          <w:color w:val="000000"/>
          <w:szCs w:val="21"/>
        </w:rPr>
      </w:pPr>
    </w:p>
    <w:p>
      <w:pPr>
        <w:spacing w:line="440" w:lineRule="exact"/>
        <w:ind w:firstLine="3150" w:firstLineChars="1500"/>
        <w:jc w:val="left"/>
        <w:rPr>
          <w:rFonts w:ascii="宋体" w:hAnsi="宋体" w:cs="宋体"/>
          <w:color w:val="000000"/>
          <w:szCs w:val="21"/>
        </w:rPr>
      </w:pPr>
      <w:r>
        <w:rPr>
          <w:rFonts w:hint="eastAsia" w:ascii="宋体" w:hAnsi="宋体" w:cs="宋体"/>
          <w:color w:val="000000"/>
          <w:szCs w:val="21"/>
        </w:rPr>
        <w:t>身份证号码：</w:t>
      </w:r>
    </w:p>
    <w:p>
      <w:pPr>
        <w:spacing w:line="440" w:lineRule="exact"/>
        <w:rPr>
          <w:rFonts w:ascii="宋体" w:hAnsi="宋体" w:cs="宋体"/>
          <w:color w:val="000000"/>
          <w:szCs w:val="21"/>
        </w:rPr>
      </w:pPr>
    </w:p>
    <w:p>
      <w:pPr>
        <w:spacing w:line="440" w:lineRule="exact"/>
        <w:ind w:firstLine="3150" w:firstLineChars="1500"/>
        <w:jc w:val="left"/>
        <w:rPr>
          <w:rFonts w:ascii="宋体" w:hAnsi="宋体" w:cs="宋体"/>
          <w:color w:val="000000"/>
          <w:szCs w:val="21"/>
        </w:rPr>
      </w:pPr>
      <w:r>
        <w:rPr>
          <w:rFonts w:hint="eastAsia" w:ascii="宋体" w:hAnsi="宋体" w:cs="宋体"/>
          <w:color w:val="000000"/>
          <w:szCs w:val="21"/>
        </w:rPr>
        <w:t>联系电话：</w:t>
      </w: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beforeLines="50" w:afterLines="100" w:line="440" w:lineRule="exact"/>
        <w:ind w:right="420"/>
        <w:jc w:val="right"/>
        <w:rPr>
          <w:rFonts w:ascii="宋体" w:hAnsi="宋体" w:cs="宋体"/>
          <w:color w:val="000000"/>
          <w:szCs w:val="21"/>
        </w:rPr>
      </w:pPr>
      <w:r>
        <w:rPr>
          <w:rFonts w:hint="eastAsia" w:ascii="宋体" w:hAnsi="宋体" w:cs="宋体"/>
          <w:color w:val="000000"/>
          <w:szCs w:val="21"/>
        </w:rPr>
        <w:t>年月日</w:t>
      </w:r>
    </w:p>
    <w:p>
      <w:pPr>
        <w:pStyle w:val="2"/>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29</w:t>
                </w:r>
                <w:r>
                  <w:fldChar w:fldCharType="end"/>
                </w:r>
              </w:p>
            </w:txbxContent>
          </v:textbox>
        </v:shape>
      </w:pict>
    </w:r>
    <w:r>
      <w:pict>
        <v:shape id="文本框 1" o:spid="_x0000_s4100" o:spt="202" type="#_x0000_t202" style="position:absolute;left:0pt;margin-top:0pt;height:11.65pt;width:13.5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098" o:spid="_x0000_s4098"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rPr>
                    <w:rFonts w:hint="eastAsia"/>
                  </w:rPr>
                  <w:t>0</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60EFD"/>
    <w:multiLevelType w:val="singleLevel"/>
    <w:tmpl w:val="BAB60EFD"/>
    <w:lvl w:ilvl="0" w:tentative="0">
      <w:start w:val="8"/>
      <w:numFmt w:val="chineseCounting"/>
      <w:suff w:val="nothing"/>
      <w:lvlText w:val="%1、"/>
      <w:lvlJc w:val="left"/>
      <w:rPr>
        <w:rFonts w:hint="eastAsia"/>
      </w:rPr>
    </w:lvl>
  </w:abstractNum>
  <w:abstractNum w:abstractNumId="1">
    <w:nsid w:val="FA1EA07B"/>
    <w:multiLevelType w:val="singleLevel"/>
    <w:tmpl w:val="FA1EA07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3FC1"/>
    <w:rsid w:val="00000275"/>
    <w:rsid w:val="000069F7"/>
    <w:rsid w:val="00017C02"/>
    <w:rsid w:val="000201D9"/>
    <w:rsid w:val="00025C0B"/>
    <w:rsid w:val="000345DC"/>
    <w:rsid w:val="00035BC4"/>
    <w:rsid w:val="0003682C"/>
    <w:rsid w:val="000526E0"/>
    <w:rsid w:val="00053C3E"/>
    <w:rsid w:val="00054ED6"/>
    <w:rsid w:val="00054FDA"/>
    <w:rsid w:val="00055EAA"/>
    <w:rsid w:val="00072369"/>
    <w:rsid w:val="00075453"/>
    <w:rsid w:val="00080062"/>
    <w:rsid w:val="0009061A"/>
    <w:rsid w:val="00090FE3"/>
    <w:rsid w:val="000B72C9"/>
    <w:rsid w:val="000E13C8"/>
    <w:rsid w:val="000E7156"/>
    <w:rsid w:val="000F771A"/>
    <w:rsid w:val="001137A1"/>
    <w:rsid w:val="001236C7"/>
    <w:rsid w:val="001267CB"/>
    <w:rsid w:val="0013385F"/>
    <w:rsid w:val="00137C02"/>
    <w:rsid w:val="001444E0"/>
    <w:rsid w:val="00171D8E"/>
    <w:rsid w:val="001728DF"/>
    <w:rsid w:val="00173ADB"/>
    <w:rsid w:val="001858B4"/>
    <w:rsid w:val="00186548"/>
    <w:rsid w:val="00187D51"/>
    <w:rsid w:val="001A4B2E"/>
    <w:rsid w:val="001A6CAF"/>
    <w:rsid w:val="001A7504"/>
    <w:rsid w:val="001B18B5"/>
    <w:rsid w:val="001D1DE2"/>
    <w:rsid w:val="001D6F61"/>
    <w:rsid w:val="001D7A15"/>
    <w:rsid w:val="001E55BA"/>
    <w:rsid w:val="001F0F3A"/>
    <w:rsid w:val="001F7996"/>
    <w:rsid w:val="0020670B"/>
    <w:rsid w:val="00206E73"/>
    <w:rsid w:val="00210A5F"/>
    <w:rsid w:val="00234143"/>
    <w:rsid w:val="002408C0"/>
    <w:rsid w:val="00251C6C"/>
    <w:rsid w:val="002555FA"/>
    <w:rsid w:val="002614CD"/>
    <w:rsid w:val="00262B72"/>
    <w:rsid w:val="00265D69"/>
    <w:rsid w:val="00265EAF"/>
    <w:rsid w:val="00271C63"/>
    <w:rsid w:val="00273210"/>
    <w:rsid w:val="00274903"/>
    <w:rsid w:val="00284706"/>
    <w:rsid w:val="0029622A"/>
    <w:rsid w:val="002A105C"/>
    <w:rsid w:val="002A2FB4"/>
    <w:rsid w:val="002A4B02"/>
    <w:rsid w:val="002B0AE7"/>
    <w:rsid w:val="002B36AD"/>
    <w:rsid w:val="002B5253"/>
    <w:rsid w:val="002B6398"/>
    <w:rsid w:val="002C2EC7"/>
    <w:rsid w:val="002C3591"/>
    <w:rsid w:val="002C48FC"/>
    <w:rsid w:val="002C4C94"/>
    <w:rsid w:val="002D0F3E"/>
    <w:rsid w:val="002D4695"/>
    <w:rsid w:val="002F08E7"/>
    <w:rsid w:val="002F3B0B"/>
    <w:rsid w:val="002F71F8"/>
    <w:rsid w:val="00303DD2"/>
    <w:rsid w:val="00306395"/>
    <w:rsid w:val="0030791D"/>
    <w:rsid w:val="00307CDE"/>
    <w:rsid w:val="003104C2"/>
    <w:rsid w:val="0031284A"/>
    <w:rsid w:val="00317F22"/>
    <w:rsid w:val="00322917"/>
    <w:rsid w:val="003260EF"/>
    <w:rsid w:val="00327383"/>
    <w:rsid w:val="003350B3"/>
    <w:rsid w:val="00356C40"/>
    <w:rsid w:val="003605CA"/>
    <w:rsid w:val="003719F0"/>
    <w:rsid w:val="00376A41"/>
    <w:rsid w:val="003853CB"/>
    <w:rsid w:val="0039652F"/>
    <w:rsid w:val="0039788A"/>
    <w:rsid w:val="003A2D4B"/>
    <w:rsid w:val="003A53A5"/>
    <w:rsid w:val="003B66D4"/>
    <w:rsid w:val="003C23A0"/>
    <w:rsid w:val="003C2489"/>
    <w:rsid w:val="003E0E6B"/>
    <w:rsid w:val="003E5BA9"/>
    <w:rsid w:val="003F0F9B"/>
    <w:rsid w:val="003F1894"/>
    <w:rsid w:val="003F28C2"/>
    <w:rsid w:val="003F70F8"/>
    <w:rsid w:val="00402E5A"/>
    <w:rsid w:val="00405849"/>
    <w:rsid w:val="00405E14"/>
    <w:rsid w:val="00411153"/>
    <w:rsid w:val="00413DF2"/>
    <w:rsid w:val="0041415F"/>
    <w:rsid w:val="00430242"/>
    <w:rsid w:val="00432AB3"/>
    <w:rsid w:val="004402CD"/>
    <w:rsid w:val="0045077C"/>
    <w:rsid w:val="00456697"/>
    <w:rsid w:val="00462020"/>
    <w:rsid w:val="0047191D"/>
    <w:rsid w:val="00480C89"/>
    <w:rsid w:val="0048754E"/>
    <w:rsid w:val="004A188A"/>
    <w:rsid w:val="004A73A5"/>
    <w:rsid w:val="004D1F73"/>
    <w:rsid w:val="004D3633"/>
    <w:rsid w:val="004D5A33"/>
    <w:rsid w:val="004E5214"/>
    <w:rsid w:val="004E64F4"/>
    <w:rsid w:val="004F2741"/>
    <w:rsid w:val="004F49C2"/>
    <w:rsid w:val="004F5931"/>
    <w:rsid w:val="00506DB5"/>
    <w:rsid w:val="005142D4"/>
    <w:rsid w:val="00515E7A"/>
    <w:rsid w:val="00537E42"/>
    <w:rsid w:val="00540426"/>
    <w:rsid w:val="0054436C"/>
    <w:rsid w:val="00544ACF"/>
    <w:rsid w:val="00545E62"/>
    <w:rsid w:val="0055120B"/>
    <w:rsid w:val="00554FAF"/>
    <w:rsid w:val="00561022"/>
    <w:rsid w:val="005700A0"/>
    <w:rsid w:val="00571001"/>
    <w:rsid w:val="00571755"/>
    <w:rsid w:val="0057697F"/>
    <w:rsid w:val="00576E19"/>
    <w:rsid w:val="00577B75"/>
    <w:rsid w:val="00583E54"/>
    <w:rsid w:val="005916B8"/>
    <w:rsid w:val="00593817"/>
    <w:rsid w:val="00593F33"/>
    <w:rsid w:val="005A25B8"/>
    <w:rsid w:val="005A6987"/>
    <w:rsid w:val="005C26AA"/>
    <w:rsid w:val="005C4338"/>
    <w:rsid w:val="005C4974"/>
    <w:rsid w:val="005C6806"/>
    <w:rsid w:val="005C6C81"/>
    <w:rsid w:val="005D5C1D"/>
    <w:rsid w:val="005E03C0"/>
    <w:rsid w:val="005E367E"/>
    <w:rsid w:val="005E71E7"/>
    <w:rsid w:val="005F24E3"/>
    <w:rsid w:val="005F7B3B"/>
    <w:rsid w:val="006014A7"/>
    <w:rsid w:val="0060210D"/>
    <w:rsid w:val="006059D8"/>
    <w:rsid w:val="0061078F"/>
    <w:rsid w:val="006113BD"/>
    <w:rsid w:val="00612DF1"/>
    <w:rsid w:val="00615759"/>
    <w:rsid w:val="00621F98"/>
    <w:rsid w:val="00624B83"/>
    <w:rsid w:val="00634834"/>
    <w:rsid w:val="006361DD"/>
    <w:rsid w:val="0064324C"/>
    <w:rsid w:val="0064494E"/>
    <w:rsid w:val="00662900"/>
    <w:rsid w:val="006636D0"/>
    <w:rsid w:val="00663832"/>
    <w:rsid w:val="006664F1"/>
    <w:rsid w:val="006757AF"/>
    <w:rsid w:val="0067582F"/>
    <w:rsid w:val="00677735"/>
    <w:rsid w:val="0068317D"/>
    <w:rsid w:val="0068362B"/>
    <w:rsid w:val="0069634D"/>
    <w:rsid w:val="006A3B61"/>
    <w:rsid w:val="006A4371"/>
    <w:rsid w:val="006A7F8E"/>
    <w:rsid w:val="006B060D"/>
    <w:rsid w:val="006B266C"/>
    <w:rsid w:val="006B3012"/>
    <w:rsid w:val="006B4CD1"/>
    <w:rsid w:val="006B600C"/>
    <w:rsid w:val="006B6B9D"/>
    <w:rsid w:val="006B6EE9"/>
    <w:rsid w:val="006B794E"/>
    <w:rsid w:val="006D0B27"/>
    <w:rsid w:val="006E0AA7"/>
    <w:rsid w:val="006E73F1"/>
    <w:rsid w:val="006F3585"/>
    <w:rsid w:val="006F42A5"/>
    <w:rsid w:val="006F52C0"/>
    <w:rsid w:val="00703065"/>
    <w:rsid w:val="00716BDF"/>
    <w:rsid w:val="00724E50"/>
    <w:rsid w:val="00734988"/>
    <w:rsid w:val="00740F7B"/>
    <w:rsid w:val="007533EA"/>
    <w:rsid w:val="00754CDA"/>
    <w:rsid w:val="0076200D"/>
    <w:rsid w:val="007701D3"/>
    <w:rsid w:val="00775035"/>
    <w:rsid w:val="00780D8F"/>
    <w:rsid w:val="00785252"/>
    <w:rsid w:val="00787869"/>
    <w:rsid w:val="007935A6"/>
    <w:rsid w:val="00794AD8"/>
    <w:rsid w:val="007A23F0"/>
    <w:rsid w:val="007C08BB"/>
    <w:rsid w:val="007C3CF6"/>
    <w:rsid w:val="007C6A92"/>
    <w:rsid w:val="007D2664"/>
    <w:rsid w:val="007D424F"/>
    <w:rsid w:val="007D4C07"/>
    <w:rsid w:val="007F4E22"/>
    <w:rsid w:val="007F5B44"/>
    <w:rsid w:val="00810815"/>
    <w:rsid w:val="00810986"/>
    <w:rsid w:val="008146E4"/>
    <w:rsid w:val="00825575"/>
    <w:rsid w:val="00826DEC"/>
    <w:rsid w:val="00836AED"/>
    <w:rsid w:val="008413EC"/>
    <w:rsid w:val="00845E00"/>
    <w:rsid w:val="00847D1E"/>
    <w:rsid w:val="0085661E"/>
    <w:rsid w:val="00870F00"/>
    <w:rsid w:val="00872BA5"/>
    <w:rsid w:val="0087514D"/>
    <w:rsid w:val="008759F7"/>
    <w:rsid w:val="0087752A"/>
    <w:rsid w:val="00877D44"/>
    <w:rsid w:val="00896F95"/>
    <w:rsid w:val="008A2587"/>
    <w:rsid w:val="008A51FA"/>
    <w:rsid w:val="008A5E29"/>
    <w:rsid w:val="008A68E7"/>
    <w:rsid w:val="008B0359"/>
    <w:rsid w:val="008B0538"/>
    <w:rsid w:val="008B359F"/>
    <w:rsid w:val="008B4990"/>
    <w:rsid w:val="008C244E"/>
    <w:rsid w:val="008C3AA4"/>
    <w:rsid w:val="008C44C4"/>
    <w:rsid w:val="008C72FD"/>
    <w:rsid w:val="008C76CF"/>
    <w:rsid w:val="008D258F"/>
    <w:rsid w:val="008D78AB"/>
    <w:rsid w:val="008F1D53"/>
    <w:rsid w:val="008F46FA"/>
    <w:rsid w:val="00902158"/>
    <w:rsid w:val="00904454"/>
    <w:rsid w:val="00906F99"/>
    <w:rsid w:val="00911400"/>
    <w:rsid w:val="0091642A"/>
    <w:rsid w:val="00916E5D"/>
    <w:rsid w:val="00917FBC"/>
    <w:rsid w:val="00920EC4"/>
    <w:rsid w:val="009237D2"/>
    <w:rsid w:val="00934615"/>
    <w:rsid w:val="0094289E"/>
    <w:rsid w:val="00944B20"/>
    <w:rsid w:val="00944E27"/>
    <w:rsid w:val="00950C58"/>
    <w:rsid w:val="00951D7B"/>
    <w:rsid w:val="0095453F"/>
    <w:rsid w:val="00955B6A"/>
    <w:rsid w:val="009633A5"/>
    <w:rsid w:val="00966EA1"/>
    <w:rsid w:val="00972100"/>
    <w:rsid w:val="009919E5"/>
    <w:rsid w:val="00992802"/>
    <w:rsid w:val="00994F5B"/>
    <w:rsid w:val="009A091E"/>
    <w:rsid w:val="009A7570"/>
    <w:rsid w:val="009B1BA5"/>
    <w:rsid w:val="009B3313"/>
    <w:rsid w:val="009B75CC"/>
    <w:rsid w:val="009C401B"/>
    <w:rsid w:val="009C6AD9"/>
    <w:rsid w:val="009D0F8E"/>
    <w:rsid w:val="009D3BB6"/>
    <w:rsid w:val="009E611E"/>
    <w:rsid w:val="009F41EB"/>
    <w:rsid w:val="00A10D82"/>
    <w:rsid w:val="00A16FC6"/>
    <w:rsid w:val="00A2601E"/>
    <w:rsid w:val="00A31B5A"/>
    <w:rsid w:val="00A35E18"/>
    <w:rsid w:val="00A43718"/>
    <w:rsid w:val="00A43C23"/>
    <w:rsid w:val="00A65A8A"/>
    <w:rsid w:val="00A673C3"/>
    <w:rsid w:val="00A82688"/>
    <w:rsid w:val="00A87A3E"/>
    <w:rsid w:val="00A95712"/>
    <w:rsid w:val="00A97501"/>
    <w:rsid w:val="00AA2F8D"/>
    <w:rsid w:val="00AA50C5"/>
    <w:rsid w:val="00AA636E"/>
    <w:rsid w:val="00AC1A51"/>
    <w:rsid w:val="00AC679C"/>
    <w:rsid w:val="00AD05F2"/>
    <w:rsid w:val="00AE1517"/>
    <w:rsid w:val="00AE3F70"/>
    <w:rsid w:val="00AE4B60"/>
    <w:rsid w:val="00AF6C47"/>
    <w:rsid w:val="00B035B1"/>
    <w:rsid w:val="00B053CF"/>
    <w:rsid w:val="00B10A5B"/>
    <w:rsid w:val="00B135F9"/>
    <w:rsid w:val="00B14272"/>
    <w:rsid w:val="00B14E47"/>
    <w:rsid w:val="00B150AD"/>
    <w:rsid w:val="00B20428"/>
    <w:rsid w:val="00B210CF"/>
    <w:rsid w:val="00B212DB"/>
    <w:rsid w:val="00B2691E"/>
    <w:rsid w:val="00B31186"/>
    <w:rsid w:val="00B34651"/>
    <w:rsid w:val="00B40451"/>
    <w:rsid w:val="00B416A1"/>
    <w:rsid w:val="00B53CDA"/>
    <w:rsid w:val="00B62339"/>
    <w:rsid w:val="00B645B0"/>
    <w:rsid w:val="00B65BFA"/>
    <w:rsid w:val="00B71609"/>
    <w:rsid w:val="00B726DE"/>
    <w:rsid w:val="00B73FC1"/>
    <w:rsid w:val="00B756BF"/>
    <w:rsid w:val="00B80045"/>
    <w:rsid w:val="00B83FCE"/>
    <w:rsid w:val="00B8432F"/>
    <w:rsid w:val="00BA5E0A"/>
    <w:rsid w:val="00BB1602"/>
    <w:rsid w:val="00BB35F7"/>
    <w:rsid w:val="00BD3844"/>
    <w:rsid w:val="00BD5D8C"/>
    <w:rsid w:val="00BE0CE3"/>
    <w:rsid w:val="00BF6E1E"/>
    <w:rsid w:val="00C0184E"/>
    <w:rsid w:val="00C04E68"/>
    <w:rsid w:val="00C15D16"/>
    <w:rsid w:val="00C20774"/>
    <w:rsid w:val="00C3014D"/>
    <w:rsid w:val="00C33BFD"/>
    <w:rsid w:val="00C33D0E"/>
    <w:rsid w:val="00C4051A"/>
    <w:rsid w:val="00C42CC3"/>
    <w:rsid w:val="00C475CD"/>
    <w:rsid w:val="00C56901"/>
    <w:rsid w:val="00C56C2A"/>
    <w:rsid w:val="00C6143C"/>
    <w:rsid w:val="00C72E25"/>
    <w:rsid w:val="00C732F6"/>
    <w:rsid w:val="00C81269"/>
    <w:rsid w:val="00C82C8D"/>
    <w:rsid w:val="00C866D1"/>
    <w:rsid w:val="00C87975"/>
    <w:rsid w:val="00C9509F"/>
    <w:rsid w:val="00CA2CD6"/>
    <w:rsid w:val="00CA2EB3"/>
    <w:rsid w:val="00CA420A"/>
    <w:rsid w:val="00CB0CEC"/>
    <w:rsid w:val="00CB1FB0"/>
    <w:rsid w:val="00CC170B"/>
    <w:rsid w:val="00CD2BFA"/>
    <w:rsid w:val="00CD4E01"/>
    <w:rsid w:val="00CE0AB7"/>
    <w:rsid w:val="00CF5800"/>
    <w:rsid w:val="00D018FC"/>
    <w:rsid w:val="00D06649"/>
    <w:rsid w:val="00D1117D"/>
    <w:rsid w:val="00D120C9"/>
    <w:rsid w:val="00D1257C"/>
    <w:rsid w:val="00D17F57"/>
    <w:rsid w:val="00D4359E"/>
    <w:rsid w:val="00D43FC1"/>
    <w:rsid w:val="00D4720D"/>
    <w:rsid w:val="00D47325"/>
    <w:rsid w:val="00D47F0E"/>
    <w:rsid w:val="00D54196"/>
    <w:rsid w:val="00D613FC"/>
    <w:rsid w:val="00D65C43"/>
    <w:rsid w:val="00D70447"/>
    <w:rsid w:val="00D8133D"/>
    <w:rsid w:val="00D82455"/>
    <w:rsid w:val="00D90A32"/>
    <w:rsid w:val="00D90E1C"/>
    <w:rsid w:val="00D94049"/>
    <w:rsid w:val="00D95123"/>
    <w:rsid w:val="00DA10E9"/>
    <w:rsid w:val="00DA1B2F"/>
    <w:rsid w:val="00DA1E0C"/>
    <w:rsid w:val="00DA1EDE"/>
    <w:rsid w:val="00DA2917"/>
    <w:rsid w:val="00DB234D"/>
    <w:rsid w:val="00DB61B7"/>
    <w:rsid w:val="00DC4D1F"/>
    <w:rsid w:val="00DC5F4D"/>
    <w:rsid w:val="00DD38EC"/>
    <w:rsid w:val="00DD538A"/>
    <w:rsid w:val="00DD70C4"/>
    <w:rsid w:val="00DE7503"/>
    <w:rsid w:val="00DF1CCB"/>
    <w:rsid w:val="00E041CC"/>
    <w:rsid w:val="00E112AB"/>
    <w:rsid w:val="00E2108A"/>
    <w:rsid w:val="00E21E41"/>
    <w:rsid w:val="00E25A38"/>
    <w:rsid w:val="00E26188"/>
    <w:rsid w:val="00E261CC"/>
    <w:rsid w:val="00E3166F"/>
    <w:rsid w:val="00E34979"/>
    <w:rsid w:val="00E352A7"/>
    <w:rsid w:val="00E35AC9"/>
    <w:rsid w:val="00E4128D"/>
    <w:rsid w:val="00E43478"/>
    <w:rsid w:val="00E46340"/>
    <w:rsid w:val="00E53D08"/>
    <w:rsid w:val="00E55751"/>
    <w:rsid w:val="00E55F21"/>
    <w:rsid w:val="00E57007"/>
    <w:rsid w:val="00E57B50"/>
    <w:rsid w:val="00E6014B"/>
    <w:rsid w:val="00E66537"/>
    <w:rsid w:val="00E71AFE"/>
    <w:rsid w:val="00E72B00"/>
    <w:rsid w:val="00E73A46"/>
    <w:rsid w:val="00E77F3C"/>
    <w:rsid w:val="00E805A5"/>
    <w:rsid w:val="00E80B2A"/>
    <w:rsid w:val="00E81DD1"/>
    <w:rsid w:val="00E90CEA"/>
    <w:rsid w:val="00E95572"/>
    <w:rsid w:val="00EA28FE"/>
    <w:rsid w:val="00EA3866"/>
    <w:rsid w:val="00EB1189"/>
    <w:rsid w:val="00EB3D18"/>
    <w:rsid w:val="00EC2659"/>
    <w:rsid w:val="00ED7309"/>
    <w:rsid w:val="00EE576F"/>
    <w:rsid w:val="00F016AE"/>
    <w:rsid w:val="00F0219A"/>
    <w:rsid w:val="00F02772"/>
    <w:rsid w:val="00F0375A"/>
    <w:rsid w:val="00F105C2"/>
    <w:rsid w:val="00F11584"/>
    <w:rsid w:val="00F11B1E"/>
    <w:rsid w:val="00F12A55"/>
    <w:rsid w:val="00F1618F"/>
    <w:rsid w:val="00F213DC"/>
    <w:rsid w:val="00F2499E"/>
    <w:rsid w:val="00F32C7A"/>
    <w:rsid w:val="00F36DBD"/>
    <w:rsid w:val="00F513CA"/>
    <w:rsid w:val="00F61C7D"/>
    <w:rsid w:val="00F66F72"/>
    <w:rsid w:val="00F67DB7"/>
    <w:rsid w:val="00F70BAA"/>
    <w:rsid w:val="00F751D0"/>
    <w:rsid w:val="00F77F14"/>
    <w:rsid w:val="00F82780"/>
    <w:rsid w:val="00F82F39"/>
    <w:rsid w:val="00F83E7D"/>
    <w:rsid w:val="00F860D0"/>
    <w:rsid w:val="00FB1587"/>
    <w:rsid w:val="00FB7099"/>
    <w:rsid w:val="00FD0701"/>
    <w:rsid w:val="00FD4862"/>
    <w:rsid w:val="00FD612C"/>
    <w:rsid w:val="00FD6471"/>
    <w:rsid w:val="00FD79AD"/>
    <w:rsid w:val="00FE5601"/>
    <w:rsid w:val="00FE5FA3"/>
    <w:rsid w:val="00FE7591"/>
    <w:rsid w:val="00FF2113"/>
    <w:rsid w:val="00FF77A9"/>
    <w:rsid w:val="010C65D1"/>
    <w:rsid w:val="014F1170"/>
    <w:rsid w:val="02A074D1"/>
    <w:rsid w:val="0533460F"/>
    <w:rsid w:val="07523487"/>
    <w:rsid w:val="0780147F"/>
    <w:rsid w:val="079B2A0B"/>
    <w:rsid w:val="0825247C"/>
    <w:rsid w:val="08893B35"/>
    <w:rsid w:val="08E53DCC"/>
    <w:rsid w:val="09A97FCE"/>
    <w:rsid w:val="0A766F59"/>
    <w:rsid w:val="0BD92DC9"/>
    <w:rsid w:val="0DA57723"/>
    <w:rsid w:val="0E001546"/>
    <w:rsid w:val="0E745A0E"/>
    <w:rsid w:val="0E7E2C95"/>
    <w:rsid w:val="109E360C"/>
    <w:rsid w:val="110172D8"/>
    <w:rsid w:val="11626750"/>
    <w:rsid w:val="117F22D8"/>
    <w:rsid w:val="126938A9"/>
    <w:rsid w:val="12826878"/>
    <w:rsid w:val="13940795"/>
    <w:rsid w:val="142C4FE7"/>
    <w:rsid w:val="15ED042D"/>
    <w:rsid w:val="17E00848"/>
    <w:rsid w:val="18FA4C9C"/>
    <w:rsid w:val="18FC298C"/>
    <w:rsid w:val="19955A83"/>
    <w:rsid w:val="1A567DF0"/>
    <w:rsid w:val="1ACE15C4"/>
    <w:rsid w:val="1AD17866"/>
    <w:rsid w:val="1B0352F3"/>
    <w:rsid w:val="1BEB688F"/>
    <w:rsid w:val="1BF67060"/>
    <w:rsid w:val="1C3C1460"/>
    <w:rsid w:val="1D001D3C"/>
    <w:rsid w:val="1D2B4727"/>
    <w:rsid w:val="1D8B1594"/>
    <w:rsid w:val="1F10537B"/>
    <w:rsid w:val="1F301ACF"/>
    <w:rsid w:val="1F751369"/>
    <w:rsid w:val="200E1401"/>
    <w:rsid w:val="20593E27"/>
    <w:rsid w:val="21145826"/>
    <w:rsid w:val="218525FD"/>
    <w:rsid w:val="21E378AC"/>
    <w:rsid w:val="24073AAF"/>
    <w:rsid w:val="24790731"/>
    <w:rsid w:val="25710459"/>
    <w:rsid w:val="288811C3"/>
    <w:rsid w:val="2AAA525B"/>
    <w:rsid w:val="2B083C9D"/>
    <w:rsid w:val="2B5801B6"/>
    <w:rsid w:val="2BC44127"/>
    <w:rsid w:val="2C0D357B"/>
    <w:rsid w:val="2D751020"/>
    <w:rsid w:val="2DE625A9"/>
    <w:rsid w:val="2E690F70"/>
    <w:rsid w:val="30C336F9"/>
    <w:rsid w:val="31293692"/>
    <w:rsid w:val="31695313"/>
    <w:rsid w:val="31902164"/>
    <w:rsid w:val="32F35E66"/>
    <w:rsid w:val="33221E5C"/>
    <w:rsid w:val="33702DE6"/>
    <w:rsid w:val="33A5691C"/>
    <w:rsid w:val="34C9425D"/>
    <w:rsid w:val="358E773A"/>
    <w:rsid w:val="35B11538"/>
    <w:rsid w:val="367B1865"/>
    <w:rsid w:val="36FE3CC9"/>
    <w:rsid w:val="37424326"/>
    <w:rsid w:val="392262B2"/>
    <w:rsid w:val="395A6524"/>
    <w:rsid w:val="39FA31FF"/>
    <w:rsid w:val="3B374323"/>
    <w:rsid w:val="3D2B3D8F"/>
    <w:rsid w:val="3E4F33A9"/>
    <w:rsid w:val="3F3D54DE"/>
    <w:rsid w:val="3FDE73A8"/>
    <w:rsid w:val="40490465"/>
    <w:rsid w:val="415762A6"/>
    <w:rsid w:val="426F02D8"/>
    <w:rsid w:val="429C15B5"/>
    <w:rsid w:val="42C65ED8"/>
    <w:rsid w:val="42C72398"/>
    <w:rsid w:val="44015C77"/>
    <w:rsid w:val="45755A35"/>
    <w:rsid w:val="46A523B8"/>
    <w:rsid w:val="478E26FF"/>
    <w:rsid w:val="479D55DF"/>
    <w:rsid w:val="47A9554E"/>
    <w:rsid w:val="48EE4B77"/>
    <w:rsid w:val="4A6A36FD"/>
    <w:rsid w:val="4A916BCD"/>
    <w:rsid w:val="4C9A0D59"/>
    <w:rsid w:val="4CCD193A"/>
    <w:rsid w:val="4DD74009"/>
    <w:rsid w:val="4DE04204"/>
    <w:rsid w:val="4E6C5E22"/>
    <w:rsid w:val="4E6F2ACC"/>
    <w:rsid w:val="4F713C5C"/>
    <w:rsid w:val="4FCC368A"/>
    <w:rsid w:val="50372930"/>
    <w:rsid w:val="50A77867"/>
    <w:rsid w:val="511D1DE5"/>
    <w:rsid w:val="51D602F4"/>
    <w:rsid w:val="51E16665"/>
    <w:rsid w:val="51F15007"/>
    <w:rsid w:val="52BB37E0"/>
    <w:rsid w:val="54560222"/>
    <w:rsid w:val="54816F2D"/>
    <w:rsid w:val="553F67BA"/>
    <w:rsid w:val="55620AF0"/>
    <w:rsid w:val="56B318FF"/>
    <w:rsid w:val="57152FB4"/>
    <w:rsid w:val="572A638C"/>
    <w:rsid w:val="5911000A"/>
    <w:rsid w:val="591911EF"/>
    <w:rsid w:val="5A302ED0"/>
    <w:rsid w:val="5C1E495D"/>
    <w:rsid w:val="5D2F25E5"/>
    <w:rsid w:val="5D6F563F"/>
    <w:rsid w:val="5E042DC3"/>
    <w:rsid w:val="5F3C0D73"/>
    <w:rsid w:val="5FA46708"/>
    <w:rsid w:val="601F00E5"/>
    <w:rsid w:val="607A4459"/>
    <w:rsid w:val="6185343C"/>
    <w:rsid w:val="61ED2A31"/>
    <w:rsid w:val="621F2E83"/>
    <w:rsid w:val="63CB2E7C"/>
    <w:rsid w:val="65C76ADE"/>
    <w:rsid w:val="65F309A6"/>
    <w:rsid w:val="65FB00AC"/>
    <w:rsid w:val="66543BDF"/>
    <w:rsid w:val="66935B2D"/>
    <w:rsid w:val="67EA17B8"/>
    <w:rsid w:val="69AE5E93"/>
    <w:rsid w:val="69B624D5"/>
    <w:rsid w:val="69BF5BB3"/>
    <w:rsid w:val="6A36182B"/>
    <w:rsid w:val="6A957ADB"/>
    <w:rsid w:val="6B0A7B37"/>
    <w:rsid w:val="6B451E26"/>
    <w:rsid w:val="6CAE452B"/>
    <w:rsid w:val="6CF75158"/>
    <w:rsid w:val="6D9D78E2"/>
    <w:rsid w:val="6D9F55EB"/>
    <w:rsid w:val="6E720BD8"/>
    <w:rsid w:val="6F1B3DEA"/>
    <w:rsid w:val="6F576757"/>
    <w:rsid w:val="705C699F"/>
    <w:rsid w:val="70B936AA"/>
    <w:rsid w:val="715D0FD9"/>
    <w:rsid w:val="72C52C90"/>
    <w:rsid w:val="732A7278"/>
    <w:rsid w:val="73382B74"/>
    <w:rsid w:val="73562B3E"/>
    <w:rsid w:val="74AF0747"/>
    <w:rsid w:val="74FA36BB"/>
    <w:rsid w:val="75005D6A"/>
    <w:rsid w:val="752F40DA"/>
    <w:rsid w:val="75A066CA"/>
    <w:rsid w:val="75C04D1C"/>
    <w:rsid w:val="7617396D"/>
    <w:rsid w:val="763F3E01"/>
    <w:rsid w:val="76F43351"/>
    <w:rsid w:val="77CC6E2C"/>
    <w:rsid w:val="789A0A05"/>
    <w:rsid w:val="797E72F5"/>
    <w:rsid w:val="7A6229C1"/>
    <w:rsid w:val="7C206C28"/>
    <w:rsid w:val="7CC844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99"/>
    <w:pPr>
      <w:keepNext/>
      <w:keepLines/>
      <w:spacing w:before="120" w:after="120" w:line="416" w:lineRule="auto"/>
      <w:outlineLvl w:val="1"/>
    </w:pPr>
    <w:rPr>
      <w:rFonts w:ascii="Arial" w:hAnsi="Arial" w:eastAsia="黑体"/>
      <w:bCs/>
      <w:sz w:val="32"/>
      <w:szCs w:val="32"/>
    </w:rPr>
  </w:style>
  <w:style w:type="paragraph" w:styleId="5">
    <w:name w:val="heading 3"/>
    <w:basedOn w:val="1"/>
    <w:next w:val="1"/>
    <w:link w:val="54"/>
    <w:qFormat/>
    <w:uiPriority w:val="99"/>
    <w:pPr>
      <w:keepNext/>
      <w:keepLines/>
      <w:spacing w:before="20" w:after="20" w:line="416" w:lineRule="auto"/>
      <w:outlineLvl w:val="2"/>
    </w:pPr>
    <w:rPr>
      <w:rFonts w:eastAsia="黑体"/>
      <w:bCs/>
      <w:kern w:val="0"/>
      <w:sz w:val="24"/>
      <w:szCs w:val="32"/>
    </w:rPr>
  </w:style>
  <w:style w:type="paragraph" w:styleId="6">
    <w:name w:val="heading 4"/>
    <w:basedOn w:val="1"/>
    <w:next w:val="1"/>
    <w:link w:val="55"/>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6"/>
    <w:qFormat/>
    <w:uiPriority w:val="99"/>
    <w:pPr>
      <w:keepNext/>
      <w:keepLines/>
      <w:spacing w:before="280" w:after="290" w:line="372" w:lineRule="auto"/>
      <w:outlineLvl w:val="4"/>
    </w:pPr>
    <w:rPr>
      <w:rFonts w:ascii="Calibri" w:hAnsi="Calibri"/>
      <w:b/>
      <w:sz w:val="28"/>
      <w:szCs w:val="20"/>
    </w:rPr>
  </w:style>
  <w:style w:type="paragraph" w:styleId="8">
    <w:name w:val="heading 6"/>
    <w:basedOn w:val="1"/>
    <w:next w:val="1"/>
    <w:link w:val="57"/>
    <w:qFormat/>
    <w:uiPriority w:val="9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58"/>
    <w:qFormat/>
    <w:uiPriority w:val="99"/>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59"/>
    <w:qFormat/>
    <w:uiPriority w:val="9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0"/>
    <w:qFormat/>
    <w:uiPriority w:val="9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3"/>
    <w:qFormat/>
    <w:uiPriority w:val="99"/>
    <w:pPr>
      <w:spacing w:after="120"/>
    </w:pPr>
  </w:style>
  <w:style w:type="paragraph" w:styleId="12">
    <w:name w:val="toc 7"/>
    <w:basedOn w:val="1"/>
    <w:next w:val="1"/>
    <w:qFormat/>
    <w:uiPriority w:val="99"/>
    <w:pPr>
      <w:ind w:left="1260"/>
      <w:jc w:val="left"/>
    </w:pPr>
    <w:rPr>
      <w:sz w:val="18"/>
      <w:szCs w:val="18"/>
    </w:rPr>
  </w:style>
  <w:style w:type="paragraph" w:styleId="13">
    <w:name w:val="Normal Indent"/>
    <w:basedOn w:val="1"/>
    <w:qFormat/>
    <w:uiPriority w:val="99"/>
    <w:pPr>
      <w:ind w:firstLine="420" w:firstLineChars="200"/>
    </w:p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126"/>
    <w:qFormat/>
    <w:uiPriority w:val="99"/>
    <w:pPr>
      <w:shd w:val="clear" w:color="auto" w:fill="000080"/>
    </w:pPr>
    <w:rPr>
      <w:rFonts w:ascii="Calibri" w:hAnsi="Calibri"/>
      <w:kern w:val="0"/>
      <w:sz w:val="24"/>
      <w:szCs w:val="20"/>
    </w:rPr>
  </w:style>
  <w:style w:type="paragraph" w:styleId="16">
    <w:name w:val="annotation text"/>
    <w:basedOn w:val="1"/>
    <w:link w:val="128"/>
    <w:semiHidden/>
    <w:qFormat/>
    <w:uiPriority w:val="99"/>
    <w:pPr>
      <w:jc w:val="left"/>
    </w:pPr>
    <w:rPr>
      <w:rFonts w:ascii="Calibri" w:hAnsi="Calibri"/>
      <w:kern w:val="0"/>
      <w:sz w:val="24"/>
      <w:szCs w:val="20"/>
    </w:rPr>
  </w:style>
  <w:style w:type="paragraph" w:styleId="17">
    <w:name w:val="Body Text 3"/>
    <w:basedOn w:val="1"/>
    <w:link w:val="149"/>
    <w:qFormat/>
    <w:uiPriority w:val="99"/>
    <w:rPr>
      <w:rFonts w:ascii="宋体" w:hAnsi="Calibri"/>
      <w:kern w:val="0"/>
      <w:sz w:val="24"/>
      <w:szCs w:val="20"/>
    </w:rPr>
  </w:style>
  <w:style w:type="paragraph" w:styleId="18">
    <w:name w:val="Body Text Indent"/>
    <w:basedOn w:val="1"/>
    <w:link w:val="132"/>
    <w:qFormat/>
    <w:uiPriority w:val="99"/>
    <w:pPr>
      <w:spacing w:after="120"/>
      <w:ind w:left="420" w:leftChars="200"/>
    </w:pPr>
    <w:rPr>
      <w:rFonts w:ascii="Calibri" w:hAnsi="Calibri"/>
      <w:kern w:val="0"/>
      <w:sz w:val="24"/>
      <w:szCs w:val="20"/>
    </w:rPr>
  </w:style>
  <w:style w:type="paragraph" w:styleId="19">
    <w:name w:val="index 4"/>
    <w:basedOn w:val="1"/>
    <w:next w:val="1"/>
    <w:qFormat/>
    <w:uiPriority w:val="99"/>
    <w:pPr>
      <w:ind w:left="600" w:leftChars="600"/>
    </w:pPr>
  </w:style>
  <w:style w:type="paragraph" w:styleId="20">
    <w:name w:val="toc 5"/>
    <w:basedOn w:val="1"/>
    <w:next w:val="1"/>
    <w:qFormat/>
    <w:uiPriority w:val="99"/>
    <w:pPr>
      <w:ind w:left="840"/>
      <w:jc w:val="left"/>
    </w:pPr>
    <w:rPr>
      <w:sz w:val="18"/>
      <w:szCs w:val="18"/>
    </w:rPr>
  </w:style>
  <w:style w:type="paragraph" w:styleId="21">
    <w:name w:val="toc 3"/>
    <w:basedOn w:val="1"/>
    <w:next w:val="1"/>
    <w:semiHidden/>
    <w:qFormat/>
    <w:uiPriority w:val="99"/>
    <w:pPr>
      <w:ind w:left="840" w:leftChars="400"/>
    </w:pPr>
  </w:style>
  <w:style w:type="paragraph" w:styleId="22">
    <w:name w:val="Plain Text"/>
    <w:basedOn w:val="1"/>
    <w:link w:val="130"/>
    <w:qFormat/>
    <w:uiPriority w:val="99"/>
    <w:rPr>
      <w:rFonts w:ascii="宋体" w:hAnsi="Courier New"/>
      <w:kern w:val="0"/>
      <w:sz w:val="20"/>
      <w:szCs w:val="20"/>
    </w:rPr>
  </w:style>
  <w:style w:type="paragraph" w:styleId="23">
    <w:name w:val="toc 8"/>
    <w:basedOn w:val="1"/>
    <w:next w:val="1"/>
    <w:qFormat/>
    <w:uiPriority w:val="99"/>
    <w:pPr>
      <w:ind w:left="1470"/>
      <w:jc w:val="left"/>
    </w:pPr>
    <w:rPr>
      <w:sz w:val="18"/>
      <w:szCs w:val="18"/>
    </w:rPr>
  </w:style>
  <w:style w:type="paragraph" w:styleId="24">
    <w:name w:val="Date"/>
    <w:basedOn w:val="1"/>
    <w:next w:val="1"/>
    <w:link w:val="143"/>
    <w:qFormat/>
    <w:uiPriority w:val="99"/>
    <w:pPr>
      <w:ind w:left="100" w:leftChars="2500"/>
    </w:pPr>
    <w:rPr>
      <w:rFonts w:ascii="Calibri" w:hAnsi="Calibri"/>
      <w:kern w:val="0"/>
      <w:sz w:val="24"/>
      <w:szCs w:val="20"/>
    </w:rPr>
  </w:style>
  <w:style w:type="paragraph" w:styleId="25">
    <w:name w:val="Body Text Indent 2"/>
    <w:basedOn w:val="1"/>
    <w:link w:val="70"/>
    <w:qFormat/>
    <w:uiPriority w:val="99"/>
    <w:pPr>
      <w:spacing w:after="120" w:line="480" w:lineRule="auto"/>
      <w:ind w:left="420" w:leftChars="200"/>
    </w:pPr>
  </w:style>
  <w:style w:type="paragraph" w:styleId="26">
    <w:name w:val="Balloon Text"/>
    <w:basedOn w:val="1"/>
    <w:link w:val="147"/>
    <w:semiHidden/>
    <w:qFormat/>
    <w:uiPriority w:val="99"/>
    <w:rPr>
      <w:rFonts w:ascii="Calibri" w:hAnsi="Calibri"/>
      <w:kern w:val="0"/>
      <w:sz w:val="18"/>
      <w:szCs w:val="20"/>
    </w:rPr>
  </w:style>
  <w:style w:type="paragraph" w:styleId="27">
    <w:name w:val="footer"/>
    <w:basedOn w:val="1"/>
    <w:link w:val="151"/>
    <w:qFormat/>
    <w:uiPriority w:val="99"/>
    <w:pPr>
      <w:tabs>
        <w:tab w:val="center" w:pos="4153"/>
        <w:tab w:val="right" w:pos="8306"/>
      </w:tabs>
      <w:snapToGrid w:val="0"/>
      <w:jc w:val="left"/>
    </w:pPr>
    <w:rPr>
      <w:rFonts w:ascii="Calibri" w:hAnsi="Calibri"/>
      <w:kern w:val="0"/>
      <w:sz w:val="18"/>
      <w:szCs w:val="20"/>
    </w:rPr>
  </w:style>
  <w:style w:type="paragraph" w:styleId="28">
    <w:name w:val="header"/>
    <w:basedOn w:val="1"/>
    <w:link w:val="153"/>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29">
    <w:name w:val="toc 1"/>
    <w:basedOn w:val="1"/>
    <w:next w:val="1"/>
    <w:semiHidden/>
    <w:qFormat/>
    <w:uiPriority w:val="99"/>
  </w:style>
  <w:style w:type="paragraph" w:styleId="30">
    <w:name w:val="toc 4"/>
    <w:basedOn w:val="1"/>
    <w:next w:val="1"/>
    <w:qFormat/>
    <w:uiPriority w:val="99"/>
    <w:pPr>
      <w:ind w:left="630"/>
      <w:jc w:val="left"/>
    </w:pPr>
    <w:rPr>
      <w:sz w:val="18"/>
      <w:szCs w:val="18"/>
    </w:rPr>
  </w:style>
  <w:style w:type="paragraph" w:styleId="31">
    <w:name w:val="Subtitle"/>
    <w:basedOn w:val="1"/>
    <w:next w:val="1"/>
    <w:link w:val="138"/>
    <w:qFormat/>
    <w:uiPriority w:val="99"/>
    <w:pPr>
      <w:spacing w:before="240" w:after="60" w:line="312" w:lineRule="auto"/>
      <w:jc w:val="center"/>
      <w:outlineLvl w:val="1"/>
    </w:pPr>
    <w:rPr>
      <w:rFonts w:ascii="Cambria" w:hAnsi="Cambria"/>
      <w:b/>
      <w:kern w:val="28"/>
      <w:sz w:val="32"/>
      <w:szCs w:val="20"/>
    </w:rPr>
  </w:style>
  <w:style w:type="paragraph" w:styleId="32">
    <w:name w:val="toc 6"/>
    <w:basedOn w:val="1"/>
    <w:next w:val="1"/>
    <w:qFormat/>
    <w:uiPriority w:val="99"/>
    <w:pPr>
      <w:ind w:left="1050"/>
      <w:jc w:val="left"/>
    </w:pPr>
    <w:rPr>
      <w:sz w:val="18"/>
      <w:szCs w:val="18"/>
    </w:rPr>
  </w:style>
  <w:style w:type="paragraph" w:styleId="33">
    <w:name w:val="Body Text Indent 3"/>
    <w:basedOn w:val="1"/>
    <w:link w:val="140"/>
    <w:qFormat/>
    <w:uiPriority w:val="99"/>
    <w:pPr>
      <w:spacing w:after="120"/>
      <w:ind w:left="420" w:leftChars="200"/>
    </w:pPr>
    <w:rPr>
      <w:rFonts w:ascii="Calibri" w:hAnsi="Calibri"/>
      <w:kern w:val="0"/>
      <w:sz w:val="16"/>
      <w:szCs w:val="20"/>
    </w:rPr>
  </w:style>
  <w:style w:type="paragraph" w:styleId="34">
    <w:name w:val="toc 2"/>
    <w:basedOn w:val="1"/>
    <w:next w:val="1"/>
    <w:semiHidden/>
    <w:qFormat/>
    <w:uiPriority w:val="99"/>
    <w:pPr>
      <w:ind w:left="420" w:leftChars="200"/>
    </w:pPr>
  </w:style>
  <w:style w:type="paragraph" w:styleId="35">
    <w:name w:val="toc 9"/>
    <w:basedOn w:val="1"/>
    <w:next w:val="1"/>
    <w:qFormat/>
    <w:uiPriority w:val="99"/>
    <w:pPr>
      <w:ind w:left="1680"/>
      <w:jc w:val="left"/>
    </w:pPr>
    <w:rPr>
      <w:sz w:val="18"/>
      <w:szCs w:val="18"/>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qFormat/>
    <w:uiPriority w:val="99"/>
    <w:pPr>
      <w:spacing w:line="220" w:lineRule="exact"/>
      <w:jc w:val="center"/>
    </w:pPr>
    <w:rPr>
      <w:rFonts w:ascii="仿宋_GB2312" w:eastAsia="仿宋_GB2312"/>
      <w:szCs w:val="21"/>
    </w:rPr>
  </w:style>
  <w:style w:type="paragraph" w:styleId="38">
    <w:name w:val="Title"/>
    <w:basedOn w:val="1"/>
    <w:link w:val="145"/>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6"/>
    <w:next w:val="16"/>
    <w:link w:val="135"/>
    <w:semiHidden/>
    <w:qFormat/>
    <w:uiPriority w:val="99"/>
    <w:rPr>
      <w:b/>
    </w:rPr>
  </w:style>
  <w:style w:type="paragraph" w:styleId="40">
    <w:name w:val="Body Text First Indent"/>
    <w:basedOn w:val="1"/>
    <w:link w:val="124"/>
    <w:qFormat/>
    <w:uiPriority w:val="99"/>
    <w:pPr>
      <w:spacing w:line="312" w:lineRule="auto"/>
      <w:ind w:firstLine="420"/>
    </w:pPr>
    <w:rPr>
      <w:rFonts w:ascii="宋体" w:hAnsi="Courier New"/>
      <w:sz w:val="24"/>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rFonts w:cs="Times New Roman"/>
      <w:b/>
    </w:rPr>
  </w:style>
  <w:style w:type="character" w:styleId="45">
    <w:name w:val="page number"/>
    <w:basedOn w:val="43"/>
    <w:qFormat/>
    <w:uiPriority w:val="99"/>
    <w:rPr>
      <w:rFonts w:cs="Times New Roman"/>
    </w:rPr>
  </w:style>
  <w:style w:type="character" w:styleId="46">
    <w:name w:val="FollowedHyperlink"/>
    <w:basedOn w:val="43"/>
    <w:qFormat/>
    <w:uiPriority w:val="99"/>
    <w:rPr>
      <w:rFonts w:cs="Times New Roman"/>
      <w:color w:val="800080"/>
      <w:u w:val="single"/>
    </w:rPr>
  </w:style>
  <w:style w:type="character" w:styleId="47">
    <w:name w:val="Emphasis"/>
    <w:basedOn w:val="43"/>
    <w:qFormat/>
    <w:uiPriority w:val="99"/>
    <w:rPr>
      <w:rFonts w:cs="Times New Roman"/>
      <w:i/>
    </w:rPr>
  </w:style>
  <w:style w:type="character" w:styleId="48">
    <w:name w:val="Hyperlink"/>
    <w:basedOn w:val="43"/>
    <w:qFormat/>
    <w:uiPriority w:val="99"/>
    <w:rPr>
      <w:rFonts w:cs="Times New Roman"/>
      <w:color w:val="0000FF"/>
      <w:u w:val="single"/>
    </w:rPr>
  </w:style>
  <w:style w:type="character" w:styleId="49">
    <w:name w:val="annotation reference"/>
    <w:basedOn w:val="43"/>
    <w:semiHidden/>
    <w:qFormat/>
    <w:uiPriority w:val="99"/>
    <w:rPr>
      <w:rFonts w:cs="Times New Roman"/>
      <w:sz w:val="21"/>
    </w:rPr>
  </w:style>
  <w:style w:type="character" w:styleId="50">
    <w:name w:val="footnote reference"/>
    <w:basedOn w:val="43"/>
    <w:qFormat/>
    <w:uiPriority w:val="99"/>
    <w:rPr>
      <w:rFonts w:cs="Times New Roman"/>
      <w:vertAlign w:val="superscript"/>
    </w:rPr>
  </w:style>
  <w:style w:type="paragraph" w:customStyle="1" w:styleId="51">
    <w:name w:val="Default"/>
    <w:qFormat/>
    <w:uiPriority w:val="0"/>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52">
    <w:name w:val="标题 1 Char"/>
    <w:basedOn w:val="43"/>
    <w:link w:val="3"/>
    <w:qFormat/>
    <w:locked/>
    <w:uiPriority w:val="99"/>
    <w:rPr>
      <w:rFonts w:ascii="Times New Roman" w:hAnsi="Times New Roman" w:eastAsia="宋体" w:cs="Times New Roman"/>
      <w:b/>
      <w:bCs/>
      <w:kern w:val="44"/>
      <w:sz w:val="44"/>
      <w:szCs w:val="44"/>
    </w:rPr>
  </w:style>
  <w:style w:type="character" w:customStyle="1" w:styleId="53">
    <w:name w:val="标题 2 Char"/>
    <w:basedOn w:val="43"/>
    <w:link w:val="4"/>
    <w:qFormat/>
    <w:locked/>
    <w:uiPriority w:val="99"/>
    <w:rPr>
      <w:rFonts w:ascii="Arial" w:hAnsi="Arial" w:eastAsia="黑体" w:cs="Times New Roman"/>
      <w:bCs/>
      <w:sz w:val="32"/>
      <w:szCs w:val="32"/>
    </w:rPr>
  </w:style>
  <w:style w:type="character" w:customStyle="1" w:styleId="54">
    <w:name w:val="标题 3 Char"/>
    <w:basedOn w:val="43"/>
    <w:link w:val="5"/>
    <w:qFormat/>
    <w:locked/>
    <w:uiPriority w:val="99"/>
    <w:rPr>
      <w:rFonts w:ascii="Times New Roman" w:hAnsi="Times New Roman" w:eastAsia="黑体" w:cs="Times New Roman"/>
      <w:bCs/>
      <w:kern w:val="0"/>
      <w:sz w:val="32"/>
      <w:szCs w:val="32"/>
    </w:rPr>
  </w:style>
  <w:style w:type="character" w:customStyle="1" w:styleId="55">
    <w:name w:val="标题 4 Char"/>
    <w:basedOn w:val="43"/>
    <w:link w:val="6"/>
    <w:qFormat/>
    <w:locked/>
    <w:uiPriority w:val="99"/>
    <w:rPr>
      <w:rFonts w:ascii="Arial" w:hAnsi="Arial" w:eastAsia="黑体" w:cs="Times New Roman"/>
      <w:b/>
      <w:bCs/>
      <w:sz w:val="28"/>
      <w:szCs w:val="28"/>
    </w:rPr>
  </w:style>
  <w:style w:type="character" w:customStyle="1" w:styleId="56">
    <w:name w:val="标题 5 Char"/>
    <w:basedOn w:val="43"/>
    <w:link w:val="7"/>
    <w:qFormat/>
    <w:locked/>
    <w:uiPriority w:val="99"/>
    <w:rPr>
      <w:rFonts w:ascii="Calibri" w:hAnsi="Calibri" w:eastAsia="宋体" w:cs="Times New Roman"/>
      <w:b/>
      <w:sz w:val="20"/>
      <w:szCs w:val="20"/>
    </w:rPr>
  </w:style>
  <w:style w:type="character" w:customStyle="1" w:styleId="57">
    <w:name w:val="标题 6 Char"/>
    <w:basedOn w:val="43"/>
    <w:link w:val="8"/>
    <w:qFormat/>
    <w:locked/>
    <w:uiPriority w:val="99"/>
    <w:rPr>
      <w:rFonts w:ascii="Arial" w:hAnsi="Arial" w:eastAsia="黑体" w:cs="Times New Roman"/>
      <w:b/>
      <w:bCs/>
      <w:kern w:val="0"/>
      <w:sz w:val="24"/>
      <w:szCs w:val="24"/>
    </w:rPr>
  </w:style>
  <w:style w:type="character" w:customStyle="1" w:styleId="58">
    <w:name w:val="标题 7 Char"/>
    <w:basedOn w:val="43"/>
    <w:link w:val="9"/>
    <w:qFormat/>
    <w:locked/>
    <w:uiPriority w:val="99"/>
    <w:rPr>
      <w:rFonts w:ascii="Times New Roman" w:hAnsi="Times New Roman" w:eastAsia="宋体" w:cs="Times New Roman"/>
      <w:b/>
      <w:bCs/>
      <w:kern w:val="0"/>
      <w:sz w:val="24"/>
      <w:szCs w:val="24"/>
    </w:rPr>
  </w:style>
  <w:style w:type="character" w:customStyle="1" w:styleId="59">
    <w:name w:val="标题 8 Char"/>
    <w:basedOn w:val="43"/>
    <w:link w:val="10"/>
    <w:qFormat/>
    <w:locked/>
    <w:uiPriority w:val="99"/>
    <w:rPr>
      <w:rFonts w:ascii="Arial" w:hAnsi="Arial" w:eastAsia="黑体" w:cs="Times New Roman"/>
      <w:kern w:val="0"/>
      <w:sz w:val="24"/>
      <w:szCs w:val="24"/>
    </w:rPr>
  </w:style>
  <w:style w:type="character" w:customStyle="1" w:styleId="60">
    <w:name w:val="标题 9 Char"/>
    <w:basedOn w:val="43"/>
    <w:link w:val="11"/>
    <w:qFormat/>
    <w:locked/>
    <w:uiPriority w:val="99"/>
    <w:rPr>
      <w:rFonts w:ascii="Arial" w:hAnsi="Arial" w:eastAsia="黑体" w:cs="Times New Roman"/>
      <w:kern w:val="0"/>
      <w:sz w:val="21"/>
      <w:szCs w:val="21"/>
    </w:rPr>
  </w:style>
  <w:style w:type="character" w:customStyle="1" w:styleId="61">
    <w:name w:val="Comment Text Char"/>
    <w:basedOn w:val="43"/>
    <w:semiHidden/>
    <w:qFormat/>
    <w:locked/>
    <w:uiPriority w:val="99"/>
    <w:rPr>
      <w:rFonts w:eastAsia="宋体"/>
      <w:sz w:val="24"/>
    </w:rPr>
  </w:style>
  <w:style w:type="character" w:customStyle="1" w:styleId="62">
    <w:name w:val="Comment Subject Char"/>
    <w:basedOn w:val="61"/>
    <w:semiHidden/>
    <w:qFormat/>
    <w:locked/>
    <w:uiPriority w:val="99"/>
    <w:rPr>
      <w:rFonts w:eastAsia="宋体"/>
      <w:b/>
      <w:sz w:val="24"/>
    </w:rPr>
  </w:style>
  <w:style w:type="character" w:customStyle="1" w:styleId="63">
    <w:name w:val="正文文本 Char3"/>
    <w:basedOn w:val="43"/>
    <w:link w:val="2"/>
    <w:semiHidden/>
    <w:qFormat/>
    <w:locked/>
    <w:uiPriority w:val="99"/>
    <w:rPr>
      <w:rFonts w:ascii="Times New Roman" w:hAnsi="Times New Roman" w:eastAsia="宋体" w:cs="Times New Roman"/>
      <w:sz w:val="24"/>
      <w:szCs w:val="24"/>
    </w:rPr>
  </w:style>
  <w:style w:type="character" w:customStyle="1" w:styleId="64">
    <w:name w:val="Body Text First Indent Char"/>
    <w:basedOn w:val="63"/>
    <w:qFormat/>
    <w:locked/>
    <w:uiPriority w:val="99"/>
    <w:rPr>
      <w:rFonts w:ascii="宋体" w:hAnsi="Courier New" w:eastAsia="宋体" w:cs="Times New Roman"/>
      <w:kern w:val="2"/>
      <w:sz w:val="24"/>
      <w:szCs w:val="24"/>
      <w:lang w:val="en-US" w:eastAsia="zh-CN"/>
    </w:rPr>
  </w:style>
  <w:style w:type="character" w:customStyle="1" w:styleId="65">
    <w:name w:val="Document Map Char"/>
    <w:basedOn w:val="43"/>
    <w:semiHidden/>
    <w:qFormat/>
    <w:locked/>
    <w:uiPriority w:val="99"/>
    <w:rPr>
      <w:rFonts w:eastAsia="宋体"/>
      <w:sz w:val="24"/>
      <w:shd w:val="clear" w:color="auto" w:fill="000080"/>
    </w:rPr>
  </w:style>
  <w:style w:type="character" w:customStyle="1" w:styleId="66">
    <w:name w:val="Body Text 3 Char"/>
    <w:basedOn w:val="43"/>
    <w:qFormat/>
    <w:locked/>
    <w:uiPriority w:val="99"/>
    <w:rPr>
      <w:rFonts w:ascii="宋体" w:eastAsia="宋体"/>
      <w:sz w:val="24"/>
    </w:rPr>
  </w:style>
  <w:style w:type="character" w:customStyle="1" w:styleId="67">
    <w:name w:val="Body Text Indent Char"/>
    <w:basedOn w:val="43"/>
    <w:qFormat/>
    <w:locked/>
    <w:uiPriority w:val="99"/>
    <w:rPr>
      <w:rFonts w:eastAsia="宋体"/>
      <w:sz w:val="24"/>
    </w:rPr>
  </w:style>
  <w:style w:type="character" w:customStyle="1" w:styleId="68">
    <w:name w:val="Plain Text Char"/>
    <w:basedOn w:val="43"/>
    <w:qFormat/>
    <w:locked/>
    <w:uiPriority w:val="99"/>
    <w:rPr>
      <w:rFonts w:ascii="宋体" w:hAnsi="Courier New" w:eastAsia="宋体"/>
    </w:rPr>
  </w:style>
  <w:style w:type="character" w:customStyle="1" w:styleId="69">
    <w:name w:val="Date Char"/>
    <w:basedOn w:val="43"/>
    <w:qFormat/>
    <w:locked/>
    <w:uiPriority w:val="99"/>
    <w:rPr>
      <w:rFonts w:eastAsia="宋体"/>
      <w:sz w:val="24"/>
    </w:rPr>
  </w:style>
  <w:style w:type="character" w:customStyle="1" w:styleId="70">
    <w:name w:val="正文文本缩进 2 Char"/>
    <w:basedOn w:val="43"/>
    <w:link w:val="25"/>
    <w:qFormat/>
    <w:locked/>
    <w:uiPriority w:val="99"/>
    <w:rPr>
      <w:rFonts w:ascii="Times New Roman" w:hAnsi="Times New Roman" w:eastAsia="宋体" w:cs="Times New Roman"/>
      <w:sz w:val="24"/>
      <w:szCs w:val="24"/>
    </w:rPr>
  </w:style>
  <w:style w:type="character" w:customStyle="1" w:styleId="71">
    <w:name w:val="Balloon Text Char"/>
    <w:basedOn w:val="43"/>
    <w:semiHidden/>
    <w:qFormat/>
    <w:locked/>
    <w:uiPriority w:val="99"/>
    <w:rPr>
      <w:rFonts w:eastAsia="宋体"/>
      <w:sz w:val="18"/>
    </w:rPr>
  </w:style>
  <w:style w:type="character" w:customStyle="1" w:styleId="72">
    <w:name w:val="Footer Char"/>
    <w:basedOn w:val="43"/>
    <w:qFormat/>
    <w:locked/>
    <w:uiPriority w:val="99"/>
    <w:rPr>
      <w:rFonts w:eastAsia="宋体"/>
      <w:sz w:val="18"/>
    </w:rPr>
  </w:style>
  <w:style w:type="character" w:customStyle="1" w:styleId="73">
    <w:name w:val="Header Char"/>
    <w:basedOn w:val="43"/>
    <w:qFormat/>
    <w:locked/>
    <w:uiPriority w:val="99"/>
    <w:rPr>
      <w:rFonts w:eastAsia="宋体"/>
      <w:sz w:val="18"/>
    </w:rPr>
  </w:style>
  <w:style w:type="character" w:customStyle="1" w:styleId="74">
    <w:name w:val="Subtitle Char"/>
    <w:basedOn w:val="43"/>
    <w:qFormat/>
    <w:locked/>
    <w:uiPriority w:val="99"/>
    <w:rPr>
      <w:rFonts w:ascii="Cambria" w:hAnsi="Cambria"/>
      <w:b/>
      <w:kern w:val="28"/>
      <w:sz w:val="32"/>
    </w:rPr>
  </w:style>
  <w:style w:type="character" w:customStyle="1" w:styleId="75">
    <w:name w:val="Body Text Indent 3 Char"/>
    <w:basedOn w:val="43"/>
    <w:qFormat/>
    <w:locked/>
    <w:uiPriority w:val="99"/>
    <w:rPr>
      <w:rFonts w:eastAsia="宋体"/>
      <w:sz w:val="16"/>
    </w:rPr>
  </w:style>
  <w:style w:type="character" w:customStyle="1" w:styleId="76">
    <w:name w:val="Title Char"/>
    <w:basedOn w:val="43"/>
    <w:qFormat/>
    <w:locked/>
    <w:uiPriority w:val="99"/>
    <w:rPr>
      <w:rFonts w:ascii="Arial" w:hAnsi="Arial" w:eastAsia="宋体"/>
      <w:b/>
      <w:sz w:val="32"/>
    </w:rPr>
  </w:style>
  <w:style w:type="character" w:customStyle="1" w:styleId="77">
    <w:name w:val="文档结构图 Char2"/>
    <w:qFormat/>
    <w:uiPriority w:val="99"/>
    <w:rPr>
      <w:rFonts w:ascii="宋体"/>
      <w:kern w:val="2"/>
      <w:sz w:val="18"/>
    </w:rPr>
  </w:style>
  <w:style w:type="character" w:customStyle="1" w:styleId="78">
    <w:name w:val="副标题 Char"/>
    <w:qFormat/>
    <w:uiPriority w:val="99"/>
    <w:rPr>
      <w:rFonts w:ascii="Cambria" w:hAnsi="Cambria"/>
      <w:b/>
      <w:kern w:val="28"/>
      <w:sz w:val="32"/>
    </w:rPr>
  </w:style>
  <w:style w:type="character" w:customStyle="1" w:styleId="79">
    <w:name w:val="Char Char20"/>
    <w:qFormat/>
    <w:locked/>
    <w:uiPriority w:val="99"/>
    <w:rPr>
      <w:rFonts w:ascii="黑体" w:hAnsi="宋体" w:eastAsia="黑体"/>
      <w:kern w:val="2"/>
      <w:sz w:val="28"/>
      <w:lang w:val="en-US" w:eastAsia="zh-CN"/>
    </w:rPr>
  </w:style>
  <w:style w:type="character" w:customStyle="1" w:styleId="80">
    <w:name w:val="引用 Char"/>
    <w:qFormat/>
    <w:uiPriority w:val="99"/>
    <w:rPr>
      <w:i/>
      <w:color w:val="000000"/>
      <w:sz w:val="24"/>
    </w:rPr>
  </w:style>
  <w:style w:type="character" w:customStyle="1" w:styleId="81">
    <w:name w:val="页眉 Char1"/>
    <w:qFormat/>
    <w:uiPriority w:val="99"/>
    <w:rPr>
      <w:kern w:val="2"/>
      <w:sz w:val="18"/>
    </w:rPr>
  </w:style>
  <w:style w:type="character" w:customStyle="1" w:styleId="82">
    <w:name w:val="批注文字 Char1"/>
    <w:qFormat/>
    <w:uiPriority w:val="99"/>
    <w:rPr>
      <w:kern w:val="2"/>
      <w:sz w:val="24"/>
    </w:rPr>
  </w:style>
  <w:style w:type="character" w:customStyle="1" w:styleId="83">
    <w:name w:val="font161"/>
    <w:qFormat/>
    <w:uiPriority w:val="99"/>
    <w:rPr>
      <w:b/>
      <w:sz w:val="32"/>
    </w:rPr>
  </w:style>
  <w:style w:type="character" w:customStyle="1" w:styleId="84">
    <w:name w:val="标题5 Char Char"/>
    <w:link w:val="85"/>
    <w:qFormat/>
    <w:locked/>
    <w:uiPriority w:val="99"/>
    <w:rPr>
      <w:rFonts w:ascii="Arial" w:hAnsi="Arial"/>
      <w:b/>
      <w:sz w:val="32"/>
    </w:rPr>
  </w:style>
  <w:style w:type="paragraph" w:customStyle="1" w:styleId="85">
    <w:name w:val="标题5"/>
    <w:basedOn w:val="5"/>
    <w:link w:val="84"/>
    <w:qFormat/>
    <w:uiPriority w:val="99"/>
    <w:pPr>
      <w:spacing w:before="260" w:after="260" w:line="413" w:lineRule="auto"/>
    </w:pPr>
    <w:rPr>
      <w:rFonts w:ascii="Arial" w:hAnsi="Arial" w:eastAsia="宋体"/>
      <w:b/>
      <w:bCs w:val="0"/>
      <w:sz w:val="32"/>
      <w:szCs w:val="20"/>
    </w:rPr>
  </w:style>
  <w:style w:type="character" w:customStyle="1" w:styleId="86">
    <w:name w:val="标题4 Char Char"/>
    <w:link w:val="87"/>
    <w:qFormat/>
    <w:locked/>
    <w:uiPriority w:val="99"/>
    <w:rPr>
      <w:rFonts w:ascii="Arial" w:hAnsi="Arial"/>
      <w:b/>
      <w:sz w:val="32"/>
    </w:rPr>
  </w:style>
  <w:style w:type="paragraph" w:customStyle="1" w:styleId="87">
    <w:name w:val="标题4"/>
    <w:basedOn w:val="4"/>
    <w:next w:val="19"/>
    <w:link w:val="86"/>
    <w:qFormat/>
    <w:uiPriority w:val="99"/>
    <w:pPr>
      <w:spacing w:before="260" w:after="260" w:line="413" w:lineRule="auto"/>
    </w:pPr>
    <w:rPr>
      <w:rFonts w:eastAsia="宋体"/>
      <w:b/>
      <w:bCs w:val="0"/>
      <w:kern w:val="0"/>
      <w:szCs w:val="20"/>
    </w:rPr>
  </w:style>
  <w:style w:type="character" w:customStyle="1" w:styleId="88">
    <w:name w:val="Char Char13"/>
    <w:qFormat/>
    <w:locked/>
    <w:uiPriority w:val="99"/>
    <w:rPr>
      <w:rFonts w:eastAsia="宋体"/>
      <w:b/>
      <w:kern w:val="2"/>
      <w:sz w:val="24"/>
      <w:lang w:val="en-US" w:eastAsia="zh-CN"/>
    </w:rPr>
  </w:style>
  <w:style w:type="character" w:customStyle="1" w:styleId="89">
    <w:name w:val="批注框文本 Char1"/>
    <w:qFormat/>
    <w:uiPriority w:val="99"/>
    <w:rPr>
      <w:kern w:val="2"/>
      <w:sz w:val="18"/>
    </w:rPr>
  </w:style>
  <w:style w:type="character" w:customStyle="1" w:styleId="90">
    <w:name w:val="日期 Char1"/>
    <w:qFormat/>
    <w:uiPriority w:val="99"/>
    <w:rPr>
      <w:kern w:val="2"/>
      <w:sz w:val="22"/>
    </w:rPr>
  </w:style>
  <w:style w:type="character" w:customStyle="1" w:styleId="91">
    <w:name w:val="文档结构图 Char1"/>
    <w:qFormat/>
    <w:uiPriority w:val="99"/>
    <w:rPr>
      <w:rFonts w:ascii="宋体"/>
      <w:kern w:val="2"/>
      <w:sz w:val="18"/>
    </w:rPr>
  </w:style>
  <w:style w:type="character" w:customStyle="1" w:styleId="92">
    <w:name w:val="正文文本 Char1"/>
    <w:qFormat/>
    <w:uiPriority w:val="99"/>
    <w:rPr>
      <w:kern w:val="2"/>
      <w:sz w:val="24"/>
    </w:rPr>
  </w:style>
  <w:style w:type="character" w:customStyle="1" w:styleId="93">
    <w:name w:val="Char Char1"/>
    <w:qFormat/>
    <w:uiPriority w:val="99"/>
    <w:rPr>
      <w:rFonts w:ascii="宋体" w:hAnsi="Courier New" w:eastAsia="宋体"/>
      <w:kern w:val="2"/>
      <w:sz w:val="24"/>
      <w:lang w:val="en-US" w:eastAsia="zh-CN"/>
    </w:rPr>
  </w:style>
  <w:style w:type="character" w:customStyle="1" w:styleId="94">
    <w:name w:val="Intense Quote Char"/>
    <w:qFormat/>
    <w:locked/>
    <w:uiPriority w:val="99"/>
    <w:rPr>
      <w:b/>
      <w:i/>
      <w:color w:val="4F81BD"/>
      <w:sz w:val="22"/>
    </w:rPr>
  </w:style>
  <w:style w:type="character" w:customStyle="1" w:styleId="95">
    <w:name w:val="明显引用 Char1"/>
    <w:qFormat/>
    <w:uiPriority w:val="99"/>
    <w:rPr>
      <w:b/>
      <w:i/>
      <w:color w:val="4F81BD"/>
      <w:kern w:val="2"/>
      <w:sz w:val="24"/>
    </w:rPr>
  </w:style>
  <w:style w:type="character" w:customStyle="1" w:styleId="96">
    <w:name w:val="引用 Char1"/>
    <w:qFormat/>
    <w:uiPriority w:val="99"/>
    <w:rPr>
      <w:i/>
      <w:color w:val="000000"/>
      <w:kern w:val="2"/>
      <w:sz w:val="24"/>
    </w:rPr>
  </w:style>
  <w:style w:type="character" w:customStyle="1" w:styleId="97">
    <w:name w:val="批注文字 Char Char"/>
    <w:qFormat/>
    <w:uiPriority w:val="99"/>
    <w:rPr>
      <w:rFonts w:ascii="宋体" w:hAnsi="Times New Roman" w:eastAsia="宋体"/>
      <w:sz w:val="20"/>
    </w:rPr>
  </w:style>
  <w:style w:type="character" w:customStyle="1" w:styleId="98">
    <w:name w:val="标题 Char1"/>
    <w:qFormat/>
    <w:uiPriority w:val="99"/>
    <w:rPr>
      <w:rFonts w:ascii="Cambria" w:hAnsi="Cambria"/>
      <w:b/>
      <w:kern w:val="2"/>
      <w:sz w:val="32"/>
    </w:rPr>
  </w:style>
  <w:style w:type="character" w:customStyle="1" w:styleId="99">
    <w:name w:val="textcontents"/>
    <w:qFormat/>
    <w:uiPriority w:val="99"/>
  </w:style>
  <w:style w:type="character" w:customStyle="1" w:styleId="100">
    <w:name w:val="明显参考1"/>
    <w:basedOn w:val="43"/>
    <w:qFormat/>
    <w:uiPriority w:val="99"/>
    <w:rPr>
      <w:rFonts w:cs="Times New Roman"/>
      <w:b/>
      <w:smallCaps/>
      <w:color w:val="C0504D"/>
      <w:spacing w:val="5"/>
      <w:u w:val="single"/>
    </w:rPr>
  </w:style>
  <w:style w:type="character" w:customStyle="1" w:styleId="101">
    <w:name w:val="Char Char21"/>
    <w:qFormat/>
    <w:locked/>
    <w:uiPriority w:val="99"/>
    <w:rPr>
      <w:rFonts w:ascii="Arial" w:hAnsi="Arial" w:eastAsia="黑体"/>
      <w:b/>
      <w:kern w:val="2"/>
      <w:sz w:val="32"/>
      <w:lang w:val="en-US" w:eastAsia="zh-CN"/>
    </w:rPr>
  </w:style>
  <w:style w:type="character" w:customStyle="1" w:styleId="102">
    <w:name w:val="Char Char7"/>
    <w:qFormat/>
    <w:locked/>
    <w:uiPriority w:val="99"/>
    <w:rPr>
      <w:rFonts w:eastAsia="宋体"/>
      <w:kern w:val="2"/>
      <w:sz w:val="24"/>
      <w:lang w:val="en-US" w:eastAsia="zh-CN"/>
    </w:rPr>
  </w:style>
  <w:style w:type="character" w:customStyle="1" w:styleId="103">
    <w:name w:val="书籍标题1"/>
    <w:basedOn w:val="43"/>
    <w:qFormat/>
    <w:uiPriority w:val="99"/>
    <w:rPr>
      <w:rFonts w:cs="Times New Roman"/>
      <w:b/>
      <w:smallCaps/>
      <w:spacing w:val="5"/>
    </w:rPr>
  </w:style>
  <w:style w:type="character" w:customStyle="1" w:styleId="104">
    <w:name w:val="正文首行缩进 Char1"/>
    <w:qFormat/>
    <w:uiPriority w:val="99"/>
  </w:style>
  <w:style w:type="character" w:customStyle="1" w:styleId="105">
    <w:name w:val="批注主题 Char2"/>
    <w:qFormat/>
    <w:uiPriority w:val="99"/>
    <w:rPr>
      <w:b/>
      <w:kern w:val="2"/>
      <w:sz w:val="22"/>
    </w:rPr>
  </w:style>
  <w:style w:type="character" w:customStyle="1" w:styleId="106">
    <w:name w:val="明显引用 Char"/>
    <w:qFormat/>
    <w:uiPriority w:val="99"/>
    <w:rPr>
      <w:b/>
      <w:i/>
      <w:color w:val="4F81BD"/>
      <w:sz w:val="24"/>
    </w:rPr>
  </w:style>
  <w:style w:type="character" w:customStyle="1" w:styleId="107">
    <w:name w:val="不明显参考1"/>
    <w:basedOn w:val="43"/>
    <w:qFormat/>
    <w:uiPriority w:val="99"/>
    <w:rPr>
      <w:rFonts w:cs="Times New Roman"/>
      <w:smallCaps/>
      <w:color w:val="C0504D"/>
      <w:u w:val="single"/>
    </w:rPr>
  </w:style>
  <w:style w:type="character" w:customStyle="1" w:styleId="108">
    <w:name w:val="批注主题 Char1"/>
    <w:qFormat/>
    <w:uiPriority w:val="99"/>
    <w:rPr>
      <w:b/>
      <w:kern w:val="2"/>
      <w:sz w:val="24"/>
    </w:rPr>
  </w:style>
  <w:style w:type="character" w:customStyle="1" w:styleId="109">
    <w:name w:val="副标题 Char1"/>
    <w:qFormat/>
    <w:uiPriority w:val="99"/>
    <w:rPr>
      <w:rFonts w:ascii="Cambria" w:hAnsi="Cambria"/>
      <w:b/>
      <w:kern w:val="28"/>
      <w:sz w:val="32"/>
    </w:rPr>
  </w:style>
  <w:style w:type="character" w:customStyle="1" w:styleId="110">
    <w:name w:val="日期 Char2"/>
    <w:qFormat/>
    <w:uiPriority w:val="99"/>
    <w:rPr>
      <w:kern w:val="2"/>
      <w:sz w:val="22"/>
    </w:rPr>
  </w:style>
  <w:style w:type="character" w:customStyle="1" w:styleId="111">
    <w:name w:val="cur"/>
    <w:qFormat/>
    <w:uiPriority w:val="99"/>
  </w:style>
  <w:style w:type="character" w:customStyle="1" w:styleId="112">
    <w:name w:val="页脚 Char1"/>
    <w:qFormat/>
    <w:uiPriority w:val="99"/>
    <w:rPr>
      <w:kern w:val="2"/>
      <w:sz w:val="18"/>
    </w:rPr>
  </w:style>
  <w:style w:type="character" w:customStyle="1" w:styleId="113">
    <w:name w:val="批注框文本 Char2"/>
    <w:qFormat/>
    <w:uiPriority w:val="99"/>
    <w:rPr>
      <w:kern w:val="2"/>
      <w:sz w:val="18"/>
    </w:rPr>
  </w:style>
  <w:style w:type="character" w:customStyle="1" w:styleId="114">
    <w:name w:val="Char Char5"/>
    <w:qFormat/>
    <w:locked/>
    <w:uiPriority w:val="99"/>
    <w:rPr>
      <w:kern w:val="2"/>
      <w:sz w:val="24"/>
    </w:rPr>
  </w:style>
  <w:style w:type="character" w:customStyle="1" w:styleId="115">
    <w:name w:val="正文文本 Char"/>
    <w:semiHidden/>
    <w:qFormat/>
    <w:uiPriority w:val="99"/>
    <w:rPr>
      <w:rFonts w:eastAsia="宋体"/>
      <w:kern w:val="2"/>
      <w:sz w:val="24"/>
      <w:lang w:val="en-US" w:eastAsia="zh-CN"/>
    </w:rPr>
  </w:style>
  <w:style w:type="character" w:customStyle="1" w:styleId="116">
    <w:name w:val="不明显强调1"/>
    <w:basedOn w:val="43"/>
    <w:qFormat/>
    <w:uiPriority w:val="99"/>
    <w:rPr>
      <w:rFonts w:cs="Times New Roman"/>
      <w:i/>
      <w:color w:val="808080"/>
    </w:rPr>
  </w:style>
  <w:style w:type="character" w:customStyle="1" w:styleId="117">
    <w:name w:val="明显强调1"/>
    <w:basedOn w:val="43"/>
    <w:qFormat/>
    <w:uiPriority w:val="99"/>
    <w:rPr>
      <w:rFonts w:cs="Times New Roman"/>
      <w:b/>
      <w:i/>
      <w:color w:val="4F81BD"/>
    </w:rPr>
  </w:style>
  <w:style w:type="character" w:customStyle="1" w:styleId="118">
    <w:name w:val="正文文本 Char2"/>
    <w:qFormat/>
    <w:uiPriority w:val="99"/>
    <w:rPr>
      <w:kern w:val="2"/>
      <w:sz w:val="22"/>
    </w:rPr>
  </w:style>
  <w:style w:type="character" w:customStyle="1" w:styleId="119">
    <w:name w:val="Quote Char"/>
    <w:qFormat/>
    <w:locked/>
    <w:uiPriority w:val="99"/>
    <w:rPr>
      <w:i/>
      <w:color w:val="000000"/>
      <w:sz w:val="22"/>
    </w:rPr>
  </w:style>
  <w:style w:type="paragraph" w:customStyle="1" w:styleId="120">
    <w:name w:val="明显引用1"/>
    <w:basedOn w:val="1"/>
    <w:next w:val="1"/>
    <w:link w:val="122"/>
    <w:qFormat/>
    <w:uiPriority w:val="99"/>
    <w:pPr>
      <w:pBdr>
        <w:bottom w:val="single" w:color="4F81BD" w:sz="4" w:space="4"/>
      </w:pBdr>
      <w:spacing w:before="200" w:after="280"/>
      <w:ind w:left="936" w:right="936"/>
    </w:pPr>
    <w:rPr>
      <w:rFonts w:ascii="Calibri" w:hAnsi="Calibri"/>
      <w:b/>
      <w:i/>
      <w:color w:val="4F81BD"/>
      <w:kern w:val="0"/>
      <w:sz w:val="22"/>
      <w:szCs w:val="20"/>
    </w:rPr>
  </w:style>
  <w:style w:type="character" w:customStyle="1" w:styleId="121">
    <w:name w:val="Intense Quote Char1"/>
    <w:basedOn w:val="43"/>
    <w:qFormat/>
    <w:locked/>
    <w:uiPriority w:val="99"/>
    <w:rPr>
      <w:rFonts w:ascii="Times New Roman" w:hAnsi="Times New Roman" w:cs="Times New Roman"/>
      <w:b/>
      <w:bCs/>
      <w:i/>
      <w:iCs/>
      <w:color w:val="4F81BD"/>
      <w:sz w:val="24"/>
      <w:szCs w:val="24"/>
    </w:rPr>
  </w:style>
  <w:style w:type="character" w:customStyle="1" w:styleId="122">
    <w:name w:val="明显引用 Char2"/>
    <w:basedOn w:val="43"/>
    <w:link w:val="120"/>
    <w:qFormat/>
    <w:locked/>
    <w:uiPriority w:val="99"/>
    <w:rPr>
      <w:rFonts w:ascii="Times New Roman" w:hAnsi="Times New Roman" w:eastAsia="宋体" w:cs="Times New Roman"/>
      <w:b/>
      <w:bCs/>
      <w:i/>
      <w:iCs/>
      <w:color w:val="4F81BD"/>
      <w:sz w:val="24"/>
      <w:szCs w:val="24"/>
    </w:rPr>
  </w:style>
  <w:style w:type="character" w:customStyle="1" w:styleId="123">
    <w:name w:val="Body Text First Indent Char1"/>
    <w:basedOn w:val="63"/>
    <w:semiHidden/>
    <w:qFormat/>
    <w:locked/>
    <w:uiPriority w:val="99"/>
    <w:rPr>
      <w:rFonts w:ascii="Times New Roman" w:hAnsi="Times New Roman" w:eastAsia="宋体" w:cs="Times New Roman"/>
      <w:sz w:val="24"/>
      <w:szCs w:val="24"/>
    </w:rPr>
  </w:style>
  <w:style w:type="character" w:customStyle="1" w:styleId="124">
    <w:name w:val="正文首行缩进 Char"/>
    <w:basedOn w:val="63"/>
    <w:link w:val="40"/>
    <w:semiHidden/>
    <w:qFormat/>
    <w:locked/>
    <w:uiPriority w:val="99"/>
    <w:rPr>
      <w:rFonts w:ascii="Times New Roman" w:hAnsi="Times New Roman" w:eastAsia="宋体" w:cs="Times New Roman"/>
      <w:sz w:val="24"/>
      <w:szCs w:val="24"/>
    </w:rPr>
  </w:style>
  <w:style w:type="character" w:customStyle="1" w:styleId="125">
    <w:name w:val="Document Map Char1"/>
    <w:basedOn w:val="43"/>
    <w:semiHidden/>
    <w:qFormat/>
    <w:locked/>
    <w:uiPriority w:val="99"/>
    <w:rPr>
      <w:rFonts w:ascii="Times New Roman" w:hAnsi="Times New Roman" w:cs="Times New Roman"/>
      <w:sz w:val="2"/>
    </w:rPr>
  </w:style>
  <w:style w:type="character" w:customStyle="1" w:styleId="126">
    <w:name w:val="文档结构图 Char"/>
    <w:basedOn w:val="43"/>
    <w:link w:val="15"/>
    <w:semiHidden/>
    <w:qFormat/>
    <w:locked/>
    <w:uiPriority w:val="99"/>
    <w:rPr>
      <w:rFonts w:ascii="宋体" w:hAnsi="Times New Roman" w:eastAsia="宋体" w:cs="Times New Roman"/>
      <w:sz w:val="18"/>
      <w:szCs w:val="18"/>
    </w:rPr>
  </w:style>
  <w:style w:type="character" w:customStyle="1" w:styleId="127">
    <w:name w:val="Comment Text Char1"/>
    <w:basedOn w:val="43"/>
    <w:semiHidden/>
    <w:qFormat/>
    <w:locked/>
    <w:uiPriority w:val="99"/>
    <w:rPr>
      <w:rFonts w:ascii="Times New Roman" w:hAnsi="Times New Roman" w:cs="Times New Roman"/>
      <w:sz w:val="24"/>
      <w:szCs w:val="24"/>
    </w:rPr>
  </w:style>
  <w:style w:type="character" w:customStyle="1" w:styleId="128">
    <w:name w:val="批注文字 Char"/>
    <w:basedOn w:val="43"/>
    <w:link w:val="16"/>
    <w:semiHidden/>
    <w:qFormat/>
    <w:locked/>
    <w:uiPriority w:val="99"/>
    <w:rPr>
      <w:rFonts w:ascii="Times New Roman" w:hAnsi="Times New Roman" w:eastAsia="宋体" w:cs="Times New Roman"/>
      <w:sz w:val="24"/>
      <w:szCs w:val="24"/>
    </w:rPr>
  </w:style>
  <w:style w:type="character" w:customStyle="1" w:styleId="129">
    <w:name w:val="Plain Text Char1"/>
    <w:basedOn w:val="43"/>
    <w:semiHidden/>
    <w:qFormat/>
    <w:locked/>
    <w:uiPriority w:val="99"/>
    <w:rPr>
      <w:rFonts w:ascii="宋体" w:hAnsi="Courier New" w:cs="Courier New"/>
      <w:sz w:val="21"/>
      <w:szCs w:val="21"/>
    </w:rPr>
  </w:style>
  <w:style w:type="character" w:customStyle="1" w:styleId="130">
    <w:name w:val="纯文本 Char"/>
    <w:basedOn w:val="43"/>
    <w:link w:val="22"/>
    <w:semiHidden/>
    <w:qFormat/>
    <w:locked/>
    <w:uiPriority w:val="99"/>
    <w:rPr>
      <w:rFonts w:ascii="宋体" w:hAnsi="Courier New" w:eastAsia="宋体" w:cs="Courier New"/>
      <w:sz w:val="21"/>
      <w:szCs w:val="21"/>
    </w:rPr>
  </w:style>
  <w:style w:type="character" w:customStyle="1" w:styleId="131">
    <w:name w:val="Body Text Indent Char1"/>
    <w:basedOn w:val="43"/>
    <w:semiHidden/>
    <w:qFormat/>
    <w:locked/>
    <w:uiPriority w:val="99"/>
    <w:rPr>
      <w:rFonts w:ascii="Times New Roman" w:hAnsi="Times New Roman" w:cs="Times New Roman"/>
      <w:sz w:val="24"/>
      <w:szCs w:val="24"/>
    </w:rPr>
  </w:style>
  <w:style w:type="character" w:customStyle="1" w:styleId="132">
    <w:name w:val="正文文本缩进 Char"/>
    <w:basedOn w:val="43"/>
    <w:link w:val="18"/>
    <w:semiHidden/>
    <w:qFormat/>
    <w:locked/>
    <w:uiPriority w:val="99"/>
    <w:rPr>
      <w:rFonts w:ascii="Times New Roman" w:hAnsi="Times New Roman" w:eastAsia="宋体" w:cs="Times New Roman"/>
      <w:sz w:val="24"/>
      <w:szCs w:val="24"/>
    </w:rPr>
  </w:style>
  <w:style w:type="paragraph" w:customStyle="1" w:styleId="133">
    <w:name w:val="Char Char2 Char Char"/>
    <w:basedOn w:val="15"/>
    <w:qFormat/>
    <w:uiPriority w:val="99"/>
    <w:rPr>
      <w:rFonts w:ascii="Tahoma" w:hAnsi="Tahoma"/>
    </w:rPr>
  </w:style>
  <w:style w:type="character" w:customStyle="1" w:styleId="134">
    <w:name w:val="Comment Subject Char1"/>
    <w:basedOn w:val="128"/>
    <w:semiHidden/>
    <w:qFormat/>
    <w:locked/>
    <w:uiPriority w:val="99"/>
    <w:rPr>
      <w:rFonts w:ascii="Times New Roman" w:hAnsi="Times New Roman" w:eastAsia="宋体" w:cs="Times New Roman"/>
      <w:b/>
      <w:bCs/>
      <w:sz w:val="24"/>
      <w:szCs w:val="24"/>
    </w:rPr>
  </w:style>
  <w:style w:type="character" w:customStyle="1" w:styleId="135">
    <w:name w:val="批注主题 Char"/>
    <w:basedOn w:val="128"/>
    <w:link w:val="39"/>
    <w:semiHidden/>
    <w:qFormat/>
    <w:locked/>
    <w:uiPriority w:val="99"/>
    <w:rPr>
      <w:rFonts w:ascii="Times New Roman" w:hAnsi="Times New Roman" w:eastAsia="宋体" w:cs="Times New Roman"/>
      <w:b/>
      <w:bCs/>
      <w:sz w:val="24"/>
      <w:szCs w:val="24"/>
    </w:rPr>
  </w:style>
  <w:style w:type="paragraph" w:customStyle="1" w:styleId="136">
    <w:name w:val="样式 标题 3 + (中文) 黑体 小四 非加粗 段前: 7.8 磅 段后: 0 磅 行距: 固定值 20 磅"/>
    <w:basedOn w:val="5"/>
    <w:qFormat/>
    <w:uiPriority w:val="99"/>
    <w:pPr>
      <w:spacing w:before="0" w:after="0" w:line="400" w:lineRule="exact"/>
    </w:pPr>
    <w:rPr>
      <w:rFonts w:cs="宋体"/>
      <w:b/>
      <w:bCs w:val="0"/>
      <w:szCs w:val="20"/>
    </w:rPr>
  </w:style>
  <w:style w:type="character" w:customStyle="1" w:styleId="137">
    <w:name w:val="Subtitle Char1"/>
    <w:basedOn w:val="43"/>
    <w:qFormat/>
    <w:locked/>
    <w:uiPriority w:val="99"/>
    <w:rPr>
      <w:rFonts w:ascii="Cambria" w:hAnsi="Cambria" w:cs="Times New Roman"/>
      <w:b/>
      <w:bCs/>
      <w:kern w:val="28"/>
      <w:sz w:val="32"/>
      <w:szCs w:val="32"/>
    </w:rPr>
  </w:style>
  <w:style w:type="character" w:customStyle="1" w:styleId="138">
    <w:name w:val="副标题 Char2"/>
    <w:basedOn w:val="43"/>
    <w:link w:val="31"/>
    <w:qFormat/>
    <w:locked/>
    <w:uiPriority w:val="99"/>
    <w:rPr>
      <w:rFonts w:ascii="Cambria" w:hAnsi="Cambria" w:eastAsia="宋体" w:cs="Times New Roman"/>
      <w:b/>
      <w:bCs/>
      <w:kern w:val="28"/>
      <w:sz w:val="32"/>
      <w:szCs w:val="32"/>
    </w:rPr>
  </w:style>
  <w:style w:type="character" w:customStyle="1" w:styleId="139">
    <w:name w:val="Body Text Indent 3 Char1"/>
    <w:basedOn w:val="43"/>
    <w:semiHidden/>
    <w:qFormat/>
    <w:locked/>
    <w:uiPriority w:val="99"/>
    <w:rPr>
      <w:rFonts w:ascii="Times New Roman" w:hAnsi="Times New Roman" w:cs="Times New Roman"/>
      <w:sz w:val="16"/>
      <w:szCs w:val="16"/>
    </w:rPr>
  </w:style>
  <w:style w:type="character" w:customStyle="1" w:styleId="140">
    <w:name w:val="正文文本缩进 3 Char"/>
    <w:basedOn w:val="43"/>
    <w:link w:val="33"/>
    <w:semiHidden/>
    <w:qFormat/>
    <w:locked/>
    <w:uiPriority w:val="99"/>
    <w:rPr>
      <w:rFonts w:ascii="Times New Roman" w:hAnsi="Times New Roman" w:eastAsia="宋体" w:cs="Times New Roman"/>
      <w:sz w:val="16"/>
      <w:szCs w:val="16"/>
    </w:rPr>
  </w:style>
  <w:style w:type="paragraph" w:customStyle="1" w:styleId="141">
    <w:name w:val="TOC 标题1"/>
    <w:basedOn w:val="3"/>
    <w:next w:val="1"/>
    <w:qFormat/>
    <w:uiPriority w:val="99"/>
    <w:pPr>
      <w:outlineLvl w:val="9"/>
    </w:pPr>
    <w:rPr>
      <w:bCs w:val="0"/>
      <w:szCs w:val="20"/>
    </w:rPr>
  </w:style>
  <w:style w:type="character" w:customStyle="1" w:styleId="142">
    <w:name w:val="Date Char1"/>
    <w:basedOn w:val="43"/>
    <w:semiHidden/>
    <w:qFormat/>
    <w:locked/>
    <w:uiPriority w:val="99"/>
    <w:rPr>
      <w:rFonts w:ascii="Times New Roman" w:hAnsi="Times New Roman" w:cs="Times New Roman"/>
      <w:sz w:val="24"/>
      <w:szCs w:val="24"/>
    </w:rPr>
  </w:style>
  <w:style w:type="character" w:customStyle="1" w:styleId="143">
    <w:name w:val="日期 Char"/>
    <w:basedOn w:val="43"/>
    <w:link w:val="24"/>
    <w:semiHidden/>
    <w:qFormat/>
    <w:locked/>
    <w:uiPriority w:val="99"/>
    <w:rPr>
      <w:rFonts w:ascii="Times New Roman" w:hAnsi="Times New Roman" w:eastAsia="宋体" w:cs="Times New Roman"/>
      <w:sz w:val="24"/>
      <w:szCs w:val="24"/>
    </w:rPr>
  </w:style>
  <w:style w:type="character" w:customStyle="1" w:styleId="144">
    <w:name w:val="Title Char1"/>
    <w:basedOn w:val="43"/>
    <w:qFormat/>
    <w:locked/>
    <w:uiPriority w:val="99"/>
    <w:rPr>
      <w:rFonts w:ascii="Cambria" w:hAnsi="Cambria" w:cs="Times New Roman"/>
      <w:b/>
      <w:bCs/>
      <w:sz w:val="32"/>
      <w:szCs w:val="32"/>
    </w:rPr>
  </w:style>
  <w:style w:type="character" w:customStyle="1" w:styleId="145">
    <w:name w:val="标题 Char"/>
    <w:basedOn w:val="43"/>
    <w:link w:val="38"/>
    <w:qFormat/>
    <w:locked/>
    <w:uiPriority w:val="99"/>
    <w:rPr>
      <w:rFonts w:ascii="Cambria" w:hAnsi="Cambria" w:eastAsia="宋体" w:cs="Times New Roman"/>
      <w:b/>
      <w:bCs/>
      <w:sz w:val="32"/>
      <w:szCs w:val="32"/>
    </w:rPr>
  </w:style>
  <w:style w:type="character" w:customStyle="1" w:styleId="146">
    <w:name w:val="Balloon Text Char1"/>
    <w:basedOn w:val="43"/>
    <w:semiHidden/>
    <w:qFormat/>
    <w:locked/>
    <w:uiPriority w:val="99"/>
    <w:rPr>
      <w:rFonts w:ascii="Times New Roman" w:hAnsi="Times New Roman" w:cs="Times New Roman"/>
      <w:sz w:val="2"/>
    </w:rPr>
  </w:style>
  <w:style w:type="character" w:customStyle="1" w:styleId="147">
    <w:name w:val="批注框文本 Char"/>
    <w:basedOn w:val="43"/>
    <w:link w:val="26"/>
    <w:semiHidden/>
    <w:qFormat/>
    <w:locked/>
    <w:uiPriority w:val="99"/>
    <w:rPr>
      <w:rFonts w:ascii="Times New Roman" w:hAnsi="Times New Roman" w:eastAsia="宋体" w:cs="Times New Roman"/>
      <w:sz w:val="18"/>
      <w:szCs w:val="18"/>
    </w:rPr>
  </w:style>
  <w:style w:type="character" w:customStyle="1" w:styleId="148">
    <w:name w:val="Body Text 3 Char1"/>
    <w:basedOn w:val="43"/>
    <w:semiHidden/>
    <w:qFormat/>
    <w:locked/>
    <w:uiPriority w:val="99"/>
    <w:rPr>
      <w:rFonts w:ascii="Times New Roman" w:hAnsi="Times New Roman" w:cs="Times New Roman"/>
      <w:sz w:val="16"/>
      <w:szCs w:val="16"/>
    </w:rPr>
  </w:style>
  <w:style w:type="character" w:customStyle="1" w:styleId="149">
    <w:name w:val="正文文本 3 Char"/>
    <w:basedOn w:val="43"/>
    <w:link w:val="17"/>
    <w:semiHidden/>
    <w:qFormat/>
    <w:locked/>
    <w:uiPriority w:val="99"/>
    <w:rPr>
      <w:rFonts w:ascii="Times New Roman" w:hAnsi="Times New Roman" w:eastAsia="宋体" w:cs="Times New Roman"/>
      <w:sz w:val="16"/>
      <w:szCs w:val="16"/>
    </w:rPr>
  </w:style>
  <w:style w:type="character" w:customStyle="1" w:styleId="150">
    <w:name w:val="Footer Char1"/>
    <w:basedOn w:val="43"/>
    <w:semiHidden/>
    <w:qFormat/>
    <w:locked/>
    <w:uiPriority w:val="99"/>
    <w:rPr>
      <w:rFonts w:ascii="Times New Roman" w:hAnsi="Times New Roman" w:cs="Times New Roman"/>
      <w:sz w:val="18"/>
      <w:szCs w:val="18"/>
    </w:rPr>
  </w:style>
  <w:style w:type="character" w:customStyle="1" w:styleId="151">
    <w:name w:val="页脚 Char"/>
    <w:basedOn w:val="43"/>
    <w:link w:val="27"/>
    <w:qFormat/>
    <w:locked/>
    <w:uiPriority w:val="99"/>
    <w:rPr>
      <w:rFonts w:ascii="Times New Roman" w:hAnsi="Times New Roman" w:eastAsia="宋体" w:cs="Times New Roman"/>
      <w:sz w:val="18"/>
      <w:szCs w:val="18"/>
    </w:rPr>
  </w:style>
  <w:style w:type="character" w:customStyle="1" w:styleId="152">
    <w:name w:val="Header Char1"/>
    <w:basedOn w:val="43"/>
    <w:semiHidden/>
    <w:qFormat/>
    <w:locked/>
    <w:uiPriority w:val="99"/>
    <w:rPr>
      <w:rFonts w:ascii="Times New Roman" w:hAnsi="Times New Roman" w:cs="Times New Roman"/>
      <w:sz w:val="18"/>
      <w:szCs w:val="18"/>
    </w:rPr>
  </w:style>
  <w:style w:type="character" w:customStyle="1" w:styleId="153">
    <w:name w:val="页眉 Char"/>
    <w:basedOn w:val="43"/>
    <w:link w:val="28"/>
    <w:semiHidden/>
    <w:qFormat/>
    <w:locked/>
    <w:uiPriority w:val="99"/>
    <w:rPr>
      <w:rFonts w:ascii="Times New Roman" w:hAnsi="Times New Roman" w:eastAsia="宋体" w:cs="Times New Roman"/>
      <w:sz w:val="18"/>
      <w:szCs w:val="18"/>
    </w:rPr>
  </w:style>
  <w:style w:type="paragraph" w:customStyle="1" w:styleId="154">
    <w:name w:val="修订1"/>
    <w:qFormat/>
    <w:uiPriority w:val="99"/>
    <w:rPr>
      <w:rFonts w:ascii="Times New Roman" w:hAnsi="Times New Roman" w:eastAsia="宋体" w:cs="Times New Roman"/>
      <w:kern w:val="2"/>
      <w:sz w:val="21"/>
      <w:szCs w:val="24"/>
      <w:lang w:val="en-US" w:eastAsia="zh-CN" w:bidi="ar-SA"/>
    </w:rPr>
  </w:style>
  <w:style w:type="paragraph" w:customStyle="1" w:styleId="155">
    <w:name w:val="Char Char2"/>
    <w:basedOn w:val="15"/>
    <w:qFormat/>
    <w:uiPriority w:val="99"/>
    <w:rPr>
      <w:rFonts w:ascii="Tahoma" w:hAnsi="Tahoma"/>
    </w:rPr>
  </w:style>
  <w:style w:type="paragraph" w:customStyle="1" w:styleId="156">
    <w:name w:val="默认段落字体 Para Char Char Char Char Char Char Char Char Char1 Char Char Char Char Char Char Char"/>
    <w:basedOn w:val="15"/>
    <w:qFormat/>
    <w:uiPriority w:val="99"/>
    <w:rPr>
      <w:rFonts w:ascii="Tahoma" w:hAnsi="Tahoma"/>
    </w:rPr>
  </w:style>
  <w:style w:type="paragraph" w:customStyle="1" w:styleId="157">
    <w:name w:val="表格"/>
    <w:basedOn w:val="1"/>
    <w:qFormat/>
    <w:uiPriority w:val="99"/>
    <w:pPr>
      <w:jc w:val="center"/>
      <w:textAlignment w:val="center"/>
    </w:pPr>
    <w:rPr>
      <w:rFonts w:ascii="华文细黑" w:hAnsi="华文细黑"/>
      <w:kern w:val="0"/>
      <w:szCs w:val="20"/>
    </w:rPr>
  </w:style>
  <w:style w:type="paragraph" w:customStyle="1" w:styleId="158">
    <w:name w:val="1"/>
    <w:basedOn w:val="1"/>
    <w:next w:val="1"/>
    <w:qFormat/>
    <w:uiPriority w:val="99"/>
  </w:style>
  <w:style w:type="paragraph" w:customStyle="1" w:styleId="159">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60">
    <w:name w:val="引用1"/>
    <w:basedOn w:val="1"/>
    <w:next w:val="1"/>
    <w:link w:val="162"/>
    <w:qFormat/>
    <w:uiPriority w:val="99"/>
    <w:rPr>
      <w:rFonts w:ascii="Calibri" w:hAnsi="Calibri"/>
      <w:i/>
      <w:color w:val="000000"/>
      <w:kern w:val="0"/>
      <w:sz w:val="22"/>
      <w:szCs w:val="20"/>
    </w:rPr>
  </w:style>
  <w:style w:type="character" w:customStyle="1" w:styleId="161">
    <w:name w:val="Quote Char1"/>
    <w:basedOn w:val="43"/>
    <w:qFormat/>
    <w:locked/>
    <w:uiPriority w:val="99"/>
    <w:rPr>
      <w:rFonts w:ascii="Times New Roman" w:hAnsi="Times New Roman" w:cs="Times New Roman"/>
      <w:i/>
      <w:iCs/>
      <w:color w:val="000000"/>
      <w:sz w:val="24"/>
      <w:szCs w:val="24"/>
    </w:rPr>
  </w:style>
  <w:style w:type="character" w:customStyle="1" w:styleId="162">
    <w:name w:val="引用 Char2"/>
    <w:basedOn w:val="43"/>
    <w:link w:val="160"/>
    <w:qFormat/>
    <w:locked/>
    <w:uiPriority w:val="99"/>
    <w:rPr>
      <w:rFonts w:ascii="Times New Roman" w:hAnsi="Times New Roman" w:eastAsia="宋体" w:cs="Times New Roman"/>
      <w:i/>
      <w:iCs/>
      <w:color w:val="000000"/>
      <w:sz w:val="24"/>
      <w:szCs w:val="24"/>
    </w:rPr>
  </w:style>
  <w:style w:type="paragraph" w:customStyle="1" w:styleId="163">
    <w:name w:val="列出段落1"/>
    <w:basedOn w:val="1"/>
    <w:qFormat/>
    <w:uiPriority w:val="99"/>
    <w:pPr>
      <w:ind w:firstLine="420" w:firstLineChars="200"/>
    </w:pPr>
  </w:style>
  <w:style w:type="paragraph" w:customStyle="1" w:styleId="164">
    <w:name w:val="样式2"/>
    <w:basedOn w:val="5"/>
    <w:qFormat/>
    <w:uiPriority w:val="99"/>
    <w:pPr>
      <w:spacing w:before="260" w:after="260" w:line="415" w:lineRule="auto"/>
      <w:ind w:firstLine="137" w:firstLineChars="49"/>
    </w:pPr>
    <w:rPr>
      <w:rFonts w:ascii="黑体" w:hAnsi="宋体"/>
      <w:bCs w:val="0"/>
      <w:i/>
      <w:kern w:val="2"/>
      <w:sz w:val="28"/>
      <w:szCs w:val="20"/>
    </w:rPr>
  </w:style>
  <w:style w:type="paragraph" w:customStyle="1" w:styleId="165">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6">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67">
    <w:name w:val="Char"/>
    <w:basedOn w:val="1"/>
    <w:qFormat/>
    <w:uiPriority w:val="99"/>
    <w:pPr>
      <w:tabs>
        <w:tab w:val="left" w:pos="360"/>
      </w:tabs>
    </w:pPr>
    <w:rPr>
      <w:sz w:val="24"/>
    </w:rPr>
  </w:style>
  <w:style w:type="paragraph" w:customStyle="1" w:styleId="168">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69">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bCs w:val="0"/>
      <w:sz w:val="28"/>
      <w:szCs w:val="20"/>
    </w:rPr>
  </w:style>
  <w:style w:type="paragraph" w:customStyle="1" w:styleId="170">
    <w:name w:val="表格文字"/>
    <w:basedOn w:val="1"/>
    <w:qFormat/>
    <w:uiPriority w:val="99"/>
    <w:pPr>
      <w:adjustRightInd w:val="0"/>
      <w:spacing w:line="420" w:lineRule="atLeast"/>
      <w:jc w:val="left"/>
      <w:textAlignment w:val="baseline"/>
    </w:pPr>
    <w:rPr>
      <w:kern w:val="0"/>
      <w:szCs w:val="20"/>
    </w:rPr>
  </w:style>
  <w:style w:type="paragraph" w:customStyle="1" w:styleId="171">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bCs w:val="0"/>
      <w:sz w:val="32"/>
      <w:szCs w:val="20"/>
    </w:rPr>
  </w:style>
  <w:style w:type="paragraph" w:customStyle="1" w:styleId="172">
    <w:name w:val="p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3">
    <w:name w:val="样式1"/>
    <w:basedOn w:val="1"/>
    <w:next w:val="6"/>
    <w:qFormat/>
    <w:uiPriority w:val="99"/>
    <w:pPr>
      <w:spacing w:line="360" w:lineRule="auto"/>
      <w:ind w:firstLine="420" w:firstLineChars="200"/>
    </w:pPr>
    <w:rPr>
      <w:rFonts w:ascii="宋体" w:hAnsi="宋体"/>
      <w:szCs w:val="21"/>
    </w:rPr>
  </w:style>
  <w:style w:type="paragraph" w:customStyle="1" w:styleId="174">
    <w:name w:val="Char1"/>
    <w:basedOn w:val="1"/>
    <w:qFormat/>
    <w:uiPriority w:val="99"/>
    <w:pPr>
      <w:tabs>
        <w:tab w:val="left" w:pos="360"/>
      </w:tabs>
    </w:pPr>
    <w:rPr>
      <w:sz w:val="24"/>
    </w:rPr>
  </w:style>
  <w:style w:type="paragraph" w:customStyle="1" w:styleId="175">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176">
    <w:name w:val="p15"/>
    <w:basedOn w:val="1"/>
    <w:qFormat/>
    <w:uiPriority w:val="99"/>
    <w:pPr>
      <w:widowControl/>
      <w:spacing w:before="100" w:beforeAutospacing="1" w:after="100" w:afterAutospacing="1"/>
      <w:jc w:val="left"/>
    </w:pPr>
    <w:rPr>
      <w:rFonts w:ascii="宋体" w:hAnsi="宋体" w:cs="宋体"/>
      <w:kern w:val="0"/>
      <w:sz w:val="24"/>
      <w:szCs w:val="21"/>
    </w:rPr>
  </w:style>
  <w:style w:type="paragraph" w:customStyle="1" w:styleId="177">
    <w:name w:val="p0"/>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178">
    <w:name w:val="列出段落2"/>
    <w:basedOn w:val="1"/>
    <w:qFormat/>
    <w:uiPriority w:val="34"/>
    <w:pPr>
      <w:ind w:firstLine="420" w:firstLineChars="200"/>
    </w:pPr>
  </w:style>
  <w:style w:type="character" w:customStyle="1" w:styleId="179">
    <w:name w:val="apple-converted-space"/>
    <w:basedOn w:val="43"/>
    <w:qFormat/>
    <w:uiPriority w:val="0"/>
  </w:style>
  <w:style w:type="paragraph" w:styleId="180">
    <w:name w:val="List Paragraph"/>
    <w:basedOn w:val="1"/>
    <w:qFormat/>
    <w:uiPriority w:val="34"/>
    <w:pPr>
      <w:ind w:firstLine="420" w:firstLineChars="200"/>
    </w:pPr>
  </w:style>
  <w:style w:type="character" w:customStyle="1" w:styleId="181">
    <w:name w:val="15"/>
    <w:qFormat/>
    <w:uiPriority w:val="0"/>
    <w:rPr>
      <w:rFonts w:hint="default" w:ascii="Times New Roman" w:hAnsi="Times New Roman" w:cs="Times New Roman"/>
      <w:color w:val="464445"/>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9"/>
    <customShpInfo spid="_x0000_s4100"/>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7A523-A8F6-44FC-9F39-7D73ED572C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6084</Words>
  <Characters>34679</Characters>
  <Lines>288</Lines>
  <Paragraphs>81</Paragraphs>
  <TotalTime>2</TotalTime>
  <ScaleCrop>false</ScaleCrop>
  <LinksUpToDate>false</LinksUpToDate>
  <CharactersWithSpaces>40682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2017-02-04T07:44:00Z</dcterms:created>
  <dc:creator>微软用户</dc:creator>
  <cp:lastModifiedBy>李杨</cp:lastModifiedBy>
  <cp:lastPrinted>2021-08-04T13:59:00Z</cp:lastPrinted>
  <dcterms:modified xsi:type="dcterms:W3CDTF">2021-08-05T12:41:11Z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17BC82B3B01841F8B8552301D8C823DE</vt:lpwstr>
  </property>
</Properties>
</file>