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heme="minorEastAsia" w:hAnsiTheme="minorEastAsia" w:eastAsiaTheme="minorEastAsia" w:cstheme="minorEastAsia"/>
          <w:b/>
          <w:color w:val="auto"/>
          <w:sz w:val="48"/>
          <w:szCs w:val="48"/>
          <w:lang w:val="en-US" w:eastAsia="zh-CN"/>
        </w:rPr>
      </w:pPr>
      <w:bookmarkStart w:id="614" w:name="_GoBack"/>
    </w:p>
    <w:p>
      <w:pPr>
        <w:spacing w:line="360" w:lineRule="auto"/>
        <w:jc w:val="center"/>
        <w:rPr>
          <w:rFonts w:asciiTheme="minorEastAsia" w:hAnsiTheme="minorEastAsia" w:eastAsiaTheme="minorEastAsia" w:cstheme="minorEastAsia"/>
          <w:b/>
          <w:color w:val="auto"/>
          <w:sz w:val="48"/>
          <w:szCs w:val="48"/>
        </w:rPr>
      </w:pPr>
    </w:p>
    <w:p>
      <w:pPr>
        <w:spacing w:line="360" w:lineRule="auto"/>
        <w:jc w:val="center"/>
        <w:rPr>
          <w:rFonts w:asciiTheme="minorEastAsia" w:hAnsiTheme="minorEastAsia" w:eastAsiaTheme="minorEastAsia" w:cstheme="minorEastAsia"/>
          <w:b/>
          <w:color w:val="auto"/>
          <w:sz w:val="48"/>
          <w:szCs w:val="48"/>
        </w:rPr>
      </w:pPr>
    </w:p>
    <w:p>
      <w:pPr>
        <w:spacing w:line="360" w:lineRule="auto"/>
        <w:ind w:left="-140" w:leftChars="-67" w:right="-283" w:rightChars="-135"/>
        <w:jc w:val="center"/>
        <w:rPr>
          <w:rFonts w:asciiTheme="minorEastAsia" w:hAnsiTheme="minorEastAsia" w:eastAsiaTheme="minorEastAsia" w:cstheme="minorEastAsia"/>
          <w:color w:val="auto"/>
          <w:spacing w:val="-20"/>
          <w:sz w:val="44"/>
          <w:szCs w:val="44"/>
        </w:rPr>
      </w:pPr>
      <w:r>
        <w:rPr>
          <w:rFonts w:hint="eastAsia" w:asciiTheme="minorEastAsia" w:hAnsiTheme="minorEastAsia" w:eastAsiaTheme="minorEastAsia" w:cstheme="minorEastAsia"/>
          <w:color w:val="auto"/>
          <w:spacing w:val="-20"/>
          <w:sz w:val="44"/>
          <w:szCs w:val="44"/>
        </w:rPr>
        <w:t>盐城市大丰区职业技术教育中心</w:t>
      </w:r>
    </w:p>
    <w:p>
      <w:pPr>
        <w:spacing w:line="360" w:lineRule="auto"/>
        <w:ind w:left="-140" w:leftChars="-67" w:right="-283" w:rightChars="-135"/>
        <w:jc w:val="center"/>
        <w:rPr>
          <w:rFonts w:asciiTheme="minorEastAsia" w:hAnsiTheme="minorEastAsia" w:eastAsiaTheme="minorEastAsia" w:cstheme="minorEastAsia"/>
          <w:color w:val="auto"/>
          <w:spacing w:val="-20"/>
          <w:sz w:val="44"/>
          <w:szCs w:val="44"/>
        </w:rPr>
      </w:pPr>
      <w:r>
        <w:rPr>
          <w:rFonts w:hint="eastAsia" w:asciiTheme="minorEastAsia" w:hAnsiTheme="minorEastAsia" w:eastAsiaTheme="minorEastAsia" w:cstheme="minorEastAsia"/>
          <w:color w:val="auto"/>
          <w:spacing w:val="-20"/>
          <w:sz w:val="44"/>
          <w:szCs w:val="44"/>
        </w:rPr>
        <w:t>2020年智慧校园运维和安全管理、智慧教室和移动录播设备建设项目</w:t>
      </w: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72"/>
          <w:szCs w:val="72"/>
        </w:rPr>
      </w:pPr>
    </w:p>
    <w:p>
      <w:pPr>
        <w:spacing w:line="360" w:lineRule="auto"/>
        <w:jc w:val="center"/>
        <w:rPr>
          <w:rFonts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招 标 文 件</w:t>
      </w:r>
    </w:p>
    <w:p>
      <w:pPr>
        <w:spacing w:line="360" w:lineRule="auto"/>
        <w:jc w:val="center"/>
        <w:rPr>
          <w:rFonts w:asciiTheme="minorEastAsia" w:hAnsiTheme="minorEastAsia" w:eastAsiaTheme="minorEastAsia" w:cstheme="minorEastAsia"/>
          <w:color w:val="auto"/>
          <w:sz w:val="28"/>
          <w:szCs w:val="28"/>
        </w:rPr>
      </w:pPr>
    </w:p>
    <w:p>
      <w:pPr>
        <w:spacing w:line="360" w:lineRule="auto"/>
        <w:ind w:firstLine="787" w:firstLineChars="246"/>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标段编号：DFCG20200220</w:t>
      </w: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480" w:lineRule="auto"/>
        <w:ind w:right="-170" w:rightChars="-81" w:firstLine="627" w:firstLineChars="196"/>
        <w:rPr>
          <w:rFonts w:asciiTheme="minorEastAsia" w:hAnsiTheme="minorEastAsia" w:eastAsiaTheme="minorEastAsia" w:cstheme="minorEastAsia"/>
          <w:b/>
          <w:color w:val="auto"/>
          <w:sz w:val="32"/>
          <w:szCs w:val="32"/>
        </w:rPr>
      </w:pPr>
      <w:bookmarkStart w:id="0" w:name="_Toc363326675"/>
      <w:bookmarkStart w:id="1" w:name="_Toc368759509"/>
      <w:bookmarkStart w:id="2" w:name="_Toc369077541"/>
      <w:r>
        <w:rPr>
          <w:rFonts w:hint="eastAsia" w:asciiTheme="minorEastAsia" w:hAnsiTheme="minorEastAsia" w:eastAsiaTheme="minorEastAsia" w:cstheme="minorEastAsia"/>
          <w:b/>
          <w:color w:val="auto"/>
          <w:sz w:val="32"/>
          <w:szCs w:val="32"/>
        </w:rPr>
        <w:t>招  标  人：</w:t>
      </w:r>
      <w:r>
        <w:rPr>
          <w:rFonts w:hint="eastAsia" w:asciiTheme="minorEastAsia" w:hAnsiTheme="minorEastAsia" w:eastAsiaTheme="minorEastAsia" w:cstheme="minorEastAsia"/>
          <w:b/>
          <w:color w:val="auto"/>
          <w:sz w:val="32"/>
          <w:szCs w:val="32"/>
          <w:u w:val="single"/>
        </w:rPr>
        <w:t>盐城市大丰区职业技术教育中心</w:t>
      </w:r>
      <w:r>
        <w:rPr>
          <w:rFonts w:hint="eastAsia" w:asciiTheme="minorEastAsia" w:hAnsiTheme="minorEastAsia" w:eastAsiaTheme="minorEastAsia" w:cstheme="minorEastAsia"/>
          <w:b/>
          <w:color w:val="auto"/>
          <w:sz w:val="32"/>
          <w:szCs w:val="32"/>
        </w:rPr>
        <w:t>（盖章）</w:t>
      </w:r>
    </w:p>
    <w:p>
      <w:pPr>
        <w:tabs>
          <w:tab w:val="left" w:pos="7560"/>
        </w:tabs>
        <w:spacing w:line="480" w:lineRule="auto"/>
        <w:ind w:firstLine="627" w:firstLineChars="196"/>
        <w:rPr>
          <w:rFonts w:asciiTheme="minorEastAsia" w:hAnsiTheme="minorEastAsia" w:eastAsiaTheme="minorEastAsia" w:cstheme="minorEastAsia"/>
          <w:b/>
          <w:color w:val="auto"/>
          <w:sz w:val="32"/>
          <w:szCs w:val="32"/>
        </w:rPr>
      </w:pPr>
    </w:p>
    <w:p>
      <w:pPr>
        <w:tabs>
          <w:tab w:val="left" w:pos="7560"/>
        </w:tabs>
        <w:spacing w:line="480" w:lineRule="auto"/>
        <w:ind w:right="-111" w:rightChars="-53" w:firstLine="627" w:firstLineChars="196"/>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招标代理机构:</w:t>
      </w:r>
      <w:r>
        <w:rPr>
          <w:rFonts w:hint="eastAsia" w:asciiTheme="minorEastAsia" w:hAnsiTheme="minorEastAsia" w:eastAsiaTheme="minorEastAsia" w:cstheme="minorEastAsia"/>
          <w:b/>
          <w:color w:val="auto"/>
          <w:sz w:val="32"/>
          <w:szCs w:val="32"/>
          <w:u w:val="single"/>
        </w:rPr>
        <w:t>盐城市同洲工程咨询有限公司</w:t>
      </w:r>
      <w:r>
        <w:rPr>
          <w:rFonts w:hint="eastAsia" w:asciiTheme="minorEastAsia" w:hAnsiTheme="minorEastAsia" w:eastAsiaTheme="minorEastAsia" w:cstheme="minorEastAsia"/>
          <w:b/>
          <w:color w:val="auto"/>
          <w:spacing w:val="-20"/>
          <w:sz w:val="32"/>
          <w:szCs w:val="32"/>
        </w:rPr>
        <w:t>（盖章）</w:t>
      </w:r>
    </w:p>
    <w:p>
      <w:pPr>
        <w:spacing w:line="480" w:lineRule="auto"/>
        <w:ind w:firstLine="548" w:firstLineChars="196"/>
        <w:rPr>
          <w:rFonts w:asciiTheme="minorEastAsia" w:hAnsiTheme="minorEastAsia" w:eastAsiaTheme="minorEastAsia" w:cstheme="minorEastAsia"/>
          <w:color w:val="auto"/>
          <w:sz w:val="28"/>
          <w:szCs w:val="28"/>
        </w:rPr>
      </w:pPr>
    </w:p>
    <w:p>
      <w:pPr>
        <w:spacing w:line="480" w:lineRule="auto"/>
        <w:ind w:firstLine="640" w:firstLineChars="200"/>
        <w:rPr>
          <w:rFonts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color w:val="auto"/>
          <w:sz w:val="32"/>
          <w:szCs w:val="32"/>
        </w:rPr>
        <w:t>日    期  ：      二〇二〇年六月</w:t>
      </w:r>
    </w:p>
    <w:p>
      <w:pPr>
        <w:jc w:val="center"/>
        <w:rPr>
          <w:rFonts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br w:type="page"/>
      </w:r>
      <w:r>
        <w:rPr>
          <w:rFonts w:hint="eastAsia" w:asciiTheme="minorEastAsia" w:hAnsiTheme="minorEastAsia" w:eastAsiaTheme="minorEastAsia" w:cstheme="minorEastAsia"/>
          <w:b/>
          <w:bCs/>
          <w:color w:val="auto"/>
          <w:sz w:val="32"/>
          <w:szCs w:val="32"/>
        </w:rPr>
        <w:t>招标文件备案表</w:t>
      </w:r>
    </w:p>
    <w:p>
      <w:pPr>
        <w:jc w:val="center"/>
        <w:rPr>
          <w:rFonts w:asciiTheme="minorEastAsia" w:hAnsiTheme="minorEastAsia" w:eastAsiaTheme="minorEastAsia" w:cstheme="minorEastAsia"/>
          <w:b/>
          <w:color w:val="auto"/>
          <w:sz w:val="36"/>
          <w:szCs w:val="36"/>
        </w:rPr>
      </w:pPr>
    </w:p>
    <w:tbl>
      <w:tblPr>
        <w:tblStyle w:val="43"/>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招标人名称</w:t>
            </w:r>
          </w:p>
        </w:tc>
        <w:tc>
          <w:tcPr>
            <w:tcW w:w="6212" w:type="dxa"/>
            <w:vAlign w:val="center"/>
          </w:tcPr>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盐城市大丰区职业技术教育中心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招标代理机构名称</w:t>
            </w:r>
          </w:p>
        </w:tc>
        <w:tc>
          <w:tcPr>
            <w:tcW w:w="6212" w:type="dxa"/>
            <w:vAlign w:val="center"/>
          </w:tcPr>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盐城市同洲工程咨询有限公司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招标内容</w:t>
            </w:r>
          </w:p>
        </w:tc>
        <w:tc>
          <w:tcPr>
            <w:tcW w:w="6212" w:type="dxa"/>
            <w:vAlign w:val="center"/>
          </w:tcPr>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盐城市大丰区职业技术教育中心2020年智慧校园运维和安全管理、智慧教室和移动录播设备建设项目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标段编号</w:t>
            </w:r>
          </w:p>
        </w:tc>
        <w:tc>
          <w:tcPr>
            <w:tcW w:w="6212" w:type="dxa"/>
            <w:vAlign w:val="center"/>
          </w:tcPr>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DFCG20200220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1" w:hRule="atLeast"/>
          <w:jc w:val="center"/>
        </w:trPr>
        <w:tc>
          <w:tcPr>
            <w:tcW w:w="9534" w:type="dxa"/>
            <w:gridSpan w:val="2"/>
          </w:tcPr>
          <w:p>
            <w:pPr>
              <w:spacing w:line="640" w:lineRule="exact"/>
              <w:rPr>
                <w:rFonts w:asciiTheme="minorEastAsia" w:hAnsiTheme="minorEastAsia" w:eastAsiaTheme="minorEastAsia" w:cstheme="minorEastAsia"/>
                <w:color w:val="auto"/>
                <w:sz w:val="24"/>
              </w:rPr>
            </w:pPr>
          </w:p>
          <w:p>
            <w:pPr>
              <w:spacing w:line="640" w:lineRule="exact"/>
              <w:ind w:firstLine="55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此文件审查工作已结束，于2020年7月</w:t>
            </w:r>
            <w:r>
              <w:rPr>
                <w:rFonts w:hint="eastAsia" w:asciiTheme="minorEastAsia" w:hAnsiTheme="minorEastAsia" w:eastAsiaTheme="minorEastAsia" w:cstheme="minorEastAsia"/>
                <w:color w:val="auto"/>
                <w:sz w:val="24"/>
                <w:lang w:val="en-US" w:eastAsia="zh-CN"/>
              </w:rPr>
              <w:t>15</w:t>
            </w:r>
            <w:r>
              <w:rPr>
                <w:rFonts w:hint="eastAsia" w:asciiTheme="minorEastAsia" w:hAnsiTheme="minorEastAsia" w:eastAsiaTheme="minorEastAsia" w:cstheme="minorEastAsia"/>
                <w:color w:val="auto"/>
                <w:sz w:val="24"/>
              </w:rPr>
              <w:t xml:space="preserve"> 日备案，共页，附件有：</w:t>
            </w:r>
          </w:p>
          <w:p>
            <w:pPr>
              <w:spacing w:line="640" w:lineRule="exact"/>
              <w:ind w:firstLine="55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1、招标采购计划申报表；</w:t>
            </w:r>
          </w:p>
          <w:p>
            <w:pPr>
              <w:spacing w:line="640" w:lineRule="exact"/>
              <w:ind w:firstLine="55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2、采购通知单；</w:t>
            </w:r>
          </w:p>
          <w:p>
            <w:pPr>
              <w:spacing w:line="640" w:lineRule="exact"/>
              <w:ind w:firstLine="55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3、预算指标追加单；</w:t>
            </w:r>
          </w:p>
          <w:p>
            <w:pPr>
              <w:spacing w:line="640" w:lineRule="exact"/>
              <w:ind w:firstLine="55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4、招标代理服务合同。</w:t>
            </w:r>
          </w:p>
          <w:p>
            <w:pPr>
              <w:spacing w:line="640" w:lineRule="exact"/>
              <w:ind w:firstLine="555"/>
              <w:rPr>
                <w:rFonts w:asciiTheme="minorEastAsia" w:hAnsiTheme="minorEastAsia" w:eastAsiaTheme="minorEastAsia" w:cstheme="minorEastAsia"/>
                <w:color w:val="auto"/>
                <w:sz w:val="24"/>
              </w:rPr>
            </w:pPr>
          </w:p>
          <w:p>
            <w:pPr>
              <w:spacing w:line="640" w:lineRule="exact"/>
              <w:ind w:firstLine="555"/>
              <w:rPr>
                <w:rFonts w:asciiTheme="minorEastAsia" w:hAnsiTheme="minorEastAsia" w:eastAsiaTheme="minorEastAsia" w:cstheme="minorEastAsia"/>
                <w:color w:val="auto"/>
                <w:sz w:val="24"/>
              </w:rPr>
            </w:pPr>
          </w:p>
          <w:p>
            <w:pPr>
              <w:spacing w:line="640" w:lineRule="exact"/>
              <w:ind w:firstLine="555"/>
              <w:rPr>
                <w:rFonts w:asciiTheme="minorEastAsia" w:hAnsiTheme="minorEastAsia" w:eastAsiaTheme="minorEastAsia" w:cstheme="minorEastAsia"/>
                <w:color w:val="auto"/>
                <w:sz w:val="24"/>
              </w:rPr>
            </w:pPr>
          </w:p>
          <w:p>
            <w:pPr>
              <w:spacing w:line="640" w:lineRule="exact"/>
              <w:ind w:firstLine="555"/>
              <w:rPr>
                <w:rFonts w:asciiTheme="minorEastAsia" w:hAnsiTheme="minorEastAsia" w:eastAsiaTheme="minorEastAsia" w:cstheme="minorEastAsia"/>
                <w:color w:val="auto"/>
                <w:sz w:val="24"/>
              </w:rPr>
            </w:pPr>
          </w:p>
          <w:p>
            <w:pPr>
              <w:spacing w:line="640" w:lineRule="exact"/>
              <w:rPr>
                <w:rFonts w:asciiTheme="minorEastAsia" w:hAnsiTheme="minorEastAsia" w:eastAsiaTheme="minorEastAsia" w:cstheme="minorEastAsia"/>
                <w:color w:val="auto"/>
                <w:sz w:val="24"/>
              </w:rPr>
            </w:pPr>
          </w:p>
          <w:p>
            <w:pPr>
              <w:spacing w:line="420" w:lineRule="exact"/>
              <w:ind w:firstLine="556"/>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招标管理部门（盖章）</w:t>
            </w:r>
          </w:p>
          <w:p>
            <w:pPr>
              <w:spacing w:line="640" w:lineRule="exact"/>
              <w:rPr>
                <w:rFonts w:asciiTheme="minorEastAsia" w:hAnsiTheme="minorEastAsia" w:eastAsiaTheme="minorEastAsia" w:cstheme="minorEastAsia"/>
                <w:color w:val="auto"/>
                <w:sz w:val="24"/>
              </w:rPr>
            </w:pPr>
          </w:p>
        </w:tc>
      </w:tr>
    </w:tbl>
    <w:p>
      <w:pPr>
        <w:rPr>
          <w:rFonts w:asciiTheme="minorEastAsia" w:hAnsiTheme="minorEastAsia" w:eastAsiaTheme="minorEastAsia" w:cstheme="minorEastAsia"/>
          <w:color w:val="auto"/>
          <w:sz w:val="28"/>
          <w:szCs w:val="28"/>
        </w:rPr>
        <w:sectPr>
          <w:headerReference r:id="rId3" w:type="default"/>
          <w:footerReference r:id="rId4" w:type="default"/>
          <w:footerReference r:id="rId5" w:type="even"/>
          <w:pgSz w:w="11906" w:h="16838"/>
          <w:pgMar w:top="1247" w:right="1418" w:bottom="1134" w:left="1701" w:header="851" w:footer="992" w:gutter="0"/>
          <w:cols w:space="720" w:num="1"/>
          <w:docGrid w:type="linesAndChars" w:linePitch="312" w:charSpace="0"/>
        </w:sectPr>
      </w:pPr>
    </w:p>
    <w:p>
      <w:pPr>
        <w:spacing w:afterLines="100" w:line="360" w:lineRule="auto"/>
        <w:jc w:val="center"/>
        <w:rPr>
          <w:rFonts w:asciiTheme="minorEastAsia" w:hAnsiTheme="minorEastAsia" w:eastAsiaTheme="minorEastAsia" w:cstheme="minorEastAsia"/>
          <w:color w:val="auto"/>
          <w:sz w:val="48"/>
          <w:szCs w:val="48"/>
        </w:rPr>
      </w:pPr>
      <w:bookmarkStart w:id="3" w:name="_Toc387526166"/>
      <w:r>
        <w:rPr>
          <w:rFonts w:hint="eastAsia" w:asciiTheme="minorEastAsia" w:hAnsiTheme="minorEastAsia" w:eastAsiaTheme="minorEastAsia" w:cstheme="minorEastAsia"/>
          <w:color w:val="auto"/>
          <w:sz w:val="48"/>
          <w:szCs w:val="48"/>
        </w:rPr>
        <w:t>目  录</w:t>
      </w:r>
    </w:p>
    <w:p>
      <w:pPr>
        <w:pStyle w:val="28"/>
        <w:tabs>
          <w:tab w:val="right" w:leader="dot" w:pos="8777"/>
        </w:tabs>
        <w:rPr>
          <w:rFonts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TOC \o "1-3" \h \z \u </w:instrText>
      </w:r>
      <w:r>
        <w:rPr>
          <w:rFonts w:hint="eastAsia" w:asciiTheme="minorEastAsia" w:hAnsiTheme="minorEastAsia" w:eastAsiaTheme="minorEastAsia" w:cstheme="minorEastAsia"/>
          <w:color w:val="auto"/>
        </w:rPr>
        <w:fldChar w:fldCharType="separate"/>
      </w:r>
      <w:r>
        <w:rPr>
          <w:color w:val="auto"/>
        </w:rPr>
        <w:fldChar w:fldCharType="begin"/>
      </w:r>
      <w:r>
        <w:rPr>
          <w:color w:val="auto"/>
        </w:rPr>
        <w:instrText xml:space="preserve"> HYPERLINK \l "_Toc29388400" </w:instrText>
      </w:r>
      <w:r>
        <w:rPr>
          <w:color w:val="auto"/>
        </w:rPr>
        <w:fldChar w:fldCharType="separate"/>
      </w:r>
      <w:r>
        <w:rPr>
          <w:rStyle w:val="50"/>
          <w:rFonts w:hint="eastAsia" w:asciiTheme="minorEastAsia" w:hAnsiTheme="minorEastAsia" w:eastAsiaTheme="minorEastAsia" w:cstheme="minorEastAsia"/>
          <w:color w:val="auto"/>
        </w:rPr>
        <w:t>第一章招标公告</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"_Toc29388401" </w:instrText>
      </w:r>
      <w:r>
        <w:rPr>
          <w:color w:val="auto"/>
        </w:rPr>
        <w:fldChar w:fldCharType="separate"/>
      </w:r>
      <w:r>
        <w:rPr>
          <w:rStyle w:val="50"/>
          <w:rFonts w:hint="eastAsia" w:asciiTheme="minorEastAsia" w:hAnsiTheme="minorEastAsia" w:eastAsiaTheme="minorEastAsia" w:cstheme="minorEastAsia"/>
          <w:color w:val="auto"/>
        </w:rPr>
        <w:t>第二章投标人须知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"_Toc29388402" </w:instrText>
      </w:r>
      <w:r>
        <w:rPr>
          <w:color w:val="auto"/>
        </w:rPr>
        <w:fldChar w:fldCharType="separate"/>
      </w:r>
      <w:r>
        <w:rPr>
          <w:rStyle w:val="50"/>
          <w:rFonts w:hint="eastAsia" w:asciiTheme="minorEastAsia" w:hAnsiTheme="minorEastAsia" w:eastAsiaTheme="minorEastAsia" w:cstheme="minorEastAsia"/>
          <w:color w:val="auto"/>
        </w:rPr>
        <w:t>1. 投标人须知前附表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"_Toc29388403" </w:instrText>
      </w:r>
      <w:r>
        <w:rPr>
          <w:color w:val="auto"/>
        </w:rPr>
        <w:fldChar w:fldCharType="separate"/>
      </w:r>
      <w:r>
        <w:rPr>
          <w:rStyle w:val="50"/>
          <w:rFonts w:hint="eastAsia" w:asciiTheme="minorEastAsia" w:hAnsiTheme="minorEastAsia" w:eastAsiaTheme="minorEastAsia" w:cstheme="minorEastAsia"/>
          <w:color w:val="auto"/>
        </w:rPr>
        <w:t>1.1 项目概况</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"_Toc29388404" </w:instrText>
      </w:r>
      <w:r>
        <w:rPr>
          <w:color w:val="auto"/>
        </w:rPr>
        <w:fldChar w:fldCharType="separate"/>
      </w:r>
      <w:r>
        <w:rPr>
          <w:rStyle w:val="50"/>
          <w:rFonts w:hint="eastAsia" w:asciiTheme="minorEastAsia" w:hAnsiTheme="minorEastAsia" w:eastAsiaTheme="minorEastAsia" w:cstheme="minorEastAsia"/>
          <w:color w:val="auto"/>
        </w:rPr>
        <w:t>1.2 资金来源和落实情况</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"_Toc29388405" </w:instrText>
      </w:r>
      <w:r>
        <w:rPr>
          <w:color w:val="auto"/>
        </w:rPr>
        <w:fldChar w:fldCharType="separate"/>
      </w:r>
      <w:r>
        <w:rPr>
          <w:rStyle w:val="50"/>
          <w:rFonts w:hint="eastAsia" w:asciiTheme="minorEastAsia" w:hAnsiTheme="minorEastAsia" w:eastAsiaTheme="minorEastAsia" w:cstheme="minorEastAsia"/>
          <w:color w:val="auto"/>
        </w:rPr>
        <w:t>1.3招标范围、交货期或工期和质量要求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"_Toc29388406" </w:instrText>
      </w:r>
      <w:r>
        <w:rPr>
          <w:color w:val="auto"/>
        </w:rPr>
        <w:fldChar w:fldCharType="separate"/>
      </w:r>
      <w:r>
        <w:rPr>
          <w:rStyle w:val="50"/>
          <w:rFonts w:hint="eastAsia" w:asciiTheme="minorEastAsia" w:hAnsiTheme="minorEastAsia" w:eastAsiaTheme="minorEastAsia" w:cstheme="minorEastAsia"/>
          <w:color w:val="auto"/>
        </w:rPr>
        <w:t>1.4 投标人资格要求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"_Toc29388407" </w:instrText>
      </w:r>
      <w:r>
        <w:rPr>
          <w:color w:val="auto"/>
        </w:rPr>
        <w:fldChar w:fldCharType="separate"/>
      </w:r>
      <w:r>
        <w:rPr>
          <w:rStyle w:val="50"/>
          <w:rFonts w:hint="eastAsia" w:asciiTheme="minorEastAsia" w:hAnsiTheme="minorEastAsia" w:eastAsiaTheme="minorEastAsia" w:cstheme="minorEastAsia"/>
          <w:color w:val="auto"/>
        </w:rPr>
        <w:t>1.5 费用承担</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"_Toc29388408" </w:instrText>
      </w:r>
      <w:r>
        <w:rPr>
          <w:color w:val="auto"/>
        </w:rPr>
        <w:fldChar w:fldCharType="separate"/>
      </w:r>
      <w:r>
        <w:rPr>
          <w:rStyle w:val="50"/>
          <w:rFonts w:hint="eastAsia" w:asciiTheme="minorEastAsia" w:hAnsiTheme="minorEastAsia" w:eastAsiaTheme="minorEastAsia" w:cstheme="minorEastAsia"/>
          <w:color w:val="auto"/>
        </w:rPr>
        <w:t>1.6 保密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"_Toc29388409" </w:instrText>
      </w:r>
      <w:r>
        <w:rPr>
          <w:color w:val="auto"/>
        </w:rPr>
        <w:fldChar w:fldCharType="separate"/>
      </w:r>
      <w:r>
        <w:rPr>
          <w:rStyle w:val="50"/>
          <w:rFonts w:hint="eastAsia" w:asciiTheme="minorEastAsia" w:hAnsiTheme="minorEastAsia" w:eastAsiaTheme="minorEastAsia" w:cstheme="minorEastAsia"/>
          <w:color w:val="auto"/>
        </w:rPr>
        <w:t>1.7 语言文字</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_Toc29388409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"_Toc29388410" </w:instrText>
      </w:r>
      <w:r>
        <w:rPr>
          <w:color w:val="auto"/>
        </w:rPr>
        <w:fldChar w:fldCharType="separate"/>
      </w:r>
      <w:r>
        <w:rPr>
          <w:rStyle w:val="50"/>
          <w:rFonts w:hint="eastAsia" w:asciiTheme="minorEastAsia" w:hAnsiTheme="minorEastAsia" w:eastAsiaTheme="minorEastAsia" w:cstheme="minorEastAsia"/>
          <w:color w:val="auto"/>
        </w:rPr>
        <w:t>1.8 计量单位</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"_Toc29388411" </w:instrText>
      </w:r>
      <w:r>
        <w:rPr>
          <w:color w:val="auto"/>
        </w:rPr>
        <w:fldChar w:fldCharType="separate"/>
      </w:r>
      <w:r>
        <w:rPr>
          <w:rStyle w:val="50"/>
          <w:rFonts w:hint="eastAsia" w:asciiTheme="minorEastAsia" w:hAnsiTheme="minorEastAsia" w:eastAsiaTheme="minorEastAsia" w:cstheme="minorEastAsia"/>
          <w:color w:val="auto"/>
        </w:rPr>
        <w:t>1.9 踏勘现场</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"_Toc29388412" </w:instrText>
      </w:r>
      <w:r>
        <w:rPr>
          <w:color w:val="auto"/>
        </w:rPr>
        <w:fldChar w:fldCharType="separate"/>
      </w:r>
      <w:r>
        <w:rPr>
          <w:rStyle w:val="50"/>
          <w:rFonts w:hint="eastAsia" w:asciiTheme="minorEastAsia" w:hAnsiTheme="minorEastAsia" w:eastAsiaTheme="minorEastAsia" w:cstheme="minorEastAsia"/>
          <w:color w:val="auto"/>
        </w:rPr>
        <w:t>1.10 投标预备会</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"_Toc29388413" </w:instrText>
      </w:r>
      <w:r>
        <w:rPr>
          <w:color w:val="auto"/>
        </w:rPr>
        <w:fldChar w:fldCharType="separate"/>
      </w:r>
      <w:r>
        <w:rPr>
          <w:rStyle w:val="50"/>
          <w:rFonts w:hint="eastAsia" w:asciiTheme="minorEastAsia" w:hAnsiTheme="minorEastAsia" w:eastAsiaTheme="minorEastAsia" w:cstheme="minorEastAsia"/>
          <w:color w:val="auto"/>
        </w:rPr>
        <w:t>1.11 偏离</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"_Toc29388414" </w:instrText>
      </w:r>
      <w:r>
        <w:rPr>
          <w:color w:val="auto"/>
        </w:rPr>
        <w:fldChar w:fldCharType="separate"/>
      </w:r>
      <w:r>
        <w:rPr>
          <w:rStyle w:val="50"/>
          <w:rFonts w:hint="eastAsia" w:asciiTheme="minorEastAsia" w:hAnsiTheme="minorEastAsia" w:eastAsiaTheme="minorEastAsia" w:cstheme="minorEastAsia"/>
          <w:color w:val="auto"/>
        </w:rPr>
        <w:t>2.招标文件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"_Toc29388415" </w:instrText>
      </w:r>
      <w:r>
        <w:rPr>
          <w:color w:val="auto"/>
        </w:rPr>
        <w:fldChar w:fldCharType="separate"/>
      </w:r>
      <w:r>
        <w:rPr>
          <w:rStyle w:val="50"/>
          <w:rFonts w:hint="eastAsia" w:asciiTheme="minorEastAsia" w:hAnsiTheme="minorEastAsia" w:eastAsiaTheme="minorEastAsia" w:cstheme="minorEastAsia"/>
          <w:color w:val="auto"/>
        </w:rPr>
        <w:t>2.1招标文件组成</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"_Toc29388416" </w:instrText>
      </w:r>
      <w:r>
        <w:rPr>
          <w:color w:val="auto"/>
        </w:rPr>
        <w:fldChar w:fldCharType="separate"/>
      </w:r>
      <w:r>
        <w:rPr>
          <w:rStyle w:val="50"/>
          <w:rFonts w:hint="eastAsia" w:asciiTheme="minorEastAsia" w:hAnsiTheme="minorEastAsia" w:eastAsiaTheme="minorEastAsia" w:cstheme="minorEastAsia"/>
          <w:color w:val="auto"/>
        </w:rPr>
        <w:t>2.2 招标文件的澄清</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"_Toc29388417" </w:instrText>
      </w:r>
      <w:r>
        <w:rPr>
          <w:color w:val="auto"/>
        </w:rPr>
        <w:fldChar w:fldCharType="separate"/>
      </w:r>
      <w:r>
        <w:rPr>
          <w:rStyle w:val="50"/>
          <w:rFonts w:hint="eastAsia" w:asciiTheme="minorEastAsia" w:hAnsiTheme="minorEastAsia" w:eastAsiaTheme="minorEastAsia" w:cstheme="minorEastAsia"/>
          <w:color w:val="auto"/>
        </w:rPr>
        <w:t>2.3 招标文件的修改</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"_Toc29388418" </w:instrText>
      </w:r>
      <w:r>
        <w:rPr>
          <w:color w:val="auto"/>
        </w:rPr>
        <w:fldChar w:fldCharType="separate"/>
      </w:r>
      <w:r>
        <w:rPr>
          <w:rStyle w:val="50"/>
          <w:rFonts w:hint="eastAsia" w:asciiTheme="minorEastAsia" w:hAnsiTheme="minorEastAsia" w:eastAsiaTheme="minorEastAsia" w:cstheme="minorEastAsia"/>
          <w:color w:val="auto"/>
        </w:rPr>
        <w:t>3.投标文件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"_Toc29388419" </w:instrText>
      </w:r>
      <w:r>
        <w:rPr>
          <w:color w:val="auto"/>
        </w:rPr>
        <w:fldChar w:fldCharType="separate"/>
      </w:r>
      <w:r>
        <w:rPr>
          <w:rStyle w:val="50"/>
          <w:rFonts w:hint="eastAsia" w:asciiTheme="minorEastAsia" w:hAnsiTheme="minorEastAsia" w:eastAsiaTheme="minorEastAsia" w:cstheme="minorEastAsia"/>
          <w:color w:val="auto"/>
        </w:rPr>
        <w:t>3.1 投标文件的组成</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_Toc29388419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"_Toc29388420" </w:instrText>
      </w:r>
      <w:r>
        <w:rPr>
          <w:color w:val="auto"/>
        </w:rPr>
        <w:fldChar w:fldCharType="separate"/>
      </w:r>
      <w:r>
        <w:rPr>
          <w:rStyle w:val="50"/>
          <w:rFonts w:hint="eastAsia" w:asciiTheme="minorEastAsia" w:hAnsiTheme="minorEastAsia" w:eastAsiaTheme="minorEastAsia" w:cstheme="minorEastAsia"/>
          <w:color w:val="auto"/>
        </w:rPr>
        <w:t>3.2 投标报价</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"_Toc29388421" </w:instrText>
      </w:r>
      <w:r>
        <w:rPr>
          <w:color w:val="auto"/>
        </w:rPr>
        <w:fldChar w:fldCharType="separate"/>
      </w:r>
      <w:r>
        <w:rPr>
          <w:rStyle w:val="50"/>
          <w:rFonts w:hint="eastAsia" w:asciiTheme="minorEastAsia" w:hAnsiTheme="minorEastAsia" w:eastAsiaTheme="minorEastAsia" w:cstheme="minorEastAsia"/>
          <w:color w:val="auto"/>
        </w:rPr>
        <w:t>3.3 投标有效期</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"_Toc29388422" </w:instrText>
      </w:r>
      <w:r>
        <w:rPr>
          <w:color w:val="auto"/>
        </w:rPr>
        <w:fldChar w:fldCharType="separate"/>
      </w:r>
      <w:r>
        <w:rPr>
          <w:rStyle w:val="50"/>
          <w:rFonts w:hint="eastAsia" w:asciiTheme="minorEastAsia" w:hAnsiTheme="minorEastAsia" w:eastAsiaTheme="minorEastAsia" w:cstheme="minorEastAsia"/>
          <w:color w:val="auto"/>
        </w:rPr>
        <w:t>3.4投标保证金</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"_Toc29388423" </w:instrText>
      </w:r>
      <w:r>
        <w:rPr>
          <w:color w:val="auto"/>
        </w:rPr>
        <w:fldChar w:fldCharType="separate"/>
      </w:r>
      <w:r>
        <w:rPr>
          <w:rStyle w:val="50"/>
          <w:rFonts w:hint="eastAsia" w:asciiTheme="minorEastAsia" w:hAnsiTheme="minorEastAsia" w:eastAsiaTheme="minorEastAsia" w:cstheme="minorEastAsia"/>
          <w:bCs/>
          <w:color w:val="auto"/>
        </w:rPr>
        <w:t>3.5 资格审查资料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"_Toc29388424" </w:instrText>
      </w:r>
      <w:r>
        <w:rPr>
          <w:color w:val="auto"/>
        </w:rPr>
        <w:fldChar w:fldCharType="separate"/>
      </w:r>
      <w:r>
        <w:rPr>
          <w:rStyle w:val="50"/>
          <w:rFonts w:hint="eastAsia" w:asciiTheme="minorEastAsia" w:hAnsiTheme="minorEastAsia" w:eastAsiaTheme="minorEastAsia" w:cstheme="minorEastAsia"/>
          <w:color w:val="auto"/>
        </w:rPr>
        <w:t>3.6 备选投标方案</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"_Toc29388425" </w:instrText>
      </w:r>
      <w:r>
        <w:rPr>
          <w:color w:val="auto"/>
        </w:rPr>
        <w:fldChar w:fldCharType="separate"/>
      </w:r>
      <w:r>
        <w:rPr>
          <w:rStyle w:val="50"/>
          <w:rFonts w:hint="eastAsia" w:asciiTheme="minorEastAsia" w:hAnsiTheme="minorEastAsia" w:eastAsiaTheme="minorEastAsia" w:cstheme="minorEastAsia"/>
          <w:color w:val="auto"/>
        </w:rPr>
        <w:t>3.7 投标文件的编制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"_Toc29388426" </w:instrText>
      </w:r>
      <w:r>
        <w:rPr>
          <w:color w:val="auto"/>
        </w:rPr>
        <w:fldChar w:fldCharType="separate"/>
      </w:r>
      <w:r>
        <w:rPr>
          <w:rStyle w:val="50"/>
          <w:rFonts w:hint="eastAsia" w:asciiTheme="minorEastAsia" w:hAnsiTheme="minorEastAsia" w:eastAsiaTheme="minorEastAsia" w:cstheme="minorEastAsia"/>
          <w:color w:val="auto"/>
        </w:rPr>
        <w:t>4.投标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"_Toc29388427" </w:instrText>
      </w:r>
      <w:r>
        <w:rPr>
          <w:color w:val="auto"/>
        </w:rPr>
        <w:fldChar w:fldCharType="separate"/>
      </w:r>
      <w:r>
        <w:rPr>
          <w:rStyle w:val="50"/>
          <w:rFonts w:hint="eastAsia" w:asciiTheme="minorEastAsia" w:hAnsiTheme="minorEastAsia" w:eastAsiaTheme="minorEastAsia" w:cstheme="minorEastAsia"/>
          <w:color w:val="auto"/>
        </w:rPr>
        <w:t>4.1 投标文件的密封和标记</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"_Toc29388428" </w:instrText>
      </w:r>
      <w:r>
        <w:rPr>
          <w:color w:val="auto"/>
        </w:rPr>
        <w:fldChar w:fldCharType="separate"/>
      </w:r>
      <w:r>
        <w:rPr>
          <w:rStyle w:val="50"/>
          <w:rFonts w:hint="eastAsia" w:asciiTheme="minorEastAsia" w:hAnsiTheme="minorEastAsia" w:eastAsiaTheme="minorEastAsia" w:cstheme="minorEastAsia"/>
          <w:color w:val="auto"/>
        </w:rPr>
        <w:t>4.2 投标文件的递交</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"_Toc29388429" </w:instrText>
      </w:r>
      <w:r>
        <w:rPr>
          <w:color w:val="auto"/>
        </w:rPr>
        <w:fldChar w:fldCharType="separate"/>
      </w:r>
      <w:r>
        <w:rPr>
          <w:rStyle w:val="50"/>
          <w:rFonts w:hint="eastAsia" w:asciiTheme="minorEastAsia" w:hAnsiTheme="minorEastAsia" w:eastAsiaTheme="minorEastAsia" w:cstheme="minorEastAsia"/>
          <w:color w:val="auto"/>
        </w:rPr>
        <w:t>4.3 投标文件的修改与撤回</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_Toc29388429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"_Toc29388430" </w:instrText>
      </w:r>
      <w:r>
        <w:rPr>
          <w:color w:val="auto"/>
        </w:rPr>
        <w:fldChar w:fldCharType="separate"/>
      </w:r>
      <w:r>
        <w:rPr>
          <w:rStyle w:val="50"/>
          <w:rFonts w:hint="eastAsia" w:asciiTheme="minorEastAsia" w:hAnsiTheme="minorEastAsia" w:eastAsiaTheme="minorEastAsia" w:cstheme="minorEastAsia"/>
          <w:color w:val="auto"/>
        </w:rPr>
        <w:t>4.4 不予接收的投标文件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"_Toc29388431" </w:instrText>
      </w:r>
      <w:r>
        <w:rPr>
          <w:color w:val="auto"/>
        </w:rPr>
        <w:fldChar w:fldCharType="separate"/>
      </w:r>
      <w:r>
        <w:rPr>
          <w:rStyle w:val="50"/>
          <w:rFonts w:hint="eastAsia" w:asciiTheme="minorEastAsia" w:hAnsiTheme="minorEastAsia" w:eastAsiaTheme="minorEastAsia" w:cstheme="minorEastAsia"/>
          <w:color w:val="auto"/>
        </w:rPr>
        <w:t>5.开标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"_Toc29388432" </w:instrText>
      </w:r>
      <w:r>
        <w:rPr>
          <w:color w:val="auto"/>
        </w:rPr>
        <w:fldChar w:fldCharType="separate"/>
      </w:r>
      <w:r>
        <w:rPr>
          <w:rStyle w:val="50"/>
          <w:rFonts w:hint="eastAsia" w:asciiTheme="minorEastAsia" w:hAnsiTheme="minorEastAsia" w:eastAsiaTheme="minorEastAsia" w:cstheme="minorEastAsia"/>
          <w:color w:val="auto"/>
        </w:rPr>
        <w:t>5.1 开标时间和地点</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"_Toc29388433" </w:instrText>
      </w:r>
      <w:r>
        <w:rPr>
          <w:color w:val="auto"/>
        </w:rPr>
        <w:fldChar w:fldCharType="separate"/>
      </w:r>
      <w:r>
        <w:rPr>
          <w:rStyle w:val="50"/>
          <w:rFonts w:hint="eastAsia" w:asciiTheme="minorEastAsia" w:hAnsiTheme="minorEastAsia" w:eastAsiaTheme="minorEastAsia" w:cstheme="minorEastAsia"/>
          <w:color w:val="auto"/>
        </w:rPr>
        <w:t>5.2 开标程序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"_Toc29388434" </w:instrText>
      </w:r>
      <w:r>
        <w:rPr>
          <w:color w:val="auto"/>
        </w:rPr>
        <w:fldChar w:fldCharType="separate"/>
      </w:r>
      <w:r>
        <w:rPr>
          <w:rStyle w:val="50"/>
          <w:rFonts w:hint="eastAsia" w:asciiTheme="minorEastAsia" w:hAnsiTheme="minorEastAsia" w:eastAsiaTheme="minorEastAsia" w:cstheme="minorEastAsia"/>
          <w:color w:val="auto"/>
        </w:rPr>
        <w:t>6.评标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"_Toc29388435" </w:instrText>
      </w:r>
      <w:r>
        <w:rPr>
          <w:color w:val="auto"/>
        </w:rPr>
        <w:fldChar w:fldCharType="separate"/>
      </w:r>
      <w:r>
        <w:rPr>
          <w:rStyle w:val="50"/>
          <w:rFonts w:hint="eastAsia" w:asciiTheme="minorEastAsia" w:hAnsiTheme="minorEastAsia" w:eastAsiaTheme="minorEastAsia" w:cstheme="minorEastAsia"/>
          <w:color w:val="auto"/>
        </w:rPr>
        <w:t>6.1 评标委员会</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"_Toc29388436" </w:instrText>
      </w:r>
      <w:r>
        <w:rPr>
          <w:color w:val="auto"/>
        </w:rPr>
        <w:fldChar w:fldCharType="separate"/>
      </w:r>
      <w:r>
        <w:rPr>
          <w:rStyle w:val="50"/>
          <w:rFonts w:hint="eastAsia" w:asciiTheme="minorEastAsia" w:hAnsiTheme="minorEastAsia" w:eastAsiaTheme="minorEastAsia" w:cstheme="minorEastAsia"/>
          <w:color w:val="auto"/>
        </w:rPr>
        <w:t>6.2评标原则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"_Toc29388437" </w:instrText>
      </w:r>
      <w:r>
        <w:rPr>
          <w:color w:val="auto"/>
        </w:rPr>
        <w:fldChar w:fldCharType="separate"/>
      </w:r>
      <w:r>
        <w:rPr>
          <w:rStyle w:val="50"/>
          <w:rFonts w:hint="eastAsia" w:asciiTheme="minorEastAsia" w:hAnsiTheme="minorEastAsia" w:eastAsiaTheme="minorEastAsia" w:cstheme="minorEastAsia"/>
          <w:color w:val="auto"/>
        </w:rPr>
        <w:t>6.3 评标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"_Toc29388438" </w:instrText>
      </w:r>
      <w:r>
        <w:rPr>
          <w:color w:val="auto"/>
        </w:rPr>
        <w:fldChar w:fldCharType="separate"/>
      </w:r>
      <w:r>
        <w:rPr>
          <w:rStyle w:val="50"/>
          <w:rFonts w:hint="eastAsia" w:asciiTheme="minorEastAsia" w:hAnsiTheme="minorEastAsia" w:eastAsiaTheme="minorEastAsia" w:cstheme="minorEastAsia"/>
          <w:color w:val="auto"/>
        </w:rPr>
        <w:t>6.4 多个标段推荐中标候选人顺序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"_Toc29388439" </w:instrText>
      </w:r>
      <w:r>
        <w:rPr>
          <w:color w:val="auto"/>
        </w:rPr>
        <w:fldChar w:fldCharType="separate"/>
      </w:r>
      <w:r>
        <w:rPr>
          <w:rStyle w:val="50"/>
          <w:rFonts w:hint="eastAsia" w:asciiTheme="minorEastAsia" w:hAnsiTheme="minorEastAsia" w:eastAsiaTheme="minorEastAsia" w:cstheme="minorEastAsia"/>
          <w:color w:val="auto"/>
        </w:rPr>
        <w:t>6.5无效标书条款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_Toc29388439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"_Toc29388440" </w:instrText>
      </w:r>
      <w:r>
        <w:rPr>
          <w:color w:val="auto"/>
        </w:rPr>
        <w:fldChar w:fldCharType="separate"/>
      </w:r>
      <w:r>
        <w:rPr>
          <w:rStyle w:val="50"/>
          <w:rFonts w:hint="eastAsia" w:asciiTheme="minorEastAsia" w:hAnsiTheme="minorEastAsia" w:eastAsiaTheme="minorEastAsia" w:cstheme="minorEastAsia"/>
          <w:color w:val="auto"/>
        </w:rPr>
        <w:t>6.6重新招标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"_Toc29388441" </w:instrText>
      </w:r>
      <w:r>
        <w:rPr>
          <w:color w:val="auto"/>
        </w:rPr>
        <w:fldChar w:fldCharType="separate"/>
      </w:r>
      <w:r>
        <w:rPr>
          <w:rStyle w:val="50"/>
          <w:rFonts w:hint="eastAsia" w:asciiTheme="minorEastAsia" w:hAnsiTheme="minorEastAsia" w:eastAsiaTheme="minorEastAsia" w:cstheme="minorEastAsia"/>
          <w:color w:val="auto"/>
        </w:rPr>
        <w:t>7. 评标结果公示</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"_Toc29388442" </w:instrText>
      </w:r>
      <w:r>
        <w:rPr>
          <w:color w:val="auto"/>
        </w:rPr>
        <w:fldChar w:fldCharType="separate"/>
      </w:r>
      <w:r>
        <w:rPr>
          <w:rStyle w:val="50"/>
          <w:rFonts w:hint="eastAsia" w:asciiTheme="minorEastAsia" w:hAnsiTheme="minorEastAsia" w:eastAsiaTheme="minorEastAsia" w:cstheme="minorEastAsia"/>
          <w:color w:val="auto"/>
        </w:rPr>
        <w:t>8. 合同授予</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"_Toc29388443" </w:instrText>
      </w:r>
      <w:r>
        <w:rPr>
          <w:color w:val="auto"/>
        </w:rPr>
        <w:fldChar w:fldCharType="separate"/>
      </w:r>
      <w:r>
        <w:rPr>
          <w:rStyle w:val="50"/>
          <w:rFonts w:hint="eastAsia" w:asciiTheme="minorEastAsia" w:hAnsiTheme="minorEastAsia" w:eastAsiaTheme="minorEastAsia" w:cstheme="minorEastAsia"/>
          <w:color w:val="auto"/>
        </w:rPr>
        <w:t>8.1 定标方式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"_Toc29388444" </w:instrText>
      </w:r>
      <w:r>
        <w:rPr>
          <w:color w:val="auto"/>
        </w:rPr>
        <w:fldChar w:fldCharType="separate"/>
      </w:r>
      <w:r>
        <w:rPr>
          <w:rStyle w:val="50"/>
          <w:rFonts w:hint="eastAsia" w:asciiTheme="minorEastAsia" w:hAnsiTheme="minorEastAsia" w:eastAsiaTheme="minorEastAsia" w:cstheme="minorEastAsia"/>
          <w:color w:val="auto"/>
        </w:rPr>
        <w:t>8.2中标通知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"_Toc29388445" </w:instrText>
      </w:r>
      <w:r>
        <w:rPr>
          <w:color w:val="auto"/>
        </w:rPr>
        <w:fldChar w:fldCharType="separate"/>
      </w:r>
      <w:r>
        <w:rPr>
          <w:rStyle w:val="50"/>
          <w:rFonts w:hint="eastAsia" w:asciiTheme="minorEastAsia" w:hAnsiTheme="minorEastAsia" w:eastAsiaTheme="minorEastAsia" w:cstheme="minorEastAsia"/>
          <w:color w:val="auto"/>
        </w:rPr>
        <w:t>8.3 履约保证金</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"_Toc29388446" </w:instrText>
      </w:r>
      <w:r>
        <w:rPr>
          <w:color w:val="auto"/>
        </w:rPr>
        <w:fldChar w:fldCharType="separate"/>
      </w:r>
      <w:r>
        <w:rPr>
          <w:rStyle w:val="50"/>
          <w:rFonts w:hint="eastAsia" w:asciiTheme="minorEastAsia" w:hAnsiTheme="minorEastAsia" w:eastAsiaTheme="minorEastAsia" w:cstheme="minorEastAsia"/>
          <w:color w:val="auto"/>
        </w:rPr>
        <w:t>8.4 签订合同</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"_Toc29388447" </w:instrText>
      </w:r>
      <w:r>
        <w:rPr>
          <w:color w:val="auto"/>
        </w:rPr>
        <w:fldChar w:fldCharType="separate"/>
      </w:r>
      <w:r>
        <w:rPr>
          <w:rStyle w:val="50"/>
          <w:rFonts w:hint="eastAsia" w:asciiTheme="minorEastAsia" w:hAnsiTheme="minorEastAsia" w:eastAsiaTheme="minorEastAsia" w:cstheme="minorEastAsia"/>
          <w:color w:val="auto"/>
        </w:rPr>
        <w:t>9.纪律和监督</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"_Toc29388448" </w:instrText>
      </w:r>
      <w:r>
        <w:rPr>
          <w:color w:val="auto"/>
        </w:rPr>
        <w:fldChar w:fldCharType="separate"/>
      </w:r>
      <w:r>
        <w:rPr>
          <w:rStyle w:val="50"/>
          <w:rFonts w:hint="eastAsia" w:asciiTheme="minorEastAsia" w:hAnsiTheme="minorEastAsia" w:eastAsiaTheme="minorEastAsia" w:cstheme="minorEastAsia"/>
          <w:color w:val="auto"/>
        </w:rPr>
        <w:t>9.1 对招标人的纪律要求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"_Toc29388449" </w:instrText>
      </w:r>
      <w:r>
        <w:rPr>
          <w:color w:val="auto"/>
        </w:rPr>
        <w:fldChar w:fldCharType="separate"/>
      </w:r>
      <w:r>
        <w:rPr>
          <w:rStyle w:val="50"/>
          <w:rFonts w:hint="eastAsia" w:asciiTheme="minorEastAsia" w:hAnsiTheme="minorEastAsia" w:eastAsiaTheme="minorEastAsia" w:cstheme="minorEastAsia"/>
          <w:color w:val="auto"/>
        </w:rPr>
        <w:t>9.2 对投标人的纪律要求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_Toc29388449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"_Toc29388450" </w:instrText>
      </w:r>
      <w:r>
        <w:rPr>
          <w:color w:val="auto"/>
        </w:rPr>
        <w:fldChar w:fldCharType="separate"/>
      </w:r>
      <w:r>
        <w:rPr>
          <w:rStyle w:val="50"/>
          <w:rFonts w:hint="eastAsia" w:asciiTheme="minorEastAsia" w:hAnsiTheme="minorEastAsia" w:eastAsiaTheme="minorEastAsia" w:cstheme="minorEastAsia"/>
          <w:color w:val="auto"/>
        </w:rPr>
        <w:t>9.3 对评标委员会成员的纪律要求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"_Toc29388451" </w:instrText>
      </w:r>
      <w:r>
        <w:rPr>
          <w:color w:val="auto"/>
        </w:rPr>
        <w:fldChar w:fldCharType="separate"/>
      </w:r>
      <w:r>
        <w:rPr>
          <w:rStyle w:val="50"/>
          <w:rFonts w:hint="eastAsia" w:asciiTheme="minorEastAsia" w:hAnsiTheme="minorEastAsia" w:eastAsiaTheme="minorEastAsia" w:cstheme="minorEastAsia"/>
          <w:color w:val="auto"/>
        </w:rPr>
        <w:t>9.4 对与评标活动有关的工作人员的纪律要求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"_Toc29388452" </w:instrText>
      </w:r>
      <w:r>
        <w:rPr>
          <w:color w:val="auto"/>
        </w:rPr>
        <w:fldChar w:fldCharType="separate"/>
      </w:r>
      <w:r>
        <w:rPr>
          <w:rStyle w:val="50"/>
          <w:rFonts w:hint="eastAsia" w:asciiTheme="minorEastAsia" w:hAnsiTheme="minorEastAsia" w:eastAsiaTheme="minorEastAsia" w:cstheme="minorEastAsia"/>
          <w:color w:val="auto"/>
        </w:rPr>
        <w:t>9.5 投诉</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"_Toc29388453" </w:instrText>
      </w:r>
      <w:r>
        <w:rPr>
          <w:color w:val="auto"/>
        </w:rPr>
        <w:fldChar w:fldCharType="separate"/>
      </w:r>
      <w:r>
        <w:rPr>
          <w:rStyle w:val="50"/>
          <w:rFonts w:hint="eastAsia" w:asciiTheme="minorEastAsia" w:hAnsiTheme="minorEastAsia" w:eastAsiaTheme="minorEastAsia" w:cstheme="minorEastAsia"/>
          <w:color w:val="auto"/>
        </w:rPr>
        <w:t>9.6差别待遇或者歧视待遇现象</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"_Toc29388454" </w:instrText>
      </w:r>
      <w:r>
        <w:rPr>
          <w:color w:val="auto"/>
        </w:rPr>
        <w:fldChar w:fldCharType="separate"/>
      </w:r>
      <w:r>
        <w:rPr>
          <w:rStyle w:val="50"/>
          <w:rFonts w:hint="eastAsia" w:asciiTheme="minorEastAsia" w:hAnsiTheme="minorEastAsia" w:eastAsiaTheme="minorEastAsia" w:cstheme="minorEastAsia"/>
          <w:color w:val="auto"/>
        </w:rPr>
        <w:t>10. 招标人需要补充的其他内容</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"_Toc29388455" </w:instrText>
      </w:r>
      <w:r>
        <w:rPr>
          <w:color w:val="auto"/>
        </w:rPr>
        <w:fldChar w:fldCharType="separate"/>
      </w:r>
      <w:r>
        <w:rPr>
          <w:rStyle w:val="50"/>
          <w:rFonts w:hint="eastAsia" w:asciiTheme="minorEastAsia" w:hAnsiTheme="minorEastAsia" w:eastAsiaTheme="minorEastAsia" w:cstheme="minorEastAsia"/>
          <w:color w:val="auto"/>
        </w:rPr>
        <w:t>10.1收费标准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"_Toc29388456" </w:instrText>
      </w:r>
      <w:r>
        <w:rPr>
          <w:color w:val="auto"/>
        </w:rPr>
        <w:fldChar w:fldCharType="separate"/>
      </w:r>
      <w:r>
        <w:rPr>
          <w:rStyle w:val="50"/>
          <w:rFonts w:hint="eastAsia" w:asciiTheme="minorEastAsia" w:hAnsiTheme="minorEastAsia" w:eastAsiaTheme="minorEastAsia" w:cstheme="minorEastAsia"/>
          <w:color w:val="auto"/>
        </w:rPr>
        <w:t>10.2其它内容</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"_Toc29388457" </w:instrText>
      </w:r>
      <w:r>
        <w:rPr>
          <w:color w:val="auto"/>
        </w:rPr>
        <w:fldChar w:fldCharType="separate"/>
      </w:r>
      <w:r>
        <w:rPr>
          <w:rStyle w:val="50"/>
          <w:rFonts w:hint="eastAsia" w:asciiTheme="minorEastAsia" w:hAnsiTheme="minorEastAsia" w:eastAsiaTheme="minorEastAsia" w:cstheme="minorEastAsia"/>
          <w:color w:val="auto"/>
        </w:rPr>
        <w:t>第三章评标办法（综合评分法）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"_Toc29388458" </w:instrText>
      </w:r>
      <w:r>
        <w:rPr>
          <w:color w:val="auto"/>
        </w:rPr>
        <w:fldChar w:fldCharType="separate"/>
      </w:r>
      <w:r>
        <w:rPr>
          <w:rStyle w:val="50"/>
          <w:rFonts w:hint="eastAsia" w:asciiTheme="minorEastAsia" w:hAnsiTheme="minorEastAsia" w:eastAsiaTheme="minorEastAsia" w:cstheme="minorEastAsia"/>
          <w:color w:val="auto"/>
        </w:rPr>
        <w:t>1．评标方法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"_Toc29388459" </w:instrText>
      </w:r>
      <w:r>
        <w:rPr>
          <w:color w:val="auto"/>
        </w:rPr>
        <w:fldChar w:fldCharType="separate"/>
      </w:r>
      <w:r>
        <w:rPr>
          <w:rStyle w:val="50"/>
          <w:rFonts w:hint="eastAsia" w:asciiTheme="minorEastAsia" w:hAnsiTheme="minorEastAsia" w:eastAsiaTheme="minorEastAsia" w:cstheme="minorEastAsia"/>
          <w:color w:val="auto"/>
        </w:rPr>
        <w:t>2．评审标准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_Toc29388459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"_Toc29388460" </w:instrText>
      </w:r>
      <w:r>
        <w:rPr>
          <w:color w:val="auto"/>
        </w:rPr>
        <w:fldChar w:fldCharType="separate"/>
      </w:r>
      <w:r>
        <w:rPr>
          <w:rStyle w:val="50"/>
          <w:rFonts w:hint="eastAsia" w:asciiTheme="minorEastAsia" w:hAnsiTheme="minorEastAsia" w:eastAsiaTheme="minorEastAsia" w:cstheme="minorEastAsia"/>
          <w:color w:val="auto"/>
        </w:rPr>
        <w:t>2.1 初步评审标准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"_Toc29388461" </w:instrText>
      </w:r>
      <w:r>
        <w:rPr>
          <w:color w:val="auto"/>
        </w:rPr>
        <w:fldChar w:fldCharType="separate"/>
      </w:r>
      <w:r>
        <w:rPr>
          <w:rStyle w:val="50"/>
          <w:rFonts w:hint="eastAsia" w:asciiTheme="minorEastAsia" w:hAnsiTheme="minorEastAsia" w:eastAsiaTheme="minorEastAsia" w:cstheme="minorEastAsia"/>
          <w:color w:val="auto"/>
        </w:rPr>
        <w:t>2.2 分值构成与评分标准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"_Toc29388462" </w:instrText>
      </w:r>
      <w:r>
        <w:rPr>
          <w:color w:val="auto"/>
        </w:rPr>
        <w:fldChar w:fldCharType="separate"/>
      </w:r>
      <w:r>
        <w:rPr>
          <w:rStyle w:val="50"/>
          <w:rFonts w:hint="eastAsia" w:asciiTheme="minorEastAsia" w:hAnsiTheme="minorEastAsia" w:eastAsiaTheme="minorEastAsia" w:cstheme="minorEastAsia"/>
          <w:color w:val="auto"/>
        </w:rPr>
        <w:t>3．评标程序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"_Toc29388463" </w:instrText>
      </w:r>
      <w:r>
        <w:rPr>
          <w:color w:val="auto"/>
        </w:rPr>
        <w:fldChar w:fldCharType="separate"/>
      </w:r>
      <w:r>
        <w:rPr>
          <w:rStyle w:val="50"/>
          <w:rFonts w:hint="eastAsia" w:asciiTheme="minorEastAsia" w:hAnsiTheme="minorEastAsia" w:eastAsiaTheme="minorEastAsia" w:cstheme="minorEastAsia"/>
          <w:color w:val="auto"/>
          <w:kern w:val="0"/>
        </w:rPr>
        <w:t>3.1 评标准备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"_Toc29388464" </w:instrText>
      </w:r>
      <w:r>
        <w:rPr>
          <w:color w:val="auto"/>
        </w:rPr>
        <w:fldChar w:fldCharType="separate"/>
      </w:r>
      <w:r>
        <w:rPr>
          <w:rStyle w:val="50"/>
          <w:rFonts w:hint="eastAsia" w:asciiTheme="minorEastAsia" w:hAnsiTheme="minorEastAsia" w:eastAsiaTheme="minorEastAsia" w:cstheme="minorEastAsia"/>
          <w:color w:val="auto"/>
        </w:rPr>
        <w:t>3.2 初步评审</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"_Toc29388465" </w:instrText>
      </w:r>
      <w:r>
        <w:rPr>
          <w:color w:val="auto"/>
        </w:rPr>
        <w:fldChar w:fldCharType="separate"/>
      </w:r>
      <w:r>
        <w:rPr>
          <w:rStyle w:val="50"/>
          <w:rFonts w:hint="eastAsia" w:asciiTheme="minorEastAsia" w:hAnsiTheme="minorEastAsia" w:eastAsiaTheme="minorEastAsia" w:cstheme="minorEastAsia"/>
          <w:color w:val="auto"/>
        </w:rPr>
        <w:t>3.3 详细评审</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"_Toc29388466" </w:instrText>
      </w:r>
      <w:r>
        <w:rPr>
          <w:color w:val="auto"/>
        </w:rPr>
        <w:fldChar w:fldCharType="separate"/>
      </w:r>
      <w:r>
        <w:rPr>
          <w:rStyle w:val="50"/>
          <w:rFonts w:hint="eastAsia" w:asciiTheme="minorEastAsia" w:hAnsiTheme="minorEastAsia" w:eastAsiaTheme="minorEastAsia" w:cstheme="minorEastAsia"/>
          <w:color w:val="auto"/>
        </w:rPr>
        <w:t>3.4 投标文件的澄清和补正</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"_Toc29388467" </w:instrText>
      </w:r>
      <w:r>
        <w:rPr>
          <w:color w:val="auto"/>
        </w:rPr>
        <w:fldChar w:fldCharType="separate"/>
      </w:r>
      <w:r>
        <w:rPr>
          <w:rStyle w:val="50"/>
          <w:rFonts w:hint="eastAsia" w:asciiTheme="minorEastAsia" w:hAnsiTheme="minorEastAsia" w:eastAsiaTheme="minorEastAsia" w:cstheme="minorEastAsia"/>
          <w:color w:val="auto"/>
        </w:rPr>
        <w:t>3.5 推荐中标候选人或直接确定中标人</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"_Toc29388468" </w:instrText>
      </w:r>
      <w:r>
        <w:rPr>
          <w:color w:val="auto"/>
        </w:rPr>
        <w:fldChar w:fldCharType="separate"/>
      </w:r>
      <w:r>
        <w:rPr>
          <w:rStyle w:val="50"/>
          <w:rFonts w:hint="eastAsia" w:asciiTheme="minorEastAsia" w:hAnsiTheme="minorEastAsia" w:eastAsiaTheme="minorEastAsia" w:cstheme="minorEastAsia"/>
          <w:color w:val="auto"/>
        </w:rPr>
        <w:t>3.6 提交评标报告</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"_Toc29388469" </w:instrText>
      </w:r>
      <w:r>
        <w:rPr>
          <w:color w:val="auto"/>
        </w:rPr>
        <w:fldChar w:fldCharType="separate"/>
      </w:r>
      <w:r>
        <w:rPr>
          <w:rStyle w:val="50"/>
          <w:rFonts w:hint="eastAsia" w:asciiTheme="minorEastAsia" w:hAnsiTheme="minorEastAsia" w:eastAsiaTheme="minorEastAsia" w:cstheme="minorEastAsia"/>
          <w:color w:val="auto"/>
        </w:rPr>
        <w:t>4．通用评标规则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_Toc29388469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"_Toc29388470" </w:instrText>
      </w:r>
      <w:r>
        <w:rPr>
          <w:color w:val="auto"/>
        </w:rPr>
        <w:fldChar w:fldCharType="separate"/>
      </w:r>
      <w:r>
        <w:rPr>
          <w:rStyle w:val="50"/>
          <w:rFonts w:hint="eastAsia" w:asciiTheme="minorEastAsia" w:hAnsiTheme="minorEastAsia" w:eastAsiaTheme="minorEastAsia" w:cstheme="minorEastAsia"/>
          <w:color w:val="auto"/>
        </w:rPr>
        <w:t>4.1 评标程序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"_Toc29388471" </w:instrText>
      </w:r>
      <w:r>
        <w:rPr>
          <w:color w:val="auto"/>
        </w:rPr>
        <w:fldChar w:fldCharType="separate"/>
      </w:r>
      <w:r>
        <w:rPr>
          <w:rStyle w:val="50"/>
          <w:rFonts w:hint="eastAsia" w:asciiTheme="minorEastAsia" w:hAnsiTheme="minorEastAsia" w:eastAsiaTheme="minorEastAsia" w:cstheme="minorEastAsia"/>
          <w:color w:val="auto"/>
        </w:rPr>
        <w:t>4.2不规范标书</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"_Toc29388472" </w:instrText>
      </w:r>
      <w:r>
        <w:rPr>
          <w:color w:val="auto"/>
        </w:rPr>
        <w:fldChar w:fldCharType="separate"/>
      </w:r>
      <w:r>
        <w:rPr>
          <w:rStyle w:val="50"/>
          <w:rFonts w:hint="eastAsia" w:asciiTheme="minorEastAsia" w:hAnsiTheme="minorEastAsia" w:eastAsiaTheme="minorEastAsia" w:cstheme="minorEastAsia"/>
          <w:color w:val="auto"/>
        </w:rPr>
        <w:t>4.3计价文件评审规定</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"_Toc29388473" </w:instrText>
      </w:r>
      <w:r>
        <w:rPr>
          <w:color w:val="auto"/>
        </w:rPr>
        <w:fldChar w:fldCharType="separate"/>
      </w:r>
      <w:r>
        <w:rPr>
          <w:rStyle w:val="50"/>
          <w:rFonts w:hint="eastAsia" w:asciiTheme="minorEastAsia" w:hAnsiTheme="minorEastAsia" w:eastAsiaTheme="minorEastAsia" w:cstheme="minorEastAsia"/>
          <w:color w:val="auto"/>
        </w:rPr>
        <w:t>4.4打分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"_Toc29388474" </w:instrText>
      </w:r>
      <w:r>
        <w:rPr>
          <w:color w:val="auto"/>
        </w:rPr>
        <w:fldChar w:fldCharType="separate"/>
      </w:r>
      <w:r>
        <w:rPr>
          <w:rStyle w:val="50"/>
          <w:rFonts w:hint="eastAsia" w:asciiTheme="minorEastAsia" w:hAnsiTheme="minorEastAsia" w:eastAsiaTheme="minorEastAsia" w:cstheme="minorEastAsia"/>
          <w:color w:val="auto"/>
        </w:rPr>
        <w:t>4.5争议处理</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"_Toc29388475" </w:instrText>
      </w:r>
      <w:r>
        <w:rPr>
          <w:color w:val="auto"/>
        </w:rPr>
        <w:fldChar w:fldCharType="separate"/>
      </w:r>
      <w:r>
        <w:rPr>
          <w:rStyle w:val="50"/>
          <w:rFonts w:hint="eastAsia" w:asciiTheme="minorEastAsia" w:hAnsiTheme="minorEastAsia" w:eastAsiaTheme="minorEastAsia" w:cstheme="minorEastAsia"/>
          <w:color w:val="auto"/>
        </w:rPr>
        <w:t>4.6违法违纪行为</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"_Toc29388476" </w:instrText>
      </w:r>
      <w:r>
        <w:rPr>
          <w:color w:val="auto"/>
        </w:rPr>
        <w:fldChar w:fldCharType="separate"/>
      </w:r>
      <w:r>
        <w:rPr>
          <w:rStyle w:val="50"/>
          <w:rFonts w:hint="eastAsia" w:asciiTheme="minorEastAsia" w:hAnsiTheme="minorEastAsia" w:eastAsiaTheme="minorEastAsia" w:cstheme="minorEastAsia"/>
          <w:color w:val="auto"/>
        </w:rPr>
        <w:t>4.7其它</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"_Toc29388477" </w:instrText>
      </w:r>
      <w:r>
        <w:rPr>
          <w:color w:val="auto"/>
        </w:rPr>
        <w:fldChar w:fldCharType="separate"/>
      </w:r>
      <w:r>
        <w:rPr>
          <w:rStyle w:val="50"/>
          <w:rFonts w:hint="eastAsia" w:asciiTheme="minorEastAsia" w:hAnsiTheme="minorEastAsia" w:eastAsiaTheme="minorEastAsia" w:cstheme="minorEastAsia"/>
          <w:color w:val="auto"/>
        </w:rPr>
        <w:t>第四章合同条款及格式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"_Toc29388478" </w:instrText>
      </w:r>
      <w:r>
        <w:rPr>
          <w:color w:val="auto"/>
        </w:rPr>
        <w:fldChar w:fldCharType="separate"/>
      </w:r>
      <w:r>
        <w:rPr>
          <w:rStyle w:val="50"/>
          <w:rFonts w:hint="eastAsia" w:asciiTheme="minorEastAsia" w:hAnsiTheme="minorEastAsia" w:eastAsiaTheme="minorEastAsia" w:cstheme="minorEastAsia"/>
          <w:color w:val="auto"/>
          <w:kern w:val="44"/>
        </w:rPr>
        <w:t>（一）合同一般条款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"_Toc29388479" </w:instrText>
      </w:r>
      <w:r>
        <w:rPr>
          <w:color w:val="auto"/>
        </w:rPr>
        <w:fldChar w:fldCharType="separate"/>
      </w:r>
      <w:r>
        <w:rPr>
          <w:rStyle w:val="50"/>
          <w:rFonts w:hint="eastAsia" w:asciiTheme="minorEastAsia" w:hAnsiTheme="minorEastAsia" w:eastAsiaTheme="minorEastAsia" w:cstheme="minorEastAsia"/>
          <w:b/>
          <w:color w:val="auto"/>
        </w:rPr>
        <w:t>（二）合同专用条款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_Toc29388479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"_Toc29388480" </w:instrText>
      </w:r>
      <w:r>
        <w:rPr>
          <w:color w:val="auto"/>
        </w:rPr>
        <w:fldChar w:fldCharType="separate"/>
      </w:r>
      <w:r>
        <w:rPr>
          <w:rStyle w:val="50"/>
          <w:rFonts w:hint="eastAsia" w:asciiTheme="minorEastAsia" w:hAnsiTheme="minorEastAsia" w:eastAsiaTheme="minorEastAsia" w:cstheme="minorEastAsia"/>
          <w:color w:val="auto"/>
        </w:rPr>
        <w:t>第五章产品需求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"_Toc29388481" </w:instrText>
      </w:r>
      <w:r>
        <w:rPr>
          <w:color w:val="auto"/>
        </w:rPr>
        <w:fldChar w:fldCharType="separate"/>
      </w:r>
      <w:r>
        <w:rPr>
          <w:rStyle w:val="50"/>
          <w:rFonts w:hint="eastAsia" w:asciiTheme="minorEastAsia" w:hAnsiTheme="minorEastAsia" w:eastAsiaTheme="minorEastAsia" w:cstheme="minorEastAsia"/>
          <w:color w:val="auto"/>
        </w:rPr>
        <w:t>第六章投标文件格式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"_Toc29388482" </w:instrText>
      </w:r>
      <w:r>
        <w:rPr>
          <w:color w:val="auto"/>
        </w:rPr>
        <w:fldChar w:fldCharType="separate"/>
      </w:r>
      <w:r>
        <w:rPr>
          <w:rStyle w:val="50"/>
          <w:rFonts w:hint="eastAsia" w:asciiTheme="minorEastAsia" w:hAnsiTheme="minorEastAsia" w:eastAsiaTheme="minorEastAsia" w:cstheme="minorEastAsia"/>
          <w:color w:val="auto"/>
        </w:rPr>
        <w:t>封面</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"_Toc29388483" </w:instrText>
      </w:r>
      <w:r>
        <w:rPr>
          <w:color w:val="auto"/>
        </w:rPr>
        <w:fldChar w:fldCharType="separate"/>
      </w:r>
      <w:r>
        <w:rPr>
          <w:rStyle w:val="50"/>
          <w:rFonts w:hint="eastAsia" w:asciiTheme="minorEastAsia" w:hAnsiTheme="minorEastAsia" w:eastAsiaTheme="minorEastAsia" w:cstheme="minorEastAsia"/>
          <w:color w:val="auto"/>
        </w:rPr>
        <w:t>1.投标函</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"_Toc29388484" </w:instrText>
      </w:r>
      <w:r>
        <w:rPr>
          <w:color w:val="auto"/>
        </w:rPr>
        <w:fldChar w:fldCharType="separate"/>
      </w:r>
      <w:r>
        <w:rPr>
          <w:rStyle w:val="50"/>
          <w:rFonts w:hint="eastAsia" w:asciiTheme="minorEastAsia" w:hAnsiTheme="minorEastAsia" w:eastAsiaTheme="minorEastAsia" w:cstheme="minorEastAsia"/>
          <w:color w:val="auto"/>
        </w:rPr>
        <w:t>2.投标报价汇总表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"_Toc29388485" </w:instrText>
      </w:r>
      <w:r>
        <w:rPr>
          <w:color w:val="auto"/>
        </w:rPr>
        <w:fldChar w:fldCharType="separate"/>
      </w:r>
      <w:r>
        <w:rPr>
          <w:rStyle w:val="50"/>
          <w:rFonts w:hint="eastAsia" w:asciiTheme="minorEastAsia" w:hAnsiTheme="minorEastAsia" w:eastAsiaTheme="minorEastAsia" w:cstheme="minorEastAsia"/>
          <w:color w:val="auto"/>
        </w:rPr>
        <w:t>3.商务及技术条款偏离表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"_Toc29388486" </w:instrText>
      </w:r>
      <w:r>
        <w:rPr>
          <w:color w:val="auto"/>
        </w:rPr>
        <w:fldChar w:fldCharType="separate"/>
      </w:r>
      <w:r>
        <w:rPr>
          <w:rStyle w:val="50"/>
          <w:rFonts w:hint="eastAsia" w:asciiTheme="minorEastAsia" w:hAnsiTheme="minorEastAsia" w:eastAsiaTheme="minorEastAsia" w:cstheme="minorEastAsia"/>
          <w:color w:val="auto"/>
        </w:rPr>
        <w:t>4.授权委托书</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"_Toc29388487" </w:instrText>
      </w:r>
      <w:r>
        <w:rPr>
          <w:color w:val="auto"/>
        </w:rPr>
        <w:fldChar w:fldCharType="separate"/>
      </w:r>
      <w:r>
        <w:rPr>
          <w:rStyle w:val="50"/>
          <w:rFonts w:hint="eastAsia" w:asciiTheme="minorEastAsia" w:hAnsiTheme="minorEastAsia" w:eastAsiaTheme="minorEastAsia" w:cstheme="minorEastAsia"/>
          <w:color w:val="auto"/>
        </w:rPr>
        <w:t>5.法定代表人身份证明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"_Toc29388488" </w:instrText>
      </w:r>
      <w:r>
        <w:rPr>
          <w:color w:val="auto"/>
        </w:rPr>
        <w:fldChar w:fldCharType="separate"/>
      </w:r>
      <w:r>
        <w:rPr>
          <w:rStyle w:val="50"/>
          <w:rFonts w:hint="eastAsia" w:asciiTheme="minorEastAsia" w:hAnsiTheme="minorEastAsia" w:eastAsiaTheme="minorEastAsia" w:cstheme="minorEastAsia"/>
          <w:color w:val="auto"/>
        </w:rPr>
        <w:t>6.技术参数响应表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"_Toc29388489" </w:instrText>
      </w:r>
      <w:r>
        <w:rPr>
          <w:color w:val="auto"/>
        </w:rPr>
        <w:fldChar w:fldCharType="separate"/>
      </w:r>
      <w:r>
        <w:rPr>
          <w:rStyle w:val="50"/>
          <w:rFonts w:hint="eastAsia" w:asciiTheme="minorEastAsia" w:hAnsiTheme="minorEastAsia" w:eastAsiaTheme="minorEastAsia" w:cstheme="minorEastAsia"/>
          <w:color w:val="auto"/>
        </w:rPr>
        <w:t>7.技术规格书</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_Toc29388489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"_Toc29388490" </w:instrText>
      </w:r>
      <w:r>
        <w:rPr>
          <w:color w:val="auto"/>
        </w:rPr>
        <w:fldChar w:fldCharType="separate"/>
      </w:r>
      <w:r>
        <w:rPr>
          <w:rStyle w:val="50"/>
          <w:rFonts w:hint="eastAsia" w:asciiTheme="minorEastAsia" w:hAnsiTheme="minorEastAsia" w:eastAsiaTheme="minorEastAsia" w:cstheme="minorEastAsia"/>
          <w:color w:val="auto"/>
        </w:rPr>
        <w:t>8.售后服务</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_Toc29388490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"_Toc29388491" </w:instrText>
      </w:r>
      <w:r>
        <w:rPr>
          <w:color w:val="auto"/>
        </w:rPr>
        <w:fldChar w:fldCharType="separate"/>
      </w:r>
      <w:r>
        <w:rPr>
          <w:rStyle w:val="50"/>
          <w:rFonts w:hint="eastAsia" w:asciiTheme="minorEastAsia" w:hAnsiTheme="minorEastAsia" w:eastAsiaTheme="minorEastAsia" w:cstheme="minorEastAsia"/>
          <w:color w:val="auto"/>
        </w:rPr>
        <w:t>9.为完成本项目投标人认为所需要的其它资料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_Toc29388491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35"/>
        <w:tabs>
          <w:tab w:val="right" w:leader="dot" w:pos="8777"/>
        </w:tabs>
        <w:rPr>
          <w:rFonts w:asciiTheme="minorEastAsia" w:hAnsiTheme="minorEastAsia" w:eastAsiaTheme="minorEastAsia" w:cstheme="minorEastAsia"/>
          <w:color w:val="auto"/>
          <w:szCs w:val="22"/>
        </w:rPr>
      </w:pPr>
      <w:r>
        <w:rPr>
          <w:color w:val="auto"/>
        </w:rPr>
        <w:fldChar w:fldCharType="begin"/>
      </w:r>
      <w:r>
        <w:rPr>
          <w:color w:val="auto"/>
        </w:rPr>
        <w:instrText xml:space="preserve"> HYPERLINK \l "_Toc29388492" </w:instrText>
      </w:r>
      <w:r>
        <w:rPr>
          <w:color w:val="auto"/>
        </w:rPr>
        <w:fldChar w:fldCharType="separate"/>
      </w:r>
      <w:r>
        <w:rPr>
          <w:rStyle w:val="50"/>
          <w:rFonts w:hint="eastAsia" w:asciiTheme="minorEastAsia" w:hAnsiTheme="minorEastAsia" w:eastAsiaTheme="minorEastAsia" w:cstheme="minorEastAsia"/>
          <w:color w:val="auto"/>
        </w:rPr>
        <w:t>10.开标一览表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_Toc29388492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spacing w:line="28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end"/>
      </w:r>
    </w:p>
    <w:p>
      <w:pPr>
        <w:pStyle w:val="2"/>
        <w:jc w:val="both"/>
        <w:rPr>
          <w:rFonts w:asciiTheme="minorEastAsia" w:hAnsiTheme="minorEastAsia" w:eastAsiaTheme="minorEastAsia" w:cstheme="minorEastAsia"/>
          <w:color w:val="auto"/>
        </w:rPr>
        <w:sectPr>
          <w:footerReference r:id="rId6" w:type="default"/>
          <w:pgSz w:w="11906" w:h="16838"/>
          <w:pgMar w:top="1247" w:right="1418" w:bottom="1134" w:left="1701" w:header="851" w:footer="992" w:gutter="0"/>
          <w:pgNumType w:start="1"/>
          <w:cols w:space="720" w:num="1"/>
          <w:docGrid w:type="linesAndChars" w:linePitch="312" w:charSpace="0"/>
        </w:sectPr>
      </w:pPr>
    </w:p>
    <w:bookmarkEnd w:id="0"/>
    <w:bookmarkEnd w:id="1"/>
    <w:bookmarkEnd w:id="2"/>
    <w:bookmarkEnd w:id="3"/>
    <w:p>
      <w:pPr>
        <w:pStyle w:val="2"/>
        <w:rPr>
          <w:rFonts w:asciiTheme="minorEastAsia" w:hAnsiTheme="minorEastAsia" w:eastAsiaTheme="minorEastAsia" w:cstheme="minorEastAsia"/>
          <w:color w:val="auto"/>
        </w:rPr>
      </w:pPr>
      <w:bookmarkStart w:id="4" w:name="_Toc29388400"/>
      <w:bookmarkStart w:id="5" w:name="_Toc369077550"/>
      <w:bookmarkStart w:id="6" w:name="_Toc368759511"/>
      <w:r>
        <w:rPr>
          <w:rFonts w:hint="eastAsia" w:asciiTheme="minorEastAsia" w:hAnsiTheme="minorEastAsia" w:eastAsiaTheme="minorEastAsia" w:cstheme="minorEastAsia"/>
          <w:color w:val="auto"/>
        </w:rPr>
        <w:t>第一章</w:t>
      </w:r>
      <w:bookmarkStart w:id="7" w:name="OLE_LINK1"/>
      <w:r>
        <w:rPr>
          <w:rFonts w:hint="eastAsia" w:asciiTheme="minorEastAsia" w:hAnsiTheme="minorEastAsia" w:eastAsiaTheme="minorEastAsia" w:cstheme="minorEastAsia"/>
          <w:color w:val="auto"/>
        </w:rPr>
        <w:t>招标公告</w:t>
      </w:r>
      <w:bookmarkEnd w:id="4"/>
    </w:p>
    <w:bookmarkEnd w:id="5"/>
    <w:bookmarkEnd w:id="6"/>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b/>
          <w:color w:val="auto"/>
          <w:kern w:val="0"/>
          <w:szCs w:val="21"/>
        </w:rPr>
      </w:pPr>
      <w:bookmarkStart w:id="8" w:name="_Toc368759512"/>
      <w:bookmarkStart w:id="9" w:name="_Toc6770"/>
      <w:bookmarkStart w:id="10" w:name="_Toc397928547"/>
      <w:bookmarkStart w:id="11" w:name="_Toc184635069"/>
      <w:bookmarkStart w:id="12" w:name="_Toc387526373"/>
      <w:bookmarkStart w:id="13" w:name="_Toc363326679"/>
      <w:bookmarkStart w:id="14" w:name="_Toc369077558"/>
      <w:bookmarkStart w:id="15" w:name="_Toc387526281"/>
      <w:bookmarkStart w:id="16" w:name="_Toc387526177"/>
      <w:r>
        <w:rPr>
          <w:rFonts w:hint="eastAsia" w:asciiTheme="minorEastAsia" w:hAnsiTheme="minorEastAsia" w:eastAsiaTheme="minorEastAsia" w:cstheme="minorEastAsia"/>
          <w:b/>
          <w:color w:val="auto"/>
          <w:kern w:val="0"/>
          <w:szCs w:val="21"/>
        </w:rPr>
        <w:t>一、</w:t>
      </w:r>
      <w:bookmarkStart w:id="17" w:name="_Toc460749009"/>
      <w:r>
        <w:rPr>
          <w:rFonts w:hint="eastAsia" w:asciiTheme="minorEastAsia" w:hAnsiTheme="minorEastAsia" w:eastAsiaTheme="minorEastAsia" w:cstheme="minorEastAsia"/>
          <w:b/>
          <w:color w:val="auto"/>
          <w:kern w:val="0"/>
          <w:szCs w:val="21"/>
        </w:rPr>
        <w:t xml:space="preserve"> 投标邀请</w:t>
      </w:r>
      <w:bookmarkEnd w:id="17"/>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根据《中华人民共和国政府采购法》、《中华人民共和国招标投标法》等有关法律规定，</w:t>
      </w:r>
      <w:r>
        <w:rPr>
          <w:rFonts w:hint="eastAsia" w:asciiTheme="minorEastAsia" w:hAnsiTheme="minorEastAsia" w:eastAsiaTheme="minorEastAsia" w:cstheme="minorEastAsia"/>
          <w:color w:val="auto"/>
          <w:kern w:val="0"/>
          <w:szCs w:val="21"/>
          <w:u w:val="single"/>
        </w:rPr>
        <w:t>盐城市同洲工程咨询有限公司</w:t>
      </w:r>
      <w:r>
        <w:rPr>
          <w:rFonts w:hint="eastAsia" w:asciiTheme="minorEastAsia" w:hAnsiTheme="minorEastAsia" w:eastAsiaTheme="minorEastAsia" w:cstheme="minorEastAsia"/>
          <w:color w:val="auto"/>
          <w:kern w:val="0"/>
          <w:szCs w:val="21"/>
        </w:rPr>
        <w:t>受</w:t>
      </w:r>
      <w:r>
        <w:rPr>
          <w:rFonts w:hint="eastAsia" w:asciiTheme="minorEastAsia" w:hAnsiTheme="minorEastAsia" w:eastAsiaTheme="minorEastAsia" w:cstheme="minorEastAsia"/>
          <w:color w:val="auto"/>
          <w:kern w:val="0"/>
          <w:szCs w:val="21"/>
          <w:u w:val="single"/>
        </w:rPr>
        <w:t>盐城市大丰区职业技术教育中心</w:t>
      </w:r>
      <w:r>
        <w:rPr>
          <w:rFonts w:hint="eastAsia" w:asciiTheme="minorEastAsia" w:hAnsiTheme="minorEastAsia" w:eastAsiaTheme="minorEastAsia" w:cstheme="minorEastAsia"/>
          <w:color w:val="auto"/>
          <w:kern w:val="0"/>
          <w:szCs w:val="21"/>
        </w:rPr>
        <w:t>委托，就下列项目进行</w:t>
      </w:r>
      <w:r>
        <w:rPr>
          <w:rFonts w:hint="eastAsia" w:asciiTheme="minorEastAsia" w:hAnsiTheme="minorEastAsia" w:eastAsiaTheme="minorEastAsia" w:cstheme="minorEastAsia"/>
          <w:color w:val="auto"/>
          <w:kern w:val="0"/>
          <w:szCs w:val="21"/>
          <w:u w:val="single"/>
        </w:rPr>
        <w:t>公开招标</w:t>
      </w:r>
      <w:r>
        <w:rPr>
          <w:rFonts w:hint="eastAsia" w:asciiTheme="minorEastAsia" w:hAnsiTheme="minorEastAsia" w:eastAsiaTheme="minorEastAsia" w:cstheme="minorEastAsia"/>
          <w:color w:val="auto"/>
          <w:kern w:val="0"/>
          <w:szCs w:val="21"/>
        </w:rPr>
        <w:t>，诚邀合格的企业前来报名参加。</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二、项目概况</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（1）项目名称：</w:t>
      </w:r>
      <w:r>
        <w:rPr>
          <w:rFonts w:hint="eastAsia" w:asciiTheme="minorEastAsia" w:hAnsiTheme="minorEastAsia" w:eastAsiaTheme="minorEastAsia" w:cstheme="minorEastAsia"/>
          <w:color w:val="auto"/>
          <w:kern w:val="0"/>
          <w:szCs w:val="21"/>
          <w:u w:val="single"/>
        </w:rPr>
        <w:t>盐城市大丰区职业技术教育中心2020年智慧校园运维和安全管理、智慧教室和移动录播设备建设项目</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（2）项目编号：</w:t>
      </w:r>
      <w:r>
        <w:rPr>
          <w:rFonts w:hint="eastAsia" w:asciiTheme="minorEastAsia" w:hAnsiTheme="minorEastAsia" w:eastAsiaTheme="minorEastAsia" w:cstheme="minorEastAsia"/>
          <w:color w:val="auto"/>
          <w:kern w:val="0"/>
          <w:szCs w:val="21"/>
          <w:u w:val="single"/>
        </w:rPr>
        <w:t>DFCG20200220</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（3）招标方式：</w:t>
      </w:r>
      <w:r>
        <w:rPr>
          <w:rFonts w:hint="eastAsia" w:asciiTheme="minorEastAsia" w:hAnsiTheme="minorEastAsia" w:eastAsiaTheme="minorEastAsia" w:cstheme="minorEastAsia"/>
          <w:color w:val="auto"/>
          <w:kern w:val="0"/>
          <w:szCs w:val="21"/>
          <w:u w:val="single"/>
        </w:rPr>
        <w:t>公开招标</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（4）采购内容：</w:t>
      </w:r>
      <w:r>
        <w:rPr>
          <w:rFonts w:hint="eastAsia" w:asciiTheme="minorEastAsia" w:hAnsiTheme="minorEastAsia" w:eastAsiaTheme="minorEastAsia" w:cstheme="minorEastAsia"/>
          <w:color w:val="auto"/>
          <w:kern w:val="0"/>
          <w:szCs w:val="21"/>
          <w:u w:val="single"/>
        </w:rPr>
        <w:t>盐城市大丰区职业技术教育中心2020年智慧校园运维和安全管理、智慧教室和移动录播设备建设项目，详见招标文件。</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（5）资金来源：</w:t>
      </w:r>
      <w:r>
        <w:rPr>
          <w:rFonts w:hint="eastAsia" w:asciiTheme="minorEastAsia" w:hAnsiTheme="minorEastAsia" w:eastAsiaTheme="minorEastAsia" w:cstheme="minorEastAsia"/>
          <w:color w:val="auto"/>
          <w:kern w:val="0"/>
          <w:szCs w:val="21"/>
          <w:u w:val="single"/>
        </w:rPr>
        <w:t>财政资金</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（6）采购预算：</w:t>
      </w:r>
      <w:r>
        <w:rPr>
          <w:rFonts w:hint="eastAsia" w:asciiTheme="minorEastAsia" w:hAnsiTheme="minorEastAsia" w:eastAsiaTheme="minorEastAsia" w:cstheme="minorEastAsia"/>
          <w:color w:val="auto"/>
          <w:kern w:val="0"/>
          <w:szCs w:val="21"/>
          <w:u w:val="single"/>
        </w:rPr>
        <w:t>86万元</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（7）供货期限要求:</w:t>
      </w:r>
      <w:r>
        <w:rPr>
          <w:rFonts w:hint="eastAsia" w:asciiTheme="minorEastAsia" w:hAnsiTheme="minorEastAsia" w:eastAsiaTheme="minorEastAsia" w:cstheme="minorEastAsia"/>
          <w:color w:val="auto"/>
          <w:kern w:val="0"/>
          <w:szCs w:val="21"/>
          <w:u w:val="single"/>
        </w:rPr>
        <w:t>5日历天采购、安装完毕交付</w:t>
      </w:r>
    </w:p>
    <w:p>
      <w:pPr>
        <w:widowControl/>
        <w:tabs>
          <w:tab w:val="left" w:pos="6300"/>
        </w:tabs>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（8）质保期限：</w:t>
      </w:r>
      <w:r>
        <w:rPr>
          <w:rFonts w:hint="eastAsia" w:asciiTheme="minorEastAsia" w:hAnsiTheme="minorEastAsia" w:eastAsiaTheme="minorEastAsia" w:cstheme="minorEastAsia"/>
          <w:color w:val="auto"/>
          <w:kern w:val="0"/>
          <w:szCs w:val="21"/>
          <w:u w:val="single"/>
        </w:rPr>
        <w:t>安装完成通过验收之日起计</w:t>
      </w:r>
      <w:r>
        <w:rPr>
          <w:rFonts w:hint="eastAsia" w:asciiTheme="minorEastAsia" w:hAnsiTheme="minorEastAsia" w:eastAsiaTheme="minorEastAsia" w:cstheme="minorEastAsia"/>
          <w:b/>
          <w:color w:val="auto"/>
          <w:kern w:val="0"/>
          <w:szCs w:val="21"/>
          <w:u w:val="single"/>
        </w:rPr>
        <w:t>质保期2年</w:t>
      </w:r>
      <w:r>
        <w:rPr>
          <w:rFonts w:hint="eastAsia" w:asciiTheme="minorEastAsia" w:hAnsiTheme="minorEastAsia" w:eastAsiaTheme="minorEastAsia" w:cstheme="minorEastAsia"/>
          <w:color w:val="auto"/>
          <w:kern w:val="0"/>
          <w:szCs w:val="21"/>
          <w:u w:val="single"/>
        </w:rPr>
        <w:t>。</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三、标段划分和招标内容及要求：</w:t>
      </w:r>
    </w:p>
    <w:p>
      <w:pPr>
        <w:widowControl/>
        <w:spacing w:line="3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本招标项目共分</w:t>
      </w:r>
      <w:r>
        <w:rPr>
          <w:rFonts w:hint="eastAsia" w:asciiTheme="minorEastAsia" w:hAnsiTheme="minorEastAsia" w:eastAsiaTheme="minorEastAsia" w:cstheme="minorEastAsia"/>
          <w:color w:val="auto"/>
          <w:kern w:val="0"/>
          <w:szCs w:val="21"/>
          <w:u w:val="single"/>
        </w:rPr>
        <w:t>1</w:t>
      </w:r>
      <w:r>
        <w:rPr>
          <w:rFonts w:hint="eastAsia" w:asciiTheme="minorEastAsia" w:hAnsiTheme="minorEastAsia" w:eastAsiaTheme="minorEastAsia" w:cstheme="minorEastAsia"/>
          <w:color w:val="auto"/>
          <w:kern w:val="0"/>
          <w:szCs w:val="21"/>
        </w:rPr>
        <w:t>个标段；标段名称、项目名称、招标内容、相应的建设规模如下：</w:t>
      </w:r>
    </w:p>
    <w:tbl>
      <w:tblPr>
        <w:tblStyle w:val="43"/>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2835"/>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1" w:type="dxa"/>
            <w:vAlign w:val="center"/>
          </w:tcPr>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标段</w:t>
            </w:r>
          </w:p>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编号</w:t>
            </w:r>
          </w:p>
        </w:tc>
        <w:tc>
          <w:tcPr>
            <w:tcW w:w="1701" w:type="dxa"/>
            <w:vAlign w:val="center"/>
          </w:tcPr>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w:t>
            </w:r>
          </w:p>
        </w:tc>
        <w:tc>
          <w:tcPr>
            <w:tcW w:w="2835" w:type="dxa"/>
            <w:vAlign w:val="center"/>
          </w:tcPr>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招标规模</w:t>
            </w:r>
          </w:p>
        </w:tc>
        <w:tc>
          <w:tcPr>
            <w:tcW w:w="1417" w:type="dxa"/>
            <w:vAlign w:val="center"/>
          </w:tcPr>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合同估算额</w:t>
            </w:r>
          </w:p>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（万元）</w:t>
            </w:r>
          </w:p>
        </w:tc>
        <w:tc>
          <w:tcPr>
            <w:tcW w:w="2552" w:type="dxa"/>
            <w:vAlign w:val="center"/>
          </w:tcPr>
          <w:p>
            <w:pPr>
              <w:widowControl/>
              <w:spacing w:line="3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vAlign w:val="center"/>
          </w:tcPr>
          <w:p>
            <w:pPr>
              <w:widowControl/>
              <w:spacing w:line="32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p>
        </w:tc>
        <w:tc>
          <w:tcPr>
            <w:tcW w:w="1701" w:type="dxa"/>
            <w:vAlign w:val="center"/>
          </w:tcPr>
          <w:p>
            <w:pPr>
              <w:widowControl/>
              <w:spacing w:line="32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盐城市大丰区职业技术教育中心2020年智慧校园运维和安全管理、智慧教室和移动录播设备建设项目</w:t>
            </w:r>
          </w:p>
        </w:tc>
        <w:tc>
          <w:tcPr>
            <w:tcW w:w="2835" w:type="dxa"/>
            <w:vAlign w:val="center"/>
          </w:tcPr>
          <w:p>
            <w:pPr>
              <w:widowControl/>
              <w:spacing w:line="32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入侵防御、防毒墙、堡垒机、防火墙库升级及维保、防盗网、机房门禁、安全设备、录播系统建设等，详见招标文件</w:t>
            </w:r>
          </w:p>
        </w:tc>
        <w:tc>
          <w:tcPr>
            <w:tcW w:w="1417" w:type="dxa"/>
            <w:vAlign w:val="center"/>
          </w:tcPr>
          <w:p>
            <w:pPr>
              <w:widowControl/>
              <w:spacing w:line="32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86</w:t>
            </w:r>
          </w:p>
        </w:tc>
        <w:tc>
          <w:tcPr>
            <w:tcW w:w="2552" w:type="dxa"/>
            <w:vAlign w:val="center"/>
          </w:tcPr>
          <w:p>
            <w:pPr>
              <w:widowControl/>
              <w:spacing w:line="320" w:lineRule="exact"/>
              <w:jc w:val="center"/>
              <w:rPr>
                <w:rFonts w:asciiTheme="minorEastAsia" w:hAnsiTheme="minorEastAsia" w:eastAsiaTheme="minorEastAsia" w:cstheme="minorEastAsia"/>
                <w:color w:val="auto"/>
                <w:kern w:val="0"/>
                <w:szCs w:val="21"/>
              </w:rPr>
            </w:pPr>
          </w:p>
        </w:tc>
      </w:tr>
    </w:tbl>
    <w:p>
      <w:pPr>
        <w:widowControl/>
        <w:snapToGrid w:val="0"/>
        <w:spacing w:before="100" w:beforeAutospacing="1" w:after="100" w:afterAutospacing="1" w:line="300" w:lineRule="exact"/>
        <w:ind w:firstLine="472"/>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四、申请人应当具备的主要资格条件及要求：</w:t>
      </w:r>
    </w:p>
    <w:p>
      <w:pPr>
        <w:widowControl/>
        <w:snapToGrid w:val="0"/>
        <w:spacing w:before="100" w:beforeAutospacing="1" w:after="100" w:afterAutospacing="1" w:line="300" w:lineRule="exact"/>
        <w:ind w:firstLine="472"/>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（1）投标申请人须在中国境内注册，具有独立法人资格，具有独立订立合同的能力，近三年内没有严重违约和重大质量问题，未处于被责令停业、财产被接管、冻结、破产等状态；</w:t>
      </w:r>
    </w:p>
    <w:p>
      <w:pPr>
        <w:widowControl/>
        <w:snapToGrid w:val="0"/>
        <w:spacing w:before="100" w:beforeAutospacing="1" w:after="100" w:afterAutospacing="1" w:line="300" w:lineRule="exact"/>
        <w:ind w:firstLine="472"/>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（2）投标申请人须是具备上述项目</w:t>
      </w:r>
      <w:r>
        <w:rPr>
          <w:rFonts w:hint="eastAsia" w:asciiTheme="minorEastAsia" w:hAnsiTheme="minorEastAsia" w:eastAsiaTheme="minorEastAsia" w:cstheme="minorEastAsia"/>
          <w:color w:val="auto"/>
          <w:kern w:val="0"/>
          <w:szCs w:val="21"/>
        </w:rPr>
        <w:t>供货及安装能力的服务商</w:t>
      </w:r>
      <w:r>
        <w:rPr>
          <w:rFonts w:hint="eastAsia" w:asciiTheme="minorEastAsia" w:hAnsiTheme="minorEastAsia" w:eastAsiaTheme="minorEastAsia" w:cstheme="minorEastAsia"/>
          <w:bCs/>
          <w:color w:val="auto"/>
          <w:kern w:val="0"/>
          <w:szCs w:val="21"/>
        </w:rPr>
        <w:t xml:space="preserve">； </w:t>
      </w:r>
    </w:p>
    <w:p>
      <w:pPr>
        <w:widowControl/>
        <w:snapToGrid w:val="0"/>
        <w:spacing w:before="100" w:beforeAutospacing="1" w:after="100" w:afterAutospacing="1" w:line="300" w:lineRule="exact"/>
        <w:ind w:firstLine="472"/>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（3）</w:t>
      </w:r>
      <w:r>
        <w:rPr>
          <w:rFonts w:hint="eastAsia" w:asciiTheme="minorEastAsia" w:hAnsiTheme="minorEastAsia" w:eastAsiaTheme="minorEastAsia" w:cstheme="minorEastAsia"/>
          <w:bCs/>
          <w:color w:val="auto"/>
          <w:kern w:val="0"/>
          <w:szCs w:val="21"/>
        </w:rPr>
        <w:t>投标申请人应当满足《政府采购法》第22条之规定的各项条件；</w:t>
      </w:r>
    </w:p>
    <w:p>
      <w:pPr>
        <w:widowControl/>
        <w:snapToGrid w:val="0"/>
        <w:spacing w:before="100" w:beforeAutospacing="1" w:after="100" w:afterAutospacing="1" w:line="300" w:lineRule="exact"/>
        <w:ind w:firstLine="472"/>
        <w:jc w:val="left"/>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（4）投标人提供的产品及配件等不得涉及专利等商业纠纷；</w:t>
      </w:r>
    </w:p>
    <w:p>
      <w:pPr>
        <w:widowControl/>
        <w:snapToGrid w:val="0"/>
        <w:spacing w:before="100" w:beforeAutospacing="1" w:after="100" w:afterAutospacing="1" w:line="300" w:lineRule="exact"/>
        <w:ind w:firstLine="47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（5）本次招标</w:t>
      </w:r>
      <w:r>
        <w:rPr>
          <w:rFonts w:hint="eastAsia" w:asciiTheme="minorEastAsia" w:hAnsiTheme="minorEastAsia" w:eastAsiaTheme="minorEastAsia" w:cstheme="minorEastAsia"/>
          <w:bCs/>
          <w:color w:val="auto"/>
          <w:kern w:val="0"/>
          <w:szCs w:val="21"/>
          <w:u w:val="single"/>
        </w:rPr>
        <w:t>一律不接受</w:t>
      </w:r>
      <w:r>
        <w:rPr>
          <w:rFonts w:hint="eastAsia" w:asciiTheme="minorEastAsia" w:hAnsiTheme="minorEastAsia" w:eastAsiaTheme="minorEastAsia" w:cstheme="minorEastAsia"/>
          <w:bCs/>
          <w:color w:val="auto"/>
          <w:kern w:val="0"/>
          <w:szCs w:val="21"/>
        </w:rPr>
        <w:t>联合体投标。</w:t>
      </w:r>
    </w:p>
    <w:p>
      <w:pPr>
        <w:widowControl/>
        <w:snapToGrid w:val="0"/>
        <w:spacing w:before="100" w:beforeAutospacing="1" w:after="100" w:afterAutospacing="1" w:line="300" w:lineRule="exact"/>
        <w:ind w:firstLine="207" w:firstLineChars="98"/>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五、投标保证金</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本项目投标保证金人民币</w:t>
      </w:r>
      <w:r>
        <w:rPr>
          <w:rFonts w:hint="eastAsia" w:asciiTheme="minorEastAsia" w:hAnsiTheme="minorEastAsia" w:eastAsiaTheme="minorEastAsia" w:cstheme="minorEastAsia"/>
          <w:color w:val="auto"/>
          <w:kern w:val="0"/>
          <w:szCs w:val="21"/>
          <w:u w:val="single"/>
        </w:rPr>
        <w:t>壹万元整</w:t>
      </w:r>
      <w:r>
        <w:rPr>
          <w:rFonts w:hint="eastAsia" w:asciiTheme="minorEastAsia" w:hAnsiTheme="minorEastAsia" w:eastAsiaTheme="minorEastAsia" w:cstheme="minorEastAsia"/>
          <w:color w:val="auto"/>
          <w:kern w:val="0"/>
          <w:szCs w:val="21"/>
        </w:rPr>
        <w:t>，必须从基本帐户在开标前汇至盐城市大丰区公共资源交易中心的投标保证金专用帐户；具体要求详见本公告“投标保证金交纳帐户信息”。</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六、投标保证金交纳帐户信息</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1、保证金专户帐户信息：</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户名：盐城市大丰区公共资源交易中心</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账号：3209820531010000101119</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开户银行：大丰农村商业银行创业支行</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注:（1）获得投标保证金账号后，投标单位通过基本户选择以下方式缴纳保证金，请投标单位根据所使用的支付方式把握保证金缴纳开始时间和到账截止时间。</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标人可通过所开立的基本户选择网上银行、柜面电汇二种方式支付保证金。（重要提醒：无论是通过网银汇款还是柜面电汇，5万元以上的汇款，请在工作日9：00至17：00办理，以便于您的资金可以及时到账，同时，防止少数银行要求不一样，汇款前请先向您的基本户开户银行做好咨询）。</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（2）开标时间截止前，请务必查询保证金到账情况，确认在会员系统保证金缴纳明细查看页面查询到记录，否则可能会导致标书不予接收。</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（3）投标单位应尽量避免在缴纳保证金截止日汇入资金，充分考虑资金在途时间，以免失去投标资格。</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（4）投标人不需要到窗口换取保证金收据。</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2、查询电话：0515-83927237（朱会计）</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3、采购项目投标保证金建议在工作日的工作时间提前数日缴纳转账，缴纳后立即至报名界面对投标保证金进行同步，若无法同步，说明投标保证金没有到帐。详情咨询18105113825 0515-83927236。</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七、报名及招标文件的获取</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1、各潜在投标人（生产商）采用网上方式报名及下载招标文件，具体步骤如下：</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（1）各潜在投标人（生产商）下载采购类项目网上报名操作指南（网站</w:t>
      </w:r>
      <w:r>
        <w:rPr>
          <w:rFonts w:hint="eastAsia" w:asciiTheme="minorEastAsia" w:hAnsiTheme="minorEastAsia" w:eastAsiaTheme="minorEastAsia" w:cstheme="minorEastAsia"/>
          <w:color w:val="auto"/>
          <w:kern w:val="0"/>
          <w:szCs w:val="21"/>
        </w:rPr>
        <w:drawing>
          <wp:inline distT="0" distB="0" distL="0" distR="0">
            <wp:extent cx="189865" cy="146685"/>
            <wp:effectExtent l="1905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rcRect/>
                    <a:stretch>
                      <a:fillRect/>
                    </a:stretch>
                  </pic:blipFill>
                  <pic:spPr>
                    <a:xfrm>
                      <a:off x="0" y="0"/>
                      <a:ext cx="189865" cy="146685"/>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auto"/>
          <w:kern w:val="0"/>
          <w:szCs w:val="21"/>
        </w:rPr>
        <w:t>http://http://ggzy.dafeng.gov.cn/dfweb/InfoDetail/?InfoID=8a98b92b-4bd3-4d80-afcf-ddb1d664dfbf&amp;CategoryNum=029 下载）；</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（2）各潜在投标人（生产商）根据网上报名操作指南进行操作，仔细阅读采购类项目网上报名操作指南，认真掌握操作方法(请牢记登录名和密码)，确保信息准确无误，如填报错误,后果由投标单位自行承担；</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（3）各潜在投标人（生产商）在交纳招标文件工本费后，报名视为成功。若未交纳招标文件工本费，视为未报名。</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（4）报名技术咨询电话：刘文辉 0515—83927236或咨询本项目的招标代理联系人。</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2、请各投标申请人于</w:t>
      </w:r>
      <w:r>
        <w:rPr>
          <w:rFonts w:hint="eastAsia" w:asciiTheme="minorEastAsia" w:hAnsiTheme="minorEastAsia" w:eastAsiaTheme="minorEastAsia" w:cstheme="minorEastAsia"/>
          <w:color w:val="auto"/>
          <w:kern w:val="0"/>
          <w:szCs w:val="21"/>
          <w:u w:val="single"/>
        </w:rPr>
        <w:t xml:space="preserve"> 2020年 7 月 </w:t>
      </w:r>
      <w:r>
        <w:rPr>
          <w:rFonts w:hint="eastAsia" w:asciiTheme="minorEastAsia" w:hAnsiTheme="minorEastAsia" w:eastAsiaTheme="minorEastAsia" w:cstheme="minorEastAsia"/>
          <w:color w:val="auto"/>
          <w:kern w:val="0"/>
          <w:szCs w:val="21"/>
          <w:u w:val="single"/>
          <w:lang w:val="en-US" w:eastAsia="zh-CN"/>
        </w:rPr>
        <w:t>15</w:t>
      </w:r>
      <w:r>
        <w:rPr>
          <w:rFonts w:hint="eastAsia" w:asciiTheme="minorEastAsia" w:hAnsiTheme="minorEastAsia" w:eastAsiaTheme="minorEastAsia" w:cstheme="minorEastAsia"/>
          <w:color w:val="auto"/>
          <w:kern w:val="0"/>
          <w:szCs w:val="21"/>
          <w:u w:val="single"/>
        </w:rPr>
        <w:t xml:space="preserve"> 日 </w:t>
      </w:r>
      <w:r>
        <w:rPr>
          <w:rFonts w:hint="eastAsia" w:asciiTheme="minorEastAsia" w:hAnsiTheme="minorEastAsia" w:eastAsiaTheme="minorEastAsia" w:cstheme="minorEastAsia"/>
          <w:color w:val="auto"/>
          <w:kern w:val="0"/>
          <w:szCs w:val="21"/>
        </w:rPr>
        <w:t>至</w:t>
      </w:r>
      <w:r>
        <w:rPr>
          <w:rFonts w:hint="eastAsia" w:asciiTheme="minorEastAsia" w:hAnsiTheme="minorEastAsia" w:eastAsiaTheme="minorEastAsia" w:cstheme="minorEastAsia"/>
          <w:color w:val="auto"/>
          <w:kern w:val="0"/>
          <w:szCs w:val="21"/>
          <w:u w:val="single"/>
        </w:rPr>
        <w:t xml:space="preserve"> 2020年 7 月 </w:t>
      </w:r>
      <w:r>
        <w:rPr>
          <w:rFonts w:hint="eastAsia" w:asciiTheme="minorEastAsia" w:hAnsiTheme="minorEastAsia" w:eastAsiaTheme="minorEastAsia" w:cstheme="minorEastAsia"/>
          <w:color w:val="auto"/>
          <w:kern w:val="0"/>
          <w:szCs w:val="21"/>
          <w:u w:val="single"/>
          <w:lang w:val="en-US" w:eastAsia="zh-CN"/>
        </w:rPr>
        <w:t>22</w:t>
      </w:r>
      <w:r>
        <w:rPr>
          <w:rFonts w:hint="eastAsia" w:asciiTheme="minorEastAsia" w:hAnsiTheme="minorEastAsia" w:eastAsiaTheme="minorEastAsia" w:cstheme="minorEastAsia"/>
          <w:color w:val="auto"/>
          <w:kern w:val="0"/>
          <w:szCs w:val="21"/>
          <w:u w:val="single"/>
        </w:rPr>
        <w:t xml:space="preserve"> 日（五个工作日）</w:t>
      </w:r>
      <w:r>
        <w:rPr>
          <w:rFonts w:hint="eastAsia" w:asciiTheme="minorEastAsia" w:hAnsiTheme="minorEastAsia" w:eastAsiaTheme="minorEastAsia" w:cstheme="minorEastAsia"/>
          <w:color w:val="auto"/>
          <w:kern w:val="0"/>
          <w:szCs w:val="21"/>
        </w:rPr>
        <w:t>进行网上报名及下载招标文件，如在规定时间内未下载招标文件，由此引起的责任自负。</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八、本项目对投标申请人的资格审查采用资格后审方式，由评标委员会根据招标文件进行评定；报名时不进行报名资料的任何审查，由意向投标人自行判断是否符合投标资格。资格后审必须提供下列资料原件及复印件：（1）法定代表人身份证明书；（2）法定代表人授权委托书；（3）企业营业执照（副本）。</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九、本招标项目采用的评标方法：</w:t>
      </w:r>
      <w:r>
        <w:rPr>
          <w:rFonts w:hint="eastAsia" w:asciiTheme="minorEastAsia" w:hAnsiTheme="minorEastAsia" w:eastAsiaTheme="minorEastAsia" w:cstheme="minorEastAsia"/>
          <w:color w:val="auto"/>
          <w:kern w:val="0"/>
          <w:szCs w:val="21"/>
          <w:u w:val="single"/>
        </w:rPr>
        <w:t>综合评分法</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十、本招标项目招标公告发布媒介：本次招标公告在盐城市政府采购网(http://yccz.yancheng.gov.cn/col/col2383/index.html)、大丰公共资源电子交易平台(http://221.231.122.12/dfweb/)上发布</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十一、投标时间、开标时间和地点</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PC端或移动端的“腾讯会议”及相应的配套硬件设备参加开标会议。</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参加会议的方法（必选）：电脑或智能手机可以搜索下载并安装“腾讯会议”，注册完成后点击“加入会议”，输入会议号（会议号于提交标书时公布），“您的姓名”按“单位简称+授权委托人姓名”格式填写，然后点击“加入会议”。会议系统将在投标截止时间前10分钟开放。</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2、投标文件递交地点：盐城市大丰区丰华国际大厦1楼大厅，北门进。（大丰区飞达东路100号）</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2.1投标文件提交开始及截止时间：</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纸质投标文件的递交开始时间：2020年8  月  </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 xml:space="preserve"> 日 9 时 30 分</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纸质投标文件的递交截止时间、投标保证金缴纳截止时间：2020年 8月 </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日 9时 30分，逾期提交的文件拒绝接受。</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开标时间：2020年  8 月 </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 xml:space="preserve"> 日 9  时 30 分</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为防止集中拥堵递交投标文件，请各投标单位尽可能提早递交。</w:t>
      </w:r>
    </w:p>
    <w:p>
      <w:pPr>
        <w:widowControl/>
        <w:snapToGrid w:val="0"/>
        <w:spacing w:before="100" w:beforeAutospacing="1" w:after="100" w:afterAutospacing="1" w:line="300" w:lineRule="exact"/>
        <w:ind w:firstLine="48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十二、投标前请关注“大丰公共资源电子交易平台”的“政府采购”——“最高限价”和“答疑补充”栏目。及时了解到项目的“最高限价”和“答疑补充”等情况。</w:t>
      </w:r>
    </w:p>
    <w:p>
      <w:pPr>
        <w:widowControl/>
        <w:snapToGrid w:val="0"/>
        <w:spacing w:before="100" w:beforeAutospacing="1" w:after="100" w:afterAutospacing="1" w:line="300" w:lineRule="exact"/>
        <w:ind w:firstLine="482"/>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十三、联系方式</w:t>
      </w: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招标人：</w:t>
      </w:r>
      <w:r>
        <w:rPr>
          <w:rFonts w:hint="eastAsia" w:asciiTheme="minorEastAsia" w:hAnsiTheme="minorEastAsia" w:eastAsiaTheme="minorEastAsia" w:cstheme="minorEastAsia"/>
          <w:color w:val="auto"/>
          <w:kern w:val="0"/>
          <w:szCs w:val="21"/>
          <w:u w:val="single"/>
        </w:rPr>
        <w:t> 盐城市大丰区职业技术教育中心</w:t>
      </w:r>
      <w:r>
        <w:rPr>
          <w:rFonts w:hint="eastAsia" w:asciiTheme="minorEastAsia" w:hAnsiTheme="minorEastAsia" w:eastAsiaTheme="minorEastAsia" w:cstheme="minorEastAsia"/>
          <w:color w:val="auto"/>
          <w:kern w:val="0"/>
          <w:szCs w:val="21"/>
        </w:rPr>
        <w:t>  </w:t>
      </w: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联系人：</w:t>
      </w:r>
      <w:r>
        <w:rPr>
          <w:rFonts w:hint="eastAsia" w:asciiTheme="minorEastAsia" w:hAnsiTheme="minorEastAsia" w:eastAsiaTheme="minorEastAsia" w:cstheme="minorEastAsia"/>
          <w:color w:val="auto"/>
          <w:kern w:val="0"/>
          <w:szCs w:val="21"/>
          <w:u w:val="single"/>
        </w:rPr>
        <w:t>姚主任</w:t>
      </w:r>
      <w:r>
        <w:rPr>
          <w:rFonts w:hint="eastAsia" w:asciiTheme="minorEastAsia" w:hAnsiTheme="minorEastAsia" w:eastAsiaTheme="minorEastAsia" w:cstheme="minorEastAsia"/>
          <w:color w:val="auto"/>
          <w:kern w:val="0"/>
          <w:szCs w:val="21"/>
        </w:rPr>
        <w:t> 联系电话：</w:t>
      </w:r>
      <w:r>
        <w:rPr>
          <w:rFonts w:hint="eastAsia" w:asciiTheme="minorEastAsia" w:hAnsiTheme="minorEastAsia" w:eastAsiaTheme="minorEastAsia" w:cstheme="minorEastAsia"/>
          <w:color w:val="auto"/>
          <w:kern w:val="0"/>
          <w:szCs w:val="21"/>
          <w:u w:val="single"/>
        </w:rPr>
        <w:t>  13905113387 </w:t>
      </w: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联系地址：</w:t>
      </w:r>
      <w:r>
        <w:rPr>
          <w:rFonts w:hint="eastAsia" w:asciiTheme="minorEastAsia" w:hAnsiTheme="minorEastAsia" w:eastAsiaTheme="minorEastAsia" w:cstheme="minorEastAsia"/>
          <w:color w:val="auto"/>
          <w:u w:val="single"/>
        </w:rPr>
        <w:t>盐城市大丰区职业技术教育中心</w:t>
      </w:r>
    </w:p>
    <w:p>
      <w:pPr>
        <w:widowControl/>
        <w:snapToGrid w:val="0"/>
        <w:spacing w:before="100" w:beforeAutospacing="1" w:after="100" w:afterAutospacing="1" w:line="300" w:lineRule="exact"/>
        <w:ind w:firstLine="482"/>
        <w:contextualSpacing/>
        <w:jc w:val="left"/>
        <w:rPr>
          <w:rFonts w:asciiTheme="minorEastAsia" w:hAnsiTheme="minorEastAsia" w:eastAsiaTheme="minorEastAsia" w:cstheme="minorEastAsia"/>
          <w:color w:val="auto"/>
          <w:kern w:val="0"/>
          <w:szCs w:val="21"/>
        </w:rPr>
      </w:pPr>
    </w:p>
    <w:p>
      <w:pPr>
        <w:widowControl/>
        <w:snapToGrid w:val="0"/>
        <w:spacing w:before="100" w:beforeAutospacing="1" w:after="100" w:afterAutospacing="1" w:line="300" w:lineRule="exact"/>
        <w:ind w:firstLine="482"/>
        <w:contextualSpacing/>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招标代理：</w:t>
      </w:r>
      <w:r>
        <w:rPr>
          <w:rFonts w:hint="eastAsia" w:asciiTheme="minorEastAsia" w:hAnsiTheme="minorEastAsia" w:eastAsiaTheme="minorEastAsia" w:cstheme="minorEastAsia"/>
          <w:color w:val="auto"/>
          <w:kern w:val="0"/>
          <w:szCs w:val="21"/>
          <w:u w:val="single"/>
        </w:rPr>
        <w:t> 盐城市同洲工程咨询有限公司</w:t>
      </w:r>
    </w:p>
    <w:p>
      <w:pPr>
        <w:widowControl/>
        <w:snapToGrid w:val="0"/>
        <w:spacing w:before="100" w:beforeAutospacing="1" w:after="100" w:afterAutospacing="1" w:line="300" w:lineRule="exact"/>
        <w:ind w:firstLine="482"/>
        <w:contextualSpacing/>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联系人：</w:t>
      </w:r>
      <w:r>
        <w:rPr>
          <w:rFonts w:hint="eastAsia" w:asciiTheme="minorEastAsia" w:hAnsiTheme="minorEastAsia" w:eastAsiaTheme="minorEastAsia" w:cstheme="minorEastAsia"/>
          <w:color w:val="auto"/>
          <w:kern w:val="0"/>
          <w:szCs w:val="21"/>
          <w:u w:val="single"/>
        </w:rPr>
        <w:t>杨友龙</w:t>
      </w:r>
      <w:r>
        <w:rPr>
          <w:rFonts w:hint="eastAsia" w:asciiTheme="minorEastAsia" w:hAnsiTheme="minorEastAsia" w:eastAsiaTheme="minorEastAsia" w:cstheme="minorEastAsia"/>
          <w:color w:val="auto"/>
          <w:kern w:val="0"/>
          <w:szCs w:val="21"/>
        </w:rPr>
        <w:t>联系电话：</w:t>
      </w:r>
      <w:r>
        <w:rPr>
          <w:rFonts w:hint="eastAsia" w:asciiTheme="minorEastAsia" w:hAnsiTheme="minorEastAsia" w:eastAsiaTheme="minorEastAsia" w:cstheme="minorEastAsia"/>
          <w:color w:val="auto"/>
          <w:kern w:val="0"/>
          <w:szCs w:val="21"/>
          <w:u w:val="single"/>
        </w:rPr>
        <w:t> 0515-83939851</w:t>
      </w: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联系地址：</w:t>
      </w:r>
      <w:r>
        <w:rPr>
          <w:rFonts w:hint="eastAsia" w:asciiTheme="minorEastAsia" w:hAnsiTheme="minorEastAsia" w:eastAsiaTheme="minorEastAsia" w:cstheme="minorEastAsia"/>
          <w:color w:val="auto"/>
          <w:kern w:val="0"/>
          <w:szCs w:val="21"/>
          <w:u w:val="single"/>
        </w:rPr>
        <w:t xml:space="preserve"> 大丰区常新南路上海花园18幢104号  </w:t>
      </w:r>
      <w:bookmarkEnd w:id="7"/>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p>
    <w:p>
      <w:pPr>
        <w:widowControl/>
        <w:snapToGrid w:val="0"/>
        <w:spacing w:before="100" w:beforeAutospacing="1" w:after="100" w:afterAutospacing="1" w:line="300" w:lineRule="exact"/>
        <w:ind w:firstLine="480"/>
        <w:contextualSpacing/>
        <w:jc w:val="left"/>
        <w:rPr>
          <w:rFonts w:asciiTheme="minorEastAsia" w:hAnsiTheme="minorEastAsia" w:eastAsiaTheme="minorEastAsia" w:cstheme="minorEastAsia"/>
          <w:color w:val="auto"/>
          <w:kern w:val="0"/>
          <w:szCs w:val="21"/>
          <w:u w:val="single"/>
        </w:rPr>
      </w:pPr>
    </w:p>
    <w:p>
      <w:pPr>
        <w:rPr>
          <w:rFonts w:asciiTheme="minorEastAsia" w:hAnsiTheme="minorEastAsia" w:eastAsiaTheme="minorEastAsia" w:cstheme="minorEastAsia"/>
          <w:color w:val="auto"/>
          <w:kern w:val="0"/>
          <w:szCs w:val="21"/>
          <w:u w:val="single"/>
        </w:rPr>
      </w:pPr>
    </w:p>
    <w:p>
      <w:pPr>
        <w:widowControl/>
        <w:jc w:val="left"/>
        <w:rPr>
          <w:rFonts w:asciiTheme="minorEastAsia" w:hAnsiTheme="minorEastAsia" w:eastAsiaTheme="minorEastAsia" w:cstheme="minorEastAsia"/>
          <w:b/>
          <w:bCs/>
          <w:color w:val="auto"/>
          <w:kern w:val="44"/>
          <w:sz w:val="44"/>
          <w:szCs w:val="44"/>
        </w:rPr>
      </w:pPr>
      <w:bookmarkStart w:id="18" w:name="_Toc29388401"/>
      <w:r>
        <w:rPr>
          <w:rFonts w:asciiTheme="minorEastAsia" w:hAnsiTheme="minorEastAsia" w:eastAsiaTheme="minorEastAsia" w:cstheme="minorEastAsia"/>
          <w:color w:val="auto"/>
        </w:rPr>
        <w:br w:type="page"/>
      </w:r>
    </w:p>
    <w:p>
      <w:pPr>
        <w:pStyle w:val="2"/>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第二章  投标人须知</w:t>
      </w:r>
      <w:bookmarkEnd w:id="8"/>
      <w:bookmarkEnd w:id="9"/>
      <w:bookmarkEnd w:id="10"/>
      <w:bookmarkEnd w:id="11"/>
      <w:bookmarkEnd w:id="12"/>
      <w:bookmarkEnd w:id="13"/>
      <w:bookmarkEnd w:id="14"/>
      <w:bookmarkEnd w:id="15"/>
      <w:bookmarkEnd w:id="16"/>
      <w:bookmarkEnd w:id="18"/>
    </w:p>
    <w:p>
      <w:pPr>
        <w:pStyle w:val="122"/>
        <w:rPr>
          <w:rFonts w:asciiTheme="minorEastAsia" w:hAnsiTheme="minorEastAsia" w:eastAsiaTheme="minorEastAsia" w:cstheme="minorEastAsia"/>
          <w:color w:val="auto"/>
        </w:rPr>
      </w:pPr>
      <w:bookmarkStart w:id="19" w:name="_Toc387526178"/>
      <w:bookmarkStart w:id="20" w:name="_Toc369077559"/>
      <w:bookmarkStart w:id="21" w:name="_Toc387526282"/>
      <w:bookmarkStart w:id="22" w:name="_Toc16205"/>
      <w:bookmarkStart w:id="23" w:name="_Toc397928548"/>
      <w:bookmarkStart w:id="24" w:name="_Toc29388402"/>
      <w:bookmarkStart w:id="25" w:name="_Toc387526374"/>
      <w:r>
        <w:rPr>
          <w:rFonts w:hint="eastAsia" w:asciiTheme="minorEastAsia" w:hAnsiTheme="minorEastAsia" w:eastAsiaTheme="minorEastAsia" w:cstheme="minorEastAsia"/>
          <w:color w:val="auto"/>
        </w:rPr>
        <w:t>1. 投标人须知前附表</w:t>
      </w:r>
      <w:bookmarkEnd w:id="19"/>
      <w:bookmarkEnd w:id="20"/>
      <w:bookmarkEnd w:id="21"/>
      <w:bookmarkEnd w:id="22"/>
      <w:bookmarkEnd w:id="23"/>
      <w:bookmarkEnd w:id="24"/>
      <w:bookmarkEnd w:id="25"/>
    </w:p>
    <w:tbl>
      <w:tblPr>
        <w:tblStyle w:val="43"/>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032"/>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条款号</w:t>
            </w:r>
          </w:p>
        </w:tc>
        <w:tc>
          <w:tcPr>
            <w:tcW w:w="3032" w:type="dxa"/>
            <w:vAlign w:val="center"/>
          </w:tcPr>
          <w:p>
            <w:pPr>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条 款 名 称</w:t>
            </w:r>
          </w:p>
        </w:tc>
        <w:tc>
          <w:tcPr>
            <w:tcW w:w="5648" w:type="dxa"/>
            <w:vAlign w:val="center"/>
          </w:tcPr>
          <w:p>
            <w:pPr>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1.1.2</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招标人</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名称：盐城市大丰区职业技术教育中心</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地址：盐城市大丰区职业技术教育中心</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联系人：姚主任</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电话： 13905113387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招标代理机构</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名称：盐城市同洲工程咨询有限公司</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w:t>
            </w:r>
            <w:r>
              <w:rPr>
                <w:rFonts w:hint="eastAsia" w:asciiTheme="minorEastAsia" w:hAnsiTheme="minorEastAsia" w:eastAsiaTheme="minorEastAsia" w:cstheme="minorEastAsia"/>
                <w:color w:val="auto"/>
                <w:kern w:val="0"/>
                <w:szCs w:val="21"/>
              </w:rPr>
              <w:t>大丰区常新南路上海花园18幢104号</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联系人：杨友龙</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电话：051583939851、13962093351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1.1.4</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盐城市大丰区职业技术教育中心2020年智慧校园运维和安全管理、智慧教室和移动录播设备建设项目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资金来源</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1.2.2</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出资比例</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资金落实情况</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招标范围</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盐城市大丰区职业技术教育中心2020年智慧校园运维和安全管理、智慧教室和移动录播设备建设项目及伴随服务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1.3.2</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交货期或交付使用期</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签订合同后5日历天内完成全部工作内容并经验收合格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1.3.3</w:t>
            </w:r>
          </w:p>
        </w:tc>
        <w:tc>
          <w:tcPr>
            <w:tcW w:w="3032" w:type="dxa"/>
            <w:vAlign w:val="center"/>
          </w:tcPr>
          <w:p>
            <w:pPr>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交货或服务地点</w:t>
            </w:r>
          </w:p>
        </w:tc>
        <w:tc>
          <w:tcPr>
            <w:tcW w:w="5648" w:type="dxa"/>
            <w:vAlign w:val="center"/>
          </w:tcPr>
          <w:p>
            <w:pP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各校园及其它招标人指定位置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1.3.4</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质量要求及验收标准</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投标人资格要求</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1.4.2</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是否接受联合体投标</w:t>
            </w:r>
          </w:p>
        </w:tc>
        <w:tc>
          <w:tcPr>
            <w:tcW w:w="5648" w:type="dxa"/>
            <w:vAlign w:val="center"/>
          </w:tcPr>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17" w:type="dxa"/>
            <w:vAlign w:val="center"/>
          </w:tcPr>
          <w:p>
            <w:pPr>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1.9.1</w:t>
            </w:r>
          </w:p>
        </w:tc>
        <w:tc>
          <w:tcPr>
            <w:tcW w:w="3032" w:type="dxa"/>
            <w:vAlign w:val="center"/>
          </w:tcPr>
          <w:p>
            <w:pP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kern w:val="0"/>
                <w:sz w:val="24"/>
              </w:rPr>
              <w:t>踏勘现场</w:t>
            </w:r>
          </w:p>
        </w:tc>
        <w:tc>
          <w:tcPr>
            <w:tcW w:w="5648" w:type="dxa"/>
            <w:vAlign w:val="center"/>
          </w:tcPr>
          <w:p>
            <w:pPr>
              <w:rPr>
                <w:rFonts w:asciiTheme="minorEastAsia" w:hAnsiTheme="minorEastAsia" w:eastAsiaTheme="minorEastAsia" w:cstheme="minorEastAsia"/>
                <w:b/>
                <w:color w:val="auto"/>
                <w:szCs w:val="21"/>
                <w:u w:val="single"/>
              </w:rPr>
            </w:pPr>
            <w:r>
              <w:rPr>
                <w:rFonts w:hint="eastAsia" w:asciiTheme="minorEastAsia" w:hAnsiTheme="minorEastAsia" w:eastAsiaTheme="minorEastAsia" w:cstheme="minorEastAsia"/>
                <w:color w:val="auto"/>
                <w:szCs w:val="21"/>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1.10</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投标预备会</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fldChar w:fldCharType="begin"/>
            </w:r>
            <w:r>
              <w:rPr>
                <w:rFonts w:hint="eastAsia" w:asciiTheme="minorEastAsia" w:hAnsiTheme="minorEastAsia" w:eastAsiaTheme="minorEastAsia" w:cstheme="minorEastAsia"/>
                <w:color w:val="auto"/>
                <w:kern w:val="0"/>
                <w:szCs w:val="21"/>
              </w:rPr>
              <w:instrText xml:space="preserve">eq \o\ac(□,</w:instrText>
            </w:r>
            <w:r>
              <w:rPr>
                <w:rFonts w:hint="eastAsia" w:asciiTheme="minorEastAsia" w:hAnsiTheme="minorEastAsia" w:eastAsiaTheme="minorEastAsia" w:cstheme="minorEastAsia"/>
                <w:color w:val="auto"/>
                <w:kern w:val="0"/>
                <w:position w:val="2"/>
                <w:szCs w:val="21"/>
              </w:rPr>
              <w:instrText xml:space="preserve">√</w:instrText>
            </w:r>
            <w:r>
              <w:rPr>
                <w:rFonts w:hint="eastAsia" w:asciiTheme="minorEastAsia" w:hAnsiTheme="minorEastAsia" w:eastAsiaTheme="minorEastAsia" w:cstheme="minorEastAsia"/>
                <w:color w:val="auto"/>
                <w:kern w:val="0"/>
                <w:szCs w:val="21"/>
              </w:rPr>
              <w:instrText xml:space="preserve">)</w:instrText>
            </w:r>
            <w:r>
              <w:rPr>
                <w:rFonts w:hint="eastAsia" w:asciiTheme="minorEastAsia" w:hAnsiTheme="minorEastAsia" w:eastAsiaTheme="minorEastAsia" w:cstheme="minorEastAsia"/>
                <w:color w:val="auto"/>
                <w:kern w:val="0"/>
                <w:szCs w:val="21"/>
              </w:rPr>
              <w:fldChar w:fldCharType="end"/>
            </w:r>
            <w:r>
              <w:rPr>
                <w:rFonts w:hint="eastAsia" w:asciiTheme="minorEastAsia" w:hAnsiTheme="minorEastAsia" w:eastAsiaTheme="minorEastAsia" w:cstheme="minorEastAsia"/>
                <w:color w:val="auto"/>
                <w:szCs w:val="21"/>
              </w:rPr>
              <w:t>不召开</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szCs w:val="21"/>
              </w:rPr>
              <w:t>召开，召开时间：</w:t>
            </w:r>
          </w:p>
          <w:p>
            <w:pPr>
              <w:ind w:firstLine="840" w:firstLineChars="4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召开地点：</w:t>
            </w:r>
          </w:p>
          <w:p>
            <w:pPr>
              <w:ind w:firstLine="840" w:firstLineChars="4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投标人提出问题的截止时间：</w:t>
            </w:r>
          </w:p>
          <w:p>
            <w:pPr>
              <w:ind w:firstLine="840" w:firstLineChars="4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偏离</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fldChar w:fldCharType="begin"/>
            </w:r>
            <w:r>
              <w:rPr>
                <w:rFonts w:hint="eastAsia" w:asciiTheme="minorEastAsia" w:hAnsiTheme="minorEastAsia" w:eastAsiaTheme="minorEastAsia" w:cstheme="minorEastAsia"/>
                <w:color w:val="auto"/>
                <w:kern w:val="0"/>
                <w:szCs w:val="21"/>
              </w:rPr>
              <w:instrText xml:space="preserve">eq \o\ac(□,</w:instrText>
            </w:r>
            <w:r>
              <w:rPr>
                <w:rFonts w:hint="eastAsia" w:asciiTheme="minorEastAsia" w:hAnsiTheme="minorEastAsia" w:eastAsiaTheme="minorEastAsia" w:cstheme="minorEastAsia"/>
                <w:color w:val="auto"/>
                <w:kern w:val="0"/>
                <w:position w:val="2"/>
                <w:szCs w:val="21"/>
              </w:rPr>
              <w:instrText xml:space="preserve">√</w:instrText>
            </w:r>
            <w:r>
              <w:rPr>
                <w:rFonts w:hint="eastAsia" w:asciiTheme="minorEastAsia" w:hAnsiTheme="minorEastAsia" w:eastAsiaTheme="minorEastAsia" w:cstheme="minorEastAsia"/>
                <w:color w:val="auto"/>
                <w:kern w:val="0"/>
                <w:szCs w:val="21"/>
              </w:rPr>
              <w:instrText xml:space="preserve">)</w:instrText>
            </w:r>
            <w:r>
              <w:rPr>
                <w:rFonts w:hint="eastAsia" w:asciiTheme="minorEastAsia" w:hAnsiTheme="minorEastAsia" w:eastAsiaTheme="minorEastAsia" w:cstheme="minorEastAsia"/>
                <w:color w:val="auto"/>
                <w:kern w:val="0"/>
                <w:szCs w:val="21"/>
              </w:rPr>
              <w:fldChar w:fldCharType="end"/>
            </w:r>
            <w:r>
              <w:rPr>
                <w:rFonts w:hint="eastAsia" w:asciiTheme="minorEastAsia" w:hAnsiTheme="minorEastAsia" w:eastAsiaTheme="minorEastAsia" w:cstheme="minorEastAsia"/>
                <w:color w:val="auto"/>
                <w:szCs w:val="21"/>
              </w:rPr>
              <w:t>允许，允许偏离范围：</w:t>
            </w:r>
          </w:p>
          <w:p>
            <w:pPr>
              <w:ind w:firstLine="840" w:firstLineChars="4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w:t>
            </w:r>
          </w:p>
        </w:tc>
        <w:tc>
          <w:tcPr>
            <w:tcW w:w="3032" w:type="dxa"/>
            <w:vAlign w:val="center"/>
          </w:tcPr>
          <w:p>
            <w:pPr>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构成招标文件的其它材料</w:t>
            </w:r>
          </w:p>
        </w:tc>
        <w:tc>
          <w:tcPr>
            <w:tcW w:w="5648" w:type="dxa"/>
            <w:vAlign w:val="center"/>
          </w:tcPr>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要求招标人澄清招标文件截至时间</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2020年 7 月 2</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 xml:space="preserve"> 日18：00时前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投标人确认收到招标文件澄清时间</w:t>
            </w:r>
          </w:p>
        </w:tc>
        <w:tc>
          <w:tcPr>
            <w:tcW w:w="5648" w:type="dxa"/>
            <w:vAlign w:val="center"/>
          </w:tcPr>
          <w:p>
            <w:pPr>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2.3.2</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投标人确认收到招标文件修改时间</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投标文件的组成</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须提交核验的原件材料</w:t>
            </w:r>
          </w:p>
        </w:tc>
        <w:tc>
          <w:tcPr>
            <w:tcW w:w="5648" w:type="dxa"/>
            <w:vAlign w:val="center"/>
          </w:tcPr>
          <w:p>
            <w:pPr>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3.2.2</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投标报价要求</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固定单价报价，是投标人承诺的质量目标和项目完成时间内为完成招标文件所确定的招标范围的全部内容的全部价格体现。投标人应充分考虑为完成上述内容所必须的【包括全部货物和服务的价格、运输到指定地点的装运费用、检测、测试、安装、验收、售后服务、项目实施过程中必要的费用工作】、投标人为完成本招标项目所必须的方案费用、制作、原有设施整理、采购、运输、力资、安装、调试、验收、利润、税金、风险费、材料损耗、劳务、垃圾清运、环境保护、特殊条件施工增加费用、现场施工围栏、</w:t>
            </w:r>
            <w:r>
              <w:rPr>
                <w:rFonts w:hint="eastAsia" w:asciiTheme="minorEastAsia" w:hAnsiTheme="minorEastAsia" w:eastAsiaTheme="minorEastAsia" w:cstheme="minorEastAsia"/>
                <w:b/>
                <w:color w:val="auto"/>
                <w:szCs w:val="21"/>
              </w:rPr>
              <w:t>施工面整理、恢复、竣工面的清理</w:t>
            </w:r>
            <w:r>
              <w:rPr>
                <w:rFonts w:hint="eastAsia" w:asciiTheme="minorEastAsia" w:hAnsiTheme="minorEastAsia" w:eastAsiaTheme="minorEastAsia" w:cstheme="minorEastAsia"/>
                <w:color w:val="auto"/>
                <w:szCs w:val="21"/>
              </w:rPr>
              <w:t>、成品保护、开办费、辅助材料费、本招标文件规定的为完成项目验收所需的企业检验试验费用、招标代理费、建（构）筑物的加固围护及政策性文件规定等所需的全部费用的价格体现。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最高投标限价</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highlight w:val="white"/>
                <w:u w:val="single"/>
                <w:lang w:val="zh-CN"/>
              </w:rPr>
              <w:t>60</w:t>
            </w:r>
            <w:r>
              <w:rPr>
                <w:rFonts w:hint="eastAsia" w:asciiTheme="minorEastAsia" w:hAnsiTheme="minorEastAsia" w:eastAsiaTheme="minorEastAsia" w:cstheme="minorEastAsia"/>
                <w:color w:val="auto"/>
                <w:szCs w:val="21"/>
                <w:highlight w:val="whit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投标保证金</w:t>
            </w:r>
          </w:p>
        </w:tc>
        <w:tc>
          <w:tcPr>
            <w:tcW w:w="5648" w:type="dxa"/>
            <w:vAlign w:val="center"/>
          </w:tcPr>
          <w:p>
            <w:pPr>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3.6</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是否允许递交备选投标方案</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fldChar w:fldCharType="begin"/>
            </w:r>
            <w:r>
              <w:rPr>
                <w:rFonts w:hint="eastAsia" w:asciiTheme="minorEastAsia" w:hAnsiTheme="minorEastAsia" w:eastAsiaTheme="minorEastAsia" w:cstheme="minorEastAsia"/>
                <w:color w:val="auto"/>
                <w:kern w:val="0"/>
                <w:szCs w:val="21"/>
              </w:rPr>
              <w:instrText xml:space="preserve">eq \o\ac(□,</w:instrText>
            </w:r>
            <w:r>
              <w:rPr>
                <w:rFonts w:hint="eastAsia" w:asciiTheme="minorEastAsia" w:hAnsiTheme="minorEastAsia" w:eastAsiaTheme="minorEastAsia" w:cstheme="minorEastAsia"/>
                <w:color w:val="auto"/>
                <w:kern w:val="0"/>
                <w:position w:val="2"/>
                <w:szCs w:val="21"/>
              </w:rPr>
              <w:instrText xml:space="preserve">√</w:instrText>
            </w:r>
            <w:r>
              <w:rPr>
                <w:rFonts w:hint="eastAsia" w:asciiTheme="minorEastAsia" w:hAnsiTheme="minorEastAsia" w:eastAsiaTheme="minorEastAsia" w:cstheme="minorEastAsia"/>
                <w:color w:val="auto"/>
                <w:kern w:val="0"/>
                <w:szCs w:val="21"/>
              </w:rPr>
              <w:instrText xml:space="preserve">)</w:instrText>
            </w:r>
            <w:r>
              <w:rPr>
                <w:rFonts w:hint="eastAsia" w:asciiTheme="minorEastAsia" w:hAnsiTheme="minorEastAsia" w:eastAsiaTheme="minorEastAsia" w:cstheme="minorEastAsia"/>
                <w:color w:val="auto"/>
                <w:kern w:val="0"/>
                <w:szCs w:val="21"/>
              </w:rPr>
              <w:fldChar w:fldCharType="end"/>
            </w:r>
            <w:r>
              <w:rPr>
                <w:rFonts w:hint="eastAsia" w:asciiTheme="minorEastAsia" w:hAnsiTheme="minorEastAsia" w:eastAsiaTheme="minorEastAsia" w:cstheme="minorEastAsia"/>
                <w:color w:val="auto"/>
                <w:szCs w:val="21"/>
              </w:rPr>
              <w:t>不允许</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3.7.4</w:t>
            </w:r>
          </w:p>
        </w:tc>
        <w:tc>
          <w:tcPr>
            <w:tcW w:w="3032" w:type="dxa"/>
            <w:vAlign w:val="center"/>
          </w:tcPr>
          <w:p>
            <w:pPr>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投标文件数量</w:t>
            </w:r>
          </w:p>
        </w:tc>
        <w:tc>
          <w:tcPr>
            <w:tcW w:w="5648" w:type="dxa"/>
            <w:vAlign w:val="center"/>
          </w:tcPr>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开标一览表</w:t>
            </w:r>
            <w:r>
              <w:rPr>
                <w:rFonts w:hint="eastAsia" w:asciiTheme="minorEastAsia" w:hAnsiTheme="minorEastAsia" w:eastAsiaTheme="minorEastAsia" w:cstheme="minorEastAsia"/>
                <w:color w:val="auto"/>
                <w:kern w:val="0"/>
                <w:szCs w:val="21"/>
                <w:u w:val="single"/>
              </w:rPr>
              <w:t xml:space="preserve"> 1 </w:t>
            </w:r>
            <w:r>
              <w:rPr>
                <w:rFonts w:hint="eastAsia" w:asciiTheme="minorEastAsia" w:hAnsiTheme="minorEastAsia" w:eastAsiaTheme="minorEastAsia" w:cstheme="minorEastAsia"/>
                <w:color w:val="auto"/>
                <w:kern w:val="0"/>
                <w:szCs w:val="21"/>
              </w:rPr>
              <w:t>份；投标文件正本</w:t>
            </w:r>
            <w:r>
              <w:rPr>
                <w:rFonts w:hint="eastAsia" w:asciiTheme="minorEastAsia" w:hAnsiTheme="minorEastAsia" w:eastAsiaTheme="minorEastAsia" w:cstheme="minorEastAsia"/>
                <w:color w:val="auto"/>
                <w:kern w:val="0"/>
                <w:szCs w:val="21"/>
                <w:u w:val="single"/>
              </w:rPr>
              <w:t xml:space="preserve"> 1 </w:t>
            </w:r>
            <w:r>
              <w:rPr>
                <w:rFonts w:hint="eastAsia" w:asciiTheme="minorEastAsia" w:hAnsiTheme="minorEastAsia" w:eastAsiaTheme="minorEastAsia" w:cstheme="minorEastAsia"/>
                <w:color w:val="auto"/>
                <w:kern w:val="0"/>
                <w:szCs w:val="21"/>
              </w:rPr>
              <w:t>份；副本</w:t>
            </w:r>
            <w:r>
              <w:rPr>
                <w:rFonts w:hint="eastAsia" w:asciiTheme="minorEastAsia" w:hAnsiTheme="minorEastAsia" w:eastAsiaTheme="minorEastAsia" w:cstheme="minorEastAsia"/>
                <w:color w:val="auto"/>
                <w:kern w:val="0"/>
                <w:szCs w:val="21"/>
                <w:u w:val="single"/>
              </w:rPr>
              <w:t xml:space="preserve"> 4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3.7.5</w:t>
            </w:r>
          </w:p>
        </w:tc>
        <w:tc>
          <w:tcPr>
            <w:tcW w:w="3032" w:type="dxa"/>
            <w:vAlign w:val="center"/>
          </w:tcPr>
          <w:p>
            <w:pPr>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投标文件装订要求</w:t>
            </w:r>
          </w:p>
        </w:tc>
        <w:tc>
          <w:tcPr>
            <w:tcW w:w="5648" w:type="dxa"/>
            <w:vAlign w:val="center"/>
          </w:tcPr>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1、投标人应按本招标文件规定的格式和顺序编制、装订投标文件并标注页码。</w:t>
            </w:r>
          </w:p>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2.投标文件正本1份，副本各4份。</w:t>
            </w:r>
          </w:p>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3、投标文件的封面应注明“正本”、“副本”字样。</w:t>
            </w:r>
          </w:p>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投标文件递交截止时间和地点</w:t>
            </w:r>
          </w:p>
        </w:tc>
        <w:tc>
          <w:tcPr>
            <w:tcW w:w="5648" w:type="dxa"/>
            <w:vAlign w:val="center"/>
          </w:tcPr>
          <w:p>
            <w:pP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时间：2020年 8 月 </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 xml:space="preserve"> 日</w:t>
            </w:r>
            <w:r>
              <w:rPr>
                <w:rFonts w:hint="eastAsia" w:asciiTheme="minorEastAsia" w:hAnsiTheme="minorEastAsia" w:eastAsiaTheme="minorEastAsia" w:cstheme="minorEastAsia"/>
                <w:color w:val="auto"/>
                <w:kern w:val="0"/>
                <w:szCs w:val="21"/>
                <w:lang w:val="en-US" w:eastAsia="zh-CN"/>
              </w:rPr>
              <w:t>9</w:t>
            </w:r>
            <w:r>
              <w:rPr>
                <w:rFonts w:hint="eastAsia" w:asciiTheme="minorEastAsia" w:hAnsiTheme="minorEastAsia" w:eastAsiaTheme="minorEastAsia" w:cstheme="minorEastAsia"/>
                <w:color w:val="auto"/>
                <w:kern w:val="0"/>
                <w:szCs w:val="21"/>
              </w:rPr>
              <w:t>时</w:t>
            </w:r>
            <w:r>
              <w:rPr>
                <w:rFonts w:hint="eastAsia" w:asciiTheme="minorEastAsia" w:hAnsiTheme="minorEastAsia" w:eastAsia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是否退还投标文件</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fldChar w:fldCharType="begin"/>
            </w:r>
            <w:r>
              <w:rPr>
                <w:rFonts w:hint="eastAsia" w:asciiTheme="minorEastAsia" w:hAnsiTheme="minorEastAsia" w:eastAsiaTheme="minorEastAsia" w:cstheme="minorEastAsia"/>
                <w:color w:val="auto"/>
                <w:kern w:val="0"/>
                <w:szCs w:val="21"/>
              </w:rPr>
              <w:instrText xml:space="preserve">eq \o\ac(□,</w:instrText>
            </w:r>
            <w:r>
              <w:rPr>
                <w:rFonts w:hint="eastAsia" w:asciiTheme="minorEastAsia" w:hAnsiTheme="minorEastAsia" w:eastAsiaTheme="minorEastAsia" w:cstheme="minorEastAsia"/>
                <w:color w:val="auto"/>
                <w:kern w:val="0"/>
                <w:position w:val="1"/>
                <w:sz w:val="14"/>
                <w:szCs w:val="21"/>
              </w:rPr>
              <w:instrText xml:space="preserve">√</w:instrText>
            </w:r>
            <w:r>
              <w:rPr>
                <w:rFonts w:hint="eastAsia" w:asciiTheme="minorEastAsia" w:hAnsiTheme="minorEastAsia" w:eastAsiaTheme="minorEastAsia" w:cstheme="minorEastAsia"/>
                <w:color w:val="auto"/>
                <w:kern w:val="0"/>
                <w:szCs w:val="21"/>
              </w:rPr>
              <w:instrText xml:space="preserve">)</w:instrText>
            </w:r>
            <w:r>
              <w:rPr>
                <w:rFonts w:hint="eastAsia" w:asciiTheme="minorEastAsia" w:hAnsiTheme="minorEastAsia" w:eastAsiaTheme="minorEastAsia" w:cstheme="minorEastAsia"/>
                <w:color w:val="auto"/>
                <w:kern w:val="0"/>
                <w:szCs w:val="21"/>
              </w:rPr>
              <w:fldChar w:fldCharType="end"/>
            </w:r>
            <w:r>
              <w:rPr>
                <w:rFonts w:hint="eastAsia" w:asciiTheme="minorEastAsia" w:hAnsiTheme="minorEastAsia" w:eastAsiaTheme="minorEastAsia" w:cstheme="minorEastAsia"/>
                <w:color w:val="auto"/>
                <w:szCs w:val="21"/>
              </w:rPr>
              <w:t>否</w:t>
            </w:r>
          </w:p>
          <w:p>
            <w:pPr>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szCs w:val="21"/>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开标时间和地点</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开标时间：同投标截止时间</w:t>
            </w:r>
          </w:p>
          <w:p>
            <w:pPr>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是否授权评标委员会确定中标人</w:t>
            </w:r>
          </w:p>
        </w:tc>
        <w:tc>
          <w:tcPr>
            <w:tcW w:w="5648"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szCs w:val="21"/>
              </w:rPr>
              <w:t>是</w:t>
            </w:r>
          </w:p>
          <w:p>
            <w:pPr>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kern w:val="0"/>
                <w:szCs w:val="21"/>
              </w:rPr>
              <w:fldChar w:fldCharType="begin"/>
            </w:r>
            <w:r>
              <w:rPr>
                <w:rFonts w:hint="eastAsia" w:asciiTheme="minorEastAsia" w:hAnsiTheme="minorEastAsia" w:eastAsiaTheme="minorEastAsia" w:cstheme="minorEastAsia"/>
                <w:color w:val="auto"/>
                <w:kern w:val="0"/>
                <w:szCs w:val="21"/>
              </w:rPr>
              <w:instrText xml:space="preserve">eq \o\ac(□,</w:instrText>
            </w:r>
            <w:r>
              <w:rPr>
                <w:rFonts w:hint="eastAsia" w:asciiTheme="minorEastAsia" w:hAnsiTheme="minorEastAsia" w:eastAsiaTheme="minorEastAsia" w:cstheme="minorEastAsia"/>
                <w:color w:val="auto"/>
                <w:kern w:val="0"/>
                <w:position w:val="1"/>
                <w:sz w:val="14"/>
                <w:szCs w:val="21"/>
              </w:rPr>
              <w:instrText xml:space="preserve">√</w:instrText>
            </w:r>
            <w:r>
              <w:rPr>
                <w:rFonts w:hint="eastAsia" w:asciiTheme="minorEastAsia" w:hAnsiTheme="minorEastAsia" w:eastAsiaTheme="minorEastAsia" w:cstheme="minorEastAsia"/>
                <w:color w:val="auto"/>
                <w:kern w:val="0"/>
                <w:szCs w:val="21"/>
              </w:rPr>
              <w:instrText xml:space="preserve">)</w:instrText>
            </w:r>
            <w:r>
              <w:rPr>
                <w:rFonts w:hint="eastAsia" w:asciiTheme="minorEastAsia" w:hAnsiTheme="minorEastAsia" w:eastAsiaTheme="minorEastAsia" w:cstheme="minorEastAsia"/>
                <w:color w:val="auto"/>
                <w:kern w:val="0"/>
                <w:szCs w:val="21"/>
              </w:rPr>
              <w:fldChar w:fldCharType="end"/>
            </w:r>
            <w:r>
              <w:rPr>
                <w:rFonts w:hint="eastAsia" w:asciiTheme="minorEastAsia" w:hAnsiTheme="minorEastAsia" w:eastAsiaTheme="minorEastAsia" w:cstheme="minorEastAsia"/>
                <w:color w:val="auto"/>
                <w:szCs w:val="21"/>
              </w:rPr>
              <w:t>否</w:t>
            </w:r>
            <w:r>
              <w:rPr>
                <w:rFonts w:hint="eastAsia" w:asciiTheme="minorEastAsia" w:hAnsiTheme="minorEastAsia" w:eastAsiaTheme="minorEastAsia" w:cstheme="minorEastAsia"/>
                <w:color w:val="auto"/>
                <w:szCs w:val="21"/>
                <w:u w:val="single"/>
              </w:rPr>
              <w:t>由评标委员会按顺序推荐3名中标侯选人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8.3</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履约保证金</w:t>
            </w:r>
          </w:p>
        </w:tc>
        <w:tc>
          <w:tcPr>
            <w:tcW w:w="5648" w:type="dxa"/>
            <w:vAlign w:val="center"/>
          </w:tcPr>
          <w:p>
            <w:pP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履约保证金的形式： 银行转帐、电汇、网汇等。</w:t>
            </w:r>
          </w:p>
          <w:p>
            <w:pP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履约保证金的金额：中标价的10%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17"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10.1</w:t>
            </w:r>
          </w:p>
        </w:tc>
        <w:tc>
          <w:tcPr>
            <w:tcW w:w="3032"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收费标准</w:t>
            </w:r>
          </w:p>
        </w:tc>
        <w:tc>
          <w:tcPr>
            <w:tcW w:w="5648"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Cs/>
                <w:color w:val="auto"/>
                <w:szCs w:val="21"/>
              </w:rPr>
              <w:t>本项目招标代理费向中标单位收取，招标代理费按计价格[2002]1980号文件规定货物类标准100%缴纳；请投标人考虑在投标报价中。</w:t>
            </w:r>
          </w:p>
        </w:tc>
      </w:tr>
    </w:tbl>
    <w:p>
      <w:pPr>
        <w:spacing w:line="360" w:lineRule="auto"/>
        <w:rPr>
          <w:rFonts w:asciiTheme="minorEastAsia" w:hAnsiTheme="minorEastAsia" w:eastAsiaTheme="minorEastAsia" w:cstheme="minorEastAsia"/>
          <w:b/>
          <w:color w:val="auto"/>
          <w:sz w:val="24"/>
        </w:rPr>
      </w:pPr>
      <w:bookmarkStart w:id="26" w:name="_Toc367894798"/>
      <w:bookmarkStart w:id="27" w:name="_Toc363329370"/>
      <w:bookmarkStart w:id="28" w:name="_Toc369077561"/>
      <w:bookmarkStart w:id="29" w:name="_Toc368760427"/>
      <w:bookmarkStart w:id="30" w:name="_Toc184635071"/>
      <w:bookmarkStart w:id="31" w:name="_Toc368759375"/>
      <w:r>
        <w:rPr>
          <w:rFonts w:hint="eastAsia" w:asciiTheme="minorEastAsia" w:hAnsiTheme="minorEastAsia" w:eastAsiaTheme="minorEastAsia" w:cstheme="minorEastAsia"/>
          <w:b/>
          <w:color w:val="auto"/>
          <w:sz w:val="24"/>
        </w:rPr>
        <w:t>特别提醒：</w:t>
      </w:r>
    </w:p>
    <w:p>
      <w:pPr>
        <w:spacing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1、招标人会根据招标需要，可能会不定期在大丰公共资源电子交易平台（http://221.231.122.12/dfweb/） 上发布该项目补充答疑等澄清修改文件，请各投标人自行网上查寻，未能及时查阅响应而影响投标的，结果由投标人负责。</w:t>
      </w:r>
    </w:p>
    <w:p>
      <w:pPr>
        <w:spacing w:line="360" w:lineRule="auto"/>
        <w:ind w:firstLine="480" w:firstLineChars="200"/>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color w:val="auto"/>
          <w:sz w:val="24"/>
        </w:rPr>
        <w:br w:type="page"/>
      </w:r>
      <w:bookmarkStart w:id="32" w:name="_Toc18948"/>
      <w:bookmarkStart w:id="33" w:name="_Toc387526179"/>
      <w:bookmarkStart w:id="34" w:name="_Toc397928549"/>
      <w:bookmarkStart w:id="35" w:name="_Toc387526283"/>
      <w:bookmarkStart w:id="36" w:name="_Toc387526375"/>
      <w:r>
        <w:rPr>
          <w:rFonts w:hint="eastAsia" w:asciiTheme="minorEastAsia" w:hAnsiTheme="minorEastAsia" w:eastAsiaTheme="minorEastAsia" w:cstheme="minorEastAsia"/>
          <w:b/>
          <w:color w:val="auto"/>
          <w:sz w:val="32"/>
          <w:szCs w:val="32"/>
        </w:rPr>
        <w:t>1.总则</w:t>
      </w:r>
      <w:bookmarkEnd w:id="26"/>
      <w:bookmarkEnd w:id="27"/>
      <w:bookmarkEnd w:id="28"/>
      <w:bookmarkEnd w:id="29"/>
      <w:bookmarkEnd w:id="30"/>
      <w:bookmarkEnd w:id="31"/>
      <w:bookmarkEnd w:id="32"/>
      <w:bookmarkEnd w:id="33"/>
      <w:bookmarkEnd w:id="34"/>
      <w:bookmarkEnd w:id="35"/>
      <w:bookmarkEnd w:id="36"/>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37" w:name="_Toc397928550"/>
      <w:bookmarkStart w:id="38" w:name="_Toc387526180"/>
      <w:bookmarkStart w:id="39" w:name="_Toc29388403"/>
      <w:bookmarkStart w:id="40" w:name="_Toc387526376"/>
      <w:bookmarkStart w:id="41" w:name="_Toc387526284"/>
      <w:bookmarkStart w:id="42" w:name="_Toc5365"/>
      <w:r>
        <w:rPr>
          <w:rFonts w:hint="eastAsia" w:asciiTheme="minorEastAsia" w:hAnsiTheme="minorEastAsia" w:eastAsiaTheme="minorEastAsia" w:cstheme="minorEastAsia"/>
          <w:color w:val="auto"/>
          <w:sz w:val="21"/>
          <w:szCs w:val="21"/>
          <w:highlight w:val="white"/>
        </w:rPr>
        <w:t>1.1 项目概况</w:t>
      </w:r>
      <w:bookmarkEnd w:id="37"/>
      <w:bookmarkEnd w:id="38"/>
      <w:bookmarkEnd w:id="39"/>
      <w:bookmarkEnd w:id="40"/>
      <w:bookmarkEnd w:id="41"/>
      <w:bookmarkEnd w:id="42"/>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1.1.1根据有关法律、法规和规章的规定，本招标项目已具备招标条件，现对本项目</w:t>
      </w:r>
      <w:r>
        <w:rPr>
          <w:rFonts w:hint="eastAsia" w:asciiTheme="minorEastAsia" w:hAnsiTheme="minorEastAsia" w:eastAsiaTheme="minorEastAsia" w:cstheme="minorEastAsia"/>
          <w:color w:val="auto"/>
          <w:szCs w:val="21"/>
        </w:rPr>
        <w:t>货物</w:t>
      </w:r>
      <w:r>
        <w:rPr>
          <w:rFonts w:hint="eastAsia" w:asciiTheme="minorEastAsia" w:hAnsiTheme="minorEastAsia" w:eastAsiaTheme="minorEastAsia" w:cstheme="minorEastAsia"/>
          <w:color w:val="auto"/>
          <w:szCs w:val="21"/>
          <w:highlight w:val="white"/>
        </w:rPr>
        <w:t>进行招标。</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1.1.2本招标项目招标人：见投标人须知前附表。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1.1.3本招标项目招标代理机构：见投标人须知前附表。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1.1.4本招标项目名称：见投标人须知前附表。</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43" w:name="_Toc387526377"/>
      <w:bookmarkStart w:id="44" w:name="_Toc397928551"/>
      <w:bookmarkStart w:id="45" w:name="_Toc387526181"/>
      <w:bookmarkStart w:id="46" w:name="_Toc11796"/>
      <w:bookmarkStart w:id="47" w:name="_Toc29388404"/>
      <w:bookmarkStart w:id="48" w:name="_Toc387526285"/>
      <w:r>
        <w:rPr>
          <w:rFonts w:hint="eastAsia" w:asciiTheme="minorEastAsia" w:hAnsiTheme="minorEastAsia" w:eastAsiaTheme="minorEastAsia" w:cstheme="minorEastAsia"/>
          <w:color w:val="auto"/>
          <w:sz w:val="21"/>
          <w:szCs w:val="21"/>
          <w:highlight w:val="white"/>
        </w:rPr>
        <w:t>1.2 资金来源和落实情况</w:t>
      </w:r>
      <w:bookmarkEnd w:id="43"/>
      <w:bookmarkEnd w:id="44"/>
      <w:bookmarkEnd w:id="45"/>
      <w:bookmarkEnd w:id="46"/>
      <w:bookmarkEnd w:id="47"/>
      <w:bookmarkEnd w:id="48"/>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1.2.1本招标项目的资金来源：见投标人须知前附表。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1.2.2本招标项目的出资比例：见投标人须知前附表。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1.2.3本招标项目的资金落实情况：见投标人须知前附表。</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49" w:name="_Toc387526378"/>
      <w:bookmarkStart w:id="50" w:name="_Toc387526182"/>
      <w:bookmarkStart w:id="51" w:name="_Toc29388405"/>
      <w:bookmarkStart w:id="52" w:name="_Toc397928552"/>
      <w:bookmarkStart w:id="53" w:name="_Toc853"/>
      <w:bookmarkStart w:id="54" w:name="_Toc387526286"/>
      <w:r>
        <w:rPr>
          <w:rFonts w:hint="eastAsia" w:asciiTheme="minorEastAsia" w:hAnsiTheme="minorEastAsia" w:eastAsiaTheme="minorEastAsia" w:cstheme="minorEastAsia"/>
          <w:color w:val="auto"/>
          <w:sz w:val="21"/>
          <w:szCs w:val="21"/>
          <w:highlight w:val="white"/>
        </w:rPr>
        <w:t>1.3招标范围、交货期或工期和质量要求</w:t>
      </w:r>
      <w:bookmarkEnd w:id="49"/>
      <w:bookmarkEnd w:id="50"/>
      <w:bookmarkEnd w:id="51"/>
      <w:bookmarkEnd w:id="52"/>
      <w:bookmarkEnd w:id="53"/>
      <w:bookmarkEnd w:id="54"/>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1.3.1本次招标范围：见投标人须知前附表。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1.3.2本招标项目的交货期或工期：见投标人须知前附表。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1.3.3本招标项目的交货或服务地点：见投标人须知前附表。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1.3.4本招标项目的质量要求及验收标准：见投标人须知前附表。</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55" w:name="_Toc387526287"/>
      <w:bookmarkStart w:id="56" w:name="_Toc397928553"/>
      <w:bookmarkStart w:id="57" w:name="_Toc13930"/>
      <w:bookmarkStart w:id="58" w:name="_Toc387526183"/>
      <w:bookmarkStart w:id="59" w:name="_Toc387526379"/>
      <w:bookmarkStart w:id="60" w:name="_Toc29388406"/>
      <w:r>
        <w:rPr>
          <w:rFonts w:hint="eastAsia" w:asciiTheme="minorEastAsia" w:hAnsiTheme="minorEastAsia" w:eastAsiaTheme="minorEastAsia" w:cstheme="minorEastAsia"/>
          <w:color w:val="auto"/>
          <w:sz w:val="21"/>
          <w:szCs w:val="21"/>
          <w:highlight w:val="white"/>
        </w:rPr>
        <w:t>1.4 投标人资格要求</w:t>
      </w:r>
      <w:bookmarkEnd w:id="55"/>
      <w:bookmarkEnd w:id="56"/>
      <w:bookmarkEnd w:id="57"/>
      <w:bookmarkEnd w:id="58"/>
      <w:bookmarkEnd w:id="59"/>
      <w:bookmarkEnd w:id="60"/>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1.4.1 投标人应具备的资格要求见投标人须知前附表。</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（2）由同一专业的单位组成的联合体，按照资质等级较低的单位确定资质等级；</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highlight w:val="white"/>
        </w:rPr>
        <w:t>（3）联合体各方不得再以自己名义单独或加入其他联合体在同一标段中参加</w:t>
      </w:r>
      <w:r>
        <w:rPr>
          <w:rFonts w:hint="eastAsia" w:asciiTheme="minorEastAsia" w:hAnsiTheme="minorEastAsia" w:eastAsiaTheme="minorEastAsia" w:cstheme="minorEastAsia"/>
          <w:color w:val="auto"/>
          <w:szCs w:val="21"/>
        </w:rPr>
        <w:t>投标</w:t>
      </w:r>
      <w:r>
        <w:rPr>
          <w:rFonts w:hint="eastAsia" w:asciiTheme="minorEastAsia" w:hAnsiTheme="minorEastAsia" w:eastAsiaTheme="minorEastAsia" w:cstheme="minorEastAsia"/>
          <w:color w:val="auto"/>
          <w:kern w:val="0"/>
          <w:szCs w:val="21"/>
        </w:rPr>
        <w:t>。</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highlight w:val="white"/>
        </w:rPr>
        <w:t>1.4.3 投标</w:t>
      </w:r>
      <w:r>
        <w:rPr>
          <w:rFonts w:hint="eastAsia" w:asciiTheme="minorEastAsia" w:hAnsiTheme="minorEastAsia" w:eastAsiaTheme="minorEastAsia" w:cstheme="minorEastAsia"/>
          <w:color w:val="auto"/>
          <w:szCs w:val="21"/>
        </w:rPr>
        <w:t xml:space="preserve">人不得存在下列情形之一： </w:t>
      </w:r>
    </w:p>
    <w:p>
      <w:pPr>
        <w:spacing w:line="400" w:lineRule="exact"/>
        <w:ind w:firstLine="420" w:firstLineChars="200"/>
        <w:rPr>
          <w:rFonts w:asciiTheme="minorEastAsia" w:hAnsiTheme="minorEastAsia" w:eastAsiaTheme="minorEastAsia" w:cstheme="minorEastAsia"/>
          <w:color w:val="auto"/>
          <w:szCs w:val="21"/>
        </w:rPr>
      </w:pPr>
      <w:bookmarkStart w:id="61" w:name="_Toc387526380"/>
      <w:bookmarkStart w:id="62" w:name="_Toc387526288"/>
      <w:bookmarkStart w:id="63" w:name="_Toc1684"/>
      <w:bookmarkStart w:id="64" w:name="_Toc387526184"/>
      <w:r>
        <w:rPr>
          <w:rFonts w:hint="eastAsia" w:asciiTheme="minorEastAsia" w:hAnsiTheme="minorEastAsia" w:eastAsiaTheme="minorEastAsia" w:cstheme="minorEastAsia"/>
          <w:color w:val="auto"/>
          <w:szCs w:val="21"/>
        </w:rPr>
        <w:t xml:space="preserve">（1）为招标人的附属机构（单位）； </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（2）为本标段的监理人；</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（3）为本标段的代建人；</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（4）为本标段提供招标代理服务的；</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（5）与本标段的监理人或代建人或招标代理机构的单位负责人为同一个人的； </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（6）与本标段的监理人或代建人或招标代理机构相互控股或参股的；</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（7）与本标段的其他申请人的单位负责人为同一个人的；</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（8）与本标段的其他申请人之间存在控股、管理关系或母公司、全资子公司关系的；</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（9）法律法规规定的其他情形。</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65" w:name="_Toc29388407"/>
      <w:bookmarkStart w:id="66" w:name="_Toc397928554"/>
      <w:r>
        <w:rPr>
          <w:rFonts w:hint="eastAsia" w:asciiTheme="minorEastAsia" w:hAnsiTheme="minorEastAsia" w:eastAsiaTheme="minorEastAsia" w:cstheme="minorEastAsia"/>
          <w:color w:val="auto"/>
          <w:sz w:val="21"/>
          <w:szCs w:val="21"/>
          <w:highlight w:val="white"/>
        </w:rPr>
        <w:t>1.5 费用承担</w:t>
      </w:r>
      <w:bookmarkEnd w:id="61"/>
      <w:bookmarkEnd w:id="62"/>
      <w:bookmarkEnd w:id="63"/>
      <w:bookmarkEnd w:id="64"/>
      <w:bookmarkEnd w:id="65"/>
      <w:bookmarkEnd w:id="66"/>
    </w:p>
    <w:p>
      <w:pPr>
        <w:autoSpaceDE w:val="0"/>
        <w:autoSpaceDN w:val="0"/>
        <w:adjustRightInd w:val="0"/>
        <w:spacing w:line="400" w:lineRule="exact"/>
        <w:ind w:firstLine="420" w:firstLineChars="200"/>
        <w:jc w:val="left"/>
        <w:rPr>
          <w:rFonts w:asciiTheme="minorEastAsia" w:hAnsiTheme="minorEastAsia" w:eastAsiaTheme="minorEastAsia" w:cstheme="minorEastAsia"/>
          <w:b/>
          <w:color w:val="auto"/>
          <w:szCs w:val="21"/>
          <w:highlight w:val="white"/>
        </w:rPr>
      </w:pPr>
      <w:r>
        <w:rPr>
          <w:rFonts w:hint="eastAsia" w:asciiTheme="minorEastAsia" w:hAnsiTheme="minorEastAsia" w:eastAsiaTheme="minorEastAsia" w:cstheme="minorEastAsia"/>
          <w:color w:val="auto"/>
          <w:kern w:val="0"/>
          <w:szCs w:val="21"/>
        </w:rPr>
        <w:t>投标人准备和参加投标活动发生的费用自理。</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67" w:name="_Toc387526381"/>
      <w:bookmarkStart w:id="68" w:name="_Toc29388408"/>
      <w:bookmarkStart w:id="69" w:name="_Toc5130"/>
      <w:bookmarkStart w:id="70" w:name="_Toc387526185"/>
      <w:bookmarkStart w:id="71" w:name="_Toc387526289"/>
      <w:bookmarkStart w:id="72" w:name="_Toc397928555"/>
      <w:r>
        <w:rPr>
          <w:rFonts w:hint="eastAsia" w:asciiTheme="minorEastAsia" w:hAnsiTheme="minorEastAsia" w:eastAsiaTheme="minorEastAsia" w:cstheme="minorEastAsia"/>
          <w:color w:val="auto"/>
          <w:sz w:val="21"/>
          <w:szCs w:val="21"/>
          <w:highlight w:val="white"/>
        </w:rPr>
        <w:t>1.6 保密</w:t>
      </w:r>
      <w:bookmarkEnd w:id="67"/>
      <w:bookmarkEnd w:id="68"/>
      <w:bookmarkEnd w:id="69"/>
      <w:bookmarkEnd w:id="70"/>
      <w:bookmarkEnd w:id="71"/>
      <w:bookmarkEnd w:id="72"/>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参与招标投标活动的各方应对招标文件和投标文件中的商业和技术等秘密保密，违者应对由此造成的后果承担法律责任。</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73" w:name="_Toc387526382"/>
      <w:bookmarkStart w:id="74" w:name="_Toc397928556"/>
      <w:bookmarkStart w:id="75" w:name="_Toc29388409"/>
      <w:bookmarkStart w:id="76" w:name="_Toc387526186"/>
      <w:bookmarkStart w:id="77" w:name="_Toc387526290"/>
      <w:bookmarkStart w:id="78" w:name="_Toc822"/>
      <w:r>
        <w:rPr>
          <w:rFonts w:hint="eastAsia" w:asciiTheme="minorEastAsia" w:hAnsiTheme="minorEastAsia" w:eastAsiaTheme="minorEastAsia" w:cstheme="minorEastAsia"/>
          <w:color w:val="auto"/>
          <w:sz w:val="21"/>
          <w:szCs w:val="21"/>
          <w:highlight w:val="white"/>
        </w:rPr>
        <w:t>1.7 语言文字</w:t>
      </w:r>
      <w:bookmarkEnd w:id="73"/>
      <w:bookmarkEnd w:id="74"/>
      <w:bookmarkEnd w:id="75"/>
      <w:bookmarkEnd w:id="76"/>
      <w:bookmarkEnd w:id="77"/>
      <w:bookmarkEnd w:id="78"/>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除专用术语外，与招标投标有关的语言均使用中文。必要时专用术语应附有中文注释。</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79" w:name="_Toc387526383"/>
      <w:bookmarkStart w:id="80" w:name="_Toc397928557"/>
      <w:bookmarkStart w:id="81" w:name="_Toc29388410"/>
      <w:bookmarkStart w:id="82" w:name="_Toc387526291"/>
      <w:bookmarkStart w:id="83" w:name="_Toc31413"/>
      <w:bookmarkStart w:id="84" w:name="_Toc387526187"/>
      <w:r>
        <w:rPr>
          <w:rFonts w:hint="eastAsia" w:asciiTheme="minorEastAsia" w:hAnsiTheme="minorEastAsia" w:eastAsiaTheme="minorEastAsia" w:cstheme="minorEastAsia"/>
          <w:color w:val="auto"/>
          <w:sz w:val="21"/>
          <w:szCs w:val="21"/>
          <w:highlight w:val="white"/>
        </w:rPr>
        <w:t>1.8 计量单位</w:t>
      </w:r>
      <w:bookmarkEnd w:id="79"/>
      <w:bookmarkEnd w:id="80"/>
      <w:bookmarkEnd w:id="81"/>
      <w:bookmarkEnd w:id="82"/>
      <w:bookmarkEnd w:id="83"/>
      <w:bookmarkEnd w:id="84"/>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所有计量均采用中华人民共和国法定计量单位。</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85" w:name="_Toc387526188"/>
      <w:bookmarkStart w:id="86" w:name="_Toc29388411"/>
      <w:bookmarkStart w:id="87" w:name="_Toc397928558"/>
      <w:bookmarkStart w:id="88" w:name="_Toc387526384"/>
      <w:bookmarkStart w:id="89" w:name="_Toc25122"/>
      <w:bookmarkStart w:id="90" w:name="_Toc387526292"/>
      <w:r>
        <w:rPr>
          <w:rFonts w:hint="eastAsia" w:asciiTheme="minorEastAsia" w:hAnsiTheme="minorEastAsia" w:eastAsiaTheme="minorEastAsia" w:cstheme="minorEastAsia"/>
          <w:color w:val="auto"/>
          <w:sz w:val="21"/>
          <w:szCs w:val="21"/>
          <w:highlight w:val="white"/>
        </w:rPr>
        <w:t>1.9 踏勘现场</w:t>
      </w:r>
      <w:bookmarkEnd w:id="85"/>
      <w:bookmarkEnd w:id="86"/>
      <w:bookmarkEnd w:id="87"/>
      <w:bookmarkEnd w:id="88"/>
      <w:bookmarkEnd w:id="89"/>
      <w:bookmarkEnd w:id="90"/>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1.9.2 投标人踏勘现场发生的费用自理。</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1.9.4 招标人向投标人提供的有关施工现场的资料和数据是招标人现有的能使投标人利用的资料。招标人对投标人由此而做出的推论、理解和结论概不负责。</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91" w:name="_Toc387526385"/>
      <w:bookmarkStart w:id="92" w:name="_Toc397928559"/>
      <w:bookmarkStart w:id="93" w:name="_Toc387526293"/>
      <w:bookmarkStart w:id="94" w:name="_Toc29388412"/>
      <w:bookmarkStart w:id="95" w:name="_Toc387526189"/>
      <w:bookmarkStart w:id="96" w:name="_Toc11088"/>
      <w:r>
        <w:rPr>
          <w:rFonts w:hint="eastAsia" w:asciiTheme="minorEastAsia" w:hAnsiTheme="minorEastAsia" w:eastAsiaTheme="minorEastAsia" w:cstheme="minorEastAsia"/>
          <w:color w:val="auto"/>
          <w:sz w:val="21"/>
          <w:szCs w:val="21"/>
          <w:highlight w:val="white"/>
        </w:rPr>
        <w:t>1.10 投标预备会</w:t>
      </w:r>
      <w:bookmarkEnd w:id="91"/>
      <w:bookmarkEnd w:id="92"/>
      <w:bookmarkEnd w:id="93"/>
      <w:bookmarkEnd w:id="94"/>
      <w:bookmarkEnd w:id="95"/>
      <w:bookmarkEnd w:id="96"/>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1.10.2 投标人应在投标人须知前附表规定的时间前，以书面形式将提出的问题送达招标人，以便招标人在会议期间澄清。</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1.10.3 投标预备会后，招标人在投标人须知前附表规定的时间内，将对投标人所提问颗的澄清，以书面方式通知所有购买招标文件的投标人。该澄清内容为招标文件的组成部分。</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97" w:name="_Toc387526294"/>
      <w:bookmarkStart w:id="98" w:name="_Toc21970"/>
      <w:bookmarkStart w:id="99" w:name="_Toc366679673"/>
      <w:bookmarkStart w:id="100" w:name="_Toc387526386"/>
      <w:bookmarkStart w:id="101" w:name="_Toc387526190"/>
      <w:bookmarkStart w:id="102" w:name="_Toc29388413"/>
      <w:bookmarkStart w:id="103" w:name="_Toc397928560"/>
      <w:bookmarkStart w:id="104" w:name="_Toc363329371"/>
      <w:bookmarkStart w:id="105" w:name="_Toc367894799"/>
      <w:r>
        <w:rPr>
          <w:rFonts w:hint="eastAsia" w:asciiTheme="minorEastAsia" w:hAnsiTheme="minorEastAsia" w:eastAsiaTheme="minorEastAsia" w:cstheme="minorEastAsia"/>
          <w:color w:val="auto"/>
          <w:sz w:val="21"/>
          <w:szCs w:val="21"/>
          <w:highlight w:val="white"/>
        </w:rPr>
        <w:t>1.11 偏离</w:t>
      </w:r>
      <w:bookmarkEnd w:id="97"/>
      <w:bookmarkEnd w:id="98"/>
      <w:bookmarkEnd w:id="99"/>
      <w:bookmarkEnd w:id="100"/>
      <w:bookmarkEnd w:id="101"/>
      <w:bookmarkEnd w:id="102"/>
      <w:bookmarkEnd w:id="103"/>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投标人须知前附表允许投标文件偏离招标文件某些要求的，偏离应当符合招标文件规定的偏离范围和幅度。</w:t>
      </w:r>
    </w:p>
    <w:p>
      <w:pPr>
        <w:pStyle w:val="122"/>
        <w:rPr>
          <w:rFonts w:asciiTheme="minorEastAsia" w:hAnsiTheme="minorEastAsia" w:eastAsiaTheme="minorEastAsia" w:cstheme="minorEastAsia"/>
          <w:color w:val="auto"/>
        </w:rPr>
      </w:pPr>
      <w:bookmarkStart w:id="106" w:name="_Toc368759376"/>
      <w:bookmarkStart w:id="107" w:name="_Toc29388414"/>
      <w:bookmarkStart w:id="108" w:name="_Toc387526295"/>
      <w:bookmarkStart w:id="109" w:name="_Toc397928561"/>
      <w:bookmarkStart w:id="110" w:name="_Toc369077562"/>
      <w:bookmarkStart w:id="111" w:name="_Toc387526191"/>
      <w:bookmarkStart w:id="112" w:name="_Toc368760428"/>
      <w:bookmarkStart w:id="113" w:name="_Toc30422"/>
      <w:bookmarkStart w:id="114" w:name="_Toc387526387"/>
      <w:r>
        <w:rPr>
          <w:rFonts w:hint="eastAsia" w:asciiTheme="minorEastAsia" w:hAnsiTheme="minorEastAsia" w:eastAsiaTheme="minorEastAsia" w:cstheme="minorEastAsia"/>
          <w:color w:val="auto"/>
        </w:rPr>
        <w:t>2.招标文件</w:t>
      </w:r>
      <w:bookmarkEnd w:id="104"/>
      <w:bookmarkEnd w:id="105"/>
      <w:bookmarkEnd w:id="106"/>
      <w:bookmarkEnd w:id="107"/>
      <w:bookmarkEnd w:id="108"/>
      <w:bookmarkEnd w:id="109"/>
      <w:bookmarkEnd w:id="110"/>
      <w:bookmarkEnd w:id="111"/>
      <w:bookmarkEnd w:id="112"/>
      <w:bookmarkEnd w:id="113"/>
      <w:bookmarkEnd w:id="114"/>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15" w:name="_Toc23070"/>
      <w:bookmarkStart w:id="116" w:name="_Toc387526296"/>
      <w:bookmarkStart w:id="117" w:name="_Toc29388415"/>
      <w:bookmarkStart w:id="118" w:name="_Toc397928562"/>
      <w:bookmarkStart w:id="119" w:name="_Toc387526192"/>
      <w:bookmarkStart w:id="120" w:name="_Toc387526388"/>
      <w:r>
        <w:rPr>
          <w:rFonts w:hint="eastAsia" w:asciiTheme="minorEastAsia" w:hAnsiTheme="minorEastAsia" w:eastAsiaTheme="minorEastAsia" w:cstheme="minorEastAsia"/>
          <w:color w:val="auto"/>
          <w:sz w:val="21"/>
          <w:szCs w:val="21"/>
          <w:highlight w:val="white"/>
        </w:rPr>
        <w:t>2.1招标文件组成</w:t>
      </w:r>
      <w:bookmarkEnd w:id="115"/>
      <w:bookmarkEnd w:id="116"/>
      <w:bookmarkEnd w:id="117"/>
      <w:bookmarkEnd w:id="118"/>
      <w:bookmarkEnd w:id="119"/>
      <w:bookmarkEnd w:id="120"/>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2.1.1 本招标文件包括：</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（1）招标公告；</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（2）投标人须知；</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（3）评标办法；</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（4）合同条款及格式；</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（5）货物需求；</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（6）图纸；</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（7）投标文件格式；</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（8）投标人须知前附表规定的其他材料。</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2.1.2根据本章第1.10款、第2.2款和第2.3款对招标文件所作的澄清、修改，构成招标文件的组成部分。当招标文件相互之间发生矛盾时，以后发出的文件为准。</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21" w:name="_Toc179632562"/>
      <w:bookmarkStart w:id="122" w:name="_Toc29388416"/>
      <w:bookmarkStart w:id="123" w:name="_Toc9593"/>
      <w:bookmarkStart w:id="124" w:name="_Toc397928563"/>
      <w:bookmarkStart w:id="125" w:name="_Toc366679676"/>
      <w:bookmarkStart w:id="126" w:name="_Toc144974512"/>
      <w:bookmarkStart w:id="127" w:name="_Toc246996932"/>
      <w:bookmarkStart w:id="128" w:name="_Toc152042320"/>
      <w:bookmarkStart w:id="129" w:name="_Toc152045544"/>
      <w:bookmarkStart w:id="130" w:name="_Toc387526193"/>
      <w:bookmarkStart w:id="131" w:name="_Toc247085703"/>
      <w:bookmarkStart w:id="132" w:name="_Toc246996189"/>
      <w:bookmarkStart w:id="133" w:name="_Toc387526389"/>
      <w:bookmarkStart w:id="134" w:name="_Toc387526297"/>
      <w:r>
        <w:rPr>
          <w:rFonts w:hint="eastAsia" w:asciiTheme="minorEastAsia" w:hAnsiTheme="minorEastAsia" w:eastAsiaTheme="minorEastAsia" w:cstheme="minorEastAsia"/>
          <w:color w:val="auto"/>
          <w:sz w:val="21"/>
          <w:szCs w:val="21"/>
          <w:highlight w:val="white"/>
        </w:rPr>
        <w:t>2.2 招标文件的澄清</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w:t>
      </w:r>
      <w:r>
        <w:rPr>
          <w:rFonts w:hint="eastAsia" w:asciiTheme="minorEastAsia" w:hAnsiTheme="minorEastAsia" w:eastAsiaTheme="minorEastAsia" w:cstheme="minorEastAsia"/>
          <w:color w:val="auto"/>
          <w:szCs w:val="21"/>
          <w:highlight w:val="white"/>
        </w:rPr>
        <w:t>求招标人对招标文件予以澄清，招标人应当在3个工作日内对供应商依法提出的询问作出答复。</w:t>
      </w:r>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2.2.2 招标文件的澄清将在投标人须知前附表规定的投标截止时间15天前以“补充答疑”的形式在</w:t>
      </w:r>
      <w:r>
        <w:rPr>
          <w:rFonts w:hint="eastAsia" w:asciiTheme="minorEastAsia" w:hAnsiTheme="minorEastAsia" w:eastAsiaTheme="minorEastAsia" w:cstheme="minorEastAsia"/>
          <w:color w:val="auto"/>
          <w:szCs w:val="21"/>
          <w:highlight w:val="white"/>
          <w:u w:val="single"/>
        </w:rPr>
        <w:t>大丰公共资源电子交易平台（http://221.231.122.12/dfweb/)上</w:t>
      </w:r>
      <w:r>
        <w:rPr>
          <w:rFonts w:hint="eastAsia" w:asciiTheme="minorEastAsia" w:hAnsiTheme="minorEastAsia" w:eastAsiaTheme="minorEastAsia" w:cstheme="minorEastAsia"/>
          <w:color w:val="auto"/>
          <w:szCs w:val="21"/>
          <w:highlight w:val="white"/>
        </w:rPr>
        <w:t>公开发布，但不指明澄清问题的来源。如果澄清发出的时间距投标截止时间不足15天，且澄清内容影响投标文件编制的，相应延长投标截止时间。</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35" w:name="_Toc387526390"/>
      <w:bookmarkStart w:id="136" w:name="_Toc29388417"/>
      <w:bookmarkStart w:id="137" w:name="_Toc366679677"/>
      <w:bookmarkStart w:id="138" w:name="_Toc246996933"/>
      <w:bookmarkStart w:id="139" w:name="_Toc247085704"/>
      <w:bookmarkStart w:id="140" w:name="_Toc179632563"/>
      <w:bookmarkStart w:id="141" w:name="_Toc397928564"/>
      <w:bookmarkStart w:id="142" w:name="_Toc387526194"/>
      <w:bookmarkStart w:id="143" w:name="_Toc387526298"/>
      <w:bookmarkStart w:id="144" w:name="_Toc246996190"/>
      <w:bookmarkStart w:id="145" w:name="_Toc19263"/>
      <w:r>
        <w:rPr>
          <w:rFonts w:hint="eastAsia" w:asciiTheme="minorEastAsia" w:hAnsiTheme="minorEastAsia" w:eastAsiaTheme="minorEastAsia" w:cstheme="minorEastAsia"/>
          <w:color w:val="auto"/>
          <w:sz w:val="21"/>
          <w:szCs w:val="21"/>
          <w:highlight w:val="white"/>
        </w:rPr>
        <w:t>2.3 招标文件的修改</w:t>
      </w:r>
      <w:bookmarkEnd w:id="135"/>
      <w:bookmarkEnd w:id="136"/>
      <w:bookmarkEnd w:id="137"/>
      <w:bookmarkEnd w:id="138"/>
      <w:bookmarkEnd w:id="139"/>
      <w:bookmarkEnd w:id="140"/>
      <w:bookmarkEnd w:id="141"/>
      <w:bookmarkEnd w:id="142"/>
      <w:bookmarkEnd w:id="143"/>
      <w:bookmarkEnd w:id="144"/>
      <w:bookmarkEnd w:id="145"/>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2.3.1 在投标截止时间15天前，招标人可以以“补充答疑”的形式在</w:t>
      </w:r>
      <w:r>
        <w:rPr>
          <w:rFonts w:hint="eastAsia" w:asciiTheme="minorEastAsia" w:hAnsiTheme="minorEastAsia" w:eastAsiaTheme="minorEastAsia" w:cstheme="minorEastAsia"/>
          <w:color w:val="auto"/>
          <w:szCs w:val="21"/>
          <w:highlight w:val="white"/>
          <w:u w:val="single"/>
        </w:rPr>
        <w:t>大丰公共资源电子交易平台（http://221.231.122.12/dfweb/)上</w:t>
      </w:r>
      <w:r>
        <w:rPr>
          <w:rFonts w:hint="eastAsia" w:asciiTheme="minorEastAsia" w:hAnsiTheme="minorEastAsia" w:eastAsiaTheme="minorEastAsia" w:cstheme="minorEastAsia"/>
          <w:color w:val="auto"/>
          <w:szCs w:val="21"/>
          <w:highlight w:val="white"/>
        </w:rPr>
        <w:t>修改招标文件。如果修改招标文件的时间距投标截止时间不足15天，且修改内容影响投标文件编制的，相应延长投标截止时间。</w:t>
      </w:r>
    </w:p>
    <w:p>
      <w:pPr>
        <w:pStyle w:val="122"/>
        <w:rPr>
          <w:rFonts w:asciiTheme="minorEastAsia" w:hAnsiTheme="minorEastAsia" w:eastAsiaTheme="minorEastAsia" w:cstheme="minorEastAsia"/>
          <w:color w:val="auto"/>
        </w:rPr>
      </w:pPr>
      <w:bookmarkStart w:id="146" w:name="_Toc29388418"/>
      <w:bookmarkStart w:id="147" w:name="_Toc363329372"/>
      <w:bookmarkStart w:id="148" w:name="_Toc368760429"/>
      <w:bookmarkStart w:id="149" w:name="_Toc368759377"/>
      <w:bookmarkStart w:id="150" w:name="_Toc19481"/>
      <w:bookmarkStart w:id="151" w:name="_Toc397928565"/>
      <w:bookmarkStart w:id="152" w:name="_Toc387526195"/>
      <w:bookmarkStart w:id="153" w:name="_Toc367894800"/>
      <w:bookmarkStart w:id="154" w:name="_Toc369077563"/>
      <w:bookmarkStart w:id="155" w:name="_Toc387526391"/>
      <w:bookmarkStart w:id="156" w:name="_Toc387526299"/>
      <w:bookmarkStart w:id="157" w:name="_Toc119718089"/>
      <w:r>
        <w:rPr>
          <w:rFonts w:hint="eastAsia" w:asciiTheme="minorEastAsia" w:hAnsiTheme="minorEastAsia" w:eastAsiaTheme="minorEastAsia" w:cstheme="minorEastAsia"/>
          <w:color w:val="auto"/>
        </w:rPr>
        <w:t>3.投标文件</w:t>
      </w:r>
      <w:bookmarkEnd w:id="146"/>
      <w:bookmarkEnd w:id="147"/>
      <w:bookmarkEnd w:id="148"/>
      <w:bookmarkEnd w:id="149"/>
      <w:bookmarkEnd w:id="150"/>
      <w:bookmarkEnd w:id="151"/>
      <w:bookmarkEnd w:id="152"/>
      <w:bookmarkEnd w:id="153"/>
      <w:bookmarkEnd w:id="154"/>
      <w:bookmarkEnd w:id="155"/>
      <w:bookmarkEnd w:id="156"/>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58" w:name="_Toc387526300"/>
      <w:bookmarkStart w:id="159" w:name="_Toc387526392"/>
      <w:bookmarkStart w:id="160" w:name="_Toc29388419"/>
      <w:bookmarkStart w:id="161" w:name="_Toc397928566"/>
      <w:bookmarkStart w:id="162" w:name="_Toc5625"/>
      <w:bookmarkStart w:id="163" w:name="_Toc387526196"/>
      <w:r>
        <w:rPr>
          <w:rFonts w:hint="eastAsia" w:asciiTheme="minorEastAsia" w:hAnsiTheme="minorEastAsia" w:eastAsiaTheme="minorEastAsia" w:cstheme="minorEastAsia"/>
          <w:color w:val="auto"/>
          <w:sz w:val="21"/>
          <w:szCs w:val="21"/>
          <w:highlight w:val="white"/>
        </w:rPr>
        <w:t>3.1 投标文件</w:t>
      </w:r>
      <w:bookmarkEnd w:id="157"/>
      <w:r>
        <w:rPr>
          <w:rFonts w:hint="eastAsia" w:asciiTheme="minorEastAsia" w:hAnsiTheme="minorEastAsia" w:eastAsiaTheme="minorEastAsia" w:cstheme="minorEastAsia"/>
          <w:color w:val="auto"/>
          <w:sz w:val="21"/>
          <w:szCs w:val="21"/>
          <w:highlight w:val="white"/>
        </w:rPr>
        <w:t>的组成</w:t>
      </w:r>
      <w:bookmarkEnd w:id="158"/>
      <w:bookmarkEnd w:id="159"/>
      <w:bookmarkEnd w:id="160"/>
      <w:bookmarkEnd w:id="161"/>
      <w:bookmarkEnd w:id="162"/>
      <w:bookmarkEnd w:id="163"/>
    </w:p>
    <w:p>
      <w:pPr>
        <w:spacing w:line="400" w:lineRule="exact"/>
        <w:ind w:left="479" w:leftChars="228"/>
        <w:rPr>
          <w:rFonts w:asciiTheme="minorEastAsia" w:hAnsiTheme="minorEastAsia" w:eastAsiaTheme="minorEastAsia" w:cstheme="minorEastAsia"/>
          <w:b/>
          <w:color w:val="auto"/>
          <w:szCs w:val="21"/>
          <w:highlight w:val="white"/>
        </w:rPr>
      </w:pPr>
      <w:r>
        <w:rPr>
          <w:rFonts w:hint="eastAsia" w:asciiTheme="minorEastAsia" w:hAnsiTheme="minorEastAsia" w:eastAsiaTheme="minorEastAsia" w:cstheme="minorEastAsia"/>
          <w:b/>
          <w:color w:val="auto"/>
          <w:szCs w:val="21"/>
          <w:highlight w:val="white"/>
        </w:rPr>
        <w:t>投标文件由资信文件、商务文件、技术文件、开标一览表、样品共五部份组成。</w:t>
      </w:r>
    </w:p>
    <w:p>
      <w:pPr>
        <w:spacing w:line="400" w:lineRule="exact"/>
        <w:ind w:left="479" w:leftChars="228"/>
        <w:rPr>
          <w:rFonts w:asciiTheme="minorEastAsia" w:hAnsiTheme="minorEastAsia" w:eastAsiaTheme="minorEastAsia" w:cstheme="minorEastAsia"/>
          <w:b/>
          <w:color w:val="auto"/>
          <w:szCs w:val="21"/>
          <w:highlight w:val="white"/>
        </w:rPr>
      </w:pPr>
      <w:r>
        <w:rPr>
          <w:rFonts w:hint="eastAsia" w:asciiTheme="minorEastAsia" w:hAnsiTheme="minorEastAsia" w:eastAsiaTheme="minorEastAsia" w:cstheme="minorEastAsia"/>
          <w:b/>
          <w:color w:val="auto"/>
          <w:szCs w:val="21"/>
          <w:highlight w:val="white"/>
        </w:rPr>
        <w:t>3.1.1投标文件包括资信文件、商务文件、技术文件及开标一览表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w:t>
      </w:r>
      <w:r>
        <w:rPr>
          <w:rFonts w:hint="eastAsia" w:asciiTheme="minorEastAsia" w:hAnsiTheme="minorEastAsia" w:eastAsiaTheme="minorEastAsia" w:cstheme="minorEastAsia"/>
          <w:b/>
          <w:color w:val="auto"/>
          <w:szCs w:val="21"/>
          <w:highlight w:val="white"/>
        </w:rPr>
        <w:t>资信文件</w:t>
      </w:r>
      <w:r>
        <w:rPr>
          <w:rFonts w:hint="eastAsia" w:asciiTheme="minorEastAsia" w:hAnsiTheme="minorEastAsia" w:eastAsiaTheme="minorEastAsia" w:cstheme="minorEastAsia"/>
          <w:color w:val="auto"/>
          <w:szCs w:val="21"/>
          <w:highlight w:val="white"/>
        </w:rPr>
        <w:t>应包括如下内容：</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主要包括下述材料复印件（复印件须装订在投标文件中）：</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（1）法定代表人身份证明书；（2）法定代表人授权委托书；（3）企业营业执照（副本）；（4）投标人针对本项目评标办法认为需要提供的其他材料。</w:t>
      </w:r>
    </w:p>
    <w:p>
      <w:pPr>
        <w:spacing w:line="400" w:lineRule="exact"/>
        <w:ind w:firstLine="422" w:firstLineChars="200"/>
        <w:rPr>
          <w:rFonts w:asciiTheme="minorEastAsia" w:hAnsiTheme="minorEastAsia" w:eastAsiaTheme="minorEastAsia" w:cstheme="minorEastAsia"/>
          <w:b/>
          <w:color w:val="auto"/>
          <w:szCs w:val="21"/>
          <w:highlight w:val="white"/>
        </w:rPr>
      </w:pPr>
      <w:r>
        <w:rPr>
          <w:rFonts w:hint="eastAsia" w:asciiTheme="minorEastAsia" w:hAnsiTheme="minorEastAsia" w:eastAsiaTheme="minorEastAsia" w:cstheme="minorEastAsia"/>
          <w:b/>
          <w:color w:val="auto"/>
          <w:szCs w:val="21"/>
          <w:highlight w:val="white"/>
        </w:rPr>
        <w:t>资格审查内容为（1）-（3）项，若缺少材料，则资格审查不通过，不进入后续评审。</w:t>
      </w:r>
    </w:p>
    <w:p>
      <w:pPr>
        <w:spacing w:line="480" w:lineRule="exact"/>
        <w:ind w:firstLine="54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bCs/>
          <w:color w:val="auto"/>
          <w:szCs w:val="21"/>
        </w:rPr>
        <w:t>（2）、</w:t>
      </w:r>
      <w:r>
        <w:rPr>
          <w:rFonts w:hint="eastAsia" w:asciiTheme="minorEastAsia" w:hAnsiTheme="minorEastAsia" w:eastAsiaTheme="minorEastAsia" w:cstheme="minorEastAsia"/>
          <w:b/>
          <w:color w:val="auto"/>
          <w:szCs w:val="21"/>
        </w:rPr>
        <w:t>投标报价文件：</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投标函； </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投标报价明细表；</w:t>
      </w:r>
    </w:p>
    <w:p>
      <w:pPr>
        <w:tabs>
          <w:tab w:val="left" w:pos="3870"/>
          <w:tab w:val="left" w:pos="4085"/>
        </w:tabs>
        <w:snapToGrid w:val="0"/>
        <w:spacing w:line="480" w:lineRule="exact"/>
        <w:ind w:firstLine="422" w:firstLineChars="200"/>
        <w:jc w:val="left"/>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（3）技术文件：</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投标设备主要技术性能、配置、技术参数、功能描述及投标设备规格、技术配置参数（表格见附件，须满足招标文件规定的各项功能要求）；</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保证投标器材、设备和系统正常和连续运转行间所需的所有备品备件和专用工具清单；</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投标人针对本项目的设计构想和运行方案等【包括（不限于）：原有教室改造、拆除、恢复、器材采购、安装、调试、验收等方面】；</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投标人认为提供的其它技术资料。</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施工组织设计：</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包括但不限于以下几个方面：</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①施工进度计划和各阶段进度的保证措施、各分部项工程的施工组织设计及质量保证措施；</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②安全文明施工及环境保护措施；</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③关键施工技术、工艺及工程项目实施的重点、难点和解决方案；</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④ 拟投入本项目负责人、主要技术人员、劳动力及大型机械进场安排计划；</w:t>
      </w:r>
    </w:p>
    <w:p>
      <w:pPr>
        <w:spacing w:line="480" w:lineRule="exact"/>
        <w:ind w:firstLine="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⑤ 质保期内服务承诺及质保期外的伴随服务承诺：至少包括下列内容：操作人员培训计划、质保期内发生故障服务响应时间承诺及保障措施、质保期外提供备品配件及跟踪服务承诺。</w:t>
      </w:r>
    </w:p>
    <w:p>
      <w:pPr>
        <w:tabs>
          <w:tab w:val="left" w:pos="3870"/>
          <w:tab w:val="left" w:pos="4085"/>
        </w:tabs>
        <w:snapToGrid w:val="0"/>
        <w:spacing w:line="480" w:lineRule="exact"/>
        <w:ind w:firstLine="422" w:firstLineChars="200"/>
        <w:jc w:val="left"/>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（4）、开标一览表【</w:t>
      </w:r>
      <w:r>
        <w:rPr>
          <w:rFonts w:hint="eastAsia" w:asciiTheme="minorEastAsia" w:hAnsiTheme="minorEastAsia" w:eastAsiaTheme="minorEastAsia" w:cstheme="minorEastAsia"/>
          <w:b/>
          <w:color w:val="auto"/>
          <w:szCs w:val="21"/>
        </w:rPr>
        <w:t>《开标一览表》须单独用小信封密封（不要与投标文件一起封装），开标一览表密封袋里须附法人或授权委托代理人的身份证复印件，</w:t>
      </w:r>
      <w:r>
        <w:rPr>
          <w:rFonts w:hint="eastAsia" w:asciiTheme="minorEastAsia" w:hAnsiTheme="minorEastAsia" w:eastAsiaTheme="minorEastAsia" w:cstheme="minorEastAsia"/>
          <w:b/>
          <w:bCs/>
          <w:color w:val="auto"/>
          <w:szCs w:val="21"/>
        </w:rPr>
        <w:t>格式见第六章】；</w:t>
      </w:r>
    </w:p>
    <w:p>
      <w:pPr>
        <w:pStyle w:val="37"/>
        <w:spacing w:line="480" w:lineRule="exact"/>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注：法定代表人授权委托书、投标函、投标报价明细表、技术文件、开标一览表必须由法定代表人或授权委托代理人签名并加盖单位公章。</w:t>
      </w:r>
    </w:p>
    <w:p>
      <w:pPr>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bCs/>
          <w:color w:val="auto"/>
          <w:szCs w:val="21"/>
        </w:rPr>
        <w:t>以上未曾涉及到的方面，投标人可自行增加补充说明的文件，供评委评标参考。</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3.1.2 第六章“投标文件格式”要求提供相关证明材料的复印件作为附件的，投标人应按要求在投标文件中提供相应材料，否则不予认可。</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64" w:name="_Toc387526393"/>
      <w:bookmarkStart w:id="165" w:name="_Toc387526197"/>
      <w:bookmarkStart w:id="166" w:name="_Toc397928567"/>
      <w:bookmarkStart w:id="167" w:name="_Toc29388420"/>
      <w:bookmarkStart w:id="168" w:name="_Toc387526301"/>
      <w:bookmarkStart w:id="169" w:name="_Toc10820"/>
      <w:r>
        <w:rPr>
          <w:rFonts w:hint="eastAsia" w:asciiTheme="minorEastAsia" w:hAnsiTheme="minorEastAsia" w:eastAsiaTheme="minorEastAsia" w:cstheme="minorEastAsia"/>
          <w:color w:val="auto"/>
          <w:sz w:val="21"/>
          <w:szCs w:val="21"/>
          <w:highlight w:val="white"/>
        </w:rPr>
        <w:t>3.2 投标报价</w:t>
      </w:r>
      <w:bookmarkEnd w:id="164"/>
      <w:bookmarkEnd w:id="165"/>
      <w:bookmarkEnd w:id="166"/>
      <w:bookmarkEnd w:id="167"/>
      <w:bookmarkEnd w:id="168"/>
      <w:bookmarkEnd w:id="169"/>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3.2.1投标报价应包含本招标文件中的全部内容所需的所有费用。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3.2.2投标人按投标人须知前附表的具体规定进行报价。</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3.2.3招标人设有最高投标限价的，投标人的投标报价不得超过最高投标限价，最高投标限价见投标人须知前附表。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3.2.4计价方式</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次招标计价方式采用“固定单价”报价，投标报价应是在投标文件所承诺的工期期限内并达到投标人所承诺的质量标准为完成招标文件所确定的招标范围的全部内容所需费用的全部价格体现。投标人应充分考虑为完成上述内容所必须的全部货物的采购及安装、调试、培训、售后服务以及投标人为完成本招标项目所必须的费用、企业管理费、利润、税金、风险费、辅助材料费、招标代理费等所需的全部费用。</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除非招标人对招标文件予以修改，投标人应按招标人提供的招标需求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70" w:name="_Toc387526394"/>
      <w:bookmarkStart w:id="171" w:name="_Toc29388421"/>
      <w:bookmarkStart w:id="172" w:name="_Toc387526302"/>
      <w:bookmarkStart w:id="173" w:name="_Toc397928568"/>
      <w:bookmarkStart w:id="174" w:name="_Toc21008"/>
      <w:bookmarkStart w:id="175" w:name="_Toc387526198"/>
      <w:r>
        <w:rPr>
          <w:rFonts w:hint="eastAsia" w:asciiTheme="minorEastAsia" w:hAnsiTheme="minorEastAsia" w:eastAsiaTheme="minorEastAsia" w:cstheme="minorEastAsia"/>
          <w:color w:val="auto"/>
          <w:sz w:val="21"/>
          <w:szCs w:val="21"/>
          <w:highlight w:val="white"/>
        </w:rPr>
        <w:t>3.3 投标有效期</w:t>
      </w:r>
      <w:bookmarkEnd w:id="170"/>
      <w:bookmarkEnd w:id="171"/>
      <w:bookmarkEnd w:id="172"/>
      <w:bookmarkEnd w:id="173"/>
      <w:bookmarkEnd w:id="174"/>
      <w:bookmarkEnd w:id="175"/>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highlight w:val="white"/>
        </w:rPr>
        <w:t>3.3.1 在投标人须知前附表第3.3.1条规定的投标有效期内，投标人不得要求撤销或修改其投标文件。</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76" w:name="_Toc15701"/>
      <w:bookmarkStart w:id="177" w:name="_Toc387526303"/>
      <w:bookmarkStart w:id="178" w:name="_Toc29388422"/>
      <w:bookmarkStart w:id="179" w:name="_Toc397928569"/>
      <w:bookmarkStart w:id="180" w:name="_Toc387526395"/>
      <w:bookmarkStart w:id="181" w:name="_Toc387526199"/>
      <w:r>
        <w:rPr>
          <w:rFonts w:hint="eastAsia" w:asciiTheme="minorEastAsia" w:hAnsiTheme="minorEastAsia" w:eastAsiaTheme="minorEastAsia" w:cstheme="minorEastAsia"/>
          <w:color w:val="auto"/>
          <w:sz w:val="21"/>
          <w:szCs w:val="21"/>
          <w:highlight w:val="white"/>
        </w:rPr>
        <w:t>3.4投标保证金</w:t>
      </w:r>
      <w:bookmarkEnd w:id="176"/>
      <w:bookmarkEnd w:id="177"/>
      <w:bookmarkEnd w:id="178"/>
      <w:bookmarkEnd w:id="179"/>
      <w:bookmarkEnd w:id="180"/>
      <w:bookmarkEnd w:id="181"/>
    </w:p>
    <w:p>
      <w:pPr>
        <w:spacing w:line="400" w:lineRule="exact"/>
        <w:ind w:firstLine="420" w:firstLineChars="200"/>
        <w:rPr>
          <w:rFonts w:asciiTheme="minorEastAsia" w:hAnsiTheme="minorEastAsia" w:eastAsiaTheme="minorEastAsia" w:cstheme="minorEastAsia"/>
          <w:color w:val="auto"/>
          <w:szCs w:val="21"/>
          <w:highlight w:val="white"/>
        </w:rPr>
      </w:pPr>
      <w:bookmarkStart w:id="182" w:name="_Toc339359765"/>
      <w:bookmarkStart w:id="183" w:name="_Toc269310939"/>
      <w:bookmarkStart w:id="184" w:name="_Toc324255909"/>
      <w:r>
        <w:rPr>
          <w:rFonts w:hint="eastAsia" w:asciiTheme="minorEastAsia" w:hAnsiTheme="minorEastAsia" w:eastAsiaTheme="minorEastAsia" w:cstheme="minorEastAsia"/>
          <w:color w:val="auto"/>
          <w:szCs w:val="21"/>
          <w:highlight w:val="white"/>
        </w:rPr>
        <w:t>3.4.1 投标人应按投标人须知前附表规定的金额和形式从投标企业的法人基本存款账户缴纳</w:t>
      </w:r>
      <w:r>
        <w:rPr>
          <w:rFonts w:hint="eastAsia" w:asciiTheme="minorEastAsia" w:hAnsiTheme="minorEastAsia" w:eastAsiaTheme="minorEastAsia" w:cstheme="minorEastAsia"/>
          <w:color w:val="auto"/>
          <w:szCs w:val="21"/>
        </w:rPr>
        <w:t>投标保证金</w:t>
      </w:r>
      <w:r>
        <w:rPr>
          <w:rFonts w:hint="eastAsia" w:asciiTheme="minorEastAsia" w:hAnsiTheme="minorEastAsia" w:eastAsiaTheme="minorEastAsia" w:cstheme="minorEastAsia"/>
          <w:color w:val="auto"/>
          <w:szCs w:val="21"/>
          <w:highlight w:val="white"/>
        </w:rPr>
        <w:t>。</w:t>
      </w:r>
      <w:r>
        <w:rPr>
          <w:rFonts w:hint="eastAsia" w:asciiTheme="minorEastAsia" w:hAnsiTheme="minorEastAsia" w:eastAsiaTheme="minorEastAsia" w:cstheme="minorEastAsia"/>
          <w:color w:val="auto"/>
          <w:szCs w:val="21"/>
        </w:rPr>
        <w:t>投标保证金</w:t>
      </w:r>
      <w:r>
        <w:rPr>
          <w:rFonts w:hint="eastAsia" w:asciiTheme="minorEastAsia" w:hAnsiTheme="minorEastAsia" w:eastAsiaTheme="minorEastAsia" w:cstheme="minorEastAsia"/>
          <w:color w:val="auto"/>
          <w:szCs w:val="21"/>
          <w:highlight w:val="white"/>
        </w:rPr>
        <w:t>应当在投标截止时间前进入投标人须知前附表规定的缴纳账户。</w:t>
      </w:r>
      <w:r>
        <w:rPr>
          <w:rFonts w:hint="eastAsia" w:asciiTheme="minorEastAsia" w:hAnsiTheme="minorEastAsia" w:eastAsiaTheme="minorEastAsia" w:cstheme="minorEastAsia"/>
          <w:color w:val="auto"/>
          <w:szCs w:val="21"/>
        </w:rPr>
        <w:t>投标保证金</w:t>
      </w:r>
      <w:r>
        <w:rPr>
          <w:rFonts w:hint="eastAsia" w:asciiTheme="minorEastAsia" w:hAnsiTheme="minorEastAsia" w:eastAsiaTheme="minorEastAsia" w:cstheme="minorEastAsia"/>
          <w:color w:val="auto"/>
          <w:szCs w:val="21"/>
          <w:highlight w:val="white"/>
        </w:rPr>
        <w:t>的核查方式见投标人须知前附表。</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3.4.2 投标人不按本章第3.4.1项要求提交</w:t>
      </w:r>
      <w:r>
        <w:rPr>
          <w:rFonts w:hint="eastAsia" w:asciiTheme="minorEastAsia" w:hAnsiTheme="minorEastAsia" w:eastAsiaTheme="minorEastAsia" w:cstheme="minorEastAsia"/>
          <w:color w:val="auto"/>
          <w:szCs w:val="21"/>
        </w:rPr>
        <w:t>投标保证金</w:t>
      </w:r>
      <w:r>
        <w:rPr>
          <w:rFonts w:hint="eastAsia" w:asciiTheme="minorEastAsia" w:hAnsiTheme="minorEastAsia" w:eastAsiaTheme="minorEastAsia" w:cstheme="minorEastAsia"/>
          <w:color w:val="auto"/>
          <w:szCs w:val="21"/>
          <w:highlight w:val="white"/>
        </w:rPr>
        <w:t>的，评标委员会将否决其投标。</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3.4.3 招标人最迟应当在书面合同签订后5日内向未中标的投标人退还</w:t>
      </w:r>
      <w:r>
        <w:rPr>
          <w:rFonts w:hint="eastAsia" w:asciiTheme="minorEastAsia" w:hAnsiTheme="minorEastAsia" w:eastAsiaTheme="minorEastAsia" w:cstheme="minorEastAsia"/>
          <w:color w:val="auto"/>
          <w:szCs w:val="21"/>
        </w:rPr>
        <w:t>投标保证金</w:t>
      </w:r>
      <w:r>
        <w:rPr>
          <w:rFonts w:hint="eastAsia" w:asciiTheme="minorEastAsia" w:hAnsiTheme="minorEastAsia" w:eastAsiaTheme="minorEastAsia" w:cstheme="minorEastAsia"/>
          <w:color w:val="auto"/>
          <w:szCs w:val="21"/>
          <w:highlight w:val="white"/>
        </w:rPr>
        <w:t>。</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3.4.4 有下列情形之一的，保证金将不予退还：</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（1）投标截止后投标人撤销投标文件的。</w:t>
      </w:r>
    </w:p>
    <w:p>
      <w:pPr>
        <w:spacing w:line="400" w:lineRule="exact"/>
        <w:ind w:firstLine="420" w:firstLineChars="20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（2）中标人无正当理由不与招标人订立合同；在签订合同时向招标人提出附加条件，或者不按照招标文件要求提交履约保证金的。</w:t>
      </w:r>
    </w:p>
    <w:p>
      <w:pPr>
        <w:pStyle w:val="4"/>
        <w:spacing w:line="400" w:lineRule="exact"/>
        <w:ind w:firstLine="103"/>
        <w:rPr>
          <w:rFonts w:asciiTheme="minorEastAsia" w:hAnsiTheme="minorEastAsia" w:eastAsiaTheme="minorEastAsia" w:cstheme="minorEastAsia"/>
          <w:bCs/>
          <w:color w:val="auto"/>
          <w:sz w:val="21"/>
          <w:szCs w:val="21"/>
        </w:rPr>
      </w:pPr>
      <w:bookmarkStart w:id="185" w:name="_Toc29388423"/>
      <w:bookmarkStart w:id="186" w:name="_Toc397928570"/>
      <w:bookmarkStart w:id="187" w:name="_Toc24952"/>
      <w:r>
        <w:rPr>
          <w:rFonts w:hint="eastAsia" w:asciiTheme="minorEastAsia" w:hAnsiTheme="minorEastAsia" w:eastAsiaTheme="minorEastAsia" w:cstheme="minorEastAsia"/>
          <w:bCs/>
          <w:color w:val="auto"/>
          <w:sz w:val="21"/>
          <w:szCs w:val="21"/>
        </w:rPr>
        <w:t>3.5 资格审查资料</w:t>
      </w:r>
      <w:bookmarkEnd w:id="185"/>
      <w:bookmarkEnd w:id="186"/>
      <w:bookmarkEnd w:id="187"/>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投标人在编制投标文件时，应按照本章3.1的要求提供资料。</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88" w:name="_Toc387526304"/>
      <w:bookmarkStart w:id="189" w:name="_Toc387526396"/>
      <w:bookmarkStart w:id="190" w:name="_Toc22895"/>
      <w:bookmarkStart w:id="191" w:name="_Toc29388424"/>
      <w:bookmarkStart w:id="192" w:name="_Toc387526200"/>
      <w:bookmarkStart w:id="193" w:name="_Toc397928571"/>
      <w:r>
        <w:rPr>
          <w:rFonts w:hint="eastAsia" w:asciiTheme="minorEastAsia" w:hAnsiTheme="minorEastAsia" w:eastAsiaTheme="minorEastAsia" w:cstheme="minorEastAsia"/>
          <w:color w:val="auto"/>
          <w:sz w:val="21"/>
          <w:szCs w:val="21"/>
          <w:highlight w:val="white"/>
        </w:rPr>
        <w:t>3.6 备选投标方案</w:t>
      </w:r>
      <w:bookmarkEnd w:id="182"/>
      <w:bookmarkEnd w:id="183"/>
      <w:bookmarkEnd w:id="184"/>
      <w:bookmarkEnd w:id="188"/>
      <w:bookmarkEnd w:id="189"/>
      <w:bookmarkEnd w:id="190"/>
      <w:bookmarkEnd w:id="191"/>
      <w:bookmarkEnd w:id="192"/>
      <w:bookmarkEnd w:id="193"/>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194" w:name="_Toc387526397"/>
      <w:bookmarkStart w:id="195" w:name="_Toc387526201"/>
      <w:bookmarkStart w:id="196" w:name="_Toc29388425"/>
      <w:bookmarkStart w:id="197" w:name="_Toc397928572"/>
      <w:bookmarkStart w:id="198" w:name="_Toc16855"/>
      <w:bookmarkStart w:id="199" w:name="_Toc387526305"/>
      <w:r>
        <w:rPr>
          <w:rFonts w:hint="eastAsia" w:asciiTheme="minorEastAsia" w:hAnsiTheme="minorEastAsia" w:eastAsiaTheme="minorEastAsia" w:cstheme="minorEastAsia"/>
          <w:color w:val="auto"/>
          <w:sz w:val="21"/>
          <w:szCs w:val="21"/>
          <w:highlight w:val="white"/>
        </w:rPr>
        <w:t>3.7 投标文件的编制</w:t>
      </w:r>
      <w:bookmarkEnd w:id="194"/>
      <w:bookmarkEnd w:id="195"/>
      <w:bookmarkEnd w:id="196"/>
      <w:bookmarkEnd w:id="197"/>
      <w:bookmarkEnd w:id="198"/>
      <w:bookmarkEnd w:id="199"/>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3.7.1 投标文件应按“投标文件格式”进行编写，如有必要，可以增加附页，作为投标文件的组成部分。</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3.7.3 投标文件正本一份，副本份数见投标人须知前附表。正本和副本的封面上应清楚地标记“正本”或“副本”的字样。当副本和正本不一致时，以正本为准。</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3.7.4 投标文件的正本与副本应分别装订成册，并编制目录，具体装订要求见投标人须知前附表规定。</w:t>
      </w:r>
    </w:p>
    <w:p>
      <w:pPr>
        <w:pStyle w:val="122"/>
        <w:rPr>
          <w:rFonts w:asciiTheme="minorEastAsia" w:hAnsiTheme="minorEastAsia" w:eastAsiaTheme="minorEastAsia" w:cstheme="minorEastAsia"/>
          <w:color w:val="auto"/>
        </w:rPr>
      </w:pPr>
      <w:bookmarkStart w:id="200" w:name="_Toc24421"/>
      <w:bookmarkStart w:id="201" w:name="_Toc367894801"/>
      <w:bookmarkStart w:id="202" w:name="_Toc387526306"/>
      <w:bookmarkStart w:id="203" w:name="_Toc387526398"/>
      <w:bookmarkStart w:id="204" w:name="_Toc397928573"/>
      <w:bookmarkStart w:id="205" w:name="_Toc368759378"/>
      <w:bookmarkStart w:id="206" w:name="_Toc387526202"/>
      <w:bookmarkStart w:id="207" w:name="_Toc29388426"/>
      <w:bookmarkStart w:id="208" w:name="_Toc369077564"/>
      <w:bookmarkStart w:id="209" w:name="_Toc363329373"/>
      <w:bookmarkStart w:id="210" w:name="_Toc368760430"/>
      <w:bookmarkStart w:id="211" w:name="_Toc184635074"/>
      <w:bookmarkStart w:id="212" w:name="_Toc367894802"/>
      <w:bookmarkStart w:id="213" w:name="_Toc368759379"/>
      <w:bookmarkStart w:id="214" w:name="_Toc184635075"/>
      <w:bookmarkStart w:id="215" w:name="_Toc363329374"/>
      <w:r>
        <w:rPr>
          <w:rFonts w:hint="eastAsia" w:asciiTheme="minorEastAsia" w:hAnsiTheme="minorEastAsia" w:eastAsiaTheme="minorEastAsia" w:cstheme="minorEastAsia"/>
          <w:color w:val="auto"/>
        </w:rPr>
        <w:t>4.投标</w:t>
      </w:r>
      <w:bookmarkEnd w:id="200"/>
      <w:bookmarkEnd w:id="201"/>
      <w:bookmarkEnd w:id="202"/>
      <w:bookmarkEnd w:id="203"/>
      <w:bookmarkEnd w:id="204"/>
      <w:bookmarkEnd w:id="205"/>
      <w:bookmarkEnd w:id="206"/>
      <w:bookmarkEnd w:id="207"/>
      <w:bookmarkEnd w:id="208"/>
      <w:bookmarkEnd w:id="209"/>
      <w:bookmarkEnd w:id="210"/>
      <w:bookmarkEnd w:id="211"/>
    </w:p>
    <w:p>
      <w:pPr>
        <w:pStyle w:val="4"/>
        <w:spacing w:line="400" w:lineRule="exact"/>
        <w:ind w:firstLine="103"/>
        <w:rPr>
          <w:rFonts w:asciiTheme="minorEastAsia" w:hAnsiTheme="minorEastAsia" w:eastAsiaTheme="minorEastAsia" w:cstheme="minorEastAsia"/>
          <w:color w:val="auto"/>
          <w:sz w:val="21"/>
          <w:szCs w:val="21"/>
        </w:rPr>
      </w:pPr>
      <w:bookmarkStart w:id="216" w:name="_Toc29388427"/>
      <w:bookmarkStart w:id="217" w:name="_Toc27481"/>
      <w:bookmarkStart w:id="218" w:name="_Toc387526203"/>
      <w:bookmarkStart w:id="219" w:name="_Toc387526307"/>
      <w:bookmarkStart w:id="220" w:name="_Toc397928574"/>
      <w:bookmarkStart w:id="221" w:name="_Toc387526399"/>
      <w:r>
        <w:rPr>
          <w:rFonts w:hint="eastAsia" w:asciiTheme="minorEastAsia" w:hAnsiTheme="minorEastAsia" w:eastAsiaTheme="minorEastAsia" w:cstheme="minorEastAsia"/>
          <w:color w:val="auto"/>
          <w:sz w:val="21"/>
          <w:szCs w:val="21"/>
        </w:rPr>
        <w:t>4.1 投标文件的密封和标记</w:t>
      </w:r>
      <w:bookmarkEnd w:id="216"/>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4.1.1 投标文件应清楚地标记“正本”、“副本”字样，并包装密封提交；封套上分别写明招标人名称、项目名称和投标人名称，并加盖投标人公章。</w:t>
      </w:r>
      <w:bookmarkEnd w:id="217"/>
      <w:bookmarkEnd w:id="218"/>
      <w:bookmarkEnd w:id="219"/>
      <w:bookmarkEnd w:id="220"/>
      <w:bookmarkEnd w:id="221"/>
      <w:bookmarkStart w:id="222" w:name="_Toc387526308"/>
      <w:bookmarkStart w:id="223" w:name="_Toc387526204"/>
      <w:bookmarkStart w:id="224" w:name="_Toc387526400"/>
      <w:bookmarkStart w:id="225" w:name="_Toc7888"/>
    </w:p>
    <w:p>
      <w:pPr>
        <w:pStyle w:val="4"/>
        <w:spacing w:line="400" w:lineRule="exact"/>
        <w:ind w:firstLine="103"/>
        <w:rPr>
          <w:rFonts w:asciiTheme="minorEastAsia" w:hAnsiTheme="minorEastAsia" w:eastAsiaTheme="minorEastAsia" w:cstheme="minorEastAsia"/>
          <w:color w:val="auto"/>
          <w:sz w:val="21"/>
          <w:szCs w:val="21"/>
        </w:rPr>
      </w:pPr>
      <w:bookmarkStart w:id="226" w:name="_Toc397928575"/>
      <w:bookmarkStart w:id="227" w:name="_Toc29388428"/>
      <w:r>
        <w:rPr>
          <w:rFonts w:hint="eastAsia" w:asciiTheme="minorEastAsia" w:hAnsiTheme="minorEastAsia" w:eastAsiaTheme="minorEastAsia" w:cstheme="minorEastAsia"/>
          <w:color w:val="auto"/>
          <w:sz w:val="21"/>
          <w:szCs w:val="21"/>
        </w:rPr>
        <w:t>4.2 投标文件的递交</w:t>
      </w:r>
      <w:bookmarkEnd w:id="222"/>
      <w:bookmarkEnd w:id="223"/>
      <w:bookmarkEnd w:id="224"/>
      <w:bookmarkEnd w:id="225"/>
      <w:bookmarkEnd w:id="226"/>
      <w:bookmarkEnd w:id="227"/>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4.2.1 投标人应在投标人须知前附表规定的投标截止时间前递交投标文件。</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4.2.2 投标人递交投标文件的地点：见投标人须知前附表。</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4.2.3 除投标人须知前附表另有规定外，投标人所递交的投标文件不予退还。</w:t>
      </w:r>
    </w:p>
    <w:p>
      <w:pPr>
        <w:pStyle w:val="4"/>
        <w:spacing w:line="400" w:lineRule="exact"/>
        <w:ind w:firstLine="103"/>
        <w:rPr>
          <w:rFonts w:asciiTheme="minorEastAsia" w:hAnsiTheme="minorEastAsia" w:eastAsiaTheme="minorEastAsia" w:cstheme="minorEastAsia"/>
          <w:color w:val="auto"/>
          <w:sz w:val="21"/>
          <w:szCs w:val="21"/>
        </w:rPr>
      </w:pPr>
      <w:bookmarkStart w:id="228" w:name="_Toc387526205"/>
      <w:bookmarkStart w:id="229" w:name="_Toc397928576"/>
      <w:bookmarkStart w:id="230" w:name="_Toc12008"/>
      <w:bookmarkStart w:id="231" w:name="_Toc387526309"/>
      <w:bookmarkStart w:id="232" w:name="_Toc29388429"/>
      <w:bookmarkStart w:id="233" w:name="_Toc387526401"/>
      <w:r>
        <w:rPr>
          <w:rFonts w:hint="eastAsia" w:asciiTheme="minorEastAsia" w:hAnsiTheme="minorEastAsia" w:eastAsiaTheme="minorEastAsia" w:cstheme="minorEastAsia"/>
          <w:color w:val="auto"/>
          <w:sz w:val="21"/>
          <w:szCs w:val="21"/>
        </w:rPr>
        <w:t>4.3 投标文件的修改与撤回</w:t>
      </w:r>
      <w:bookmarkEnd w:id="228"/>
      <w:bookmarkEnd w:id="229"/>
      <w:bookmarkEnd w:id="230"/>
      <w:bookmarkEnd w:id="231"/>
      <w:bookmarkEnd w:id="232"/>
      <w:bookmarkEnd w:id="233"/>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4.3.1 在投标人须知前附表规定的投标截止时间前，投标人可以修改或撤回已递交的投标文件，但应以书面形式通知招标人。</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4.3.2 投标人修改或撤回已递交投标文件的书面通知应按照本章第3.7.2 项的要求签字或盖章。招标人收到书面通知后，向投标人出具签收凭证。</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4.3.3 修改的内容为投标文件的组成部分。修改的投标文件应按照本章第3 条、第4 条规定进行编制、密封、标记和递交，并标明“修改”字样。</w:t>
      </w:r>
    </w:p>
    <w:p>
      <w:pPr>
        <w:pStyle w:val="4"/>
        <w:spacing w:line="400" w:lineRule="exact"/>
        <w:ind w:firstLine="103"/>
        <w:rPr>
          <w:rFonts w:asciiTheme="minorEastAsia" w:hAnsiTheme="minorEastAsia" w:eastAsiaTheme="minorEastAsia" w:cstheme="minorEastAsia"/>
          <w:color w:val="auto"/>
          <w:sz w:val="21"/>
          <w:szCs w:val="21"/>
        </w:rPr>
      </w:pPr>
      <w:bookmarkStart w:id="234" w:name="_Toc397928577"/>
      <w:bookmarkStart w:id="235" w:name="_Toc29388430"/>
      <w:bookmarkStart w:id="236" w:name="_Toc11740"/>
      <w:r>
        <w:rPr>
          <w:rFonts w:hint="eastAsia" w:asciiTheme="minorEastAsia" w:hAnsiTheme="minorEastAsia" w:eastAsiaTheme="minorEastAsia" w:cstheme="minorEastAsia"/>
          <w:color w:val="auto"/>
          <w:sz w:val="21"/>
          <w:szCs w:val="21"/>
        </w:rPr>
        <w:t>4.4 不予接收的投标文件</w:t>
      </w:r>
      <w:bookmarkEnd w:id="234"/>
      <w:bookmarkEnd w:id="235"/>
      <w:bookmarkEnd w:id="236"/>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4.4.1未按本章第4.1.1款规定密封的投标文件，招标人有权不予接收。</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4.4.2未按规定获取招标文件而来投标的，招标人有权不予接收。</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4.4.3逾期送达或者未送达指定地点的投标文件，招标人不予接收；对在争议时间点接收的投标文件，后被认定逾期送达的，视同不予接收。</w:t>
      </w:r>
    </w:p>
    <w:p>
      <w:pPr>
        <w:pStyle w:val="122"/>
        <w:rPr>
          <w:rFonts w:asciiTheme="minorEastAsia" w:hAnsiTheme="minorEastAsia" w:eastAsiaTheme="minorEastAsia" w:cstheme="minorEastAsia"/>
          <w:color w:val="auto"/>
        </w:rPr>
      </w:pPr>
      <w:bookmarkStart w:id="237" w:name="_Toc387526310"/>
      <w:bookmarkStart w:id="238" w:name="_Toc397928578"/>
      <w:bookmarkStart w:id="239" w:name="_Toc368760431"/>
      <w:bookmarkStart w:id="240" w:name="_Toc22329"/>
      <w:bookmarkStart w:id="241" w:name="_Toc29388431"/>
      <w:bookmarkStart w:id="242" w:name="_Toc387526206"/>
      <w:bookmarkStart w:id="243" w:name="_Toc369077565"/>
      <w:bookmarkStart w:id="244" w:name="_Toc387526402"/>
      <w:bookmarkStart w:id="245" w:name="_Toc366679697"/>
      <w:bookmarkStart w:id="246" w:name="_Toc246996953"/>
      <w:bookmarkStart w:id="247" w:name="_Toc246996210"/>
      <w:bookmarkStart w:id="248" w:name="_Toc368759381"/>
      <w:bookmarkStart w:id="249" w:name="_Toc152045566"/>
      <w:bookmarkStart w:id="250" w:name="_Toc152042342"/>
      <w:bookmarkStart w:id="251" w:name="_Toc144974534"/>
      <w:bookmarkStart w:id="252" w:name="_Toc247085724"/>
      <w:bookmarkStart w:id="253" w:name="_Toc179632584"/>
      <w:r>
        <w:rPr>
          <w:rFonts w:hint="eastAsia" w:asciiTheme="minorEastAsia" w:hAnsiTheme="minorEastAsia" w:eastAsiaTheme="minorEastAsia" w:cstheme="minorEastAsia"/>
          <w:color w:val="auto"/>
        </w:rPr>
        <w:t>5.开标</w:t>
      </w:r>
      <w:bookmarkEnd w:id="237"/>
      <w:bookmarkEnd w:id="238"/>
      <w:bookmarkEnd w:id="239"/>
      <w:bookmarkEnd w:id="240"/>
      <w:bookmarkEnd w:id="241"/>
      <w:bookmarkEnd w:id="242"/>
      <w:bookmarkEnd w:id="243"/>
      <w:bookmarkEnd w:id="244"/>
    </w:p>
    <w:p>
      <w:pPr>
        <w:pStyle w:val="4"/>
        <w:spacing w:line="400" w:lineRule="exact"/>
        <w:ind w:firstLine="103"/>
        <w:rPr>
          <w:rFonts w:asciiTheme="minorEastAsia" w:hAnsiTheme="minorEastAsia" w:eastAsiaTheme="minorEastAsia" w:cstheme="minorEastAsia"/>
          <w:color w:val="auto"/>
          <w:sz w:val="21"/>
          <w:szCs w:val="21"/>
        </w:rPr>
      </w:pPr>
      <w:bookmarkStart w:id="254" w:name="_Toc397928579"/>
      <w:bookmarkStart w:id="255" w:name="_Toc387526311"/>
      <w:bookmarkStart w:id="256" w:name="_Toc3233"/>
      <w:bookmarkStart w:id="257" w:name="_Toc387526403"/>
      <w:bookmarkStart w:id="258" w:name="_Toc29388432"/>
      <w:bookmarkStart w:id="259" w:name="_Toc387526207"/>
      <w:r>
        <w:rPr>
          <w:rFonts w:hint="eastAsia" w:asciiTheme="minorEastAsia" w:hAnsiTheme="minorEastAsia" w:eastAsiaTheme="minorEastAsia" w:cstheme="minorEastAsia"/>
          <w:color w:val="auto"/>
          <w:sz w:val="21"/>
          <w:szCs w:val="21"/>
        </w:rPr>
        <w:t>5.1 开标时间和地点</w:t>
      </w:r>
      <w:bookmarkEnd w:id="254"/>
      <w:bookmarkEnd w:id="255"/>
      <w:bookmarkEnd w:id="256"/>
      <w:bookmarkEnd w:id="257"/>
      <w:bookmarkEnd w:id="258"/>
      <w:bookmarkEnd w:id="259"/>
    </w:p>
    <w:p>
      <w:pPr>
        <w:pStyle w:val="38"/>
        <w:spacing w:after="0" w:line="400" w:lineRule="exact"/>
        <w:ind w:left="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highlight w:val="white"/>
        </w:rPr>
        <w:t>招标人在投标人须知前附表规定的开标时间和地点公开开标，并邀请所有投标人准时参加。</w:t>
      </w:r>
    </w:p>
    <w:p>
      <w:pPr>
        <w:pStyle w:val="4"/>
        <w:spacing w:line="400" w:lineRule="exact"/>
        <w:ind w:firstLine="103"/>
        <w:rPr>
          <w:rFonts w:asciiTheme="minorEastAsia" w:hAnsiTheme="minorEastAsia" w:eastAsiaTheme="minorEastAsia" w:cstheme="minorEastAsia"/>
          <w:color w:val="auto"/>
          <w:sz w:val="21"/>
          <w:szCs w:val="21"/>
        </w:rPr>
      </w:pPr>
      <w:bookmarkStart w:id="260" w:name="_Toc11103"/>
      <w:bookmarkStart w:id="261" w:name="_Toc387526208"/>
      <w:bookmarkStart w:id="262" w:name="_Toc387526404"/>
      <w:bookmarkStart w:id="263" w:name="_Toc29388433"/>
      <w:bookmarkStart w:id="264" w:name="_Toc387526312"/>
      <w:bookmarkStart w:id="265" w:name="_Toc397928580"/>
      <w:r>
        <w:rPr>
          <w:rFonts w:hint="eastAsia" w:asciiTheme="minorEastAsia" w:hAnsiTheme="minorEastAsia" w:eastAsiaTheme="minorEastAsia" w:cstheme="minorEastAsia"/>
          <w:color w:val="auto"/>
          <w:sz w:val="21"/>
          <w:szCs w:val="21"/>
        </w:rPr>
        <w:t>5.2 开标程序</w:t>
      </w:r>
      <w:bookmarkEnd w:id="260"/>
      <w:bookmarkEnd w:id="261"/>
      <w:bookmarkEnd w:id="262"/>
      <w:bookmarkEnd w:id="263"/>
      <w:bookmarkEnd w:id="264"/>
      <w:bookmarkEnd w:id="265"/>
    </w:p>
    <w:p>
      <w:pPr>
        <w:spacing w:line="400" w:lineRule="exact"/>
        <w:ind w:firstLine="420"/>
        <w:rPr>
          <w:rFonts w:asciiTheme="minorEastAsia" w:hAnsiTheme="minorEastAsia" w:eastAsiaTheme="minorEastAsia" w:cstheme="minorEastAsia"/>
          <w:color w:val="auto"/>
          <w:szCs w:val="21"/>
          <w:highlight w:val="white"/>
        </w:rPr>
      </w:pPr>
      <w:bookmarkStart w:id="266" w:name="_Toc367894803"/>
      <w:bookmarkStart w:id="267" w:name="_Toc363329375"/>
      <w:bookmarkStart w:id="268" w:name="_Toc184635076"/>
      <w:bookmarkStart w:id="269" w:name="_Toc368760432"/>
      <w:bookmarkStart w:id="270" w:name="_Toc368759380"/>
      <w:bookmarkStart w:id="271" w:name="_Toc369077566"/>
      <w:r>
        <w:rPr>
          <w:rFonts w:hint="eastAsia" w:asciiTheme="minorEastAsia" w:hAnsiTheme="minorEastAsia" w:eastAsiaTheme="minorEastAsia" w:cstheme="minorEastAsia"/>
          <w:color w:val="auto"/>
          <w:szCs w:val="21"/>
          <w:highlight w:val="white"/>
        </w:rPr>
        <w:t>5.2.1 主持人按下列程序进行开标：</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（1）宣布开标纪律；</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（2）公布在投标截止时间前递交投标文件的投标人名称，并按投标人须知前附表的要求确认投标人是否派相关人员到场；</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（3）宣布相关参会人员姓名；</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（4）检查投标文件的密封情况；</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（5）当众开标、唱标，并记录在案；</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（6）相关参会人员在开标记录上签字确认；</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（7）开标结束。</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5.2.2投标人对开标有异议的，应当在开标现场提出，招标人应当当场作出答复，并作好记录；如无法现场答复的，可转交评标委员会予以解决。</w:t>
      </w:r>
    </w:p>
    <w:p>
      <w:pPr>
        <w:pStyle w:val="122"/>
        <w:rPr>
          <w:rFonts w:asciiTheme="minorEastAsia" w:hAnsiTheme="minorEastAsia" w:eastAsiaTheme="minorEastAsia" w:cstheme="minorEastAsia"/>
          <w:color w:val="auto"/>
        </w:rPr>
      </w:pPr>
      <w:bookmarkStart w:id="272" w:name="_Toc387526313"/>
      <w:bookmarkStart w:id="273" w:name="_Toc22517"/>
      <w:bookmarkStart w:id="274" w:name="_Toc387526209"/>
      <w:bookmarkStart w:id="275" w:name="_Toc387526405"/>
      <w:bookmarkStart w:id="276" w:name="_Toc397928581"/>
      <w:bookmarkStart w:id="277" w:name="_Toc29388434"/>
      <w:r>
        <w:rPr>
          <w:rFonts w:hint="eastAsia" w:asciiTheme="minorEastAsia" w:hAnsiTheme="minorEastAsia" w:eastAsiaTheme="minorEastAsia" w:cstheme="minorEastAsia"/>
          <w:color w:val="auto"/>
        </w:rPr>
        <w:t>6.评标</w:t>
      </w:r>
      <w:bookmarkEnd w:id="266"/>
      <w:bookmarkEnd w:id="267"/>
      <w:bookmarkEnd w:id="268"/>
      <w:bookmarkEnd w:id="269"/>
      <w:bookmarkEnd w:id="270"/>
      <w:bookmarkEnd w:id="271"/>
      <w:bookmarkEnd w:id="272"/>
      <w:bookmarkEnd w:id="273"/>
      <w:bookmarkEnd w:id="274"/>
      <w:bookmarkEnd w:id="275"/>
      <w:bookmarkEnd w:id="276"/>
      <w:bookmarkEnd w:id="277"/>
    </w:p>
    <w:p>
      <w:pPr>
        <w:pStyle w:val="4"/>
        <w:spacing w:line="400" w:lineRule="exact"/>
        <w:ind w:firstLine="103"/>
        <w:rPr>
          <w:rFonts w:asciiTheme="minorEastAsia" w:hAnsiTheme="minorEastAsia" w:eastAsiaTheme="minorEastAsia" w:cstheme="minorEastAsia"/>
          <w:color w:val="auto"/>
          <w:sz w:val="21"/>
          <w:szCs w:val="21"/>
        </w:rPr>
      </w:pPr>
      <w:bookmarkStart w:id="278" w:name="_Toc387526406"/>
      <w:bookmarkStart w:id="279" w:name="_Toc387526210"/>
      <w:bookmarkStart w:id="280" w:name="_Toc397928582"/>
      <w:bookmarkStart w:id="281" w:name="_Toc29388435"/>
      <w:bookmarkStart w:id="282" w:name="_Toc387526314"/>
      <w:bookmarkStart w:id="283" w:name="_Toc9909"/>
      <w:r>
        <w:rPr>
          <w:rFonts w:hint="eastAsia" w:asciiTheme="minorEastAsia" w:hAnsiTheme="minorEastAsia" w:eastAsiaTheme="minorEastAsia" w:cstheme="minorEastAsia"/>
          <w:color w:val="auto"/>
          <w:sz w:val="21"/>
          <w:szCs w:val="21"/>
        </w:rPr>
        <w:t>6.1 评标委员会</w:t>
      </w:r>
      <w:bookmarkEnd w:id="278"/>
      <w:bookmarkEnd w:id="279"/>
      <w:bookmarkEnd w:id="280"/>
      <w:bookmarkEnd w:id="281"/>
      <w:bookmarkEnd w:id="282"/>
      <w:bookmarkEnd w:id="283"/>
    </w:p>
    <w:p>
      <w:pPr>
        <w:spacing w:line="400" w:lineRule="exact"/>
        <w:ind w:firstLine="420"/>
        <w:rPr>
          <w:rFonts w:asciiTheme="minorEastAsia" w:hAnsiTheme="minorEastAsia" w:eastAsiaTheme="minorEastAsia" w:cstheme="minorEastAsia"/>
          <w:color w:val="auto"/>
          <w:szCs w:val="21"/>
          <w:highlight w:val="white"/>
        </w:rPr>
      </w:pPr>
      <w:bookmarkStart w:id="284" w:name="_Toc324255922"/>
      <w:bookmarkStart w:id="285" w:name="_Toc339359778"/>
      <w:bookmarkStart w:id="286" w:name="_Toc269310951"/>
      <w:r>
        <w:rPr>
          <w:rFonts w:hint="eastAsia" w:asciiTheme="minorEastAsia" w:hAnsiTheme="minorEastAsia" w:eastAsiaTheme="minorEastAsia" w:cstheme="minorEastAsia"/>
          <w:color w:val="auto"/>
          <w:szCs w:val="21"/>
          <w:highlight w:val="white"/>
        </w:rPr>
        <w:t>6.1.1 评标由招标人依法组建的评标委员会负责。评标委员会由招标人代表以及有关技术、经济等方面的专家组成。</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6.1.2 评标委员会成员有下列情形之一的，应当回避：</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（1）投标人或投标人主要负责人的近亲属；</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（2）项目主管部门或者行政监督部门的人员；</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（3）与投标人有经济利益关系；</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（4）曾因在招标、评标以及其他与招标投标有关活动中从事违法行为而受过行政处罚或刑事处罚的，且在处罚期内。</w:t>
      </w:r>
    </w:p>
    <w:p>
      <w:pPr>
        <w:pStyle w:val="4"/>
        <w:spacing w:line="400" w:lineRule="exact"/>
        <w:ind w:firstLine="103"/>
        <w:rPr>
          <w:rFonts w:asciiTheme="minorEastAsia" w:hAnsiTheme="minorEastAsia" w:eastAsiaTheme="minorEastAsia" w:cstheme="minorEastAsia"/>
          <w:color w:val="auto"/>
          <w:sz w:val="21"/>
          <w:szCs w:val="21"/>
        </w:rPr>
      </w:pPr>
      <w:bookmarkStart w:id="287" w:name="_Toc387526315"/>
      <w:bookmarkStart w:id="288" w:name="_Toc397928583"/>
      <w:bookmarkStart w:id="289" w:name="_Toc387526407"/>
      <w:bookmarkStart w:id="290" w:name="_Toc12316"/>
      <w:bookmarkStart w:id="291" w:name="_Toc387526211"/>
      <w:bookmarkStart w:id="292" w:name="_Toc29388436"/>
      <w:r>
        <w:rPr>
          <w:rFonts w:hint="eastAsia" w:asciiTheme="minorEastAsia" w:hAnsiTheme="minorEastAsia" w:eastAsiaTheme="minorEastAsia" w:cstheme="minorEastAsia"/>
          <w:color w:val="auto"/>
          <w:sz w:val="21"/>
          <w:szCs w:val="21"/>
        </w:rPr>
        <w:t>6.2</w:t>
      </w:r>
      <w:bookmarkEnd w:id="284"/>
      <w:bookmarkEnd w:id="285"/>
      <w:bookmarkEnd w:id="286"/>
      <w:r>
        <w:rPr>
          <w:rFonts w:hint="eastAsia" w:asciiTheme="minorEastAsia" w:hAnsiTheme="minorEastAsia" w:eastAsiaTheme="minorEastAsia" w:cstheme="minorEastAsia"/>
          <w:color w:val="auto"/>
          <w:sz w:val="21"/>
          <w:szCs w:val="21"/>
        </w:rPr>
        <w:t>评标原则</w:t>
      </w:r>
      <w:bookmarkEnd w:id="287"/>
      <w:bookmarkEnd w:id="288"/>
      <w:bookmarkEnd w:id="289"/>
      <w:bookmarkEnd w:id="290"/>
      <w:bookmarkEnd w:id="291"/>
      <w:bookmarkEnd w:id="292"/>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评标活动遵循公平、公正、科学和择优的原则。</w:t>
      </w:r>
    </w:p>
    <w:p>
      <w:pPr>
        <w:pStyle w:val="4"/>
        <w:spacing w:line="400" w:lineRule="exact"/>
        <w:ind w:firstLine="103"/>
        <w:rPr>
          <w:rFonts w:asciiTheme="minorEastAsia" w:hAnsiTheme="minorEastAsia" w:eastAsiaTheme="minorEastAsia" w:cstheme="minorEastAsia"/>
          <w:color w:val="auto"/>
          <w:sz w:val="21"/>
          <w:szCs w:val="21"/>
        </w:rPr>
      </w:pPr>
      <w:bookmarkStart w:id="293" w:name="_Toc397928584"/>
      <w:bookmarkStart w:id="294" w:name="_Toc144974533"/>
      <w:bookmarkStart w:id="295" w:name="_Toc366679696"/>
      <w:bookmarkStart w:id="296" w:name="_Toc179632583"/>
      <w:bookmarkStart w:id="297" w:name="_Toc152045565"/>
      <w:bookmarkStart w:id="298" w:name="_Toc6500"/>
      <w:bookmarkStart w:id="299" w:name="_Toc387526408"/>
      <w:bookmarkStart w:id="300" w:name="_Toc29388437"/>
      <w:bookmarkStart w:id="301" w:name="_Toc387526212"/>
      <w:bookmarkStart w:id="302" w:name="_Toc247085723"/>
      <w:bookmarkStart w:id="303" w:name="_Toc387526316"/>
      <w:bookmarkStart w:id="304" w:name="_Toc152042341"/>
      <w:bookmarkStart w:id="305" w:name="_Toc246996209"/>
      <w:bookmarkStart w:id="306" w:name="_Toc246996952"/>
      <w:r>
        <w:rPr>
          <w:rFonts w:hint="eastAsia" w:asciiTheme="minorEastAsia" w:hAnsiTheme="minorEastAsia" w:eastAsiaTheme="minorEastAsia" w:cstheme="minorEastAsia"/>
          <w:color w:val="auto"/>
          <w:sz w:val="21"/>
          <w:szCs w:val="21"/>
        </w:rPr>
        <w:t>6.3 评标</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评标委员会按照第三章“评标办法”规定的方法、评审因素、标准和程序对投标文件进行评审。第三章“评标办法”没有规定的方法、评审因素和标准，不作为评标依据。</w:t>
      </w:r>
    </w:p>
    <w:p>
      <w:pPr>
        <w:pStyle w:val="4"/>
        <w:spacing w:line="400" w:lineRule="exact"/>
        <w:ind w:firstLine="103"/>
        <w:rPr>
          <w:rFonts w:asciiTheme="minorEastAsia" w:hAnsiTheme="minorEastAsia" w:eastAsiaTheme="minorEastAsia" w:cstheme="minorEastAsia"/>
          <w:color w:val="auto"/>
          <w:sz w:val="21"/>
          <w:szCs w:val="21"/>
        </w:rPr>
      </w:pPr>
      <w:bookmarkStart w:id="307" w:name="_Toc29388438"/>
      <w:bookmarkStart w:id="308" w:name="_Toc397928585"/>
      <w:r>
        <w:rPr>
          <w:rFonts w:hint="eastAsia" w:asciiTheme="minorEastAsia" w:hAnsiTheme="minorEastAsia" w:eastAsiaTheme="minorEastAsia" w:cstheme="minorEastAsia"/>
          <w:color w:val="auto"/>
          <w:sz w:val="21"/>
          <w:szCs w:val="21"/>
        </w:rPr>
        <w:t>6.4 多个标段推荐中标候选人顺序</w:t>
      </w:r>
      <w:bookmarkEnd w:id="307"/>
      <w:bookmarkEnd w:id="308"/>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无。</w:t>
      </w:r>
    </w:p>
    <w:p>
      <w:pPr>
        <w:pStyle w:val="4"/>
        <w:spacing w:line="400" w:lineRule="exact"/>
        <w:ind w:firstLine="103"/>
        <w:rPr>
          <w:rFonts w:asciiTheme="minorEastAsia" w:hAnsiTheme="minorEastAsia" w:eastAsiaTheme="minorEastAsia" w:cstheme="minorEastAsia"/>
          <w:color w:val="auto"/>
          <w:sz w:val="21"/>
          <w:szCs w:val="21"/>
        </w:rPr>
      </w:pPr>
      <w:bookmarkStart w:id="309" w:name="_Toc29388439"/>
      <w:r>
        <w:rPr>
          <w:rFonts w:hint="eastAsia" w:asciiTheme="minorEastAsia" w:hAnsiTheme="minorEastAsia" w:eastAsiaTheme="minorEastAsia" w:cstheme="minorEastAsia"/>
          <w:color w:val="auto"/>
          <w:sz w:val="21"/>
          <w:szCs w:val="21"/>
        </w:rPr>
        <w:t>6.5无效标书条款</w:t>
      </w:r>
      <w:bookmarkEnd w:id="309"/>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投标文件有下列情况之一的，属于重大偏差，视为未能对招标文件作出实质性响应，应当作为无效投标予以否决：</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（1）投标文件中的投标函未加盖投标人的公章；</w:t>
      </w:r>
    </w:p>
    <w:p>
      <w:pPr>
        <w:shd w:val="clear" w:color="auto" w:fill="FFFFFF"/>
        <w:spacing w:line="400" w:lineRule="exact"/>
        <w:ind w:firstLine="396" w:firstLineChars="189"/>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（2）投标文件中的投标函无企业法定代表人（或企业法定代表人委托代理人）印章（或签字）的；</w:t>
      </w:r>
    </w:p>
    <w:p>
      <w:pPr>
        <w:shd w:val="clear" w:color="auto" w:fill="FFFFFF"/>
        <w:spacing w:line="400" w:lineRule="exact"/>
        <w:ind w:firstLine="396" w:firstLineChars="189"/>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（4）投标人资格条件不符合国家有关规定或招标文件要求的；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（5）组成联合体投标未提供联合体各方共同投标协议的； </w:t>
      </w:r>
    </w:p>
    <w:p>
      <w:pPr>
        <w:spacing w:line="400" w:lineRule="exact"/>
        <w:ind w:right="-3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（6）在同一招标项目中，联合体成员以自己名义单独投标或者参加其他联合体投标的；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（7）投标人名称与资格审查资料不一致且未提供有效证明的；</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（8）投标文件技术规格中一般参数超出招标文件允许偏离的最大范围或最高项数的；</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（9）投标报价高于招标文件设定的最高投标限价的；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（10）投标文件的组成不符合招标文件要求的；</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（12）与招标文件提供的货物（设备）清单中的清单数量或规格不相同的；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（13）未按招标文件要求提供投标保证金（含投标保证金）的；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（14）投标文件载明的招标项目完成期限超过招标文件规定的期限的，或交货期达不到招标文件规定期限的要求；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（15）明显不符合技术规范、技术标准的要求的；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（16）投标文件载明的货物包装方式、检验标准和方法等不符合招标文件的要求的；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（17）投标文件提出的工程验收、计量、价款结算和付款方式不能满足招标文件要求或招标人不能接受；</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（18）不同投标人的投标文件出现了评标委员会认为不应当雷同的情况的； </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（19）以他人的名义投标、串通投标、以行贿手段谋取中标或者以其他弄虚作假方式投标的；</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（20）不符合招标文件有关暗标要求的；</w:t>
      </w:r>
    </w:p>
    <w:p>
      <w:pPr>
        <w:shd w:val="clear" w:color="auto" w:fill="FFFFFF"/>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（21）不符合招标文件有关电子标书要求的。</w:t>
      </w:r>
    </w:p>
    <w:p>
      <w:pPr>
        <w:spacing w:before="100" w:beforeAutospacing="1" w:after="100" w:afterAutospacing="1"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
        <w:spacing w:line="400" w:lineRule="exact"/>
        <w:ind w:firstLine="103"/>
        <w:rPr>
          <w:rFonts w:asciiTheme="minorEastAsia" w:hAnsiTheme="minorEastAsia" w:eastAsiaTheme="minorEastAsia" w:cstheme="minorEastAsia"/>
          <w:color w:val="auto"/>
          <w:sz w:val="21"/>
          <w:szCs w:val="21"/>
        </w:rPr>
      </w:pPr>
      <w:bookmarkStart w:id="310" w:name="_Toc29388440"/>
      <w:r>
        <w:rPr>
          <w:rFonts w:hint="eastAsia" w:asciiTheme="minorEastAsia" w:hAnsiTheme="minorEastAsia" w:eastAsiaTheme="minorEastAsia" w:cstheme="minorEastAsia"/>
          <w:color w:val="auto"/>
          <w:sz w:val="21"/>
          <w:szCs w:val="21"/>
        </w:rPr>
        <w:t>6.6重新招标</w:t>
      </w:r>
      <w:bookmarkEnd w:id="310"/>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22"/>
        <w:rPr>
          <w:rFonts w:asciiTheme="minorEastAsia" w:hAnsiTheme="minorEastAsia" w:eastAsiaTheme="minorEastAsia" w:cstheme="minorEastAsia"/>
          <w:color w:val="auto"/>
        </w:rPr>
      </w:pPr>
      <w:bookmarkStart w:id="311" w:name="_Toc397928586"/>
      <w:bookmarkStart w:id="312" w:name="_Toc387526213"/>
      <w:bookmarkStart w:id="313" w:name="_Toc387526317"/>
      <w:bookmarkStart w:id="314" w:name="_Toc387526409"/>
      <w:bookmarkStart w:id="315" w:name="_Toc29388441"/>
      <w:bookmarkStart w:id="316" w:name="_Toc22985"/>
      <w:bookmarkStart w:id="317" w:name="_Toc368760433"/>
      <w:bookmarkStart w:id="318" w:name="_Toc369077567"/>
      <w:r>
        <w:rPr>
          <w:rFonts w:hint="eastAsia" w:asciiTheme="minorEastAsia" w:hAnsiTheme="minorEastAsia" w:eastAsiaTheme="minorEastAsia" w:cstheme="minorEastAsia"/>
          <w:color w:val="auto"/>
        </w:rPr>
        <w:t>7. 评标结果公示</w:t>
      </w:r>
      <w:bookmarkEnd w:id="311"/>
      <w:bookmarkEnd w:id="312"/>
      <w:bookmarkEnd w:id="313"/>
      <w:bookmarkEnd w:id="314"/>
      <w:bookmarkEnd w:id="315"/>
      <w:bookmarkEnd w:id="316"/>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7.1 招标人在收到评标报告之日起3日内，在与招标公告相同的发布媒介上对评标结果进行公示，公示期不少于3日。</w:t>
      </w:r>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7.2 投标人或者其他利害关系人对评标结果有异议的，应当在评标结果公示期间向招标人提出异议。招标人自收到异议之日起3日内作出答复，并在作出答复前暂停招标投标活动。</w:t>
      </w:r>
    </w:p>
    <w:p>
      <w:pPr>
        <w:pStyle w:val="122"/>
        <w:rPr>
          <w:rFonts w:asciiTheme="minorEastAsia" w:hAnsiTheme="minorEastAsia" w:eastAsiaTheme="minorEastAsia" w:cstheme="minorEastAsia"/>
          <w:color w:val="auto"/>
        </w:rPr>
      </w:pPr>
      <w:bookmarkStart w:id="319" w:name="_Toc397928587"/>
      <w:bookmarkStart w:id="320" w:name="_Toc387526410"/>
      <w:bookmarkStart w:id="321" w:name="_Toc15824"/>
      <w:bookmarkStart w:id="322" w:name="_Toc387526214"/>
      <w:bookmarkStart w:id="323" w:name="_Toc387526318"/>
      <w:bookmarkStart w:id="324" w:name="_Toc29388442"/>
      <w:r>
        <w:rPr>
          <w:rFonts w:hint="eastAsia" w:asciiTheme="minorEastAsia" w:hAnsiTheme="minorEastAsia" w:eastAsiaTheme="minorEastAsia" w:cstheme="minorEastAsia"/>
          <w:color w:val="auto"/>
        </w:rPr>
        <w:t>8. 合同授予</w:t>
      </w:r>
      <w:bookmarkEnd w:id="245"/>
      <w:bookmarkEnd w:id="246"/>
      <w:bookmarkEnd w:id="247"/>
      <w:bookmarkEnd w:id="248"/>
      <w:bookmarkEnd w:id="249"/>
      <w:bookmarkEnd w:id="250"/>
      <w:bookmarkEnd w:id="251"/>
      <w:bookmarkEnd w:id="252"/>
      <w:bookmarkEnd w:id="253"/>
      <w:bookmarkEnd w:id="317"/>
      <w:bookmarkEnd w:id="318"/>
      <w:bookmarkEnd w:id="319"/>
      <w:bookmarkEnd w:id="320"/>
      <w:bookmarkEnd w:id="321"/>
      <w:bookmarkEnd w:id="322"/>
      <w:bookmarkEnd w:id="323"/>
      <w:bookmarkEnd w:id="324"/>
    </w:p>
    <w:p>
      <w:pPr>
        <w:pStyle w:val="4"/>
        <w:spacing w:line="400" w:lineRule="exact"/>
        <w:ind w:firstLine="103"/>
        <w:rPr>
          <w:rFonts w:asciiTheme="minorEastAsia" w:hAnsiTheme="minorEastAsia" w:eastAsiaTheme="minorEastAsia" w:cstheme="minorEastAsia"/>
          <w:color w:val="auto"/>
          <w:sz w:val="21"/>
          <w:szCs w:val="21"/>
        </w:rPr>
      </w:pPr>
      <w:bookmarkStart w:id="325" w:name="_Toc397928588"/>
      <w:bookmarkStart w:id="326" w:name="_Toc5192"/>
      <w:bookmarkStart w:id="327" w:name="_Toc29388443"/>
      <w:bookmarkStart w:id="328" w:name="_Toc387526319"/>
      <w:bookmarkStart w:id="329" w:name="_Toc387526411"/>
      <w:bookmarkStart w:id="330" w:name="_Toc387526215"/>
      <w:bookmarkStart w:id="331" w:name="_Toc152045567"/>
      <w:bookmarkStart w:id="332" w:name="_Toc247085725"/>
      <w:bookmarkStart w:id="333" w:name="_Toc152042343"/>
      <w:bookmarkStart w:id="334" w:name="_Toc179632585"/>
      <w:bookmarkStart w:id="335" w:name="_Toc144974535"/>
      <w:bookmarkStart w:id="336" w:name="_Toc246996954"/>
      <w:bookmarkStart w:id="337" w:name="_Toc366679698"/>
      <w:bookmarkStart w:id="338" w:name="_Toc246996211"/>
      <w:r>
        <w:rPr>
          <w:rFonts w:hint="eastAsia" w:asciiTheme="minorEastAsia" w:hAnsiTheme="minorEastAsia" w:eastAsiaTheme="minorEastAsia" w:cstheme="minorEastAsia"/>
          <w:color w:val="auto"/>
          <w:sz w:val="21"/>
          <w:szCs w:val="21"/>
        </w:rPr>
        <w:t>8.1 定标方式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spacing w:line="400" w:lineRule="exact"/>
        <w:ind w:firstLine="420" w:firstLineChars="200"/>
        <w:rPr>
          <w:rFonts w:asciiTheme="minorEastAsia" w:hAnsiTheme="minorEastAsia" w:eastAsiaTheme="minorEastAsia" w:cstheme="minorEastAsia"/>
          <w:color w:val="auto"/>
          <w:szCs w:val="21"/>
        </w:rPr>
      </w:pPr>
      <w:bookmarkStart w:id="339" w:name="_Toc387526216"/>
      <w:bookmarkStart w:id="340" w:name="_Toc387526320"/>
      <w:bookmarkStart w:id="341" w:name="_Toc387526412"/>
      <w:bookmarkStart w:id="342" w:name="_Toc29357"/>
      <w:r>
        <w:rPr>
          <w:rFonts w:hint="eastAsia" w:asciiTheme="minorEastAsia" w:hAnsiTheme="minorEastAsia" w:eastAsiaTheme="minorEastAsia" w:cstheme="minorEastAsia"/>
          <w:color w:val="auto"/>
          <w:szCs w:val="21"/>
        </w:rPr>
        <w:t>除投标人须知前附表规定评标委员会直接确定中标人外，招标人依据评标委员会推荐的中标候选人确定中标人。</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400" w:lineRule="exact"/>
        <w:ind w:firstLine="103"/>
        <w:rPr>
          <w:rFonts w:asciiTheme="minorEastAsia" w:hAnsiTheme="minorEastAsia" w:eastAsiaTheme="minorEastAsia" w:cstheme="minorEastAsia"/>
          <w:color w:val="auto"/>
          <w:sz w:val="21"/>
          <w:szCs w:val="21"/>
        </w:rPr>
      </w:pPr>
      <w:bookmarkStart w:id="343" w:name="_Toc29388444"/>
      <w:bookmarkStart w:id="344" w:name="_Toc397928589"/>
      <w:r>
        <w:rPr>
          <w:rFonts w:hint="eastAsia" w:asciiTheme="minorEastAsia" w:hAnsiTheme="minorEastAsia" w:eastAsiaTheme="minorEastAsia" w:cstheme="minorEastAsia"/>
          <w:color w:val="auto"/>
          <w:sz w:val="21"/>
          <w:szCs w:val="21"/>
        </w:rPr>
        <w:t>8.2</w:t>
      </w:r>
      <w:bookmarkEnd w:id="339"/>
      <w:bookmarkEnd w:id="340"/>
      <w:bookmarkEnd w:id="341"/>
      <w:bookmarkEnd w:id="342"/>
      <w:bookmarkStart w:id="345" w:name="_Toc13765"/>
      <w:bookmarkStart w:id="346" w:name="_Toc246996955"/>
      <w:bookmarkStart w:id="347" w:name="_Toc179632586"/>
      <w:bookmarkStart w:id="348" w:name="_Toc387526413"/>
      <w:bookmarkStart w:id="349" w:name="_Toc246996212"/>
      <w:bookmarkStart w:id="350" w:name="_Toc366679700"/>
      <w:bookmarkStart w:id="351" w:name="_Toc387526217"/>
      <w:bookmarkStart w:id="352" w:name="_Toc387526321"/>
      <w:bookmarkStart w:id="353" w:name="_Toc247085726"/>
      <w:r>
        <w:rPr>
          <w:rFonts w:hint="eastAsia" w:asciiTheme="minorEastAsia" w:hAnsiTheme="minorEastAsia" w:eastAsiaTheme="minorEastAsia" w:cstheme="minorEastAsia"/>
          <w:color w:val="auto"/>
          <w:sz w:val="21"/>
          <w:szCs w:val="21"/>
        </w:rPr>
        <w:t>中标通知</w:t>
      </w:r>
      <w:bookmarkEnd w:id="343"/>
      <w:bookmarkEnd w:id="344"/>
      <w:bookmarkEnd w:id="345"/>
      <w:bookmarkEnd w:id="346"/>
      <w:bookmarkEnd w:id="347"/>
      <w:bookmarkEnd w:id="348"/>
      <w:bookmarkEnd w:id="349"/>
      <w:bookmarkEnd w:id="350"/>
      <w:bookmarkEnd w:id="351"/>
      <w:bookmarkEnd w:id="352"/>
      <w:bookmarkEnd w:id="353"/>
    </w:p>
    <w:p>
      <w:pPr>
        <w:spacing w:line="400" w:lineRule="exact"/>
        <w:ind w:firstLine="420" w:firstLineChars="200"/>
        <w:rPr>
          <w:rFonts w:asciiTheme="minorEastAsia" w:hAnsiTheme="minorEastAsia" w:eastAsiaTheme="minorEastAsia" w:cstheme="minorEastAsia"/>
          <w:color w:val="auto"/>
          <w:szCs w:val="21"/>
        </w:rPr>
      </w:pPr>
      <w:bookmarkStart w:id="354" w:name="_Toc179632587"/>
      <w:bookmarkStart w:id="355" w:name="_Toc246996956"/>
      <w:bookmarkStart w:id="356" w:name="_Toc247085727"/>
      <w:bookmarkStart w:id="357" w:name="_Toc366679701"/>
      <w:bookmarkStart w:id="358" w:name="_Toc246996213"/>
      <w:r>
        <w:rPr>
          <w:rFonts w:hint="eastAsia" w:asciiTheme="minorEastAsia" w:hAnsiTheme="minorEastAsia" w:eastAsiaTheme="minorEastAsia" w:cstheme="minorEastAsia"/>
          <w:color w:val="auto"/>
          <w:szCs w:val="21"/>
        </w:rPr>
        <w:t>招标人在本招标文件规定的投标有效期内以书面形式向中标人发出中标通知书。</w:t>
      </w:r>
    </w:p>
    <w:p>
      <w:pPr>
        <w:pStyle w:val="4"/>
        <w:spacing w:line="400" w:lineRule="exact"/>
        <w:ind w:firstLine="103"/>
        <w:rPr>
          <w:rFonts w:asciiTheme="minorEastAsia" w:hAnsiTheme="minorEastAsia" w:eastAsiaTheme="minorEastAsia" w:cstheme="minorEastAsia"/>
          <w:color w:val="auto"/>
          <w:sz w:val="21"/>
          <w:szCs w:val="21"/>
        </w:rPr>
      </w:pPr>
      <w:bookmarkStart w:id="359" w:name="_Toc387526322"/>
      <w:bookmarkStart w:id="360" w:name="_Toc397928590"/>
      <w:bookmarkStart w:id="361" w:name="_Toc29388445"/>
      <w:bookmarkStart w:id="362" w:name="_Toc26386"/>
      <w:bookmarkStart w:id="363" w:name="_Toc387526414"/>
      <w:bookmarkStart w:id="364" w:name="_Toc387526218"/>
      <w:r>
        <w:rPr>
          <w:rFonts w:hint="eastAsia" w:asciiTheme="minorEastAsia" w:hAnsiTheme="minorEastAsia" w:eastAsiaTheme="minorEastAsia" w:cstheme="minorEastAsia"/>
          <w:color w:val="auto"/>
          <w:sz w:val="21"/>
          <w:szCs w:val="21"/>
        </w:rPr>
        <w:t>8.3 履约保证金</w:t>
      </w:r>
      <w:bookmarkEnd w:id="354"/>
      <w:bookmarkEnd w:id="355"/>
      <w:bookmarkEnd w:id="356"/>
      <w:bookmarkEnd w:id="357"/>
      <w:bookmarkEnd w:id="358"/>
      <w:bookmarkEnd w:id="359"/>
      <w:bookmarkEnd w:id="360"/>
      <w:bookmarkEnd w:id="361"/>
      <w:bookmarkEnd w:id="362"/>
      <w:bookmarkEnd w:id="363"/>
      <w:bookmarkEnd w:id="364"/>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8.3.1在签订合同前，中标人应按招标公告、投标人须知前附表规定的形式和招标文件“合同条款及格式”规定的或者事先经过招标人书面认可的履约保证金格式向招标人提交履约保证金。</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8.3.2 中标人不能按本章第8.3.1项要求提交履约保证金的，视为放弃中标，其投标保证金不予退还，给招标人造成的损失超过投标保证金数额的，中标人还应当对超过部分予以赔偿。</w:t>
      </w:r>
    </w:p>
    <w:p>
      <w:pPr>
        <w:pStyle w:val="4"/>
        <w:spacing w:line="400" w:lineRule="exact"/>
        <w:ind w:firstLine="103"/>
        <w:rPr>
          <w:rFonts w:asciiTheme="minorEastAsia" w:hAnsiTheme="minorEastAsia" w:eastAsiaTheme="minorEastAsia" w:cstheme="minorEastAsia"/>
          <w:color w:val="auto"/>
          <w:sz w:val="21"/>
          <w:szCs w:val="21"/>
        </w:rPr>
      </w:pPr>
      <w:bookmarkStart w:id="365" w:name="_Toc366679702"/>
      <w:bookmarkStart w:id="366" w:name="_Toc387526415"/>
      <w:bookmarkStart w:id="367" w:name="_Toc179632588"/>
      <w:bookmarkStart w:id="368" w:name="_Toc29388446"/>
      <w:bookmarkStart w:id="369" w:name="_Toc387526323"/>
      <w:bookmarkStart w:id="370" w:name="_Toc397928591"/>
      <w:bookmarkStart w:id="371" w:name="_Toc10565"/>
      <w:bookmarkStart w:id="372" w:name="_Toc246996957"/>
      <w:bookmarkStart w:id="373" w:name="_Toc387526219"/>
      <w:bookmarkStart w:id="374" w:name="_Toc246996214"/>
      <w:bookmarkStart w:id="375" w:name="_Toc247085728"/>
      <w:r>
        <w:rPr>
          <w:rFonts w:hint="eastAsia" w:asciiTheme="minorEastAsia" w:hAnsiTheme="minorEastAsia" w:eastAsiaTheme="minorEastAsia" w:cstheme="minorEastAsia"/>
          <w:color w:val="auto"/>
          <w:sz w:val="21"/>
          <w:szCs w:val="21"/>
        </w:rPr>
        <w:t>8.4 签订合同</w:t>
      </w:r>
      <w:bookmarkEnd w:id="365"/>
      <w:bookmarkEnd w:id="366"/>
      <w:bookmarkEnd w:id="367"/>
      <w:bookmarkEnd w:id="368"/>
      <w:bookmarkEnd w:id="369"/>
      <w:bookmarkEnd w:id="370"/>
      <w:bookmarkEnd w:id="371"/>
      <w:bookmarkEnd w:id="372"/>
      <w:bookmarkEnd w:id="373"/>
      <w:bookmarkEnd w:id="374"/>
      <w:bookmarkEnd w:id="375"/>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8.4.2 发出中标通知书后，招标人无正当理由拒签合同的，招标人向中标人退还投标保证金；给中标人造成损失的，还应当赔偿损失。</w:t>
      </w:r>
    </w:p>
    <w:bookmarkEnd w:id="212"/>
    <w:bookmarkEnd w:id="213"/>
    <w:bookmarkEnd w:id="214"/>
    <w:bookmarkEnd w:id="215"/>
    <w:p>
      <w:pPr>
        <w:pStyle w:val="122"/>
        <w:rPr>
          <w:rFonts w:asciiTheme="minorEastAsia" w:hAnsiTheme="minorEastAsia" w:eastAsiaTheme="minorEastAsia" w:cstheme="minorEastAsia"/>
          <w:color w:val="auto"/>
        </w:rPr>
      </w:pPr>
      <w:bookmarkStart w:id="376" w:name="_Toc368759383"/>
      <w:bookmarkStart w:id="377" w:name="_Toc30717"/>
      <w:bookmarkStart w:id="378" w:name="_Toc367894807"/>
      <w:bookmarkStart w:id="379" w:name="_Toc387526416"/>
      <w:bookmarkStart w:id="380" w:name="_Toc397928592"/>
      <w:bookmarkStart w:id="381" w:name="_Toc363329380"/>
      <w:bookmarkStart w:id="382" w:name="_Toc368760435"/>
      <w:bookmarkStart w:id="383" w:name="_Toc387526324"/>
      <w:bookmarkStart w:id="384" w:name="_Toc322503149"/>
      <w:bookmarkStart w:id="385" w:name="_Toc387526220"/>
      <w:bookmarkStart w:id="386" w:name="_Toc369077569"/>
      <w:bookmarkStart w:id="387" w:name="_Toc29388447"/>
      <w:r>
        <w:rPr>
          <w:rFonts w:hint="eastAsia" w:asciiTheme="minorEastAsia" w:hAnsiTheme="minorEastAsia" w:eastAsiaTheme="minorEastAsia" w:cstheme="minorEastAsia"/>
          <w:color w:val="auto"/>
        </w:rPr>
        <w:t>9.纪律和监督</w:t>
      </w:r>
      <w:bookmarkEnd w:id="376"/>
      <w:bookmarkEnd w:id="377"/>
      <w:bookmarkEnd w:id="378"/>
      <w:bookmarkEnd w:id="379"/>
      <w:bookmarkEnd w:id="380"/>
      <w:bookmarkEnd w:id="381"/>
      <w:bookmarkEnd w:id="382"/>
      <w:bookmarkEnd w:id="383"/>
      <w:bookmarkEnd w:id="384"/>
      <w:bookmarkEnd w:id="385"/>
      <w:bookmarkEnd w:id="386"/>
      <w:bookmarkEnd w:id="387"/>
    </w:p>
    <w:p>
      <w:pPr>
        <w:pStyle w:val="4"/>
        <w:spacing w:line="400" w:lineRule="exact"/>
        <w:ind w:firstLine="103"/>
        <w:rPr>
          <w:rFonts w:asciiTheme="minorEastAsia" w:hAnsiTheme="minorEastAsia" w:eastAsiaTheme="minorEastAsia" w:cstheme="minorEastAsia"/>
          <w:color w:val="auto"/>
          <w:sz w:val="21"/>
          <w:szCs w:val="21"/>
        </w:rPr>
      </w:pPr>
      <w:bookmarkStart w:id="388" w:name="_Toc152045575"/>
      <w:bookmarkStart w:id="389" w:name="_Toc387526325"/>
      <w:bookmarkStart w:id="390" w:name="_Toc152042351"/>
      <w:bookmarkStart w:id="391" w:name="_Toc397928593"/>
      <w:bookmarkStart w:id="392" w:name="_Toc387526221"/>
      <w:bookmarkStart w:id="393" w:name="_Toc144974543"/>
      <w:bookmarkStart w:id="394" w:name="_Toc387526417"/>
      <w:bookmarkStart w:id="395" w:name="_Toc29388448"/>
      <w:bookmarkStart w:id="396" w:name="_Toc29855"/>
      <w:bookmarkStart w:id="397" w:name="_Toc322503150"/>
      <w:bookmarkStart w:id="398" w:name="_Toc269310963"/>
      <w:r>
        <w:rPr>
          <w:rFonts w:hint="eastAsia" w:asciiTheme="minorEastAsia" w:hAnsiTheme="minorEastAsia" w:eastAsiaTheme="minorEastAsia" w:cstheme="minorEastAsia"/>
          <w:color w:val="auto"/>
          <w:sz w:val="21"/>
          <w:szCs w:val="21"/>
        </w:rPr>
        <w:t>9.1 对招标人的纪律要求</w:t>
      </w:r>
      <w:bookmarkEnd w:id="388"/>
      <w:bookmarkEnd w:id="389"/>
      <w:bookmarkEnd w:id="390"/>
      <w:bookmarkEnd w:id="391"/>
      <w:bookmarkEnd w:id="392"/>
      <w:bookmarkEnd w:id="393"/>
      <w:bookmarkEnd w:id="394"/>
      <w:bookmarkEnd w:id="395"/>
      <w:bookmarkEnd w:id="396"/>
      <w:bookmarkEnd w:id="397"/>
      <w:bookmarkEnd w:id="398"/>
    </w:p>
    <w:p>
      <w:pPr>
        <w:spacing w:line="400" w:lineRule="exact"/>
        <w:ind w:firstLine="420"/>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招标人不得泄露招标投标活动中应当保密的情况和资料，不得与投标人串通损害国家利益、社会公众利益或者他人合法权益。</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399" w:name="_Toc387526418"/>
      <w:bookmarkStart w:id="400" w:name="_Toc29388449"/>
      <w:bookmarkStart w:id="401" w:name="_Toc387526222"/>
      <w:bookmarkStart w:id="402" w:name="_Toc322503151"/>
      <w:bookmarkStart w:id="403" w:name="_Toc397928594"/>
      <w:bookmarkStart w:id="404" w:name="_Toc152042352"/>
      <w:bookmarkStart w:id="405" w:name="_Toc144974544"/>
      <w:bookmarkStart w:id="406" w:name="_Toc387526326"/>
      <w:bookmarkStart w:id="407" w:name="_Toc269310964"/>
      <w:bookmarkStart w:id="408" w:name="_Toc152045576"/>
      <w:bookmarkStart w:id="409" w:name="_Toc1420"/>
      <w:r>
        <w:rPr>
          <w:rFonts w:hint="eastAsia" w:asciiTheme="minorEastAsia" w:hAnsiTheme="minorEastAsia" w:eastAsiaTheme="minorEastAsia" w:cstheme="minorEastAsia"/>
          <w:color w:val="auto"/>
          <w:sz w:val="21"/>
          <w:szCs w:val="21"/>
          <w:highlight w:val="white"/>
        </w:rPr>
        <w:t>9.2 对投标人的纪律要求</w:t>
      </w:r>
      <w:bookmarkEnd w:id="399"/>
      <w:bookmarkEnd w:id="400"/>
      <w:bookmarkEnd w:id="401"/>
      <w:bookmarkEnd w:id="402"/>
      <w:bookmarkEnd w:id="403"/>
      <w:bookmarkEnd w:id="404"/>
      <w:bookmarkEnd w:id="405"/>
      <w:bookmarkEnd w:id="406"/>
      <w:bookmarkEnd w:id="407"/>
      <w:bookmarkEnd w:id="408"/>
      <w:bookmarkEnd w:id="409"/>
    </w:p>
    <w:p>
      <w:pPr>
        <w:spacing w:line="400" w:lineRule="exact"/>
        <w:ind w:firstLine="420"/>
        <w:rPr>
          <w:rFonts w:asciiTheme="minorEastAsia" w:hAnsiTheme="minorEastAsia" w:eastAsiaTheme="minorEastAsia" w:cstheme="minorEastAsia"/>
          <w:color w:val="auto"/>
          <w:szCs w:val="21"/>
          <w:highlight w:val="white"/>
        </w:rPr>
      </w:pPr>
      <w:bookmarkStart w:id="410" w:name="_Toc269310965"/>
      <w:bookmarkStart w:id="411" w:name="_Toc152045577"/>
      <w:bookmarkStart w:id="412" w:name="_Toc322503152"/>
      <w:bookmarkStart w:id="413" w:name="_Toc144974545"/>
      <w:bookmarkStart w:id="414" w:name="_Toc152042353"/>
      <w:r>
        <w:rPr>
          <w:rFonts w:hint="eastAsia" w:asciiTheme="minorEastAsia" w:hAnsiTheme="minorEastAsia" w:eastAsiaTheme="minorEastAsia" w:cstheme="minorEastAsia"/>
          <w:color w:val="auto"/>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415" w:name="_Toc387526327"/>
      <w:bookmarkStart w:id="416" w:name="_Toc16374"/>
      <w:bookmarkStart w:id="417" w:name="_Toc29388450"/>
      <w:bookmarkStart w:id="418" w:name="_Toc387526419"/>
      <w:bookmarkStart w:id="419" w:name="_Toc397928595"/>
      <w:bookmarkStart w:id="420" w:name="_Toc387526223"/>
      <w:r>
        <w:rPr>
          <w:rFonts w:hint="eastAsia" w:asciiTheme="minorEastAsia" w:hAnsiTheme="minorEastAsia" w:eastAsiaTheme="minorEastAsia" w:cstheme="minorEastAsia"/>
          <w:color w:val="auto"/>
          <w:sz w:val="21"/>
          <w:szCs w:val="21"/>
          <w:highlight w:val="white"/>
        </w:rPr>
        <w:t>9.3 对评标委员会成员的纪律要求</w:t>
      </w:r>
      <w:bookmarkEnd w:id="410"/>
      <w:bookmarkEnd w:id="411"/>
      <w:bookmarkEnd w:id="412"/>
      <w:bookmarkEnd w:id="413"/>
      <w:bookmarkEnd w:id="414"/>
      <w:bookmarkEnd w:id="415"/>
      <w:bookmarkEnd w:id="416"/>
      <w:bookmarkEnd w:id="417"/>
      <w:bookmarkEnd w:id="418"/>
      <w:bookmarkEnd w:id="419"/>
      <w:bookmarkEnd w:id="420"/>
    </w:p>
    <w:p>
      <w:pPr>
        <w:spacing w:line="400" w:lineRule="exact"/>
        <w:ind w:firstLine="420"/>
        <w:rPr>
          <w:rFonts w:asciiTheme="minorEastAsia" w:hAnsiTheme="minorEastAsia" w:eastAsiaTheme="minorEastAsia" w:cstheme="minorEastAsia"/>
          <w:color w:val="auto"/>
          <w:szCs w:val="21"/>
          <w:highlight w:val="white"/>
        </w:rPr>
      </w:pPr>
      <w:bookmarkStart w:id="421" w:name="_Toc366679707"/>
      <w:bookmarkStart w:id="422" w:name="_Toc152045578"/>
      <w:bookmarkStart w:id="423" w:name="_Toc179632596"/>
      <w:bookmarkStart w:id="424" w:name="_Toc247085736"/>
      <w:bookmarkStart w:id="425" w:name="_Toc152042354"/>
      <w:bookmarkStart w:id="426" w:name="_Toc246996222"/>
      <w:bookmarkStart w:id="427" w:name="_Toc246996965"/>
      <w:bookmarkStart w:id="428" w:name="_Toc144974546"/>
      <w:r>
        <w:rPr>
          <w:rFonts w:hint="eastAsia" w:asciiTheme="minorEastAsia" w:hAnsiTheme="minorEastAsia" w:eastAsiaTheme="minorEastAsia" w:cstheme="minorEastAsia"/>
          <w:color w:val="auto"/>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429" w:name="_Toc29388451"/>
      <w:bookmarkStart w:id="430" w:name="_Toc387526420"/>
      <w:bookmarkStart w:id="431" w:name="_Toc387526328"/>
      <w:bookmarkStart w:id="432" w:name="_Toc1042"/>
      <w:bookmarkStart w:id="433" w:name="_Toc397928596"/>
      <w:bookmarkStart w:id="434" w:name="_Toc387526224"/>
      <w:r>
        <w:rPr>
          <w:rFonts w:hint="eastAsia" w:asciiTheme="minorEastAsia" w:hAnsiTheme="minorEastAsia" w:eastAsiaTheme="minorEastAsia" w:cstheme="minorEastAsia"/>
          <w:color w:val="auto"/>
          <w:sz w:val="21"/>
          <w:szCs w:val="21"/>
          <w:highlight w:val="white"/>
        </w:rPr>
        <w:t>9.4 对与评标活动有关的工作人员的纪律要求</w:t>
      </w:r>
      <w:bookmarkEnd w:id="421"/>
      <w:bookmarkEnd w:id="422"/>
      <w:bookmarkEnd w:id="423"/>
      <w:bookmarkEnd w:id="424"/>
      <w:bookmarkEnd w:id="425"/>
      <w:bookmarkEnd w:id="426"/>
      <w:bookmarkEnd w:id="427"/>
      <w:bookmarkEnd w:id="429"/>
      <w:bookmarkEnd w:id="430"/>
      <w:bookmarkEnd w:id="431"/>
      <w:bookmarkEnd w:id="432"/>
      <w:bookmarkEnd w:id="433"/>
      <w:bookmarkEnd w:id="434"/>
    </w:p>
    <w:p>
      <w:pPr>
        <w:spacing w:line="400" w:lineRule="exact"/>
        <w:ind w:firstLine="420"/>
        <w:rPr>
          <w:rFonts w:asciiTheme="minorEastAsia" w:hAnsiTheme="minorEastAsia" w:eastAsiaTheme="minorEastAsia" w:cstheme="minorEastAsia"/>
          <w:color w:val="auto"/>
          <w:szCs w:val="21"/>
          <w:highlight w:val="white"/>
        </w:rPr>
      </w:pPr>
      <w:bookmarkStart w:id="435" w:name="_Toc152042355"/>
      <w:bookmarkStart w:id="436" w:name="_Toc247085737"/>
      <w:bookmarkStart w:id="437" w:name="_Toc179632597"/>
      <w:bookmarkStart w:id="438" w:name="_Toc246996223"/>
      <w:bookmarkStart w:id="439" w:name="_Toc152042356"/>
      <w:bookmarkStart w:id="440" w:name="_Toc246996966"/>
      <w:bookmarkStart w:id="441" w:name="_Toc152045579"/>
      <w:bookmarkStart w:id="442" w:name="_Toc366679708"/>
      <w:r>
        <w:rPr>
          <w:rFonts w:hint="eastAsia" w:asciiTheme="minorEastAsia" w:hAnsiTheme="minorEastAsia" w:eastAsiaTheme="minorEastAsia" w:cstheme="minorEastAsia"/>
          <w:color w:val="auto"/>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5"/>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443" w:name="_Toc387526225"/>
      <w:bookmarkStart w:id="444" w:name="_Toc29388452"/>
      <w:bookmarkStart w:id="445" w:name="_Toc387526329"/>
      <w:bookmarkStart w:id="446" w:name="_Toc387526421"/>
      <w:bookmarkStart w:id="447" w:name="_Toc397928597"/>
      <w:bookmarkStart w:id="448" w:name="_Toc27873"/>
      <w:r>
        <w:rPr>
          <w:rFonts w:hint="eastAsia" w:asciiTheme="minorEastAsia" w:hAnsiTheme="minorEastAsia" w:eastAsiaTheme="minorEastAsia" w:cstheme="minorEastAsia"/>
          <w:color w:val="auto"/>
          <w:sz w:val="21"/>
          <w:szCs w:val="21"/>
          <w:highlight w:val="white"/>
        </w:rPr>
        <w:t>9.5 投诉</w:t>
      </w:r>
      <w:bookmarkEnd w:id="428"/>
      <w:bookmarkEnd w:id="436"/>
      <w:bookmarkEnd w:id="437"/>
      <w:bookmarkEnd w:id="438"/>
      <w:bookmarkEnd w:id="439"/>
      <w:bookmarkEnd w:id="440"/>
      <w:bookmarkEnd w:id="441"/>
      <w:bookmarkEnd w:id="442"/>
      <w:bookmarkEnd w:id="443"/>
      <w:bookmarkEnd w:id="444"/>
      <w:bookmarkEnd w:id="445"/>
      <w:bookmarkEnd w:id="446"/>
      <w:bookmarkEnd w:id="447"/>
      <w:bookmarkEnd w:id="448"/>
    </w:p>
    <w:p>
      <w:pPr>
        <w:spacing w:line="400" w:lineRule="exact"/>
        <w:ind w:firstLine="420"/>
        <w:rPr>
          <w:rFonts w:asciiTheme="minorEastAsia" w:hAnsiTheme="minorEastAsia" w:eastAsiaTheme="minorEastAsia" w:cstheme="minorEastAsia"/>
          <w:color w:val="auto"/>
          <w:szCs w:val="21"/>
          <w:highlight w:val="white"/>
        </w:rPr>
      </w:pPr>
      <w:bookmarkStart w:id="449" w:name="_Toc387526226"/>
      <w:bookmarkStart w:id="450" w:name="_Toc9600"/>
      <w:bookmarkStart w:id="451" w:name="_Toc387526330"/>
      <w:bookmarkStart w:id="452" w:name="_Toc387526422"/>
      <w:r>
        <w:rPr>
          <w:rFonts w:hint="eastAsia" w:asciiTheme="minorEastAsia" w:hAnsiTheme="minorEastAsia" w:eastAsiaTheme="minorEastAsia" w:cstheme="minorEastAsia"/>
          <w:color w:val="auto"/>
          <w:szCs w:val="21"/>
          <w:highlight w:val="white"/>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4"/>
        <w:spacing w:before="60" w:after="60" w:line="400" w:lineRule="exact"/>
        <w:ind w:firstLine="103"/>
        <w:rPr>
          <w:rFonts w:asciiTheme="minorEastAsia" w:hAnsiTheme="minorEastAsia" w:eastAsiaTheme="minorEastAsia" w:cstheme="minorEastAsia"/>
          <w:color w:val="auto"/>
          <w:sz w:val="21"/>
          <w:szCs w:val="21"/>
          <w:highlight w:val="white"/>
        </w:rPr>
      </w:pPr>
      <w:bookmarkStart w:id="453" w:name="_Toc29388453"/>
      <w:r>
        <w:rPr>
          <w:rFonts w:hint="eastAsia" w:asciiTheme="minorEastAsia" w:hAnsiTheme="minorEastAsia" w:eastAsiaTheme="minorEastAsia" w:cstheme="minorEastAsia"/>
          <w:color w:val="auto"/>
          <w:sz w:val="21"/>
          <w:szCs w:val="21"/>
          <w:highlight w:val="white"/>
        </w:rPr>
        <w:t>9.6差别待遇或者歧视待遇现象</w:t>
      </w:r>
      <w:bookmarkEnd w:id="453"/>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采购人或者采购代理机构有下列情形之一的，属于以不合理的条件对供应商实行差别待遇或者歧视待遇：</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（一）就同一采购项目向供应商提供有差别的项目信息；</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（二）设定的资格、技术、商务条件与采购项目的具体特点和实际需要不相适应或者与合同履行无关；</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（三）采购需求中的技术、服务等要求指向特定供应商、特定产品；</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（四）以特定行政区域或者特定行业的业绩、奖项作为加分条件或者中标、成交条件；</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（五）对供应商采取不同的资格审查或者评审标准；</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（六）限定或者指定特定的专利、商标、品牌或者供应商；</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（七）非法限定供应商的所有制形式、组织形式或者所在地；</w:t>
      </w:r>
    </w:p>
    <w:p>
      <w:pPr>
        <w:spacing w:line="400" w:lineRule="exact"/>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（八）以其他不合理条件限制或者排斥潜在供应商。</w:t>
      </w:r>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若有以上现象，评委将按本招标文件相关条款（第三章 第4.7款）执行。</w:t>
      </w:r>
    </w:p>
    <w:p>
      <w:pPr>
        <w:pStyle w:val="122"/>
        <w:rPr>
          <w:rFonts w:asciiTheme="minorEastAsia" w:hAnsiTheme="minorEastAsia" w:eastAsiaTheme="minorEastAsia" w:cstheme="minorEastAsia"/>
          <w:color w:val="auto"/>
        </w:rPr>
      </w:pPr>
      <w:bookmarkStart w:id="454" w:name="_Toc397928598"/>
      <w:bookmarkStart w:id="455" w:name="_Toc29388454"/>
      <w:r>
        <w:rPr>
          <w:rFonts w:hint="eastAsia" w:asciiTheme="minorEastAsia" w:hAnsiTheme="minorEastAsia" w:eastAsiaTheme="minorEastAsia" w:cstheme="minorEastAsia"/>
          <w:color w:val="auto"/>
        </w:rPr>
        <w:t>10. 招标人需要补充的其他内容</w:t>
      </w:r>
      <w:bookmarkEnd w:id="449"/>
      <w:bookmarkEnd w:id="450"/>
      <w:bookmarkEnd w:id="451"/>
      <w:bookmarkEnd w:id="452"/>
      <w:bookmarkEnd w:id="454"/>
      <w:bookmarkEnd w:id="455"/>
    </w:p>
    <w:p>
      <w:pPr>
        <w:pStyle w:val="4"/>
        <w:spacing w:before="60" w:after="60" w:line="400" w:lineRule="exact"/>
        <w:ind w:firstLine="103"/>
        <w:rPr>
          <w:rFonts w:asciiTheme="minorEastAsia" w:hAnsiTheme="minorEastAsia" w:eastAsiaTheme="minorEastAsia" w:cstheme="minorEastAsia"/>
          <w:color w:val="auto"/>
          <w:sz w:val="21"/>
          <w:szCs w:val="21"/>
        </w:rPr>
      </w:pPr>
      <w:bookmarkStart w:id="456" w:name="_Toc29388455"/>
      <w:r>
        <w:rPr>
          <w:rFonts w:hint="eastAsia" w:asciiTheme="minorEastAsia" w:hAnsiTheme="minorEastAsia" w:eastAsiaTheme="minorEastAsia" w:cstheme="minorEastAsia"/>
          <w:color w:val="auto"/>
          <w:sz w:val="21"/>
          <w:szCs w:val="21"/>
        </w:rPr>
        <w:t>10.1收费标准</w:t>
      </w:r>
      <w:bookmarkEnd w:id="456"/>
    </w:p>
    <w:p>
      <w:pPr>
        <w:spacing w:line="4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本项目招标代理费向中标单位收取，招标代理费按计价格[2002]1980号文件规定货物类标准100%缴纳；请投标人考虑在投标报价中。</w:t>
      </w:r>
    </w:p>
    <w:p>
      <w:pPr>
        <w:pStyle w:val="4"/>
        <w:spacing w:before="60" w:after="60" w:line="400" w:lineRule="exact"/>
        <w:ind w:firstLine="103"/>
        <w:rPr>
          <w:rFonts w:asciiTheme="minorEastAsia" w:hAnsiTheme="minorEastAsia" w:eastAsiaTheme="minorEastAsia" w:cstheme="minorEastAsia"/>
          <w:color w:val="auto"/>
          <w:sz w:val="21"/>
          <w:szCs w:val="21"/>
        </w:rPr>
      </w:pPr>
      <w:bookmarkStart w:id="457" w:name="_Toc29388456"/>
      <w:r>
        <w:rPr>
          <w:rFonts w:hint="eastAsia" w:asciiTheme="minorEastAsia" w:hAnsiTheme="minorEastAsia" w:eastAsiaTheme="minorEastAsia" w:cstheme="minorEastAsia"/>
          <w:color w:val="auto"/>
          <w:sz w:val="21"/>
          <w:szCs w:val="21"/>
        </w:rPr>
        <w:t>10.2其它内容</w:t>
      </w:r>
      <w:bookmarkEnd w:id="457"/>
    </w:p>
    <w:p>
      <w:pPr>
        <w:spacing w:line="400" w:lineRule="exact"/>
        <w:rPr>
          <w:rFonts w:asciiTheme="minorEastAsia" w:hAnsiTheme="minorEastAsia" w:eastAsiaTheme="minorEastAsia" w:cstheme="minorEastAsia"/>
          <w:color w:val="auto"/>
          <w:szCs w:val="21"/>
          <w:highlight w:val="white"/>
        </w:rPr>
      </w:pPr>
      <w:r>
        <w:rPr>
          <w:rFonts w:hint="eastAsia" w:asciiTheme="minorEastAsia" w:hAnsiTheme="minorEastAsia" w:eastAsiaTheme="minorEastAsia" w:cstheme="minorEastAsia"/>
          <w:color w:val="auto"/>
          <w:szCs w:val="21"/>
          <w:highlight w:val="white"/>
        </w:rPr>
        <w:t>无。</w:t>
      </w:r>
    </w:p>
    <w:p>
      <w:pPr>
        <w:pStyle w:val="2"/>
        <w:spacing w:line="40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0"/>
          <w:szCs w:val="20"/>
        </w:rPr>
        <w:br w:type="page"/>
      </w:r>
      <w:bookmarkStart w:id="458" w:name="_Toc29388457"/>
      <w:bookmarkStart w:id="459" w:name="_Toc397928599"/>
      <w:r>
        <w:rPr>
          <w:rFonts w:hint="eastAsia" w:asciiTheme="minorEastAsia" w:hAnsiTheme="minorEastAsia" w:eastAsiaTheme="minorEastAsia" w:cstheme="minorEastAsia"/>
          <w:color w:val="auto"/>
        </w:rPr>
        <w:t>第三章 评标办法（综合评分法）</w:t>
      </w:r>
      <w:bookmarkEnd w:id="458"/>
      <w:bookmarkEnd w:id="459"/>
    </w:p>
    <w:p>
      <w:pPr>
        <w:autoSpaceDE w:val="0"/>
        <w:autoSpaceDN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根据《中华人民共和国政府采购法实施条例》第九条规定，评委评标前签订评标回避书，作为永久档案存档。</w:t>
      </w:r>
    </w:p>
    <w:p>
      <w:pPr>
        <w:pStyle w:val="3"/>
        <w:spacing w:line="360" w:lineRule="auto"/>
        <w:rPr>
          <w:rFonts w:asciiTheme="minorEastAsia" w:hAnsiTheme="minorEastAsia" w:eastAsiaTheme="minorEastAsia" w:cstheme="minorEastAsia"/>
          <w:color w:val="auto"/>
        </w:rPr>
      </w:pPr>
      <w:bookmarkStart w:id="460" w:name="_Toc29388458"/>
      <w:bookmarkStart w:id="461" w:name="_Toc12629"/>
      <w:bookmarkStart w:id="462" w:name="_Toc184635093"/>
      <w:bookmarkStart w:id="463" w:name="_Toc397928601"/>
      <w:r>
        <w:rPr>
          <w:rFonts w:hint="eastAsia" w:asciiTheme="minorEastAsia" w:hAnsiTheme="minorEastAsia" w:eastAsiaTheme="minorEastAsia" w:cstheme="minorEastAsia"/>
          <w:color w:val="auto"/>
        </w:rPr>
        <w:t>1．评标方法</w:t>
      </w:r>
      <w:bookmarkEnd w:id="460"/>
      <w:bookmarkEnd w:id="461"/>
      <w:bookmarkEnd w:id="462"/>
      <w:bookmarkEnd w:id="463"/>
    </w:p>
    <w:p>
      <w:pPr>
        <w:autoSpaceDE w:val="0"/>
        <w:autoSpaceDN w:val="0"/>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360" w:lineRule="auto"/>
        <w:rPr>
          <w:rFonts w:asciiTheme="minorEastAsia" w:hAnsiTheme="minorEastAsia" w:eastAsiaTheme="minorEastAsia" w:cstheme="minorEastAsia"/>
          <w:color w:val="auto"/>
        </w:rPr>
      </w:pPr>
      <w:bookmarkStart w:id="464" w:name="_Toc184635094"/>
      <w:bookmarkStart w:id="465" w:name="_Toc10088"/>
      <w:bookmarkStart w:id="466" w:name="_Toc397928602"/>
      <w:bookmarkStart w:id="467" w:name="_Toc29388459"/>
      <w:r>
        <w:rPr>
          <w:rFonts w:hint="eastAsia" w:asciiTheme="minorEastAsia" w:hAnsiTheme="minorEastAsia" w:eastAsiaTheme="minorEastAsia" w:cstheme="minorEastAsia"/>
          <w:color w:val="auto"/>
        </w:rPr>
        <w:t>2．评审标准</w:t>
      </w:r>
      <w:bookmarkEnd w:id="464"/>
      <w:bookmarkEnd w:id="465"/>
      <w:bookmarkEnd w:id="466"/>
      <w:bookmarkEnd w:id="467"/>
    </w:p>
    <w:p>
      <w:pPr>
        <w:pStyle w:val="4"/>
        <w:spacing w:line="400" w:lineRule="exact"/>
        <w:ind w:firstLine="103"/>
        <w:rPr>
          <w:rFonts w:asciiTheme="minorEastAsia" w:hAnsiTheme="minorEastAsia" w:eastAsiaTheme="minorEastAsia" w:cstheme="minorEastAsia"/>
          <w:color w:val="auto"/>
          <w:sz w:val="21"/>
          <w:szCs w:val="21"/>
        </w:rPr>
      </w:pPr>
      <w:bookmarkStart w:id="468" w:name="_Toc29388460"/>
      <w:bookmarkStart w:id="469" w:name="_Toc314"/>
      <w:bookmarkStart w:id="470" w:name="_Toc397928603"/>
      <w:r>
        <w:rPr>
          <w:rFonts w:hint="eastAsia" w:asciiTheme="minorEastAsia" w:hAnsiTheme="minorEastAsia" w:eastAsiaTheme="minorEastAsia" w:cstheme="minorEastAsia"/>
          <w:color w:val="auto"/>
          <w:sz w:val="21"/>
          <w:szCs w:val="21"/>
        </w:rPr>
        <w:t>2.1 初步评审标准</w:t>
      </w:r>
      <w:bookmarkEnd w:id="468"/>
      <w:bookmarkEnd w:id="469"/>
      <w:bookmarkEnd w:id="470"/>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2.1.1 资质性评审标准：（对照投标须知3.1.1编制审查标准。）</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2.1.2 符合性评审标准：依据招标文件的规定，从投标文件的有效性、完整性和对招标文件的响应程度进行审查，以确定是否对招标文件的实质性要求作出响应。</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审查标准主要有投标文件签字盖章、投标文件的组成、投标文件及报价唯一、交货期或工期、质量要求、投标保证金等方面。</w:t>
      </w:r>
    </w:p>
    <w:p>
      <w:pPr>
        <w:spacing w:line="400" w:lineRule="exact"/>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注：实质性响应招标文件要求且价格最低的投标报价为评标基准价。评审时对小型和微型企业产品的价格给予10%的扣除，监狱企业和残疾人福利性单位视同小型、微型企业，提供相关证明材料。用扣除后的价格参与评审，中小微企业划分标准以工信部、国家统计局、国家发改委、财政部《关于印发中小企业划型标准规定的通知》（工信部联企业{2011}300号）为准。小微企业在投标文件中，须签署《小微企业声明函》，如有虚假，将按照《中华人民共和国政府采购法》第七十七条依法承担相应责任，具体事项详见盐财购{2018}3号文。</w:t>
      </w:r>
    </w:p>
    <w:p>
      <w:pPr>
        <w:pStyle w:val="4"/>
        <w:spacing w:line="400" w:lineRule="exact"/>
        <w:ind w:firstLine="103"/>
        <w:rPr>
          <w:rFonts w:asciiTheme="minorEastAsia" w:hAnsiTheme="minorEastAsia" w:eastAsiaTheme="minorEastAsia" w:cstheme="minorEastAsia"/>
          <w:color w:val="auto"/>
          <w:sz w:val="21"/>
          <w:szCs w:val="21"/>
        </w:rPr>
      </w:pPr>
      <w:bookmarkStart w:id="471" w:name="_Toc32592"/>
      <w:bookmarkStart w:id="472" w:name="_Toc397928604"/>
      <w:bookmarkStart w:id="473" w:name="_Toc29388461"/>
      <w:r>
        <w:rPr>
          <w:rFonts w:hint="eastAsia" w:asciiTheme="minorEastAsia" w:hAnsiTheme="minorEastAsia" w:eastAsiaTheme="minorEastAsia" w:cstheme="minorEastAsia"/>
          <w:color w:val="auto"/>
          <w:sz w:val="21"/>
          <w:szCs w:val="21"/>
        </w:rPr>
        <w:t>2.2 分值构成与评分标准</w:t>
      </w:r>
      <w:bookmarkEnd w:id="471"/>
      <w:bookmarkEnd w:id="472"/>
      <w:bookmarkEnd w:id="473"/>
    </w:p>
    <w:tbl>
      <w:tblPr>
        <w:tblStyle w:val="4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61"/>
        <w:gridCol w:w="1442"/>
        <w:gridCol w:w="669"/>
        <w:gridCol w:w="5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63"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61"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分部内容</w:t>
            </w:r>
          </w:p>
        </w:tc>
        <w:tc>
          <w:tcPr>
            <w:tcW w:w="1442"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分项内容</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分值</w:t>
            </w:r>
          </w:p>
        </w:tc>
        <w:tc>
          <w:tcPr>
            <w:tcW w:w="5323"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打分要求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3"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w:t>
            </w:r>
          </w:p>
        </w:tc>
        <w:tc>
          <w:tcPr>
            <w:tcW w:w="1361"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价格部分</w:t>
            </w:r>
          </w:p>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（35分）</w:t>
            </w:r>
          </w:p>
        </w:tc>
        <w:tc>
          <w:tcPr>
            <w:tcW w:w="1442"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投标报价</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w:t>
            </w:r>
          </w:p>
        </w:tc>
        <w:tc>
          <w:tcPr>
            <w:tcW w:w="5323" w:type="dxa"/>
            <w:vAlign w:val="center"/>
          </w:tcPr>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价格分统一采用低价优先法计算，即满足招标文件要求且投标价格最低的投标报价为评标基准价，其价格分为满分。其他投标人的价格分统一按照下列公式计算：</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3" w:type="dxa"/>
            <w:vMerge w:val="restart"/>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restart"/>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投标人（厂商）资信</w:t>
            </w:r>
          </w:p>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（8分）</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5323" w:type="dxa"/>
            <w:vAlign w:val="center"/>
          </w:tcPr>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安全产品厂商资信</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同时具有质量管理体系认证证书(ISO9001)、信息安全管理体系认证证书（ISO27001）得1分（须提供复印件加盖原厂公章）；</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具有信息安全应急处理服务资质（一级）得1分（须提供复印件加盖原厂公章）；</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具有信息安全风险评估服务资质（一级）得1分（须提供复印件加盖原厂公章）；</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具有信息系统安全集成服务资质（一级）得1分（须提供复印件加盖原厂公章）；</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录播产品厂商资信</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所投互动录播系列产品制造商的录播产品同时具有3C、CE、FCC、RoHS认证（1分）须提供复印件加盖原厂公章；</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所投互动录播系列产品制造商同时具有ISO9001质量管理体系认证、ISO14001环境管理体系认证、OHSMS18001职业健康安全管理体系认证(2分)，须提供复印件加盖原厂公章；</w:t>
            </w:r>
          </w:p>
          <w:p>
            <w:pPr>
              <w:widowControl/>
              <w:shd w:val="clear" w:color="auto" w:fill="FFFFFF"/>
              <w:adjustRightInd w:val="0"/>
              <w:snapToGrid w:val="0"/>
              <w:spacing w:line="30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所投互动录播系列产品制造商的录播产品具有一级能效等级认证(1分)，须提供在中国能效标识网查询的能效等级认证结果截图加盖原厂公章。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3"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Merge w:val="restart"/>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技术性能及施工组织方案</w:t>
            </w:r>
          </w:p>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(42分)</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18</w:t>
            </w:r>
          </w:p>
        </w:tc>
        <w:tc>
          <w:tcPr>
            <w:tcW w:w="5323" w:type="dxa"/>
            <w:vAlign w:val="center"/>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所投产品须全部满足产品基本技术参数要求（★以外），★部分为加分项，投标时需提供产品认证、证书、功能截图以及相关证明材料复印件加盖原厂公章；每个★计0.5分，最高不超过18分；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3"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5323" w:type="dxa"/>
            <w:vAlign w:val="center"/>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1、根据学校目前业务系统的情况，结合等保二级测评的结果，根据整改要求，制定合理的网络安全集成方案，确保通过等保二级测评，保证业务系统安全运行；</w:t>
            </w:r>
          </w:p>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2、根据精品课件录制的要求，提供录播系统的系统集成方案；评委根据方案的完整性、合理性进行评分：</w:t>
            </w:r>
          </w:p>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得分区间为8-12分（优），5-8分（良），1-4分（差）。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3"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5323" w:type="dxa"/>
            <w:vAlign w:val="center"/>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根据投标单位提供的项目实施计划、时序进度安排等，评委根据其合理程度以1分为一个计分单位，在0-4分区间酌情打分，没有不得分。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3"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5323" w:type="dxa"/>
            <w:vAlign w:val="center"/>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根据投标单位提供的项目实施小组组织结构和人员安全管理等方面，评委根据其合理程度以1分为一个计分单位，在0-4分区间酌情打分，没有不得分。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3"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5323" w:type="dxa"/>
            <w:vAlign w:val="center"/>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根据投标单位提供的针对本次项目的质量管理体系方案，由评委根据其合理程度以1分为一个计分单位，在0-4分区间酌情打分，没有不得分。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3"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361" w:type="dxa"/>
            <w:vMerge w:val="continue"/>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c>
          <w:tcPr>
            <w:tcW w:w="1442"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业绩</w:t>
            </w:r>
          </w:p>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(3分)</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5323" w:type="dxa"/>
            <w:vAlign w:val="center"/>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本次所投录播产品须有在教育行业使用的案例，投标时提供合同原件，（本次所投自动录播主机、手动录播主机、移动录播主机产品型号需和合同案例中一致），提供一份得1.5份，总计3分；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3" w:type="dxa"/>
            <w:vMerge w:val="continue"/>
            <w:vAlign w:val="center"/>
          </w:tcPr>
          <w:p>
            <w:pPr>
              <w:widowControl/>
              <w:adjustRightInd w:val="0"/>
              <w:snapToGrid w:val="0"/>
              <w:spacing w:line="300" w:lineRule="exact"/>
              <w:jc w:val="left"/>
              <w:rPr>
                <w:rFonts w:asciiTheme="minorEastAsia" w:hAnsiTheme="minorEastAsia" w:eastAsiaTheme="minorEastAsia" w:cstheme="minorEastAsia"/>
                <w:color w:val="auto"/>
                <w:szCs w:val="21"/>
              </w:rPr>
            </w:pPr>
          </w:p>
        </w:tc>
        <w:tc>
          <w:tcPr>
            <w:tcW w:w="1361" w:type="dxa"/>
            <w:vMerge w:val="continue"/>
            <w:vAlign w:val="center"/>
          </w:tcPr>
          <w:p>
            <w:pPr>
              <w:widowControl/>
              <w:adjustRightInd w:val="0"/>
              <w:snapToGrid w:val="0"/>
              <w:spacing w:line="300" w:lineRule="exact"/>
              <w:jc w:val="left"/>
              <w:rPr>
                <w:rFonts w:asciiTheme="minorEastAsia" w:hAnsiTheme="minorEastAsia" w:eastAsiaTheme="minorEastAsia" w:cstheme="minorEastAsia"/>
                <w:color w:val="auto"/>
                <w:szCs w:val="21"/>
              </w:rPr>
            </w:pPr>
          </w:p>
        </w:tc>
        <w:tc>
          <w:tcPr>
            <w:tcW w:w="1442"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售后服务及培训方案</w:t>
            </w:r>
          </w:p>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(10分)</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5323" w:type="dxa"/>
          </w:tcPr>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根据制定有效的服务承诺，详细阐述与售后服务有关的技术支持原则、目标、内容、合同结束后服务等内容以及相关培训；</w:t>
            </w:r>
          </w:p>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质保与培训服务全面、可行性强的（优），得6-10分；</w:t>
            </w:r>
          </w:p>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质保与培训服务相对完整、有较好的可行性的（良），得3-6分；</w:t>
            </w:r>
          </w:p>
          <w:p>
            <w:pPr>
              <w:adjustRightInd w:val="0"/>
              <w:snapToGrid w:val="0"/>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未提供或其它（无针对性。差）得1-2分。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vMerge w:val="continue"/>
            <w:vAlign w:val="center"/>
          </w:tcPr>
          <w:p>
            <w:pPr>
              <w:widowControl/>
              <w:adjustRightInd w:val="0"/>
              <w:snapToGrid w:val="0"/>
              <w:spacing w:line="300" w:lineRule="exact"/>
              <w:jc w:val="left"/>
              <w:rPr>
                <w:rFonts w:asciiTheme="minorEastAsia" w:hAnsiTheme="minorEastAsia" w:eastAsiaTheme="minorEastAsia" w:cstheme="minorEastAsia"/>
                <w:color w:val="auto"/>
                <w:szCs w:val="21"/>
              </w:rPr>
            </w:pPr>
          </w:p>
        </w:tc>
        <w:tc>
          <w:tcPr>
            <w:tcW w:w="1361" w:type="dxa"/>
            <w:vMerge w:val="continue"/>
            <w:vAlign w:val="center"/>
          </w:tcPr>
          <w:p>
            <w:pPr>
              <w:widowControl/>
              <w:adjustRightInd w:val="0"/>
              <w:snapToGrid w:val="0"/>
              <w:spacing w:line="300" w:lineRule="exact"/>
              <w:jc w:val="left"/>
              <w:rPr>
                <w:rFonts w:asciiTheme="minorEastAsia" w:hAnsiTheme="minorEastAsia" w:eastAsiaTheme="minorEastAsia" w:cstheme="minorEastAsia"/>
                <w:color w:val="auto"/>
                <w:szCs w:val="21"/>
              </w:rPr>
            </w:pPr>
          </w:p>
        </w:tc>
        <w:tc>
          <w:tcPr>
            <w:tcW w:w="1442"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投标文件的编制</w:t>
            </w:r>
          </w:p>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(2分)</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5323" w:type="dxa"/>
            <w:vAlign w:val="center"/>
          </w:tcPr>
          <w:p>
            <w:pPr>
              <w:widowControl/>
              <w:adjustRightInd w:val="0"/>
              <w:snapToGrid w:val="0"/>
              <w:spacing w:line="30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投标人投标文件按顺序装订，最高得0.5分：</w:t>
            </w:r>
          </w:p>
          <w:p>
            <w:pPr>
              <w:widowControl/>
              <w:adjustRightInd w:val="0"/>
              <w:snapToGrid w:val="0"/>
              <w:spacing w:line="30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是否按招标文件规定提供所有内容，最高为0.5分：</w:t>
            </w:r>
          </w:p>
          <w:p>
            <w:pPr>
              <w:widowControl/>
              <w:adjustRightInd w:val="0"/>
              <w:snapToGrid w:val="0"/>
              <w:spacing w:line="30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投标文件具备目录、页码，最高得0.5分；</w:t>
            </w:r>
          </w:p>
          <w:p>
            <w:pPr>
              <w:widowControl/>
              <w:adjustRightInd w:val="0"/>
              <w:snapToGrid w:val="0"/>
              <w:spacing w:line="3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投标文件具备“评标索引表”，有利于评委评审、审查，最高得0.5分。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566" w:type="dxa"/>
            <w:gridSpan w:val="3"/>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合计</w:t>
            </w:r>
          </w:p>
        </w:tc>
        <w:tc>
          <w:tcPr>
            <w:tcW w:w="669"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w:t>
            </w:r>
          </w:p>
        </w:tc>
        <w:tc>
          <w:tcPr>
            <w:tcW w:w="5323" w:type="dxa"/>
            <w:vAlign w:val="center"/>
          </w:tcPr>
          <w:p>
            <w:pPr>
              <w:adjustRightInd w:val="0"/>
              <w:snapToGrid w:val="0"/>
              <w:spacing w:line="300" w:lineRule="exact"/>
              <w:jc w:val="center"/>
              <w:rPr>
                <w:rFonts w:asciiTheme="minorEastAsia" w:hAnsiTheme="minorEastAsia" w:eastAsiaTheme="minorEastAsia" w:cstheme="minorEastAsia"/>
                <w:color w:val="auto"/>
                <w:szCs w:val="21"/>
              </w:rPr>
            </w:pPr>
          </w:p>
        </w:tc>
      </w:tr>
    </w:tbl>
    <w:p>
      <w:pPr>
        <w:spacing w:line="400" w:lineRule="exact"/>
        <w:ind w:firstLine="420" w:firstLineChars="200"/>
        <w:rPr>
          <w:rFonts w:asciiTheme="minorEastAsia" w:hAnsiTheme="minorEastAsia" w:eastAsiaTheme="minorEastAsia" w:cstheme="minorEastAsia"/>
          <w:color w:val="auto"/>
          <w:szCs w:val="21"/>
        </w:rPr>
      </w:pPr>
      <w:bookmarkStart w:id="474" w:name="_Toc184635095"/>
      <w:r>
        <w:rPr>
          <w:rFonts w:hint="eastAsia" w:asciiTheme="minorEastAsia" w:hAnsiTheme="minorEastAsia" w:eastAsiaTheme="minorEastAsia" w:cstheme="minorEastAsia"/>
          <w:color w:val="auto"/>
          <w:szCs w:val="21"/>
        </w:rPr>
        <w:t>当评委人数大于5人以上单数或部分评委打分出现畸高畸低时，投标人的各评分项应当取评委评分中分别去掉一个最高和最低评分后的平均值。</w:t>
      </w:r>
    </w:p>
    <w:p>
      <w:pPr>
        <w:pStyle w:val="3"/>
        <w:spacing w:line="360" w:lineRule="auto"/>
        <w:rPr>
          <w:rFonts w:asciiTheme="minorEastAsia" w:hAnsiTheme="minorEastAsia" w:eastAsiaTheme="minorEastAsia" w:cstheme="minorEastAsia"/>
          <w:color w:val="auto"/>
        </w:rPr>
      </w:pPr>
      <w:bookmarkStart w:id="475" w:name="_Toc397928605"/>
      <w:bookmarkStart w:id="476" w:name="_Toc25437"/>
      <w:bookmarkStart w:id="477" w:name="_Toc29388462"/>
      <w:r>
        <w:rPr>
          <w:rFonts w:hint="eastAsia" w:asciiTheme="minorEastAsia" w:hAnsiTheme="minorEastAsia" w:eastAsiaTheme="minorEastAsia" w:cstheme="minorEastAsia"/>
          <w:color w:val="auto"/>
        </w:rPr>
        <w:t>3． 评标程序</w:t>
      </w:r>
      <w:bookmarkEnd w:id="474"/>
      <w:bookmarkEnd w:id="475"/>
      <w:bookmarkEnd w:id="476"/>
      <w:bookmarkEnd w:id="477"/>
    </w:p>
    <w:p>
      <w:pPr>
        <w:pStyle w:val="4"/>
        <w:spacing w:line="400" w:lineRule="exact"/>
        <w:ind w:firstLine="103"/>
        <w:rPr>
          <w:rFonts w:asciiTheme="minorEastAsia" w:hAnsiTheme="minorEastAsia" w:eastAsiaTheme="minorEastAsia" w:cstheme="minorEastAsia"/>
          <w:color w:val="auto"/>
          <w:sz w:val="21"/>
          <w:szCs w:val="21"/>
        </w:rPr>
      </w:pPr>
      <w:bookmarkStart w:id="478" w:name="_Toc22907"/>
      <w:bookmarkStart w:id="479" w:name="_Toc29388463"/>
      <w:bookmarkStart w:id="480" w:name="_Toc397928606"/>
      <w:r>
        <w:rPr>
          <w:rFonts w:hint="eastAsia" w:asciiTheme="minorEastAsia" w:hAnsiTheme="minorEastAsia" w:eastAsiaTheme="minorEastAsia" w:cstheme="minorEastAsia"/>
          <w:color w:val="auto"/>
          <w:kern w:val="0"/>
          <w:sz w:val="21"/>
          <w:szCs w:val="21"/>
        </w:rPr>
        <w:t>3.1 评标准备</w:t>
      </w:r>
      <w:bookmarkEnd w:id="478"/>
      <w:bookmarkEnd w:id="479"/>
      <w:bookmarkEnd w:id="480"/>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3.1.1 评标委员会成员到达评标现场时应在签到表上签到（或通过门禁系统签到）以证明其出席。</w:t>
      </w:r>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3.1.2 评标委员会成员首先推选一名评标委员会负责人，负责评标活动的组织领导工作。</w:t>
      </w:r>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rFonts w:asciiTheme="minorEastAsia" w:hAnsiTheme="minorEastAsia" w:eastAsiaTheme="minorEastAsia" w:cstheme="minorEastAsia"/>
          <w:color w:val="auto"/>
          <w:sz w:val="21"/>
          <w:szCs w:val="21"/>
        </w:rPr>
      </w:pPr>
      <w:bookmarkStart w:id="481" w:name="_Toc6331"/>
      <w:bookmarkStart w:id="482" w:name="_Toc29388464"/>
      <w:bookmarkStart w:id="483" w:name="_Toc397928607"/>
      <w:r>
        <w:rPr>
          <w:rFonts w:hint="eastAsia" w:asciiTheme="minorEastAsia" w:hAnsiTheme="minorEastAsia" w:eastAsiaTheme="minorEastAsia" w:cstheme="minorEastAsia"/>
          <w:color w:val="auto"/>
          <w:sz w:val="21"/>
          <w:szCs w:val="21"/>
        </w:rPr>
        <w:t>3.2 初步评审</w:t>
      </w:r>
      <w:bookmarkEnd w:id="481"/>
      <w:bookmarkEnd w:id="482"/>
      <w:bookmarkEnd w:id="483"/>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3.2.1评标委员会依据本章第2.1 款规定的标准对投标文件进行初步评审。</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3.2.2投标文件不符合本章第2.1款评审标准的，属于重大偏差，视为未能对招标文件作出实质性响应，应当作为无效投标予以否决。</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3.2.3对照投标人须知6.5款，投标文件有上述情况之一，视为未能对招标文件作出实质性响应，凡招标文件未明确标明无效标条款的，评标委员会不得作为判定无效投标的依据。</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3.2.4 投标报价有算术错误的，评标委员会按以下原则对投标报价进行修正，修正的价格经投标人书面确认后具有约束力。</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(1）投标文件中的大写金额与小写金额不一致的，以大写金额为准；</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(2）总价金额与依据单价计算出的结果不一致的，以单价金额为准修正总价，但单价金额小数点有明显错误的除外。</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3.2.5只有通过初步评审的投标文件才能进入详细评审。</w:t>
      </w:r>
    </w:p>
    <w:p>
      <w:pPr>
        <w:pStyle w:val="4"/>
        <w:spacing w:line="380" w:lineRule="exact"/>
        <w:ind w:firstLine="103"/>
        <w:rPr>
          <w:rFonts w:asciiTheme="minorEastAsia" w:hAnsiTheme="minorEastAsia" w:eastAsiaTheme="minorEastAsia" w:cstheme="minorEastAsia"/>
          <w:color w:val="auto"/>
          <w:sz w:val="21"/>
          <w:szCs w:val="21"/>
        </w:rPr>
      </w:pPr>
      <w:bookmarkStart w:id="484" w:name="_Toc397928608"/>
      <w:bookmarkStart w:id="485" w:name="_Toc29388465"/>
      <w:bookmarkStart w:id="486" w:name="_Toc7389"/>
      <w:r>
        <w:rPr>
          <w:rFonts w:hint="eastAsia" w:asciiTheme="minorEastAsia" w:hAnsiTheme="minorEastAsia" w:eastAsiaTheme="minorEastAsia" w:cstheme="minorEastAsia"/>
          <w:color w:val="auto"/>
          <w:sz w:val="21"/>
          <w:szCs w:val="21"/>
        </w:rPr>
        <w:t>3.3 详细评审</w:t>
      </w:r>
      <w:bookmarkEnd w:id="484"/>
      <w:bookmarkEnd w:id="485"/>
      <w:bookmarkEnd w:id="486"/>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3.3.1 在详细评审发现符合“无效标书条款”的，应当作为无效投标予以否决，其投标报价亦不作为评标基准价A值的依据。</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3.3.2 评标委员会按本章第2.2款规定的量化因素和分值进行打分，并计算出综合评估得分。</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3.3.3 评分分值计算保留小数点后两位，小数点后第三位“四舍五入”。</w:t>
      </w:r>
    </w:p>
    <w:p>
      <w:pPr>
        <w:pStyle w:val="4"/>
        <w:spacing w:line="380" w:lineRule="exact"/>
        <w:ind w:firstLine="103"/>
        <w:rPr>
          <w:rFonts w:asciiTheme="minorEastAsia" w:hAnsiTheme="minorEastAsia" w:eastAsiaTheme="minorEastAsia" w:cstheme="minorEastAsia"/>
          <w:color w:val="auto"/>
          <w:sz w:val="21"/>
          <w:szCs w:val="21"/>
        </w:rPr>
      </w:pPr>
      <w:bookmarkStart w:id="487" w:name="_Toc29388466"/>
      <w:bookmarkStart w:id="488" w:name="_Toc397928609"/>
      <w:bookmarkStart w:id="489" w:name="_Toc5826"/>
      <w:r>
        <w:rPr>
          <w:rFonts w:hint="eastAsia" w:asciiTheme="minorEastAsia" w:hAnsiTheme="minorEastAsia" w:eastAsiaTheme="minorEastAsia" w:cstheme="minorEastAsia"/>
          <w:color w:val="auto"/>
          <w:sz w:val="21"/>
          <w:szCs w:val="21"/>
        </w:rPr>
        <w:t>3.4 投标文件的澄清和补正</w:t>
      </w:r>
      <w:bookmarkEnd w:id="487"/>
      <w:bookmarkEnd w:id="488"/>
      <w:bookmarkEnd w:id="489"/>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3.4.2 澄清、说明和补正不得改变投标文件的实质性内容（算术性错误修正的除外）。投标人的书面澄清、说明和补正属于投标文件的组成部分。</w:t>
      </w:r>
    </w:p>
    <w:p>
      <w:pPr>
        <w:spacing w:line="38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3.4.3 评标委员会对投标人提交的澄清、说明或补正有疑问的，可以要求投标人进一步澄清、说明或补正。</w:t>
      </w:r>
    </w:p>
    <w:p>
      <w:pPr>
        <w:pStyle w:val="4"/>
        <w:spacing w:line="380" w:lineRule="exact"/>
        <w:ind w:firstLine="103"/>
        <w:rPr>
          <w:rFonts w:asciiTheme="minorEastAsia" w:hAnsiTheme="minorEastAsia" w:eastAsiaTheme="minorEastAsia" w:cstheme="minorEastAsia"/>
          <w:b/>
          <w:color w:val="auto"/>
          <w:kern w:val="0"/>
          <w:sz w:val="21"/>
          <w:szCs w:val="21"/>
        </w:rPr>
      </w:pPr>
      <w:bookmarkStart w:id="490" w:name="_Toc29288"/>
      <w:bookmarkStart w:id="491" w:name="_Toc29388467"/>
      <w:bookmarkStart w:id="492" w:name="_Toc397928610"/>
      <w:r>
        <w:rPr>
          <w:rFonts w:hint="eastAsia" w:asciiTheme="minorEastAsia" w:hAnsiTheme="minorEastAsia" w:eastAsiaTheme="minorEastAsia" w:cstheme="minorEastAsia"/>
          <w:color w:val="auto"/>
          <w:sz w:val="21"/>
          <w:szCs w:val="21"/>
        </w:rPr>
        <w:t>3.5 推荐中标候选人或直接确定中标人</w:t>
      </w:r>
      <w:bookmarkEnd w:id="490"/>
      <w:bookmarkEnd w:id="491"/>
      <w:bookmarkEnd w:id="492"/>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3.5.1 除投标人须知前附表授权直接确定中标人外，评标委员会在推荐中标候选人时，应遵照以下原则:</w:t>
      </w:r>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评标委员会按照最终得分由高至低的次序排列，并根据投标人须知前附表规定的中标候选人数量，将排序在前的投标人推荐为中标候选人。</w:t>
      </w:r>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招标人根据评标委员会报告，组织有关人员对第一中标侯选人进行实地考察，对产品的质量、类似业绩工艺、运行状况进行考察，招标人有权拒绝考察不合格的中标侯选人。</w:t>
      </w:r>
    </w:p>
    <w:p>
      <w:pPr>
        <w:pStyle w:val="4"/>
        <w:spacing w:line="380" w:lineRule="exact"/>
        <w:ind w:firstLine="103"/>
        <w:rPr>
          <w:rFonts w:asciiTheme="minorEastAsia" w:hAnsiTheme="minorEastAsia" w:eastAsiaTheme="minorEastAsia" w:cstheme="minorEastAsia"/>
          <w:color w:val="auto"/>
          <w:sz w:val="21"/>
          <w:szCs w:val="21"/>
        </w:rPr>
      </w:pPr>
      <w:bookmarkStart w:id="493" w:name="_Toc397928611"/>
      <w:bookmarkStart w:id="494" w:name="_Toc29388468"/>
      <w:r>
        <w:rPr>
          <w:rFonts w:hint="eastAsia" w:asciiTheme="minorEastAsia" w:hAnsiTheme="minorEastAsia" w:eastAsiaTheme="minorEastAsia" w:cstheme="minorEastAsia"/>
          <w:color w:val="auto"/>
          <w:sz w:val="21"/>
          <w:szCs w:val="21"/>
        </w:rPr>
        <w:t>3.6 提交评标报告</w:t>
      </w:r>
      <w:bookmarkEnd w:id="493"/>
      <w:bookmarkEnd w:id="494"/>
    </w:p>
    <w:p>
      <w:pPr>
        <w:autoSpaceDE w:val="0"/>
        <w:autoSpaceDN w:val="0"/>
        <w:spacing w:line="38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评标委员会完成评标后，应当向招标人提交书面评标报告。评标报告应当由全体评标委员会成员签字，并于评标结束时抄送有关行政监督部门。</w:t>
      </w:r>
    </w:p>
    <w:p>
      <w:pPr>
        <w:pStyle w:val="3"/>
        <w:spacing w:line="360" w:lineRule="auto"/>
        <w:rPr>
          <w:rFonts w:asciiTheme="minorEastAsia" w:hAnsiTheme="minorEastAsia" w:eastAsiaTheme="minorEastAsia" w:cstheme="minorEastAsia"/>
          <w:color w:val="auto"/>
        </w:rPr>
      </w:pPr>
      <w:bookmarkStart w:id="495" w:name="_Toc29388469"/>
      <w:r>
        <w:rPr>
          <w:rFonts w:hint="eastAsia" w:asciiTheme="minorEastAsia" w:hAnsiTheme="minorEastAsia" w:eastAsiaTheme="minorEastAsia" w:cstheme="minorEastAsia"/>
          <w:color w:val="auto"/>
        </w:rPr>
        <w:t>4． 通用评标规则</w:t>
      </w:r>
      <w:bookmarkEnd w:id="495"/>
    </w:p>
    <w:p>
      <w:pPr>
        <w:pStyle w:val="4"/>
        <w:spacing w:line="400" w:lineRule="exact"/>
        <w:ind w:firstLine="103"/>
        <w:rPr>
          <w:rFonts w:asciiTheme="minorEastAsia" w:hAnsiTheme="minorEastAsia" w:eastAsiaTheme="minorEastAsia" w:cstheme="minorEastAsia"/>
          <w:color w:val="auto"/>
          <w:sz w:val="21"/>
          <w:szCs w:val="21"/>
        </w:rPr>
      </w:pPr>
      <w:bookmarkStart w:id="496" w:name="_Toc29388470"/>
      <w:r>
        <w:rPr>
          <w:rFonts w:hint="eastAsia" w:asciiTheme="minorEastAsia" w:hAnsiTheme="minorEastAsia" w:eastAsiaTheme="minorEastAsia" w:cstheme="minorEastAsia"/>
          <w:color w:val="auto"/>
          <w:sz w:val="21"/>
          <w:szCs w:val="21"/>
        </w:rPr>
        <w:t>4.1 评标程序</w:t>
      </w:r>
      <w:bookmarkEnd w:id="496"/>
    </w:p>
    <w:p>
      <w:pPr>
        <w:snapToGrid w:val="0"/>
        <w:spacing w:line="400" w:lineRule="exact"/>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资质标、商务标、技术标应分别评审，评审后不得更改。</w:t>
      </w:r>
    </w:p>
    <w:p>
      <w:pPr>
        <w:pStyle w:val="4"/>
        <w:spacing w:line="400" w:lineRule="exact"/>
        <w:ind w:firstLine="103"/>
        <w:rPr>
          <w:rFonts w:asciiTheme="minorEastAsia" w:hAnsiTheme="minorEastAsia" w:eastAsiaTheme="minorEastAsia" w:cstheme="minorEastAsia"/>
          <w:color w:val="auto"/>
          <w:sz w:val="21"/>
          <w:szCs w:val="21"/>
        </w:rPr>
      </w:pPr>
      <w:bookmarkStart w:id="497" w:name="_Toc29388471"/>
      <w:r>
        <w:rPr>
          <w:rFonts w:hint="eastAsia" w:asciiTheme="minorEastAsia" w:hAnsiTheme="minorEastAsia" w:eastAsiaTheme="minorEastAsia" w:cstheme="minorEastAsia"/>
          <w:color w:val="auto"/>
          <w:sz w:val="21"/>
          <w:szCs w:val="21"/>
        </w:rPr>
        <w:t>4.2不规范标书</w:t>
      </w:r>
      <w:bookmarkEnd w:id="497"/>
    </w:p>
    <w:p>
      <w:pPr>
        <w:snapToGrid w:val="0"/>
        <w:spacing w:line="400" w:lineRule="exact"/>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评标审查中有发现投标书或投标人行为属不规范者，评标办法采用综合评分法的，且无法形成无效投标的，经评标委员会认定后扣减0.3—2分。</w:t>
      </w:r>
    </w:p>
    <w:p>
      <w:pPr>
        <w:pStyle w:val="4"/>
        <w:spacing w:line="400" w:lineRule="exact"/>
        <w:ind w:firstLine="103"/>
        <w:rPr>
          <w:rFonts w:asciiTheme="minorEastAsia" w:hAnsiTheme="minorEastAsia" w:eastAsiaTheme="minorEastAsia" w:cstheme="minorEastAsia"/>
          <w:color w:val="auto"/>
          <w:kern w:val="0"/>
          <w:sz w:val="21"/>
          <w:szCs w:val="21"/>
        </w:rPr>
      </w:pPr>
      <w:bookmarkStart w:id="498" w:name="_Toc29388472"/>
      <w:r>
        <w:rPr>
          <w:rFonts w:hint="eastAsia" w:asciiTheme="minorEastAsia" w:hAnsiTheme="minorEastAsia" w:eastAsiaTheme="minorEastAsia" w:cstheme="minorEastAsia"/>
          <w:color w:val="auto"/>
          <w:sz w:val="21"/>
          <w:szCs w:val="21"/>
        </w:rPr>
        <w:t>4.3计价文件评审规定</w:t>
      </w:r>
      <w:bookmarkEnd w:id="498"/>
    </w:p>
    <w:p>
      <w:pPr>
        <w:snapToGrid w:val="0"/>
        <w:spacing w:line="400" w:lineRule="exact"/>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评标委员会认为投标人的投标报价有可能低于其个别成本时，应当要求投标人以书面方式作出澄清，并提供相关证明材料后再进行认定。</w:t>
      </w:r>
    </w:p>
    <w:p>
      <w:pPr>
        <w:pStyle w:val="4"/>
        <w:spacing w:line="400" w:lineRule="exact"/>
        <w:ind w:firstLine="103"/>
        <w:rPr>
          <w:rFonts w:asciiTheme="minorEastAsia" w:hAnsiTheme="minorEastAsia" w:eastAsiaTheme="minorEastAsia" w:cstheme="minorEastAsia"/>
          <w:color w:val="auto"/>
          <w:sz w:val="21"/>
          <w:szCs w:val="21"/>
        </w:rPr>
      </w:pPr>
      <w:bookmarkStart w:id="499" w:name="_Toc29388473"/>
      <w:r>
        <w:rPr>
          <w:rFonts w:hint="eastAsia" w:asciiTheme="minorEastAsia" w:hAnsiTheme="minorEastAsia" w:eastAsiaTheme="minorEastAsia" w:cstheme="minorEastAsia"/>
          <w:color w:val="auto"/>
          <w:sz w:val="21"/>
          <w:szCs w:val="21"/>
        </w:rPr>
        <w:t>4.4打分</w:t>
      </w:r>
      <w:bookmarkEnd w:id="499"/>
    </w:p>
    <w:p>
      <w:pPr>
        <w:snapToGrid w:val="0"/>
        <w:spacing w:line="400" w:lineRule="exact"/>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rFonts w:asciiTheme="minorEastAsia" w:hAnsiTheme="minorEastAsia" w:eastAsiaTheme="minorEastAsia" w:cstheme="minorEastAsia"/>
          <w:color w:val="auto"/>
          <w:sz w:val="21"/>
          <w:szCs w:val="21"/>
        </w:rPr>
      </w:pPr>
      <w:bookmarkStart w:id="500" w:name="_Toc29388474"/>
      <w:r>
        <w:rPr>
          <w:rFonts w:hint="eastAsia" w:asciiTheme="minorEastAsia" w:hAnsiTheme="minorEastAsia" w:eastAsiaTheme="minorEastAsia" w:cstheme="minorEastAsia"/>
          <w:color w:val="auto"/>
          <w:sz w:val="21"/>
          <w:szCs w:val="21"/>
        </w:rPr>
        <w:t>4.5争议处理</w:t>
      </w:r>
      <w:bookmarkEnd w:id="500"/>
    </w:p>
    <w:p>
      <w:pPr>
        <w:snapToGrid w:val="0"/>
        <w:spacing w:line="40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招标采购交易中心档案室，所有与会人员一律不得泄露评标情况。</w:t>
      </w:r>
    </w:p>
    <w:p>
      <w:pPr>
        <w:pStyle w:val="4"/>
        <w:spacing w:line="400" w:lineRule="exact"/>
        <w:ind w:firstLine="103"/>
        <w:rPr>
          <w:rFonts w:asciiTheme="minorEastAsia" w:hAnsiTheme="minorEastAsia" w:eastAsiaTheme="minorEastAsia" w:cstheme="minorEastAsia"/>
          <w:color w:val="auto"/>
          <w:sz w:val="21"/>
          <w:szCs w:val="21"/>
        </w:rPr>
      </w:pPr>
      <w:bookmarkStart w:id="501" w:name="_Toc29388475"/>
      <w:r>
        <w:rPr>
          <w:rFonts w:hint="eastAsia" w:asciiTheme="minorEastAsia" w:hAnsiTheme="minorEastAsia" w:eastAsiaTheme="minorEastAsia" w:cstheme="minorEastAsia"/>
          <w:color w:val="auto"/>
          <w:sz w:val="21"/>
          <w:szCs w:val="21"/>
        </w:rPr>
        <w:t>4.6违法违纪行为</w:t>
      </w:r>
      <w:bookmarkEnd w:id="501"/>
    </w:p>
    <w:p>
      <w:pPr>
        <w:spacing w:line="400" w:lineRule="exact"/>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rFonts w:asciiTheme="minorEastAsia" w:hAnsiTheme="minorEastAsia" w:eastAsiaTheme="minorEastAsia" w:cstheme="minorEastAsia"/>
          <w:color w:val="auto"/>
          <w:sz w:val="21"/>
          <w:szCs w:val="21"/>
        </w:rPr>
      </w:pPr>
      <w:bookmarkStart w:id="502" w:name="_Toc29388476"/>
      <w:r>
        <w:rPr>
          <w:rFonts w:hint="eastAsia" w:asciiTheme="minorEastAsia" w:hAnsiTheme="minorEastAsia" w:eastAsiaTheme="minorEastAsia" w:cstheme="minorEastAsia"/>
          <w:color w:val="auto"/>
          <w:sz w:val="21"/>
          <w:szCs w:val="21"/>
        </w:rPr>
        <w:t>4.7其它</w:t>
      </w:r>
      <w:bookmarkEnd w:id="502"/>
    </w:p>
    <w:p>
      <w:pPr>
        <w:spacing w:line="400" w:lineRule="exact"/>
        <w:ind w:firstLine="422" w:firstLineChars="200"/>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在评审过程中，一旦发现招标文件中发现以下现象的，经评标委员会认定，删除该项评审或记分。</w:t>
      </w:r>
    </w:p>
    <w:p>
      <w:pPr>
        <w:spacing w:line="400" w:lineRule="exact"/>
        <w:ind w:firstLine="422" w:firstLineChars="200"/>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（1）招标文件内容中某项条款，有明显倾向或歧视的；</w:t>
      </w:r>
    </w:p>
    <w:p>
      <w:pPr>
        <w:spacing w:line="400" w:lineRule="exact"/>
        <w:ind w:firstLine="422" w:firstLineChars="200"/>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（2）招标文件内容中某项条款有多种解释的。</w:t>
      </w:r>
    </w:p>
    <w:p>
      <w:pPr>
        <w:spacing w:line="40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br w:type="page"/>
      </w:r>
    </w:p>
    <w:p>
      <w:pPr>
        <w:pStyle w:val="2"/>
        <w:spacing w:line="360" w:lineRule="auto"/>
        <w:rPr>
          <w:rFonts w:asciiTheme="minorEastAsia" w:hAnsiTheme="minorEastAsia" w:eastAsiaTheme="minorEastAsia" w:cstheme="minorEastAsia"/>
          <w:color w:val="auto"/>
        </w:rPr>
      </w:pPr>
      <w:bookmarkStart w:id="503" w:name="_Toc397928625"/>
      <w:bookmarkStart w:id="504" w:name="_Toc17692"/>
      <w:bookmarkStart w:id="505" w:name="_Toc387526436"/>
      <w:bookmarkStart w:id="506" w:name="_Toc152042387"/>
      <w:bookmarkStart w:id="507" w:name="_Toc246996995"/>
      <w:bookmarkStart w:id="508" w:name="_Toc144974577"/>
      <w:bookmarkStart w:id="509" w:name="_Toc246996252"/>
      <w:bookmarkStart w:id="510" w:name="_Toc179632627"/>
      <w:bookmarkStart w:id="511" w:name="_Toc387526344"/>
      <w:bookmarkStart w:id="512" w:name="_Toc247085767"/>
      <w:bookmarkStart w:id="513" w:name="_Toc387526240"/>
      <w:bookmarkStart w:id="514" w:name="_Toc29388477"/>
      <w:bookmarkStart w:id="515" w:name="_Toc152045609"/>
      <w:bookmarkStart w:id="516" w:name="_Toc366679736"/>
      <w:r>
        <w:rPr>
          <w:rFonts w:hint="eastAsia" w:asciiTheme="minorEastAsia" w:hAnsiTheme="minorEastAsia" w:eastAsiaTheme="minorEastAsia" w:cstheme="minorEastAsia"/>
          <w:color w:val="auto"/>
        </w:rPr>
        <w:t>第四章 合同条款及格式</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12"/>
        <w:overflowPunct w:val="0"/>
        <w:snapToGrid w:val="0"/>
        <w:spacing w:line="360" w:lineRule="auto"/>
        <w:ind w:firstLine="426"/>
        <w:jc w:val="center"/>
        <w:outlineLvl w:val="0"/>
        <w:rPr>
          <w:rFonts w:asciiTheme="minorEastAsia" w:hAnsiTheme="minorEastAsia" w:eastAsiaTheme="minorEastAsia" w:cstheme="minorEastAsia"/>
          <w:b w:val="0"/>
          <w:color w:val="auto"/>
          <w:kern w:val="44"/>
          <w:sz w:val="30"/>
          <w:szCs w:val="30"/>
        </w:rPr>
      </w:pPr>
      <w:bookmarkStart w:id="517" w:name="_Toc29388478"/>
      <w:r>
        <w:rPr>
          <w:rFonts w:hint="eastAsia" w:asciiTheme="minorEastAsia" w:hAnsiTheme="minorEastAsia" w:eastAsiaTheme="minorEastAsia" w:cstheme="minorEastAsia"/>
          <w:b w:val="0"/>
          <w:color w:val="auto"/>
          <w:kern w:val="44"/>
          <w:sz w:val="30"/>
          <w:szCs w:val="30"/>
        </w:rPr>
        <w:t>（一）合同一般条款</w:t>
      </w:r>
      <w:bookmarkEnd w:id="517"/>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18" w:name="_Toc13543213"/>
      <w:r>
        <w:rPr>
          <w:rFonts w:hint="eastAsia" w:asciiTheme="minorEastAsia" w:hAnsiTheme="minorEastAsia" w:eastAsiaTheme="minorEastAsia" w:cstheme="minorEastAsia"/>
          <w:b/>
          <w:color w:val="auto"/>
          <w:szCs w:val="21"/>
        </w:rPr>
        <w:t>一、合同文件</w:t>
      </w:r>
      <w:bookmarkEnd w:id="518"/>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1、合同文件适用法律</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适用于合同文件的法律是中华人民共和国现行法律、法规及甲方所在地的地方性法规。</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2、合同文件组成和解释顺序</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2.1、合同文件的组成和解释顺序如下：</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2.1.1、合同的特殊性条款。</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2.1.2、合同的一般性条款。</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2.1.3、洽商、变更等明确双方权利义务的纪要、协议。</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2.1.4、中标通知书、投标书和招标文件。</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2.1.5、有关图纸。</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2.1.6、标准、规范的其它相关技术资料和技术要求。</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2.2合同的特殊性条款的效力优于合同的一般性条款的效力。</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3、合同文件使用文字</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3.1、合同文件使用中文书写、解释和说明。</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19" w:name="_Toc13543214"/>
      <w:r>
        <w:rPr>
          <w:rFonts w:hint="eastAsia" w:asciiTheme="minorEastAsia" w:hAnsiTheme="minorEastAsia" w:eastAsiaTheme="minorEastAsia" w:cstheme="minorEastAsia"/>
          <w:b/>
          <w:color w:val="auto"/>
          <w:szCs w:val="21"/>
        </w:rPr>
        <w:t>二、标的物的一般条款</w:t>
      </w:r>
      <w:bookmarkEnd w:id="519"/>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4、完整物权</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对于出卖的标的物，乙方应当拥有完整物权，并且乙方负有保证第三人不得向甲方主张任何权利（包括知识产权）的义务。</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5、质量保证</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6、包装</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7、伴随服务</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bookmarkStart w:id="520" w:name="_Toc13543215"/>
      <w:r>
        <w:rPr>
          <w:rFonts w:hint="eastAsia" w:asciiTheme="minorEastAsia" w:hAnsiTheme="minorEastAsia" w:eastAsiaTheme="minorEastAsia" w:cstheme="minorEastAsia"/>
          <w:b w:val="0"/>
          <w:color w:val="auto"/>
          <w:sz w:val="21"/>
          <w:szCs w:val="21"/>
        </w:rPr>
        <w:t>7.1、乙方除应履行按期按量交付合格标的物的义务之外，还应提供下列服务。</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7.1.1、标的物的现场安装、启动、调试、监督（如果必须安装、调试的话）。</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7.1.2、提供标的物组装和一般维修所必须的工具。</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7.1.3</w:t>
      </w:r>
      <w:r>
        <w:rPr>
          <w:rFonts w:hint="eastAsia" w:asciiTheme="minorEastAsia" w:hAnsiTheme="minorEastAsia" w:eastAsiaTheme="minorEastAsia" w:cstheme="minorEastAsia"/>
          <w:b w:val="0"/>
          <w:color w:val="auto"/>
          <w:sz w:val="21"/>
          <w:szCs w:val="21"/>
          <w:highlight w:val="none"/>
        </w:rPr>
        <w:t>、除乙方在质量保证期内所承担的义务外，乙方在合同规定的期限内需对所提供标的物实行运行监督、维修服务。</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7.1.4、对甲方技术人员的技术指导或培训。</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7.2、除合同另有规定之外，伴随服务的费用均已含在合同价款中，甲方不再另行支付。</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三、标的物的交付、检验和验收</w:t>
      </w:r>
      <w:bookmarkEnd w:id="520"/>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8.标的物的交付</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8.1、标的物的所有权自标的物交付时转移。</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8.2、乙方应当按照约定的期限和约定的地点交付标的物。</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8.3、乙方应当按照约定或者交易习惯向甲方交付提取标的物单证以外的有关单证和资料。</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9、检验和验收</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9.2、甲方根据合同规定的内容和验收标准进行验收，同时比较乙方出具的检验证明，经检验无误后出具验收合格证明，该证明作为最终付款所需文件的组成部分。</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9.3、验收期限自标的物交付之日起三十天内。特殊情况需延长的，双方应在合同的特殊条款中约定。</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9.4、如双方对验收结果有分歧，则以技术质量监督部门的检验结果为准，检验费用由有过失的一方支付。</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1" w:name="_Toc13543216"/>
      <w:r>
        <w:rPr>
          <w:rFonts w:hint="eastAsia" w:asciiTheme="minorEastAsia" w:hAnsiTheme="minorEastAsia" w:eastAsiaTheme="minorEastAsia" w:cstheme="minorEastAsia"/>
          <w:b/>
          <w:color w:val="auto"/>
          <w:szCs w:val="21"/>
        </w:rPr>
        <w:t>四、对标的物提出异议的时间和办法</w:t>
      </w:r>
      <w:bookmarkEnd w:id="521"/>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10.1、甲方在验收过程中，应当于双方约定的检验期间内将标的物的数量或质量不符合约定的情形及处理方式以书面形式通知乙方。</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10.2、如甲方在验收期满后既不出具验收合格证明又未提出书面异议的视为乙方所交标的物符合合同规定。</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10.3、乙方应在收到甲方书面异议后七天内负责处理问题，否则将视为默认甲方提出的异议和处理意见。</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2" w:name="_Toc13543217"/>
      <w:r>
        <w:rPr>
          <w:rFonts w:hint="eastAsia" w:asciiTheme="minorEastAsia" w:hAnsiTheme="minorEastAsia" w:eastAsiaTheme="minorEastAsia" w:cstheme="minorEastAsia"/>
          <w:b/>
          <w:color w:val="auto"/>
          <w:szCs w:val="21"/>
        </w:rPr>
        <w:t>五、合同价款和支付</w:t>
      </w:r>
      <w:bookmarkEnd w:id="522"/>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11.1、本合同的结算货币为人民币，单位元。</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11.2、乙方应按照双方签订的合同规定交货并在合同特殊条款规定的期限内持下列单据结算货款：</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11.2.1、合格的销售发票。</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11.2.2、甲方盖章签收后的送货回单和验收合格证明。</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11.3、甲方应按合同特殊条款规定的期限和方式付款。</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11.4、本合同有关的一切税费由乙方承担。</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3" w:name="_Toc13543218"/>
      <w:r>
        <w:rPr>
          <w:rFonts w:hint="eastAsia" w:asciiTheme="minorEastAsia" w:hAnsiTheme="minorEastAsia" w:eastAsiaTheme="minorEastAsia" w:cstheme="minorEastAsia"/>
          <w:b/>
          <w:color w:val="auto"/>
          <w:szCs w:val="21"/>
        </w:rPr>
        <w:t>六、违约责任</w:t>
      </w:r>
      <w:bookmarkEnd w:id="523"/>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合同一方不履行合同义务或者履行合同义务不符合约定的，应当承担继续履行、采取补救措施或者赔偿损失等违约责任。</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12、甲方违约责任</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12.1、甲方逾期付款的应按照逾期付款金额的每天万分之五支付逾期付款违约金。</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12.2、甲方违反合同规定，拒绝接收乙方交付的合格标的物，应当承担乙方由此造成的损失。</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13、乙方违约责任</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13.1、乙方不能交货（逾期超过五天视为不能交货），或交货不合格从而影响甲方按期正常使用的，应向甲方偿付合同总价款5%的违约金，违约金不足以补偿损失的甲方有权要求乙方补足。</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13.2、乙方逾期交货的，应在发货前与甲方联系，甲方仍需求的，乙方应立即发货并按5000元/天的计违约金，同时承担甲方因此遭致的损失费用。</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14、不可抗力</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14.1、因不可抗力不能履行合同的，根据不可抗力的影响，部分或者全部免除责任。但合同一方迟延履行后发生不可抗力的，不能免除责任。</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14.2、合同一方因不可抗力不能履行合同的，应当及时通知对方，以减轻可能给对方造成的损失，并应当在合理期限内提供证明。</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4" w:name="_Toc13543219"/>
      <w:r>
        <w:rPr>
          <w:rFonts w:hint="eastAsia" w:asciiTheme="minorEastAsia" w:hAnsiTheme="minorEastAsia" w:eastAsiaTheme="minorEastAsia" w:cstheme="minorEastAsia"/>
          <w:b/>
          <w:color w:val="auto"/>
          <w:szCs w:val="21"/>
        </w:rPr>
        <w:t>七、索赔</w:t>
      </w:r>
      <w:bookmarkEnd w:id="524"/>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15.1、甲方有权根据当地产品质量检验机构或其它有权部门出具的检验证书向乙方提出索赔。</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15.2、在本合同规定的检验期和质量保证期内，如果乙方对甲方提出的索赔或差异有责任，则乙方应按甲方同意的下列一种或多种方式解决索赔事宜：</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15.2.2、根据标的物的低劣程度、损坏程度以及甲方遭受损失的数额，经双方协商确定降低标的物的价格。</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15.4、甲方提出索赔的书面材料应报政府招标管理部门备案。乙方同意的索赔方案应报政府招标管理部门审核。</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5" w:name="_Toc13543221"/>
      <w:r>
        <w:rPr>
          <w:rFonts w:hint="eastAsia" w:asciiTheme="minorEastAsia" w:hAnsiTheme="minorEastAsia" w:eastAsiaTheme="minorEastAsia" w:cstheme="minorEastAsia"/>
          <w:b/>
          <w:color w:val="auto"/>
          <w:szCs w:val="21"/>
        </w:rPr>
        <w:t>八、合同的解除和转让</w:t>
      </w:r>
      <w:bookmarkEnd w:id="525"/>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17、合同的解除</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17.1、甲方和乙方协商一致，可以解除合同。</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17.2、有下列情形之一，合同一方可以解除合同：</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17.2.1、因不可抗力致使不能实现合同目的，未受不可抗力影响的一方有权解除合同。</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17.2.2、因合同一方违约导致合同不能履行，另一方有权解除合同。</w:t>
      </w:r>
    </w:p>
    <w:p>
      <w:pPr>
        <w:pStyle w:val="12"/>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17.3、有权解除合同的一方，应当在违约事实或不可抗力发生之后三十天内书面通知对方以主张解除合同，合同在书面通知到达对方时解除。</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18、合同的转让</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合同的部分和全部都不得转让。</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6" w:name="_Toc13543222"/>
      <w:r>
        <w:rPr>
          <w:rFonts w:hint="eastAsia" w:asciiTheme="minorEastAsia" w:hAnsiTheme="minorEastAsia" w:eastAsiaTheme="minorEastAsia" w:cstheme="minorEastAsia"/>
          <w:b/>
          <w:color w:val="auto"/>
          <w:szCs w:val="21"/>
        </w:rPr>
        <w:t>九、合同的生效</w:t>
      </w:r>
      <w:bookmarkEnd w:id="526"/>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本合同在双方签字盖章后，经政府采购管理机构备案后生效。</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7" w:name="_Toc13543223"/>
      <w:r>
        <w:rPr>
          <w:rFonts w:hint="eastAsia" w:asciiTheme="minorEastAsia" w:hAnsiTheme="minorEastAsia" w:eastAsiaTheme="minorEastAsia" w:cstheme="minorEastAsia"/>
          <w:b/>
          <w:color w:val="auto"/>
          <w:szCs w:val="21"/>
        </w:rPr>
        <w:t>十、争议解决</w:t>
      </w:r>
      <w:bookmarkEnd w:id="527"/>
    </w:p>
    <w:p>
      <w:pPr>
        <w:pStyle w:val="12"/>
        <w:overflowPunct w:val="0"/>
        <w:snapToGrid w:val="0"/>
        <w:spacing w:line="400" w:lineRule="exact"/>
        <w:ind w:firstLineChars="200"/>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甲乙双方因合同发生争议，应在招标方的主持下进行调解，协商不成，任何一方可以向甲方所在地人民法院起诉。</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bookmarkStart w:id="528" w:name="_Toc13543224"/>
      <w:r>
        <w:rPr>
          <w:rFonts w:hint="eastAsia" w:asciiTheme="minorEastAsia" w:hAnsiTheme="minorEastAsia" w:eastAsiaTheme="minorEastAsia" w:cstheme="minorEastAsia"/>
          <w:b/>
          <w:color w:val="auto"/>
          <w:szCs w:val="21"/>
        </w:rPr>
        <w:t>十一、附则</w:t>
      </w:r>
      <w:bookmarkEnd w:id="528"/>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本合同一式伍份，甲乙双方各执两份、招标采购交易中心备案一份。</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十二、未尽事宜</w:t>
      </w:r>
    </w:p>
    <w:p>
      <w:pPr>
        <w:adjustRightInd w:val="0"/>
        <w:snapToGrid w:val="0"/>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本合同未尽事宜应按《中华人民共和国合同法》、《中华人民共和国产品质量法》、《中华人民共和国政府采购法》之规定解释。</w:t>
      </w:r>
    </w:p>
    <w:p>
      <w:pPr>
        <w:pStyle w:val="110"/>
        <w:snapToGrid w:val="0"/>
        <w:spacing w:line="400" w:lineRule="exact"/>
        <w:ind w:firstLine="422"/>
        <w:jc w:val="center"/>
        <w:outlineLvl w:val="0"/>
        <w:rPr>
          <w:rFonts w:asciiTheme="minorEastAsia" w:hAnsiTheme="minorEastAsia" w:eastAsiaTheme="minorEastAsia" w:cstheme="minorEastAsia"/>
          <w:b/>
          <w:color w:val="auto"/>
          <w:sz w:val="30"/>
          <w:szCs w:val="30"/>
        </w:rPr>
      </w:pPr>
      <w:bookmarkStart w:id="529" w:name="_Toc13889377"/>
      <w:bookmarkStart w:id="530" w:name="_Toc13642117"/>
      <w:r>
        <w:rPr>
          <w:rFonts w:hint="eastAsia" w:asciiTheme="minorEastAsia" w:hAnsiTheme="minorEastAsia" w:eastAsiaTheme="minorEastAsia" w:cstheme="minorEastAsia"/>
          <w:b/>
          <w:color w:val="auto"/>
          <w:sz w:val="21"/>
          <w:szCs w:val="21"/>
        </w:rPr>
        <w:br w:type="page"/>
      </w:r>
      <w:bookmarkEnd w:id="529"/>
      <w:bookmarkEnd w:id="530"/>
      <w:bookmarkStart w:id="531" w:name="_Toc263938160"/>
      <w:bookmarkStart w:id="532" w:name="_Toc386925396"/>
      <w:bookmarkStart w:id="533" w:name="_Toc29388479"/>
      <w:r>
        <w:rPr>
          <w:rFonts w:hint="eastAsia" w:asciiTheme="minorEastAsia" w:hAnsiTheme="minorEastAsia" w:eastAsiaTheme="minorEastAsia" w:cstheme="minorEastAsia"/>
          <w:b/>
          <w:color w:val="auto"/>
          <w:sz w:val="30"/>
          <w:szCs w:val="30"/>
        </w:rPr>
        <w:t>（二）合同专用条款</w:t>
      </w:r>
      <w:bookmarkEnd w:id="531"/>
      <w:bookmarkEnd w:id="532"/>
      <w:bookmarkEnd w:id="533"/>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甲方：盐城市大丰区职业技术教育中心</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乙方：中标单位名称</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甲、乙双方根据公开招标的中标结果及中标通知书，签署本合同。</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一、合同内容</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1.项目名称：</w:t>
      </w:r>
      <w:r>
        <w:rPr>
          <w:rFonts w:hint="eastAsia" w:asciiTheme="minorEastAsia" w:hAnsiTheme="minorEastAsia" w:eastAsiaTheme="minorEastAsia" w:cstheme="minorEastAsia"/>
          <w:color w:val="auto"/>
          <w:sz w:val="21"/>
          <w:szCs w:val="21"/>
          <w:u w:val="single"/>
        </w:rPr>
        <w:t>盐城市大丰区职业技术教育中心2020年智慧校园运维和安全管理、智慧教室和移动录播设备建设项目</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2.项目内容：本项目招标文件规定的全部工作内容，</w:t>
      </w:r>
      <w:r>
        <w:rPr>
          <w:rFonts w:hint="eastAsia" w:asciiTheme="minorEastAsia" w:hAnsiTheme="minorEastAsia" w:eastAsiaTheme="minorEastAsia" w:cstheme="minorEastAsia"/>
          <w:color w:val="auto"/>
          <w:sz w:val="21"/>
          <w:szCs w:val="21"/>
          <w:u w:val="single"/>
        </w:rPr>
        <w:t xml:space="preserve">                    。</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二、合同金额</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1、本合同金额为人民币（大写）：元（￥元）。</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三、技术性能和技术资料</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乙方所提供货物、软件和服务的技术规格、内容应与招标文件规定的技术规范和需要相一致；符合国家有关部门最新颁布的标准及规范。</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四、知识产权</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负全部责任。</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五、产权担保</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乙方保证所交付的货物的所有权完全属于乙方且无任何抵押、查封等产权瑕疵。</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六、履约保证金</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乙方交纳人民币</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u w:val="single"/>
        </w:rPr>
        <w:t>项目中标价的10%）</w:t>
      </w:r>
      <w:r>
        <w:rPr>
          <w:rFonts w:hint="eastAsia" w:asciiTheme="minorEastAsia" w:hAnsiTheme="minorEastAsia" w:eastAsiaTheme="minorEastAsia" w:cstheme="minorEastAsia"/>
          <w:color w:val="auto"/>
          <w:sz w:val="21"/>
          <w:szCs w:val="21"/>
        </w:rPr>
        <w:t>元作为本合同的履约保证金，</w:t>
      </w:r>
      <w:r>
        <w:rPr>
          <w:rFonts w:hint="eastAsia" w:asciiTheme="minorEastAsia" w:hAnsiTheme="minorEastAsia" w:eastAsiaTheme="minorEastAsia" w:cstheme="minorEastAsia"/>
          <w:color w:val="auto"/>
          <w:sz w:val="21"/>
          <w:szCs w:val="21"/>
        </w:rPr>
        <w:t>履约保证金在</w:t>
      </w:r>
      <w:r>
        <w:rPr>
          <w:rFonts w:hint="eastAsia" w:asciiTheme="minorEastAsia" w:hAnsiTheme="minorEastAsia" w:eastAsiaTheme="minorEastAsia" w:cstheme="minorEastAsia"/>
          <w:color w:val="auto"/>
          <w:sz w:val="21"/>
          <w:szCs w:val="21"/>
          <w:lang w:val="en-US" w:eastAsia="zh-CN"/>
        </w:rPr>
        <w:t>合同期满后转化为质保金，并</w:t>
      </w:r>
      <w:r>
        <w:rPr>
          <w:rFonts w:hint="eastAsia" w:asciiTheme="minorEastAsia" w:hAnsiTheme="minorEastAsia" w:eastAsiaTheme="minorEastAsia" w:cstheme="minorEastAsia"/>
          <w:color w:val="auto"/>
          <w:sz w:val="21"/>
          <w:szCs w:val="21"/>
          <w:lang w:val="en-US" w:eastAsia="zh-CN"/>
        </w:rPr>
        <w:t>在</w:t>
      </w:r>
      <w:r>
        <w:rPr>
          <w:rFonts w:hint="eastAsia" w:asciiTheme="minorEastAsia" w:hAnsiTheme="minorEastAsia" w:eastAsiaTheme="minorEastAsia" w:cstheme="minorEastAsia"/>
          <w:color w:val="auto"/>
          <w:sz w:val="21"/>
          <w:szCs w:val="21"/>
        </w:rPr>
        <w:t>质保期满后无息退还（扣留</w:t>
      </w:r>
      <w:r>
        <w:rPr>
          <w:rFonts w:hint="eastAsia" w:asciiTheme="minorEastAsia" w:hAnsiTheme="minorEastAsia" w:eastAsiaTheme="minorEastAsia" w:cstheme="minorEastAsia"/>
          <w:color w:val="auto"/>
          <w:sz w:val="21"/>
          <w:szCs w:val="21"/>
          <w:lang w:val="en-US" w:eastAsia="zh-CN"/>
        </w:rPr>
        <w:t>中标人</w:t>
      </w:r>
      <w:r>
        <w:rPr>
          <w:rFonts w:hint="eastAsia" w:asciiTheme="minorEastAsia" w:hAnsiTheme="minorEastAsia" w:eastAsiaTheme="minorEastAsia" w:cstheme="minorEastAsia"/>
          <w:color w:val="auto"/>
          <w:sz w:val="21"/>
          <w:szCs w:val="21"/>
        </w:rPr>
        <w:t>应维修而未维修费）。</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七、转包或分包</w:t>
      </w:r>
    </w:p>
    <w:p>
      <w:pPr>
        <w:snapToGrid w:val="0"/>
        <w:spacing w:beforeLines="50" w:afterLines="50"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1.本合同范围的货物，应由乙方直接供应，不得转让他人供应；</w:t>
      </w:r>
    </w:p>
    <w:p>
      <w:pPr>
        <w:snapToGrid w:val="0"/>
        <w:spacing w:beforeLines="50" w:afterLines="50"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2.除非得到招标人的书面同意，乙方不得将本合同范围的货物全部或部分分包给他人供应；</w:t>
      </w:r>
    </w:p>
    <w:p>
      <w:pPr>
        <w:snapToGrid w:val="0"/>
        <w:spacing w:beforeLines="50" w:afterLines="50"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3.如有转让和未经招标人同意的分包行为，招标人有权解除合同，没收履约保证金并追究乙方的违约责任。</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八、质保期</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安装完成通过验收之日起计质保期2年。</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九、项目完成时间、交货方式及交货地点</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项目完成时间：</w:t>
      </w:r>
      <w:r>
        <w:rPr>
          <w:rFonts w:hint="eastAsia" w:asciiTheme="minorEastAsia" w:hAnsiTheme="minorEastAsia" w:eastAsiaTheme="minorEastAsia" w:cstheme="minorEastAsia"/>
          <w:color w:val="auto"/>
          <w:sz w:val="21"/>
          <w:szCs w:val="21"/>
          <w:u w:val="single"/>
        </w:rPr>
        <w:t>（投标人承诺时间）</w:t>
      </w:r>
      <w:r>
        <w:rPr>
          <w:rFonts w:hint="eastAsia" w:asciiTheme="minorEastAsia" w:hAnsiTheme="minorEastAsia" w:eastAsiaTheme="minorEastAsia" w:cstheme="minorEastAsia"/>
          <w:color w:val="auto"/>
          <w:sz w:val="21"/>
          <w:szCs w:val="21"/>
        </w:rPr>
        <w:t>。</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交货方式：</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（1）乙方交货前应对产品作出全面检查和对验收文件进行整理，并列出清单，作为招标人收货验收和使用的技术条件依据，检验的结果应随货物交招标人。</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（2）货物、材料运抵现场后，甲方对乙方提交的货物依据招标文件上的技术规格要求和国家有关质量标准进行现场初</w:t>
      </w:r>
      <w:r>
        <w:rPr>
          <w:rFonts w:hint="eastAsia" w:asciiTheme="minorEastAsia" w:hAnsiTheme="minorEastAsia" w:eastAsiaTheme="minorEastAsia" w:cstheme="minorEastAsia"/>
          <w:color w:val="auto"/>
          <w:sz w:val="21"/>
          <w:szCs w:val="21"/>
        </w:rPr>
        <w:t>步验收</w:t>
      </w:r>
      <w:r>
        <w:rPr>
          <w:rFonts w:hint="eastAsia" w:asciiTheme="minorEastAsia" w:hAnsiTheme="minorEastAsia" w:eastAsiaTheme="minorEastAsia" w:cstheme="minorEastAsia"/>
          <w:color w:val="auto"/>
          <w:sz w:val="21"/>
          <w:szCs w:val="21"/>
          <w:lang w:val="en-US" w:eastAsia="zh-CN"/>
        </w:rPr>
        <w:t>后，乙方进行相应的安装和调试</w:t>
      </w:r>
      <w:r>
        <w:rPr>
          <w:rFonts w:hint="eastAsia" w:asciiTheme="minorEastAsia" w:hAnsiTheme="minorEastAsia" w:eastAsiaTheme="minorEastAsia" w:cstheme="minorEastAsia"/>
          <w:color w:val="auto"/>
          <w:sz w:val="21"/>
          <w:szCs w:val="21"/>
        </w:rPr>
        <w:t>。</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p>
    <w:p>
      <w:pPr>
        <w:pStyle w:val="21"/>
        <w:snapToGrid w:val="0"/>
        <w:spacing w:before="120" w:after="120" w:line="400" w:lineRule="exact"/>
        <w:ind w:firstLine="525" w:firstLineChars="250"/>
        <w:rPr>
          <w:rFonts w:hint="eastAsia" w:hAnsi="宋体" w:eastAsia="宋体" w:cs="宋体"/>
          <w:color w:val="auto"/>
          <w:sz w:val="21"/>
          <w:szCs w:val="21"/>
          <w:lang w:eastAsia="zh-CN"/>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乙方安装调试完毕后，应及时申请甲方进行最终验收，经甲方验收合格的，申请验收日为甲方完成本合同约定项目完工日，并以该日作为计算乙方承诺期限的依据；验收合格后，乙方须立即将项目交付甲方使用</w:t>
      </w:r>
      <w:r>
        <w:rPr>
          <w:rFonts w:hint="eastAsia" w:hAnsi="宋体" w:cs="宋体"/>
          <w:color w:val="auto"/>
          <w:sz w:val="21"/>
          <w:szCs w:val="21"/>
          <w:lang w:eastAsia="zh-CN"/>
        </w:rPr>
        <w:t>。</w:t>
      </w:r>
    </w:p>
    <w:p>
      <w:pPr>
        <w:pStyle w:val="21"/>
        <w:snapToGrid w:val="0"/>
        <w:spacing w:before="120" w:after="120"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交货地点：</w:t>
      </w:r>
      <w:r>
        <w:rPr>
          <w:rFonts w:hint="eastAsia" w:asciiTheme="minorEastAsia" w:hAnsiTheme="minorEastAsia" w:eastAsiaTheme="minorEastAsia" w:cstheme="minorEastAsia"/>
          <w:bCs/>
          <w:color w:val="auto"/>
          <w:sz w:val="21"/>
          <w:szCs w:val="21"/>
        </w:rPr>
        <w:t>本校区</w:t>
      </w:r>
      <w:r>
        <w:rPr>
          <w:rFonts w:hint="eastAsia" w:asciiTheme="minorEastAsia" w:hAnsiTheme="minorEastAsia" w:eastAsiaTheme="minorEastAsia" w:cstheme="minorEastAsia"/>
          <w:color w:val="auto"/>
          <w:sz w:val="21"/>
          <w:szCs w:val="21"/>
        </w:rPr>
        <w:t>。</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十、合同价款与支付</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1、付款方式：</w:t>
      </w:r>
      <w:r>
        <w:rPr>
          <w:rFonts w:hint="eastAsia" w:asciiTheme="minorEastAsia" w:hAnsiTheme="minorEastAsia" w:eastAsiaTheme="minorEastAsia" w:cstheme="minorEastAsia"/>
          <w:b/>
          <w:color w:val="auto"/>
          <w:sz w:val="21"/>
          <w:szCs w:val="21"/>
          <w:highlight w:val="none"/>
          <w:u w:val="single"/>
        </w:rPr>
        <w:t>资金拨付到位，项目竣工验收合格3个月内付至合同价的70%；项目验收合格满1年后结清</w:t>
      </w:r>
    </w:p>
    <w:p>
      <w:pPr>
        <w:spacing w:line="400" w:lineRule="exact"/>
        <w:ind w:firstLine="420" w:firstLineChars="200"/>
        <w:rPr>
          <w:rFonts w:asciiTheme="minorEastAsia" w:hAnsiTheme="minorEastAsia" w:eastAsiaTheme="minorEastAsia" w:cstheme="minorEastAsia"/>
          <w:color w:val="auto"/>
          <w:szCs w:val="21"/>
          <w:highlight w:val="yellow"/>
        </w:rPr>
      </w:pPr>
      <w:r>
        <w:rPr>
          <w:rFonts w:hint="eastAsia" w:asciiTheme="minorEastAsia" w:hAnsiTheme="minorEastAsia" w:eastAsiaTheme="minorEastAsia" w:cstheme="minorEastAsia"/>
          <w:color w:val="auto"/>
          <w:szCs w:val="21"/>
          <w:highlight w:val="none"/>
        </w:rPr>
        <w:t>2、结算方式：本项目采用“固定单价”合同，合同实施过程中中标综合单价不作调整，按实际完成工程量进行结算，乙方根据实际施工情况报送结算材料。</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本项目为交钥匙工程，除采购人签证外，其他因素均包括在风险范围之内（不论材料价格的涨跌、政策性文件是否调整，结算时一律不调整中标单价）。</w:t>
      </w:r>
    </w:p>
    <w:p>
      <w:pPr>
        <w:snapToGrid w:val="0"/>
        <w:spacing w:beforeLines="50" w:afterLines="50"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十一、税费</w:t>
      </w:r>
    </w:p>
    <w:p>
      <w:pPr>
        <w:snapToGrid w:val="0"/>
        <w:spacing w:beforeLines="50" w:afterLines="50"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本合同有关的一切税费由乙方承担。</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十二、质量保证及售后服务</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1、乙方负责提供本项目范围内所使用的所有设备、材料、装置的原产地证明、质保、售后文件和相应的等级标准证明并承诺向甲方提供有关制造业的质保证明。</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乙方应保证货物是全新、未使用过的，是用一流的工艺和最佳材料制造的、合法渠道进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3、在质量保证期内，如果货物的数量、质量或规格与合同及招标需求不符，或证明货物是有缺陷的，包括潜在的缺陷或使用不符合要求的材料等，甲方以书面形式向乙方提出维修、更换和索赔。</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4、乙方在收到通知后，应在合同中所附服务承诺约定的时间内必须主动协助甲方对设备免费维修、更换有缺陷的货物或部件。</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5、如果乙方在收到通知后，在合同中所附服务承诺约定的时间内没有弥补缺陷，甲方可采取必要的补救措施，但风险和费用将由乙方承担。</w:t>
      </w:r>
    </w:p>
    <w:p>
      <w:pPr>
        <w:spacing w:line="400" w:lineRule="exact"/>
        <w:ind w:firstLine="420" w:firstLineChars="200"/>
        <w:rPr>
          <w:rFonts w:asciiTheme="minorEastAsia" w:hAnsiTheme="minorEastAsia" w:eastAsiaTheme="minorEastAsia" w:cstheme="minorEastAsia"/>
          <w:color w:val="auto"/>
          <w:szCs w:val="21"/>
          <w:highlight w:val="yellow"/>
        </w:rPr>
      </w:pP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bCs/>
          <w:color w:val="auto"/>
          <w:szCs w:val="21"/>
          <w:highlight w:val="none"/>
        </w:rPr>
        <w:t>质保期间，中标人提供用于本项目的维护专业人员不得少于2人，且必须含有专业维修设备进行现场服务，随时准备解决各类系统出现的问题；提供质保期内日常维护和保养计划，中标人每三个月至少进行一次维护保养，维护保养记录交招标人备案，质保期内的维护维修情况纳入考核。</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7、在质保期内，乙方应对产品出现的质量及安全问题负责处理解决并承担一切费用。</w:t>
      </w:r>
    </w:p>
    <w:p>
      <w:pPr>
        <w:spacing w:line="400" w:lineRule="exact"/>
        <w:ind w:firstLine="420" w:firstLineChars="200"/>
        <w:rPr>
          <w:rFonts w:asciiTheme="minorEastAsia" w:hAnsiTheme="minorEastAsia" w:eastAsiaTheme="minorEastAsia" w:cstheme="minorEastAsia"/>
          <w:color w:val="auto"/>
          <w:szCs w:val="21"/>
          <w:highlight w:val="yellow"/>
        </w:rPr>
      </w:pPr>
      <w:r>
        <w:rPr>
          <w:rFonts w:hint="eastAsia" w:asciiTheme="minorEastAsia" w:hAnsiTheme="minorEastAsia" w:eastAsiaTheme="minorEastAsia" w:cstheme="minorEastAsia"/>
          <w:color w:val="auto"/>
          <w:szCs w:val="21"/>
        </w:rPr>
        <w:t>8、质量保证及售后服务要求：本项目质保期为设备自安装及调试完成通过验收之日起计质保期</w:t>
      </w:r>
      <w:r>
        <w:rPr>
          <w:rFonts w:hint="eastAsia" w:asciiTheme="minorEastAsia" w:hAnsiTheme="minorEastAsia" w:eastAsiaTheme="minorEastAsia" w:cstheme="minorEastAsia"/>
          <w:color w:val="auto"/>
          <w:szCs w:val="21"/>
          <w:u w:val="single"/>
        </w:rPr>
        <w:t>2</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b/>
          <w:color w:val="auto"/>
          <w:szCs w:val="21"/>
          <w:highlight w:val="none"/>
        </w:rPr>
        <w:t>保质期内乙方免费维修或更换。对所建设的项目在质保期内提供技术支持、备品备件及维保服务，投标单位须及时响应客户的召唤，主动上门服务，快速处理设备问题，2小时内响应，24小时内到达现场开展服务。免费质保期后，负责设备的终身维修，只收取维修成本费,无偿向使用方提供设备使用培训,质保期内对仪器设备进行定期维护，负责免费维修、软件免费升级及升级后的专业培训。如质保期内未按照要求在24小时内修复完成，每超过一天按合同</w:t>
      </w:r>
      <w:r>
        <w:rPr>
          <w:rFonts w:hint="eastAsia" w:asciiTheme="minorEastAsia" w:hAnsiTheme="minorEastAsia" w:eastAsiaTheme="minorEastAsia" w:cstheme="minorEastAsia"/>
          <w:b/>
          <w:color w:val="auto"/>
          <w:szCs w:val="21"/>
          <w:highlight w:val="none"/>
        </w:rPr>
        <w:t>总额的1‰</w:t>
      </w:r>
      <w:r>
        <w:rPr>
          <w:rFonts w:hint="eastAsia" w:asciiTheme="minorEastAsia" w:hAnsiTheme="minorEastAsia" w:eastAsiaTheme="minorEastAsia" w:cstheme="minorEastAsia"/>
          <w:b/>
          <w:color w:val="auto"/>
          <w:szCs w:val="21"/>
          <w:highlight w:val="none"/>
          <w:lang w:val="en-US" w:eastAsia="zh-CN"/>
        </w:rPr>
        <w:t>承担违约金</w:t>
      </w:r>
      <w:r>
        <w:rPr>
          <w:rFonts w:hint="eastAsia" w:asciiTheme="minorEastAsia" w:hAnsiTheme="minorEastAsia" w:eastAsiaTheme="minorEastAsia" w:cstheme="minorEastAsia"/>
          <w:color w:val="auto"/>
          <w:szCs w:val="21"/>
          <w:highlight w:val="none"/>
        </w:rPr>
        <w:t>。</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9、其它技术服务：无</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10、售后服务计划：</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售后服务机构地址：</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其他服务承诺：                                                  </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11、人员培训：供方免费对需方人员进行技术培训，直到需方人员熟练操作或掌握为准。</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培训场地：培训时间：</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培训方式： </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十三、调试和验收</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1、本项目在使用前进行调试时，乙方需负责安装并培训招标人的使用操作人员</w:t>
      </w:r>
      <w:r>
        <w:rPr>
          <w:rFonts w:hint="eastAsia" w:asciiTheme="minorEastAsia" w:hAnsiTheme="minorEastAsia" w:eastAsiaTheme="minorEastAsia" w:cstheme="minorEastAsia"/>
          <w:color w:val="auto"/>
          <w:sz w:val="21"/>
          <w:szCs w:val="21"/>
        </w:rPr>
        <w:t>，并</w:t>
      </w:r>
      <w:r>
        <w:rPr>
          <w:rFonts w:hint="eastAsia" w:asciiTheme="minorEastAsia" w:hAnsiTheme="minorEastAsia" w:eastAsiaTheme="minorEastAsia" w:cstheme="minorEastAsia"/>
          <w:color w:val="auto"/>
          <w:sz w:val="21"/>
          <w:szCs w:val="21"/>
          <w:lang w:val="en-US" w:eastAsia="zh-CN"/>
        </w:rPr>
        <w:t>在</w:t>
      </w:r>
      <w:r>
        <w:rPr>
          <w:rFonts w:hint="eastAsia" w:asciiTheme="minorEastAsia" w:hAnsiTheme="minorEastAsia" w:eastAsiaTheme="minorEastAsia" w:cstheme="minorEastAsia"/>
          <w:color w:val="auto"/>
          <w:sz w:val="21"/>
          <w:szCs w:val="21"/>
        </w:rPr>
        <w:t>招标人</w:t>
      </w:r>
      <w:r>
        <w:rPr>
          <w:rFonts w:hint="eastAsia" w:asciiTheme="minorEastAsia" w:hAnsiTheme="minorEastAsia" w:eastAsiaTheme="minorEastAsia" w:cstheme="minorEastAsia"/>
          <w:color w:val="auto"/>
          <w:sz w:val="21"/>
          <w:szCs w:val="21"/>
          <w:lang w:val="en-US" w:eastAsia="zh-CN"/>
        </w:rPr>
        <w:t>参与下</w:t>
      </w:r>
      <w:r>
        <w:rPr>
          <w:rFonts w:hint="eastAsia" w:asciiTheme="minorEastAsia" w:hAnsiTheme="minorEastAsia" w:eastAsiaTheme="minorEastAsia" w:cstheme="minorEastAsia"/>
          <w:color w:val="auto"/>
          <w:sz w:val="21"/>
          <w:szCs w:val="21"/>
        </w:rPr>
        <w:t>一起调试，</w:t>
      </w:r>
      <w:r>
        <w:rPr>
          <w:rFonts w:hint="eastAsia" w:asciiTheme="minorEastAsia" w:hAnsiTheme="minorEastAsia" w:eastAsiaTheme="minorEastAsia" w:cstheme="minorEastAsia"/>
          <w:color w:val="auto"/>
          <w:sz w:val="21"/>
          <w:szCs w:val="21"/>
        </w:rPr>
        <w:t>直到符合技术要求，招标人才做最终验收。</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b/>
          <w:color w:val="auto"/>
          <w:sz w:val="21"/>
          <w:szCs w:val="21"/>
        </w:rPr>
        <w:t>乙方提供的产品应满足招标人需求，否则甲方有权拒绝支付任何采购款项并没收履约保证金。</w:t>
      </w:r>
      <w:r>
        <w:rPr>
          <w:rFonts w:hint="eastAsia" w:asciiTheme="minorEastAsia" w:hAnsiTheme="minorEastAsia" w:eastAsiaTheme="minorEastAsia" w:cstheme="minorEastAsia"/>
          <w:color w:val="auto"/>
          <w:sz w:val="21"/>
          <w:szCs w:val="21"/>
        </w:rPr>
        <w:t>由此产生的经济损失和其他责任、后果</w:t>
      </w:r>
      <w:r>
        <w:rPr>
          <w:rFonts w:hint="eastAsia" w:asciiTheme="minorEastAsia" w:hAnsiTheme="minorEastAsia" w:eastAsiaTheme="minorEastAsia" w:cstheme="minorEastAsia"/>
          <w:color w:val="auto"/>
          <w:sz w:val="21"/>
          <w:szCs w:val="21"/>
          <w:lang w:val="en-US" w:eastAsia="zh-CN"/>
        </w:rPr>
        <w:t>一律</w:t>
      </w:r>
      <w:r>
        <w:rPr>
          <w:rFonts w:hint="eastAsia" w:asciiTheme="minorEastAsia" w:hAnsiTheme="minorEastAsia" w:eastAsiaTheme="minorEastAsia" w:cstheme="minorEastAsia"/>
          <w:color w:val="auto"/>
          <w:sz w:val="21"/>
          <w:szCs w:val="21"/>
        </w:rPr>
        <w:t>由乙方承担。</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乙方在安装调试过程中必须确保安全，乙方自行承担设备安装调试过程中的质量、任何状况下的安全责任，发生的一切问题和责任与招标人无关，相关一切费用或民事、刑事责任均由乙方自理。若乙方不能及时处理所发生的问题和责任，并且影响到系统总体进度时，招标人有权处理相关事务，所发生的费用在支付合同款时扣除。</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highlight w:val="none"/>
        </w:rPr>
        <w:t>本项目涉及验收标准包括但不限于行业部门有关标准规范。</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十四、货物包装、发运及运输</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乙方应在货物发运前对其进行满足运输距离、防潮、防震、防锈和防破损装卸等要求包装，以保证货物安全运达招标人指定地点。</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使用说明书、质量检验证明书、随配附件和工具、质量合格凭证及装箱清单一并附于货物内，安装调试完毕后按设备清单逐一按序交付给招标人。</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 所供货物必须首先符合有关国家强制性规定、国家（行业）标准或相关法律法规要求，同时满足招标文件规定的质量要求和使用需求。供方应提供全新未拆封产品（包括零部件、附件、备品备件），如确需拆封的，应在供货前征得采购人同意，否则视为不能交货。供方保证全部按照合同规定的时间和方式向需方提供货物和服务，并负责可能的弥补缺陷。</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 货物安装调试验收合格在交付甲方使用前</w:t>
      </w:r>
      <w:r>
        <w:rPr>
          <w:rFonts w:hint="eastAsia" w:asciiTheme="minorEastAsia" w:hAnsiTheme="minorEastAsia" w:eastAsiaTheme="minorEastAsia" w:cstheme="minorEastAsia"/>
          <w:color w:val="auto"/>
          <w:sz w:val="21"/>
          <w:szCs w:val="21"/>
          <w:lang w:val="en-US" w:eastAsia="zh-CN"/>
        </w:rPr>
        <w:t>的</w:t>
      </w:r>
      <w:r>
        <w:rPr>
          <w:rFonts w:hint="eastAsia" w:asciiTheme="minorEastAsia" w:hAnsiTheme="minorEastAsia" w:eastAsiaTheme="minorEastAsia" w:cstheme="minorEastAsia"/>
          <w:color w:val="auto"/>
          <w:sz w:val="21"/>
          <w:szCs w:val="21"/>
          <w:lang w:val="en-US" w:eastAsia="zh-CN"/>
        </w:rPr>
        <w:t>保管责任及</w:t>
      </w:r>
      <w:r>
        <w:rPr>
          <w:rFonts w:hint="eastAsia" w:asciiTheme="minorEastAsia" w:hAnsiTheme="minorEastAsia" w:eastAsiaTheme="minorEastAsia" w:cstheme="minorEastAsia"/>
          <w:color w:val="auto"/>
          <w:sz w:val="21"/>
          <w:szCs w:val="21"/>
        </w:rPr>
        <w:t>风险</w:t>
      </w:r>
      <w:r>
        <w:rPr>
          <w:rFonts w:hint="eastAsia" w:asciiTheme="minorEastAsia" w:hAnsiTheme="minorEastAsia" w:eastAsiaTheme="minorEastAsia" w:cstheme="minorEastAsia"/>
          <w:color w:val="auto"/>
          <w:sz w:val="21"/>
          <w:szCs w:val="21"/>
        </w:rPr>
        <w:t>均由乙方负责。</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十五、违约责任</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1、完成时间：乙方应在投标文件承诺完成期限前完成全部工作内容，并经相关部门验收合格，不能按期完成的，每拖延一天罚款5000元。</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项目实施过程中，如果达不到承诺质量目标，无法满足甲方的使用需求，乙方必须无偿整改达到承诺质量目标，另按合同价款的5%向发包人支付违约金，直接从履约保证金或项目结算价款中扣除。由此造成的时间延误将不予顺延，给甲方造成实际损失的还将承担经济赔偿责任。</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十六、不可抗力事件处理</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在合同有效期内，任何一方因不可抗力事件导致不能履行合同，则合同履行期可延长，其延长期与不可抗力影响期相同。</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不可抗力事件发生后，应立即通知对方，并寄送有关权威机构出具的证明。</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 不可抗力事件延续120天以上，双方应通过友好协商，确定是否继续履行合同。</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十七、仲裁与诉讼</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双方在执行合同中所发生的一切争议，应通过协商解决。如协商不成，可向甲方所在地的人民法院提起诉讼。</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十八、合同附则</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1乙方须保证所提供硬件和软件产品包括相关附件为相应厂商的原装正品。</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2、产品安装、调试所需的工具及安装材料由乙方自行解决。施工过程应严格执行相关的施工及安装规范，并保证施工安全。</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3、测试和验收</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bookmarkStart w:id="534" w:name="_Toc434980088"/>
      <w:bookmarkStart w:id="535" w:name="_Toc428690227"/>
      <w:bookmarkStart w:id="536" w:name="_Toc428633620"/>
      <w:bookmarkStart w:id="537" w:name="_Toc428690302"/>
      <w:bookmarkStart w:id="538" w:name="_Toc513784101"/>
      <w:bookmarkStart w:id="539" w:name="_Toc428690460"/>
      <w:bookmarkStart w:id="540" w:name="_Toc429540795"/>
      <w:bookmarkStart w:id="541" w:name="_Toc428677914"/>
      <w:bookmarkStart w:id="542" w:name="_Toc428696325"/>
      <w:bookmarkStart w:id="543" w:name="_Toc428695955"/>
      <w:bookmarkStart w:id="544" w:name="_Toc434121888"/>
      <w:bookmarkStart w:id="545" w:name="_Toc429476859"/>
      <w:bookmarkStart w:id="546" w:name="_Toc428696080"/>
      <w:bookmarkStart w:id="547" w:name="_Toc528414476"/>
      <w:bookmarkStart w:id="548" w:name="_Toc428438296"/>
      <w:bookmarkStart w:id="549" w:name="_Toc428696416"/>
      <w:bookmarkStart w:id="550" w:name="_Toc429556560"/>
      <w:bookmarkStart w:id="551" w:name="_Toc429366392"/>
      <w:bookmarkStart w:id="552" w:name="_Toc430058011"/>
      <w:bookmarkStart w:id="553" w:name="_Toc434993238"/>
      <w:bookmarkStart w:id="554" w:name="_Toc428689354"/>
      <w:bookmarkStart w:id="555" w:name="_Toc428696161"/>
      <w:bookmarkStart w:id="556" w:name="_Toc428438352"/>
      <w:bookmarkStart w:id="557" w:name="_Toc428690533"/>
      <w:bookmarkStart w:id="558" w:name="_Toc428679010"/>
      <w:bookmarkStart w:id="559" w:name="_Toc428690736"/>
      <w:bookmarkStart w:id="560" w:name="_Toc428689981"/>
      <w:bookmarkStart w:id="561" w:name="_Toc428769097"/>
      <w:r>
        <w:rPr>
          <w:rFonts w:hint="eastAsia" w:asciiTheme="minorEastAsia" w:hAnsiTheme="minorEastAsia" w:eastAsiaTheme="minorEastAsia" w:cstheme="minorEastAsia"/>
          <w:color w:val="auto"/>
          <w:sz w:val="21"/>
          <w:szCs w:val="21"/>
        </w:rPr>
        <w:t>乙方应向采购方提交测试内容和方法。测试计划和技术内容根据环保要求拟定，经采购人和供货人确认后共同实施，测试产生的相关费用由乙方承担。</w:t>
      </w:r>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4、技术文档要求：</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乙方应向采购人提供安装调试过程中的各种文档资料。</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1)有关产品正确安装与详细配置（包括安装方法、安装步骤及各种配置参数等）资料要以易理解的方式（包括详细说明及图示）形成中文文档，交与采购人。</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2)乙方对本次采购的软、硬件产品提供正式的操作手册和维护手册，提供中文版技术文档。</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交货时，技术文档应与货物一起交付。乙方提交的技术文档的内容必须与所提供的产品相一致，应尽可能详细。所提交的技术文档必须是正式出版和装订的，复印件无效，其费用应包括在该品目的基本报价中。为了培训的目的，采购人有权复制这些资料而不受限制。</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4)在产品验收后，乙方应将所有技术文档和安装、调试资料移交给采购人。</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包括但不限于以下资料：</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1）对产品各项技术指标的测试报告。</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2）技术文件：设备制造、安装、调试、验收、运行、使用、测试、诊断、日常维护和维修的技术文件。</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3）详细的产品质量文件：包括外形尺寸、性能检验、产品合格证明书、软件原厂商正版授权等文件。</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4）安装计划：至少包括：运输/交货、安装日期、安装测试等。</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5）网络配置计划：包括配置图和配置清单。</w:t>
      </w:r>
    </w:p>
    <w:p>
      <w:pPr>
        <w:pStyle w:val="21"/>
        <w:snapToGrid w:val="0"/>
        <w:spacing w:before="120" w:after="120" w:line="400" w:lineRule="exact"/>
        <w:ind w:left="1"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6）安装指南：乙方应当提供所购软件、硬件设备的安装指南。</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十九、合同生效及其它</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合同经双方法定代表人或授权代表签字并加盖单位公章后生效。</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组成本合同的文件包括：本合同协议书；中标通知书；招标文件及招标答疑文件；投标书及其附件；各类规范文件；双方有关洽商、变更等书面协议或文件。</w:t>
      </w:r>
    </w:p>
    <w:p>
      <w:pPr>
        <w:pStyle w:val="21"/>
        <w:snapToGrid w:val="0"/>
        <w:spacing w:before="120" w:after="120" w:line="40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3.合同执行中涉及采购资金和采购内容修改或补充的，须经有关部门审批，并签书面补充协议报政府采购监督管理部门备案，方可作为主合同不可分割的一部分。</w:t>
      </w:r>
    </w:p>
    <w:p>
      <w:pPr>
        <w:pStyle w:val="21"/>
        <w:snapToGrid w:val="0"/>
        <w:spacing w:before="120" w:after="120" w:line="400" w:lineRule="exact"/>
        <w:ind w:left="420" w:firstLine="4" w:firstLineChars="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4.本合同未尽事宜，遵照《合同法》有关条文执行。</w:t>
      </w:r>
    </w:p>
    <w:p>
      <w:pPr>
        <w:pStyle w:val="21"/>
        <w:snapToGrid w:val="0"/>
        <w:spacing w:before="120" w:after="120" w:line="400" w:lineRule="exact"/>
        <w:ind w:left="420" w:firstLine="4" w:firstLineChars="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5.本合同正本一式伍份，具有同等法律效力，甲乙双方各执两份；招标采购交易中心备案一份。</w:t>
      </w:r>
    </w:p>
    <w:p>
      <w:pPr>
        <w:spacing w:line="360" w:lineRule="auto"/>
        <w:ind w:firstLine="420"/>
        <w:rPr>
          <w:rFonts w:asciiTheme="minorEastAsia" w:hAnsiTheme="minorEastAsia" w:eastAsiaTheme="minorEastAsia" w:cstheme="minorEastAsia"/>
          <w:color w:val="auto"/>
          <w:szCs w:val="21"/>
          <w:highlight w:val="white"/>
        </w:rPr>
      </w:pPr>
    </w:p>
    <w:p>
      <w:pPr>
        <w:spacing w:line="360" w:lineRule="auto"/>
        <w:ind w:firstLine="420"/>
        <w:rPr>
          <w:rFonts w:asciiTheme="minorEastAsia" w:hAnsiTheme="minorEastAsia" w:eastAsiaTheme="minorEastAsia" w:cstheme="minorEastAsia"/>
          <w:color w:val="auto"/>
          <w:szCs w:val="21"/>
          <w:highlight w:val="white"/>
        </w:rPr>
      </w:pPr>
    </w:p>
    <w:p>
      <w:pPr>
        <w:pStyle w:val="2"/>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562" w:name="_Toc29388480"/>
      <w:bookmarkStart w:id="563" w:name="_Toc9724"/>
      <w:bookmarkStart w:id="564" w:name="_Toc397928626"/>
      <w:r>
        <w:rPr>
          <w:rFonts w:hint="eastAsia" w:asciiTheme="minorEastAsia" w:hAnsiTheme="minorEastAsia" w:eastAsiaTheme="minorEastAsia" w:cstheme="minorEastAsia"/>
          <w:color w:val="auto"/>
        </w:rPr>
        <w:t>第五章 产品需求</w:t>
      </w:r>
      <w:bookmarkEnd w:id="562"/>
      <w:bookmarkEnd w:id="563"/>
      <w:bookmarkEnd w:id="564"/>
    </w:p>
    <w:p>
      <w:pPr>
        <w:pStyle w:val="21"/>
        <w:snapToGrid w:val="0"/>
        <w:spacing w:before="120" w:after="120" w:line="240" w:lineRule="exact"/>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color w:val="auto"/>
          <w:sz w:val="21"/>
          <w:szCs w:val="21"/>
        </w:rPr>
        <w:t>1、产品需求及清单</w:t>
      </w:r>
    </w:p>
    <w:p>
      <w:pPr>
        <w:rPr>
          <w:rFonts w:ascii="宋体" w:hAnsi="宋体" w:cs="宋体"/>
          <w:b/>
          <w:bCs/>
          <w:color w:val="auto"/>
        </w:rPr>
      </w:pPr>
    </w:p>
    <w:p>
      <w:pPr>
        <w:pStyle w:val="109"/>
        <w:numPr>
          <w:ilvl w:val="0"/>
          <w:numId w:val="1"/>
        </w:numPr>
        <w:ind w:firstLineChars="0"/>
        <w:rPr>
          <w:rFonts w:ascii="宋体" w:hAnsi="宋体" w:cs="宋体"/>
          <w:b/>
          <w:bCs/>
          <w:color w:val="auto"/>
        </w:rPr>
      </w:pPr>
      <w:r>
        <w:rPr>
          <w:rFonts w:hint="eastAsia" w:ascii="宋体" w:hAnsi="宋体" w:cs="宋体"/>
          <w:b/>
          <w:bCs/>
          <w:color w:val="auto"/>
        </w:rPr>
        <w:t>项目总体预算</w:t>
      </w:r>
    </w:p>
    <w:tbl>
      <w:tblPr>
        <w:tblStyle w:val="43"/>
        <w:tblW w:w="8100" w:type="dxa"/>
        <w:tblInd w:w="0" w:type="dxa"/>
        <w:tblLayout w:type="fixed"/>
        <w:tblCellMar>
          <w:top w:w="0" w:type="dxa"/>
          <w:left w:w="108" w:type="dxa"/>
          <w:bottom w:w="0" w:type="dxa"/>
          <w:right w:w="108" w:type="dxa"/>
        </w:tblCellMar>
      </w:tblPr>
      <w:tblGrid>
        <w:gridCol w:w="960"/>
        <w:gridCol w:w="2460"/>
        <w:gridCol w:w="960"/>
        <w:gridCol w:w="940"/>
        <w:gridCol w:w="1196"/>
        <w:gridCol w:w="1559"/>
        <w:gridCol w:w="25"/>
      </w:tblGrid>
      <w:tr>
        <w:tblPrEx>
          <w:tblCellMar>
            <w:top w:w="0" w:type="dxa"/>
            <w:left w:w="108" w:type="dxa"/>
            <w:bottom w:w="0" w:type="dxa"/>
            <w:right w:w="108" w:type="dxa"/>
          </w:tblCellMar>
        </w:tblPrEx>
        <w:trPr>
          <w:trHeight w:val="28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序号</w:t>
            </w: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数量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单位</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单价</w:t>
            </w:r>
          </w:p>
        </w:tc>
        <w:tc>
          <w:tcPr>
            <w:tcW w:w="15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合计</w:t>
            </w: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入侵防御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台</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防毒墙</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台</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3</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堡垒机</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套</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4</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防火墙库升级及维保</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项</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5</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防盗网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项</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6</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机房玻璃门门禁</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套</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7</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安全设备安装及服务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项</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8</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录播系统建设</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项</w:t>
            </w:r>
          </w:p>
        </w:tc>
        <w:tc>
          <w:tcPr>
            <w:tcW w:w="119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r>
        <w:tblPrEx>
          <w:tblCellMar>
            <w:top w:w="0" w:type="dxa"/>
            <w:left w:w="108" w:type="dxa"/>
            <w:bottom w:w="0" w:type="dxa"/>
            <w:right w:w="108" w:type="dxa"/>
          </w:tblCellMar>
        </w:tblPrEx>
        <w:trPr>
          <w:gridAfter w:val="1"/>
          <w:wAfter w:w="25" w:type="dxa"/>
          <w:trHeight w:val="280" w:hRule="atLeast"/>
        </w:trPr>
        <w:tc>
          <w:tcPr>
            <w:tcW w:w="53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总        计</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rPr>
            </w:pPr>
          </w:p>
        </w:tc>
      </w:tr>
    </w:tbl>
    <w:p>
      <w:pPr>
        <w:rPr>
          <w:rFonts w:ascii="宋体" w:hAnsi="宋体" w:cs="宋体"/>
          <w:b/>
          <w:bCs/>
          <w:color w:val="auto"/>
          <w:kern w:val="0"/>
          <w:sz w:val="18"/>
          <w:szCs w:val="18"/>
        </w:rPr>
      </w:pPr>
    </w:p>
    <w:p>
      <w:pPr>
        <w:rPr>
          <w:rFonts w:ascii="宋体" w:hAnsi="宋体" w:cs="宋体"/>
          <w:b/>
          <w:bCs/>
          <w:color w:val="auto"/>
          <w:kern w:val="0"/>
          <w:szCs w:val="21"/>
        </w:rPr>
      </w:pPr>
      <w:r>
        <w:rPr>
          <w:rFonts w:hint="eastAsia" w:ascii="宋体" w:hAnsi="宋体" w:cs="宋体"/>
          <w:b/>
          <w:bCs/>
          <w:color w:val="auto"/>
          <w:kern w:val="0"/>
          <w:szCs w:val="21"/>
        </w:rPr>
        <w:t>二、网络安全和录播系统设备清单及技术参数</w:t>
      </w:r>
    </w:p>
    <w:p>
      <w:pPr>
        <w:rPr>
          <w:rFonts w:ascii="宋体" w:hAnsi="宋体" w:cs="宋体"/>
          <w:b/>
          <w:bCs/>
          <w:color w:val="auto"/>
          <w:kern w:val="0"/>
          <w:sz w:val="18"/>
          <w:szCs w:val="18"/>
        </w:rPr>
      </w:pPr>
      <w:r>
        <w:rPr>
          <w:rFonts w:hint="eastAsia" w:ascii="宋体" w:hAnsi="宋体" w:cs="宋体"/>
          <w:b/>
          <w:bCs/>
          <w:color w:val="auto"/>
          <w:kern w:val="0"/>
          <w:sz w:val="18"/>
          <w:szCs w:val="18"/>
        </w:rPr>
        <w:t>2.1网络安全设备清单</w:t>
      </w:r>
    </w:p>
    <w:tbl>
      <w:tblPr>
        <w:tblStyle w:val="43"/>
        <w:tblW w:w="8364" w:type="dxa"/>
        <w:jc w:val="center"/>
        <w:tblLayout w:type="fixed"/>
        <w:tblCellMar>
          <w:top w:w="0" w:type="dxa"/>
          <w:left w:w="108" w:type="dxa"/>
          <w:bottom w:w="0" w:type="dxa"/>
          <w:right w:w="108" w:type="dxa"/>
        </w:tblCellMar>
      </w:tblPr>
      <w:tblGrid>
        <w:gridCol w:w="704"/>
        <w:gridCol w:w="992"/>
        <w:gridCol w:w="4820"/>
        <w:gridCol w:w="709"/>
        <w:gridCol w:w="1139"/>
      </w:tblGrid>
      <w:tr>
        <w:tblPrEx>
          <w:tblCellMar>
            <w:top w:w="0" w:type="dxa"/>
            <w:left w:w="108" w:type="dxa"/>
            <w:bottom w:w="0" w:type="dxa"/>
            <w:right w:w="108" w:type="dxa"/>
          </w:tblCellMar>
        </w:tblPrEx>
        <w:trPr>
          <w:trHeight w:val="31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设备名称</w:t>
            </w:r>
          </w:p>
        </w:tc>
        <w:tc>
          <w:tcPr>
            <w:tcW w:w="482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配置参数</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数量</w:t>
            </w:r>
          </w:p>
        </w:tc>
        <w:tc>
          <w:tcPr>
            <w:tcW w:w="113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备注</w:t>
            </w:r>
          </w:p>
        </w:tc>
      </w:tr>
      <w:tr>
        <w:tblPrEx>
          <w:tblCellMar>
            <w:top w:w="0" w:type="dxa"/>
            <w:left w:w="108" w:type="dxa"/>
            <w:bottom w:w="0" w:type="dxa"/>
            <w:right w:w="108" w:type="dxa"/>
          </w:tblCellMar>
        </w:tblPrEx>
        <w:trPr>
          <w:trHeight w:val="918"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入侵防御</w:t>
            </w:r>
          </w:p>
        </w:tc>
        <w:tc>
          <w:tcPr>
            <w:tcW w:w="48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每秒新建连接数≥6万，并发连接数≥120万，吞吐量≥3Gbps，千兆电口≥4个，扩展槽数量≥2个，最大可支持12个千兆接口，配置2个220V交流电源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1台</w:t>
            </w:r>
          </w:p>
        </w:tc>
        <w:tc>
          <w:tcPr>
            <w:tcW w:w="11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详细技术参数见3.3.1</w:t>
            </w:r>
          </w:p>
        </w:tc>
      </w:tr>
      <w:tr>
        <w:tblPrEx>
          <w:tblCellMar>
            <w:top w:w="0" w:type="dxa"/>
            <w:left w:w="108" w:type="dxa"/>
            <w:bottom w:w="0" w:type="dxa"/>
            <w:right w:w="108" w:type="dxa"/>
          </w:tblCellMar>
        </w:tblPrEx>
        <w:trPr>
          <w:trHeight w:val="736"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防毒墙</w:t>
            </w:r>
          </w:p>
        </w:tc>
        <w:tc>
          <w:tcPr>
            <w:tcW w:w="48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1U标准机架设备，专用平台，设备配置≥6个电口，支持Bypass ，1个console管理口；设备配置性能吞吐量≥2G，防病毒吞吐量≥600M，最大并发连接数≥180W，每秒新建连接数≥12000；三年病毒库升级，硬件保修和技术支持服务</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1台</w:t>
            </w:r>
          </w:p>
        </w:tc>
        <w:tc>
          <w:tcPr>
            <w:tcW w:w="11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详细技术参数见3.3.2</w:t>
            </w:r>
          </w:p>
        </w:tc>
      </w:tr>
      <w:tr>
        <w:tblPrEx>
          <w:tblCellMar>
            <w:top w:w="0" w:type="dxa"/>
            <w:left w:w="108" w:type="dxa"/>
            <w:bottom w:w="0" w:type="dxa"/>
            <w:right w:w="108" w:type="dxa"/>
          </w:tblCellMar>
        </w:tblPrEx>
        <w:trPr>
          <w:trHeight w:val="918"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堡垒机</w:t>
            </w:r>
          </w:p>
        </w:tc>
        <w:tc>
          <w:tcPr>
            <w:tcW w:w="48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1U标准机架设备，采用通用安全平台，设备配置字符协议数≥700个或图形协议数200个；设备配置≥6个千兆电口，1个console管理口，硬盘容量≥1TB，此次配置≥50个被管资源数授权，三年硬件保修和技术支持服务</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1台</w:t>
            </w:r>
          </w:p>
        </w:tc>
        <w:tc>
          <w:tcPr>
            <w:tcW w:w="11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详细技术参数见3.3.3</w:t>
            </w:r>
          </w:p>
        </w:tc>
      </w:tr>
      <w:tr>
        <w:tblPrEx>
          <w:tblCellMar>
            <w:top w:w="0" w:type="dxa"/>
            <w:left w:w="108" w:type="dxa"/>
            <w:bottom w:w="0" w:type="dxa"/>
            <w:right w:w="108" w:type="dxa"/>
          </w:tblCellMar>
        </w:tblPrEx>
        <w:trPr>
          <w:trHeight w:val="61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防火墙库升级及维保</w:t>
            </w:r>
          </w:p>
        </w:tc>
        <w:tc>
          <w:tcPr>
            <w:tcW w:w="482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现有防火墙续保3年、行为管理库升级3年，详细情况可上门勘察；</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1项</w:t>
            </w:r>
          </w:p>
        </w:tc>
        <w:tc>
          <w:tcPr>
            <w:tcW w:w="113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1"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防盗网</w:t>
            </w:r>
          </w:p>
        </w:tc>
        <w:tc>
          <w:tcPr>
            <w:tcW w:w="482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机房防盗网，定制</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1套</w:t>
            </w:r>
          </w:p>
        </w:tc>
        <w:tc>
          <w:tcPr>
            <w:tcW w:w="113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61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机房玻璃门门禁</w:t>
            </w:r>
          </w:p>
        </w:tc>
        <w:tc>
          <w:tcPr>
            <w:tcW w:w="4820" w:type="dxa"/>
            <w:tcBorders>
              <w:top w:val="single" w:color="auto" w:sz="4" w:space="0"/>
              <w:left w:val="nil"/>
              <w:bottom w:val="single" w:color="auto" w:sz="4" w:space="0"/>
              <w:right w:val="single" w:color="auto" w:sz="4" w:space="0"/>
            </w:tcBorders>
            <w:shd w:val="clear" w:color="auto" w:fill="auto"/>
            <w:noWrap/>
            <w:vAlign w:val="bottom"/>
          </w:tcPr>
          <w:p>
            <w:pPr>
              <w:rPr>
                <w:rFonts w:ascii="宋体" w:hAnsi="宋体" w:cs="宋体"/>
                <w:color w:val="auto"/>
                <w:kern w:val="0"/>
                <w:sz w:val="18"/>
                <w:szCs w:val="18"/>
              </w:rPr>
            </w:pPr>
            <w:r>
              <w:rPr>
                <w:rFonts w:hint="eastAsia" w:ascii="宋体" w:hAnsi="宋体" w:cs="宋体"/>
                <w:color w:val="auto"/>
                <w:kern w:val="0"/>
                <w:sz w:val="18"/>
                <w:szCs w:val="18"/>
              </w:rPr>
              <w:t>智慧门禁机（含电控锁及电源）支持指纹、密码、ID卡，通讯接口：TCP/TP，CPU不小于400主频</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1套</w:t>
            </w:r>
          </w:p>
        </w:tc>
        <w:tc>
          <w:tcPr>
            <w:tcW w:w="113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9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安装及服务</w:t>
            </w:r>
          </w:p>
        </w:tc>
        <w:tc>
          <w:tcPr>
            <w:tcW w:w="482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根据现有职业技术学校信息化系统的现状，按照等保二级的建设目标，制定合理的技术方案并进行实施，最终通过等保二级测评、三年免费上门安全技术服务；</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1项</w:t>
            </w:r>
          </w:p>
        </w:tc>
        <w:tc>
          <w:tcPr>
            <w:tcW w:w="113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18"/>
                <w:szCs w:val="18"/>
              </w:rPr>
            </w:pPr>
          </w:p>
        </w:tc>
      </w:tr>
    </w:tbl>
    <w:p>
      <w:pPr>
        <w:rPr>
          <w:rFonts w:ascii="宋体" w:hAnsi="宋体" w:cs="宋体"/>
          <w:color w:val="auto"/>
          <w:sz w:val="18"/>
          <w:szCs w:val="18"/>
        </w:rPr>
      </w:pPr>
      <w:r>
        <w:rPr>
          <w:rFonts w:hint="eastAsia" w:ascii="宋体" w:hAnsi="宋体" w:cs="宋体"/>
          <w:color w:val="auto"/>
          <w:sz w:val="18"/>
          <w:szCs w:val="18"/>
        </w:rPr>
        <w:t>注：本次项目中所投安全产品（入侵防御、防毒墙）必须与学校原有迪普安全管理平台进行对接，实现统一管理，统一下发安全策略，投标时请提供大丰职业技术学校原有安全管理平台厂家出具的针对本次项目所投的安全产品与学校原有安全管理平台可实现对接的说明函（须加盖学校原有安全管理平台厂家公章）；</w:t>
      </w:r>
    </w:p>
    <w:p>
      <w:pPr>
        <w:rPr>
          <w:rFonts w:ascii="宋体" w:hAnsi="宋体" w:cs="宋体"/>
          <w:b/>
          <w:bCs/>
          <w:color w:val="auto"/>
          <w:kern w:val="0"/>
          <w:sz w:val="18"/>
          <w:szCs w:val="18"/>
        </w:rPr>
      </w:pPr>
      <w:r>
        <w:rPr>
          <w:rFonts w:hint="eastAsia" w:ascii="宋体" w:hAnsi="宋体" w:cs="宋体"/>
          <w:b/>
          <w:bCs/>
          <w:color w:val="auto"/>
          <w:kern w:val="0"/>
          <w:sz w:val="18"/>
          <w:szCs w:val="18"/>
        </w:rPr>
        <w:t>2.2 录播系统设备清单</w:t>
      </w:r>
    </w:p>
    <w:tbl>
      <w:tblPr>
        <w:tblStyle w:val="43"/>
        <w:tblW w:w="8359" w:type="dxa"/>
        <w:tblInd w:w="0" w:type="dxa"/>
        <w:tblLayout w:type="autofit"/>
        <w:tblCellMar>
          <w:top w:w="0" w:type="dxa"/>
          <w:left w:w="108" w:type="dxa"/>
          <w:bottom w:w="0" w:type="dxa"/>
          <w:right w:w="108" w:type="dxa"/>
        </w:tblCellMar>
      </w:tblPr>
      <w:tblGrid>
        <w:gridCol w:w="704"/>
        <w:gridCol w:w="4096"/>
        <w:gridCol w:w="1007"/>
        <w:gridCol w:w="1134"/>
        <w:gridCol w:w="1418"/>
      </w:tblGrid>
      <w:tr>
        <w:tblPrEx>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4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设备名称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108" w:type="dxa"/>
            <w:bottom w:w="0" w:type="dxa"/>
            <w:right w:w="108" w:type="dxa"/>
          </w:tblCellMar>
        </w:tblPrEx>
        <w:trPr>
          <w:trHeight w:val="280" w:hRule="atLeast"/>
        </w:trPr>
        <w:tc>
          <w:tcPr>
            <w:tcW w:w="835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1、录播系统软件</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管理平台</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18"/>
                <w:szCs w:val="18"/>
              </w:rPr>
              <w:t>详细技术参数见3.3.4</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40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交互式IOS学习APP软件</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40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交互式android学习APP软件</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40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桌面学习软件</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40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教师在线辅教助手系统</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多媒体课件编辑系统软件</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835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2、手动导播精品互动录播</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智能云教学主机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18"/>
                <w:szCs w:val="18"/>
              </w:rPr>
              <w:t>详细技术参数见3.3.4</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智能云教学系统软件</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可视化操控软件</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智能导播台</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后置高清双目云台摄像机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前置高清双目云台摄像机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高清网络摄像机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板书检测高清摄像机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数字音频处理器</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无源扩声音箱</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专业录音话筒</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专业手动操作台</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遥控器</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线缆</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纳米智慧黑板</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六边形桌椅</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录播教室装修</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c>
          <w:tcPr>
            <w:tcW w:w="1418" w:type="dxa"/>
            <w:vMerge w:val="continue"/>
            <w:tcBorders>
              <w:left w:val="nil"/>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控制电脑</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听课椅</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无线路由器</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tcBorders>
              <w:left w:val="nil"/>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835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3、常态化跟踪互动录播</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409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常态化云课堂主机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18"/>
                <w:szCs w:val="18"/>
              </w:rPr>
              <w:t>详细技术参数见3.3.4</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409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常态化云教学软件V2.0</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409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可视化操控软件</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409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智能导播台</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后置高清摄像机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前置高清摄像机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板书检测高清摄像机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40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数字音频处理器</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409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专业录音话筒</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无源音箱</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线缆</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推拉黑板</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交互一体机</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六边形桌椅</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录播教室装修</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听课椅</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无线路由器</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835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4、便携录播</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移动式云课堂主机</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18"/>
                <w:szCs w:val="18"/>
              </w:rPr>
              <w:t>详细技术参数见3.3.4</w:t>
            </w: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移动式云教学软件</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高清云台网络摄像机</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无线麦克风</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监听耳机</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三角架</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定制航空箱</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right w:val="single" w:color="auto" w:sz="4" w:space="0"/>
            </w:tcBorders>
            <w:shd w:val="clear" w:color="auto" w:fill="auto"/>
            <w:noWrap/>
            <w:vAlign w:val="center"/>
          </w:tcPr>
          <w:p>
            <w:pPr>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4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线缆</w:t>
            </w:r>
          </w:p>
        </w:tc>
        <w:tc>
          <w:tcPr>
            <w:tcW w:w="10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rPr>
            </w:pPr>
          </w:p>
        </w:tc>
      </w:tr>
      <w:tr>
        <w:tblPrEx>
          <w:tblCellMar>
            <w:top w:w="0" w:type="dxa"/>
            <w:left w:w="108" w:type="dxa"/>
            <w:bottom w:w="0" w:type="dxa"/>
            <w:right w:w="108" w:type="dxa"/>
          </w:tblCellMar>
        </w:tblPrEx>
        <w:trPr>
          <w:trHeight w:val="280" w:hRule="atLeast"/>
        </w:trPr>
        <w:tc>
          <w:tcPr>
            <w:tcW w:w="83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rPr>
            </w:pPr>
            <w:r>
              <w:rPr>
                <w:rFonts w:hint="eastAsia" w:ascii="宋体" w:hAnsi="宋体" w:cs="宋体"/>
                <w:b/>
                <w:bCs/>
                <w:color w:val="auto"/>
                <w:kern w:val="0"/>
                <w:sz w:val="18"/>
                <w:szCs w:val="18"/>
              </w:rPr>
              <w:t>5、安装调试</w:t>
            </w:r>
          </w:p>
        </w:tc>
      </w:tr>
      <w:tr>
        <w:tblPrEx>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40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录播系统安装及调试</w:t>
            </w:r>
          </w:p>
        </w:tc>
        <w:tc>
          <w:tcPr>
            <w:tcW w:w="100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rPr>
            </w:pPr>
          </w:p>
        </w:tc>
      </w:tr>
    </w:tbl>
    <w:p>
      <w:pPr>
        <w:rPr>
          <w:rFonts w:ascii="宋体" w:hAnsi="宋体" w:cs="宋体"/>
          <w:color w:val="auto"/>
          <w:sz w:val="18"/>
          <w:szCs w:val="18"/>
          <w:highlight w:val="red"/>
        </w:rPr>
      </w:pPr>
      <w:r>
        <w:rPr>
          <w:rFonts w:hint="eastAsia" w:ascii="宋体" w:hAnsi="宋体" w:cs="宋体"/>
          <w:color w:val="auto"/>
          <w:sz w:val="18"/>
          <w:szCs w:val="18"/>
          <w:highlight w:val="red"/>
        </w:rPr>
        <w:t>注：本项目所采购的录播系统须与大丰区教育局录播平台进行对接，与大丰区教育局实现远程视频会议功能，投标时提供大丰区教育局录播平台厂家出具的针对本次项目所投录播系统与大丰区教育局录播平台可实现对接的说明函（须加盖大丰区教育局录播平台厂家公章）；</w:t>
      </w:r>
    </w:p>
    <w:p>
      <w:pPr>
        <w:rPr>
          <w:rFonts w:ascii="宋体" w:hAnsi="宋体" w:cs="宋体"/>
          <w:b/>
          <w:bCs/>
          <w:color w:val="auto"/>
        </w:rPr>
      </w:pPr>
      <w:r>
        <w:rPr>
          <w:rFonts w:hint="eastAsia" w:ascii="宋体" w:hAnsi="宋体" w:cs="宋体"/>
          <w:b/>
          <w:bCs/>
          <w:color w:val="auto"/>
        </w:rPr>
        <w:t>2.3详细技术参数</w:t>
      </w:r>
    </w:p>
    <w:p>
      <w:pPr>
        <w:rPr>
          <w:rFonts w:ascii="宋体" w:hAnsi="宋体" w:cs="宋体"/>
          <w:b/>
          <w:bCs/>
          <w:color w:val="auto"/>
          <w:kern w:val="0"/>
          <w:sz w:val="18"/>
          <w:szCs w:val="18"/>
        </w:rPr>
      </w:pPr>
      <w:r>
        <w:rPr>
          <w:rFonts w:hint="eastAsia" w:ascii="宋体" w:hAnsi="宋体" w:cs="宋体"/>
          <w:b/>
          <w:bCs/>
          <w:color w:val="auto"/>
          <w:sz w:val="18"/>
          <w:szCs w:val="18"/>
        </w:rPr>
        <w:t xml:space="preserve">2.3.1 </w:t>
      </w:r>
      <w:r>
        <w:rPr>
          <w:rFonts w:hint="eastAsia" w:ascii="宋体" w:hAnsi="宋体" w:cs="宋体"/>
          <w:b/>
          <w:bCs/>
          <w:color w:val="auto"/>
          <w:kern w:val="0"/>
          <w:sz w:val="18"/>
          <w:szCs w:val="18"/>
        </w:rPr>
        <w:t>入侵防御</w:t>
      </w:r>
    </w:p>
    <w:tbl>
      <w:tblPr>
        <w:tblStyle w:val="43"/>
        <w:tblW w:w="85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Layout w:type="fixed"/>
        <w:tblCellMar>
          <w:top w:w="0" w:type="dxa"/>
          <w:left w:w="108" w:type="dxa"/>
          <w:bottom w:w="0" w:type="dxa"/>
          <w:right w:w="108" w:type="dxa"/>
        </w:tblCellMar>
      </w:tblPr>
      <w:tblGrid>
        <w:gridCol w:w="1129"/>
        <w:gridCol w:w="7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108" w:type="dxa"/>
            <w:bottom w:w="0" w:type="dxa"/>
            <w:right w:w="108" w:type="dxa"/>
          </w:tblCellMar>
        </w:tblPrEx>
        <w:trPr>
          <w:trHeight w:val="20" w:hRule="atLeast"/>
          <w:jc w:val="center"/>
        </w:trPr>
        <w:tc>
          <w:tcPr>
            <w:tcW w:w="1129"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b/>
                <w:color w:val="auto"/>
                <w:sz w:val="18"/>
                <w:szCs w:val="18"/>
              </w:rPr>
              <w:t>指标项</w:t>
            </w:r>
          </w:p>
        </w:tc>
        <w:tc>
          <w:tcPr>
            <w:tcW w:w="7371" w:type="dxa"/>
            <w:tcBorders>
              <w:left w:val="single" w:color="auto" w:sz="4" w:space="0"/>
              <w:right w:val="single" w:color="auto" w:sz="4" w:space="0"/>
            </w:tcBorders>
            <w:shd w:val="clear" w:color="auto" w:fill="FFFFFF" w:themeFill="background1"/>
            <w:vAlign w:val="center"/>
          </w:tcPr>
          <w:p>
            <w:pPr>
              <w:jc w:val="center"/>
              <w:rPr>
                <w:rFonts w:ascii="宋体" w:hAnsi="宋体" w:cs="宋体"/>
                <w:b/>
                <w:color w:val="auto"/>
                <w:sz w:val="18"/>
                <w:szCs w:val="18"/>
              </w:rPr>
            </w:pPr>
            <w:r>
              <w:rPr>
                <w:rFonts w:hint="eastAsia" w:ascii="宋体" w:hAnsi="宋体" w:cs="宋体"/>
                <w:b/>
                <w:color w:val="auto"/>
                <w:sz w:val="18"/>
                <w:szCs w:val="18"/>
              </w:rPr>
              <w:t>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b/>
                <w:color w:val="auto"/>
                <w:sz w:val="18"/>
                <w:szCs w:val="18"/>
              </w:rPr>
              <w:t>硬件配置要求</w:t>
            </w:r>
          </w:p>
        </w:tc>
        <w:tc>
          <w:tcPr>
            <w:tcW w:w="7371" w:type="dxa"/>
            <w:tcBorders>
              <w:left w:val="single" w:color="auto" w:sz="4" w:space="0"/>
              <w:right w:val="single" w:color="auto" w:sz="4" w:space="0"/>
            </w:tcBorders>
            <w:shd w:val="clear" w:color="auto" w:fill="FFFFFF" w:themeFill="background1"/>
            <w:vAlign w:val="center"/>
          </w:tcPr>
          <w:p>
            <w:pPr>
              <w:rPr>
                <w:rFonts w:ascii="宋体" w:hAnsi="宋体" w:cs="宋体"/>
                <w:color w:val="auto"/>
                <w:sz w:val="18"/>
                <w:szCs w:val="18"/>
              </w:rPr>
            </w:pPr>
            <w:r>
              <w:rPr>
                <w:rFonts w:hint="eastAsia" w:ascii="宋体" w:hAnsi="宋体" w:cs="宋体"/>
                <w:color w:val="auto"/>
                <w:sz w:val="18"/>
                <w:szCs w:val="18"/>
              </w:rPr>
              <w:t>千兆电口≥4个</w:t>
            </w:r>
          </w:p>
          <w:p>
            <w:pPr>
              <w:rPr>
                <w:rFonts w:ascii="宋体" w:hAnsi="宋体" w:cs="宋体"/>
                <w:color w:val="auto"/>
                <w:sz w:val="18"/>
                <w:szCs w:val="18"/>
              </w:rPr>
            </w:pPr>
            <w:r>
              <w:rPr>
                <w:rFonts w:hint="eastAsia" w:ascii="宋体" w:hAnsi="宋体" w:cs="宋体"/>
                <w:color w:val="auto"/>
                <w:sz w:val="18"/>
                <w:szCs w:val="18"/>
              </w:rPr>
              <w:t>扩展槽数量≥2个，最大可支持12个千兆接口</w:t>
            </w:r>
          </w:p>
          <w:p>
            <w:pPr>
              <w:rPr>
                <w:rFonts w:ascii="宋体" w:hAnsi="宋体" w:cs="宋体"/>
                <w:b/>
                <w:color w:val="auto"/>
                <w:sz w:val="18"/>
                <w:szCs w:val="18"/>
              </w:rPr>
            </w:pPr>
            <w:r>
              <w:rPr>
                <w:rFonts w:hint="eastAsia" w:ascii="宋体" w:hAnsi="宋体" w:cs="宋体"/>
                <w:color w:val="auto"/>
                <w:sz w:val="18"/>
                <w:szCs w:val="18"/>
              </w:rPr>
              <w:t>配置2个220V交流电源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b/>
                <w:color w:val="auto"/>
                <w:kern w:val="0"/>
                <w:sz w:val="18"/>
                <w:szCs w:val="18"/>
              </w:rPr>
              <w:t>吞吐量要求</w:t>
            </w:r>
          </w:p>
        </w:tc>
        <w:tc>
          <w:tcPr>
            <w:tcW w:w="7371"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color w:val="auto"/>
                <w:sz w:val="18"/>
                <w:szCs w:val="18"/>
              </w:rPr>
              <w:t>吞吐量≥3Gbps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b/>
                <w:color w:val="auto"/>
                <w:kern w:val="0"/>
                <w:sz w:val="18"/>
                <w:szCs w:val="18"/>
              </w:rPr>
              <w:t>并发连接数</w:t>
            </w:r>
          </w:p>
        </w:tc>
        <w:tc>
          <w:tcPr>
            <w:tcW w:w="7371"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color w:val="auto"/>
                <w:sz w:val="18"/>
                <w:szCs w:val="18"/>
              </w:rPr>
              <w:t>并发连接数≥120万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b/>
                <w:color w:val="auto"/>
                <w:kern w:val="0"/>
                <w:sz w:val="18"/>
                <w:szCs w:val="18"/>
              </w:rPr>
              <w:t>每秒新建连接数</w:t>
            </w:r>
          </w:p>
        </w:tc>
        <w:tc>
          <w:tcPr>
            <w:tcW w:w="7371" w:type="dxa"/>
            <w:tcBorders>
              <w:left w:val="single" w:color="auto" w:sz="4" w:space="0"/>
              <w:right w:val="single" w:color="auto" w:sz="4" w:space="0"/>
            </w:tcBorders>
            <w:shd w:val="clear" w:color="auto" w:fill="FFFFFF" w:themeFill="background1"/>
            <w:vAlign w:val="center"/>
          </w:tcPr>
          <w:p>
            <w:pPr>
              <w:rPr>
                <w:rFonts w:ascii="宋体" w:hAnsi="宋体" w:cs="宋体"/>
                <w:b/>
                <w:color w:val="auto"/>
                <w:sz w:val="18"/>
                <w:szCs w:val="18"/>
              </w:rPr>
            </w:pPr>
            <w:r>
              <w:rPr>
                <w:rFonts w:hint="eastAsia" w:ascii="宋体" w:hAnsi="宋体" w:cs="宋体"/>
                <w:color w:val="auto"/>
                <w:sz w:val="18"/>
                <w:szCs w:val="18"/>
              </w:rPr>
              <w:t>每秒新建连接数≥6万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tcBorders>
              <w:top w:val="single" w:color="000000" w:sz="6" w:space="0"/>
              <w:left w:val="single" w:color="auto" w:sz="4" w:space="0"/>
              <w:bottom w:val="single" w:color="000000" w:sz="6" w:space="0"/>
              <w:right w:val="single" w:color="auto" w:sz="4" w:space="0"/>
            </w:tcBorders>
            <w:shd w:val="clear" w:color="auto" w:fill="FFFFFF" w:themeFill="background1"/>
            <w:vAlign w:val="center"/>
          </w:tcPr>
          <w:p>
            <w:pPr>
              <w:rPr>
                <w:rFonts w:ascii="宋体" w:hAnsi="宋体" w:cs="宋体"/>
                <w:b/>
                <w:color w:val="auto"/>
                <w:kern w:val="0"/>
                <w:sz w:val="18"/>
                <w:szCs w:val="18"/>
              </w:rPr>
            </w:pPr>
            <w:r>
              <w:rPr>
                <w:rFonts w:hint="eastAsia" w:ascii="宋体" w:hAnsi="宋体" w:cs="宋体"/>
                <w:b/>
                <w:color w:val="auto"/>
                <w:kern w:val="0"/>
                <w:sz w:val="18"/>
                <w:szCs w:val="18"/>
              </w:rPr>
              <w:t>部署方式</w:t>
            </w: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支持透明、透明桥接、旁路等部署模式，支持带内、带外管理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vMerge w:val="restart"/>
            <w:tcBorders>
              <w:top w:val="single" w:color="000000" w:sz="6" w:space="0"/>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r>
              <w:rPr>
                <w:rFonts w:hint="eastAsia" w:ascii="宋体" w:hAnsi="宋体" w:cs="宋体"/>
                <w:b/>
                <w:color w:val="auto"/>
                <w:kern w:val="0"/>
                <w:sz w:val="18"/>
                <w:szCs w:val="18"/>
              </w:rPr>
              <w:t>基本攻击防护</w:t>
            </w: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 xml:space="preserve">内置IPS特征库，特征规则数量不少于6100条，并可根据CVE编号查询具体的攻击特征；具备系统一键修改特征级别的功能，用户可根据自身安全需求将特征内容根据流行度规则高低进行检索，并可一键修改流行度规则级别（警告、一般、严重、致命、废除）；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vMerge w:val="continue"/>
            <w:tcBorders>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入侵防御事件库应符合国家信息安全CNNVD漏洞库标准，事件描述为中文；事件特征库在线升级频率不少于一周一次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vMerge w:val="continue"/>
            <w:tcBorders>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支持自定义特征，可基于方向、协议、字符串、正则表达式、源端口、目的端口等维度进行特征自定义，并可自行设置特征严重等级（警告、一般、严重、致命、废除），满足用户定制化需求；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vMerge w:val="continue"/>
            <w:tcBorders>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 xml:space="preserve">支持自定义防护规则，可基于IT资源（操作系统、办公软件、应用软件、数据库、Web应用、浏览器、邮件服务器等）、攻击类型（主机漏洞利用、木马远控、系统扫描探测、HTTP协议异常、主机异常流量、注入攻击、跨站脚本攻击、跨站请求伪造、Web后门、信息泄露、篡改攻击、文件目录攻击、网络爬虫等）、协议（IP、IGMP、GGP、ICMP、TCP、UDP、SSH、PPTP、POP3、SQL server、HTTP、IMAP3、SHELL、PRINTER、MYSQL、HTTPS、RTSP、SNMP、NFS、MOUNT等）等维度进行规则制定，对不同等级的特征可设置不同的动作，且可以设置例外特征ID，保证设置的例外特征不会被阻断并告警；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108" w:type="dxa"/>
            <w:bottom w:w="0" w:type="dxa"/>
            <w:right w:w="108" w:type="dxa"/>
          </w:tblCellMar>
        </w:tblPrEx>
        <w:trPr>
          <w:trHeight w:val="20" w:hRule="atLeast"/>
          <w:jc w:val="center"/>
        </w:trPr>
        <w:tc>
          <w:tcPr>
            <w:tcW w:w="1129" w:type="dxa"/>
            <w:vMerge w:val="continue"/>
            <w:tcBorders>
              <w:left w:val="single" w:color="auto" w:sz="4" w:space="0"/>
              <w:bottom w:val="single" w:color="000000" w:sz="6" w:space="0"/>
              <w:right w:val="single" w:color="auto" w:sz="4" w:space="0"/>
            </w:tcBorders>
            <w:shd w:val="clear" w:color="auto" w:fill="FFFFFF" w:themeFill="background1"/>
            <w:vAlign w:val="center"/>
          </w:tcPr>
          <w:p>
            <w:pPr>
              <w:rPr>
                <w:rFonts w:ascii="宋体" w:hAnsi="宋体" w:cs="宋体"/>
                <w:b/>
                <w:color w:val="auto"/>
                <w:kern w:val="0"/>
                <w:sz w:val="18"/>
                <w:szCs w:val="18"/>
              </w:rPr>
            </w:pP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 xml:space="preserve">支持畸形包攻击防范，支持针对协议漏洞的畸形包攻击防范，对LAND、死亡之Ping、IP分片重叠、UDP Fraggle、WinNuke、ICMP Smurf、Tear Drop等常见攻击的检测防御，并可根据用户自身安全需求设置相应防护策略；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vMerge w:val="restart"/>
            <w:tcBorders>
              <w:top w:val="single" w:color="000000" w:sz="6" w:space="0"/>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r>
              <w:rPr>
                <w:rFonts w:hint="eastAsia" w:ascii="宋体" w:hAnsi="宋体" w:cs="宋体"/>
                <w:b/>
                <w:color w:val="auto"/>
                <w:kern w:val="0"/>
                <w:sz w:val="18"/>
                <w:szCs w:val="18"/>
              </w:rPr>
              <w:t>未知威胁防护</w:t>
            </w: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具备虚拟环境检测引擎，通过在虚拟环境中运行文件，跟踪并记录其行为，基于大数据的统计分类及动态行为分析等技术，有效识别未知威胁；支持HTTP、FTP、SMB、POP3、IMAP、SMTP等协议，满足复杂网络需求下的未知威胁防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vMerge w:val="continue"/>
            <w:tcBorders>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color w:val="auto"/>
                <w:sz w:val="18"/>
                <w:szCs w:val="18"/>
              </w:rPr>
              <w:t>可识别多种文件类型，如压缩文件（rar、zip、tar、gz、tgz、z、cab、7z等）、文档文件（ppt、pot、pptx、doc、dot、docx、xls、xlsx、wps、pdf、rtf等）、其他文件（dll、exe、html、js、py、swf、swc等）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1129" w:type="dxa"/>
            <w:tcBorders>
              <w:left w:val="single" w:color="auto" w:sz="4" w:space="0"/>
              <w:right w:val="single" w:color="auto" w:sz="4" w:space="0"/>
            </w:tcBorders>
            <w:shd w:val="clear" w:color="auto" w:fill="FFFFFF" w:themeFill="background1"/>
            <w:vAlign w:val="center"/>
          </w:tcPr>
          <w:p>
            <w:pPr>
              <w:rPr>
                <w:rFonts w:ascii="宋体" w:hAnsi="宋体" w:cs="宋体"/>
                <w:b/>
                <w:color w:val="auto"/>
                <w:kern w:val="0"/>
                <w:sz w:val="18"/>
                <w:szCs w:val="18"/>
              </w:rPr>
            </w:pPr>
            <w:r>
              <w:rPr>
                <w:rFonts w:hint="eastAsia" w:ascii="宋体" w:hAnsi="宋体" w:cs="宋体"/>
                <w:b/>
                <w:color w:val="auto"/>
                <w:kern w:val="0"/>
                <w:sz w:val="18"/>
                <w:szCs w:val="18"/>
              </w:rPr>
              <w:t>设备管理</w:t>
            </w: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b/>
                <w:color w:val="auto"/>
                <w:sz w:val="18"/>
                <w:szCs w:val="18"/>
              </w:rPr>
              <w:t>★</w:t>
            </w:r>
            <w:r>
              <w:rPr>
                <w:rFonts w:hint="eastAsia" w:ascii="宋体" w:hAnsi="宋体" w:cs="宋体"/>
                <w:color w:val="auto"/>
                <w:sz w:val="18"/>
                <w:szCs w:val="18"/>
              </w:rPr>
              <w:t xml:space="preserve">可以被现有的安全管理平台所查看和管理，入侵防御生成的日志能够被安全管理平台所收集和展示，提供相关证明；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29" w:type="dxa"/>
            <w:tcBorders>
              <w:left w:val="single" w:color="auto" w:sz="4" w:space="0"/>
              <w:bottom w:val="single" w:color="000000" w:sz="6" w:space="0"/>
              <w:right w:val="single" w:color="auto" w:sz="4" w:space="0"/>
            </w:tcBorders>
            <w:shd w:val="clear" w:color="auto" w:fill="FFFFFF" w:themeFill="background1"/>
            <w:vAlign w:val="center"/>
          </w:tcPr>
          <w:p>
            <w:pPr>
              <w:rPr>
                <w:rFonts w:ascii="宋体" w:hAnsi="宋体" w:cs="宋体"/>
                <w:b/>
                <w:color w:val="auto"/>
                <w:kern w:val="0"/>
                <w:sz w:val="18"/>
                <w:szCs w:val="18"/>
              </w:rPr>
            </w:pPr>
            <w:r>
              <w:rPr>
                <w:rFonts w:hint="eastAsia" w:ascii="宋体" w:hAnsi="宋体" w:cs="宋体"/>
                <w:b/>
                <w:color w:val="auto"/>
                <w:kern w:val="0"/>
                <w:sz w:val="18"/>
                <w:szCs w:val="18"/>
              </w:rPr>
              <w:t>相关证书</w:t>
            </w:r>
          </w:p>
        </w:tc>
        <w:tc>
          <w:tcPr>
            <w:tcW w:w="7371" w:type="dxa"/>
            <w:tcBorders>
              <w:top w:val="single" w:color="000000" w:sz="6" w:space="0"/>
              <w:left w:val="single" w:color="auto" w:sz="4" w:space="0"/>
              <w:bottom w:val="single" w:color="000000" w:sz="6" w:space="0"/>
              <w:right w:val="single" w:color="auto" w:sz="4" w:space="0"/>
            </w:tcBorders>
            <w:shd w:val="clear" w:color="auto" w:fill="FFFFFF" w:themeFill="background1"/>
          </w:tcPr>
          <w:p>
            <w:pPr>
              <w:rPr>
                <w:rFonts w:ascii="宋体" w:hAnsi="宋体" w:cs="宋体"/>
                <w:color w:val="auto"/>
                <w:sz w:val="18"/>
                <w:szCs w:val="18"/>
              </w:rPr>
            </w:pPr>
            <w:r>
              <w:rPr>
                <w:rFonts w:hint="eastAsia" w:ascii="宋体" w:hAnsi="宋体" w:cs="宋体"/>
                <w:b/>
                <w:color w:val="auto"/>
                <w:sz w:val="18"/>
                <w:szCs w:val="18"/>
              </w:rPr>
              <w:t>★</w:t>
            </w:r>
            <w:r>
              <w:rPr>
                <w:rFonts w:hint="eastAsia" w:ascii="宋体" w:hAnsi="宋体" w:cs="宋体"/>
                <w:color w:val="auto"/>
                <w:sz w:val="18"/>
                <w:szCs w:val="18"/>
              </w:rPr>
              <w:t>产品入围《江苏省符合网络安全等级保护二级以上标准网络安全产品与服务推荐目录》</w:t>
            </w:r>
          </w:p>
          <w:p>
            <w:pPr>
              <w:rPr>
                <w:rFonts w:ascii="宋体" w:hAnsi="宋体" w:cs="宋体"/>
                <w:color w:val="auto"/>
                <w:sz w:val="18"/>
                <w:szCs w:val="18"/>
              </w:rPr>
            </w:pPr>
            <w:r>
              <w:rPr>
                <w:rFonts w:hint="eastAsia" w:ascii="宋体" w:hAnsi="宋体" w:cs="宋体"/>
                <w:b/>
                <w:color w:val="auto"/>
                <w:sz w:val="18"/>
                <w:szCs w:val="18"/>
              </w:rPr>
              <w:t>★</w:t>
            </w:r>
            <w:r>
              <w:rPr>
                <w:rFonts w:hint="eastAsia" w:ascii="宋体" w:hAnsi="宋体" w:cs="宋体"/>
                <w:color w:val="auto"/>
                <w:sz w:val="18"/>
                <w:szCs w:val="18"/>
              </w:rPr>
              <w:t>设备厂商具备中国通信企业协会颁发的《中国通信企业协会通信网络安全服务能力评定证书（风险评估一级）》</w:t>
            </w:r>
          </w:p>
          <w:p>
            <w:pPr>
              <w:rPr>
                <w:rFonts w:ascii="宋体" w:hAnsi="宋体" w:cs="宋体"/>
                <w:color w:val="auto"/>
                <w:sz w:val="18"/>
                <w:szCs w:val="18"/>
              </w:rPr>
            </w:pPr>
            <w:r>
              <w:rPr>
                <w:rFonts w:hint="eastAsia" w:ascii="宋体" w:hAnsi="宋体" w:cs="宋体"/>
                <w:b/>
                <w:color w:val="auto"/>
                <w:sz w:val="18"/>
                <w:szCs w:val="18"/>
              </w:rPr>
              <w:t>★</w:t>
            </w:r>
            <w:r>
              <w:rPr>
                <w:rFonts w:hint="eastAsia" w:ascii="宋体" w:hAnsi="宋体" w:cs="宋体"/>
                <w:color w:val="auto"/>
                <w:sz w:val="18"/>
                <w:szCs w:val="18"/>
              </w:rPr>
              <w:t>设备厂商备中国信息安全认证中心颁发的《信息安全应急处理一级》资质</w:t>
            </w:r>
          </w:p>
        </w:tc>
      </w:tr>
    </w:tbl>
    <w:p>
      <w:pPr>
        <w:rPr>
          <w:rFonts w:ascii="宋体" w:hAnsi="宋体" w:cs="宋体"/>
          <w:color w:val="auto"/>
          <w:sz w:val="18"/>
          <w:szCs w:val="18"/>
        </w:rPr>
      </w:pPr>
    </w:p>
    <w:p>
      <w:pPr>
        <w:rPr>
          <w:rFonts w:ascii="宋体" w:hAnsi="宋体" w:cs="宋体"/>
          <w:b/>
          <w:bCs/>
          <w:color w:val="auto"/>
          <w:sz w:val="18"/>
          <w:szCs w:val="18"/>
        </w:rPr>
      </w:pPr>
      <w:r>
        <w:rPr>
          <w:rFonts w:hint="eastAsia" w:ascii="宋体" w:hAnsi="宋体" w:cs="宋体"/>
          <w:b/>
          <w:bCs/>
          <w:color w:val="auto"/>
          <w:sz w:val="18"/>
          <w:szCs w:val="18"/>
        </w:rPr>
        <w:t xml:space="preserve">2.3.2 </w:t>
      </w:r>
      <w:r>
        <w:rPr>
          <w:rFonts w:hint="eastAsia" w:ascii="宋体" w:hAnsi="宋体" w:cs="宋体"/>
          <w:b/>
          <w:bCs/>
          <w:color w:val="auto"/>
          <w:kern w:val="0"/>
          <w:sz w:val="18"/>
          <w:szCs w:val="18"/>
        </w:rPr>
        <w:t>防毒墙</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Align w:val="center"/>
          </w:tcPr>
          <w:p>
            <w:pPr>
              <w:jc w:val="center"/>
              <w:rPr>
                <w:rFonts w:ascii="宋体" w:hAnsi="宋体" w:eastAsia="微软雅黑" w:cs="宋体"/>
                <w:b/>
                <w:color w:val="auto"/>
                <w:kern w:val="0"/>
                <w:sz w:val="18"/>
                <w:szCs w:val="18"/>
              </w:rPr>
            </w:pPr>
            <w:r>
              <w:rPr>
                <w:rFonts w:hint="eastAsia" w:ascii="宋体" w:hAnsi="宋体" w:eastAsia="微软雅黑" w:cs="宋体"/>
                <w:b/>
                <w:color w:val="auto"/>
                <w:kern w:val="0"/>
                <w:sz w:val="18"/>
                <w:szCs w:val="18"/>
              </w:rPr>
              <w:t>指标类型</w:t>
            </w:r>
          </w:p>
        </w:tc>
        <w:tc>
          <w:tcPr>
            <w:tcW w:w="3855" w:type="pct"/>
            <w:vAlign w:val="center"/>
          </w:tcPr>
          <w:p>
            <w:pPr>
              <w:jc w:val="center"/>
              <w:rPr>
                <w:rFonts w:ascii="宋体" w:hAnsi="宋体" w:eastAsia="微软雅黑" w:cs="宋体"/>
                <w:b/>
                <w:color w:val="auto"/>
                <w:kern w:val="0"/>
                <w:sz w:val="18"/>
                <w:szCs w:val="18"/>
              </w:rPr>
            </w:pPr>
            <w:r>
              <w:rPr>
                <w:rFonts w:hint="eastAsia" w:ascii="宋体" w:hAnsi="宋体" w:eastAsia="微软雅黑" w:cs="宋体"/>
                <w:b/>
                <w:color w:val="auto"/>
                <w:kern w:val="0"/>
                <w:sz w:val="18"/>
                <w:szCs w:val="1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Align w:val="center"/>
          </w:tcPr>
          <w:p>
            <w:pPr>
              <w:jc w:val="center"/>
              <w:rPr>
                <w:rFonts w:ascii="宋体" w:hAnsi="宋体" w:eastAsia="微软雅黑" w:cs="宋体"/>
                <w:b/>
                <w:color w:val="auto"/>
                <w:kern w:val="0"/>
                <w:sz w:val="18"/>
                <w:szCs w:val="18"/>
              </w:rPr>
            </w:pPr>
            <w:r>
              <w:rPr>
                <w:rFonts w:hint="eastAsia" w:ascii="宋体" w:hAnsi="宋体" w:eastAsia="微软雅黑" w:cs="宋体"/>
                <w:b/>
                <w:color w:val="auto"/>
                <w:kern w:val="0"/>
                <w:sz w:val="18"/>
                <w:szCs w:val="18"/>
              </w:rPr>
              <w:t>产品规格</w:t>
            </w:r>
          </w:p>
        </w:tc>
        <w:tc>
          <w:tcPr>
            <w:tcW w:w="3855" w:type="pct"/>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1U标准机架设备，专用平台，设备配置≥6个电口，支持Bypass ，1个console管理口；设备配置性能吞吐量≥2G，防病毒吞吐量≥600M，最大并发连接数≥180W，每秒新建连接数≥12000；三年病毒库升级，硬件保修和技术支持服务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restart"/>
            <w:vAlign w:val="center"/>
          </w:tcPr>
          <w:p>
            <w:pPr>
              <w:jc w:val="center"/>
              <w:rPr>
                <w:rFonts w:ascii="宋体" w:hAnsi="宋体" w:eastAsia="微软雅黑" w:cs="宋体"/>
                <w:b/>
                <w:color w:val="auto"/>
                <w:kern w:val="0"/>
                <w:sz w:val="18"/>
                <w:szCs w:val="18"/>
              </w:rPr>
            </w:pPr>
            <w:r>
              <w:rPr>
                <w:rFonts w:hint="eastAsia" w:ascii="宋体" w:hAnsi="宋体" w:eastAsia="微软雅黑" w:cs="宋体"/>
                <w:b/>
                <w:bCs/>
                <w:color w:val="auto"/>
                <w:kern w:val="0"/>
                <w:sz w:val="18"/>
                <w:szCs w:val="18"/>
              </w:rPr>
              <w:t>网络功能</w:t>
            </w:r>
          </w:p>
        </w:tc>
        <w:tc>
          <w:tcPr>
            <w:tcW w:w="3855" w:type="pct"/>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支持IPv6地址、地址组配置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b/>
                <w:color w:val="auto"/>
                <w:kern w:val="0"/>
                <w:sz w:val="18"/>
                <w:szCs w:val="18"/>
              </w:rPr>
              <w:t>★</w:t>
            </w:r>
            <w:r>
              <w:rPr>
                <w:rFonts w:hint="eastAsia" w:ascii="宋体" w:hAnsi="宋体" w:eastAsia="微软雅黑" w:cs="宋体"/>
                <w:color w:val="auto"/>
                <w:kern w:val="0"/>
                <w:sz w:val="18"/>
                <w:szCs w:val="18"/>
              </w:rPr>
              <w:t>可支持多出口路由情况下的默认路由备份、负载均衡</w:t>
            </w:r>
            <w:r>
              <w:rPr>
                <w:rFonts w:hint="eastAsia" w:ascii="宋体" w:hAnsi="宋体" w:eastAsia="微软雅黑" w:cs="宋体"/>
                <w:b/>
                <w:color w:val="auto"/>
                <w:kern w:val="0"/>
                <w:sz w:val="18"/>
                <w:szCs w:val="18"/>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bCs/>
                <w:color w:val="auto"/>
                <w:kern w:val="0"/>
                <w:sz w:val="18"/>
                <w:szCs w:val="18"/>
              </w:rPr>
              <w:t>支持ISP路由，支持联通、电信、教育网、移动等ISP服务商地址列表，列表可导出及导入，可通过Web界面选择不同的ISP服务商实现快速切换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b/>
                <w:color w:val="auto"/>
                <w:kern w:val="0"/>
                <w:sz w:val="18"/>
                <w:szCs w:val="18"/>
              </w:rPr>
              <w:t>★</w:t>
            </w:r>
            <w:r>
              <w:rPr>
                <w:rFonts w:hint="eastAsia" w:ascii="宋体" w:hAnsi="宋体" w:eastAsia="微软雅黑" w:cs="宋体"/>
                <w:bCs/>
                <w:color w:val="auto"/>
                <w:kern w:val="0"/>
                <w:sz w:val="18"/>
                <w:szCs w:val="18"/>
              </w:rPr>
              <w:t>支持区域地址所属查询，能针对国外地址进行有效防护和管理</w:t>
            </w:r>
            <w:r>
              <w:rPr>
                <w:rFonts w:hint="eastAsia" w:ascii="宋体" w:hAnsi="宋体" w:eastAsia="微软雅黑" w:cs="宋体"/>
                <w:b/>
                <w:color w:val="auto"/>
                <w:kern w:val="0"/>
                <w:sz w:val="18"/>
                <w:szCs w:val="18"/>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vAlign w:val="center"/>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支持基于IEEE 802.1Q和Cisco ISL的两种VLAN封装协议，两种封装可任意切换，并支持Vlan Trunk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vAlign w:val="center"/>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各种工作模式下均支持H.323（H.323 GK）、SIP、FTP、MMS、RTSP、XDMCP、TNS等多种动态协议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restart"/>
            <w:vAlign w:val="center"/>
          </w:tcPr>
          <w:p>
            <w:pPr>
              <w:jc w:val="center"/>
              <w:rPr>
                <w:rFonts w:ascii="宋体" w:hAnsi="宋体" w:eastAsia="微软雅黑" w:cs="宋体"/>
                <w:color w:val="auto"/>
                <w:kern w:val="0"/>
                <w:sz w:val="18"/>
                <w:szCs w:val="18"/>
              </w:rPr>
            </w:pPr>
            <w:r>
              <w:rPr>
                <w:rFonts w:hint="eastAsia" w:ascii="宋体" w:hAnsi="宋体" w:eastAsia="微软雅黑" w:cs="宋体"/>
                <w:b/>
                <w:color w:val="auto"/>
                <w:kern w:val="0"/>
                <w:sz w:val="18"/>
                <w:szCs w:val="18"/>
              </w:rPr>
              <w:t>★</w:t>
            </w:r>
            <w:r>
              <w:rPr>
                <w:rFonts w:hint="eastAsia" w:ascii="宋体" w:hAnsi="宋体" w:eastAsia="微软雅黑" w:cs="宋体"/>
                <w:b/>
                <w:bCs/>
                <w:color w:val="auto"/>
                <w:kern w:val="0"/>
                <w:sz w:val="18"/>
                <w:szCs w:val="18"/>
              </w:rPr>
              <w:t>防病毒</w:t>
            </w:r>
          </w:p>
          <w:p>
            <w:pPr>
              <w:jc w:val="center"/>
              <w:rPr>
                <w:rFonts w:ascii="宋体" w:hAnsi="宋体" w:eastAsia="微软雅黑" w:cs="宋体"/>
                <w:color w:val="auto"/>
                <w:kern w:val="0"/>
                <w:sz w:val="18"/>
                <w:szCs w:val="18"/>
              </w:rPr>
            </w:pPr>
            <w:r>
              <w:rPr>
                <w:rFonts w:hint="eastAsia" w:ascii="宋体" w:hAnsi="宋体" w:eastAsia="微软雅黑" w:cs="宋体"/>
                <w:b/>
                <w:color w:val="auto"/>
                <w:kern w:val="0"/>
                <w:sz w:val="18"/>
                <w:szCs w:val="18"/>
              </w:rPr>
              <w:t>（提供证明）</w:t>
            </w:r>
          </w:p>
          <w:p>
            <w:pPr>
              <w:jc w:val="cente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病毒库不少于600万种病毒特征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bCs/>
                <w:color w:val="auto"/>
                <w:kern w:val="0"/>
                <w:sz w:val="18"/>
                <w:szCs w:val="18"/>
              </w:rPr>
              <w:t>支持IPv4和IPv6双栈协议下的病毒扫描与防护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bCs/>
                <w:color w:val="auto"/>
                <w:kern w:val="0"/>
                <w:sz w:val="18"/>
                <w:szCs w:val="18"/>
              </w:rPr>
              <w:t>支持基于策略的病毒扫描与防护，可针对不同的源目IP地址、源MAC地址、服务、时间、安全域、用户等，采用不同的病毒防护策略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支持常见WEB邮件系统的病毒防护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支持过滤邮件病毒、文件病毒、恶意网页代码、木马后门、蠕虫等多种类型的病毒。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bCs/>
                <w:color w:val="auto"/>
                <w:kern w:val="0"/>
                <w:sz w:val="18"/>
                <w:szCs w:val="18"/>
              </w:rPr>
              <w:t>支持多接口可旁路的病毒文件传输监听检测方式，可并行监听并检测多个接口、多个网段内的病毒传输行为，用于高可靠性要求的旁路应用环境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bCs/>
                <w:color w:val="auto"/>
                <w:kern w:val="0"/>
                <w:sz w:val="18"/>
                <w:szCs w:val="18"/>
              </w:rPr>
            </w:pPr>
            <w:r>
              <w:rPr>
                <w:rFonts w:hint="eastAsia" w:ascii="宋体" w:hAnsi="宋体" w:eastAsia="微软雅黑" w:cs="宋体"/>
                <w:color w:val="auto"/>
                <w:kern w:val="0"/>
                <w:sz w:val="18"/>
                <w:szCs w:val="18"/>
              </w:rPr>
              <w:t>支持主动防御功能，对服务器、主机进行后门、服务探测、文件共享、系统补丁、IE漏洞等主动式扫描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支持周、月定时漏洞扫描设置，及一次性漏洞扫描设置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color w:val="auto"/>
                <w:kern w:val="0"/>
                <w:sz w:val="18"/>
                <w:szCs w:val="18"/>
              </w:rPr>
            </w:pPr>
          </w:p>
        </w:tc>
        <w:tc>
          <w:tcPr>
            <w:tcW w:w="3855" w:type="pct"/>
          </w:tcPr>
          <w:p>
            <w:pPr>
              <w:tabs>
                <w:tab w:val="left" w:pos="744"/>
              </w:tabs>
              <w:rPr>
                <w:rFonts w:ascii="宋体" w:hAnsi="宋体" w:eastAsia="微软雅黑" w:cs="宋体"/>
                <w:color w:val="auto"/>
                <w:kern w:val="0"/>
                <w:sz w:val="18"/>
                <w:szCs w:val="18"/>
              </w:rPr>
            </w:pPr>
            <w:r>
              <w:rPr>
                <w:rFonts w:hint="eastAsia" w:ascii="宋体" w:hAnsi="宋体" w:eastAsia="微软雅黑" w:cs="宋体"/>
                <w:bCs/>
                <w:color w:val="auto"/>
                <w:kern w:val="0"/>
                <w:sz w:val="18"/>
                <w:szCs w:val="18"/>
              </w:rPr>
              <w:t>支持安全事件类型排名统计，呈现网络当前的主要威胁类型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restart"/>
            <w:vAlign w:val="center"/>
          </w:tcPr>
          <w:p>
            <w:pPr>
              <w:jc w:val="center"/>
              <w:rPr>
                <w:rFonts w:ascii="宋体" w:hAnsi="宋体" w:eastAsia="微软雅黑" w:cs="宋体"/>
                <w:color w:val="auto"/>
                <w:kern w:val="0"/>
                <w:sz w:val="18"/>
                <w:szCs w:val="18"/>
              </w:rPr>
            </w:pPr>
            <w:r>
              <w:rPr>
                <w:rFonts w:hint="eastAsia" w:ascii="宋体" w:hAnsi="宋体" w:eastAsia="微软雅黑" w:cs="宋体"/>
                <w:b/>
                <w:bCs/>
                <w:color w:val="auto"/>
                <w:kern w:val="0"/>
                <w:sz w:val="18"/>
                <w:szCs w:val="18"/>
              </w:rPr>
              <w:t>抗拒绝服务攻击</w:t>
            </w:r>
          </w:p>
        </w:tc>
        <w:tc>
          <w:tcPr>
            <w:tcW w:w="3855" w:type="pct"/>
            <w:vAlign w:val="center"/>
          </w:tcPr>
          <w:p>
            <w:pPr>
              <w:jc w:val="left"/>
              <w:rPr>
                <w:rFonts w:ascii="宋体" w:hAnsi="宋体" w:eastAsia="微软雅黑" w:cs="宋体"/>
                <w:color w:val="auto"/>
                <w:kern w:val="0"/>
                <w:sz w:val="18"/>
                <w:szCs w:val="18"/>
              </w:rPr>
            </w:pPr>
            <w:r>
              <w:rPr>
                <w:rFonts w:hint="eastAsia" w:ascii="宋体" w:hAnsi="宋体" w:eastAsia="微软雅黑" w:cs="宋体"/>
                <w:b/>
                <w:color w:val="auto"/>
                <w:kern w:val="0"/>
                <w:sz w:val="18"/>
                <w:szCs w:val="18"/>
              </w:rPr>
              <w:t>★</w:t>
            </w:r>
            <w:r>
              <w:rPr>
                <w:rFonts w:hint="eastAsia" w:ascii="宋体" w:hAnsi="宋体" w:eastAsia="微软雅黑" w:cs="宋体"/>
                <w:color w:val="auto"/>
                <w:kern w:val="0"/>
                <w:sz w:val="18"/>
                <w:szCs w:val="18"/>
              </w:rPr>
              <w:t>支持主流ICMPFLOOD\SYNFLOOD\ACKFLOOD\SYNACKFLOOD\UDPFLOOD攻击防护，采用专业高效攻击防护算法，非采用简单的阈值进行攻击防护</w:t>
            </w:r>
            <w:r>
              <w:rPr>
                <w:rFonts w:hint="eastAsia" w:ascii="宋体" w:hAnsi="宋体" w:eastAsia="微软雅黑" w:cs="宋体"/>
                <w:b/>
                <w:color w:val="auto"/>
                <w:kern w:val="0"/>
                <w:sz w:val="18"/>
                <w:szCs w:val="18"/>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b/>
                <w:bCs/>
                <w:color w:val="auto"/>
                <w:kern w:val="0"/>
                <w:sz w:val="18"/>
                <w:szCs w:val="18"/>
              </w:rPr>
            </w:pPr>
          </w:p>
        </w:tc>
        <w:tc>
          <w:tcPr>
            <w:tcW w:w="3855" w:type="pct"/>
            <w:vAlign w:val="center"/>
          </w:tcPr>
          <w:p>
            <w:pPr>
              <w:rPr>
                <w:rFonts w:ascii="宋体" w:hAnsi="宋体" w:eastAsia="微软雅黑" w:cs="宋体"/>
                <w:bCs/>
                <w:color w:val="auto"/>
                <w:kern w:val="0"/>
                <w:sz w:val="18"/>
                <w:szCs w:val="18"/>
              </w:rPr>
            </w:pPr>
            <w:r>
              <w:rPr>
                <w:rFonts w:hint="eastAsia" w:ascii="宋体" w:hAnsi="宋体" w:eastAsia="微软雅黑" w:cs="宋体"/>
                <w:bCs/>
                <w:color w:val="auto"/>
                <w:kern w:val="0"/>
                <w:sz w:val="18"/>
                <w:szCs w:val="18"/>
              </w:rPr>
              <w:t>支持专业的DNSflood攻击防护，具有高级的基于聚类限速、聚类分析、重传检测等多种高级防护算法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b/>
                <w:bCs/>
                <w:color w:val="auto"/>
                <w:kern w:val="0"/>
                <w:sz w:val="18"/>
                <w:szCs w:val="18"/>
              </w:rPr>
            </w:pPr>
          </w:p>
        </w:tc>
        <w:tc>
          <w:tcPr>
            <w:tcW w:w="3855" w:type="pct"/>
            <w:vAlign w:val="center"/>
          </w:tcPr>
          <w:p>
            <w:pPr>
              <w:rPr>
                <w:rFonts w:ascii="宋体" w:hAnsi="宋体" w:eastAsia="微软雅黑" w:cs="宋体"/>
                <w:bCs/>
                <w:color w:val="auto"/>
                <w:kern w:val="0"/>
                <w:sz w:val="18"/>
                <w:szCs w:val="18"/>
              </w:rPr>
            </w:pPr>
            <w:r>
              <w:rPr>
                <w:rFonts w:hint="eastAsia" w:ascii="宋体" w:hAnsi="宋体" w:eastAsia="微软雅黑" w:cs="宋体"/>
                <w:bCs/>
                <w:color w:val="auto"/>
                <w:kern w:val="0"/>
                <w:sz w:val="18"/>
                <w:szCs w:val="18"/>
              </w:rPr>
              <w:t>支持攻击流量统计、攻击事件统计、攻击流量排行、攻击事件排行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b/>
                <w:bCs/>
                <w:color w:val="auto"/>
                <w:kern w:val="0"/>
                <w:sz w:val="18"/>
                <w:szCs w:val="18"/>
              </w:rPr>
            </w:pPr>
          </w:p>
        </w:tc>
        <w:tc>
          <w:tcPr>
            <w:tcW w:w="3855" w:type="pct"/>
            <w:vAlign w:val="center"/>
          </w:tcPr>
          <w:p>
            <w:pPr>
              <w:rPr>
                <w:rFonts w:ascii="宋体" w:hAnsi="宋体" w:eastAsia="微软雅黑" w:cs="宋体"/>
                <w:bCs/>
                <w:color w:val="auto"/>
                <w:kern w:val="0"/>
                <w:sz w:val="18"/>
                <w:szCs w:val="18"/>
              </w:rPr>
            </w:pPr>
            <w:r>
              <w:rPr>
                <w:rFonts w:hint="eastAsia" w:ascii="宋体" w:hAnsi="宋体" w:eastAsia="微软雅黑" w:cs="宋体"/>
                <w:bCs/>
                <w:color w:val="auto"/>
                <w:kern w:val="0"/>
                <w:sz w:val="18"/>
                <w:szCs w:val="18"/>
              </w:rPr>
              <w:t>支持web界面下对攻击流量进行抓包分析，支持自定义抓包参数，至少包括数据报文长度、报文数量、抓包时间及采样频率等基本参数；支持根据协议、源目的IP、端口等参数进行数据报文过滤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b/>
                <w:bCs/>
                <w:color w:val="auto"/>
                <w:kern w:val="0"/>
                <w:sz w:val="18"/>
                <w:szCs w:val="18"/>
              </w:rPr>
            </w:pPr>
          </w:p>
        </w:tc>
        <w:tc>
          <w:tcPr>
            <w:tcW w:w="3855" w:type="pct"/>
            <w:vAlign w:val="center"/>
          </w:tcPr>
          <w:p>
            <w:pPr>
              <w:rPr>
                <w:rFonts w:ascii="宋体" w:hAnsi="宋体" w:eastAsia="微软雅黑" w:cs="宋体"/>
                <w:b/>
                <w:bCs/>
                <w:color w:val="auto"/>
                <w:kern w:val="0"/>
                <w:sz w:val="18"/>
                <w:szCs w:val="18"/>
              </w:rPr>
            </w:pPr>
            <w:r>
              <w:rPr>
                <w:rFonts w:hint="eastAsia" w:ascii="宋体" w:hAnsi="宋体" w:eastAsia="微软雅黑" w:cs="宋体"/>
                <w:b/>
                <w:color w:val="auto"/>
                <w:kern w:val="0"/>
                <w:sz w:val="18"/>
                <w:szCs w:val="18"/>
              </w:rPr>
              <w:t>★</w:t>
            </w:r>
            <w:r>
              <w:rPr>
                <w:rFonts w:hint="eastAsia" w:ascii="宋体" w:hAnsi="宋体" w:eastAsia="微软雅黑" w:cs="宋体"/>
                <w:color w:val="auto"/>
                <w:kern w:val="0"/>
                <w:sz w:val="18"/>
                <w:szCs w:val="18"/>
              </w:rPr>
              <w:t>支持紧急、报警、通知、等8个级别，端口联动、VPN、URL过滤等28个小类的自定义日志统计</w:t>
            </w:r>
            <w:r>
              <w:rPr>
                <w:rFonts w:hint="eastAsia" w:ascii="宋体" w:hAnsi="宋体" w:eastAsia="微软雅黑" w:cs="宋体"/>
                <w:b/>
                <w:color w:val="auto"/>
                <w:kern w:val="0"/>
                <w:sz w:val="18"/>
                <w:szCs w:val="18"/>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restart"/>
            <w:vAlign w:val="center"/>
          </w:tcPr>
          <w:p>
            <w:pPr>
              <w:jc w:val="center"/>
              <w:rPr>
                <w:rFonts w:ascii="宋体" w:hAnsi="宋体" w:eastAsia="微软雅黑" w:cs="宋体"/>
                <w:b/>
                <w:bCs/>
                <w:color w:val="auto"/>
                <w:kern w:val="0"/>
                <w:sz w:val="18"/>
                <w:szCs w:val="18"/>
              </w:rPr>
            </w:pPr>
            <w:r>
              <w:rPr>
                <w:rFonts w:hint="eastAsia" w:ascii="宋体" w:hAnsi="宋体" w:eastAsia="微软雅黑" w:cs="宋体"/>
                <w:b/>
                <w:bCs/>
                <w:color w:val="auto"/>
                <w:kern w:val="0"/>
                <w:sz w:val="18"/>
                <w:szCs w:val="18"/>
              </w:rPr>
              <w:t>反垃圾邮件</w:t>
            </w:r>
          </w:p>
        </w:tc>
        <w:tc>
          <w:tcPr>
            <w:tcW w:w="3855" w:type="pct"/>
            <w:vAlign w:val="center"/>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支持SMTP, POP协议下的垃圾邮件检测，支持基于反中转的垃圾邮件识别和过滤。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Merge w:val="continue"/>
          </w:tcPr>
          <w:p>
            <w:pPr>
              <w:rPr>
                <w:rFonts w:ascii="宋体" w:hAnsi="宋体" w:eastAsia="微软雅黑" w:cs="宋体"/>
                <w:b/>
                <w:bCs/>
                <w:color w:val="auto"/>
                <w:kern w:val="0"/>
                <w:sz w:val="18"/>
                <w:szCs w:val="18"/>
              </w:rPr>
            </w:pPr>
          </w:p>
        </w:tc>
        <w:tc>
          <w:tcPr>
            <w:tcW w:w="3855" w:type="pct"/>
            <w:vAlign w:val="center"/>
          </w:tcPr>
          <w:p>
            <w:pPr>
              <w:rPr>
                <w:rFonts w:ascii="宋体" w:hAnsi="宋体" w:eastAsia="微软雅黑" w:cs="宋体"/>
                <w:color w:val="auto"/>
                <w:kern w:val="0"/>
                <w:sz w:val="18"/>
                <w:szCs w:val="18"/>
              </w:rPr>
            </w:pPr>
            <w:r>
              <w:rPr>
                <w:rFonts w:hint="eastAsia" w:ascii="宋体" w:hAnsi="宋体" w:eastAsia="微软雅黑" w:cs="宋体"/>
                <w:color w:val="auto"/>
                <w:kern w:val="0"/>
                <w:sz w:val="18"/>
                <w:szCs w:val="18"/>
              </w:rPr>
              <w:t>支持设置中断连接、记录日志，在邮件中标示垃圾邮件等动作。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vAlign w:val="center"/>
          </w:tcPr>
          <w:p>
            <w:pPr>
              <w:jc w:val="center"/>
              <w:rPr>
                <w:rFonts w:ascii="宋体" w:hAnsi="宋体" w:eastAsia="微软雅黑" w:cs="宋体"/>
                <w:b/>
                <w:bCs/>
                <w:color w:val="auto"/>
                <w:kern w:val="0"/>
                <w:sz w:val="18"/>
                <w:szCs w:val="18"/>
              </w:rPr>
            </w:pPr>
            <w:r>
              <w:rPr>
                <w:rFonts w:hint="eastAsia" w:ascii="宋体" w:hAnsi="宋体" w:eastAsia="微软雅黑" w:cs="宋体"/>
                <w:b/>
                <w:bCs/>
                <w:color w:val="auto"/>
                <w:kern w:val="0"/>
                <w:sz w:val="18"/>
                <w:szCs w:val="18"/>
              </w:rPr>
              <w:t>产品资质</w:t>
            </w:r>
          </w:p>
        </w:tc>
        <w:tc>
          <w:tcPr>
            <w:tcW w:w="3855" w:type="pct"/>
            <w:vAlign w:val="center"/>
          </w:tcPr>
          <w:p>
            <w:pPr>
              <w:rPr>
                <w:rFonts w:ascii="宋体" w:hAnsi="宋体" w:eastAsia="微软雅黑" w:cs="宋体"/>
                <w:b/>
                <w:bCs/>
                <w:color w:val="auto"/>
                <w:kern w:val="0"/>
                <w:sz w:val="18"/>
                <w:szCs w:val="18"/>
              </w:rPr>
            </w:pPr>
            <w:r>
              <w:rPr>
                <w:rFonts w:hint="eastAsia" w:ascii="宋体" w:hAnsi="宋体" w:eastAsia="微软雅黑" w:cs="宋体"/>
                <w:b/>
                <w:color w:val="auto"/>
                <w:kern w:val="0"/>
                <w:sz w:val="18"/>
                <w:szCs w:val="18"/>
              </w:rPr>
              <w:t>★</w:t>
            </w:r>
            <w:r>
              <w:rPr>
                <w:rFonts w:hint="eastAsia" w:ascii="宋体" w:hAnsi="宋体" w:eastAsia="微软雅黑" w:cs="宋体"/>
                <w:color w:val="auto"/>
                <w:kern w:val="0"/>
                <w:sz w:val="18"/>
                <w:szCs w:val="18"/>
              </w:rPr>
              <w:t>产品具有</w:t>
            </w:r>
            <w:r>
              <w:rPr>
                <w:rFonts w:hint="eastAsia" w:ascii="宋体" w:hAnsi="宋体" w:eastAsia="微软雅黑" w:cs="宋体"/>
                <w:color w:val="auto"/>
                <w:kern w:val="0"/>
                <w:sz w:val="18"/>
                <w:szCs w:val="18"/>
              </w:rPr>
              <w:t>公安部颁发的《计算机信息系统安全专用产品销售许可证》</w:t>
            </w:r>
          </w:p>
        </w:tc>
      </w:tr>
    </w:tbl>
    <w:p>
      <w:pPr>
        <w:rPr>
          <w:rFonts w:ascii="宋体" w:hAnsi="宋体" w:cs="宋体"/>
          <w:b/>
          <w:bCs/>
          <w:color w:val="auto"/>
          <w:sz w:val="18"/>
          <w:szCs w:val="18"/>
        </w:rPr>
      </w:pPr>
      <w:r>
        <w:rPr>
          <w:rFonts w:hint="eastAsia" w:ascii="宋体" w:hAnsi="宋体" w:cs="宋体"/>
          <w:b/>
          <w:bCs/>
          <w:color w:val="auto"/>
          <w:sz w:val="18"/>
          <w:szCs w:val="18"/>
        </w:rPr>
        <w:t>2.3.3 堡垒机</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7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Align w:val="center"/>
          </w:tcPr>
          <w:p>
            <w:pPr>
              <w:jc w:val="center"/>
              <w:rPr>
                <w:rFonts w:ascii="宋体" w:hAnsi="宋体" w:cs="宋体"/>
                <w:b/>
                <w:color w:val="auto"/>
                <w:sz w:val="18"/>
                <w:szCs w:val="18"/>
              </w:rPr>
            </w:pPr>
            <w:r>
              <w:rPr>
                <w:rFonts w:hint="eastAsia" w:ascii="宋体" w:hAnsi="宋体" w:cs="宋体"/>
                <w:b/>
                <w:color w:val="auto"/>
                <w:sz w:val="18"/>
                <w:szCs w:val="18"/>
              </w:rPr>
              <w:t>指标类型</w:t>
            </w:r>
          </w:p>
        </w:tc>
        <w:tc>
          <w:tcPr>
            <w:tcW w:w="4057" w:type="pct"/>
            <w:vAlign w:val="center"/>
          </w:tcPr>
          <w:p>
            <w:pPr>
              <w:jc w:val="center"/>
              <w:rPr>
                <w:rFonts w:ascii="宋体" w:hAnsi="宋体" w:cs="宋体"/>
                <w:b/>
                <w:color w:val="auto"/>
                <w:sz w:val="18"/>
                <w:szCs w:val="18"/>
              </w:rPr>
            </w:pPr>
            <w:r>
              <w:rPr>
                <w:rFonts w:hint="eastAsia" w:ascii="宋体" w:hAnsi="宋体" w:cs="宋体"/>
                <w:b/>
                <w:color w:val="auto"/>
                <w:sz w:val="18"/>
                <w:szCs w:val="1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43" w:type="pct"/>
            <w:vAlign w:val="center"/>
          </w:tcPr>
          <w:p>
            <w:pPr>
              <w:jc w:val="center"/>
              <w:rPr>
                <w:rFonts w:ascii="宋体" w:hAnsi="宋体" w:cs="宋体"/>
                <w:b/>
                <w:color w:val="auto"/>
                <w:sz w:val="18"/>
                <w:szCs w:val="18"/>
              </w:rPr>
            </w:pPr>
            <w:r>
              <w:rPr>
                <w:rFonts w:hint="eastAsia" w:ascii="宋体" w:hAnsi="宋体" w:cs="宋体"/>
                <w:b/>
                <w:color w:val="auto"/>
                <w:sz w:val="18"/>
                <w:szCs w:val="18"/>
              </w:rPr>
              <w:t>产品规格</w:t>
            </w:r>
          </w:p>
        </w:tc>
        <w:tc>
          <w:tcPr>
            <w:tcW w:w="4057" w:type="pct"/>
          </w:tcPr>
          <w:p>
            <w:pPr>
              <w:rPr>
                <w:rFonts w:ascii="宋体" w:hAnsi="宋体" w:cs="宋体"/>
                <w:color w:val="auto"/>
                <w:sz w:val="18"/>
                <w:szCs w:val="18"/>
              </w:rPr>
            </w:pPr>
            <w:r>
              <w:rPr>
                <w:rFonts w:hint="eastAsia" w:ascii="宋体" w:hAnsi="宋体" w:cs="宋体"/>
                <w:color w:val="auto"/>
                <w:sz w:val="18"/>
                <w:szCs w:val="18"/>
              </w:rPr>
              <w:t>1U标准机架设备，采用通用安全平台，设备配置字符协议数≥700个或图形协议数200个；设备配置≥6个千兆电口，1个console管理口，硬盘容量≥1TB，此次配置≥50个被管资源数授权，三年硬件保修和技术支持服务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部署方式</w:t>
            </w: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物理旁路，逻辑串联模式，不影响正常业务流量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 xml:space="preserve">分布式部署：支持添加一台或多台协议代理服务器，分担审计中心性能压力；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43" w:type="pct"/>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支持协议审计</w:t>
            </w: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字符协议：SSHv1、SSHv2、TELNET、RLOGIN/图形协议：RDP、VNC、X11/文件传输协议：FTP、SFTP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数据库协议：支持Oracle、MS SQL Server、IBM DB2、Sybase、IBM Informix Dynamic Server、MySQL、PostgreSQL、TeraData等数据库类型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3" w:type="pct"/>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访问方式</w:t>
            </w: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支持运维客户端功能，运维操作过程不依赖浏览器和JAVA环境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支持通过堡垒机web页面内嵌SSH、FTP、TELNET运维工具访问目标资源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支持通过堡垒机web页面调用本地工具访问目标资源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RDP协议支持windows服务端开启安全层SSL加密，加密级别符合FIPS标准，允许运行使用网络级别身份验证的远程桌面的计算机连接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★管理功能</w:t>
            </w:r>
          </w:p>
          <w:p>
            <w:pPr>
              <w:jc w:val="center"/>
              <w:rPr>
                <w:rFonts w:ascii="宋体" w:hAnsi="宋体" w:cs="宋体"/>
                <w:b/>
                <w:color w:val="auto"/>
                <w:sz w:val="18"/>
                <w:szCs w:val="18"/>
              </w:rPr>
            </w:pPr>
            <w:r>
              <w:rPr>
                <w:rFonts w:hint="eastAsia" w:ascii="宋体" w:hAnsi="宋体" w:cs="宋体"/>
                <w:b/>
                <w:color w:val="auto"/>
                <w:sz w:val="18"/>
                <w:szCs w:val="18"/>
              </w:rPr>
              <w:t>（提供证明）</w:t>
            </w: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 xml:space="preserve">支持数据库协议自动改密，改密类型支持：Oracle、PostgreSQL、MySql、DB2、Informix 、SYBASE，Mssql(2005,2008,2012)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支持Oracle、postgresql、sybase、mysql、sqlserver数据库下行返回行数和oracle数据库变量绑定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访问和监控功能</w:t>
            </w: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基本认证：本地账号+密码认证；内置USB-KEY和动态口令卡，无需再单独配置服务器；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支持TELNET、SSH协议资源使用普通用户登录自动切换到root账号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按用户、目标设备、系统帐号、命令集和生效时间等内容或按访问授权策略设定安全事件规则；支持指令黑白名单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支持运维用户和用户组的管理，包括添加、修改、删除、启用/停用、移动资源和移除组成员功能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RDP图形操作过程中键盘输入操作记录和鼠标点击行为记录，支持开启或关闭键盘输入审计功能，支持RDP窗口标题审计，并支持窗口标题内容检索定位回放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实时监控当前连接发生的所有会话信息和阻断功能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实时监控审计系统CPU、内存、磁盘的使用情况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记录审计系统自身的管理操作，保障审计系统自身安全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★产品资质</w:t>
            </w:r>
          </w:p>
          <w:p>
            <w:pPr>
              <w:jc w:val="center"/>
              <w:rPr>
                <w:rFonts w:ascii="宋体" w:hAnsi="宋体" w:cs="宋体"/>
                <w:b/>
                <w:color w:val="auto"/>
                <w:sz w:val="18"/>
                <w:szCs w:val="18"/>
              </w:rPr>
            </w:pPr>
            <w:r>
              <w:rPr>
                <w:rFonts w:hint="eastAsia" w:ascii="宋体" w:hAnsi="宋体" w:cs="宋体"/>
                <w:b/>
                <w:color w:val="auto"/>
                <w:sz w:val="18"/>
                <w:szCs w:val="18"/>
              </w:rPr>
              <w:t>（提供证明）</w:t>
            </w: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产品具有公安部颁发《计算机信息系统安全专用产品销售许可证》运维安全管理产品（增强级）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43" w:type="pct"/>
            <w:vMerge w:val="continue"/>
            <w:vAlign w:val="center"/>
          </w:tcPr>
          <w:p>
            <w:pPr>
              <w:jc w:val="center"/>
              <w:rPr>
                <w:rFonts w:ascii="宋体" w:hAnsi="宋体" w:cs="宋体"/>
                <w:b/>
                <w:bCs/>
                <w:color w:val="auto"/>
                <w:sz w:val="18"/>
                <w:szCs w:val="18"/>
              </w:rPr>
            </w:pPr>
          </w:p>
        </w:tc>
        <w:tc>
          <w:tcPr>
            <w:tcW w:w="4057" w:type="pct"/>
            <w:vAlign w:val="center"/>
          </w:tcPr>
          <w:p>
            <w:pPr>
              <w:rPr>
                <w:rFonts w:ascii="宋体" w:hAnsi="宋体" w:cs="宋体"/>
                <w:color w:val="auto"/>
                <w:sz w:val="18"/>
                <w:szCs w:val="18"/>
              </w:rPr>
            </w:pPr>
            <w:r>
              <w:rPr>
                <w:rFonts w:hint="eastAsia" w:ascii="宋体" w:hAnsi="宋体" w:cs="宋体"/>
                <w:color w:val="auto"/>
                <w:sz w:val="18"/>
                <w:szCs w:val="18"/>
              </w:rPr>
              <w:t>产品具有中国信息安全认证中心《中国国家信息安全产品认证证书》（增强级）</w:t>
            </w:r>
          </w:p>
        </w:tc>
      </w:tr>
    </w:tbl>
    <w:p>
      <w:pPr>
        <w:rPr>
          <w:rFonts w:ascii="宋体" w:hAnsi="宋体" w:cs="宋体"/>
          <w:color w:val="auto"/>
          <w:sz w:val="18"/>
          <w:szCs w:val="18"/>
        </w:rPr>
      </w:pPr>
    </w:p>
    <w:p>
      <w:pPr>
        <w:rPr>
          <w:rFonts w:ascii="宋体" w:hAnsi="宋体" w:cs="宋体"/>
          <w:color w:val="auto"/>
          <w:sz w:val="18"/>
          <w:szCs w:val="18"/>
        </w:rPr>
      </w:pPr>
    </w:p>
    <w:p>
      <w:pPr>
        <w:rPr>
          <w:rFonts w:ascii="宋体" w:hAnsi="宋体" w:cs="宋体"/>
          <w:b/>
          <w:bCs/>
          <w:color w:val="auto"/>
          <w:sz w:val="18"/>
          <w:szCs w:val="18"/>
        </w:rPr>
      </w:pPr>
      <w:r>
        <w:rPr>
          <w:rFonts w:hint="eastAsia" w:ascii="宋体" w:hAnsi="宋体" w:cs="宋体"/>
          <w:b/>
          <w:bCs/>
          <w:color w:val="auto"/>
          <w:sz w:val="18"/>
          <w:szCs w:val="18"/>
        </w:rPr>
        <w:t>2.3.4 录播系统</w:t>
      </w:r>
    </w:p>
    <w:tbl>
      <w:tblPr>
        <w:tblStyle w:val="43"/>
        <w:tblW w:w="8245" w:type="dxa"/>
        <w:tblInd w:w="0" w:type="dxa"/>
        <w:tblLayout w:type="autofit"/>
        <w:tblCellMar>
          <w:top w:w="0" w:type="dxa"/>
          <w:left w:w="108" w:type="dxa"/>
          <w:bottom w:w="0" w:type="dxa"/>
          <w:right w:w="108" w:type="dxa"/>
        </w:tblCellMar>
      </w:tblPr>
      <w:tblGrid>
        <w:gridCol w:w="608"/>
        <w:gridCol w:w="1258"/>
        <w:gridCol w:w="6379"/>
      </w:tblGrid>
      <w:tr>
        <w:tblPrEx>
          <w:tblCellMar>
            <w:top w:w="0" w:type="dxa"/>
            <w:left w:w="108" w:type="dxa"/>
            <w:bottom w:w="0" w:type="dxa"/>
            <w:right w:w="108" w:type="dxa"/>
          </w:tblCellMar>
        </w:tblPrEx>
        <w:trPr>
          <w:trHeight w:val="280" w:hRule="atLeast"/>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序号</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产品名称</w:t>
            </w:r>
          </w:p>
        </w:tc>
        <w:tc>
          <w:tcPr>
            <w:tcW w:w="637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参数要求</w:t>
            </w:r>
          </w:p>
        </w:tc>
      </w:tr>
      <w:tr>
        <w:tblPrEx>
          <w:tblCellMar>
            <w:top w:w="0" w:type="dxa"/>
            <w:left w:w="108" w:type="dxa"/>
            <w:bottom w:w="0" w:type="dxa"/>
            <w:right w:w="108" w:type="dxa"/>
          </w:tblCellMar>
        </w:tblPrEx>
        <w:trPr>
          <w:trHeight w:val="280" w:hRule="atLeast"/>
        </w:trPr>
        <w:tc>
          <w:tcPr>
            <w:tcW w:w="824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r>
              <w:rPr>
                <w:rFonts w:hint="eastAsia" w:ascii="宋体" w:hAnsi="宋体" w:cs="宋体"/>
                <w:b/>
                <w:bCs/>
                <w:color w:val="auto"/>
                <w:kern w:val="0"/>
                <w:sz w:val="18"/>
                <w:szCs w:val="18"/>
              </w:rPr>
              <w:t>1、录播系统软件</w:t>
            </w:r>
          </w:p>
        </w:tc>
      </w:tr>
      <w:tr>
        <w:tblPrEx>
          <w:tblCellMar>
            <w:top w:w="0" w:type="dxa"/>
            <w:left w:w="108" w:type="dxa"/>
            <w:bottom w:w="0" w:type="dxa"/>
            <w:right w:w="108" w:type="dxa"/>
          </w:tblCellMar>
        </w:tblPrEx>
        <w:trPr>
          <w:trHeight w:val="24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管理平台</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云技术架构，用于资源展示、直播、点播及教学、教研、管理等应用。</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2</w:t>
            </w:r>
          </w:p>
        </w:tc>
        <w:tc>
          <w:tcPr>
            <w:tcW w:w="1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交互式IOS学习APP软件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1.Apple手机能在App Store中搜索到并能下载安装；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2.软件功能模块：微课录制、教师空间、直播课、互动课堂、云统计、智能巡课须集成在一个应用软件上；</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主讲老师可以将远程手机用户端的音视频拉入现场进行互动；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支持展示校内优质的课件、教案、习题等资源，并可按照学科、年级、人气、评分、时间等关键字进行搜索操作；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支持通讯录功能，并可提供消息发送和接收功能；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支持举手申请发言功能，进行远程互动学习时，用户可通过可向主讲教室发送发言申请请求；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支持在进行远程互动时切换为视频模式或声音模式；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支持通过用户列表查看互动教室中在线用户数量、名称、权限等信息；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软件点播观看精品课件时，可将该精品课件进行收藏，同时可以在收藏夹中查看收藏的精品课件视频；</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3</w:t>
            </w:r>
          </w:p>
        </w:tc>
        <w:tc>
          <w:tcPr>
            <w:tcW w:w="1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交互式android学习APP软件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1.Android手机能在相关应用app中搜索到并能下载安装；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2.软件功能模块：微课录制、教师空间、直播课、互动课堂、云统计、智能巡课须集成在一个应用软件上；                                                                         3. 主讲老师可以将远程手机用户端的音视频拉入现场进行互动；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支持展示校内优质的课件、教案、习题等资源，并可按照学科、年级、人气、评分、时间等关键字进行搜索操作；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支持通讯录功能，并可提供消息发送和接收功能；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支持举手申请发言功能，进行远程互动学习时，用户可通过可向主讲教室发送发言申请请求；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支持在进行远程互动时切换为视频模式或声音模式；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支持通过用户列表查看互动教室中在线用户数量、名称、权限等信息；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软件点播观看精品课件时，可将该精品课件进行收藏，同时可以在收藏夹中查看收藏的精品课件视频；</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4</w:t>
            </w:r>
          </w:p>
        </w:tc>
        <w:tc>
          <w:tcPr>
            <w:tcW w:w="1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桌面学习软件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作为听课端与远端主讲教室进行实时授课音视频双向互动，速构建区域性大规模同步课堂、专递课堂、联校网教等远程音视频互动教学应用；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2、可通过在线互动课堂列表选择不同互动教室登入；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通过用户列表直观的看到远端用户的名称、状态（在线/离线）、权限等信息；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4. 支持举手发言功能，听课端能申请发言，主讲课堂收到申请后，可以将听讲课堂的音视频信号进行广播；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主持人能对其他远程终端进行音、视频参数调节；拥有主讲权限的用户能对其他远端用户的互视频及音频进行控制，如：开启发言权、开启视频、调节音频及视频参数、视频接收码流等；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具有回音消除、音频降噪、采集音量自动调节、语音增益、静音检测功能；</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5</w:t>
            </w:r>
          </w:p>
        </w:tc>
        <w:tc>
          <w:tcPr>
            <w:tcW w:w="1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教师在线辅教助手系统</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一、 授课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1. 支持1（主讲）+N（听讲）和在主持人授予权限下的N（主讲）+N（听讲）两种模式实时互动授课；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支持2分频、4分屏、6分屏、9分屏、10分屏、12分屏、16分屏等多场景分屏模式互动授课；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支持将授课过程面向第三方平台进行直播；</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具备电子白板功能，支持授课过程中借助电子白板功能进行板书、演算、推导等课堂内容讲解；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具备用户音视频广播功能，支持在授课过程中将远端听课用户的音视频广播给课堂内学生；</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具备教室管理功能，支持主持人或主讲老师进行课堂纪律管理，包括禁言、关闭视频、请出教室等操作；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支持教师用户在上课过程中，通过即时聊天的方式采集学生的问题和及时回答学生的问题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具备课件录制功能，支持将授课过程同步录制；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二、 录课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具备常用课件编辑工具，支持包括：笔画、直线、矩形、拖拽、放大、缩小、颜色、橡皮擦、清空等操作，辅助完成录课所需的课件编辑操作；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具备录课电子白板功能，支持通过电子白板涂鸦、注解、推导等方式丰富微课课件内容；</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具备多文件格式兼容内容合成录制课件功能，支持同时将pdf、音频、视频、图片、电子白板、本地采集视频等多样化、多格式文件录制合成一个统一课件；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具备直播功能，支持将录制过程进行在线直播；</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具备桌面全屏录制功能，实现内容区域录制+桌面全屏录制；</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多媒体课件编辑系统软件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视频水印： 用户可以在视频上添加所需要的图片，比如学校的logo，一些图标等，可以对水印位置进行设置，如水平位置、垂直位置、水印宽度、水印高度，设置完成后可通过预览来观看水印效果；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片头片尾： 用户可以实现对视频进行片头片尾的添加，添加片头片尾的背景图，输入相应的文字内容，调整文本水平垂直位置、文本字符宽度及高度，以及文字的动画模式，可预览主画面显示文字的位置及大小。可实现学段、学科、教材版本及章节（校本教材则注明教材名称）、课题、主教师姓名、职称、学校名称等信息的添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视频截图： 用户可以对视频中出现的任何需要的图片，进行图片的截取，并能保存到自己想要保存的位置；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视频截取：用户通过拖动开始时间关键帧与结束时间关键帧的位置以及截取开始时间与截取结束时间的具体时间，进行截取时间的设置，截取想要的视频文件；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视频合并：用户将要合并的视频文件添加进来，合并的视频文件最少要两个视频，进行视频的合并，实现视频多转一的效果；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视频转换：用户通过该软件可以对视频的格式、分辨率、码率等进行转换，分别进行相应的设置，获得不同格式、分辨率、码率的视频，达到最终需要的效果；</w:t>
            </w:r>
          </w:p>
        </w:tc>
      </w:tr>
      <w:tr>
        <w:tblPrEx>
          <w:tblCellMar>
            <w:top w:w="0" w:type="dxa"/>
            <w:left w:w="108" w:type="dxa"/>
            <w:bottom w:w="0" w:type="dxa"/>
            <w:right w:w="108" w:type="dxa"/>
          </w:tblCellMar>
        </w:tblPrEx>
        <w:trPr>
          <w:trHeight w:val="230" w:hRule="atLeast"/>
        </w:trPr>
        <w:tc>
          <w:tcPr>
            <w:tcW w:w="824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b/>
                <w:bCs/>
                <w:color w:val="auto"/>
                <w:kern w:val="0"/>
                <w:sz w:val="18"/>
                <w:szCs w:val="18"/>
              </w:rPr>
              <w:t>2、手动导播精品互动录播</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智能云教学主机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嵌入式架构，支持录制、导播、存储、互动等功能；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视频输入接口：≥6路3G-SDI、≥1路HDMI或VGA；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视频输出接口：≥1路HDMI、≥1路VGA；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音频输入接口：≥2路线路输入、≥1路MIC输入；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音频输出接口：≥2路线路输出；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视频编码协议：H.264；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音频编码协议：G.722.1；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网络接口：≥1路千兆网络接口；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内置存储：≥2T机械硬盘；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扩展接口：≥1路USB2.0、≥1路USB3.0、≥4路RS-232串行接口；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支持接入IP网络摄像机的能力；</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具备系统断电保护功能，电源恢复后自动启动；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要求具备恢复出厂设置按钮，支持系统一键恢复出厂设置；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电源：DC 12V；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功耗：≤35W；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工作温度：0℃——＋55℃；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尺寸（mm）：≤320（长）*235（宽）*48（高）；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重量：≤4.5kg；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★提供产品CCC、CE-EMC、CE-LVD、FCC、ROHS认证证书复印件并加盖原厂公章；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★提供产品在中国能效标识网查询的二级以上能效等级认证结果截图并加盖原厂公章。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主机支持精品课程录制和远程教学互动功能，用户能在系统主界面上选择课程录制或互动教学功能，而非与视频会议设备叠加实现。</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智能云教学系统软件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支持作为主/听讲课堂与远程其他课堂或终端用户进行实时音视频互动教学，快速构建市、区（县）、校级大规模同步课堂、专递课堂、联校网教等远程音视频互动教学应用；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支持本地录课模式和多方互动模式的两种教学应用场景模式，适用于多种教学应用场景，如同步课堂、专递课堂、精品课堂录制等多种教学场景；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支持精品课程录制功能，实现不少于5场景高清视频（教师特写、学生特写、板书、学生全景、教学PC）的实时同步采集录制；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支持接入IP网络摄像机系统，接入的网络摄像机可以作为任意一路场景摄像机使用；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支持视频信号硬采集，通过VGA或HDMI接口可直接采集教学PC桌面视频信号，无延时拖尾现象；</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支持全屏、二分屏、画外画、多分屏等显示录制效果；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支持“电影模式+资源模式”同步录制，录制格式为标准MP4格式，录制清晰度可达1080P，录制的码流可设置；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支持本地录制存储功能，录制视频的文件名根据日期时间自动生成，便于查询检索；</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支持多场景智能导播切换功能，能对教师授课、学生发言、师生互动、教学PC操作等多个场景的视频信号进行智能切换；切换过程平滑顺畅，无卡顿闪烁现象；</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支持通过手动导播台或远程导播软件进行实时导播操作控制；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支持在线班级巡课：通过在线班级终端上配置发布服务器，可以快速启动直播流到平台，平台用户可以进行远程集中巡课，并且不对教学过程产生干扰；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支持老师在操作液晶导播触控单元时，通过智能导播设备通过上下拖拉列表可直观看到列表显示学生或班级名称及在线状态，列表显示的学生或班级不少于15个，最大显示数量不受限制，同时可主动操控触控导播台将在线的班级或学生接入到教室进行音视频互动；提供不少于10个互动班级列表截图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14.支持智能排课，通过平台上创建课程任务，制定授课教师，班级，时间，听课端，任务与班级终端进行联动，到时间后自动启动录课，无须教师操作系统，真正意义上实现教师常态化教学；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支持课程表排课，支持平台排课，指定时间、主讲、听讲，到时间后，主机可以一键登陆到相应的课程。当获取到课程表信息后，直接点击“立即上课”，可跳到互动教室直接进入主讲教室中，如绑定的是主讲教室班级账号，则直接进入同步主讲模式；如绑定账号是听讲权限，则直接进入在线听课模式，其中，听讲教室老师，可以请求辅助，即听讲教室的老师点击请求辅助按钮，可以申请活动整个课堂的主控权限，协助主讲教室，用遥控器进行界面的切换；</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支持全触摸屏操控，教师在课程录制及远程互动过程中无需其他人员辅助，就可以通过触摸屏独立、主动、随意地进行录播控制、导播控制、分屏控制、互动控制等操作。老师在操作液晶导播触控单元时，通过互动录播系统控制界面调用课程录播和互动教学功能，要求在同一系统界面进行调用，而不是通过多套系统叠加完成；提供在录课功能按键及互动教学功能按键在同一屏幕截图并加盖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互动模式下，可以查看在线听课用户，并且能够作为主/听讲课堂与远程其他课堂或终端用户进行实时音视频互动教学；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作为主讲课堂时拥有互动教学主控权限，能够根据教学需要开启或关闭听讲课堂的音视频信号；</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支持远程管理控制功能：管理系统内置于主机中，用户在局域网内通过浏览器即可登陆智能云教学终端进行日常管理维护工作；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支持对智能云教学终端连接的互动服务器地址进行设置；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支持对智能云教学终端采集的视频画面质量进行配置，包括分辨率（高清/超清）、帧率、设备码流等；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22. 支持对智能云教学终端存储的录制文件进行管理操作，包括查看、下载、删除等操作；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23. 支持对智能云教学终端网络连接参数、串口编号、主机名称、设备端口等进行配置，方便进行统一管理；</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24. 支持对智能云教学终端初始化分屏模式进行设置，包括“全屏、二分屏、画外画、多分屏”等分屏显示模式；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25. 支持对智能云教学终端进行设备重启操作；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26. 支持U盘/网页两种方式进行系统升级；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27. 支持断线重连功能：在进行远程互动教学时，当网络从中断到恢复后系统能进行重连接，继续正常的远程互动教学；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28. ★支持IOS 、Android 等移动终端接入智能云教学系统与智能云教室实现远程实时双向音视频互动听课。提供权威部门的测试报告证明加盖原厂公章（报告中应包含移动终端双向互动支持测试）</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29. ★远程教学互动中，当网络存在高达30%的丢包率环境下，终端之间仍能流畅进行音视频互动，且视频无抖动，无马赛克，无声音停顿；提供权威部门的测试报告证明加盖原厂公章（报告中应包含30%丢包率环境下，终端之间音视频正常互动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30. ★提供智能云教学系统软件类测试报告复印件并加盖原厂公章；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31. ★提供智能云教学系统软件类著作权登记证书复印件并加盖原厂公章。</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可视化操控软件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具备对智能云教学主机进行远程实时导播控制的功能；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具备终端设备发现服务能力，使可视化操控软件能够快速发现智能云教学主机并与终端快速建立连接，用户登录时需进行密码验证；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★支持本地录课、主讲授课、远程听课三种教学模式；提供该功能在同一软件界面截图，并加盖公章；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支持对输入教学主机的视频图像进行分屏组合（全屏、二分屏、画外画、多分屏），并可自定义任意一路视频图像在分屏状态下的显示位置；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课程录制过程中，导播界面能够显示磁盘剩余空间及录制时间提示状态栏；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支持对智能云教学主机存储的录制文件进行管理操作，包括查看、下载、删除等操作；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支持VGA锁定/解锁功能，方便老师讲解教学课件，同时支持课件电脑桌面触发切换功能，触发后停留时间可自定义；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支持对本地各路视频信号（教师特写、学生特写、板书特写、学生全景、教学PC）的实时预览；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提供手动导播和自动导播两种导播模式，两种模式可自由切换。自动导播模式下，能够实现老师、学生、板书画面自动切换；手动导播模式下，能够在导播界面或者通过接入手动导播台进行相应的手动导播操作；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★支持在互动课堂列表选择不同互动教室进行远程互动授课/听课；提供该功能的软件界面截图，并加盖原厂公章；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支持通过用户列表查看互动教室中用户的名称、状态、权限等信息；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作为主讲端时支持音视频信号控制功能，主讲老师可根据教学需要通过用户列表打开或关闭听讲端音视频信号；</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作为主讲端时，当听讲端举手申请发言时，导播界面能够显示举手提示状态栏；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作为听讲端时具备举手申请发言功能，听讲端可向主讲教室发送发言申请，申请通过后与主讲端进行实时音视频动；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作为听讲端时能够将本地视频画面（学生区、老师区、教学VGA）中任选一路作为本教室主画面推送至主讲端；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★提供远程思维可视化操控类软件著作权复印件并加盖原厂公章。</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智能导播台</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屏幕尺寸：21.5英寸；</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最佳分辨率：1920×1080；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屏幕比例：16:9；</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高清标准：1080p(全高清)；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面板类型：TN；</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背光类型：LED背光；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动态对比度：5000万:1；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灰阶响应时间：2ms；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点距：0.24825mm；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亮度：250cd/㎡；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可视角度170/160°；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显示颜色：16.7M；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扫描频率水平：30-83KHz；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扫描频率垂直：50-76Hz；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控制方式：触摸屏幕（10点电容触摸）；</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视频接口：D-Sub（VGA）×1，HDMI ×2；</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其它接口：USB2.0×3；</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支持壁挂；</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后置高清双目云台摄像机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★摄像机主机采用一体化集成设计，集成全景摄像机和跟踪摄像机，提供一体化设计说明，并加盖原厂公章。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1、特写摄像机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图像传感器：1/2.8" Exmor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视频输出接口：1路HD-SDI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有效像素：214万像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视频格式：1080P/60/50/30/25 1080i/60/50 720P/60/50/30/25 NTSC，PAL</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光学变焦：20X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数字变焦：12X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焦距：f=4.7 mm - 94.0 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光圈：F1.6 - F3.5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视场角：55.4°- 2.9°</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最低照度：0.5 lux（彩色），0.095lux（黑白）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快门速度：1/1到1/10,000s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增益：自动/手动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白平衡：自动，室内，室外，一键触发，自动跟踪，手动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曝光控制：自动，手动，快门优先，光圈优先，亮度优先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信噪比：≥50dB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2、全景摄像机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图像传感器：1/3"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视频输出接口：1路HD-SDI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有效像素：210万像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镜头：手动定焦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焦距：3.73mm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视角：水平92°，垂直50°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3、云台参数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水平范围：-170°~ +170°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垂直范围：-30°~ +90°自动翻转</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旋转速度：水平：0.1°~160°/秒；垂直：0.1°～120°/秒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预置位：256个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网络接口：100M/1000M自适应以太网接口（RJ45）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控制协议：VISCA，PELCO-D/P</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波特率：1200bps~19200bps</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前置高清双目云台摄像机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★摄像机主机采用一体化集成设计，集成全景摄像机和跟踪摄像机；提供一体化设计说明，并加盖原厂公章。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1、跟踪摄像机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图像传感器：1/2.8 " Exmor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有效像素：214万像；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视频格式：1080P/60/50/30/25 1080i/60/50；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720P/60/50/30/25 NTSC,PAL；</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光学变焦：20X；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数字变焦：12X；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焦距：f=4.7 mm - 94.0 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光圈：F1.6 - F3.5；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视场角：55.4° - 2.9；</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快门速度：1/ 1 到1/10,000 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2、全景摄像机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图像传感器：1/3 "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有效像素：210万像；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镜头：手动定焦；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焦距：3.73mm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视角：水平92°，垂直50°。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3、云台参数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水平范围：-170°~+170°；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垂直范围：-30°~+90°自动翻转；摄像机采用一体化集成设计，集成全景摄像机和特写摄像机；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1、特写摄像机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图像传感器：1/2.8 " Exmor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视频输出接口：1路HD-SDI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有效像素：214万像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视频格式：1080P/60/50/30/25 1080i/60/50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720P/60/50/30/25 NTSC，PAL</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光学变焦：20X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数字变焦：12X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焦距：f=4.7 mm- 94.0mm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光圈：F1.6 - F3.5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视场角：55.4° - 2.9°</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最低照度：0.5 lux（彩色），0.095 lux（黑白）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快门速度：1/ 1到1/10,000s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增益：自动/手动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白平衡：自动，室内，室外，一键触发，自动跟踪，手动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曝光控制：自动，手动，快门优先，光圈优先，亮度优先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信噪比：≥50dB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2、全景摄像机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图像传感器：1/3"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视频输出接口：1路HD-SDI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有效像素：210万像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镜头：手动定焦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焦距：3.73mm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视角：水平92°，垂直50°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3、云台参数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水平范围：-170°~+170°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垂直范围：-30°~+90°自动翻转</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旋转速度：水平：0.1°~ 160°/秒；垂直：0.1°~120°/秒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预置位：256个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网络接口：100M/1000M自适应以太网接口（RJ45）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控制协议：VISCA，PELCO-D/P</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波特率：1200bps~19200bps网络接口：100M/1000M 自适应以太网接口(RJ45)；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控制协议：VISCA，PELCO-D/P。</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高清网络摄像机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图像传感器：1/2.8" CMOS，214万像素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焦距：f=3.9mm-46.8mm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光圈：F1.6-F2.8</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光学变焦：12倍</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数字变焦：12倍</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视场角：72.5°-6.3°</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聚焦系统：自动，手动，一键触发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最低照度：0.5 lux（彩色），0.1Lux（黑白）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快门速度：1/1-1/10,000秒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增益：自动/手动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白平衡：自动，室内，室外，一键触发，手动，自动跟踪，钠灯，日光灯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宽动态功能：支持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曝光控制：自动，手动，快门优先，光圈优先，亮度优先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信噪比：≥50dB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降噪：2D/3D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背光补偿：支持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预置点数目：256个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菜单：支持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图像翻转功能：支持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SDI输出：视频输出：1080p/60、1080p/50、1080p/30、1080p/25、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1080i/60、1080i/50、720p/60、720p/50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网络：分辨率：最高支持1920*1080@60fps，视频压缩：H.265、H.264，网络协议：HTTP、RTSP、RTMP、TCP、UDP、ONVIF，同时预览视频数：最多10路，网络接口：100M自适应以太网接口（RJ45），支持POE，双码流：支持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22. 接口：视频输出（高清）：1路3G-SDI接口；接口：RS-232，RS-485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23. 一般规范：协议：VISCA/PELCO-D/ PELCO-P</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8</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板书检测高清摄像机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传感器类型 1/3英寸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传感器有效像素 ≥400万像素；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最低照度 1Lux；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信噪比 ＞50dB；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增益控制 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电子快门 1/30-1/10000；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白平衡 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镜头焦距 2.4mm；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视角范围 水平90°；垂直50°；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镜头光圈 F2.0；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视频压缩标准 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视频码率 32Kbps-8Mbps；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视频帧率 720P30，1080P30；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网络接口 ≥1个，10/100M以太网口，可选配POE；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电源接口 DC12V，2.1MM圆插；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供电 DC12V，POE；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功耗 ≤5W；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工作温度：0-40℃；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工作湿度 ≤95%无冷凝；</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尺寸 ≤φ93mm*81mm；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重量：≤0.33KG。</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9</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数字音频处理器</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2路话筒输入，每路话筒输入提供48V幻象供电；</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1路线路输入；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2路远程视频会议输入；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1路线路扩声输出；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1路远程视频会议输出；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1路监听输出；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2路功放输出。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支持回声消除（AEC），背景降噪（ANC），增益控制（AGC），自动混响消除（ARC）等音频输入功能；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采样率：48K；</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频率响应：20HZ-20kHz；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通道噪声：&lt;-90dBu；</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动态范围：99dBU；</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THD+N：-93Db；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干扰：&lt;-80db；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工作温度：0-40℃。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麦克风输入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幻想电源供电：48V DC；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输入增益：-6到+60dB；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最大输入幅度：+12dBu；</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标准混音电平：-3dBu（0.55Vrms）；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输入阻抗：200Ω。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线路输入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输入增益：-6到+20dB；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标准混音电平：-3dBu（0.55Vrms）；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输入阻抗：10KΩ。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功放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功率：2×50W/8Ω，2×80W/4欧数字功放；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频率响应：20HZ—20kHz。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音频输出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输出电平：+6dBu，1%THD+N；</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标准输出电平：-3dBu（0.55Vrms）；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输出阻抗：50Ω。</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10</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无源扩声音箱</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采用音5寸同轴音箱单元，减少声音干涉现象；</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音质细腻，高度保真，人声还原度高；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30°下倾箱体设计，安装时无需考虑音箱垂直辐射角度，即使贴墙常规安装仍可轻松覆盖全场；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提供高精度安装配件，易于教室、法庭安装；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多吊点设计，便于更大角度调整音箱水平覆盖面;</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扬声器类型：Fullrange，Mid-High，Two-Way；</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低频驱动器：5"同轴单元*1；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频响：80Hz-20KHz（-10dB）；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分频模式：内分频；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建议高通频率：80Hz；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灵敏度：（1瓦/1米）91dB；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最大声压级/1米（计算）：103dB；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覆盖（-6dB标准）水平：90°；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覆盖（-6dB标准）垂直：90°；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功率：50W；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阻抗：4欧；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单只重量（kg）：3；</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体积（高宽深）：300×200×165mm；.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箱体材料：木质箱体；</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配件：含U型吊架</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专业录音话筒</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拾音头：固定式充电背板，永久极性电容拾音头；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安装方式：86盒隐藏安装；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3.指向特性：全指向性；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4.输出连接头：内置式三针凤凰接头；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5.频率响应：30~20,000Hz；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6.高通滤波：80Hz，18dB/octave；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7.阻抗：200Ω；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8.最大输入声压级：133dB声压，1kHz于1%T.H.D.；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9.动态范围：103dB，1kHz于最高声压；</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10.讯噪比：67dB，1kHz于1Pa；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11.幻象供电：直流11~52VDC，耗电3mA。</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专业手动操作台</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支持录播系统控制：启动录制、停止录制、分屏控制（全屏、两分屏、大小屏、一拖四）、画面切换、VGA锁定；</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支持设置摄像机预置位功能，可设置多台摄像机的预置位，每台摄像机支持不少于9个预置位，可通过按钮设置、调用、清除预置；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支持摄像机控制摇杆，能够对摄像机进行上下左右、镜头拉近拉远控制；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支持“手动、自动”模式切换功能，在手动模式下，可以实现通道按钮的手动切换控制；在自动模式下，实现不少于5路通道视频的自动导播切换；</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采用三轴光学操纵杆，操做灵活，寿命长，使用寿命超过500万次；</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采用铝合金外壳，表面UV处理，2×20液晶显示屏，带双色背光按键。</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遥控器</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遥控方式：无线射频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无线频率：2.4G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遥控距离：10米（无障碍物）</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激光功率：＜5mW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激光距离：＞200m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激光波长：650nM（红光）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7、 电    池：7号AAA电池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工作电压：3V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尺  寸：150*38*13.5（mm）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工作温度：-10~55度</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线缆</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各类视频线、音频线、网线、控制线等</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纳米智慧黑板</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触摸一体机：整机采用三拼接平面一体化设计，无推拉式结构及外露连接线，外观简洁。整机尺寸宽度不小于4200mm，高度不小于1200mm；中央主屏幕显示采用86英寸UHD超高清LED液晶屏，屏幕分辨率不低于3840*2160，显示比例16:9，主屏具备防眩光效果；</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插拔式电脑模块：1.具有独立非外扩展的电脑USB接口：电脑上至少具备4个USB3.0， TypeA接口，1个USB TypeC接口（支持TypeC接口的U盘插入使用）；</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2.内置式模块化电脑，抽拉内置式，PC模块可插入整机，可实现无单独接线的插拔。采用120pin或以上接口；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3.处理器：Intel Core i3 8代</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4.内存4G DDR4</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5.硬盘128G固态硬盘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6.Windows 10 64位中文专业版</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7.电脑模块与触摸一体机为同一厂家</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六边形桌椅</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六边形方桌一张，边长100mm；6张方凳子；</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录播教室装修</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顶面：矿棉板吊顶，格栅灯；</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墙面：隔音板；</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地面：地胶</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配套：讲台（需集成录播设备）、隔墙、窗帘、贴脚线、套装门、控制室桌椅；</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18</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控制电脑</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i5/8G内存/1T硬盘/23寸显示器/刻录光驱/漫步者音箱/漫步者耳机*2；</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19</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听课椅</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可旋转侧翻写字板听课椅；</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ind w:right="180"/>
              <w:rPr>
                <w:rFonts w:ascii="宋体" w:hAnsi="宋体" w:cs="宋体"/>
                <w:color w:val="auto"/>
                <w:kern w:val="0"/>
                <w:sz w:val="18"/>
                <w:szCs w:val="18"/>
              </w:rPr>
            </w:pPr>
            <w:r>
              <w:rPr>
                <w:rFonts w:hint="eastAsia" w:ascii="宋体" w:hAnsi="宋体" w:cs="宋体"/>
                <w:color w:val="auto"/>
                <w:kern w:val="0"/>
                <w:sz w:val="18"/>
                <w:szCs w:val="18"/>
              </w:rPr>
              <w:t>20</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无线路由器</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千兆双频无线路由器</w:t>
            </w:r>
          </w:p>
        </w:tc>
      </w:tr>
      <w:tr>
        <w:tblPrEx>
          <w:tblCellMar>
            <w:top w:w="0" w:type="dxa"/>
            <w:left w:w="108" w:type="dxa"/>
            <w:bottom w:w="0" w:type="dxa"/>
            <w:right w:w="108" w:type="dxa"/>
          </w:tblCellMar>
        </w:tblPrEx>
        <w:trPr>
          <w:trHeight w:val="230" w:hRule="atLeast"/>
        </w:trPr>
        <w:tc>
          <w:tcPr>
            <w:tcW w:w="824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b/>
                <w:bCs/>
                <w:color w:val="auto"/>
                <w:kern w:val="0"/>
                <w:sz w:val="18"/>
                <w:szCs w:val="18"/>
              </w:rPr>
              <w:t>3、常态化跟踪互动录播</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w:t>
            </w:r>
          </w:p>
        </w:tc>
        <w:tc>
          <w:tcPr>
            <w:tcW w:w="12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常态化云课堂主机</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主机须采用嵌入一体式架构；</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主机系统高度集成，包含录制、导播、存储、互动等功能；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考虑到主机的适用性，要求主机具备IP网络摄像机接入能力；</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视频编码协议：H.264；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音频编码协议：G.722；</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网络接口：≥1路千兆网络接口；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内置存储：≥1T机械硬盘；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扩展接口：≥2路USB2.0、2路RS-232串行接口；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★提供产品CCC、CE-EMC、CE-LVD、FCC、ROHS认证证书复印件并加盖公章，中标后原件备查；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★提供产品在中国能效标识网查询的二级以上能效等级认证结果截图并加盖公章。</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2</w:t>
            </w:r>
          </w:p>
        </w:tc>
        <w:tc>
          <w:tcPr>
            <w:tcW w:w="12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常态化云教学软件V2.0</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支持本地录课模式和多方互动模式两种教学模式；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具备不少于3路高清视频图像的实时同步采集录制能力，其中1路需为硬采，通过VGA或HDMI接口可直接采集教学PC桌面视频信号，无延时拖尾现象；</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支持老师、学生画面自动切换，即老师走到学生区域，画面自动切换至学生区域，学生区域学生起立回答问题，画面自动切换学生画面；</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支持教学电脑VGA画面自动切换功能，通过检测教学电脑鼠标或键盘的操作（教学电脑需安装软件），自动将录制主画面切换至教学电脑VGA信号；</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具备VR全景摄像机视频图像采集能力；</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具备“电影模式+资源模式”同步录制能力，录制文件格式为标准MP4格式，录制清晰度可达1080P；</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支持全屏、二分屏、画外画、多分屏显示录制效果；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具备本地录制存储的能力，录制视频文件名根据日期时间自动生成，便于查询检索；</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支持通过中控设备实现开始录制、停止录制、锁定/解锁VGA等功能；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支持通过中控器一键登录到学校平台课程管理预设的互动教室中；</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具备智能导播切换能力，无需任何人员操作，即可完成教室全景、学生全景两个场景的智能切换，满足常态化教学过程中的智能导播要求；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支持通过远程导播软件实现手动的导播操作控制；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互动教学模式时，能够作为主/听讲课堂与远程其他课堂或终端用户进行实时音视频互动教学；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支持班级巡课功能，通过在班级终端上配置的发布服务器，可以快速地将班级上课音视频画面直播流推送至平台，平台用户可以进行远程集中巡课，同时不对教学过程产品干扰；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支持老师在操作液晶导播触控单元时，通过智能导播设备通过上下拖拉列表可直观看到列表显示学生或班级名称及在线状态，列表显示的学生或班级不少于15个，最大显示数量不受限制，同时可主动操控触控导播台将在线的班级或学生接入到教室进行音视频互动；提供不少于10个互动班级列表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★支持老师在操作液晶导播触控单元时，通过智能导播设备对录播过程控制，要求实现开始、暂停、停止、锁定/解锁教学PC信号、锁定/解锁任意一路视频画面；提供以上操作功能按键截图并加盖公章；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作为主讲课堂时具备互动教学主控能力,能够根据教学需要开启或关闭听讲课堂的音视频图像；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支持全触摸屏操控，教师在课程录制及远程互动过程中无需其他人员辅助，就可以通过触摸屏独立、主动、随意地进行录播控制、导播控制、分屏控制、互动控制等操作。老师在操作液晶导播触控单元时，通过互动录播系统控制界面调用课程录播和互动教学功能，要求在同一系统界面进行调用，而不是通过多套系统叠加完成；提供在录课功能按键及互动教学功能按键在同一屏幕截图并加盖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★在二分屏（视频画面分割为左右两路独立视频画面）显示模式下、支持采用触屏滑动拖拽操作互换二分屏左右视频位置；提供二分屏屏幕截图并加盖公章；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在一拖二（视频画面分割为一路主画面视频和二路小视频画面）显示模式下，支持采用触屏滑动拖拽操作将任意一路小视频画面切换为主画面，同时，二路小视频画面之间也可以进行位置互换；提供一拖二分屏屏幕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★切换为画外画（在视频主画面外有一个小视频画面，两个画面在同一屏幕中）；提供画外画分屏屏幕截图并加盖公章；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22. ★远端用户接入到互动课堂后，教师能通过智能导播台查看接入用户名称和用户数量，同时，教师可主动将远端在线用户接入互动教 室进行音视频双向互动；提供用户名称列表截图并加盖公章；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23. 支持远程管理控制功能，管理系统内置于主机中，局域网内通过浏览器即可登录教学终端进行日常管理维护工作。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     -支持对教学终端连接的互动服务器地址进行设置；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-支持对教学终端采集的视频画面质量进行配置，包括</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分辨率（高清/超清）、帧率、设备码流等；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-支持对教学终端存储的录制文件进行管理操作，包括</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查看、下载、删除等操作；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-支持对教学终端网络连接参数、串口编号、主机名称、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设备端口等进行配置，方便进行统一管理；</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-支持对教学终端初始化分屏模式进行设置，包括“全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屏、二分屏、画外画、多分屏”分屏显示模式；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     -支持对教学终端进行设备重启操作；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     -支持U盘/web等方式进行系统升级；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24. 支持与IOS、Android等移动终端行双向音视频互动；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25. 支持IOS、Android等移动终端接入观看VR全景视频；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26. 在网络存在高达30%的丢包率环境下，仍能流畅进行音视频互动；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27. ★提供常态化云教学类软件著作权复印件并加盖公章，中标后原件备查；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28. ★提供嵌入式互动导播系统类软件著作权复印件并加盖公章，中标后原件备查；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29. ★提供常态化云教学软件类测试报告复应件并加盖公章，中标后原件备查。</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3</w:t>
            </w:r>
          </w:p>
        </w:tc>
        <w:tc>
          <w:tcPr>
            <w:tcW w:w="12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可视化操控软件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支持对教学主机进行远程实时导播操作；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支持终端设备发现服务功能，使远程导播控制软件能够快速发现教学主机并与主机快速建立连接，用户连接需进行安全验证；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★支持本地录课、主讲授课、远程听课三种教学模式；提供该功能在同一软件界面截图，并加盖公章；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支持对输入教学主机的视频图像进行分屏组合，并可自定义任意一路视频图像在分屏状态下的显示位置；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5. 课程录制中，导播界面能够显示磁盘剩余空间及录制时间提示状态栏；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支持对教学主机存储的录制文件进行管理操作，包括查看、下载、删除等操作；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支持VGA锁定/解锁功能，方便老师讲解教学课件；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支持对本地采集的各路视频的实时预览；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★支持通过课堂列表即可选择不同互动教室进行远程互动授课/听课，提供该功能的软件界面截图，并加盖公章；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支持查看互动教室中远端用户的名称、状态、权限等信息；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作为主讲端时，具备音视频信号控制功能,主讲老师可根据教学需要快速打开/关闭听讲端的音视频信号；</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作为主讲端时，当听讲端举手申请发言时，导播界面能够显示举手提示状态栏；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作为听讲端时具备申请发言功能，可通过导播界面向主讲端申请发言权限；</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作为听讲端时，能够将本地视频画面（学生区、老师区、VGA视频）中任意一路作为本教室主画面推送主讲端；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★支持手动开启或关闭将VR视频画面进行推送至IOS、Android等移动终端，提供该功能的软件设置截图，并加盖公章；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★提供远程思维可视化操控类软件著作权复印件并加盖公章，中标后原件备查。</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4</w:t>
            </w:r>
          </w:p>
        </w:tc>
        <w:tc>
          <w:tcPr>
            <w:tcW w:w="12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智能导播台</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一、触摸屏规格：</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触摸技术 投射式电容触控；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输入方法 手指和电容式手写笔；</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触控笔直径 &gt;6mm；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分辨率 25ppi(min.)；</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触控精度 &lt;1.0mm；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操作系统  多点触摸（即插即用）；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二、面板</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驱动系统 TFT 彩色 LCD；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可视图像尺寸≥ 344.16(横)×193.59(竖) 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像素间距（w×h） 0.17945(H)×0.17945(V)mm；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视频 R, G, B（VGA）和数字接口+HDMI；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独立同步 H/V TTL；</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可视角度 85/85/85/85 (Typ.)(CR≥10)；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颜色数量≥  16.7M；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三、分辨率</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水平扫描范围 30 kHz - 83 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水平扫描尺寸≥  476.65m；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垂直扫描范围 50 Hz - 76 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显示尺寸 ≥ 344.16(横)×193.59(竖) 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预设的最佳分辨率 1920 x 1080@60 Hz  FHD；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可视尺寸≥  344.16(横)×193.59(竖) 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输入接口（可选） HDMI (MHL)；VGA；DVI；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输入视频信号 模拟：0.7Vp-p（标准），75 OHM，TMDS；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电源 100-240V~, 50/60Hz, 12v 4A；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功耗 工作：≤31W（典型）。</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后置高清摄像机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性能参数：                                                                                  图像传感器1/2.5英寸CMOS，857万像素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镜头7.9mm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水平视场角水平43°，垂直24°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最低照度1Lux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信噪比&gt;50dB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快门速度1/1到1/10,000秒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增益自动/手动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曝光模式自动，手动，快门优先，光圈优先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 自动，手动，一键触发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智能功能 教师跟踪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分辨率：最大4K @ 30fps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视频压缩：H.265/H.264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音频压缩：AAC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网络协议：HTTP,TCP,UDP，RTSP，RTMP，ONVIF</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浏览器访问：支持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多码流：4路码流：特写双码流、全景双码流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视频输出 1路HD-SDI，支持POC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  音频接口 1路LINE IN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网络接口 RJ45 10/100M，支持POE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USB接口 1路USB2.0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控制接口 1路RS-232</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存储接口TF卡，最大64G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一般规范：控制协议：VISCA/ PELCO-D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地址范围：0~63（软地址）</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电源：DC 12V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功耗：&lt;5W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工作温度：0°C ~ + 40°C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存放温度：-20°C ~ +60°C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尺寸：149mm×76 mm×58mm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机身重量：0.42KG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机身颜色：白色</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功能参数：                                                                                  1. 能够对教师教学过程中的行为进行智能分析，并自动控制摄像机进行跟踪拍摄；</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教师在讲台走动时，摄像机进行全自动拍摄；</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教师走入学生区域时，自动切换到学生全景摄像机拍摄；</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前置高清摄像机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性能参数：                                                                                    图像传感器：1/2.5英寸CMOS，857万像素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镜头：3.4mm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水平视场角：水平82°，垂直52°</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最低照度：1Lux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信噪比：&gt;50dB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快门速度：1/1到1/10,000秒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增益：自动/手动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曝光模式：自动，手动，快门优先，光圈优先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白平衡：自动，手动，一键触发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智能功能：学生定位 教师跟踪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分辨率：最大4K @ 30fps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视频压缩：H.265/H.264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音频压缩：AAC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网络协议：HTTP，TCP，UDP，RTSP,RTMP，ONVIF</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浏览器访问：支持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多码流：4路码流：特写双码流、全景双码流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视频输出 1路HD-SDI，支持POC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音频接口 1路LINE IN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网络接口 RJ45 10/100M，支持POE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USB接口 1路USB2.0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控制接口 1路RS-232</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存储接口 TF卡，最大64G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一般规范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控制协议 VISCA/ PELCO-D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地址范围：0~63（软地址）</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电源 DC 12V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功耗 &lt;5W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工作温度：0°C ~ + 40°C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存放温度 -20°C ~ +60°C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尺寸 149 mm×76 mm×58mm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机身重量：0.42KG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机身颜色 白色</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功能参数：                                                                                   能够对学生听课行为进行智能分析，并自动控制摄像机进行跟踪拍摄；</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板书检测高清摄像机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传感器类型：1/3英寸 CMOS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传感器有效像素：400万像素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最低照度：1Lux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信噪比：＞50dB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增益控制：自动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电子快门：1/30-1/10000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白平衡：自动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镜头焦距：2.4mm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视角范围：水平90°；垂直50°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镜头光圈：F2.0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视频压缩标准：H.264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视频码率：32Kbps-8Mbps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视频帧率：720P30，1080P30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网络接口：1个，10/100M以太网口，可选配POE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电源接口：1个，DC12V，2.1MM圆插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供电：DC12V，POE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功耗：＜5W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工作温度：0-40℃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工作湿度：≤95%无冷凝</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尺寸：φ93mm*81mm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重量：0.33KG</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8</w:t>
            </w:r>
          </w:p>
        </w:tc>
        <w:tc>
          <w:tcPr>
            <w:tcW w:w="1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数字音频处理器</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≥2路话筒输入，每路话筒输入提供48V幻象供电；</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≥1路线路输入；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≥2路远程视频会议输入；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≥1路线路扩声输出；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≥1路远程视频会议输出；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≥1路监听输出；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≥2路功放输出；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支持回声消除（AEC），背景降噪（ANC），增益控制（AGC），自动混响消除（ARC）等音频输入功能；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采样率：48K；</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频率响应：20HZ-20kHz；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通道噪声：&lt;-90dBu；</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动态范围：99dBU；</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THD+N：-93Db；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干扰：&lt;-80db；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工作温度：0-40℃。；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麦克风输入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幻想电源供电：48V DC；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输入增益：-6到+60dB；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最大输入幅度：+12dBu；</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标准混音电平：-3dBu（0.55Vrms）；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输入阻抗：200Ω。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线路输入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输入增益：-6到+20dB；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标准混音电平：-3dBu（0.55Vrms）；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输入阻抗：10KΩ；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功放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功率：2×50W/8Ω，2×80W/4欧数字功放；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频率响应：20HZ—20kHz；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音频输出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输出电平：+6dBu，1%THD+N；</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标准输出电平：-3dBu（0.55Vrms）；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输出阻抗：50Ω。</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9</w:t>
            </w:r>
          </w:p>
        </w:tc>
        <w:tc>
          <w:tcPr>
            <w:tcW w:w="12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专业录音话筒</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拾音头：固定式充电背板，永久极性电容拾音头；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安装方式：86盒隐藏安装；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指向特性：全指向性；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输出连接头：内置式三针凤凰接头；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频率响应：30~20,000Hz；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高通滤波：80Hz，18dB/octave；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阻抗：200Ω；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最大输入声压级：133dB声压，1kHz于1%T.H.D.；</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动态范围：103dB，1kHz于最高声压；</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讯噪比：67dB，1kHz于1Pa；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幻象供电：直流11~52VDC，耗电3mA</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10</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无源音箱</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低频驱动器：5"同轴单元*1；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频响：80Hz-20KHz（-10dB）；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分频模式：内分频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建议高通频率：80Hz；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灵敏度：（1瓦/1米）88dB；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最大声压级/1米（计算）：98dB；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覆盖（-6dB标准）水平：90°；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覆盖（-6dB标准）垂直：90°；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功率：≤35W；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阻抗：4欧；</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单只重量（kg）：≤2；</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体积（高宽深）：≤300×200×165mm；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箱体材料：高密度板箱体。</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线缆</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各类视频线、音频线、网线、控制线等</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推拉黑板</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推拉绿板：结构：内外双层结构，内层为一块固定书写板与一体机正面平齐，外层为一块滑动书写板。，滑动板配装带有品牌logo的锁具，滑动板锁定状态下完全遮挡并保护所配电子产品；1.基本尺寸：≥4000mm×1281mm，可根据所配电子产品适当调整，确保与所配电子产品的有效配套。书写板面：采用优质烤漆钢板，厚度≥0.3mm。板面为亚光墨绿色、漆膜硬度为6H，粗糙度为Ra1.6-3.2um。板面长期书写不变形，板面表面附有一层透明保护膜，符合GB28231-2011检测标准；2.内芯材料：选用高强度、吸音、防潮、阻燃聚苯乙烯板，厚度≥13mm，采用国际适用工艺，书写无吱咔声，减少噪音，改善书写手感。3.背板：选用优质防锈亚光蓝色彩涂钢板，厚度≥0.25mm，流水线一次成型，每隔8公分设有2公分加强凹槽，确保均布承压不低于640N，凹槽内置加强筋，造型美观、增加强度，镀锌含量Z12技术要求不低于国标GB2518-88。4.覆板：采用环保型双组份聚氨酯胶水，自动化流水线覆板作业(提供现场作业图片），确保粘接牢固板面平整，甲醛释放量≤0.2mg/L，符合GB/T 28231-2011《书写板安全卫生要求》。5边框：采用高级亚光铝合金，厚度≥1.2mm，1、上框规格57 mm×100 mm，下框及左右框规格29 mm×100 mm，内框规格37mm*20mm，符合GB5237.3-2008检测标准；两轨道上置隐藏式平滑轮滑道，横（立）框采用双层加强结构，厚≥10㎜。5.滑轮：采用上吊轮双滑道、下平轮单滑动结构，滑动顺畅、噪音小；书写时定位精确不晃动、滑动板前后晃动小于0.5mm。上吊轮配置高强度轴承带减震胶套，保证滑动流畅、经久耐用，噪音≤36dB；上下均匀安装。6.粉尘槽：配备宽度≥30mm一体化粉尘槽，防止粉尘垂直落地；粉尘槽与下边框一体化设计，清扫时无粉尘死角；为了防止粉笔等工具掉落，有与粉尘槽一体的粉尘清理工具，不用时，可代替粉尘孔塞，堵住粉尘孔。7.包角材料：采用抗老化高强度ABS工程塑料注塑成型，双壁成腔流线型设计，圆角≥R25mm，并带有注册商标。8.限位档：黑板边框内部两侧安装滑动板限位档，防止活动黑板开启时撞击立框。9.产品应符合GB/T 28231-2011《书写板安全卫生要求》和GB 21027-2007《学生用品的安全通用要求》等国家标准</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交互一体机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sz w:val="18"/>
                <w:szCs w:val="18"/>
              </w:rPr>
            </w:pPr>
            <w:r>
              <w:rPr>
                <w:rFonts w:hint="eastAsia" w:ascii="宋体" w:hAnsi="宋体" w:cs="宋体"/>
                <w:color w:val="auto"/>
                <w:sz w:val="18"/>
                <w:szCs w:val="18"/>
              </w:rPr>
              <w:t>屏幕尺寸：≥86英寸LED液晶A规屏；显示比例满足：16:9（全屏）；可视角度：≥178°，表层使用防眩光钢化玻璃且透光率不低于90%，表面无尖锐边缘或突起；亮度：≥350cd/㎡；对比度：≥5000:1；视频制式：PAL/SECAM；表现采用4mm厚防眩光钢化玻璃；</w:t>
            </w:r>
          </w:p>
          <w:p>
            <w:pPr>
              <w:widowControl/>
              <w:jc w:val="left"/>
              <w:rPr>
                <w:rFonts w:ascii="宋体" w:hAnsi="宋体" w:cs="宋体"/>
                <w:color w:val="auto"/>
                <w:sz w:val="18"/>
                <w:szCs w:val="18"/>
              </w:rPr>
            </w:pPr>
            <w:r>
              <w:rPr>
                <w:rFonts w:hint="eastAsia" w:ascii="宋体" w:hAnsi="宋体" w:cs="宋体"/>
                <w:color w:val="auto"/>
                <w:sz w:val="18"/>
                <w:szCs w:val="18"/>
              </w:rPr>
              <w:t>内置电脑参数：</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1.采用模块化电脑方案，抽拉内置式，采用120pin或以上接口，实现无单独接线的插拔。</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2.采用按压式卡扣，无需工具即可快速拆卸电脑模块。</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3. 主板采用H310芯片组，搭载Intel 8代酷睿系列 i3CPU</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4.内存：4G DDR4笔记本内存或以上配置</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5.硬盘：128G或以上SSD固态硬盘</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6. 具有独立非外扩展的电脑USB接口：电脑上至少具备4个USB3.0 TypeA接口，1个USB TypeC接口（支持TypeC接口的U盘插入使用），具有独立非外扩展的视频输出接口：≥1路HDMI ；≥1路DP。</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7.内置网卡：支持10M/100M/1000M自适应。</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8.正版Windows 10 64位中文专业版。</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9.整机端内置蓝牙：在Windows系统下，整机可通过蓝牙模块与蓝牙音箱连接，通过蓝牙音箱播放整机音频。</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10.整机端内置双频(2.4G&amp;5G) WiFi网卡，支持IEEE 802.11a/b/g/n/ac标准</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11.整机端内置有线网卡：10M/100M/1000M；</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六边形桌椅</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六边形方桌一张，边长100mm；6张方凳子；</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录播教室装修</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顶面：矿棉板吊顶，格栅灯；</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墙面：隔音板；</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地面：地胶</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配套：讲台（需集成录播设备）、隔墙、窗帘、贴脚线、套装门；</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听课椅</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可旋转侧翻写字板听课椅；</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ind w:right="180"/>
              <w:rPr>
                <w:rFonts w:ascii="宋体" w:hAnsi="宋体" w:cs="宋体"/>
                <w:color w:val="auto"/>
                <w:kern w:val="0"/>
                <w:sz w:val="18"/>
                <w:szCs w:val="18"/>
              </w:rPr>
            </w:pPr>
            <w:r>
              <w:rPr>
                <w:rFonts w:hint="eastAsia" w:ascii="宋体" w:hAnsi="宋体" w:cs="宋体"/>
                <w:color w:val="auto"/>
                <w:kern w:val="0"/>
                <w:sz w:val="18"/>
                <w:szCs w:val="18"/>
              </w:rPr>
              <w:t>17</w:t>
            </w:r>
          </w:p>
        </w:tc>
        <w:tc>
          <w:tcPr>
            <w:tcW w:w="125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无线路由器</w:t>
            </w:r>
          </w:p>
        </w:tc>
        <w:tc>
          <w:tcPr>
            <w:tcW w:w="637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千兆双频无线路由器；</w:t>
            </w:r>
          </w:p>
        </w:tc>
      </w:tr>
      <w:tr>
        <w:tblPrEx>
          <w:tblCellMar>
            <w:top w:w="0" w:type="dxa"/>
            <w:left w:w="108" w:type="dxa"/>
            <w:bottom w:w="0" w:type="dxa"/>
            <w:right w:w="108" w:type="dxa"/>
          </w:tblCellMar>
        </w:tblPrEx>
        <w:trPr>
          <w:trHeight w:val="230" w:hRule="atLeast"/>
        </w:trPr>
        <w:tc>
          <w:tcPr>
            <w:tcW w:w="824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b/>
                <w:bCs/>
                <w:color w:val="auto"/>
                <w:kern w:val="0"/>
                <w:sz w:val="18"/>
                <w:szCs w:val="18"/>
              </w:rPr>
              <w:t>4、便携录播</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移动式云课堂主机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嵌入式架构；</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主机集课程录制和远程教学互动功能于一体。</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显示器：≥14寸IPS高清液晶屏；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中控键盘：专业录播导播键盘、跟踪控制摇杆、触摸板；</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视频输入接口：≥6路3G-SDI、1路HDMI或VGA；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音频输入接口：≥1路线路输入；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音频输出接口：≥1路线路输出；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视频编码协议：H.264；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音频编码协议：G.722.1；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内置存储：≥1T机械硬盘；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网络接口：≥1路千兆网络接口；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扩展接口：≥2路USB2.0、1路USB3.0、1路COM端口；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电源：12V 5A；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功耗：≤35W；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重量：≤3.8KG；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尺寸：≤335mm(长)*238mm(宽)*65mm(高)；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★提供产品CCC、CE-EMC、CE-LVD、FCC、ROHS认证证书复印件并加盖公章，中标后原件备查；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★提供产品在中国能效标识网查询的二级以上能效等级认证结果截图并加盖公章。</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移动式云教学软件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能够作为听讲教室进行实时授课音视频双向互动；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能够与IOS、Android等移动终端实现远程实时双向音视频互动；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可通过在线互动课堂列表选择不同互动教室进行远程互动听课；</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可通过用户列表直观的看到远端用户的名称、状态（在线/离线）、权限等信息；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主讲老师可根据教学需要通过用户列表打开或关闭远端任意用户的音视频信号；</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能接收远端用户发言申请，申请提示能在系统界面进行显示；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主讲教室能够设置远端听课教室视频接收清晰度（标清、高清、超清）；听课教室能够设置本地视频对外传输清晰度（标清、高清、超清）；</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具备断线重连功能，当网络从中断恢复后系统能自动重连接；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在网络存在不大于30%的丢包率环境下，终端之间仍能流畅进行音视频互动；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能够保存多组互动教室登录地址及用户名密码；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系统界面能够显示磁盘剩余空间及录制时间提示状态栏；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具备录制文件自动或手动上传至资源平台，同时，可导出至其他存储设备中；</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具备一分屏、二分屏、画外画、一拖四分屏显示录制效果；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具备教师、学生及VGA视频画面手动导播控制功能；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具备VGA锁定功能，同时支持课件电脑桌面触发切换功能；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具备VGA信号硬采技术，可直接采集教学PC桌面视频信号；</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能通过触摸屏、手动导播台或远程导播软件对各路视频信号进行的实时预览与导播操作；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录制模式具备电影模式、资源模式及电影加资源模式；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具备音频信号输入输出测试功能，测试中能显示声音电平信号状态；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可以通过触屏滑动拖拽将本地/远端视频进行随意分屏组合；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支持网络环境测试功能；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22. ★提供便携实景互动教学类软件著作权复印件加盖公章，中标后原件备查；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23. ★提供思维可视化系统类软件著作权复印件加盖公章，中标后原件备查；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24. ★提供权威部门关于便携实景互动教学软件相关功能的检测报告复印件并加盖公章，中标后原件备查。</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高清云台网络摄像机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图像传感器：≥1/2.8英寸500万像素CMOS传感器；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有效像素：≥207万；</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视频信号：1080P60/50/30/25/59.94/29.97；1080I60/50/59.94；720P60/50/30/25/59.94/29.97；</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光学变倍：≥ 20倍光学变焦；</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f＝4.7～94mm；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视角：2.9°（窄角）～55.4°（广角）；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光圈系数 ：F1.6 ～ F3.5；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数字变倍：X10；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 最低照度：0.5Lux(F1.8, AGC ON)；</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数字降噪：2D﹠3D数字降噪；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白平衡：手动/自动/一键白平衡/ 3000K/ 4000K/5000K/6500K；</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 聚焦：自动/手动；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 光圈：自动/手动；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 电子快门：自动/手动；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 背光补偿：开/关；</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16. 宽动态：关/动态等级调整；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17. 视频调节：亮度、色度、饱和度、对比度、锐度、黑白模式、伽马曲线；</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18. 信噪比：≥55dB；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19. 视频接口：DVI（HDMI）、3G-SDI；</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20. 图像码流：双码流输出；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21. 视频压缩格式：H.265、H.264；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22. 控制信号接口：RS-232，带环通RS232输出；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23. 控制协议：VISCA/Pelco-D/Pelco-P；</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24. 网络接口：100M网口（10/100BASE-TX）；</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25. 网络协议：RTSP、RTMP、ONVIF、GB/T28181；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26. 水平转动：-170°～+170°；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27. 俯仰转动：-30°～+90°；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28. 水平控制速度：0.1 ～100°/秒；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29. 俯仰控制速度：0.1～45°/秒；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30. 预置位速度：水平：100°/秒，俯仰：45°/秒；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31. 预置位数量：用户最多可设置255个预置位。</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无线麦克风</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频率响应：30Hz～18KHz;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音频动态范围：90dB;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调频范围：UHF730-790MHZ;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失真度：&lt;0.5%;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有效距离 ：最大20M（开阔无障碍物）。</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监听耳机</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频响范围：8Hz - 25,000 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阻抗：32Ω；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接口类型：L型镀金插头；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灵敏度：106dB/1mW；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最大承载功率：1000mW（IEC）；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线长：≥1.2mOFC无氧铜耳机线；</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三角架</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云台类型：球形云台；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脚管节数：≥4节；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最大管径：≥26mm；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折合高度：≥440mm；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最低工作高度：≤545mm；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最高工作高度：≥1600mm；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脚管锁类型：螺母型；</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承重：≥6kg。</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定制航空箱</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 定制。</w:t>
            </w:r>
          </w:p>
        </w:tc>
      </w:tr>
      <w:tr>
        <w:tblPrEx>
          <w:tblCellMar>
            <w:top w:w="0" w:type="dxa"/>
            <w:left w:w="108" w:type="dxa"/>
            <w:bottom w:w="0" w:type="dxa"/>
            <w:right w:w="108" w:type="dxa"/>
          </w:tblCellMar>
        </w:tblPrEx>
        <w:trPr>
          <w:trHeight w:val="23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8</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线缆</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各类视频线、音频线、网线、控制线等</w:t>
            </w:r>
          </w:p>
        </w:tc>
      </w:tr>
    </w:tbl>
    <w:p>
      <w:pPr>
        <w:rPr>
          <w:rFonts w:ascii="宋体" w:hAnsi="宋体" w:cs="宋体"/>
          <w:color w:val="auto"/>
          <w:sz w:val="18"/>
          <w:szCs w:val="18"/>
        </w:rPr>
      </w:pPr>
    </w:p>
    <w:p>
      <w:pPr>
        <w:rPr>
          <w:rFonts w:ascii="宋体" w:hAnsi="宋体" w:cs="宋体"/>
          <w:color w:val="auto"/>
          <w:kern w:val="0"/>
          <w:sz w:val="18"/>
          <w:szCs w:val="18"/>
        </w:rPr>
      </w:pPr>
    </w:p>
    <w:p>
      <w:pPr>
        <w:pStyle w:val="21"/>
        <w:snapToGrid w:val="0"/>
        <w:spacing w:before="120" w:after="120" w:line="24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w:t>
      </w:r>
    </w:p>
    <w:p>
      <w:pPr>
        <w:pStyle w:val="21"/>
        <w:snapToGrid w:val="0"/>
        <w:spacing w:before="120" w:after="120" w:line="240" w:lineRule="exact"/>
        <w:ind w:left="420" w:firstLine="4" w:firstLineChars="2"/>
        <w:rPr>
          <w:rFonts w:asciiTheme="minorEastAsia" w:hAnsiTheme="minorEastAsia" w:eastAsiaTheme="minorEastAsia" w:cstheme="minorEastAsia"/>
          <w:color w:val="auto"/>
          <w:sz w:val="21"/>
          <w:szCs w:val="21"/>
        </w:rPr>
        <w:sectPr>
          <w:pgSz w:w="11906" w:h="16838"/>
          <w:pgMar w:top="1440" w:right="1286" w:bottom="1440" w:left="1800" w:header="851" w:footer="992" w:gutter="0"/>
          <w:cols w:space="425" w:num="1"/>
          <w:docGrid w:type="lines" w:linePitch="312" w:charSpace="0"/>
        </w:sectPr>
      </w:pPr>
      <w:r>
        <w:rPr>
          <w:rFonts w:hint="eastAsia" w:asciiTheme="minorEastAsia" w:hAnsiTheme="minorEastAsia" w:eastAsiaTheme="minorEastAsia" w:cstheme="minorEastAsia"/>
          <w:color w:val="auto"/>
          <w:sz w:val="21"/>
          <w:szCs w:val="21"/>
        </w:rPr>
        <w:t>1、以上内容对投标人仅作参考，投标人可以根据投标产品，并列清明细，供评标委员会评审。</w:t>
      </w:r>
    </w:p>
    <w:p>
      <w:pPr>
        <w:snapToGrid w:val="0"/>
        <w:spacing w:line="480" w:lineRule="exact"/>
        <w:rPr>
          <w:rFonts w:asciiTheme="minorEastAsia" w:hAnsiTheme="minorEastAsia" w:eastAsiaTheme="minorEastAsia" w:cstheme="minorEastAsia"/>
          <w:b/>
          <w:color w:val="auto"/>
          <w:sz w:val="32"/>
          <w:szCs w:val="32"/>
        </w:rPr>
      </w:pPr>
      <w:bookmarkStart w:id="565" w:name="_Toc397928629"/>
      <w:bookmarkStart w:id="566" w:name="_Toc24184"/>
      <w:r>
        <w:rPr>
          <w:rFonts w:hint="eastAsia" w:asciiTheme="minorEastAsia" w:hAnsiTheme="minorEastAsia" w:eastAsiaTheme="minorEastAsia" w:cstheme="minorEastAsia"/>
          <w:b/>
          <w:color w:val="auto"/>
          <w:sz w:val="32"/>
          <w:szCs w:val="32"/>
        </w:rPr>
        <w:t>3.技术需求书</w:t>
      </w:r>
      <w:bookmarkEnd w:id="565"/>
      <w:bookmarkEnd w:id="566"/>
    </w:p>
    <w:p>
      <w:pPr>
        <w:spacing w:line="360" w:lineRule="auto"/>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可根据需要包含以下内容：</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1、工程概况</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2、采用的国家标准、技术规范等</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3、主要的技术参数</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4、技术要求和性能</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5、产品的结构要求</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6、包装、运输及储存</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7、设计及设计联络</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8、监造、检验及验收</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9、备品备件及专用工具</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10、培训及售后服务</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11、技术文件的要求</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12、其它 </w:t>
      </w:r>
    </w:p>
    <w:p>
      <w:pPr>
        <w:spacing w:line="360" w:lineRule="auto"/>
        <w:ind w:firstLine="48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具体可根据现场条件和项目要求进行调整</w:t>
      </w: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spacing w:line="360" w:lineRule="auto"/>
        <w:ind w:firstLine="480"/>
        <w:rPr>
          <w:rFonts w:asciiTheme="minorEastAsia" w:hAnsiTheme="minorEastAsia" w:eastAsiaTheme="minorEastAsia" w:cstheme="minorEastAsia"/>
          <w:color w:val="auto"/>
          <w:sz w:val="24"/>
        </w:rPr>
      </w:pPr>
    </w:p>
    <w:p>
      <w:pPr>
        <w:pStyle w:val="2"/>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567" w:name="_Toc29388481"/>
      <w:bookmarkStart w:id="568" w:name="_Toc7525"/>
      <w:bookmarkStart w:id="569" w:name="_Toc397928630"/>
      <w:r>
        <w:rPr>
          <w:rFonts w:hint="eastAsia" w:asciiTheme="minorEastAsia" w:hAnsiTheme="minorEastAsia" w:eastAsiaTheme="minorEastAsia" w:cstheme="minorEastAsia"/>
          <w:color w:val="auto"/>
        </w:rPr>
        <w:t>第六章 投标文件格式</w:t>
      </w:r>
      <w:bookmarkEnd w:id="567"/>
      <w:bookmarkEnd w:id="568"/>
      <w:bookmarkEnd w:id="569"/>
    </w:p>
    <w:p>
      <w:pPr>
        <w:spacing w:line="360" w:lineRule="auto"/>
        <w:jc w:val="left"/>
        <w:rPr>
          <w:rFonts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br w:type="page"/>
      </w:r>
      <w:bookmarkStart w:id="570" w:name="_Toc397928631"/>
      <w:bookmarkStart w:id="571" w:name="_Toc29388482"/>
      <w:r>
        <w:rPr>
          <w:rStyle w:val="83"/>
          <w:rFonts w:hint="eastAsia" w:asciiTheme="minorEastAsia" w:hAnsiTheme="minorEastAsia" w:eastAsiaTheme="minorEastAsia" w:cstheme="minorEastAsia"/>
          <w:color w:val="auto"/>
        </w:rPr>
        <w:t>封面</w:t>
      </w:r>
      <w:bookmarkEnd w:id="570"/>
      <w:bookmarkEnd w:id="571"/>
    </w:p>
    <w:p>
      <w:pPr>
        <w:spacing w:line="360" w:lineRule="auto"/>
        <w:jc w:val="center"/>
        <w:rPr>
          <w:rFonts w:asciiTheme="minorEastAsia" w:hAnsiTheme="minorEastAsia" w:eastAsiaTheme="minorEastAsia" w:cstheme="minorEastAsia"/>
          <w:b/>
          <w:color w:val="auto"/>
          <w:sz w:val="32"/>
        </w:rPr>
      </w:pPr>
    </w:p>
    <w:p>
      <w:pPr>
        <w:jc w:val="center"/>
        <w:rPr>
          <w:rFonts w:asciiTheme="minorEastAsia" w:hAnsiTheme="minorEastAsia" w:eastAsiaTheme="minorEastAsia" w:cstheme="minorEastAsia"/>
          <w:color w:val="auto"/>
          <w:sz w:val="44"/>
          <w:szCs w:val="44"/>
        </w:rPr>
      </w:pPr>
    </w:p>
    <w:p>
      <w:pPr>
        <w:jc w:val="center"/>
        <w:rPr>
          <w:rFonts w:asciiTheme="minorEastAsia" w:hAnsiTheme="minorEastAsia" w:eastAsiaTheme="minorEastAsia" w:cstheme="minorEastAsia"/>
          <w:color w:val="auto"/>
          <w:sz w:val="44"/>
          <w:szCs w:val="44"/>
        </w:rPr>
      </w:pPr>
      <w:r>
        <w:rPr>
          <w:rFonts w:hint="eastAsia" w:asciiTheme="minorEastAsia" w:hAnsiTheme="minorEastAsia" w:eastAsiaTheme="minorEastAsia" w:cstheme="minorEastAsia"/>
          <w:color w:val="auto"/>
          <w:sz w:val="44"/>
          <w:szCs w:val="44"/>
          <w:u w:val="single"/>
        </w:rPr>
        <w:t xml:space="preserve">   （项目名称）    </w:t>
      </w: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72"/>
          <w:szCs w:val="72"/>
        </w:rPr>
      </w:pPr>
    </w:p>
    <w:p>
      <w:pPr>
        <w:spacing w:line="360" w:lineRule="auto"/>
        <w:jc w:val="center"/>
        <w:rPr>
          <w:rFonts w:asciiTheme="minorEastAsia" w:hAnsiTheme="minorEastAsia" w:eastAsiaTheme="minorEastAsia" w:cstheme="minorEastAsia"/>
          <w:color w:val="auto"/>
          <w:sz w:val="96"/>
          <w:szCs w:val="96"/>
        </w:rPr>
      </w:pPr>
      <w:r>
        <w:rPr>
          <w:rFonts w:hint="eastAsia" w:asciiTheme="minorEastAsia" w:hAnsiTheme="minorEastAsia" w:eastAsiaTheme="minorEastAsia" w:cstheme="minorEastAsia"/>
          <w:color w:val="auto"/>
          <w:sz w:val="96"/>
          <w:szCs w:val="96"/>
        </w:rPr>
        <w:t>投 标 文 件</w:t>
      </w: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招标编号： </w:t>
      </w: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p>
    <w:p>
      <w:pPr>
        <w:spacing w:line="360" w:lineRule="auto"/>
        <w:ind w:firstLine="708" w:firstLineChars="253"/>
        <w:jc w:val="left"/>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投标人（盖章）：</w:t>
      </w:r>
    </w:p>
    <w:p>
      <w:pPr>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8"/>
          <w:szCs w:val="28"/>
        </w:rPr>
        <w:t>日期：年月日</w:t>
      </w:r>
      <w:r>
        <w:rPr>
          <w:rFonts w:hint="eastAsia" w:asciiTheme="minorEastAsia" w:hAnsiTheme="minorEastAsia" w:eastAsiaTheme="minorEastAsia" w:cstheme="minorEastAsia"/>
          <w:b/>
          <w:color w:val="auto"/>
          <w:sz w:val="32"/>
        </w:rPr>
        <w:br w:type="page"/>
      </w:r>
      <w:bookmarkStart w:id="572" w:name="_Toc387526438"/>
      <w:bookmarkStart w:id="573" w:name="_Toc5230"/>
      <w:bookmarkStart w:id="574" w:name="_Toc397928632"/>
      <w:bookmarkStart w:id="575" w:name="_Toc387526346"/>
      <w:bookmarkStart w:id="576" w:name="_Toc387526242"/>
    </w:p>
    <w:p>
      <w:pPr>
        <w:pStyle w:val="122"/>
        <w:rPr>
          <w:rFonts w:asciiTheme="minorEastAsia" w:hAnsiTheme="minorEastAsia" w:eastAsiaTheme="minorEastAsia" w:cstheme="minorEastAsia"/>
          <w:color w:val="auto"/>
        </w:rPr>
      </w:pPr>
      <w:bookmarkStart w:id="577" w:name="_Toc29388483"/>
      <w:r>
        <w:rPr>
          <w:rFonts w:hint="eastAsia" w:asciiTheme="minorEastAsia" w:hAnsiTheme="minorEastAsia" w:eastAsiaTheme="minorEastAsia" w:cstheme="minorEastAsia"/>
          <w:color w:val="auto"/>
        </w:rPr>
        <w:t>1.投标函</w:t>
      </w:r>
      <w:bookmarkEnd w:id="572"/>
      <w:bookmarkEnd w:id="573"/>
      <w:bookmarkEnd w:id="574"/>
      <w:bookmarkEnd w:id="575"/>
      <w:bookmarkEnd w:id="576"/>
      <w:bookmarkEnd w:id="577"/>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投   标   函</w:t>
      </w:r>
    </w:p>
    <w:p>
      <w:pPr>
        <w:pStyle w:val="110"/>
        <w:spacing w:line="360" w:lineRule="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Cs/>
          <w:color w:val="auto"/>
          <w:sz w:val="21"/>
          <w:szCs w:val="21"/>
          <w:u w:val="single"/>
        </w:rPr>
        <w:t>（招标人）</w:t>
      </w:r>
      <w:r>
        <w:rPr>
          <w:rFonts w:hint="eastAsia" w:asciiTheme="minorEastAsia" w:hAnsiTheme="minorEastAsia" w:eastAsiaTheme="minorEastAsia" w:cstheme="minorEastAsia"/>
          <w:color w:val="auto"/>
          <w:sz w:val="21"/>
          <w:szCs w:val="21"/>
        </w:rPr>
        <w:t>：</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1．我方已仔细研究了</w:t>
      </w:r>
      <w:r>
        <w:rPr>
          <w:rFonts w:hint="eastAsia" w:asciiTheme="minorEastAsia" w:hAnsiTheme="minorEastAsia" w:eastAsiaTheme="minorEastAsia" w:cstheme="minorEastAsia"/>
          <w:color w:val="auto"/>
          <w:kern w:val="0"/>
          <w:szCs w:val="21"/>
        </w:rPr>
        <w:t>（项目名称及标段）货物招标文件</w:t>
      </w:r>
      <w:r>
        <w:rPr>
          <w:rFonts w:hint="eastAsia" w:asciiTheme="minorEastAsia" w:hAnsiTheme="minorEastAsia" w:eastAsiaTheme="minorEastAsia" w:cstheme="minorEastAsia"/>
          <w:color w:val="auto"/>
          <w:szCs w:val="21"/>
        </w:rPr>
        <w:t>的全部内容，愿意以人民币（大写）（¥）元的投标总报价，以</w:t>
      </w:r>
      <w:r>
        <w:rPr>
          <w:rFonts w:hint="eastAsia" w:asciiTheme="minorEastAsia" w:hAnsiTheme="minorEastAsia" w:eastAsiaTheme="minorEastAsia" w:cstheme="minorEastAsia"/>
          <w:color w:val="auto"/>
          <w:szCs w:val="21"/>
          <w:u w:val="single"/>
        </w:rPr>
        <w:t xml:space="preserve"> （交货期或交付使用期）  </w:t>
      </w:r>
      <w:r>
        <w:rPr>
          <w:rFonts w:hint="eastAsia" w:asciiTheme="minorEastAsia" w:hAnsiTheme="minorEastAsia" w:eastAsiaTheme="minorEastAsia" w:cstheme="minorEastAsia"/>
          <w:color w:val="auto"/>
          <w:szCs w:val="21"/>
        </w:rPr>
        <w:t>，并将按招标文件的规定履行合同责任和义务，实现工程目的。</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2．我方承诺在招标文件规定的投标有效期内不修改、撤销投标文件。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3．如果我方中标，将派出（姓名）作为本工程的项目负责人。</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4．如我方中标：</w:t>
      </w:r>
    </w:p>
    <w:p>
      <w:pPr>
        <w:spacing w:line="360" w:lineRule="auto"/>
        <w:ind w:firstLine="539" w:firstLineChars="257"/>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（1）我方承诺在收到中标通知书后，在中标通知书规定的期限内与你方签订合同。</w:t>
      </w:r>
    </w:p>
    <w:p>
      <w:pPr>
        <w:spacing w:line="360" w:lineRule="auto"/>
        <w:ind w:firstLine="539" w:firstLineChars="257"/>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（2）我方承诺按照招标文件规定向你方递交履约保证金。</w:t>
      </w:r>
    </w:p>
    <w:p>
      <w:pPr>
        <w:spacing w:line="360" w:lineRule="auto"/>
        <w:ind w:firstLine="539" w:firstLineChars="257"/>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（3）我方将严格履行本投标文件中的全部承诺和责任，并遵守招标文件中对投标人的所有规定。</w:t>
      </w:r>
    </w:p>
    <w:p>
      <w:pPr>
        <w:spacing w:line="360" w:lineRule="auto"/>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rPr>
        <w:t>我方在此声明，所递交的投标文件及有关资料内容完整、真实和准确，且不存在第二章“投标人须知”第1.4.3项规定的任何一种情形。</w:t>
      </w:r>
    </w:p>
    <w:p>
      <w:pPr>
        <w:spacing w:line="360" w:lineRule="auto"/>
        <w:ind w:firstLine="420" w:firstLineChars="200"/>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我方承诺质保期：</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7．（其他补充说明）。</w:t>
      </w:r>
    </w:p>
    <w:p>
      <w:pPr>
        <w:pStyle w:val="110"/>
        <w:spacing w:line="360" w:lineRule="auto"/>
        <w:ind w:firstLine="420" w:firstLineChars="200"/>
        <w:rPr>
          <w:rFonts w:asciiTheme="minorEastAsia" w:hAnsiTheme="minorEastAsia" w:eastAsiaTheme="minorEastAsia" w:cstheme="minorEastAsia"/>
          <w:color w:val="auto"/>
          <w:sz w:val="21"/>
          <w:szCs w:val="21"/>
        </w:rPr>
      </w:pP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rPr>
      </w:pP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投标人(公章)：</w:t>
      </w: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u w:val="single"/>
        </w:rPr>
      </w:pP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u w:val="single"/>
        </w:rPr>
      </w:pP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法人代表或授权委托人（签字或印章）：</w:t>
      </w: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u w:val="single"/>
        </w:rPr>
      </w:pPr>
    </w:p>
    <w:p>
      <w:pPr>
        <w:pStyle w:val="110"/>
        <w:tabs>
          <w:tab w:val="left" w:pos="5665"/>
          <w:tab w:val="right" w:pos="8360"/>
        </w:tabs>
        <w:spacing w:line="360" w:lineRule="auto"/>
        <w:ind w:right="42" w:firstLine="1560" w:firstLineChars="650"/>
        <w:rPr>
          <w:rFonts w:asciiTheme="minorEastAsia" w:hAnsiTheme="minorEastAsia" w:eastAsiaTheme="minorEastAsia" w:cstheme="minorEastAsia"/>
          <w:color w:val="auto"/>
          <w:sz w:val="24"/>
          <w:u w:val="single"/>
        </w:rPr>
      </w:pPr>
    </w:p>
    <w:p>
      <w:pPr>
        <w:pStyle w:val="110"/>
        <w:tabs>
          <w:tab w:val="left" w:pos="5665"/>
          <w:tab w:val="right" w:pos="8360"/>
        </w:tabs>
        <w:spacing w:line="360" w:lineRule="auto"/>
        <w:ind w:right="42" w:firstLine="1575" w:firstLineChars="750"/>
        <w:jc w:val="lef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日 期：</w:t>
      </w:r>
    </w:p>
    <w:p>
      <w:pPr>
        <w:pStyle w:val="110"/>
        <w:tabs>
          <w:tab w:val="left" w:pos="5665"/>
          <w:tab w:val="right" w:pos="8360"/>
        </w:tabs>
        <w:spacing w:line="360" w:lineRule="auto"/>
        <w:ind w:right="42"/>
        <w:jc w:val="left"/>
        <w:rPr>
          <w:rFonts w:asciiTheme="minorEastAsia" w:hAnsiTheme="minorEastAsia" w:eastAsiaTheme="minorEastAsia" w:cstheme="minorEastAsia"/>
          <w:b/>
          <w:color w:val="auto"/>
          <w:sz w:val="21"/>
          <w:szCs w:val="21"/>
          <w:u w:val="single"/>
        </w:rPr>
      </w:pPr>
    </w:p>
    <w:p>
      <w:pPr>
        <w:pStyle w:val="122"/>
        <w:rPr>
          <w:rFonts w:asciiTheme="minorEastAsia" w:hAnsiTheme="minorEastAsia" w:eastAsiaTheme="minorEastAsia" w:cstheme="minorEastAsia"/>
          <w:color w:val="auto"/>
        </w:rPr>
      </w:pPr>
      <w:bookmarkStart w:id="578" w:name="_Toc387526347"/>
      <w:bookmarkStart w:id="579" w:name="_Toc387526243"/>
      <w:bookmarkStart w:id="580" w:name="_Toc4085"/>
      <w:bookmarkStart w:id="581" w:name="_Toc387526439"/>
      <w:r>
        <w:rPr>
          <w:rFonts w:hint="eastAsia" w:asciiTheme="minorEastAsia" w:hAnsiTheme="minorEastAsia" w:eastAsiaTheme="minorEastAsia" w:cstheme="minorEastAsia"/>
          <w:color w:val="auto"/>
        </w:rPr>
        <w:br w:type="page"/>
      </w:r>
      <w:bookmarkStart w:id="582" w:name="_Toc397928633"/>
      <w:bookmarkStart w:id="583" w:name="_Toc29388484"/>
      <w:r>
        <w:rPr>
          <w:rFonts w:hint="eastAsia" w:asciiTheme="minorEastAsia" w:hAnsiTheme="minorEastAsia" w:eastAsiaTheme="minorEastAsia" w:cstheme="minorEastAsia"/>
          <w:color w:val="auto"/>
        </w:rPr>
        <w:t>2.投标报价汇总表</w:t>
      </w:r>
      <w:bookmarkEnd w:id="578"/>
      <w:bookmarkEnd w:id="579"/>
      <w:bookmarkEnd w:id="580"/>
      <w:bookmarkEnd w:id="581"/>
      <w:bookmarkEnd w:id="582"/>
      <w:bookmarkEnd w:id="583"/>
    </w:p>
    <w:p>
      <w:pPr>
        <w:autoSpaceDE w:val="0"/>
        <w:autoSpaceDN w:val="0"/>
        <w:spacing w:line="360" w:lineRule="auto"/>
        <w:ind w:right="-5"/>
        <w:jc w:val="center"/>
        <w:textAlignment w:val="bottom"/>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投标报价汇总表</w:t>
      </w:r>
    </w:p>
    <w:p>
      <w:pPr>
        <w:spacing w:line="360" w:lineRule="auto"/>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szCs w:val="21"/>
        </w:rPr>
        <w:t>项目名称：</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招标编号：                                   标段号：（如有时）  </w:t>
      </w:r>
    </w:p>
    <w:tbl>
      <w:tblPr>
        <w:tblStyle w:val="43"/>
        <w:tblW w:w="9167" w:type="dxa"/>
        <w:jc w:val="center"/>
        <w:tblLayout w:type="fixed"/>
        <w:tblCellMar>
          <w:top w:w="0" w:type="dxa"/>
          <w:left w:w="30" w:type="dxa"/>
          <w:bottom w:w="0" w:type="dxa"/>
          <w:right w:w="30" w:type="dxa"/>
        </w:tblCellMar>
      </w:tblPr>
      <w:tblGrid>
        <w:gridCol w:w="840"/>
        <w:gridCol w:w="3585"/>
        <w:gridCol w:w="2976"/>
        <w:gridCol w:w="1766"/>
      </w:tblGrid>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内容</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价格（</w:t>
            </w:r>
            <w:r>
              <w:rPr>
                <w:rFonts w:hint="eastAsia" w:asciiTheme="minorEastAsia" w:hAnsiTheme="minorEastAsia" w:eastAsiaTheme="minorEastAsia" w:cstheme="minorEastAsia"/>
                <w:bCs/>
                <w:color w:val="auto"/>
                <w:szCs w:val="21"/>
              </w:rPr>
              <w:t>人民币万元）</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货物分项报价表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（等于附件1的汇总价）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备品备件分项报价表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（等于附件2的汇总价）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专用仪器仪表及工具分项报价表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（等于附件3的汇总价）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包装、运输及保险分项报价表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（等于附件4的汇总价）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其他费用分项报价表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（等于附件5的汇总价）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c>
          <w:tcPr>
            <w:tcW w:w="358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445" w:hRule="atLeast"/>
          <w:jc w:val="center"/>
        </w:trPr>
        <w:tc>
          <w:tcPr>
            <w:tcW w:w="44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投标总价（人民币小写）</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Theme="minorEastAsia" w:hAnsiTheme="minorEastAsia" w:eastAsiaTheme="minorEastAsia" w:cstheme="minorEastAsia"/>
                <w:color w:val="auto"/>
                <w:szCs w:val="21"/>
              </w:rPr>
            </w:pPr>
          </w:p>
        </w:tc>
      </w:tr>
      <w:tr>
        <w:tblPrEx>
          <w:tblCellMar>
            <w:top w:w="0" w:type="dxa"/>
            <w:left w:w="30" w:type="dxa"/>
            <w:bottom w:w="0" w:type="dxa"/>
            <w:right w:w="30" w:type="dxa"/>
          </w:tblCellMar>
        </w:tblPrEx>
        <w:trPr>
          <w:trHeight w:val="635" w:hRule="atLeast"/>
          <w:jc w:val="center"/>
        </w:trPr>
        <w:tc>
          <w:tcPr>
            <w:tcW w:w="9167"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投标总价（人民币大写）：</w:t>
            </w:r>
          </w:p>
        </w:tc>
      </w:tr>
      <w:tr>
        <w:tblPrEx>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投标保证金： </w:t>
            </w:r>
          </w:p>
        </w:tc>
      </w:tr>
      <w:tr>
        <w:tblPrEx>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供货期或交付使用期：</w:t>
            </w:r>
          </w:p>
        </w:tc>
      </w:tr>
      <w:tr>
        <w:tblPrEx>
          <w:tblCellMar>
            <w:top w:w="0" w:type="dxa"/>
            <w:left w:w="30" w:type="dxa"/>
            <w:bottom w:w="0" w:type="dxa"/>
            <w:right w:w="30" w:type="dxa"/>
          </w:tblCellMar>
        </w:tblPrEx>
        <w:trPr>
          <w:trHeight w:val="646"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优惠条件：（如有时）</w:t>
            </w:r>
          </w:p>
        </w:tc>
      </w:tr>
    </w:tbl>
    <w:p>
      <w:pPr>
        <w:autoSpaceDE w:val="0"/>
        <w:autoSpaceDN w:val="0"/>
        <w:spacing w:line="360" w:lineRule="auto"/>
        <w:ind w:right="-5"/>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注：此表的投标总价中已包含投标人完成本招标项目的一切费用包括税费；</w:t>
      </w:r>
    </w:p>
    <w:p>
      <w:pPr>
        <w:autoSpaceDE w:val="0"/>
        <w:autoSpaceDN w:val="0"/>
        <w:spacing w:line="360" w:lineRule="auto"/>
        <w:ind w:right="-5" w:firstLine="420" w:firstLineChars="200"/>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投标报价汇总等于序号1、2、3、4、5项之和。</w:t>
      </w:r>
    </w:p>
    <w:p>
      <w:pPr>
        <w:autoSpaceDE w:val="0"/>
        <w:autoSpaceDN w:val="0"/>
        <w:spacing w:line="360" w:lineRule="auto"/>
        <w:ind w:right="-5" w:firstLine="3780" w:firstLineChars="1800"/>
        <w:textAlignment w:val="bottom"/>
        <w:rPr>
          <w:rFonts w:asciiTheme="minorEastAsia" w:hAnsiTheme="minorEastAsia" w:eastAsiaTheme="minorEastAsia" w:cstheme="minorEastAsia"/>
          <w:color w:val="auto"/>
          <w:szCs w:val="21"/>
        </w:rPr>
      </w:pPr>
    </w:p>
    <w:p>
      <w:pPr>
        <w:pStyle w:val="110"/>
        <w:tabs>
          <w:tab w:val="left" w:pos="5665"/>
          <w:tab w:val="right" w:pos="8360"/>
        </w:tabs>
        <w:ind w:right="42" w:firstLine="1560" w:firstLineChars="65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投标人(公章)：</w:t>
      </w:r>
    </w:p>
    <w:p>
      <w:pPr>
        <w:pStyle w:val="110"/>
        <w:tabs>
          <w:tab w:val="left" w:pos="5665"/>
          <w:tab w:val="right" w:pos="8360"/>
        </w:tabs>
        <w:ind w:right="42" w:firstLine="1560" w:firstLineChars="650"/>
        <w:rPr>
          <w:rFonts w:asciiTheme="minorEastAsia" w:hAnsiTheme="minorEastAsia" w:eastAsiaTheme="minorEastAsia" w:cstheme="minorEastAsia"/>
          <w:color w:val="auto"/>
          <w:sz w:val="24"/>
          <w:u w:val="single"/>
        </w:rPr>
      </w:pPr>
    </w:p>
    <w:p>
      <w:pPr>
        <w:pStyle w:val="110"/>
        <w:tabs>
          <w:tab w:val="left" w:pos="5665"/>
          <w:tab w:val="right" w:pos="8360"/>
        </w:tabs>
        <w:ind w:right="42" w:firstLine="1560" w:firstLineChars="65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法人代表或授权委托人（签字或印章）：</w:t>
      </w:r>
    </w:p>
    <w:p>
      <w:pPr>
        <w:pStyle w:val="110"/>
        <w:tabs>
          <w:tab w:val="left" w:pos="5665"/>
          <w:tab w:val="right" w:pos="8360"/>
        </w:tabs>
        <w:ind w:right="42" w:firstLine="1560" w:firstLineChars="650"/>
        <w:rPr>
          <w:rFonts w:asciiTheme="minorEastAsia" w:hAnsiTheme="minorEastAsia" w:eastAsiaTheme="minorEastAsia" w:cstheme="minorEastAsia"/>
          <w:color w:val="auto"/>
          <w:sz w:val="24"/>
          <w:u w:val="single"/>
        </w:rPr>
      </w:pPr>
    </w:p>
    <w:p>
      <w:pPr>
        <w:pStyle w:val="110"/>
        <w:tabs>
          <w:tab w:val="left" w:pos="5665"/>
          <w:tab w:val="right" w:pos="8360"/>
        </w:tabs>
        <w:ind w:right="42" w:firstLine="1575" w:firstLineChars="750"/>
        <w:jc w:val="lef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日 期：</w:t>
      </w: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Cs w:val="21"/>
        </w:rPr>
        <w:br w:type="page"/>
      </w:r>
      <w:r>
        <w:rPr>
          <w:rFonts w:hint="eastAsia" w:asciiTheme="minorEastAsia" w:hAnsiTheme="minorEastAsia" w:eastAsiaTheme="minorEastAsia" w:cstheme="minorEastAsia"/>
          <w:b/>
          <w:color w:val="auto"/>
          <w:sz w:val="24"/>
        </w:rPr>
        <w:t xml:space="preserve">2.1货物分项报价表 </w:t>
      </w:r>
    </w:p>
    <w:p>
      <w:pPr>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货物分项报价表</w:t>
      </w:r>
    </w:p>
    <w:p>
      <w:pPr>
        <w:spacing w:line="360" w:lineRule="auto"/>
        <w:rPr>
          <w:rFonts w:asciiTheme="minorEastAsia" w:hAnsiTheme="minorEastAsia" w:eastAsiaTheme="minorEastAsia" w:cstheme="minorEastAsia"/>
          <w:color w:val="auto"/>
          <w:sz w:val="24"/>
        </w:rPr>
      </w:pP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招标编号：                         标段号：（如有时）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报价单位：人民币万元</w:t>
      </w:r>
    </w:p>
    <w:tbl>
      <w:tblPr>
        <w:tblStyle w:val="43"/>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型号及规格</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制造商/产地</w:t>
            </w: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295" w:type="dxa"/>
            <w:gridSpan w:val="6"/>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货物分项报价汇总</w:t>
            </w:r>
          </w:p>
        </w:tc>
        <w:tc>
          <w:tcPr>
            <w:tcW w:w="2315" w:type="dxa"/>
            <w:gridSpan w:val="2"/>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bl>
    <w:p>
      <w:pPr>
        <w:spacing w:line="360" w:lineRule="auto"/>
        <w:jc w:val="right"/>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br w:type="page"/>
      </w:r>
      <w:r>
        <w:rPr>
          <w:rFonts w:hint="eastAsia" w:asciiTheme="minorEastAsia" w:hAnsiTheme="minorEastAsia" w:eastAsiaTheme="minorEastAsia" w:cstheme="minorEastAsia"/>
          <w:b/>
          <w:color w:val="auto"/>
          <w:sz w:val="28"/>
          <w:szCs w:val="28"/>
        </w:rPr>
        <w:t xml:space="preserve"> 2.1-1货物报价明细表</w:t>
      </w:r>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货物报价明细表</w:t>
      </w:r>
    </w:p>
    <w:p>
      <w:pPr>
        <w:spacing w:line="360" w:lineRule="auto"/>
        <w:rPr>
          <w:rFonts w:asciiTheme="minorEastAsia" w:hAnsiTheme="minorEastAsia" w:eastAsiaTheme="minorEastAsia" w:cstheme="minorEastAsia"/>
          <w:color w:val="auto"/>
          <w:sz w:val="24"/>
        </w:rPr>
      </w:pP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招标编号：                         标段号：（如有时）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报价单位：人民币万元</w:t>
      </w:r>
    </w:p>
    <w:tbl>
      <w:tblPr>
        <w:tblStyle w:val="43"/>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元器件、材料的规格参数</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制造商/产地</w:t>
            </w: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bl>
    <w:p>
      <w:pPr>
        <w:spacing w:line="360" w:lineRule="auto"/>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Cs w:val="21"/>
        </w:rPr>
        <w:t>投标人可根据项目要求提供所投设备报价明细</w:t>
      </w:r>
    </w:p>
    <w:p>
      <w:pPr>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 w:val="28"/>
          <w:szCs w:val="28"/>
        </w:rPr>
        <w:br w:type="page"/>
      </w:r>
      <w:r>
        <w:rPr>
          <w:rFonts w:hint="eastAsia" w:asciiTheme="minorEastAsia" w:hAnsiTheme="minorEastAsia" w:eastAsiaTheme="minorEastAsia" w:cstheme="minorEastAsia"/>
          <w:b/>
          <w:color w:val="auto"/>
          <w:sz w:val="28"/>
          <w:szCs w:val="28"/>
        </w:rPr>
        <w:t>2.2备品备件分项报价表</w:t>
      </w:r>
    </w:p>
    <w:p>
      <w:pPr>
        <w:spacing w:line="360" w:lineRule="auto"/>
        <w:rPr>
          <w:rFonts w:asciiTheme="minorEastAsia" w:hAnsiTheme="minorEastAsia" w:eastAsiaTheme="minorEastAsia" w:cstheme="minorEastAsia"/>
          <w:b/>
          <w:color w:val="auto"/>
          <w:sz w:val="28"/>
          <w:szCs w:val="28"/>
        </w:rPr>
      </w:pPr>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备品备件分项报价表</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招标编号：                                标段号：（如有时）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报价单位：人民币万元</w:t>
      </w:r>
    </w:p>
    <w:tbl>
      <w:tblPr>
        <w:tblStyle w:val="43"/>
        <w:tblW w:w="8752" w:type="dxa"/>
        <w:tblInd w:w="3" w:type="dxa"/>
        <w:tblLayout w:type="fixed"/>
        <w:tblCellMar>
          <w:top w:w="0" w:type="dxa"/>
          <w:left w:w="108" w:type="dxa"/>
          <w:bottom w:w="0" w:type="dxa"/>
          <w:right w:w="108" w:type="dxa"/>
        </w:tblCellMar>
      </w:tblPr>
      <w:tblGrid>
        <w:gridCol w:w="815"/>
        <w:gridCol w:w="1289"/>
        <w:gridCol w:w="1256"/>
        <w:gridCol w:w="993"/>
        <w:gridCol w:w="994"/>
        <w:gridCol w:w="994"/>
        <w:gridCol w:w="994"/>
        <w:gridCol w:w="1417"/>
      </w:tblGrid>
      <w:tr>
        <w:tblPrEx>
          <w:tblCellMar>
            <w:top w:w="0" w:type="dxa"/>
            <w:left w:w="108" w:type="dxa"/>
            <w:bottom w:w="0" w:type="dxa"/>
            <w:right w:w="108" w:type="dxa"/>
          </w:tblCellMar>
        </w:tblPrEx>
        <w:trPr>
          <w:cantSplit/>
          <w:trHeight w:val="854" w:hRule="atLeast"/>
        </w:trPr>
        <w:tc>
          <w:tcPr>
            <w:tcW w:w="815"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289"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备品备件</w:t>
            </w:r>
          </w:p>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256"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型号及规格</w:t>
            </w:r>
          </w:p>
        </w:tc>
        <w:tc>
          <w:tcPr>
            <w:tcW w:w="993"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99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99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994"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417" w:type="dxa"/>
            <w:tcBorders>
              <w:top w:val="single" w:color="auto" w:sz="4" w:space="0"/>
              <w:left w:val="nil"/>
              <w:bottom w:val="nil"/>
              <w:right w:val="single" w:color="auto" w:sz="4" w:space="0"/>
            </w:tcBorders>
            <w:vAlign w:val="center"/>
          </w:tcPr>
          <w:p>
            <w:pPr>
              <w:widowControl/>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制造商/产地</w:t>
            </w: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r>
        <w:tblPrEx>
          <w:tblCellMar>
            <w:top w:w="0" w:type="dxa"/>
            <w:left w:w="108" w:type="dxa"/>
            <w:bottom w:w="0" w:type="dxa"/>
            <w:right w:w="108" w:type="dxa"/>
          </w:tblCellMar>
        </w:tblPrEx>
        <w:trPr>
          <w:cantSplit/>
          <w:trHeight w:val="655" w:hRule="atLeast"/>
        </w:trPr>
        <w:tc>
          <w:tcPr>
            <w:tcW w:w="6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备品备件分项报价汇总</w:t>
            </w:r>
          </w:p>
        </w:tc>
        <w:tc>
          <w:tcPr>
            <w:tcW w:w="2411"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auto"/>
                <w:szCs w:val="21"/>
              </w:rPr>
            </w:pPr>
          </w:p>
        </w:tc>
      </w:tr>
    </w:tbl>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rPr>
        <w:br w:type="page"/>
      </w:r>
      <w:r>
        <w:rPr>
          <w:rFonts w:hint="eastAsia" w:asciiTheme="minorEastAsia" w:hAnsiTheme="minorEastAsia" w:eastAsiaTheme="minorEastAsia" w:cstheme="minorEastAsia"/>
          <w:b/>
          <w:color w:val="auto"/>
          <w:sz w:val="28"/>
          <w:szCs w:val="28"/>
        </w:rPr>
        <w:t>2.3专用仪器仪表及工具分项报价表</w:t>
      </w:r>
    </w:p>
    <w:p>
      <w:pPr>
        <w:spacing w:line="360" w:lineRule="auto"/>
        <w:rPr>
          <w:rFonts w:asciiTheme="minorEastAsia" w:hAnsiTheme="minorEastAsia" w:eastAsiaTheme="minorEastAsia" w:cstheme="minorEastAsia"/>
          <w:b/>
          <w:color w:val="auto"/>
          <w:sz w:val="24"/>
        </w:rPr>
      </w:pPr>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专用仪器仪表及工具分项报价表</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招标编号：标段号：（如有时）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报价单位：人民币万元</w:t>
      </w:r>
    </w:p>
    <w:tbl>
      <w:tblPr>
        <w:tblStyle w:val="43"/>
        <w:tblW w:w="8519" w:type="dxa"/>
        <w:tblInd w:w="3" w:type="dxa"/>
        <w:tblLayout w:type="fixed"/>
        <w:tblCellMar>
          <w:top w:w="0" w:type="dxa"/>
          <w:left w:w="108" w:type="dxa"/>
          <w:bottom w:w="0" w:type="dxa"/>
          <w:right w:w="108" w:type="dxa"/>
        </w:tblCellMar>
      </w:tblPr>
      <w:tblGrid>
        <w:gridCol w:w="654"/>
        <w:gridCol w:w="2076"/>
        <w:gridCol w:w="1264"/>
        <w:gridCol w:w="654"/>
        <w:gridCol w:w="654"/>
        <w:gridCol w:w="898"/>
        <w:gridCol w:w="901"/>
        <w:gridCol w:w="1418"/>
      </w:tblGrid>
      <w:tr>
        <w:tblPrEx>
          <w:tblCellMar>
            <w:top w:w="0" w:type="dxa"/>
            <w:left w:w="108" w:type="dxa"/>
            <w:bottom w:w="0" w:type="dxa"/>
            <w:right w:w="108" w:type="dxa"/>
          </w:tblCellMar>
        </w:tblPrEx>
        <w:trPr>
          <w:cantSplit/>
          <w:trHeight w:val="691" w:hRule="atLeast"/>
        </w:trPr>
        <w:tc>
          <w:tcPr>
            <w:tcW w:w="654" w:type="dxa"/>
            <w:tcBorders>
              <w:top w:val="single" w:color="auto" w:sz="4" w:space="0"/>
              <w:left w:val="single" w:color="auto" w:sz="4" w:space="0"/>
              <w:bottom w:val="nil"/>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2076" w:type="dxa"/>
            <w:tcBorders>
              <w:top w:val="single" w:color="auto" w:sz="4" w:space="0"/>
              <w:left w:val="single" w:color="auto" w:sz="6" w:space="0"/>
              <w:bottom w:val="nil"/>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仪器仪表及工具名称</w:t>
            </w:r>
          </w:p>
        </w:tc>
        <w:tc>
          <w:tcPr>
            <w:tcW w:w="1264"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型号及规格</w:t>
            </w:r>
          </w:p>
        </w:tc>
        <w:tc>
          <w:tcPr>
            <w:tcW w:w="65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65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898"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901"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418"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制造商/产地</w:t>
            </w: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auto"/>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898"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901"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cantSplit/>
          <w:trHeight w:val="655" w:hRule="atLeast"/>
        </w:trPr>
        <w:tc>
          <w:tcPr>
            <w:tcW w:w="620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专用仪器仪表及工具分项报价汇总</w:t>
            </w:r>
          </w:p>
        </w:tc>
        <w:tc>
          <w:tcPr>
            <w:tcW w:w="23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auto"/>
                <w:szCs w:val="21"/>
              </w:rPr>
            </w:pPr>
          </w:p>
        </w:tc>
      </w:tr>
    </w:tbl>
    <w:p>
      <w:pPr>
        <w:spacing w:line="360" w:lineRule="auto"/>
        <w:jc w:val="center"/>
        <w:rPr>
          <w:rFonts w:asciiTheme="minorEastAsia" w:hAnsiTheme="minorEastAsia" w:eastAsiaTheme="minorEastAsia" w:cstheme="minorEastAsia"/>
          <w:color w:val="auto"/>
          <w:sz w:val="24"/>
        </w:rPr>
      </w:pPr>
    </w:p>
    <w:p>
      <w:pPr>
        <w:spacing w:line="360" w:lineRule="auto"/>
        <w:jc w:val="center"/>
        <w:rPr>
          <w:rFonts w:asciiTheme="minorEastAsia" w:hAnsiTheme="minorEastAsia" w:eastAsiaTheme="minorEastAsia" w:cstheme="minorEastAsia"/>
          <w:color w:val="auto"/>
          <w:szCs w:val="21"/>
        </w:rPr>
      </w:pPr>
    </w:p>
    <w:p>
      <w:pPr>
        <w:spacing w:line="360" w:lineRule="auto"/>
        <w:jc w:val="center"/>
        <w:rPr>
          <w:rFonts w:asciiTheme="minorEastAsia" w:hAnsiTheme="minorEastAsia" w:eastAsiaTheme="minorEastAsia" w:cstheme="minorEastAsia"/>
          <w:b/>
          <w:color w:val="auto"/>
          <w:sz w:val="32"/>
        </w:rPr>
      </w:pPr>
    </w:p>
    <w:p>
      <w:pPr>
        <w:spacing w:line="36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36"/>
          <w:szCs w:val="36"/>
        </w:rPr>
        <w:br w:type="page"/>
      </w:r>
      <w:r>
        <w:rPr>
          <w:rFonts w:hint="eastAsia" w:asciiTheme="minorEastAsia" w:hAnsiTheme="minorEastAsia" w:eastAsiaTheme="minorEastAsia" w:cstheme="minorEastAsia"/>
          <w:b/>
          <w:color w:val="auto"/>
          <w:sz w:val="28"/>
          <w:szCs w:val="28"/>
        </w:rPr>
        <w:t>2.4包装、运输及保险分项报价表</w:t>
      </w:r>
    </w:p>
    <w:p>
      <w:pPr>
        <w:pStyle w:val="110"/>
        <w:spacing w:line="360" w:lineRule="auto"/>
        <w:jc w:val="center"/>
        <w:rPr>
          <w:rFonts w:asciiTheme="minorEastAsia" w:hAnsiTheme="minorEastAsia" w:eastAsiaTheme="minorEastAsia" w:cstheme="minorEastAsia"/>
          <w:b/>
          <w:color w:val="auto"/>
          <w:sz w:val="32"/>
          <w:szCs w:val="32"/>
        </w:rPr>
      </w:pPr>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包装、运输及保险分项报价表</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招标编号：                    标段号：（如有时）                       </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报价单位：人民币万元</w:t>
      </w:r>
    </w:p>
    <w:tbl>
      <w:tblPr>
        <w:tblStyle w:val="4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1638"/>
        <w:gridCol w:w="1638"/>
        <w:gridCol w:w="1638"/>
        <w:gridCol w:w="1437"/>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具体内容</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取费标准</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价格合计</w:t>
            </w:r>
          </w:p>
        </w:tc>
        <w:tc>
          <w:tcPr>
            <w:tcW w:w="1185"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包装</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运输</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上、下力</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保险</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590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包装、运输及保险分项报价汇总</w:t>
            </w: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bl>
    <w:p>
      <w:pPr>
        <w:widowControl/>
        <w:spacing w:line="360" w:lineRule="auto"/>
        <w:jc w:val="left"/>
        <w:rPr>
          <w:rFonts w:asciiTheme="minorEastAsia" w:hAnsiTheme="minorEastAsia" w:eastAsiaTheme="minorEastAsia" w:cstheme="minorEastAsia"/>
          <w:b/>
          <w:color w:val="auto"/>
          <w:kern w:val="0"/>
          <w:sz w:val="36"/>
          <w:szCs w:val="36"/>
        </w:rPr>
        <w:sectPr>
          <w:footerReference r:id="rId7" w:type="default"/>
          <w:pgSz w:w="11906" w:h="16838"/>
          <w:pgMar w:top="1247" w:right="1418" w:bottom="1246" w:left="1701" w:header="851" w:footer="992" w:gutter="0"/>
          <w:cols w:space="720" w:num="1"/>
          <w:docGrid w:type="linesAndChars" w:linePitch="312" w:charSpace="0"/>
        </w:sectPr>
      </w:pPr>
    </w:p>
    <w:p>
      <w:pPr>
        <w:spacing w:line="36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2.5其它分项报价表</w:t>
      </w:r>
    </w:p>
    <w:p>
      <w:pPr>
        <w:pStyle w:val="110"/>
        <w:spacing w:line="360" w:lineRule="auto"/>
        <w:jc w:val="center"/>
        <w:rPr>
          <w:rFonts w:asciiTheme="minorEastAsia" w:hAnsiTheme="minorEastAsia" w:eastAsiaTheme="minorEastAsia" w:cstheme="minorEastAsia"/>
          <w:b/>
          <w:color w:val="auto"/>
          <w:sz w:val="32"/>
          <w:szCs w:val="32"/>
        </w:rPr>
      </w:pPr>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其它分项报价表</w:t>
      </w:r>
    </w:p>
    <w:p>
      <w:pPr>
        <w:spacing w:line="360" w:lineRule="auto"/>
        <w:ind w:left="-2" w:leftChars="-68" w:right="-617" w:rightChars="-294" w:hanging="140" w:hangingChars="67"/>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line="360" w:lineRule="auto"/>
        <w:ind w:left="-2" w:leftChars="-68" w:right="-617" w:rightChars="-294" w:hanging="140" w:hangingChars="67"/>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招标编号：                                  标段号：（如有时）</w:t>
      </w:r>
    </w:p>
    <w:p>
      <w:pPr>
        <w:spacing w:line="360" w:lineRule="auto"/>
        <w:ind w:left="-2" w:leftChars="-68" w:right="-617" w:rightChars="-294" w:hanging="140" w:hangingChars="67"/>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报价单位：</w:t>
      </w:r>
      <w:r>
        <w:rPr>
          <w:rFonts w:hint="eastAsia" w:asciiTheme="minorEastAsia" w:hAnsiTheme="minorEastAsia" w:eastAsiaTheme="minorEastAsia" w:cstheme="minorEastAsia"/>
          <w:color w:val="auto"/>
        </w:rPr>
        <w:t>人民币</w:t>
      </w:r>
      <w:r>
        <w:rPr>
          <w:rFonts w:hint="eastAsia" w:asciiTheme="minorEastAsia" w:hAnsiTheme="minorEastAsia" w:eastAsiaTheme="minorEastAsia" w:cstheme="minorEastAsia"/>
          <w:color w:val="auto"/>
          <w:szCs w:val="21"/>
        </w:rPr>
        <w:t>万元</w:t>
      </w:r>
    </w:p>
    <w:tbl>
      <w:tblPr>
        <w:tblStyle w:val="43"/>
        <w:tblW w:w="8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2413"/>
        <w:gridCol w:w="1577"/>
        <w:gridCol w:w="1434"/>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取费标准</w:t>
            </w: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价格合计</w:t>
            </w: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设计联络</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配合费</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售后服务</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培训费</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技术资料</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软件</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安装</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调试（含单机调试和联合调试）</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cstheme="minorEastAsia"/>
                <w:color w:val="auto"/>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cstheme="minorEastAsia"/>
                <w:color w:val="auto"/>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cstheme="minorEastAsia"/>
                <w:color w:val="auto"/>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4697"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其他分项报价汇总</w:t>
            </w: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auto"/>
                <w:szCs w:val="21"/>
              </w:rPr>
            </w:pPr>
          </w:p>
        </w:tc>
      </w:tr>
    </w:tbl>
    <w:p>
      <w:pPr>
        <w:spacing w:line="360" w:lineRule="auto"/>
        <w:jc w:val="left"/>
        <w:rPr>
          <w:rFonts w:asciiTheme="minorEastAsia" w:hAnsiTheme="minorEastAsia" w:eastAsiaTheme="minorEastAsia" w:cstheme="minorEastAsia"/>
          <w:color w:val="auto"/>
        </w:rPr>
      </w:pPr>
    </w:p>
    <w:p>
      <w:pPr>
        <w:pStyle w:val="122"/>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584" w:name="_Toc29388485"/>
      <w:bookmarkStart w:id="585" w:name="_Toc387526244"/>
      <w:bookmarkStart w:id="586" w:name="_Toc387526440"/>
      <w:bookmarkStart w:id="587" w:name="_Toc27195"/>
      <w:bookmarkStart w:id="588" w:name="_Toc387526348"/>
      <w:bookmarkStart w:id="589" w:name="_Toc397928634"/>
      <w:r>
        <w:rPr>
          <w:rFonts w:hint="eastAsia" w:asciiTheme="minorEastAsia" w:hAnsiTheme="minorEastAsia" w:eastAsiaTheme="minorEastAsia" w:cstheme="minorEastAsia"/>
          <w:color w:val="auto"/>
        </w:rPr>
        <w:t>3.商务及技术条款偏离表</w:t>
      </w:r>
      <w:bookmarkEnd w:id="584"/>
      <w:bookmarkEnd w:id="585"/>
      <w:bookmarkEnd w:id="586"/>
      <w:bookmarkEnd w:id="587"/>
      <w:bookmarkEnd w:id="588"/>
      <w:bookmarkEnd w:id="589"/>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商务及技术条款偏离表</w:t>
      </w:r>
    </w:p>
    <w:p>
      <w:pPr>
        <w:spacing w:line="360" w:lineRule="auto"/>
        <w:jc w:val="center"/>
        <w:rPr>
          <w:rFonts w:asciiTheme="minorEastAsia" w:hAnsiTheme="minorEastAsia" w:eastAsiaTheme="minorEastAsia" w:cstheme="minorEastAsia"/>
          <w:color w:val="auto"/>
        </w:rPr>
      </w:pPr>
    </w:p>
    <w:p>
      <w:pPr>
        <w:spacing w:line="360" w:lineRule="auto"/>
        <w:ind w:right="-365" w:rightChars="-174" w:firstLine="119" w:firstLineChars="57"/>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招标文件编号：                                         标段号（如有时）：</w:t>
      </w:r>
    </w:p>
    <w:tbl>
      <w:tblPr>
        <w:tblStyle w:val="43"/>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招标文件</w:t>
            </w:r>
          </w:p>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招标文件的</w:t>
            </w:r>
          </w:p>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投标文件的</w:t>
            </w:r>
          </w:p>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auto"/>
                <w:szCs w:val="21"/>
              </w:rPr>
            </w:pPr>
          </w:p>
        </w:tc>
      </w:tr>
    </w:tbl>
    <w:p>
      <w:pPr>
        <w:spacing w:line="360" w:lineRule="auto"/>
        <w:ind w:left="630" w:leftChars="100" w:hanging="420" w:hanging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注：投标人必须对招标文件的主要商务技术条款（如供货期、付款方式、履约保证、质保期等）</w:t>
      </w:r>
    </w:p>
    <w:p>
      <w:pPr>
        <w:spacing w:line="360" w:lineRule="auto"/>
        <w:ind w:left="630" w:leftChars="100" w:hanging="420" w:hanging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逐条填写。</w:t>
      </w:r>
    </w:p>
    <w:p>
      <w:pPr>
        <w:spacing w:line="360" w:lineRule="auto"/>
        <w:rPr>
          <w:rFonts w:asciiTheme="minorEastAsia" w:hAnsiTheme="minorEastAsia" w:eastAsiaTheme="minorEastAsia" w:cstheme="minorEastAsia"/>
          <w:color w:val="auto"/>
          <w:szCs w:val="21"/>
        </w:rPr>
      </w:pPr>
    </w:p>
    <w:p>
      <w:pPr>
        <w:spacing w:line="360" w:lineRule="auto"/>
        <w:ind w:firstLine="4139" w:firstLineChars="197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授权委托人（签字）：</w:t>
      </w:r>
    </w:p>
    <w:p>
      <w:pPr>
        <w:pStyle w:val="110"/>
        <w:spacing w:line="360" w:lineRule="auto"/>
        <w:ind w:firstLine="4139" w:firstLineChars="1971"/>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             期：</w:t>
      </w:r>
    </w:p>
    <w:p>
      <w:pPr>
        <w:pStyle w:val="3"/>
        <w:spacing w:line="360" w:lineRule="auto"/>
        <w:rPr>
          <w:rFonts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24"/>
        </w:rPr>
        <w:br w:type="page"/>
      </w:r>
      <w:bookmarkStart w:id="590" w:name="_Toc387526441"/>
      <w:bookmarkStart w:id="591" w:name="_Toc5065"/>
      <w:bookmarkStart w:id="592" w:name="_Toc397928635"/>
      <w:bookmarkStart w:id="593" w:name="_Toc29388486"/>
      <w:bookmarkStart w:id="594" w:name="_Toc387526349"/>
      <w:bookmarkStart w:id="595" w:name="_Toc387526245"/>
      <w:r>
        <w:rPr>
          <w:rFonts w:hint="eastAsia" w:asciiTheme="minorEastAsia" w:hAnsiTheme="minorEastAsia" w:eastAsiaTheme="minorEastAsia" w:cstheme="minorEastAsia"/>
          <w:color w:val="auto"/>
        </w:rPr>
        <w:t>4.授权委托书</w:t>
      </w:r>
      <w:bookmarkEnd w:id="590"/>
      <w:bookmarkEnd w:id="591"/>
      <w:bookmarkEnd w:id="592"/>
      <w:bookmarkEnd w:id="593"/>
      <w:bookmarkEnd w:id="594"/>
      <w:bookmarkEnd w:id="595"/>
    </w:p>
    <w:p>
      <w:pPr>
        <w:autoSpaceDE w:val="0"/>
        <w:autoSpaceDN w:val="0"/>
        <w:adjustRightInd w:val="0"/>
        <w:jc w:val="center"/>
        <w:rPr>
          <w:rFonts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授权委托书</w:t>
      </w:r>
    </w:p>
    <w:p>
      <w:pPr>
        <w:autoSpaceDE w:val="0"/>
        <w:autoSpaceDN w:val="0"/>
        <w:adjustRightInd w:val="0"/>
        <w:jc w:val="center"/>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本人（姓名）系（投标人名称）的法定代表人，现委托（姓名）为我方代理人。代理人根据授权，以我方名义签署、澄清、说明、补正、递交、撤回、修改</w:t>
      </w:r>
      <w:r>
        <w:rPr>
          <w:rFonts w:hint="eastAsia" w:asciiTheme="minorEastAsia" w:hAnsiTheme="minorEastAsia" w:eastAsiaTheme="minorEastAsia" w:cstheme="minorEastAsia"/>
          <w:color w:val="auto"/>
          <w:kern w:val="0"/>
          <w:szCs w:val="21"/>
          <w:u w:val="single"/>
        </w:rPr>
        <w:t xml:space="preserve">             （项目名称及标段）      </w:t>
      </w:r>
      <w:r>
        <w:rPr>
          <w:rFonts w:hint="eastAsia" w:asciiTheme="minorEastAsia" w:hAnsiTheme="minorEastAsia" w:eastAsiaTheme="minorEastAsia" w:cstheme="minorEastAsia"/>
          <w:color w:val="auto"/>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委托期限： 。</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代理人无转委托权。</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附：法定代表人身份证明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  标  人：（盖单位章）</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委托代理人：（签字）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auto"/>
          <w:kern w:val="0"/>
          <w:szCs w:val="21"/>
          <w:u w:val="single"/>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auto"/>
          <w:kern w:val="0"/>
          <w:szCs w:val="21"/>
          <w:u w:val="single"/>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auto"/>
          <w:kern w:val="0"/>
          <w:szCs w:val="21"/>
          <w:u w:val="single"/>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年月日</w:t>
      </w:r>
    </w:p>
    <w:p>
      <w:pPr>
        <w:pStyle w:val="110"/>
        <w:spacing w:line="360" w:lineRule="auto"/>
        <w:jc w:val="left"/>
        <w:rPr>
          <w:rFonts w:asciiTheme="minorEastAsia" w:hAnsiTheme="minorEastAsia" w:eastAsiaTheme="minorEastAsia" w:cstheme="minorEastAsia"/>
          <w:color w:val="auto"/>
          <w:sz w:val="24"/>
        </w:rPr>
      </w:pPr>
    </w:p>
    <w:p>
      <w:pPr>
        <w:pStyle w:val="110"/>
        <w:spacing w:line="360" w:lineRule="auto"/>
        <w:jc w:val="left"/>
        <w:rPr>
          <w:rFonts w:asciiTheme="minorEastAsia" w:hAnsiTheme="minorEastAsia" w:eastAsiaTheme="minorEastAsia" w:cstheme="minorEastAsia"/>
          <w:color w:val="auto"/>
          <w:sz w:val="24"/>
        </w:rPr>
      </w:pPr>
    </w:p>
    <w:p>
      <w:pPr>
        <w:pStyle w:val="110"/>
        <w:spacing w:line="360" w:lineRule="auto"/>
        <w:jc w:val="left"/>
        <w:rPr>
          <w:rFonts w:asciiTheme="minorEastAsia" w:hAnsiTheme="minorEastAsia" w:eastAsiaTheme="minorEastAsia" w:cstheme="minorEastAsia"/>
          <w:color w:val="auto"/>
          <w:sz w:val="24"/>
        </w:rPr>
      </w:pPr>
    </w:p>
    <w:p>
      <w:pPr>
        <w:pStyle w:val="3"/>
        <w:spacing w:line="360" w:lineRule="auto"/>
        <w:rPr>
          <w:rFonts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sz w:val="24"/>
        </w:rPr>
        <w:br w:type="page"/>
      </w:r>
      <w:bookmarkStart w:id="596" w:name="_Toc29388487"/>
      <w:r>
        <w:rPr>
          <w:rFonts w:hint="eastAsia" w:asciiTheme="minorEastAsia" w:hAnsiTheme="minorEastAsia" w:eastAsiaTheme="minorEastAsia" w:cstheme="minorEastAsia"/>
          <w:color w:val="auto"/>
        </w:rPr>
        <w:t>5.法定代表人身份证明</w:t>
      </w:r>
      <w:bookmarkEnd w:id="596"/>
    </w:p>
    <w:p>
      <w:pPr>
        <w:autoSpaceDE w:val="0"/>
        <w:autoSpaceDN w:val="0"/>
        <w:adjustRightInd w:val="0"/>
        <w:spacing w:line="360" w:lineRule="auto"/>
        <w:ind w:firstLine="480" w:firstLineChars="200"/>
        <w:jc w:val="left"/>
        <w:rPr>
          <w:rFonts w:asciiTheme="minorEastAsia" w:hAnsiTheme="minorEastAsia" w:eastAsiaTheme="minorEastAsia" w:cstheme="minorEastAsia"/>
          <w:color w:val="auto"/>
          <w:kern w:val="0"/>
          <w:sz w:val="24"/>
        </w:rPr>
      </w:pP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auto"/>
          <w:kern w:val="0"/>
          <w:sz w:val="24"/>
        </w:rPr>
      </w:pPr>
    </w:p>
    <w:p>
      <w:pPr>
        <w:autoSpaceDE w:val="0"/>
        <w:autoSpaceDN w:val="0"/>
        <w:adjustRightInd w:val="0"/>
        <w:spacing w:line="360" w:lineRule="auto"/>
        <w:jc w:val="center"/>
        <w:rPr>
          <w:rFonts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法定代表人身份证明</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auto"/>
          <w:kern w:val="0"/>
          <w:sz w:val="24"/>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 标 人：</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单位性质：</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地    址：</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成立时间：年月日</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经营期限：</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姓    名：    性        别：</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年    龄：    职        务：</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系（投标人名称）的法定代表人。</w:t>
      </w:r>
    </w:p>
    <w:p>
      <w:pPr>
        <w:autoSpaceDE w:val="0"/>
        <w:autoSpaceDN w:val="0"/>
        <w:adjustRightInd w:val="0"/>
        <w:spacing w:line="360" w:lineRule="auto"/>
        <w:ind w:firstLine="840" w:firstLineChars="4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特此证明。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附：法定代表人身份证复印件。</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1995" w:firstLineChars="95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投标人：（盖单位章）</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年月日  </w:t>
      </w:r>
    </w:p>
    <w:p>
      <w:pPr>
        <w:pStyle w:val="110"/>
        <w:spacing w:line="360" w:lineRule="auto"/>
        <w:rPr>
          <w:rFonts w:asciiTheme="minorEastAsia" w:hAnsiTheme="minorEastAsia" w:eastAsiaTheme="minorEastAsia" w:cstheme="minorEastAsia"/>
          <w:b/>
          <w:color w:val="auto"/>
          <w:sz w:val="24"/>
        </w:rPr>
      </w:pPr>
    </w:p>
    <w:p>
      <w:pPr>
        <w:pStyle w:val="11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122"/>
        <w:rPr>
          <w:rFonts w:asciiTheme="minorEastAsia" w:hAnsiTheme="minorEastAsia" w:eastAsiaTheme="minorEastAsia" w:cstheme="minorEastAsia"/>
          <w:color w:val="auto"/>
        </w:rPr>
      </w:pPr>
      <w:bookmarkStart w:id="597" w:name="_Toc397928645"/>
      <w:bookmarkStart w:id="598" w:name="_Toc29388488"/>
      <w:bookmarkStart w:id="599" w:name="_Toc387526451"/>
      <w:bookmarkStart w:id="600" w:name="_Toc17568"/>
      <w:bookmarkStart w:id="601" w:name="_Toc387526255"/>
      <w:bookmarkStart w:id="602" w:name="_Toc387526359"/>
      <w:r>
        <w:rPr>
          <w:rFonts w:hint="eastAsia" w:asciiTheme="minorEastAsia" w:hAnsiTheme="minorEastAsia" w:eastAsiaTheme="minorEastAsia" w:cstheme="minorEastAsia"/>
          <w:color w:val="auto"/>
        </w:rPr>
        <w:t>6.技术参数响应表</w:t>
      </w:r>
      <w:bookmarkEnd w:id="597"/>
      <w:bookmarkEnd w:id="598"/>
      <w:bookmarkEnd w:id="599"/>
      <w:bookmarkEnd w:id="600"/>
      <w:bookmarkEnd w:id="601"/>
      <w:bookmarkEnd w:id="602"/>
    </w:p>
    <w:p>
      <w:pPr>
        <w:pStyle w:val="110"/>
        <w:tabs>
          <w:tab w:val="left" w:pos="6930"/>
          <w:tab w:val="left" w:pos="8360"/>
        </w:tabs>
        <w:spacing w:line="360" w:lineRule="auto"/>
        <w:ind w:right="42"/>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技术参数响应表</w:t>
      </w:r>
    </w:p>
    <w:p>
      <w:pPr>
        <w:spacing w:line="360" w:lineRule="auto"/>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标段号：</w:t>
      </w:r>
    </w:p>
    <w:tbl>
      <w:tblPr>
        <w:tblStyle w:val="4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147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投标响应</w:t>
            </w:r>
          </w:p>
        </w:tc>
        <w:tc>
          <w:tcPr>
            <w:tcW w:w="1483" w:type="dxa"/>
            <w:gridSpan w:val="2"/>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auto"/>
                <w:szCs w:val="21"/>
              </w:rPr>
            </w:pPr>
          </w:p>
        </w:tc>
      </w:tr>
    </w:tbl>
    <w:p>
      <w:pPr>
        <w:spacing w:line="360" w:lineRule="auto"/>
        <w:jc w:val="left"/>
        <w:rPr>
          <w:rFonts w:asciiTheme="minorEastAsia" w:hAnsiTheme="minorEastAsia" w:eastAsiaTheme="minorEastAsia" w:cstheme="minorEastAsia"/>
          <w:color w:val="auto"/>
          <w:szCs w:val="21"/>
        </w:rPr>
      </w:pP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注：投标人应按招标文件要求的品目号分别填写，逐点应答。</w:t>
      </w:r>
    </w:p>
    <w:p>
      <w:pPr>
        <w:spacing w:line="360" w:lineRule="auto"/>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正偏离表示投标响应高于招标要求，并附页说明，否则可能导致不予认可。</w:t>
      </w:r>
    </w:p>
    <w:p>
      <w:pPr>
        <w:spacing w:line="360" w:lineRule="auto"/>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负偏离表示投标响应低于招标要求，并附页说明，否则可能导致作为不响应投标。</w:t>
      </w:r>
    </w:p>
    <w:p>
      <w:pPr>
        <w:spacing w:line="360" w:lineRule="auto"/>
        <w:jc w:val="left"/>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无偏离表示投标响应等同于招标要求。</w:t>
      </w: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pStyle w:val="110"/>
        <w:tabs>
          <w:tab w:val="left" w:pos="6930"/>
          <w:tab w:val="left" w:pos="8360"/>
        </w:tabs>
        <w:spacing w:line="360" w:lineRule="auto"/>
        <w:ind w:right="42"/>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p>
    <w:p>
      <w:pPr>
        <w:pStyle w:val="122"/>
        <w:rPr>
          <w:rFonts w:asciiTheme="minorEastAsia" w:hAnsiTheme="minorEastAsia" w:eastAsiaTheme="minorEastAsia" w:cstheme="minorEastAsia"/>
          <w:color w:val="auto"/>
        </w:rPr>
      </w:pPr>
      <w:bookmarkStart w:id="603" w:name="_Toc29388489"/>
      <w:bookmarkStart w:id="604" w:name="_Toc15300"/>
      <w:bookmarkStart w:id="605" w:name="_Toc397928646"/>
      <w:bookmarkStart w:id="606" w:name="_Toc387526256"/>
      <w:bookmarkStart w:id="607" w:name="_Toc387526452"/>
      <w:bookmarkStart w:id="608" w:name="_Toc387526360"/>
      <w:r>
        <w:rPr>
          <w:rFonts w:hint="eastAsia" w:asciiTheme="minorEastAsia" w:hAnsiTheme="minorEastAsia" w:eastAsiaTheme="minorEastAsia" w:cstheme="minorEastAsia"/>
          <w:color w:val="auto"/>
        </w:rPr>
        <w:t>7.技术规格书</w:t>
      </w:r>
      <w:bookmarkEnd w:id="603"/>
      <w:bookmarkEnd w:id="604"/>
      <w:bookmarkEnd w:id="605"/>
      <w:bookmarkEnd w:id="606"/>
      <w:bookmarkEnd w:id="607"/>
      <w:bookmarkEnd w:id="608"/>
    </w:p>
    <w:p>
      <w:pPr>
        <w:pStyle w:val="110"/>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技术规格书</w:t>
      </w:r>
    </w:p>
    <w:p>
      <w:pPr>
        <w:pStyle w:val="110"/>
        <w:spacing w:line="360" w:lineRule="auto"/>
        <w:ind w:firstLine="420" w:firstLineChars="200"/>
        <w:rPr>
          <w:rFonts w:asciiTheme="minorEastAsia" w:hAnsiTheme="minorEastAsia" w:eastAsiaTheme="minorEastAsia" w:cstheme="minorEastAsia"/>
          <w:color w:val="auto"/>
          <w:sz w:val="21"/>
          <w:szCs w:val="21"/>
        </w:rPr>
      </w:pP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1.作为投标文件的一部分，投标人必须提供所供应的货物和服务是合格的，并符合招标文件规定的证明文件。</w:t>
      </w: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2.证明货物或服务是合格的文件有：</w:t>
      </w:r>
    </w:p>
    <w:p>
      <w:pPr>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(1)货物的质量保证资料；</w:t>
      </w: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(2)货物的主要技术数据和性能特征的详细描述；根据招标货物的要求，除按招标文件第六章（投标文件格式）规定的表格外，还可用文字说明投标货物对该要求的适应性。</w:t>
      </w: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(3)安装要求以及货物拆装和维修时所需的特殊工具。</w:t>
      </w: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(4)招标货物的要求和质量标准等。如果投标人对招标的货物有建议时，只能在对招标文件完全应答的基础上，另行提出自己的替代方案。</w:t>
      </w:r>
    </w:p>
    <w:p>
      <w:pPr>
        <w:pStyle w:val="110"/>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Cs w:val="21"/>
        </w:rPr>
      </w:pPr>
    </w:p>
    <w:p>
      <w:pPr>
        <w:pStyle w:val="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609" w:name="_Toc397928651"/>
    </w:p>
    <w:p>
      <w:pPr>
        <w:pStyle w:val="3"/>
        <w:rPr>
          <w:rFonts w:asciiTheme="minorEastAsia" w:hAnsiTheme="minorEastAsia" w:eastAsiaTheme="minorEastAsia" w:cstheme="minorEastAsia"/>
          <w:color w:val="auto"/>
        </w:rPr>
      </w:pPr>
      <w:bookmarkStart w:id="610" w:name="_Toc29388490"/>
      <w:r>
        <w:rPr>
          <w:rFonts w:hint="eastAsia" w:asciiTheme="minorEastAsia" w:hAnsiTheme="minorEastAsia" w:eastAsiaTheme="minorEastAsia" w:cstheme="minorEastAsia"/>
          <w:color w:val="auto"/>
        </w:rPr>
        <w:t>8.售后服务</w:t>
      </w:r>
      <w:bookmarkEnd w:id="609"/>
      <w:bookmarkEnd w:id="610"/>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应包含下列内容，但不限于此：</w:t>
      </w: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1、卖方对买方操作、维护人员的培训方案及计划（包括培训人数、时间、地点、内容、目标等）；</w:t>
      </w:r>
    </w:p>
    <w:p>
      <w:pPr>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2、质保期内，卖方对中标货物及服务在质保期内的售后服务具体内容及承诺； </w:t>
      </w:r>
    </w:p>
    <w:p>
      <w:pPr>
        <w:pStyle w:val="110"/>
        <w:spacing w:line="360" w:lineRule="auto"/>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质保期满后，卖方对中标货物及服务在质保期满后，如买方不委托卖方维保的情况下，卖方售后服务具体内容及承诺；如买方委托卖方对中标货物及服务进行售后服务，应分别列出卖方对中标货物及服务质保期满后每年维保清包、大包的范围、内容、价格及相关承诺。</w:t>
      </w: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3"/>
        <w:rPr>
          <w:rFonts w:asciiTheme="minorEastAsia" w:hAnsiTheme="minorEastAsia" w:eastAsiaTheme="minorEastAsia" w:cstheme="minorEastAsia"/>
          <w:color w:val="auto"/>
        </w:rPr>
      </w:pPr>
      <w:bookmarkStart w:id="611" w:name="_Toc29388491"/>
      <w:bookmarkStart w:id="612" w:name="_Toc397928652"/>
      <w:r>
        <w:rPr>
          <w:rFonts w:hint="eastAsia" w:asciiTheme="minorEastAsia" w:hAnsiTheme="minorEastAsia" w:eastAsiaTheme="minorEastAsia" w:cstheme="minorEastAsia"/>
          <w:color w:val="auto"/>
        </w:rPr>
        <w:t>9.为完成本项目投标人认为所需要的其它资料</w:t>
      </w:r>
      <w:bookmarkEnd w:id="611"/>
      <w:bookmarkEnd w:id="612"/>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pPr>
    </w:p>
    <w:p>
      <w:pPr>
        <w:pStyle w:val="110"/>
        <w:spacing w:line="360" w:lineRule="auto"/>
        <w:rPr>
          <w:rFonts w:asciiTheme="minorEastAsia" w:hAnsiTheme="minorEastAsia" w:eastAsiaTheme="minorEastAsia" w:cstheme="minorEastAsia"/>
          <w:color w:val="auto"/>
          <w:sz w:val="24"/>
        </w:rPr>
        <w:sectPr>
          <w:footerReference r:id="rId8" w:type="default"/>
          <w:footerReference r:id="rId9" w:type="even"/>
          <w:pgSz w:w="11906" w:h="16838"/>
          <w:pgMar w:top="1247" w:right="1418" w:bottom="1134" w:left="1701" w:header="851" w:footer="992" w:gutter="0"/>
          <w:cols w:space="720" w:num="1"/>
          <w:docGrid w:type="linesAndChars" w:linePitch="312" w:charSpace="0"/>
        </w:sectPr>
      </w:pPr>
    </w:p>
    <w:p>
      <w:pPr>
        <w:pStyle w:val="3"/>
        <w:jc w:val="center"/>
        <w:rPr>
          <w:rFonts w:asciiTheme="minorEastAsia" w:hAnsiTheme="minorEastAsia" w:eastAsiaTheme="minorEastAsia" w:cstheme="minorEastAsia"/>
          <w:color w:val="auto"/>
        </w:rPr>
      </w:pPr>
      <w:bookmarkStart w:id="613" w:name="_Toc29388492"/>
      <w:r>
        <w:rPr>
          <w:rFonts w:hint="eastAsia" w:asciiTheme="minorEastAsia" w:hAnsiTheme="minorEastAsia" w:eastAsiaTheme="minorEastAsia" w:cstheme="minorEastAsia"/>
          <w:color w:val="auto"/>
        </w:rPr>
        <w:t>10.开标一览表</w:t>
      </w:r>
      <w:bookmarkEnd w:id="613"/>
    </w:p>
    <w:p>
      <w:pPr>
        <w:snapToGrid w:val="0"/>
        <w:spacing w:before="50" w:after="50" w:line="360" w:lineRule="exact"/>
        <w:ind w:firstLine="420" w:firstLineChars="200"/>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采购项目编号：项目名称：</w:t>
      </w:r>
    </w:p>
    <w:p>
      <w:pPr>
        <w:snapToGrid w:val="0"/>
        <w:spacing w:before="50" w:after="50" w:line="3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投标人名称： 单位：元</w:t>
      </w:r>
    </w:p>
    <w:tbl>
      <w:tblPr>
        <w:tblStyle w:val="43"/>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4836"/>
        <w:gridCol w:w="4394"/>
        <w:gridCol w:w="2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483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项目名称</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投标总价（万元）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720" w:type="dxa"/>
            <w:tcBorders>
              <w:top w:val="single" w:color="auto" w:sz="4" w:space="0"/>
              <w:left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4836" w:type="dxa"/>
            <w:tcBorders>
              <w:top w:val="single" w:color="auto" w:sz="4" w:space="0"/>
              <w:left w:val="single" w:color="auto" w:sz="4" w:space="0"/>
              <w:right w:val="single" w:color="auto" w:sz="4" w:space="0"/>
            </w:tcBorders>
            <w:vAlign w:val="center"/>
          </w:tcPr>
          <w:p>
            <w:pPr>
              <w:widowControl/>
              <w:spacing w:line="30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盐城市大丰区职业技术教育中心2020年智慧校园运维和安全管理、智慧教室和移动录播设备建设项目</w:t>
            </w:r>
          </w:p>
        </w:tc>
        <w:tc>
          <w:tcPr>
            <w:tcW w:w="4394" w:type="dxa"/>
            <w:tcBorders>
              <w:top w:val="single" w:color="auto" w:sz="4" w:space="0"/>
              <w:left w:val="single" w:color="auto" w:sz="4" w:space="0"/>
              <w:right w:val="single" w:color="auto" w:sz="4" w:space="0"/>
            </w:tcBorders>
            <w:vAlign w:val="center"/>
          </w:tcPr>
          <w:p>
            <w:pPr>
              <w:widowControl/>
              <w:spacing w:line="320" w:lineRule="exac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大写：</w:t>
            </w:r>
          </w:p>
        </w:tc>
        <w:tc>
          <w:tcPr>
            <w:tcW w:w="2693" w:type="dxa"/>
            <w:tcBorders>
              <w:top w:val="single" w:color="auto" w:sz="4" w:space="0"/>
              <w:left w:val="single" w:color="auto" w:sz="4" w:space="0"/>
              <w:right w:val="single" w:color="auto" w:sz="4" w:space="0"/>
            </w:tcBorders>
            <w:vAlign w:val="center"/>
          </w:tcPr>
          <w:p>
            <w:pPr>
              <w:snapToGrid w:val="0"/>
              <w:spacing w:before="50" w:after="50" w:line="300" w:lineRule="exact"/>
              <w:ind w:right="-861" w:rightChars="-41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exact"/>
        </w:trPr>
        <w:tc>
          <w:tcPr>
            <w:tcW w:w="555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质保期</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本项目质保期为产品交付完成通过验收之日起计质保期2年。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555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供货期限</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合同签订后5个日历天内完成全部工作内容并经验收合格</w:t>
            </w:r>
          </w:p>
        </w:tc>
      </w:tr>
    </w:tbl>
    <w:p>
      <w:pPr>
        <w:snapToGrid w:val="0"/>
        <w:spacing w:line="36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 1、报价一经涂改，应在涂改处加盖单位公章或者由法定代表人或授权委托人签字或盖章，否则其投标作无效标处理。</w:t>
      </w:r>
    </w:p>
    <w:p>
      <w:pPr>
        <w:snapToGrid w:val="0"/>
        <w:spacing w:line="360" w:lineRule="exact"/>
        <w:ind w:left="479" w:leftChars="228" w:firstLine="315" w:firstLineChars="15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2、投标费用包括本项目招标文件规定的一切费用。以上报价应与投标报价明细表中的价格相一致。</w:t>
      </w:r>
    </w:p>
    <w:p>
      <w:pPr>
        <w:snapToGrid w:val="0"/>
        <w:spacing w:line="360" w:lineRule="exact"/>
        <w:ind w:left="479" w:leftChars="228" w:firstLine="315" w:firstLineChars="15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u w:val="single"/>
        </w:rPr>
        <w:t>此表请单独信封放入投标文件袋，信封封面请注明招标编号、项目名称、投标人名称及“开标一览表”字样。</w:t>
      </w:r>
    </w:p>
    <w:p>
      <w:pPr>
        <w:snapToGrid w:val="0"/>
        <w:spacing w:line="360" w:lineRule="exact"/>
        <w:ind w:left="-2" w:leftChars="-1" w:right="-817" w:rightChars="-389"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投标人名称（盖章）：</w:t>
      </w:r>
    </w:p>
    <w:p>
      <w:pPr>
        <w:snapToGrid w:val="0"/>
        <w:spacing w:line="360" w:lineRule="exact"/>
        <w:ind w:left="-2" w:leftChars="-1" w:right="-817" w:rightChars="-389"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法定代表人（签字或盖章）： </w:t>
      </w:r>
    </w:p>
    <w:p>
      <w:pPr>
        <w:snapToGrid w:val="0"/>
        <w:spacing w:line="360" w:lineRule="exact"/>
        <w:ind w:left="-2" w:leftChars="-1" w:right="-817" w:rightChars="-389" w:firstLine="420" w:firstLineChars="200"/>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授权委托代理人（签字或盖章）：  （如有授权）                             日期：</w:t>
      </w:r>
      <w:r>
        <w:rPr>
          <w:rFonts w:hint="eastAsia" w:asciiTheme="minorEastAsia" w:hAnsiTheme="minorEastAsia" w:eastAsiaTheme="minorEastAsia" w:cstheme="minorEastAsia"/>
          <w:color w:val="auto"/>
          <w:szCs w:val="21"/>
          <w:u w:val="single"/>
        </w:rPr>
        <w:t>年月日</w:t>
      </w:r>
    </w:p>
    <w:p>
      <w:pPr>
        <w:snapToGrid w:val="0"/>
        <w:spacing w:before="50" w:after="50" w:line="360" w:lineRule="exact"/>
        <w:ind w:left="-20" w:leftChars="-72" w:right="-817" w:rightChars="-389" w:hanging="131" w:hangingChars="62"/>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需附：法定代表人身份证明书或授权委托代理人身份证复印件及授权委托书原件。</w:t>
      </w:r>
    </w:p>
    <w:bookmarkEnd w:id="614"/>
    <w:sectPr>
      <w:pgSz w:w="16838" w:h="11906" w:orient="landscape"/>
      <w:pgMar w:top="1418" w:right="1247"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840" w:hanging="420"/>
      <w:jc w:val="center"/>
    </w:pPr>
    <w:r>
      <w:fldChar w:fldCharType="begin"/>
    </w:r>
    <w:r>
      <w:instrText xml:space="preserve"> PAGE   \* MERGEFORMAT </w:instrText>
    </w:r>
    <w:r>
      <w:fldChar w:fldCharType="separate"/>
    </w:r>
    <w:r>
      <w:rPr>
        <w:lang w:val="zh-CN"/>
      </w:rPr>
      <w:t>2</w:t>
    </w:r>
    <w:r>
      <w:rPr>
        <w:lang w:val="zh-CN"/>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7"/>
      </w:rPr>
    </w:pPr>
    <w:r>
      <w:fldChar w:fldCharType="begin"/>
    </w:r>
    <w:r>
      <w:rPr>
        <w:rStyle w:val="47"/>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840" w:hanging="420"/>
      <w:jc w:val="center"/>
    </w:pPr>
    <w:r>
      <w:fldChar w:fldCharType="begin"/>
    </w:r>
    <w:r>
      <w:instrText xml:space="preserve"> PAGE   \* MERGEFORMAT </w:instrText>
    </w:r>
    <w:r>
      <w:fldChar w:fldCharType="separate"/>
    </w:r>
    <w:r>
      <w:rPr>
        <w:lang w:val="zh-CN"/>
      </w:rPr>
      <w:t>33</w:t>
    </w:r>
    <w:r>
      <w:rPr>
        <w:lang w:val="zh-CN"/>
      </w:rP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7"/>
      </w:rPr>
    </w:pPr>
    <w:r>
      <w:fldChar w:fldCharType="begin"/>
    </w:r>
    <w:r>
      <w:rPr>
        <w:rStyle w:val="47"/>
      </w:rPr>
      <w:instrText xml:space="preserve">PAGE  </w:instrText>
    </w:r>
    <w:r>
      <w:fldChar w:fldCharType="separate"/>
    </w:r>
    <w:r>
      <w:rPr>
        <w:rStyle w:val="47"/>
      </w:rPr>
      <w:t>73</w:t>
    </w:r>
    <w:r>
      <w:fldChar w:fldCharType="end"/>
    </w:r>
  </w:p>
  <w:p>
    <w:pPr>
      <w:pStyle w:val="26"/>
      <w:jc w:val="center"/>
    </w:pP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82</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7"/>
      </w:rPr>
    </w:pPr>
    <w:r>
      <w:fldChar w:fldCharType="begin"/>
    </w:r>
    <w:r>
      <w:rPr>
        <w:rStyle w:val="47"/>
      </w:rPr>
      <w:instrText xml:space="preserve">PAGE  </w:instrTex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93191"/>
    <w:multiLevelType w:val="multilevel"/>
    <w:tmpl w:val="6AE9319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CFF"/>
    <w:rsid w:val="000218AB"/>
    <w:rsid w:val="000228CD"/>
    <w:rsid w:val="00022DF9"/>
    <w:rsid w:val="00035661"/>
    <w:rsid w:val="00035F52"/>
    <w:rsid w:val="00043AC4"/>
    <w:rsid w:val="000458B7"/>
    <w:rsid w:val="000503D1"/>
    <w:rsid w:val="0005448E"/>
    <w:rsid w:val="000545AF"/>
    <w:rsid w:val="00057B7A"/>
    <w:rsid w:val="00060E8A"/>
    <w:rsid w:val="00061217"/>
    <w:rsid w:val="000619D6"/>
    <w:rsid w:val="00065FDE"/>
    <w:rsid w:val="00070CF5"/>
    <w:rsid w:val="0007232A"/>
    <w:rsid w:val="00074A3F"/>
    <w:rsid w:val="000815E4"/>
    <w:rsid w:val="00081B33"/>
    <w:rsid w:val="00081B9D"/>
    <w:rsid w:val="0008426D"/>
    <w:rsid w:val="00087836"/>
    <w:rsid w:val="00087E51"/>
    <w:rsid w:val="00091771"/>
    <w:rsid w:val="00092A74"/>
    <w:rsid w:val="0009311B"/>
    <w:rsid w:val="00093DDE"/>
    <w:rsid w:val="000A5934"/>
    <w:rsid w:val="000A6AD1"/>
    <w:rsid w:val="000B5280"/>
    <w:rsid w:val="000B585B"/>
    <w:rsid w:val="000C77B4"/>
    <w:rsid w:val="000D0E40"/>
    <w:rsid w:val="000D1538"/>
    <w:rsid w:val="000E25B1"/>
    <w:rsid w:val="000E39EF"/>
    <w:rsid w:val="000E3A5A"/>
    <w:rsid w:val="000E4542"/>
    <w:rsid w:val="000E4830"/>
    <w:rsid w:val="000E53DF"/>
    <w:rsid w:val="000E5DE9"/>
    <w:rsid w:val="000E7470"/>
    <w:rsid w:val="000E7DD8"/>
    <w:rsid w:val="000F3A20"/>
    <w:rsid w:val="000F54D6"/>
    <w:rsid w:val="000F5553"/>
    <w:rsid w:val="00100DC2"/>
    <w:rsid w:val="00110574"/>
    <w:rsid w:val="00111371"/>
    <w:rsid w:val="00111C72"/>
    <w:rsid w:val="001167C7"/>
    <w:rsid w:val="00116C40"/>
    <w:rsid w:val="00120DED"/>
    <w:rsid w:val="00123265"/>
    <w:rsid w:val="00123497"/>
    <w:rsid w:val="001261D1"/>
    <w:rsid w:val="0012726A"/>
    <w:rsid w:val="00127C83"/>
    <w:rsid w:val="00134040"/>
    <w:rsid w:val="001363C3"/>
    <w:rsid w:val="0014254C"/>
    <w:rsid w:val="00146193"/>
    <w:rsid w:val="0014795B"/>
    <w:rsid w:val="00147C37"/>
    <w:rsid w:val="001516C7"/>
    <w:rsid w:val="00156D4C"/>
    <w:rsid w:val="00165B79"/>
    <w:rsid w:val="00167D24"/>
    <w:rsid w:val="0017024E"/>
    <w:rsid w:val="0017144B"/>
    <w:rsid w:val="001718FF"/>
    <w:rsid w:val="001728C1"/>
    <w:rsid w:val="00172A27"/>
    <w:rsid w:val="001750A2"/>
    <w:rsid w:val="00175994"/>
    <w:rsid w:val="00177A2E"/>
    <w:rsid w:val="00180389"/>
    <w:rsid w:val="0018234E"/>
    <w:rsid w:val="00184892"/>
    <w:rsid w:val="00185CF1"/>
    <w:rsid w:val="0019295A"/>
    <w:rsid w:val="00193780"/>
    <w:rsid w:val="001A052D"/>
    <w:rsid w:val="001A1497"/>
    <w:rsid w:val="001A30E1"/>
    <w:rsid w:val="001A6236"/>
    <w:rsid w:val="001A740D"/>
    <w:rsid w:val="001A7F7D"/>
    <w:rsid w:val="001B0E05"/>
    <w:rsid w:val="001B21CE"/>
    <w:rsid w:val="001B632F"/>
    <w:rsid w:val="001B6881"/>
    <w:rsid w:val="001C04EE"/>
    <w:rsid w:val="001C4306"/>
    <w:rsid w:val="001C5733"/>
    <w:rsid w:val="001C7684"/>
    <w:rsid w:val="001D2121"/>
    <w:rsid w:val="001D21A4"/>
    <w:rsid w:val="001D35E6"/>
    <w:rsid w:val="001D5505"/>
    <w:rsid w:val="001D5B7C"/>
    <w:rsid w:val="001E2497"/>
    <w:rsid w:val="001E25FF"/>
    <w:rsid w:val="001E4C18"/>
    <w:rsid w:val="001E5D34"/>
    <w:rsid w:val="001E61EE"/>
    <w:rsid w:val="001E6DD4"/>
    <w:rsid w:val="001F0421"/>
    <w:rsid w:val="001F50DB"/>
    <w:rsid w:val="00201933"/>
    <w:rsid w:val="00201FCB"/>
    <w:rsid w:val="0020293D"/>
    <w:rsid w:val="00211E26"/>
    <w:rsid w:val="0021562A"/>
    <w:rsid w:val="00217123"/>
    <w:rsid w:val="002173D1"/>
    <w:rsid w:val="002227BD"/>
    <w:rsid w:val="00226D4B"/>
    <w:rsid w:val="00226D73"/>
    <w:rsid w:val="00227DEB"/>
    <w:rsid w:val="0023025D"/>
    <w:rsid w:val="00233863"/>
    <w:rsid w:val="002374D6"/>
    <w:rsid w:val="00241CC9"/>
    <w:rsid w:val="00242EFB"/>
    <w:rsid w:val="00243856"/>
    <w:rsid w:val="002453AB"/>
    <w:rsid w:val="0024632E"/>
    <w:rsid w:val="002467C8"/>
    <w:rsid w:val="00251E62"/>
    <w:rsid w:val="002520FB"/>
    <w:rsid w:val="00257E3E"/>
    <w:rsid w:val="00260B92"/>
    <w:rsid w:val="0026712C"/>
    <w:rsid w:val="00270E4B"/>
    <w:rsid w:val="00271770"/>
    <w:rsid w:val="00274C17"/>
    <w:rsid w:val="00276D49"/>
    <w:rsid w:val="002770D9"/>
    <w:rsid w:val="002819B0"/>
    <w:rsid w:val="00283A00"/>
    <w:rsid w:val="00283D48"/>
    <w:rsid w:val="00286840"/>
    <w:rsid w:val="00293DC3"/>
    <w:rsid w:val="00294022"/>
    <w:rsid w:val="00296BD6"/>
    <w:rsid w:val="002A0647"/>
    <w:rsid w:val="002A0D6C"/>
    <w:rsid w:val="002A3104"/>
    <w:rsid w:val="002A5EF0"/>
    <w:rsid w:val="002A635D"/>
    <w:rsid w:val="002A7B0B"/>
    <w:rsid w:val="002B1C86"/>
    <w:rsid w:val="002B6E8C"/>
    <w:rsid w:val="002C3F05"/>
    <w:rsid w:val="002C7283"/>
    <w:rsid w:val="002D1868"/>
    <w:rsid w:val="002D2821"/>
    <w:rsid w:val="002D3356"/>
    <w:rsid w:val="002D3AED"/>
    <w:rsid w:val="002E0417"/>
    <w:rsid w:val="002E1AD2"/>
    <w:rsid w:val="002E2DDF"/>
    <w:rsid w:val="002E3D5C"/>
    <w:rsid w:val="002E7E20"/>
    <w:rsid w:val="002F0886"/>
    <w:rsid w:val="00307277"/>
    <w:rsid w:val="00310DE4"/>
    <w:rsid w:val="003131D6"/>
    <w:rsid w:val="003168EF"/>
    <w:rsid w:val="00322405"/>
    <w:rsid w:val="00325AF5"/>
    <w:rsid w:val="00326DD8"/>
    <w:rsid w:val="0033160F"/>
    <w:rsid w:val="00331E55"/>
    <w:rsid w:val="0033231C"/>
    <w:rsid w:val="00335B47"/>
    <w:rsid w:val="00341251"/>
    <w:rsid w:val="003446B3"/>
    <w:rsid w:val="00355514"/>
    <w:rsid w:val="00355C5D"/>
    <w:rsid w:val="00362482"/>
    <w:rsid w:val="003624C3"/>
    <w:rsid w:val="0036567B"/>
    <w:rsid w:val="00365B86"/>
    <w:rsid w:val="00367568"/>
    <w:rsid w:val="0037043A"/>
    <w:rsid w:val="0037044A"/>
    <w:rsid w:val="00374FB1"/>
    <w:rsid w:val="00375D46"/>
    <w:rsid w:val="00380EA0"/>
    <w:rsid w:val="00380F84"/>
    <w:rsid w:val="00383D1F"/>
    <w:rsid w:val="00385BB8"/>
    <w:rsid w:val="00392009"/>
    <w:rsid w:val="003A096A"/>
    <w:rsid w:val="003B48FD"/>
    <w:rsid w:val="003B4A71"/>
    <w:rsid w:val="003B65F2"/>
    <w:rsid w:val="003B6A91"/>
    <w:rsid w:val="003B72B8"/>
    <w:rsid w:val="003B7566"/>
    <w:rsid w:val="003C103F"/>
    <w:rsid w:val="003C18C8"/>
    <w:rsid w:val="003C3091"/>
    <w:rsid w:val="003C3E4A"/>
    <w:rsid w:val="003D240C"/>
    <w:rsid w:val="003E27A4"/>
    <w:rsid w:val="003E2F6E"/>
    <w:rsid w:val="003E43EB"/>
    <w:rsid w:val="003E46CA"/>
    <w:rsid w:val="003E7C20"/>
    <w:rsid w:val="003F073B"/>
    <w:rsid w:val="003F13C7"/>
    <w:rsid w:val="003F536E"/>
    <w:rsid w:val="003F5F12"/>
    <w:rsid w:val="004001ED"/>
    <w:rsid w:val="004056EF"/>
    <w:rsid w:val="00411AE1"/>
    <w:rsid w:val="00413583"/>
    <w:rsid w:val="004155CE"/>
    <w:rsid w:val="004204A9"/>
    <w:rsid w:val="00430E9F"/>
    <w:rsid w:val="00436E54"/>
    <w:rsid w:val="00440614"/>
    <w:rsid w:val="00440886"/>
    <w:rsid w:val="00445180"/>
    <w:rsid w:val="00445B3B"/>
    <w:rsid w:val="00445DD8"/>
    <w:rsid w:val="00451462"/>
    <w:rsid w:val="004544D5"/>
    <w:rsid w:val="00464867"/>
    <w:rsid w:val="00467968"/>
    <w:rsid w:val="00470992"/>
    <w:rsid w:val="00474345"/>
    <w:rsid w:val="00474C02"/>
    <w:rsid w:val="00481623"/>
    <w:rsid w:val="004822FE"/>
    <w:rsid w:val="00487EBC"/>
    <w:rsid w:val="0049076F"/>
    <w:rsid w:val="0049526C"/>
    <w:rsid w:val="00495C05"/>
    <w:rsid w:val="004A0DAD"/>
    <w:rsid w:val="004A2FB9"/>
    <w:rsid w:val="004A30E0"/>
    <w:rsid w:val="004B0392"/>
    <w:rsid w:val="004B30F2"/>
    <w:rsid w:val="004B4ECE"/>
    <w:rsid w:val="004B58DE"/>
    <w:rsid w:val="004B694B"/>
    <w:rsid w:val="004B6972"/>
    <w:rsid w:val="004C3A87"/>
    <w:rsid w:val="004C6CE5"/>
    <w:rsid w:val="004D0F22"/>
    <w:rsid w:val="004D6AE6"/>
    <w:rsid w:val="004E2452"/>
    <w:rsid w:val="004E5BFC"/>
    <w:rsid w:val="004E5C37"/>
    <w:rsid w:val="004F0092"/>
    <w:rsid w:val="004F5DAA"/>
    <w:rsid w:val="00501692"/>
    <w:rsid w:val="005018F6"/>
    <w:rsid w:val="00504AD2"/>
    <w:rsid w:val="005050CA"/>
    <w:rsid w:val="00510905"/>
    <w:rsid w:val="005200F3"/>
    <w:rsid w:val="00521DD2"/>
    <w:rsid w:val="005225A7"/>
    <w:rsid w:val="00526A78"/>
    <w:rsid w:val="00537C21"/>
    <w:rsid w:val="00542200"/>
    <w:rsid w:val="005460ED"/>
    <w:rsid w:val="005466C6"/>
    <w:rsid w:val="005473B4"/>
    <w:rsid w:val="00554E56"/>
    <w:rsid w:val="005612C0"/>
    <w:rsid w:val="00562099"/>
    <w:rsid w:val="0056708A"/>
    <w:rsid w:val="00567A66"/>
    <w:rsid w:val="005718F0"/>
    <w:rsid w:val="00574B49"/>
    <w:rsid w:val="005803C6"/>
    <w:rsid w:val="00582907"/>
    <w:rsid w:val="00587EA3"/>
    <w:rsid w:val="00587EB0"/>
    <w:rsid w:val="00590D73"/>
    <w:rsid w:val="00593A72"/>
    <w:rsid w:val="005945C3"/>
    <w:rsid w:val="00596CFD"/>
    <w:rsid w:val="005A044D"/>
    <w:rsid w:val="005A2158"/>
    <w:rsid w:val="005A2959"/>
    <w:rsid w:val="005A6D14"/>
    <w:rsid w:val="005B2245"/>
    <w:rsid w:val="005B657E"/>
    <w:rsid w:val="005B669C"/>
    <w:rsid w:val="005B7205"/>
    <w:rsid w:val="005C6512"/>
    <w:rsid w:val="005C673B"/>
    <w:rsid w:val="005D1892"/>
    <w:rsid w:val="005D3289"/>
    <w:rsid w:val="005D3F19"/>
    <w:rsid w:val="005D6FA2"/>
    <w:rsid w:val="005D7B30"/>
    <w:rsid w:val="005E4E32"/>
    <w:rsid w:val="005E6CE4"/>
    <w:rsid w:val="005E7855"/>
    <w:rsid w:val="005E7D85"/>
    <w:rsid w:val="005F09AE"/>
    <w:rsid w:val="005F2079"/>
    <w:rsid w:val="005F2D07"/>
    <w:rsid w:val="005F2DF4"/>
    <w:rsid w:val="006057A5"/>
    <w:rsid w:val="00605EEE"/>
    <w:rsid w:val="00613BAA"/>
    <w:rsid w:val="00613BEA"/>
    <w:rsid w:val="006164A4"/>
    <w:rsid w:val="00616595"/>
    <w:rsid w:val="00617A97"/>
    <w:rsid w:val="00620B28"/>
    <w:rsid w:val="00622325"/>
    <w:rsid w:val="00622DC3"/>
    <w:rsid w:val="00624EF5"/>
    <w:rsid w:val="0062548F"/>
    <w:rsid w:val="00625C05"/>
    <w:rsid w:val="006263DE"/>
    <w:rsid w:val="0063018F"/>
    <w:rsid w:val="0063146A"/>
    <w:rsid w:val="00631557"/>
    <w:rsid w:val="00635154"/>
    <w:rsid w:val="0064374C"/>
    <w:rsid w:val="006447C8"/>
    <w:rsid w:val="00645284"/>
    <w:rsid w:val="00645F11"/>
    <w:rsid w:val="006472B5"/>
    <w:rsid w:val="006473FB"/>
    <w:rsid w:val="00651E26"/>
    <w:rsid w:val="006538C3"/>
    <w:rsid w:val="0066197C"/>
    <w:rsid w:val="006661E3"/>
    <w:rsid w:val="00667CDC"/>
    <w:rsid w:val="00670787"/>
    <w:rsid w:val="00670A76"/>
    <w:rsid w:val="006734A2"/>
    <w:rsid w:val="00674696"/>
    <w:rsid w:val="006767A3"/>
    <w:rsid w:val="00680089"/>
    <w:rsid w:val="00680819"/>
    <w:rsid w:val="00680CEE"/>
    <w:rsid w:val="00681BF5"/>
    <w:rsid w:val="006837FC"/>
    <w:rsid w:val="00683A31"/>
    <w:rsid w:val="006925EC"/>
    <w:rsid w:val="0069472F"/>
    <w:rsid w:val="00696197"/>
    <w:rsid w:val="006B0605"/>
    <w:rsid w:val="006B0C66"/>
    <w:rsid w:val="006B4C9F"/>
    <w:rsid w:val="006B5009"/>
    <w:rsid w:val="006B7DC5"/>
    <w:rsid w:val="006C013F"/>
    <w:rsid w:val="006C0F38"/>
    <w:rsid w:val="006C124A"/>
    <w:rsid w:val="006D28A4"/>
    <w:rsid w:val="006D4A93"/>
    <w:rsid w:val="006D5AAA"/>
    <w:rsid w:val="006D68F2"/>
    <w:rsid w:val="006D725F"/>
    <w:rsid w:val="006E239B"/>
    <w:rsid w:val="006E3659"/>
    <w:rsid w:val="006E4454"/>
    <w:rsid w:val="006E4B10"/>
    <w:rsid w:val="006E7237"/>
    <w:rsid w:val="006E7543"/>
    <w:rsid w:val="006F2C26"/>
    <w:rsid w:val="006F35D2"/>
    <w:rsid w:val="006F381A"/>
    <w:rsid w:val="006F56E3"/>
    <w:rsid w:val="006F7367"/>
    <w:rsid w:val="007009F3"/>
    <w:rsid w:val="0070109E"/>
    <w:rsid w:val="007077A7"/>
    <w:rsid w:val="007077B5"/>
    <w:rsid w:val="00707EE9"/>
    <w:rsid w:val="00714368"/>
    <w:rsid w:val="00715236"/>
    <w:rsid w:val="0071564B"/>
    <w:rsid w:val="00715D1F"/>
    <w:rsid w:val="007200CA"/>
    <w:rsid w:val="00721A3F"/>
    <w:rsid w:val="00726484"/>
    <w:rsid w:val="00726CA6"/>
    <w:rsid w:val="007317CE"/>
    <w:rsid w:val="0074352E"/>
    <w:rsid w:val="00743891"/>
    <w:rsid w:val="00744F06"/>
    <w:rsid w:val="00746812"/>
    <w:rsid w:val="00755B1D"/>
    <w:rsid w:val="00756996"/>
    <w:rsid w:val="0076029B"/>
    <w:rsid w:val="0076041B"/>
    <w:rsid w:val="007608B8"/>
    <w:rsid w:val="00764F59"/>
    <w:rsid w:val="00767A6C"/>
    <w:rsid w:val="00770A4A"/>
    <w:rsid w:val="00771698"/>
    <w:rsid w:val="0077452D"/>
    <w:rsid w:val="007748F1"/>
    <w:rsid w:val="00774E64"/>
    <w:rsid w:val="00776FE8"/>
    <w:rsid w:val="0078134D"/>
    <w:rsid w:val="007850E6"/>
    <w:rsid w:val="007864CE"/>
    <w:rsid w:val="00791963"/>
    <w:rsid w:val="007969D8"/>
    <w:rsid w:val="007A0474"/>
    <w:rsid w:val="007A2763"/>
    <w:rsid w:val="007A48E6"/>
    <w:rsid w:val="007A4BE9"/>
    <w:rsid w:val="007B649E"/>
    <w:rsid w:val="007C2FC9"/>
    <w:rsid w:val="007C3224"/>
    <w:rsid w:val="007C6FE7"/>
    <w:rsid w:val="007D22B6"/>
    <w:rsid w:val="007D2739"/>
    <w:rsid w:val="007D3A3C"/>
    <w:rsid w:val="007D5831"/>
    <w:rsid w:val="007D6328"/>
    <w:rsid w:val="007D7670"/>
    <w:rsid w:val="007D7B02"/>
    <w:rsid w:val="007E4E26"/>
    <w:rsid w:val="007E521E"/>
    <w:rsid w:val="007F36F0"/>
    <w:rsid w:val="007F4BBA"/>
    <w:rsid w:val="007F7972"/>
    <w:rsid w:val="00801586"/>
    <w:rsid w:val="008037BB"/>
    <w:rsid w:val="00803C06"/>
    <w:rsid w:val="008047E7"/>
    <w:rsid w:val="00804D8A"/>
    <w:rsid w:val="00806D79"/>
    <w:rsid w:val="0080701A"/>
    <w:rsid w:val="008105C6"/>
    <w:rsid w:val="00816FA3"/>
    <w:rsid w:val="0082322D"/>
    <w:rsid w:val="00823F90"/>
    <w:rsid w:val="00830620"/>
    <w:rsid w:val="00831637"/>
    <w:rsid w:val="00833618"/>
    <w:rsid w:val="00840CC4"/>
    <w:rsid w:val="00841C10"/>
    <w:rsid w:val="00843525"/>
    <w:rsid w:val="008444A5"/>
    <w:rsid w:val="0084797D"/>
    <w:rsid w:val="00856FDC"/>
    <w:rsid w:val="008620BD"/>
    <w:rsid w:val="008628C0"/>
    <w:rsid w:val="00862C44"/>
    <w:rsid w:val="0086455C"/>
    <w:rsid w:val="00864B51"/>
    <w:rsid w:val="00865B10"/>
    <w:rsid w:val="008708FE"/>
    <w:rsid w:val="00874692"/>
    <w:rsid w:val="00875028"/>
    <w:rsid w:val="008767BE"/>
    <w:rsid w:val="008859B4"/>
    <w:rsid w:val="00894C86"/>
    <w:rsid w:val="00895ADB"/>
    <w:rsid w:val="008A1D77"/>
    <w:rsid w:val="008A69B5"/>
    <w:rsid w:val="008B3C48"/>
    <w:rsid w:val="008B4E3F"/>
    <w:rsid w:val="008B66C3"/>
    <w:rsid w:val="008C0601"/>
    <w:rsid w:val="008C4DA7"/>
    <w:rsid w:val="008C5EF6"/>
    <w:rsid w:val="008C7CC5"/>
    <w:rsid w:val="008D32DB"/>
    <w:rsid w:val="008D369F"/>
    <w:rsid w:val="008D375E"/>
    <w:rsid w:val="008E0FE5"/>
    <w:rsid w:val="008E77D8"/>
    <w:rsid w:val="008F3632"/>
    <w:rsid w:val="008F650E"/>
    <w:rsid w:val="008F74C7"/>
    <w:rsid w:val="009014B3"/>
    <w:rsid w:val="00904615"/>
    <w:rsid w:val="00912374"/>
    <w:rsid w:val="00913066"/>
    <w:rsid w:val="00914E62"/>
    <w:rsid w:val="00922331"/>
    <w:rsid w:val="009238AD"/>
    <w:rsid w:val="00924347"/>
    <w:rsid w:val="0092458D"/>
    <w:rsid w:val="00931830"/>
    <w:rsid w:val="00931854"/>
    <w:rsid w:val="009354AE"/>
    <w:rsid w:val="00935693"/>
    <w:rsid w:val="009365E8"/>
    <w:rsid w:val="0093722C"/>
    <w:rsid w:val="009379D4"/>
    <w:rsid w:val="0094104D"/>
    <w:rsid w:val="009417A3"/>
    <w:rsid w:val="009425B0"/>
    <w:rsid w:val="00942681"/>
    <w:rsid w:val="00943B55"/>
    <w:rsid w:val="00943E20"/>
    <w:rsid w:val="00953624"/>
    <w:rsid w:val="00953AC0"/>
    <w:rsid w:val="00955F0F"/>
    <w:rsid w:val="00956BC5"/>
    <w:rsid w:val="0096031E"/>
    <w:rsid w:val="00960976"/>
    <w:rsid w:val="00960D17"/>
    <w:rsid w:val="009669A3"/>
    <w:rsid w:val="00967C70"/>
    <w:rsid w:val="0097046C"/>
    <w:rsid w:val="00970C27"/>
    <w:rsid w:val="00970FFC"/>
    <w:rsid w:val="00972E10"/>
    <w:rsid w:val="0097537E"/>
    <w:rsid w:val="00985756"/>
    <w:rsid w:val="00985CF2"/>
    <w:rsid w:val="0098602C"/>
    <w:rsid w:val="009872F3"/>
    <w:rsid w:val="009902A7"/>
    <w:rsid w:val="00990648"/>
    <w:rsid w:val="00997DF7"/>
    <w:rsid w:val="009A04ED"/>
    <w:rsid w:val="009A0ADD"/>
    <w:rsid w:val="009A2F2A"/>
    <w:rsid w:val="009A497E"/>
    <w:rsid w:val="009A4E7C"/>
    <w:rsid w:val="009A5CB6"/>
    <w:rsid w:val="009B2CF4"/>
    <w:rsid w:val="009B6ED4"/>
    <w:rsid w:val="009C5AA4"/>
    <w:rsid w:val="009C7071"/>
    <w:rsid w:val="009D0C67"/>
    <w:rsid w:val="009D41C6"/>
    <w:rsid w:val="009D48AD"/>
    <w:rsid w:val="009D5308"/>
    <w:rsid w:val="009E2C6C"/>
    <w:rsid w:val="009F0E61"/>
    <w:rsid w:val="009F3293"/>
    <w:rsid w:val="009F3931"/>
    <w:rsid w:val="00A07AC2"/>
    <w:rsid w:val="00A143BF"/>
    <w:rsid w:val="00A167F8"/>
    <w:rsid w:val="00A175DC"/>
    <w:rsid w:val="00A21625"/>
    <w:rsid w:val="00A225E4"/>
    <w:rsid w:val="00A24D30"/>
    <w:rsid w:val="00A254E6"/>
    <w:rsid w:val="00A317D9"/>
    <w:rsid w:val="00A33876"/>
    <w:rsid w:val="00A358C5"/>
    <w:rsid w:val="00A37CBE"/>
    <w:rsid w:val="00A4245B"/>
    <w:rsid w:val="00A433B2"/>
    <w:rsid w:val="00A44F46"/>
    <w:rsid w:val="00A472C9"/>
    <w:rsid w:val="00A51EB6"/>
    <w:rsid w:val="00A54AB3"/>
    <w:rsid w:val="00A57E9D"/>
    <w:rsid w:val="00A62A2D"/>
    <w:rsid w:val="00A64E36"/>
    <w:rsid w:val="00A64EB5"/>
    <w:rsid w:val="00A65D6D"/>
    <w:rsid w:val="00A6769E"/>
    <w:rsid w:val="00A705F5"/>
    <w:rsid w:val="00A717FE"/>
    <w:rsid w:val="00A74EE0"/>
    <w:rsid w:val="00A76DA2"/>
    <w:rsid w:val="00A77056"/>
    <w:rsid w:val="00A80F11"/>
    <w:rsid w:val="00A84432"/>
    <w:rsid w:val="00A86C78"/>
    <w:rsid w:val="00A90E56"/>
    <w:rsid w:val="00A93DC4"/>
    <w:rsid w:val="00A96576"/>
    <w:rsid w:val="00AA02F8"/>
    <w:rsid w:val="00AA3C6B"/>
    <w:rsid w:val="00AA4870"/>
    <w:rsid w:val="00AA6E77"/>
    <w:rsid w:val="00AB0444"/>
    <w:rsid w:val="00AB1A44"/>
    <w:rsid w:val="00AB24D7"/>
    <w:rsid w:val="00AB2675"/>
    <w:rsid w:val="00AC4402"/>
    <w:rsid w:val="00AC4DE4"/>
    <w:rsid w:val="00AD2A3E"/>
    <w:rsid w:val="00AE0A6F"/>
    <w:rsid w:val="00AE260D"/>
    <w:rsid w:val="00AE32AE"/>
    <w:rsid w:val="00AE3642"/>
    <w:rsid w:val="00AE518B"/>
    <w:rsid w:val="00AE64F0"/>
    <w:rsid w:val="00AF08A6"/>
    <w:rsid w:val="00AF1319"/>
    <w:rsid w:val="00AF20FB"/>
    <w:rsid w:val="00AF2985"/>
    <w:rsid w:val="00B01466"/>
    <w:rsid w:val="00B0151F"/>
    <w:rsid w:val="00B07754"/>
    <w:rsid w:val="00B1011A"/>
    <w:rsid w:val="00B11644"/>
    <w:rsid w:val="00B11AE5"/>
    <w:rsid w:val="00B12011"/>
    <w:rsid w:val="00B22A9C"/>
    <w:rsid w:val="00B22B32"/>
    <w:rsid w:val="00B23590"/>
    <w:rsid w:val="00B261FB"/>
    <w:rsid w:val="00B32E1C"/>
    <w:rsid w:val="00B35A9D"/>
    <w:rsid w:val="00B37DA4"/>
    <w:rsid w:val="00B41883"/>
    <w:rsid w:val="00B434DC"/>
    <w:rsid w:val="00B5235F"/>
    <w:rsid w:val="00B528E7"/>
    <w:rsid w:val="00B53F96"/>
    <w:rsid w:val="00B5403B"/>
    <w:rsid w:val="00B55D75"/>
    <w:rsid w:val="00B6206C"/>
    <w:rsid w:val="00B62CD3"/>
    <w:rsid w:val="00B65C81"/>
    <w:rsid w:val="00B67722"/>
    <w:rsid w:val="00B67EAC"/>
    <w:rsid w:val="00B70AD0"/>
    <w:rsid w:val="00B750F5"/>
    <w:rsid w:val="00B75B33"/>
    <w:rsid w:val="00B805F9"/>
    <w:rsid w:val="00B80FF5"/>
    <w:rsid w:val="00B81D1C"/>
    <w:rsid w:val="00B84ECA"/>
    <w:rsid w:val="00B970DF"/>
    <w:rsid w:val="00B97E4E"/>
    <w:rsid w:val="00BB0482"/>
    <w:rsid w:val="00BB1D78"/>
    <w:rsid w:val="00BB3E6F"/>
    <w:rsid w:val="00BB6577"/>
    <w:rsid w:val="00BB7E4B"/>
    <w:rsid w:val="00BC0F25"/>
    <w:rsid w:val="00BC1996"/>
    <w:rsid w:val="00BC27FE"/>
    <w:rsid w:val="00BC58D7"/>
    <w:rsid w:val="00BC68B1"/>
    <w:rsid w:val="00BD3DF0"/>
    <w:rsid w:val="00BD4F11"/>
    <w:rsid w:val="00BD7BD5"/>
    <w:rsid w:val="00BD7E88"/>
    <w:rsid w:val="00BE0A6D"/>
    <w:rsid w:val="00BE2D51"/>
    <w:rsid w:val="00BF5970"/>
    <w:rsid w:val="00BF5C2C"/>
    <w:rsid w:val="00BF7250"/>
    <w:rsid w:val="00C00AC8"/>
    <w:rsid w:val="00C051D9"/>
    <w:rsid w:val="00C055E8"/>
    <w:rsid w:val="00C05D7C"/>
    <w:rsid w:val="00C141BA"/>
    <w:rsid w:val="00C165D1"/>
    <w:rsid w:val="00C16B60"/>
    <w:rsid w:val="00C2176E"/>
    <w:rsid w:val="00C21B7A"/>
    <w:rsid w:val="00C2208B"/>
    <w:rsid w:val="00C23350"/>
    <w:rsid w:val="00C25B18"/>
    <w:rsid w:val="00C2766C"/>
    <w:rsid w:val="00C30177"/>
    <w:rsid w:val="00C31E35"/>
    <w:rsid w:val="00C35FD5"/>
    <w:rsid w:val="00C368B4"/>
    <w:rsid w:val="00C368B7"/>
    <w:rsid w:val="00C36F7D"/>
    <w:rsid w:val="00C41F82"/>
    <w:rsid w:val="00C44B32"/>
    <w:rsid w:val="00C477F7"/>
    <w:rsid w:val="00C53589"/>
    <w:rsid w:val="00C6182F"/>
    <w:rsid w:val="00C625B2"/>
    <w:rsid w:val="00C62979"/>
    <w:rsid w:val="00C63607"/>
    <w:rsid w:val="00C63723"/>
    <w:rsid w:val="00C720DC"/>
    <w:rsid w:val="00C75CFD"/>
    <w:rsid w:val="00C775D1"/>
    <w:rsid w:val="00C80FB7"/>
    <w:rsid w:val="00C81068"/>
    <w:rsid w:val="00C85A0C"/>
    <w:rsid w:val="00C965A7"/>
    <w:rsid w:val="00CA4297"/>
    <w:rsid w:val="00CA6752"/>
    <w:rsid w:val="00CB0F05"/>
    <w:rsid w:val="00CB1110"/>
    <w:rsid w:val="00CB703F"/>
    <w:rsid w:val="00CB7348"/>
    <w:rsid w:val="00CB782E"/>
    <w:rsid w:val="00CC2D18"/>
    <w:rsid w:val="00CD3CD0"/>
    <w:rsid w:val="00CD74B0"/>
    <w:rsid w:val="00CD7A3A"/>
    <w:rsid w:val="00CD7C3B"/>
    <w:rsid w:val="00CE4108"/>
    <w:rsid w:val="00CF00BE"/>
    <w:rsid w:val="00CF01AB"/>
    <w:rsid w:val="00CF0AE0"/>
    <w:rsid w:val="00CF70E6"/>
    <w:rsid w:val="00CF75F7"/>
    <w:rsid w:val="00D01881"/>
    <w:rsid w:val="00D03881"/>
    <w:rsid w:val="00D06DB2"/>
    <w:rsid w:val="00D10753"/>
    <w:rsid w:val="00D10BB6"/>
    <w:rsid w:val="00D10C44"/>
    <w:rsid w:val="00D1495C"/>
    <w:rsid w:val="00D15525"/>
    <w:rsid w:val="00D23EB2"/>
    <w:rsid w:val="00D25926"/>
    <w:rsid w:val="00D27C1D"/>
    <w:rsid w:val="00D30203"/>
    <w:rsid w:val="00D32012"/>
    <w:rsid w:val="00D3262F"/>
    <w:rsid w:val="00D32C93"/>
    <w:rsid w:val="00D4170C"/>
    <w:rsid w:val="00D44154"/>
    <w:rsid w:val="00D468BF"/>
    <w:rsid w:val="00D512DB"/>
    <w:rsid w:val="00D52291"/>
    <w:rsid w:val="00D53678"/>
    <w:rsid w:val="00D537D9"/>
    <w:rsid w:val="00D5512B"/>
    <w:rsid w:val="00D56C5A"/>
    <w:rsid w:val="00D60EF8"/>
    <w:rsid w:val="00D65E49"/>
    <w:rsid w:val="00D67DAD"/>
    <w:rsid w:val="00D70177"/>
    <w:rsid w:val="00D70F22"/>
    <w:rsid w:val="00D72E72"/>
    <w:rsid w:val="00D73DA4"/>
    <w:rsid w:val="00D74E8C"/>
    <w:rsid w:val="00D90D76"/>
    <w:rsid w:val="00D91A79"/>
    <w:rsid w:val="00D92B0D"/>
    <w:rsid w:val="00D96A63"/>
    <w:rsid w:val="00DA1223"/>
    <w:rsid w:val="00DA369F"/>
    <w:rsid w:val="00DA7ECE"/>
    <w:rsid w:val="00DB0A93"/>
    <w:rsid w:val="00DB0C31"/>
    <w:rsid w:val="00DB162F"/>
    <w:rsid w:val="00DB2487"/>
    <w:rsid w:val="00DB66C2"/>
    <w:rsid w:val="00DC20B2"/>
    <w:rsid w:val="00DC2F33"/>
    <w:rsid w:val="00DC31F1"/>
    <w:rsid w:val="00DC4E52"/>
    <w:rsid w:val="00DC6F1E"/>
    <w:rsid w:val="00DD0D9A"/>
    <w:rsid w:val="00DD1938"/>
    <w:rsid w:val="00DD44B9"/>
    <w:rsid w:val="00DE06D4"/>
    <w:rsid w:val="00DE11A0"/>
    <w:rsid w:val="00DE616C"/>
    <w:rsid w:val="00DF20A6"/>
    <w:rsid w:val="00DF74C1"/>
    <w:rsid w:val="00DF756C"/>
    <w:rsid w:val="00E00F1C"/>
    <w:rsid w:val="00E0240C"/>
    <w:rsid w:val="00E04247"/>
    <w:rsid w:val="00E114BC"/>
    <w:rsid w:val="00E11641"/>
    <w:rsid w:val="00E143BE"/>
    <w:rsid w:val="00E14F8D"/>
    <w:rsid w:val="00E154B0"/>
    <w:rsid w:val="00E23314"/>
    <w:rsid w:val="00E24BC3"/>
    <w:rsid w:val="00E25215"/>
    <w:rsid w:val="00E37145"/>
    <w:rsid w:val="00E37F4F"/>
    <w:rsid w:val="00E40FCC"/>
    <w:rsid w:val="00E4141E"/>
    <w:rsid w:val="00E45C41"/>
    <w:rsid w:val="00E4734F"/>
    <w:rsid w:val="00E5189C"/>
    <w:rsid w:val="00E55127"/>
    <w:rsid w:val="00E551DC"/>
    <w:rsid w:val="00E611DD"/>
    <w:rsid w:val="00E61F7E"/>
    <w:rsid w:val="00E6470A"/>
    <w:rsid w:val="00E66483"/>
    <w:rsid w:val="00E676BF"/>
    <w:rsid w:val="00E713E4"/>
    <w:rsid w:val="00E73C93"/>
    <w:rsid w:val="00E82414"/>
    <w:rsid w:val="00E82B09"/>
    <w:rsid w:val="00E859CC"/>
    <w:rsid w:val="00E94B9F"/>
    <w:rsid w:val="00E95978"/>
    <w:rsid w:val="00E95C28"/>
    <w:rsid w:val="00EA7969"/>
    <w:rsid w:val="00EB0C89"/>
    <w:rsid w:val="00EB3D9B"/>
    <w:rsid w:val="00EC038B"/>
    <w:rsid w:val="00EC3175"/>
    <w:rsid w:val="00EC3D39"/>
    <w:rsid w:val="00EC42A5"/>
    <w:rsid w:val="00EC4B94"/>
    <w:rsid w:val="00EC5B85"/>
    <w:rsid w:val="00ED6198"/>
    <w:rsid w:val="00EE471D"/>
    <w:rsid w:val="00EE676C"/>
    <w:rsid w:val="00EE6AEB"/>
    <w:rsid w:val="00EE781A"/>
    <w:rsid w:val="00EF0A1F"/>
    <w:rsid w:val="00EF1230"/>
    <w:rsid w:val="00EF3CCC"/>
    <w:rsid w:val="00EF4116"/>
    <w:rsid w:val="00F017D5"/>
    <w:rsid w:val="00F01B0F"/>
    <w:rsid w:val="00F077EA"/>
    <w:rsid w:val="00F07C5E"/>
    <w:rsid w:val="00F10C4D"/>
    <w:rsid w:val="00F12747"/>
    <w:rsid w:val="00F17542"/>
    <w:rsid w:val="00F20137"/>
    <w:rsid w:val="00F22692"/>
    <w:rsid w:val="00F257AE"/>
    <w:rsid w:val="00F305E4"/>
    <w:rsid w:val="00F30B2A"/>
    <w:rsid w:val="00F32A4B"/>
    <w:rsid w:val="00F352D8"/>
    <w:rsid w:val="00F36CB0"/>
    <w:rsid w:val="00F40913"/>
    <w:rsid w:val="00F462F7"/>
    <w:rsid w:val="00F46D93"/>
    <w:rsid w:val="00F47D59"/>
    <w:rsid w:val="00F5182F"/>
    <w:rsid w:val="00F51DDD"/>
    <w:rsid w:val="00F613A1"/>
    <w:rsid w:val="00F620D8"/>
    <w:rsid w:val="00F6749F"/>
    <w:rsid w:val="00F675B3"/>
    <w:rsid w:val="00F708B1"/>
    <w:rsid w:val="00F7262B"/>
    <w:rsid w:val="00F87579"/>
    <w:rsid w:val="00F87B24"/>
    <w:rsid w:val="00F90C7E"/>
    <w:rsid w:val="00FA22DE"/>
    <w:rsid w:val="00FA275E"/>
    <w:rsid w:val="00FA32B9"/>
    <w:rsid w:val="00FA4138"/>
    <w:rsid w:val="00FA42C0"/>
    <w:rsid w:val="00FA5A17"/>
    <w:rsid w:val="00FA756B"/>
    <w:rsid w:val="00FA7B4F"/>
    <w:rsid w:val="00FB200E"/>
    <w:rsid w:val="00FC0964"/>
    <w:rsid w:val="00FC32B1"/>
    <w:rsid w:val="00FC6813"/>
    <w:rsid w:val="00FD07D8"/>
    <w:rsid w:val="00FD0BF8"/>
    <w:rsid w:val="00FD2FAB"/>
    <w:rsid w:val="00FD5EEC"/>
    <w:rsid w:val="00FD628D"/>
    <w:rsid w:val="00FD70D4"/>
    <w:rsid w:val="00FE003C"/>
    <w:rsid w:val="00FE020E"/>
    <w:rsid w:val="00FE3FFC"/>
    <w:rsid w:val="00FF0AA8"/>
    <w:rsid w:val="00FF4DC7"/>
    <w:rsid w:val="00FF77F5"/>
    <w:rsid w:val="05733687"/>
    <w:rsid w:val="065646D8"/>
    <w:rsid w:val="0873387D"/>
    <w:rsid w:val="094A079A"/>
    <w:rsid w:val="0E486D1F"/>
    <w:rsid w:val="15931238"/>
    <w:rsid w:val="1BCD6276"/>
    <w:rsid w:val="1D5F0E0B"/>
    <w:rsid w:val="2275307C"/>
    <w:rsid w:val="251C59E3"/>
    <w:rsid w:val="257238BD"/>
    <w:rsid w:val="2C2D0D2D"/>
    <w:rsid w:val="306A6692"/>
    <w:rsid w:val="35D20D23"/>
    <w:rsid w:val="36684C4A"/>
    <w:rsid w:val="3B3D6D5E"/>
    <w:rsid w:val="3BD05250"/>
    <w:rsid w:val="58B74104"/>
    <w:rsid w:val="59A32F40"/>
    <w:rsid w:val="618D54F8"/>
    <w:rsid w:val="61E41CB8"/>
    <w:rsid w:val="651E339B"/>
    <w:rsid w:val="67090947"/>
    <w:rsid w:val="69A91A5E"/>
    <w:rsid w:val="6BFA40B5"/>
    <w:rsid w:val="6D794A18"/>
    <w:rsid w:val="6E2D34D8"/>
    <w:rsid w:val="709634FA"/>
    <w:rsid w:val="765C29C8"/>
    <w:rsid w:val="78BF685B"/>
    <w:rsid w:val="7A7C5D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83"/>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5"/>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78"/>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72"/>
    <w:qFormat/>
    <w:uiPriority w:val="9"/>
    <w:pPr>
      <w:keepNext/>
      <w:keepLines/>
      <w:spacing w:before="280" w:after="290" w:line="376" w:lineRule="auto"/>
      <w:outlineLvl w:val="4"/>
    </w:pPr>
    <w:rPr>
      <w:b/>
      <w:bCs/>
      <w:sz w:val="28"/>
      <w:szCs w:val="28"/>
    </w:rPr>
  </w:style>
  <w:style w:type="paragraph" w:styleId="7">
    <w:name w:val="heading 6"/>
    <w:basedOn w:val="1"/>
    <w:next w:val="1"/>
    <w:link w:val="7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7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74"/>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0"/>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Normal Indent"/>
    <w:basedOn w:val="1"/>
    <w:link w:val="59"/>
    <w:qFormat/>
    <w:uiPriority w:val="0"/>
    <w:pPr>
      <w:ind w:firstLine="420"/>
    </w:pPr>
    <w:rPr>
      <w:b/>
      <w:sz w:val="24"/>
      <w:szCs w:val="20"/>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56"/>
    <w:qFormat/>
    <w:uiPriority w:val="0"/>
    <w:pPr>
      <w:shd w:val="clear" w:color="auto" w:fill="000080"/>
    </w:pPr>
  </w:style>
  <w:style w:type="paragraph" w:styleId="15">
    <w:name w:val="annotation text"/>
    <w:basedOn w:val="1"/>
    <w:link w:val="66"/>
    <w:unhideWhenUsed/>
    <w:qFormat/>
    <w:uiPriority w:val="99"/>
    <w:pPr>
      <w:jc w:val="left"/>
    </w:pPr>
    <w:rPr>
      <w:szCs w:val="20"/>
    </w:rPr>
  </w:style>
  <w:style w:type="paragraph" w:styleId="16">
    <w:name w:val="Body Text 3"/>
    <w:basedOn w:val="1"/>
    <w:link w:val="94"/>
    <w:qFormat/>
    <w:uiPriority w:val="0"/>
    <w:rPr>
      <w:rFonts w:ascii="宋体"/>
      <w:sz w:val="24"/>
      <w:szCs w:val="20"/>
    </w:rPr>
  </w:style>
  <w:style w:type="paragraph" w:styleId="17">
    <w:name w:val="Body Text"/>
    <w:basedOn w:val="1"/>
    <w:link w:val="58"/>
    <w:qFormat/>
    <w:uiPriority w:val="0"/>
    <w:pPr>
      <w:spacing w:after="120"/>
    </w:pPr>
  </w:style>
  <w:style w:type="paragraph" w:styleId="18">
    <w:name w:val="Body Text Indent"/>
    <w:basedOn w:val="1"/>
    <w:link w:val="82"/>
    <w:qFormat/>
    <w:uiPriority w:val="0"/>
    <w:pPr>
      <w:spacing w:line="360" w:lineRule="auto"/>
      <w:ind w:firstLine="420"/>
    </w:pPr>
    <w:rPr>
      <w:rFonts w:ascii="宋体"/>
      <w:sz w:val="24"/>
      <w:szCs w:val="20"/>
    </w:rPr>
  </w:style>
  <w:style w:type="paragraph" w:styleId="19">
    <w:name w:val="toc 5"/>
    <w:basedOn w:val="1"/>
    <w:next w:val="1"/>
    <w:qFormat/>
    <w:uiPriority w:val="39"/>
    <w:pPr>
      <w:ind w:left="1680" w:leftChars="800"/>
    </w:pPr>
  </w:style>
  <w:style w:type="paragraph" w:styleId="20">
    <w:name w:val="toc 3"/>
    <w:basedOn w:val="1"/>
    <w:next w:val="1"/>
    <w:qFormat/>
    <w:uiPriority w:val="39"/>
    <w:pPr>
      <w:ind w:left="840" w:leftChars="400"/>
      <w:jc w:val="left"/>
    </w:pPr>
  </w:style>
  <w:style w:type="paragraph" w:styleId="21">
    <w:name w:val="Plain Text"/>
    <w:basedOn w:val="1"/>
    <w:link w:val="99"/>
    <w:qFormat/>
    <w:uiPriority w:val="0"/>
    <w:rPr>
      <w:rFonts w:ascii="宋体" w:hAnsi="Courier New"/>
      <w:sz w:val="28"/>
      <w:szCs w:val="20"/>
    </w:rPr>
  </w:style>
  <w:style w:type="paragraph" w:styleId="22">
    <w:name w:val="toc 8"/>
    <w:basedOn w:val="1"/>
    <w:next w:val="1"/>
    <w:qFormat/>
    <w:uiPriority w:val="39"/>
    <w:pPr>
      <w:ind w:left="2940" w:leftChars="1400"/>
    </w:pPr>
  </w:style>
  <w:style w:type="paragraph" w:styleId="23">
    <w:name w:val="Date"/>
    <w:basedOn w:val="1"/>
    <w:next w:val="1"/>
    <w:qFormat/>
    <w:uiPriority w:val="0"/>
    <w:pPr>
      <w:ind w:left="100" w:leftChars="2500"/>
    </w:pPr>
  </w:style>
  <w:style w:type="paragraph" w:styleId="24">
    <w:name w:val="Body Text Indent 2"/>
    <w:basedOn w:val="1"/>
    <w:link w:val="90"/>
    <w:qFormat/>
    <w:uiPriority w:val="0"/>
    <w:pPr>
      <w:spacing w:line="420" w:lineRule="exact"/>
      <w:ind w:firstLine="525"/>
    </w:pPr>
    <w:rPr>
      <w:rFonts w:ascii="宋体"/>
      <w:szCs w:val="20"/>
    </w:rPr>
  </w:style>
  <w:style w:type="paragraph" w:styleId="25">
    <w:name w:val="Balloon Text"/>
    <w:basedOn w:val="1"/>
    <w:link w:val="100"/>
    <w:unhideWhenUsed/>
    <w:qFormat/>
    <w:uiPriority w:val="99"/>
    <w:rPr>
      <w:sz w:val="18"/>
      <w:szCs w:val="18"/>
    </w:rPr>
  </w:style>
  <w:style w:type="paragraph" w:styleId="26">
    <w:name w:val="footer"/>
    <w:basedOn w:val="1"/>
    <w:link w:val="92"/>
    <w:qFormat/>
    <w:uiPriority w:val="99"/>
    <w:pPr>
      <w:tabs>
        <w:tab w:val="center" w:pos="4153"/>
        <w:tab w:val="right" w:pos="8306"/>
      </w:tabs>
      <w:snapToGrid w:val="0"/>
      <w:jc w:val="left"/>
    </w:pPr>
    <w:rPr>
      <w:sz w:val="18"/>
      <w:szCs w:val="20"/>
    </w:rPr>
  </w:style>
  <w:style w:type="paragraph" w:styleId="27">
    <w:name w:val="header"/>
    <w:basedOn w:val="1"/>
    <w:link w:val="7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28">
    <w:name w:val="toc 1"/>
    <w:basedOn w:val="1"/>
    <w:next w:val="1"/>
    <w:qFormat/>
    <w:uiPriority w:val="39"/>
    <w:pPr>
      <w:jc w:val="left"/>
    </w:pPr>
  </w:style>
  <w:style w:type="paragraph" w:styleId="29">
    <w:name w:val="toc 4"/>
    <w:basedOn w:val="1"/>
    <w:next w:val="1"/>
    <w:qFormat/>
    <w:uiPriority w:val="39"/>
    <w:pPr>
      <w:ind w:left="1260" w:leftChars="600"/>
    </w:pPr>
  </w:style>
  <w:style w:type="paragraph" w:styleId="30">
    <w:name w:val="Subtitle"/>
    <w:basedOn w:val="1"/>
    <w:next w:val="1"/>
    <w:link w:val="89"/>
    <w:qFormat/>
    <w:uiPriority w:val="11"/>
    <w:pPr>
      <w:spacing w:before="240" w:after="60" w:line="312" w:lineRule="auto"/>
      <w:jc w:val="center"/>
      <w:outlineLvl w:val="1"/>
    </w:pPr>
    <w:rPr>
      <w:rFonts w:ascii="Cambria" w:hAnsi="Cambria"/>
      <w:b/>
      <w:bCs/>
      <w:kern w:val="28"/>
      <w:sz w:val="32"/>
      <w:szCs w:val="32"/>
    </w:rPr>
  </w:style>
  <w:style w:type="paragraph" w:styleId="31">
    <w:name w:val="footnote text"/>
    <w:basedOn w:val="1"/>
    <w:link w:val="69"/>
    <w:qFormat/>
    <w:uiPriority w:val="0"/>
    <w:rPr>
      <w:sz w:val="20"/>
      <w:szCs w:val="20"/>
    </w:rPr>
  </w:style>
  <w:style w:type="paragraph" w:styleId="32">
    <w:name w:val="toc 6"/>
    <w:basedOn w:val="1"/>
    <w:next w:val="1"/>
    <w:qFormat/>
    <w:uiPriority w:val="39"/>
    <w:pPr>
      <w:ind w:left="2100" w:leftChars="1000"/>
    </w:pPr>
  </w:style>
  <w:style w:type="paragraph" w:styleId="33">
    <w:name w:val="Body Text Indent 3"/>
    <w:basedOn w:val="1"/>
    <w:link w:val="61"/>
    <w:qFormat/>
    <w:uiPriority w:val="0"/>
    <w:pPr>
      <w:spacing w:after="120"/>
      <w:ind w:left="420" w:leftChars="200"/>
    </w:pPr>
    <w:rPr>
      <w:sz w:val="16"/>
      <w:szCs w:val="16"/>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ind w:left="420" w:leftChars="200"/>
      <w:jc w:val="left"/>
    </w:pPr>
  </w:style>
  <w:style w:type="paragraph" w:styleId="36">
    <w:name w:val="toc 9"/>
    <w:basedOn w:val="1"/>
    <w:next w:val="1"/>
    <w:qFormat/>
    <w:uiPriority w:val="39"/>
    <w:pPr>
      <w:ind w:left="3360" w:leftChars="1600"/>
    </w:pPr>
  </w:style>
  <w:style w:type="paragraph" w:styleId="37">
    <w:name w:val="Body Text 2"/>
    <w:basedOn w:val="1"/>
    <w:link w:val="132"/>
    <w:semiHidden/>
    <w:unhideWhenUsed/>
    <w:qFormat/>
    <w:uiPriority w:val="99"/>
    <w:pPr>
      <w:spacing w:after="120" w:line="480" w:lineRule="auto"/>
    </w:pPr>
  </w:style>
  <w:style w:type="paragraph" w:styleId="38">
    <w:name w:val="List Continue 2"/>
    <w:basedOn w:val="1"/>
    <w:qFormat/>
    <w:uiPriority w:val="0"/>
    <w:pPr>
      <w:spacing w:after="120"/>
      <w:ind w:left="840"/>
    </w:pPr>
  </w:style>
  <w:style w:type="paragraph" w:styleId="39">
    <w:name w:val="HTML Preformatted"/>
    <w:basedOn w:val="1"/>
    <w:link w:val="1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cs="宋体" w:eastAsiaTheme="minorEastAsia"/>
      <w:kern w:val="1"/>
      <w:sz w:val="24"/>
      <w:lang w:eastAsia="ar-SA"/>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1">
    <w:name w:val="Title"/>
    <w:basedOn w:val="1"/>
    <w:link w:val="76"/>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5"/>
    <w:next w:val="15"/>
    <w:link w:val="88"/>
    <w:qFormat/>
    <w:uiPriority w:val="0"/>
    <w:rPr>
      <w:b/>
      <w:bCs/>
      <w:szCs w:val="24"/>
    </w:rPr>
  </w:style>
  <w:style w:type="table" w:styleId="44">
    <w:name w:val="Table Grid"/>
    <w:basedOn w:val="43"/>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qFormat/>
    <w:uiPriority w:val="0"/>
  </w:style>
  <w:style w:type="character" w:styleId="48">
    <w:name w:val="FollowedHyperlink"/>
    <w:qFormat/>
    <w:uiPriority w:val="0"/>
    <w:rPr>
      <w:color w:val="800080"/>
      <w:u w:val="single"/>
    </w:rPr>
  </w:style>
  <w:style w:type="character" w:styleId="49">
    <w:name w:val="Emphasis"/>
    <w:qFormat/>
    <w:uiPriority w:val="20"/>
    <w:rPr>
      <w:i/>
      <w:iCs/>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character" w:customStyle="1" w:styleId="53">
    <w:name w:val="明显参考1"/>
    <w:qFormat/>
    <w:uiPriority w:val="32"/>
    <w:rPr>
      <w:b/>
      <w:bCs/>
      <w:smallCaps/>
      <w:color w:val="C0504D"/>
      <w:spacing w:val="5"/>
      <w:u w:val="single"/>
    </w:rPr>
  </w:style>
  <w:style w:type="character" w:customStyle="1" w:styleId="54">
    <w:name w:val="Char Char"/>
    <w:qFormat/>
    <w:uiPriority w:val="0"/>
    <w:rPr>
      <w:rFonts w:ascii="Arial" w:hAnsi="Arial" w:eastAsia="黑体"/>
      <w:b/>
      <w:bCs/>
      <w:kern w:val="2"/>
      <w:sz w:val="32"/>
      <w:szCs w:val="32"/>
      <w:lang w:val="en-US" w:eastAsia="zh-CN" w:bidi="ar-SA"/>
    </w:rPr>
  </w:style>
  <w:style w:type="character" w:customStyle="1" w:styleId="55">
    <w:name w:val="Char Char2"/>
    <w:qFormat/>
    <w:uiPriority w:val="0"/>
    <w:rPr>
      <w:rFonts w:eastAsia="宋体"/>
      <w:kern w:val="2"/>
      <w:sz w:val="21"/>
      <w:szCs w:val="24"/>
      <w:lang w:val="en-US" w:eastAsia="zh-CN" w:bidi="ar-SA"/>
    </w:rPr>
  </w:style>
  <w:style w:type="character" w:customStyle="1" w:styleId="56">
    <w:name w:val="文档结构图 Char"/>
    <w:link w:val="14"/>
    <w:qFormat/>
    <w:uiPriority w:val="0"/>
    <w:rPr>
      <w:kern w:val="2"/>
      <w:sz w:val="21"/>
      <w:szCs w:val="24"/>
      <w:shd w:val="clear" w:color="auto" w:fill="000080"/>
    </w:rPr>
  </w:style>
  <w:style w:type="character" w:customStyle="1" w:styleId="57">
    <w:name w:val="不明显强调1"/>
    <w:qFormat/>
    <w:uiPriority w:val="19"/>
    <w:rPr>
      <w:i/>
      <w:iCs/>
      <w:color w:val="808080"/>
    </w:rPr>
  </w:style>
  <w:style w:type="character" w:customStyle="1" w:styleId="58">
    <w:name w:val="正文文本 Char"/>
    <w:link w:val="17"/>
    <w:qFormat/>
    <w:uiPriority w:val="0"/>
    <w:rPr>
      <w:kern w:val="2"/>
      <w:sz w:val="21"/>
      <w:szCs w:val="24"/>
    </w:rPr>
  </w:style>
  <w:style w:type="character" w:customStyle="1" w:styleId="59">
    <w:name w:val="正文缩进 Char"/>
    <w:link w:val="12"/>
    <w:qFormat/>
    <w:uiPriority w:val="0"/>
    <w:rPr>
      <w:b/>
      <w:kern w:val="2"/>
      <w:sz w:val="24"/>
    </w:rPr>
  </w:style>
  <w:style w:type="character" w:customStyle="1" w:styleId="60">
    <w:name w:val="font161"/>
    <w:qFormat/>
    <w:uiPriority w:val="0"/>
    <w:rPr>
      <w:b/>
      <w:bCs/>
      <w:sz w:val="32"/>
      <w:szCs w:val="32"/>
    </w:rPr>
  </w:style>
  <w:style w:type="character" w:customStyle="1" w:styleId="61">
    <w:name w:val="正文文本缩进 3 Char"/>
    <w:link w:val="33"/>
    <w:qFormat/>
    <w:uiPriority w:val="0"/>
    <w:rPr>
      <w:kern w:val="2"/>
      <w:sz w:val="16"/>
      <w:szCs w:val="16"/>
    </w:rPr>
  </w:style>
  <w:style w:type="character" w:customStyle="1" w:styleId="62">
    <w:name w:val="明显强调1"/>
    <w:qFormat/>
    <w:uiPriority w:val="21"/>
    <w:rPr>
      <w:b/>
      <w:bCs/>
      <w:i/>
      <w:iCs/>
      <w:color w:val="4F81BD"/>
    </w:rPr>
  </w:style>
  <w:style w:type="character" w:customStyle="1" w:styleId="63">
    <w:name w:val="书籍标题1"/>
    <w:qFormat/>
    <w:uiPriority w:val="33"/>
    <w:rPr>
      <w:b/>
      <w:bCs/>
      <w:smallCaps/>
      <w:spacing w:val="5"/>
    </w:rPr>
  </w:style>
  <w:style w:type="character" w:customStyle="1" w:styleId="64">
    <w:name w:val="Char Char8"/>
    <w:qFormat/>
    <w:uiPriority w:val="0"/>
    <w:rPr>
      <w:rFonts w:ascii="Arial" w:hAnsi="Arial" w:eastAsia="黑体"/>
      <w:b/>
      <w:bCs/>
      <w:kern w:val="2"/>
      <w:sz w:val="32"/>
      <w:szCs w:val="32"/>
      <w:lang w:val="en-US" w:eastAsia="zh-CN" w:bidi="ar-SA"/>
    </w:rPr>
  </w:style>
  <w:style w:type="character" w:customStyle="1" w:styleId="65">
    <w:name w:val="不明显参考1"/>
    <w:qFormat/>
    <w:uiPriority w:val="31"/>
    <w:rPr>
      <w:smallCaps/>
      <w:color w:val="C0504D"/>
      <w:u w:val="single"/>
    </w:rPr>
  </w:style>
  <w:style w:type="character" w:customStyle="1" w:styleId="66">
    <w:name w:val="批注文字 Char1"/>
    <w:link w:val="15"/>
    <w:semiHidden/>
    <w:qFormat/>
    <w:uiPriority w:val="99"/>
    <w:rPr>
      <w:kern w:val="2"/>
      <w:sz w:val="21"/>
    </w:rPr>
  </w:style>
  <w:style w:type="character" w:customStyle="1" w:styleId="67">
    <w:name w:val="引用 Char"/>
    <w:link w:val="68"/>
    <w:qFormat/>
    <w:uiPriority w:val="29"/>
    <w:rPr>
      <w:i/>
      <w:iCs/>
      <w:color w:val="000000"/>
      <w:kern w:val="2"/>
      <w:sz w:val="21"/>
      <w:szCs w:val="24"/>
    </w:rPr>
  </w:style>
  <w:style w:type="paragraph" w:styleId="68">
    <w:name w:val="Quote"/>
    <w:basedOn w:val="1"/>
    <w:next w:val="1"/>
    <w:link w:val="67"/>
    <w:qFormat/>
    <w:uiPriority w:val="29"/>
    <w:rPr>
      <w:i/>
      <w:iCs/>
      <w:color w:val="000000"/>
    </w:rPr>
  </w:style>
  <w:style w:type="character" w:customStyle="1" w:styleId="69">
    <w:name w:val="脚注文本 Char"/>
    <w:link w:val="31"/>
    <w:qFormat/>
    <w:uiPriority w:val="0"/>
    <w:rPr>
      <w:kern w:val="2"/>
    </w:rPr>
  </w:style>
  <w:style w:type="character" w:customStyle="1" w:styleId="70">
    <w:name w:val="标题 9 Char"/>
    <w:link w:val="10"/>
    <w:qFormat/>
    <w:uiPriority w:val="0"/>
    <w:rPr>
      <w:rFonts w:ascii="Arial" w:hAnsi="Arial" w:eastAsia="黑体"/>
      <w:sz w:val="21"/>
      <w:szCs w:val="21"/>
    </w:rPr>
  </w:style>
  <w:style w:type="character" w:customStyle="1" w:styleId="71">
    <w:name w:val="标题 6 Char"/>
    <w:link w:val="7"/>
    <w:qFormat/>
    <w:uiPriority w:val="0"/>
    <w:rPr>
      <w:rFonts w:ascii="Arial" w:hAnsi="Arial" w:eastAsia="黑体"/>
      <w:b/>
      <w:bCs/>
      <w:sz w:val="24"/>
      <w:szCs w:val="24"/>
    </w:rPr>
  </w:style>
  <w:style w:type="character" w:customStyle="1" w:styleId="72">
    <w:name w:val="标题 5 Char"/>
    <w:link w:val="6"/>
    <w:semiHidden/>
    <w:qFormat/>
    <w:uiPriority w:val="9"/>
    <w:rPr>
      <w:b/>
      <w:bCs/>
      <w:kern w:val="2"/>
      <w:sz w:val="28"/>
      <w:szCs w:val="28"/>
    </w:rPr>
  </w:style>
  <w:style w:type="character" w:customStyle="1" w:styleId="73">
    <w:name w:val="页脚 Char"/>
    <w:qFormat/>
    <w:uiPriority w:val="99"/>
    <w:rPr>
      <w:kern w:val="2"/>
      <w:sz w:val="18"/>
    </w:rPr>
  </w:style>
  <w:style w:type="character" w:customStyle="1" w:styleId="74">
    <w:name w:val="标题 8 Char"/>
    <w:link w:val="9"/>
    <w:qFormat/>
    <w:uiPriority w:val="0"/>
    <w:rPr>
      <w:rFonts w:ascii="Arial" w:hAnsi="Arial" w:eastAsia="黑体"/>
      <w:sz w:val="24"/>
      <w:szCs w:val="24"/>
    </w:rPr>
  </w:style>
  <w:style w:type="character" w:customStyle="1" w:styleId="75">
    <w:name w:val="页眉 Char1"/>
    <w:link w:val="27"/>
    <w:unhideWhenUsed/>
    <w:qFormat/>
    <w:uiPriority w:val="99"/>
    <w:rPr>
      <w:rFonts w:hint="default" w:eastAsia="宋体"/>
      <w:kern w:val="2"/>
      <w:sz w:val="18"/>
      <w:lang w:val="en-US" w:eastAsia="zh-CN"/>
    </w:rPr>
  </w:style>
  <w:style w:type="character" w:customStyle="1" w:styleId="76">
    <w:name w:val="标题 Char"/>
    <w:link w:val="41"/>
    <w:qFormat/>
    <w:uiPriority w:val="0"/>
    <w:rPr>
      <w:rFonts w:ascii="Arial" w:hAnsi="Arial"/>
      <w:b/>
      <w:sz w:val="32"/>
    </w:rPr>
  </w:style>
  <w:style w:type="character" w:customStyle="1" w:styleId="77">
    <w:name w:val="标题 1 Char"/>
    <w:link w:val="2"/>
    <w:qFormat/>
    <w:uiPriority w:val="0"/>
    <w:rPr>
      <w:b/>
      <w:bCs/>
      <w:kern w:val="44"/>
      <w:sz w:val="44"/>
      <w:szCs w:val="44"/>
    </w:rPr>
  </w:style>
  <w:style w:type="character" w:customStyle="1" w:styleId="78">
    <w:name w:val="标题 4 Char1"/>
    <w:link w:val="5"/>
    <w:unhideWhenUsed/>
    <w:qFormat/>
    <w:uiPriority w:val="99"/>
    <w:rPr>
      <w:rFonts w:hint="eastAsia" w:ascii="Cambria" w:hAnsi="Cambria" w:eastAsia="宋体"/>
      <w:b/>
      <w:kern w:val="2"/>
      <w:sz w:val="28"/>
    </w:rPr>
  </w:style>
  <w:style w:type="character" w:customStyle="1" w:styleId="79">
    <w:name w:val="标题 7 Char"/>
    <w:link w:val="8"/>
    <w:qFormat/>
    <w:uiPriority w:val="0"/>
    <w:rPr>
      <w:b/>
      <w:bCs/>
      <w:sz w:val="24"/>
      <w:szCs w:val="24"/>
    </w:rPr>
  </w:style>
  <w:style w:type="character" w:customStyle="1" w:styleId="80">
    <w:name w:val="无间隔 Char"/>
    <w:link w:val="81"/>
    <w:qFormat/>
    <w:uiPriority w:val="1"/>
    <w:rPr>
      <w:kern w:val="2"/>
      <w:sz w:val="21"/>
      <w:szCs w:val="24"/>
      <w:lang w:val="en-US" w:eastAsia="zh-CN" w:bidi="ar-SA"/>
    </w:rPr>
  </w:style>
  <w:style w:type="paragraph" w:styleId="81">
    <w:name w:val="No Spacing"/>
    <w:link w:val="80"/>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2">
    <w:name w:val="正文文本缩进 Char"/>
    <w:link w:val="18"/>
    <w:qFormat/>
    <w:uiPriority w:val="0"/>
    <w:rPr>
      <w:rFonts w:ascii="宋体"/>
      <w:kern w:val="2"/>
      <w:sz w:val="24"/>
    </w:rPr>
  </w:style>
  <w:style w:type="character" w:customStyle="1" w:styleId="83">
    <w:name w:val="标题 2 Char"/>
    <w:link w:val="3"/>
    <w:qFormat/>
    <w:uiPriority w:val="0"/>
    <w:rPr>
      <w:rFonts w:ascii="Arial" w:hAnsi="Arial" w:eastAsia="黑体"/>
      <w:b/>
      <w:bCs/>
      <w:kern w:val="2"/>
      <w:sz w:val="32"/>
      <w:szCs w:val="32"/>
    </w:rPr>
  </w:style>
  <w:style w:type="character" w:customStyle="1" w:styleId="84">
    <w:name w:val="页眉 Char"/>
    <w:qFormat/>
    <w:uiPriority w:val="0"/>
    <w:rPr>
      <w:kern w:val="2"/>
      <w:sz w:val="18"/>
    </w:rPr>
  </w:style>
  <w:style w:type="character" w:customStyle="1" w:styleId="85">
    <w:name w:val="样式 Char"/>
    <w:link w:val="86"/>
    <w:qFormat/>
    <w:uiPriority w:val="0"/>
    <w:rPr>
      <w:rFonts w:ascii="宋体" w:hAnsi="宋体" w:cs="宋体"/>
      <w:sz w:val="24"/>
      <w:szCs w:val="24"/>
      <w:lang w:val="en-US" w:eastAsia="zh-CN" w:bidi="ar-SA"/>
    </w:rPr>
  </w:style>
  <w:style w:type="paragraph" w:customStyle="1" w:styleId="86">
    <w:name w:val="样式"/>
    <w:link w:val="85"/>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7">
    <w:name w:val="批注文字 Char"/>
    <w:qFormat/>
    <w:uiPriority w:val="0"/>
    <w:rPr>
      <w:rFonts w:eastAsia="宋体"/>
      <w:kern w:val="2"/>
      <w:sz w:val="21"/>
      <w:szCs w:val="24"/>
      <w:lang w:val="en-US" w:eastAsia="zh-CN" w:bidi="ar-SA"/>
    </w:rPr>
  </w:style>
  <w:style w:type="character" w:customStyle="1" w:styleId="88">
    <w:name w:val="批注主题 Char"/>
    <w:link w:val="42"/>
    <w:qFormat/>
    <w:uiPriority w:val="0"/>
    <w:rPr>
      <w:b/>
      <w:bCs/>
      <w:kern w:val="2"/>
      <w:sz w:val="21"/>
      <w:szCs w:val="24"/>
    </w:rPr>
  </w:style>
  <w:style w:type="character" w:customStyle="1" w:styleId="89">
    <w:name w:val="副标题 Char"/>
    <w:link w:val="30"/>
    <w:qFormat/>
    <w:uiPriority w:val="11"/>
    <w:rPr>
      <w:rFonts w:ascii="Cambria" w:hAnsi="Cambria" w:cs="Times New Roman"/>
      <w:b/>
      <w:bCs/>
      <w:kern w:val="28"/>
      <w:sz w:val="32"/>
      <w:szCs w:val="32"/>
    </w:rPr>
  </w:style>
  <w:style w:type="character" w:customStyle="1" w:styleId="90">
    <w:name w:val="正文文本缩进 2 Char"/>
    <w:link w:val="24"/>
    <w:qFormat/>
    <w:uiPriority w:val="0"/>
    <w:rPr>
      <w:rFonts w:ascii="宋体"/>
      <w:kern w:val="2"/>
      <w:sz w:val="21"/>
    </w:rPr>
  </w:style>
  <w:style w:type="character" w:customStyle="1" w:styleId="91">
    <w:name w:val="标题 3 Char"/>
    <w:qFormat/>
    <w:uiPriority w:val="0"/>
    <w:rPr>
      <w:rFonts w:ascii="黑体" w:hAnsi="宋体" w:eastAsia="黑体"/>
      <w:bCs/>
      <w:kern w:val="2"/>
      <w:sz w:val="28"/>
      <w:szCs w:val="28"/>
    </w:rPr>
  </w:style>
  <w:style w:type="character" w:customStyle="1" w:styleId="92">
    <w:name w:val="页脚 Char1"/>
    <w:link w:val="26"/>
    <w:unhideWhenUsed/>
    <w:qFormat/>
    <w:uiPriority w:val="99"/>
    <w:rPr>
      <w:rFonts w:hint="default" w:eastAsia="宋体"/>
      <w:kern w:val="2"/>
      <w:sz w:val="18"/>
    </w:rPr>
  </w:style>
  <w:style w:type="character" w:customStyle="1" w:styleId="93">
    <w:name w:val="标题 4 Char"/>
    <w:qFormat/>
    <w:uiPriority w:val="0"/>
    <w:rPr>
      <w:rFonts w:ascii="Arial" w:hAnsi="Arial" w:eastAsia="黑体"/>
      <w:b/>
      <w:bCs/>
      <w:kern w:val="2"/>
      <w:sz w:val="28"/>
      <w:szCs w:val="28"/>
    </w:rPr>
  </w:style>
  <w:style w:type="character" w:customStyle="1" w:styleId="94">
    <w:name w:val="正文文本 3 Char"/>
    <w:link w:val="16"/>
    <w:qFormat/>
    <w:uiPriority w:val="0"/>
    <w:rPr>
      <w:rFonts w:ascii="宋体"/>
      <w:kern w:val="2"/>
      <w:sz w:val="24"/>
    </w:rPr>
  </w:style>
  <w:style w:type="character" w:customStyle="1" w:styleId="95">
    <w:name w:val="标题 3 Char1"/>
    <w:link w:val="4"/>
    <w:unhideWhenUsed/>
    <w:qFormat/>
    <w:uiPriority w:val="99"/>
    <w:rPr>
      <w:rFonts w:hint="default" w:hAnsi="黑体" w:eastAsia="黑体"/>
      <w:kern w:val="2"/>
      <w:sz w:val="24"/>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明显引用 Char"/>
    <w:link w:val="98"/>
    <w:qFormat/>
    <w:uiPriority w:val="30"/>
    <w:rPr>
      <w:b/>
      <w:bCs/>
      <w:i/>
      <w:iCs/>
      <w:color w:val="4F81BD"/>
      <w:kern w:val="2"/>
      <w:sz w:val="21"/>
      <w:szCs w:val="24"/>
    </w:rPr>
  </w:style>
  <w:style w:type="paragraph" w:styleId="98">
    <w:name w:val="Intense Quote"/>
    <w:basedOn w:val="1"/>
    <w:next w:val="1"/>
    <w:link w:val="97"/>
    <w:qFormat/>
    <w:uiPriority w:val="30"/>
    <w:pPr>
      <w:pBdr>
        <w:bottom w:val="single" w:color="4F81BD" w:sz="4" w:space="4"/>
      </w:pBdr>
      <w:spacing w:before="200" w:after="280"/>
      <w:ind w:left="936" w:right="936"/>
    </w:pPr>
    <w:rPr>
      <w:b/>
      <w:bCs/>
      <w:i/>
      <w:iCs/>
      <w:color w:val="4F81BD"/>
    </w:rPr>
  </w:style>
  <w:style w:type="character" w:customStyle="1" w:styleId="99">
    <w:name w:val="纯文本 Char"/>
    <w:link w:val="21"/>
    <w:qFormat/>
    <w:uiPriority w:val="0"/>
    <w:rPr>
      <w:rFonts w:ascii="宋体" w:hAnsi="Courier New"/>
      <w:kern w:val="2"/>
      <w:sz w:val="28"/>
    </w:rPr>
  </w:style>
  <w:style w:type="character" w:customStyle="1" w:styleId="100">
    <w:name w:val="批注框文本 Char"/>
    <w:link w:val="25"/>
    <w:semiHidden/>
    <w:qFormat/>
    <w:uiPriority w:val="99"/>
    <w:rPr>
      <w:kern w:val="2"/>
      <w:sz w:val="18"/>
      <w:szCs w:val="18"/>
    </w:rPr>
  </w:style>
  <w:style w:type="character" w:customStyle="1" w:styleId="101">
    <w:name w:val="font21"/>
    <w:basedOn w:val="45"/>
    <w:qFormat/>
    <w:uiPriority w:val="0"/>
    <w:rPr>
      <w:rFonts w:hint="eastAsia" w:ascii="宋体" w:hAnsi="宋体" w:eastAsia="宋体"/>
      <w:color w:val="000000"/>
      <w:sz w:val="22"/>
      <w:szCs w:val="22"/>
      <w:u w:val="none"/>
    </w:rPr>
  </w:style>
  <w:style w:type="character" w:customStyle="1" w:styleId="102">
    <w:name w:val="font01"/>
    <w:basedOn w:val="45"/>
    <w:qFormat/>
    <w:uiPriority w:val="0"/>
    <w:rPr>
      <w:rFonts w:hint="default" w:ascii="Times New Roman" w:hAnsi="Times New Roman" w:cs="Times New Roman"/>
      <w:color w:val="000000"/>
      <w:sz w:val="22"/>
      <w:szCs w:val="22"/>
      <w:u w:val="none"/>
    </w:rPr>
  </w:style>
  <w:style w:type="paragraph" w:customStyle="1" w:styleId="10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04">
    <w:name w:val="样式4"/>
    <w:basedOn w:val="4"/>
    <w:qFormat/>
    <w:uiPriority w:val="0"/>
    <w:rPr>
      <w:rFonts w:eastAsia="Arial"/>
    </w:rPr>
  </w:style>
  <w:style w:type="paragraph" w:customStyle="1" w:styleId="105">
    <w:name w:val="样式1"/>
    <w:basedOn w:val="4"/>
    <w:qFormat/>
    <w:uiPriority w:val="0"/>
    <w:rPr>
      <w:rFonts w:eastAsia="Arial"/>
    </w:rPr>
  </w:style>
  <w:style w:type="paragraph" w:customStyle="1" w:styleId="106">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paragraph" w:customStyle="1" w:styleId="107">
    <w:name w:val="纯文本1"/>
    <w:basedOn w:val="1"/>
    <w:qFormat/>
    <w:uiPriority w:val="0"/>
    <w:pPr>
      <w:adjustRightInd w:val="0"/>
      <w:textAlignment w:val="baseline"/>
    </w:pPr>
    <w:rPr>
      <w:rFonts w:ascii="宋体" w:hAnsi="Courier New" w:eastAsia="楷体_GB2312"/>
      <w:sz w:val="26"/>
    </w:rPr>
  </w:style>
  <w:style w:type="paragraph" w:customStyle="1" w:styleId="108">
    <w:name w:val="表格"/>
    <w:basedOn w:val="1"/>
    <w:qFormat/>
    <w:uiPriority w:val="0"/>
    <w:pPr>
      <w:jc w:val="center"/>
      <w:textAlignment w:val="center"/>
    </w:pPr>
    <w:rPr>
      <w:rFonts w:ascii="华文细黑" w:hAnsi="华文细黑"/>
      <w:kern w:val="0"/>
    </w:rPr>
  </w:style>
  <w:style w:type="paragraph" w:styleId="109">
    <w:name w:val="List Paragraph"/>
    <w:basedOn w:val="1"/>
    <w:qFormat/>
    <w:uiPriority w:val="34"/>
    <w:pPr>
      <w:ind w:firstLine="420" w:firstLineChars="200"/>
    </w:pPr>
  </w:style>
  <w:style w:type="paragraph" w:customStyle="1" w:styleId="110">
    <w:name w:val="纯文本2"/>
    <w:basedOn w:val="1"/>
    <w:qFormat/>
    <w:uiPriority w:val="0"/>
    <w:rPr>
      <w:rFonts w:ascii="宋体" w:hAnsi="Courier New"/>
      <w:sz w:val="28"/>
    </w:rPr>
  </w:style>
  <w:style w:type="paragraph" w:customStyle="1" w:styleId="111">
    <w:name w:val="正文文本缩进1"/>
    <w:basedOn w:val="1"/>
    <w:qFormat/>
    <w:uiPriority w:val="0"/>
    <w:pPr>
      <w:spacing w:line="360" w:lineRule="auto"/>
      <w:ind w:firstLine="420"/>
    </w:pPr>
    <w:rPr>
      <w:rFonts w:ascii="宋体"/>
      <w:sz w:val="24"/>
    </w:rPr>
  </w:style>
  <w:style w:type="paragraph" w:customStyle="1" w:styleId="112">
    <w:name w:val="样式 标题 3 + (中文) 黑体 小四 非加粗 段前: 7.8 磅 段后: 0 磅 行距: 固定值 20 磅"/>
    <w:basedOn w:val="4"/>
    <w:qFormat/>
    <w:uiPriority w:val="0"/>
    <w:pPr>
      <w:spacing w:before="0" w:after="0" w:line="400" w:lineRule="exact"/>
    </w:pPr>
    <w:rPr>
      <w:rFonts w:cs="宋体"/>
      <w:b/>
      <w:bCs/>
    </w:rPr>
  </w:style>
  <w:style w:type="paragraph" w:customStyle="1" w:styleId="113">
    <w:name w:val="样式2"/>
    <w:basedOn w:val="4"/>
    <w:qFormat/>
    <w:uiPriority w:val="0"/>
  </w:style>
  <w:style w:type="paragraph" w:customStyle="1" w:styleId="114">
    <w:name w:val="Char"/>
    <w:basedOn w:val="1"/>
    <w:qFormat/>
    <w:uiPriority w:val="0"/>
    <w:pPr>
      <w:tabs>
        <w:tab w:val="left" w:pos="360"/>
      </w:tabs>
    </w:pPr>
    <w:rPr>
      <w:sz w:val="24"/>
    </w:rPr>
  </w:style>
  <w:style w:type="paragraph" w:customStyle="1" w:styleId="115">
    <w:name w:val="Personal Name"/>
    <w:basedOn w:val="41"/>
    <w:qFormat/>
    <w:uiPriority w:val="0"/>
    <w:rPr>
      <w:rFonts w:ascii="Impact" w:hAnsi="Impact"/>
      <w:b w:val="0"/>
      <w:caps/>
      <w:color w:val="000000"/>
      <w:sz w:val="28"/>
      <w:szCs w:val="28"/>
    </w:rPr>
  </w:style>
  <w:style w:type="paragraph" w:customStyle="1" w:styleId="116">
    <w:name w:val="样式3"/>
    <w:basedOn w:val="4"/>
    <w:qFormat/>
    <w:uiPriority w:val="0"/>
    <w:rPr>
      <w:rFonts w:eastAsia="Arial"/>
    </w:rPr>
  </w:style>
  <w:style w:type="paragraph" w:customStyle="1" w:styleId="11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18">
    <w:name w:val="TOC 标题1"/>
    <w:basedOn w:val="2"/>
    <w:next w:val="1"/>
    <w:qFormat/>
    <w:uiPriority w:val="39"/>
    <w:pPr>
      <w:spacing w:line="578" w:lineRule="auto"/>
      <w:outlineLvl w:val="9"/>
    </w:pPr>
  </w:style>
  <w:style w:type="paragraph" w:customStyle="1" w:styleId="119">
    <w:name w:val="1"/>
    <w:basedOn w:val="1"/>
    <w:next w:val="1"/>
    <w:qFormat/>
    <w:uiPriority w:val="0"/>
  </w:style>
  <w:style w:type="paragraph" w:customStyle="1" w:styleId="120">
    <w:name w:val="表格文字"/>
    <w:basedOn w:val="1"/>
    <w:qFormat/>
    <w:uiPriority w:val="0"/>
    <w:pPr>
      <w:adjustRightInd w:val="0"/>
      <w:spacing w:line="420" w:lineRule="atLeast"/>
      <w:jc w:val="left"/>
      <w:textAlignment w:val="baseline"/>
    </w:pPr>
    <w:rPr>
      <w:kern w:val="0"/>
    </w:rPr>
  </w:style>
  <w:style w:type="paragraph" w:customStyle="1" w:styleId="121">
    <w:name w:val="Char Char2 Char Char"/>
    <w:basedOn w:val="14"/>
    <w:unhideWhenUsed/>
    <w:qFormat/>
    <w:uiPriority w:val="99"/>
    <w:rPr>
      <w:rFonts w:hint="eastAsia" w:ascii="Tahoma" w:hAnsi="Tahoma"/>
      <w:sz w:val="24"/>
    </w:rPr>
  </w:style>
  <w:style w:type="paragraph" w:customStyle="1" w:styleId="122">
    <w:name w:val="样式 标题 2 + 黑色 行距: 1.5 倍行距"/>
    <w:basedOn w:val="3"/>
    <w:qFormat/>
    <w:uiPriority w:val="0"/>
    <w:pPr>
      <w:spacing w:line="360" w:lineRule="auto"/>
    </w:pPr>
    <w:rPr>
      <w:rFonts w:eastAsia="宋体" w:cs="宋体"/>
      <w:color w:val="000000"/>
    </w:rPr>
  </w:style>
  <w:style w:type="paragraph" w:customStyle="1" w:styleId="123">
    <w:name w:val="标题 2 + 黑色 行距: 1.5 倍行距"/>
    <w:basedOn w:val="3"/>
    <w:qFormat/>
    <w:uiPriority w:val="0"/>
    <w:pPr>
      <w:spacing w:line="360" w:lineRule="auto"/>
    </w:pPr>
    <w:rPr>
      <w:rFonts w:eastAsia="宋体" w:cs="宋体"/>
      <w:color w:val="000000"/>
      <w:szCs w:val="20"/>
    </w:rPr>
  </w:style>
  <w:style w:type="paragraph" w:customStyle="1" w:styleId="12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5">
    <w:name w:val="默认段落字体 Para Char Char Char Char Char Char Char Char Char1 Char Char Char Char Char Char Char"/>
    <w:basedOn w:val="14"/>
    <w:qFormat/>
    <w:uiPriority w:val="0"/>
    <w:rPr>
      <w:rFonts w:ascii="Tahoma" w:hAnsi="Tahoma"/>
      <w:sz w:val="24"/>
    </w:rPr>
  </w:style>
  <w:style w:type="paragraph" w:customStyle="1" w:styleId="126">
    <w:name w:val="列出段落1"/>
    <w:basedOn w:val="1"/>
    <w:qFormat/>
    <w:uiPriority w:val="0"/>
    <w:pPr>
      <w:ind w:firstLine="420" w:firstLineChars="200"/>
    </w:pPr>
    <w:rPr>
      <w:rFonts w:ascii="Calibri" w:hAnsi="Calibri"/>
      <w:sz w:val="28"/>
    </w:rPr>
  </w:style>
  <w:style w:type="character" w:customStyle="1" w:styleId="127">
    <w:name w:val="HTML 预设格式 Char"/>
    <w:basedOn w:val="45"/>
    <w:link w:val="39"/>
    <w:qFormat/>
    <w:uiPriority w:val="0"/>
    <w:rPr>
      <w:rFonts w:ascii="宋体" w:hAnsi="宋体" w:cs="宋体" w:eastAsiaTheme="minorEastAsia"/>
      <w:kern w:val="1"/>
      <w:sz w:val="24"/>
      <w:szCs w:val="24"/>
      <w:lang w:eastAsia="ar-SA"/>
    </w:rPr>
  </w:style>
  <w:style w:type="paragraph" w:customStyle="1" w:styleId="128">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129">
    <w:name w:val="图片"/>
    <w:basedOn w:val="1"/>
    <w:next w:val="13"/>
    <w:qFormat/>
    <w:uiPriority w:val="0"/>
    <w:pPr>
      <w:keepNext/>
      <w:widowControl/>
      <w:overflowPunct w:val="0"/>
      <w:autoSpaceDE w:val="0"/>
      <w:autoSpaceDN w:val="0"/>
      <w:adjustRightInd w:val="0"/>
      <w:spacing w:before="120" w:after="240"/>
      <w:jc w:val="center"/>
      <w:textAlignment w:val="baseline"/>
    </w:pPr>
    <w:rPr>
      <w:kern w:val="0"/>
      <w:szCs w:val="20"/>
    </w:rPr>
  </w:style>
  <w:style w:type="paragraph" w:customStyle="1" w:styleId="130">
    <w:name w:val="Default Paragraph Font Para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31">
    <w:name w:val="标题 2 Char1"/>
    <w:qFormat/>
    <w:uiPriority w:val="0"/>
    <w:rPr>
      <w:rFonts w:ascii="Arial" w:hAnsi="Arial" w:eastAsia="黑体"/>
      <w:b/>
      <w:bCs/>
      <w:kern w:val="2"/>
      <w:sz w:val="32"/>
      <w:szCs w:val="32"/>
    </w:rPr>
  </w:style>
  <w:style w:type="character" w:customStyle="1" w:styleId="132">
    <w:name w:val="正文文本 2 Char"/>
    <w:basedOn w:val="45"/>
    <w:link w:val="37"/>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99292-3645-439D-929D-52C2B5122B2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84</Pages>
  <Words>9750</Words>
  <Characters>55578</Characters>
  <Lines>463</Lines>
  <Paragraphs>130</Paragraphs>
  <TotalTime>24</TotalTime>
  <ScaleCrop>false</ScaleCrop>
  <LinksUpToDate>false</LinksUpToDate>
  <CharactersWithSpaces>65198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2019-03-22T06:03:00Z</dcterms:created>
  <dc:creator>kikmfga</dc:creator>
  <cp:lastModifiedBy>乔</cp:lastModifiedBy>
  <cp:lastPrinted>2020-06-28T00:26:00Z</cp:lastPrinted>
  <dcterms:modified xsi:type="dcterms:W3CDTF">2020-07-15T00:58:25Z</dcterms:modified>
  <dc:title>江苏省房屋建筑和市政基础设施工程</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