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55" w:rsidRPr="006C7B68" w:rsidRDefault="00AC67D6" w:rsidP="006C7B68">
      <w:pPr>
        <w:spacing w:line="480" w:lineRule="auto"/>
        <w:jc w:val="center"/>
        <w:rPr>
          <w:b/>
          <w:sz w:val="36"/>
          <w:szCs w:val="36"/>
        </w:rPr>
      </w:pPr>
      <w:bookmarkStart w:id="0" w:name="OLE_LINK1"/>
      <w:r w:rsidRPr="00AC67D6">
        <w:rPr>
          <w:rFonts w:ascii="Calibri" w:eastAsia="宋体" w:hAnsi="Calibri" w:cs="Times New Roman" w:hint="eastAsia"/>
          <w:b/>
          <w:sz w:val="36"/>
          <w:szCs w:val="36"/>
        </w:rPr>
        <w:t>盐通铁路大丰综合枢纽项目</w:t>
      </w:r>
      <w:r w:rsidRPr="00AC67D6">
        <w:rPr>
          <w:rFonts w:ascii="Calibri" w:eastAsia="宋体" w:hAnsi="Calibri" w:cs="Times New Roman" w:hint="eastAsia"/>
          <w:b/>
          <w:sz w:val="36"/>
          <w:szCs w:val="36"/>
        </w:rPr>
        <w:t>1</w:t>
      </w:r>
      <w:r w:rsidRPr="00AC67D6">
        <w:rPr>
          <w:rFonts w:ascii="Calibri" w:eastAsia="宋体" w:hAnsi="Calibri" w:cs="Times New Roman" w:hint="eastAsia"/>
          <w:b/>
          <w:sz w:val="36"/>
          <w:szCs w:val="36"/>
        </w:rPr>
        <w:t>标工程</w:t>
      </w:r>
    </w:p>
    <w:p w:rsidR="00381A7B" w:rsidRPr="006C7B68" w:rsidRDefault="00323355" w:rsidP="006C7B68">
      <w:pPr>
        <w:spacing w:line="480" w:lineRule="auto"/>
        <w:jc w:val="center"/>
        <w:rPr>
          <w:u w:val="single"/>
        </w:rPr>
      </w:pPr>
      <w:r w:rsidRPr="006C7B68">
        <w:rPr>
          <w:rFonts w:hint="eastAsia"/>
          <w:b/>
          <w:sz w:val="36"/>
          <w:szCs w:val="36"/>
        </w:rPr>
        <w:t>补充答疑</w:t>
      </w:r>
      <w:r w:rsidR="00065ED1" w:rsidRPr="006C7B68">
        <w:rPr>
          <w:rFonts w:hint="eastAsia"/>
          <w:b/>
          <w:sz w:val="36"/>
          <w:szCs w:val="36"/>
        </w:rPr>
        <w:t>文件</w:t>
      </w:r>
      <w:r w:rsidR="00FB5208" w:rsidRPr="006C7B68">
        <w:rPr>
          <w:rFonts w:hint="eastAsia"/>
          <w:b/>
          <w:sz w:val="36"/>
          <w:szCs w:val="36"/>
        </w:rPr>
        <w:t>（</w:t>
      </w:r>
      <w:r w:rsidR="00FB5208" w:rsidRPr="006C7B68">
        <w:rPr>
          <w:rFonts w:hint="eastAsia"/>
          <w:b/>
          <w:sz w:val="36"/>
          <w:szCs w:val="36"/>
        </w:rPr>
        <w:t>001</w:t>
      </w:r>
      <w:r w:rsidR="00FB5208" w:rsidRPr="006C7B68">
        <w:rPr>
          <w:rFonts w:hint="eastAsia"/>
          <w:b/>
          <w:sz w:val="36"/>
          <w:szCs w:val="36"/>
        </w:rPr>
        <w:t>号）</w:t>
      </w:r>
    </w:p>
    <w:p w:rsidR="00323355" w:rsidRPr="00A36702" w:rsidRDefault="00323355" w:rsidP="006C7B68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A36702">
        <w:rPr>
          <w:rFonts w:asciiTheme="minorEastAsia" w:hAnsiTheme="minorEastAsia" w:hint="eastAsia"/>
          <w:sz w:val="24"/>
          <w:szCs w:val="24"/>
        </w:rPr>
        <w:t>各投标单位：</w:t>
      </w:r>
    </w:p>
    <w:p w:rsidR="003D1EBB" w:rsidRPr="00A36702" w:rsidRDefault="00AC67D6" w:rsidP="00781141">
      <w:pPr>
        <w:pStyle w:val="p0"/>
        <w:shd w:val="clear" w:color="auto" w:fill="FFFFFF"/>
        <w:spacing w:before="0" w:beforeAutospacing="0" w:after="0" w:afterAutospacing="0" w:line="480" w:lineRule="auto"/>
        <w:rPr>
          <w:szCs w:val="24"/>
        </w:rPr>
      </w:pPr>
      <w:r w:rsidRPr="00A36702">
        <w:rPr>
          <w:rFonts w:hint="eastAsia"/>
          <w:szCs w:val="24"/>
        </w:rPr>
        <w:t xml:space="preserve">  </w:t>
      </w:r>
      <w:r w:rsidR="00FE0910" w:rsidRPr="00A36702">
        <w:rPr>
          <w:rFonts w:hint="eastAsia"/>
          <w:szCs w:val="24"/>
        </w:rPr>
        <w:t xml:space="preserve"> </w:t>
      </w:r>
      <w:r w:rsidR="00781141" w:rsidRPr="00A36702">
        <w:rPr>
          <w:rFonts w:hint="eastAsia"/>
          <w:szCs w:val="24"/>
        </w:rPr>
        <w:t>1、</w:t>
      </w:r>
      <w:r w:rsidR="003D1EBB" w:rsidRPr="00A36702">
        <w:rPr>
          <w:rFonts w:hint="eastAsia"/>
          <w:szCs w:val="24"/>
        </w:rPr>
        <w:t>有投标单位问：</w:t>
      </w:r>
      <w:r w:rsidR="00781141" w:rsidRPr="00A36702">
        <w:rPr>
          <w:rFonts w:hint="eastAsia"/>
          <w:szCs w:val="24"/>
        </w:rPr>
        <w:t>招标文件P75页“</w:t>
      </w:r>
      <w:r w:rsidR="00781141" w:rsidRPr="00A36702">
        <w:rPr>
          <w:szCs w:val="24"/>
        </w:rPr>
        <w:t>104-1 承包人驻地建设由承包人负责，其费用包含在各施工项目中，不单独计量与支付。</w:t>
      </w:r>
      <w:r w:rsidR="00781141" w:rsidRPr="00A36702">
        <w:rPr>
          <w:rFonts w:hint="eastAsia"/>
          <w:szCs w:val="24"/>
        </w:rPr>
        <w:t>”与</w:t>
      </w:r>
      <w:r w:rsidR="00E8767B" w:rsidRPr="00A36702">
        <w:rPr>
          <w:rFonts w:hint="eastAsia"/>
          <w:szCs w:val="24"/>
        </w:rPr>
        <w:t>工程量清单、</w:t>
      </w:r>
      <w:r w:rsidR="00781141" w:rsidRPr="00A36702">
        <w:rPr>
          <w:rFonts w:hint="eastAsia"/>
          <w:szCs w:val="24"/>
        </w:rPr>
        <w:t>招标文件P61工程量清单说明第25条描述前后不一致</w:t>
      </w:r>
      <w:r w:rsidR="003D1EBB" w:rsidRPr="00A36702">
        <w:rPr>
          <w:rFonts w:hint="eastAsia"/>
          <w:szCs w:val="24"/>
        </w:rPr>
        <w:t>。</w:t>
      </w:r>
    </w:p>
    <w:p w:rsidR="00781141" w:rsidRPr="00A36702" w:rsidRDefault="003D1EBB" w:rsidP="003D1EBB">
      <w:pPr>
        <w:pStyle w:val="p0"/>
        <w:shd w:val="clear" w:color="auto" w:fill="FFFFFF"/>
        <w:spacing w:before="0" w:beforeAutospacing="0" w:after="0" w:afterAutospacing="0" w:line="480" w:lineRule="auto"/>
        <w:ind w:firstLineChars="150" w:firstLine="360"/>
        <w:rPr>
          <w:szCs w:val="24"/>
        </w:rPr>
      </w:pPr>
      <w:r w:rsidRPr="00A36702">
        <w:rPr>
          <w:rFonts w:hint="eastAsia"/>
          <w:szCs w:val="24"/>
        </w:rPr>
        <w:t>答：</w:t>
      </w:r>
      <w:r w:rsidR="00781141" w:rsidRPr="00A36702">
        <w:rPr>
          <w:rFonts w:hint="eastAsia"/>
          <w:b/>
          <w:szCs w:val="24"/>
        </w:rPr>
        <w:t>承包人驻地建设以</w:t>
      </w:r>
      <w:r w:rsidR="00FD02FD" w:rsidRPr="00A36702">
        <w:rPr>
          <w:rFonts w:hint="eastAsia"/>
          <w:b/>
          <w:szCs w:val="24"/>
        </w:rPr>
        <w:t>“第五章 工程量清单”中“4.其他说明”</w:t>
      </w:r>
      <w:r w:rsidR="00781141" w:rsidRPr="00A36702">
        <w:rPr>
          <w:rFonts w:hint="eastAsia"/>
          <w:b/>
          <w:szCs w:val="24"/>
        </w:rPr>
        <w:t>第25条描述为准</w:t>
      </w:r>
      <w:r w:rsidR="00781141" w:rsidRPr="00A36702">
        <w:rPr>
          <w:rFonts w:hint="eastAsia"/>
          <w:szCs w:val="24"/>
        </w:rPr>
        <w:t>。</w:t>
      </w:r>
    </w:p>
    <w:p w:rsidR="003D1EBB" w:rsidRPr="00A36702" w:rsidRDefault="00781141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65"/>
        <w:rPr>
          <w:szCs w:val="24"/>
        </w:rPr>
      </w:pPr>
      <w:r w:rsidRPr="00A36702">
        <w:rPr>
          <w:rFonts w:hint="eastAsia"/>
          <w:szCs w:val="24"/>
        </w:rPr>
        <w:t>2、</w:t>
      </w:r>
      <w:r w:rsidR="003D1EBB" w:rsidRPr="00A36702">
        <w:rPr>
          <w:rFonts w:hint="eastAsia"/>
          <w:szCs w:val="24"/>
        </w:rPr>
        <w:t>有投标单位问：</w:t>
      </w:r>
      <w:r w:rsidR="00FF0182" w:rsidRPr="00A36702">
        <w:rPr>
          <w:rFonts w:hint="eastAsia"/>
          <w:szCs w:val="24"/>
        </w:rPr>
        <w:t>招标文件P90报价文件已标价工程量清单的格式中，要求投标人应将招标人给的“工程量清单说明”直接复制于此，</w:t>
      </w:r>
      <w:r w:rsidR="003D1EBB" w:rsidRPr="00A36702">
        <w:rPr>
          <w:rFonts w:hint="eastAsia"/>
          <w:szCs w:val="24"/>
        </w:rPr>
        <w:t>“工程量清单说明”是指哪些内容。</w:t>
      </w:r>
    </w:p>
    <w:p w:rsidR="00781141" w:rsidRPr="00A36702" w:rsidRDefault="003D1EBB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65"/>
        <w:rPr>
          <w:b/>
          <w:szCs w:val="24"/>
        </w:rPr>
      </w:pPr>
      <w:r w:rsidRPr="00A36702">
        <w:rPr>
          <w:rFonts w:hint="eastAsia"/>
          <w:szCs w:val="24"/>
        </w:rPr>
        <w:t>答：</w:t>
      </w:r>
      <w:r w:rsidR="00FF0182" w:rsidRPr="00A36702">
        <w:rPr>
          <w:rFonts w:hint="eastAsia"/>
          <w:b/>
          <w:szCs w:val="24"/>
        </w:rPr>
        <w:t>所提到“工程量清单说明”是指招标文件P57-P63全部内容。</w:t>
      </w:r>
    </w:p>
    <w:p w:rsidR="00A41F46" w:rsidRPr="00A36702" w:rsidRDefault="00FF0182" w:rsidP="00A41F46">
      <w:pPr>
        <w:pStyle w:val="p0"/>
        <w:shd w:val="clear" w:color="auto" w:fill="FFFFFF"/>
        <w:spacing w:before="0" w:beforeAutospacing="0" w:after="0" w:afterAutospacing="0" w:line="480" w:lineRule="auto"/>
        <w:rPr>
          <w:szCs w:val="24"/>
        </w:rPr>
      </w:pPr>
      <w:r w:rsidRPr="00A36702">
        <w:rPr>
          <w:rFonts w:hint="eastAsia"/>
          <w:b/>
          <w:szCs w:val="24"/>
        </w:rPr>
        <w:t xml:space="preserve">   </w:t>
      </w:r>
      <w:r w:rsidRPr="00A36702">
        <w:rPr>
          <w:rFonts w:hint="eastAsia"/>
          <w:szCs w:val="24"/>
        </w:rPr>
        <w:t xml:space="preserve"> 3、</w:t>
      </w:r>
      <w:r w:rsidR="00A41F46" w:rsidRPr="00A36702">
        <w:rPr>
          <w:rFonts w:hint="eastAsia"/>
          <w:szCs w:val="24"/>
        </w:rPr>
        <w:t>公路工程相关专业详见招标文件P4。</w:t>
      </w:r>
    </w:p>
    <w:p w:rsidR="003D1EBB" w:rsidRPr="00A36702" w:rsidRDefault="00A41F46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80"/>
        <w:rPr>
          <w:szCs w:val="24"/>
        </w:rPr>
      </w:pPr>
      <w:r w:rsidRPr="00A36702">
        <w:rPr>
          <w:rFonts w:hint="eastAsia"/>
          <w:szCs w:val="24"/>
        </w:rPr>
        <w:t>4、</w:t>
      </w:r>
      <w:r w:rsidR="003D1EBB" w:rsidRPr="00A36702">
        <w:rPr>
          <w:rFonts w:hint="eastAsia"/>
          <w:szCs w:val="24"/>
        </w:rPr>
        <w:t>有投标单位问：</w:t>
      </w:r>
      <w:r w:rsidRPr="00A36702">
        <w:rPr>
          <w:rFonts w:hint="eastAsia"/>
          <w:szCs w:val="24"/>
        </w:rPr>
        <w:t>招标文件P23，评标办法前附表2.2.4（3）技术能力要求“投标人2014年1月1日</w:t>
      </w:r>
      <w:r w:rsidR="00535503" w:rsidRPr="00A36702">
        <w:rPr>
          <w:rFonts w:hint="eastAsia"/>
          <w:szCs w:val="24"/>
        </w:rPr>
        <w:t>以来获得道路、桥梁或城市主干道工程项目国家级奖项......与道路、桥梁无关的房建、隧道等工程项目不予认可。</w:t>
      </w:r>
      <w:r w:rsidRPr="00A36702">
        <w:rPr>
          <w:rFonts w:hint="eastAsia"/>
          <w:szCs w:val="24"/>
        </w:rPr>
        <w:t>”</w:t>
      </w:r>
      <w:r w:rsidR="003D1EBB" w:rsidRPr="00A36702">
        <w:rPr>
          <w:rFonts w:hint="eastAsia"/>
          <w:szCs w:val="24"/>
        </w:rPr>
        <w:t>道路中的隧道工程或城市主干道中的隧道工程是否认可。</w:t>
      </w:r>
    </w:p>
    <w:p w:rsidR="00A41F46" w:rsidRPr="00A36702" w:rsidRDefault="00535503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80"/>
        <w:rPr>
          <w:szCs w:val="24"/>
        </w:rPr>
      </w:pPr>
      <w:r w:rsidRPr="00A36702">
        <w:rPr>
          <w:rFonts w:hint="eastAsia"/>
          <w:szCs w:val="24"/>
        </w:rPr>
        <w:t xml:space="preserve"> </w:t>
      </w:r>
      <w:r w:rsidR="003D1EBB" w:rsidRPr="00A36702">
        <w:rPr>
          <w:rFonts w:hint="eastAsia"/>
          <w:szCs w:val="24"/>
        </w:rPr>
        <w:t>答：</w:t>
      </w:r>
      <w:r w:rsidRPr="00A36702">
        <w:rPr>
          <w:rFonts w:hint="eastAsia"/>
          <w:b/>
          <w:szCs w:val="24"/>
        </w:rPr>
        <w:t>道路中的隧道工程或城市主干道中的隧道工程不予认可。</w:t>
      </w:r>
    </w:p>
    <w:p w:rsidR="003D1EBB" w:rsidRPr="00A36702" w:rsidRDefault="00535503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65"/>
      </w:pPr>
      <w:r w:rsidRPr="00A36702">
        <w:rPr>
          <w:rFonts w:hint="eastAsia"/>
          <w:szCs w:val="24"/>
        </w:rPr>
        <w:t>5、招标公告和招标文件中“</w:t>
      </w:r>
      <w:r w:rsidRPr="00A36702">
        <w:rPr>
          <w:rFonts w:hint="eastAsia"/>
        </w:rPr>
        <w:t>投标文件递交截止日当天，没有</w:t>
      </w:r>
      <w:r w:rsidRPr="00A36702">
        <w:t>在</w:t>
      </w:r>
      <w:r w:rsidRPr="00A36702">
        <w:rPr>
          <w:rFonts w:hint="eastAsia"/>
        </w:rPr>
        <w:t>“国家企业信用信息公示系统”中被列入严重违法失信企业</w:t>
      </w:r>
      <w:r w:rsidRPr="00A36702">
        <w:t xml:space="preserve"> </w:t>
      </w:r>
      <w:r w:rsidRPr="00A36702">
        <w:rPr>
          <w:rFonts w:hint="eastAsia"/>
        </w:rPr>
        <w:t>、</w:t>
      </w:r>
      <w:r w:rsidRPr="00A36702">
        <w:t>“信用中国”网站（</w:t>
      </w:r>
      <w:hyperlink r:id="rId7">
        <w:r w:rsidRPr="00A36702">
          <w:t>http://www.creditchina.gov.cn/</w:t>
        </w:r>
      </w:hyperlink>
      <w:r w:rsidRPr="00A36702">
        <w:t>）中被列入失信被执行人名单</w:t>
      </w:r>
      <w:r w:rsidRPr="00A36702">
        <w:rPr>
          <w:rFonts w:hint="eastAsia"/>
        </w:rPr>
        <w:t>的相关证明材料或网上查询结果证明（可以是网上截图的打印件）。”</w:t>
      </w:r>
      <w:r w:rsidR="003D1EBB" w:rsidRPr="00A36702">
        <w:rPr>
          <w:rFonts w:hint="eastAsia"/>
        </w:rPr>
        <w:t xml:space="preserve"> </w:t>
      </w:r>
    </w:p>
    <w:p w:rsidR="00535503" w:rsidRPr="00A36702" w:rsidRDefault="00535503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65"/>
        <w:rPr>
          <w:b/>
        </w:rPr>
      </w:pPr>
      <w:r w:rsidRPr="00A36702">
        <w:rPr>
          <w:rFonts w:hint="eastAsia"/>
          <w:b/>
        </w:rPr>
        <w:t>修改为：</w:t>
      </w:r>
      <w:r w:rsidR="00FB22B9" w:rsidRPr="00A36702">
        <w:rPr>
          <w:rFonts w:hint="eastAsia"/>
          <w:b/>
        </w:rPr>
        <w:t>投标人提供</w:t>
      </w:r>
      <w:r w:rsidRPr="00A36702">
        <w:rPr>
          <w:rFonts w:hint="eastAsia"/>
          <w:b/>
        </w:rPr>
        <w:t>距开标截止日3日之内的</w:t>
      </w:r>
      <w:r w:rsidR="008D1633" w:rsidRPr="00A36702">
        <w:rPr>
          <w:rFonts w:hint="eastAsia"/>
          <w:b/>
        </w:rPr>
        <w:t>相关证明材料或</w:t>
      </w:r>
      <w:r w:rsidRPr="00A36702">
        <w:rPr>
          <w:rFonts w:hint="eastAsia"/>
          <w:b/>
        </w:rPr>
        <w:t>查询结果，如投标文件递交截止日当天被</w:t>
      </w:r>
      <w:r w:rsidR="007B1640" w:rsidRPr="00A36702">
        <w:rPr>
          <w:rFonts w:hint="eastAsia"/>
          <w:b/>
        </w:rPr>
        <w:t>评标委员会</w:t>
      </w:r>
      <w:r w:rsidRPr="00A36702">
        <w:rPr>
          <w:rFonts w:hint="eastAsia"/>
          <w:b/>
        </w:rPr>
        <w:t>查询到在上述网站中被列入严重违法失信企业</w:t>
      </w:r>
      <w:r w:rsidR="002461A5" w:rsidRPr="00A36702">
        <w:rPr>
          <w:rFonts w:hint="eastAsia"/>
          <w:b/>
        </w:rPr>
        <w:t>或</w:t>
      </w:r>
      <w:r w:rsidRPr="00A36702">
        <w:rPr>
          <w:rFonts w:hint="eastAsia"/>
          <w:b/>
        </w:rPr>
        <w:t>失信被执行人名单的按废标处理。</w:t>
      </w:r>
    </w:p>
    <w:p w:rsidR="003D1EBB" w:rsidRPr="00A36702" w:rsidRDefault="00535503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80"/>
        <w:rPr>
          <w:szCs w:val="24"/>
        </w:rPr>
      </w:pPr>
      <w:r w:rsidRPr="00A36702">
        <w:rPr>
          <w:rFonts w:hint="eastAsia"/>
          <w:szCs w:val="24"/>
        </w:rPr>
        <w:t>6、招标文件P85“五、资格审查资料”中要求“表格格式参照交通运输部颁发的《公路工程标准施工招标文件》（2018年版）”</w:t>
      </w:r>
    </w:p>
    <w:p w:rsidR="00FF0182" w:rsidRPr="00A36702" w:rsidRDefault="003D1EBB" w:rsidP="003D1EBB">
      <w:pPr>
        <w:pStyle w:val="p0"/>
        <w:shd w:val="clear" w:color="auto" w:fill="FFFFFF"/>
        <w:spacing w:before="0" w:beforeAutospacing="0" w:after="0" w:afterAutospacing="0" w:line="480" w:lineRule="auto"/>
        <w:ind w:firstLine="480"/>
        <w:rPr>
          <w:szCs w:val="24"/>
        </w:rPr>
      </w:pPr>
      <w:r w:rsidRPr="00A36702">
        <w:rPr>
          <w:rFonts w:hint="eastAsia"/>
          <w:szCs w:val="24"/>
        </w:rPr>
        <w:lastRenderedPageBreak/>
        <w:t>修改为</w:t>
      </w:r>
      <w:r w:rsidR="00616242" w:rsidRPr="00A36702">
        <w:rPr>
          <w:rFonts w:hint="eastAsia"/>
          <w:b/>
        </w:rPr>
        <w:t xml:space="preserve"> </w:t>
      </w:r>
      <w:r w:rsidRPr="00A36702">
        <w:rPr>
          <w:rFonts w:hint="eastAsia"/>
          <w:b/>
        </w:rPr>
        <w:t>“</w:t>
      </w:r>
      <w:r w:rsidR="00616242" w:rsidRPr="00A36702">
        <w:rPr>
          <w:rFonts w:hint="eastAsia"/>
          <w:b/>
        </w:rPr>
        <w:t>表格格式参照交通运输部颁发的《公路工程标准施工招标文件》（2018年版）修改或自拟，但所填写内容须满足招标文件要求并清晰、明了。</w:t>
      </w:r>
      <w:r w:rsidRPr="00A36702">
        <w:rPr>
          <w:rFonts w:hint="eastAsia"/>
          <w:b/>
        </w:rPr>
        <w:t>”</w:t>
      </w:r>
    </w:p>
    <w:p w:rsidR="003A540E" w:rsidRPr="00A36702" w:rsidRDefault="00616242" w:rsidP="00386FAD">
      <w:pPr>
        <w:pStyle w:val="p0"/>
        <w:shd w:val="clear" w:color="auto" w:fill="FFFFFF"/>
        <w:spacing w:before="0" w:beforeAutospacing="0" w:after="0" w:afterAutospacing="0" w:line="480" w:lineRule="auto"/>
        <w:rPr>
          <w:szCs w:val="24"/>
        </w:rPr>
      </w:pPr>
      <w:r w:rsidRPr="00A36702">
        <w:rPr>
          <w:rFonts w:hint="eastAsia"/>
          <w:szCs w:val="24"/>
        </w:rPr>
        <w:t xml:space="preserve">   </w:t>
      </w:r>
      <w:r w:rsidR="003A540E" w:rsidRPr="00A36702">
        <w:rPr>
          <w:rFonts w:hint="eastAsia"/>
          <w:szCs w:val="24"/>
        </w:rPr>
        <w:t xml:space="preserve"> 7、招标文件P11“3.5资格审查资料的特殊要求”中“</w:t>
      </w:r>
      <w:r w:rsidR="003A540E" w:rsidRPr="00A36702">
        <w:rPr>
          <w:szCs w:val="24"/>
        </w:rPr>
        <w:t>详见第九章投标文件格式七、资格审查资料</w:t>
      </w:r>
      <w:r w:rsidR="003A540E" w:rsidRPr="00A36702">
        <w:rPr>
          <w:rFonts w:hint="eastAsia"/>
          <w:szCs w:val="24"/>
        </w:rPr>
        <w:t>”</w:t>
      </w:r>
    </w:p>
    <w:p w:rsidR="00386FAD" w:rsidRPr="00A36702" w:rsidRDefault="003A540E" w:rsidP="003A540E">
      <w:pPr>
        <w:pStyle w:val="p0"/>
        <w:shd w:val="clear" w:color="auto" w:fill="FFFFFF"/>
        <w:spacing w:before="0" w:beforeAutospacing="0" w:after="0" w:afterAutospacing="0" w:line="480" w:lineRule="auto"/>
        <w:ind w:firstLineChars="200" w:firstLine="480"/>
        <w:rPr>
          <w:szCs w:val="24"/>
        </w:rPr>
      </w:pPr>
      <w:r w:rsidRPr="00A36702">
        <w:rPr>
          <w:rFonts w:hint="eastAsia"/>
          <w:szCs w:val="24"/>
        </w:rPr>
        <w:t>修改为</w:t>
      </w:r>
      <w:r w:rsidRPr="00A36702">
        <w:rPr>
          <w:rFonts w:hint="eastAsia"/>
          <w:b/>
          <w:szCs w:val="24"/>
        </w:rPr>
        <w:t>“</w:t>
      </w:r>
      <w:r w:rsidRPr="00A36702">
        <w:rPr>
          <w:b/>
          <w:szCs w:val="24"/>
        </w:rPr>
        <w:t>详见第九章投标文件格式</w:t>
      </w:r>
      <w:r w:rsidRPr="00A36702">
        <w:rPr>
          <w:rFonts w:hint="eastAsia"/>
          <w:b/>
          <w:szCs w:val="24"/>
        </w:rPr>
        <w:t>五、资格审查资料”</w:t>
      </w:r>
      <w:r w:rsidRPr="00A36702">
        <w:rPr>
          <w:rFonts w:hint="eastAsia"/>
          <w:szCs w:val="24"/>
        </w:rPr>
        <w:t>。</w:t>
      </w:r>
    </w:p>
    <w:p w:rsidR="003A540E" w:rsidRPr="00A36702" w:rsidRDefault="003A540E" w:rsidP="00386FAD">
      <w:pPr>
        <w:pStyle w:val="p0"/>
        <w:shd w:val="clear" w:color="auto" w:fill="FFFFFF"/>
        <w:spacing w:before="0" w:beforeAutospacing="0" w:after="0" w:afterAutospacing="0" w:line="480" w:lineRule="auto"/>
        <w:ind w:firstLineChars="200" w:firstLine="480"/>
        <w:rPr>
          <w:szCs w:val="24"/>
        </w:rPr>
      </w:pPr>
    </w:p>
    <w:p w:rsidR="00AC67D6" w:rsidRPr="00A36702" w:rsidRDefault="00897CE7" w:rsidP="00386FAD">
      <w:pPr>
        <w:pStyle w:val="p0"/>
        <w:shd w:val="clear" w:color="auto" w:fill="FFFFFF"/>
        <w:spacing w:before="0" w:beforeAutospacing="0" w:after="0" w:afterAutospacing="0" w:line="480" w:lineRule="auto"/>
        <w:ind w:firstLineChars="200" w:firstLine="480"/>
        <w:rPr>
          <w:szCs w:val="24"/>
        </w:rPr>
      </w:pPr>
      <w:r w:rsidRPr="00A36702">
        <w:rPr>
          <w:rFonts w:hint="eastAsia"/>
          <w:szCs w:val="24"/>
        </w:rPr>
        <w:t>其它内容不变。</w:t>
      </w:r>
    </w:p>
    <w:p w:rsidR="00AC67D6" w:rsidRPr="00AC67D6" w:rsidRDefault="00AC67D6" w:rsidP="00AC67D6">
      <w:pPr>
        <w:pStyle w:val="p0"/>
        <w:shd w:val="clear" w:color="auto" w:fill="FFFFFF"/>
        <w:spacing w:before="0" w:beforeAutospacing="0" w:after="0" w:afterAutospacing="0" w:line="480" w:lineRule="auto"/>
        <w:rPr>
          <w:rFonts w:eastAsia="宋体-18030"/>
          <w:bCs/>
        </w:rPr>
      </w:pPr>
    </w:p>
    <w:p w:rsidR="00065ED1" w:rsidRPr="006C7B68" w:rsidRDefault="00065ED1" w:rsidP="006C7B68">
      <w:pPr>
        <w:widowControl/>
        <w:adjustRightInd w:val="0"/>
        <w:snapToGrid w:val="0"/>
        <w:spacing w:line="480" w:lineRule="auto"/>
        <w:ind w:firstLineChars="200" w:firstLine="420"/>
        <w:rPr>
          <w:rFonts w:eastAsia="宋体-18030"/>
          <w:bCs/>
          <w:szCs w:val="21"/>
        </w:rPr>
      </w:pPr>
    </w:p>
    <w:p w:rsidR="00424ED0" w:rsidRPr="006C7B68" w:rsidRDefault="00424ED0" w:rsidP="006C7B68">
      <w:pPr>
        <w:widowControl/>
        <w:adjustRightInd w:val="0"/>
        <w:snapToGrid w:val="0"/>
        <w:spacing w:line="480" w:lineRule="auto"/>
        <w:ind w:firstLineChars="200" w:firstLine="420"/>
        <w:jc w:val="right"/>
        <w:rPr>
          <w:rFonts w:eastAsia="宋体-18030"/>
          <w:bCs/>
          <w:szCs w:val="21"/>
        </w:rPr>
      </w:pPr>
    </w:p>
    <w:p w:rsidR="00065ED1" w:rsidRPr="00A3139F" w:rsidRDefault="00065ED1" w:rsidP="00A3139F">
      <w:pPr>
        <w:widowControl/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 w:rsidRPr="00A3139F">
        <w:rPr>
          <w:rFonts w:eastAsia="宋体-18030" w:hint="eastAsia"/>
          <w:bCs/>
          <w:sz w:val="24"/>
          <w:szCs w:val="24"/>
        </w:rPr>
        <w:t>招标人：</w:t>
      </w:r>
      <w:r w:rsidRPr="00A3139F">
        <w:rPr>
          <w:rFonts w:hint="eastAsia"/>
          <w:sz w:val="24"/>
          <w:szCs w:val="24"/>
        </w:rPr>
        <w:t>盐城市大丰区铁路投资发展有限公司</w:t>
      </w:r>
    </w:p>
    <w:p w:rsidR="00065ED1" w:rsidRPr="00A3139F" w:rsidRDefault="00065ED1" w:rsidP="00A3139F">
      <w:pPr>
        <w:widowControl/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</w:p>
    <w:p w:rsidR="00065ED1" w:rsidRPr="00A3139F" w:rsidRDefault="00065ED1" w:rsidP="00A3139F">
      <w:pPr>
        <w:widowControl/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</w:p>
    <w:p w:rsidR="00065ED1" w:rsidRPr="00A3139F" w:rsidRDefault="00065ED1" w:rsidP="00A3139F">
      <w:pPr>
        <w:widowControl/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 w:rsidRPr="00A3139F">
        <w:rPr>
          <w:rFonts w:hint="eastAsia"/>
          <w:sz w:val="24"/>
          <w:szCs w:val="24"/>
        </w:rPr>
        <w:t>招标代理机构：盐城市招标代理有限公司</w:t>
      </w:r>
    </w:p>
    <w:p w:rsidR="00065ED1" w:rsidRPr="00A3139F" w:rsidRDefault="00065ED1" w:rsidP="00A3139F">
      <w:pPr>
        <w:widowControl/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</w:p>
    <w:p w:rsidR="00065ED1" w:rsidRPr="00A3139F" w:rsidRDefault="00065ED1" w:rsidP="00A3139F">
      <w:pPr>
        <w:widowControl/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 w:rsidRPr="00A3139F">
        <w:rPr>
          <w:rFonts w:hint="eastAsia"/>
          <w:sz w:val="24"/>
          <w:szCs w:val="24"/>
        </w:rPr>
        <w:t>二〇一九年</w:t>
      </w:r>
      <w:r w:rsidR="00A3139F">
        <w:rPr>
          <w:rFonts w:hint="eastAsia"/>
          <w:sz w:val="24"/>
          <w:szCs w:val="24"/>
        </w:rPr>
        <w:t>二月</w:t>
      </w:r>
      <w:r w:rsidR="00616242">
        <w:rPr>
          <w:rFonts w:hint="eastAsia"/>
          <w:sz w:val="24"/>
          <w:szCs w:val="24"/>
        </w:rPr>
        <w:t>二</w:t>
      </w:r>
      <w:r w:rsidRPr="00A3139F">
        <w:rPr>
          <w:rFonts w:hint="eastAsia"/>
          <w:sz w:val="24"/>
          <w:szCs w:val="24"/>
        </w:rPr>
        <w:t>十</w:t>
      </w:r>
      <w:r w:rsidR="00616242">
        <w:rPr>
          <w:rFonts w:hint="eastAsia"/>
          <w:sz w:val="24"/>
          <w:szCs w:val="24"/>
        </w:rPr>
        <w:t>七</w:t>
      </w:r>
      <w:r w:rsidRPr="00A3139F">
        <w:rPr>
          <w:rFonts w:hint="eastAsia"/>
          <w:sz w:val="24"/>
          <w:szCs w:val="24"/>
        </w:rPr>
        <w:t>日</w:t>
      </w:r>
      <w:bookmarkEnd w:id="0"/>
    </w:p>
    <w:sectPr w:rsidR="00065ED1" w:rsidRPr="00A3139F" w:rsidSect="00535503">
      <w:footerReference w:type="default" r:id="rId8"/>
      <w:pgSz w:w="11906" w:h="16838"/>
      <w:pgMar w:top="993" w:right="991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60" w:rsidRDefault="00B44560" w:rsidP="00323355">
      <w:r>
        <w:separator/>
      </w:r>
    </w:p>
  </w:endnote>
  <w:endnote w:type="continuationSeparator" w:id="1">
    <w:p w:rsidR="00B44560" w:rsidRDefault="00B44560" w:rsidP="0032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D1" w:rsidRDefault="00065ED1">
    <w:pPr>
      <w:pStyle w:val="a4"/>
      <w:jc w:val="center"/>
    </w:pPr>
  </w:p>
  <w:p w:rsidR="00065ED1" w:rsidRDefault="00065E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60" w:rsidRDefault="00B44560" w:rsidP="00323355">
      <w:r>
        <w:separator/>
      </w:r>
    </w:p>
  </w:footnote>
  <w:footnote w:type="continuationSeparator" w:id="1">
    <w:p w:rsidR="00B44560" w:rsidRDefault="00B44560" w:rsidP="00323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5F4"/>
    <w:multiLevelType w:val="hybridMultilevel"/>
    <w:tmpl w:val="19D8D0C6"/>
    <w:lvl w:ilvl="0" w:tplc="6BD44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9021470"/>
    <w:multiLevelType w:val="hybridMultilevel"/>
    <w:tmpl w:val="F084A21A"/>
    <w:lvl w:ilvl="0" w:tplc="DF2C1A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355"/>
    <w:rsid w:val="000503EF"/>
    <w:rsid w:val="000575AF"/>
    <w:rsid w:val="00065ED1"/>
    <w:rsid w:val="000D2C94"/>
    <w:rsid w:val="000F4883"/>
    <w:rsid w:val="0013598E"/>
    <w:rsid w:val="0014740C"/>
    <w:rsid w:val="00180B83"/>
    <w:rsid w:val="001D0718"/>
    <w:rsid w:val="001E2A24"/>
    <w:rsid w:val="00210036"/>
    <w:rsid w:val="00245646"/>
    <w:rsid w:val="002461A5"/>
    <w:rsid w:val="0027164D"/>
    <w:rsid w:val="00272FD8"/>
    <w:rsid w:val="00286900"/>
    <w:rsid w:val="002D03C2"/>
    <w:rsid w:val="00323355"/>
    <w:rsid w:val="00381A7B"/>
    <w:rsid w:val="003823E4"/>
    <w:rsid w:val="00386FAD"/>
    <w:rsid w:val="003A540E"/>
    <w:rsid w:val="003D1EBB"/>
    <w:rsid w:val="00406441"/>
    <w:rsid w:val="0040720D"/>
    <w:rsid w:val="00424ED0"/>
    <w:rsid w:val="00461F02"/>
    <w:rsid w:val="00466C21"/>
    <w:rsid w:val="004C67DF"/>
    <w:rsid w:val="004D290E"/>
    <w:rsid w:val="0050163B"/>
    <w:rsid w:val="00535503"/>
    <w:rsid w:val="005B1671"/>
    <w:rsid w:val="0060528C"/>
    <w:rsid w:val="00616242"/>
    <w:rsid w:val="00642A85"/>
    <w:rsid w:val="00643FCD"/>
    <w:rsid w:val="00645F14"/>
    <w:rsid w:val="00656AF2"/>
    <w:rsid w:val="00695C68"/>
    <w:rsid w:val="006C7B68"/>
    <w:rsid w:val="007160F1"/>
    <w:rsid w:val="00721A44"/>
    <w:rsid w:val="00746E3B"/>
    <w:rsid w:val="0075155F"/>
    <w:rsid w:val="007706E3"/>
    <w:rsid w:val="00781141"/>
    <w:rsid w:val="007B0336"/>
    <w:rsid w:val="007B1640"/>
    <w:rsid w:val="007C0157"/>
    <w:rsid w:val="007E27A6"/>
    <w:rsid w:val="007F7B09"/>
    <w:rsid w:val="0082121B"/>
    <w:rsid w:val="00850A80"/>
    <w:rsid w:val="00895685"/>
    <w:rsid w:val="00897CE7"/>
    <w:rsid w:val="008D1633"/>
    <w:rsid w:val="008F13FF"/>
    <w:rsid w:val="0090102E"/>
    <w:rsid w:val="009634FE"/>
    <w:rsid w:val="00990C32"/>
    <w:rsid w:val="009D3D65"/>
    <w:rsid w:val="009F5400"/>
    <w:rsid w:val="00A3139F"/>
    <w:rsid w:val="00A36702"/>
    <w:rsid w:val="00A41F46"/>
    <w:rsid w:val="00A52EA3"/>
    <w:rsid w:val="00AC4743"/>
    <w:rsid w:val="00AC67D6"/>
    <w:rsid w:val="00B025D7"/>
    <w:rsid w:val="00B44560"/>
    <w:rsid w:val="00B72071"/>
    <w:rsid w:val="00B776D8"/>
    <w:rsid w:val="00B96E6D"/>
    <w:rsid w:val="00C33D50"/>
    <w:rsid w:val="00C72DC0"/>
    <w:rsid w:val="00C74FC9"/>
    <w:rsid w:val="00CB736E"/>
    <w:rsid w:val="00CD3002"/>
    <w:rsid w:val="00D20261"/>
    <w:rsid w:val="00DC270E"/>
    <w:rsid w:val="00E04EEF"/>
    <w:rsid w:val="00E07A56"/>
    <w:rsid w:val="00E26691"/>
    <w:rsid w:val="00E665DE"/>
    <w:rsid w:val="00E73B9B"/>
    <w:rsid w:val="00E8767B"/>
    <w:rsid w:val="00E9147E"/>
    <w:rsid w:val="00EA5966"/>
    <w:rsid w:val="00F049E1"/>
    <w:rsid w:val="00F058E3"/>
    <w:rsid w:val="00F33707"/>
    <w:rsid w:val="00F4686A"/>
    <w:rsid w:val="00FB22B9"/>
    <w:rsid w:val="00FB5208"/>
    <w:rsid w:val="00FC0C69"/>
    <w:rsid w:val="00FD02FD"/>
    <w:rsid w:val="00FE057E"/>
    <w:rsid w:val="00FE0910"/>
    <w:rsid w:val="00FF0182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7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9"/>
    <w:qFormat/>
    <w:rsid w:val="00990C32"/>
    <w:pPr>
      <w:keepNext/>
      <w:keepLines/>
      <w:spacing w:before="280" w:after="290" w:line="372" w:lineRule="auto"/>
      <w:outlineLvl w:val="4"/>
    </w:pPr>
    <w:rPr>
      <w:rFonts w:ascii="Calibri" w:eastAsia="宋体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355"/>
    <w:rPr>
      <w:sz w:val="18"/>
      <w:szCs w:val="18"/>
    </w:rPr>
  </w:style>
  <w:style w:type="paragraph" w:customStyle="1" w:styleId="p0">
    <w:name w:val="p0"/>
    <w:basedOn w:val="a"/>
    <w:uiPriority w:val="99"/>
    <w:rsid w:val="00323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1"/>
    </w:rPr>
  </w:style>
  <w:style w:type="character" w:customStyle="1" w:styleId="5Char">
    <w:name w:val="标题 5 Char"/>
    <w:basedOn w:val="a0"/>
    <w:link w:val="5"/>
    <w:uiPriority w:val="99"/>
    <w:rsid w:val="00990C32"/>
    <w:rPr>
      <w:rFonts w:ascii="Calibri" w:eastAsia="宋体" w:hAnsi="Calibri" w:cs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E91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0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07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7207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72071"/>
  </w:style>
  <w:style w:type="paragraph" w:customStyle="1" w:styleId="TableParagraph">
    <w:name w:val="Table Paragraph"/>
    <w:basedOn w:val="a"/>
    <w:uiPriority w:val="1"/>
    <w:qFormat/>
    <w:rsid w:val="00AC67D6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cp:lastPrinted>2019-02-27T06:48:00Z</cp:lastPrinted>
  <dcterms:created xsi:type="dcterms:W3CDTF">2019-01-18T08:42:00Z</dcterms:created>
  <dcterms:modified xsi:type="dcterms:W3CDTF">2019-02-27T07:09:00Z</dcterms:modified>
</cp:coreProperties>
</file>